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BF4" w:rsidRPr="00742B86" w:rsidRDefault="00791BF4" w:rsidP="00791BF4">
      <w:pPr>
        <w:pStyle w:val="Nadpis11"/>
        <w:rPr>
          <w:lang w:val="en-GB"/>
        </w:rPr>
      </w:pPr>
      <w:bookmarkStart w:id="0" w:name="_Toc69287528"/>
      <w:bookmarkStart w:id="1" w:name="_Toc50712130"/>
      <w:bookmarkStart w:id="2" w:name="_Toc66954407"/>
      <w:bookmarkStart w:id="3" w:name="_Toc58605377"/>
      <w:bookmarkStart w:id="4" w:name="_Toc26865023"/>
      <w:r w:rsidRPr="00742B86">
        <w:rPr>
          <w:lang w:val="en-GB"/>
        </w:rPr>
        <w:t>5. Prices</w:t>
      </w:r>
      <w:bookmarkEnd w:id="0"/>
    </w:p>
    <w:tbl>
      <w:tblPr>
        <w:tblW w:w="9653" w:type="dxa"/>
        <w:tblInd w:w="-15" w:type="dxa"/>
        <w:tblCellMar>
          <w:left w:w="0" w:type="dxa"/>
          <w:right w:w="0" w:type="dxa"/>
        </w:tblCellMar>
        <w:tblLook w:val="00A0" w:firstRow="1" w:lastRow="0" w:firstColumn="1" w:lastColumn="0" w:noHBand="0" w:noVBand="0"/>
      </w:tblPr>
      <w:tblGrid>
        <w:gridCol w:w="1659"/>
        <w:gridCol w:w="207"/>
        <w:gridCol w:w="177"/>
        <w:gridCol w:w="7610"/>
      </w:tblGrid>
      <w:tr w:rsidR="00791BF4" w:rsidRPr="00742B86" w:rsidTr="009C620B">
        <w:trPr>
          <w:trHeight w:val="145"/>
        </w:trPr>
        <w:tc>
          <w:tcPr>
            <w:tcW w:w="1659" w:type="dxa"/>
            <w:hideMark/>
          </w:tcPr>
          <w:p w:rsidR="00791BF4" w:rsidRPr="00742B86" w:rsidRDefault="00791BF4" w:rsidP="009C620B">
            <w:pPr>
              <w:pStyle w:val="Marginlie"/>
              <w:rPr>
                <w:spacing w:val="0"/>
                <w:lang w:val="en-GB" w:eastAsia="en-US"/>
              </w:rPr>
            </w:pPr>
            <w:r w:rsidRPr="00742B86">
              <w:rPr>
                <w:spacing w:val="0"/>
                <w:lang w:val="en-GB" w:eastAsia="en-US"/>
              </w:rPr>
              <w:t xml:space="preserve">Total price level grew very strongly last year.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szCs w:val="20"/>
                <w:lang w:val="en-GB" w:eastAsia="en-US"/>
              </w:rPr>
            </w:pPr>
            <w:r w:rsidRPr="00742B86">
              <w:rPr>
                <w:szCs w:val="20"/>
                <w:lang w:val="en-GB" w:eastAsia="en-US"/>
              </w:rPr>
              <w:t>The total price level increased by 4.1% according to the gross domestic product deflator last year, which is the most since year 2001. The price growth of both consumption (3.4%) and capital goods (2.5%) was high. Positive terms of trade (101.6%) also supported the rise of the price level. The total price level climbed up by 4.2% year-on-year in Q4 itself. Prices of consumption goods went up by 3.1%, mainly because of the government institutions consumption (5.6%). Growth of prices of consumption goods of households slowed down to 1.8%. Prices of capital goods were raised by 2.8% in Q4. The terms of trade attained 102.0%, in that terms of trade with goods were 102.3% and with services 99.9%.</w:t>
            </w:r>
          </w:p>
        </w:tc>
      </w:tr>
      <w:tr w:rsidR="00791BF4" w:rsidRPr="00742B86" w:rsidTr="009C620B">
        <w:trPr>
          <w:trHeight w:val="145"/>
        </w:trPr>
        <w:tc>
          <w:tcPr>
            <w:tcW w:w="1659" w:type="dxa"/>
            <w:hideMark/>
          </w:tcPr>
          <w:p w:rsidR="00791BF4" w:rsidRPr="00742B86" w:rsidRDefault="00791BF4" w:rsidP="009C620B">
            <w:pPr>
              <w:pStyle w:val="Marginlie"/>
              <w:rPr>
                <w:spacing w:val="0"/>
                <w:lang w:val="en-GB" w:eastAsia="en-US"/>
              </w:rPr>
            </w:pPr>
            <w:r w:rsidRPr="00742B86">
              <w:rPr>
                <w:spacing w:val="0"/>
                <w:lang w:val="en-GB" w:eastAsia="en-US"/>
              </w:rPr>
              <w:t xml:space="preserve">Total increase of consumer prices was 3.2% last year. The year-on-year dynamics markedly slowed down in Q4. </w:t>
            </w:r>
          </w:p>
        </w:tc>
        <w:tc>
          <w:tcPr>
            <w:tcW w:w="207" w:type="dxa"/>
          </w:tcPr>
          <w:p w:rsidR="00791BF4" w:rsidRPr="00742B86" w:rsidRDefault="00791BF4" w:rsidP="009C620B">
            <w:pPr>
              <w:pStyle w:val="Textpoznpodarou1"/>
              <w:jc w:val="both"/>
              <w:rPr>
                <w:highlight w:val="yellow"/>
                <w:lang w:val="en-GB" w:eastAsia="en-US"/>
              </w:rPr>
            </w:pPr>
          </w:p>
        </w:tc>
        <w:tc>
          <w:tcPr>
            <w:tcW w:w="177" w:type="dxa"/>
          </w:tcPr>
          <w:p w:rsidR="00791BF4" w:rsidRPr="00742B86" w:rsidRDefault="00791BF4" w:rsidP="009C620B">
            <w:pPr>
              <w:pStyle w:val="Textpoznpodarou1"/>
              <w:jc w:val="both"/>
              <w:rPr>
                <w:highlight w:val="yellow"/>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Growth of the consumer price index markedly slowed down in Q4 2020. The consumer prices reduced by 0.4% compared to Q3, which is the first decrease since Q4 2015. The halt of sharp increases of prices of alcoholic beverages and tobacco mainly took part in the quarter-on-quarter decrease. Prices of food and non-alcoholic beverages, housing and energies and recreation and culture also reduced. At the same time the quarter-on-quarter dynamics of prices of transport and food service and accommodation slowed down. Year-on-year addition to consumer prices significantly slowed down to 2.6% in Q4, the lowest value since Q4 2018. Development of prices of food and non-alcoholic beverages and housing and energies also influenced the most the slowdown of the total year-on-year dynamics. Average inflation amounted to 3.2% in 2020 and it was the highest since year 2012. Food and non-alcoholic beverages, alcoholic beverages and tobacco and housing and energies the most supported a price growth last year. </w:t>
            </w:r>
          </w:p>
        </w:tc>
      </w:tr>
      <w:tr w:rsidR="00791BF4" w:rsidRPr="00742B86" w:rsidTr="009C620B">
        <w:trPr>
          <w:trHeight w:val="145"/>
        </w:trPr>
        <w:tc>
          <w:tcPr>
            <w:tcW w:w="1659" w:type="dxa"/>
            <w:hideMark/>
          </w:tcPr>
          <w:p w:rsidR="00791BF4" w:rsidRPr="00742B86" w:rsidRDefault="00791BF4" w:rsidP="009C620B">
            <w:pPr>
              <w:pStyle w:val="Marginlie"/>
              <w:rPr>
                <w:spacing w:val="0"/>
                <w:lang w:val="en-GB" w:eastAsia="en-US"/>
              </w:rPr>
            </w:pPr>
            <w:r w:rsidRPr="00742B86">
              <w:rPr>
                <w:spacing w:val="0"/>
                <w:lang w:val="en-GB" w:eastAsia="en-US"/>
              </w:rPr>
              <w:t xml:space="preserve">Food and non-alcoholic beverages were the main drivers of the price growth last year. Their influence notably weakened towards the end of the year. </w:t>
            </w:r>
          </w:p>
        </w:tc>
        <w:tc>
          <w:tcPr>
            <w:tcW w:w="207" w:type="dxa"/>
          </w:tcPr>
          <w:p w:rsidR="00791BF4" w:rsidRPr="00742B86" w:rsidRDefault="00791BF4" w:rsidP="009C620B">
            <w:pPr>
              <w:pStyle w:val="Textpoznpodarou1"/>
              <w:jc w:val="both"/>
              <w:rPr>
                <w:highlight w:val="yellow"/>
                <w:lang w:val="en-GB" w:eastAsia="en-US"/>
              </w:rPr>
            </w:pPr>
          </w:p>
        </w:tc>
        <w:tc>
          <w:tcPr>
            <w:tcW w:w="177" w:type="dxa"/>
          </w:tcPr>
          <w:p w:rsidR="00791BF4" w:rsidRPr="00742B86" w:rsidRDefault="00791BF4" w:rsidP="009C620B">
            <w:pPr>
              <w:pStyle w:val="Textpoznpodarou1"/>
              <w:jc w:val="both"/>
              <w:rPr>
                <w:highlight w:val="yellow"/>
                <w:lang w:val="en-GB" w:eastAsia="en-US"/>
              </w:rPr>
            </w:pPr>
          </w:p>
        </w:tc>
        <w:tc>
          <w:tcPr>
            <w:tcW w:w="7610" w:type="dxa"/>
          </w:tcPr>
          <w:p w:rsidR="00791BF4" w:rsidRPr="00742B86" w:rsidRDefault="00791BF4" w:rsidP="009C620B">
            <w:pPr>
              <w:rPr>
                <w:lang w:val="en-GB" w:eastAsia="en-US"/>
              </w:rPr>
            </w:pPr>
            <w:r w:rsidRPr="00742B86">
              <w:rPr>
                <w:lang w:val="en-GB" w:eastAsia="en-US"/>
              </w:rPr>
              <w:t>Food and non-alcoholic beverages were one of the main driving forces of the year-on-year growth of the consumer prices for most of the year. In H1, food and non-alcoholic beverages became more expensive by an extraordinary fast pace (by 6.1% and 6.5% year-on-year in Q1 and 2). Prices of meat, which were influenced by the lack of pork on the world markets were the main reason. The lack was linked to the spread of the African swine fever. The year-on-year addition to prices of food and non-alcoholic beverages markedly slowed down (4.0%) in Q3 and the development continued similarly in Q4 (1.7%). Sharp slowdown was affected mainly by prices of meat (year-on-year addition 2.0% in Q4) and fruit (9.1%). The growth of prices of baking products and cereals was mild (1.0%). Prices of milk, cheese and eggs went down year-on-year (–1.3%). The prices of food and non-alcoholic beverages were raised by 4.5% for the whole year 2020.</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t xml:space="preserve">Growth of prices of housing and energies also subsided during the year. </w:t>
            </w:r>
          </w:p>
        </w:tc>
        <w:tc>
          <w:tcPr>
            <w:tcW w:w="207" w:type="dxa"/>
          </w:tcPr>
          <w:p w:rsidR="00791BF4" w:rsidRPr="00742B86" w:rsidRDefault="00791BF4" w:rsidP="009C620B">
            <w:pPr>
              <w:pStyle w:val="Textpoznpodarou1"/>
              <w:jc w:val="both"/>
              <w:rPr>
                <w:highlight w:val="yellow"/>
                <w:lang w:val="en-GB" w:eastAsia="en-US"/>
              </w:rPr>
            </w:pPr>
          </w:p>
        </w:tc>
        <w:tc>
          <w:tcPr>
            <w:tcW w:w="177" w:type="dxa"/>
          </w:tcPr>
          <w:p w:rsidR="00791BF4" w:rsidRPr="00742B86" w:rsidRDefault="00791BF4" w:rsidP="009C620B">
            <w:pPr>
              <w:pStyle w:val="Textpoznpodarou1"/>
              <w:jc w:val="both"/>
              <w:rPr>
                <w:highlight w:val="yellow"/>
                <w:lang w:val="en-GB" w:eastAsia="en-US"/>
              </w:rPr>
            </w:pPr>
          </w:p>
        </w:tc>
        <w:tc>
          <w:tcPr>
            <w:tcW w:w="7610" w:type="dxa"/>
          </w:tcPr>
          <w:p w:rsidR="00791BF4" w:rsidRPr="00742B86" w:rsidRDefault="00791BF4" w:rsidP="009C620B">
            <w:pPr>
              <w:rPr>
                <w:lang w:val="en-GB" w:eastAsia="en-US"/>
              </w:rPr>
            </w:pPr>
            <w:r w:rsidRPr="00742B86">
              <w:rPr>
                <w:lang w:val="en-GB" w:eastAsia="en-US"/>
              </w:rPr>
              <w:t>Prices of housing, water, energies, and fuels were rising fast (5.3%) especially in year 2019, because simultaneously the prices of rent, costs of home ownership as well as prices of electricity were also growing. The year-on-year dynamics of prices of housing and energies moderated during the year (year-on-year additions 4.2%, 3.2%, 2.7% and 1.4% in individual quarters) last year. The additions to prices of rents were gradually falling (4.3% at the beginning of the year, 2.0% in Q4), the prices of imputed rent, which captures the costs of home ownership as well (from 3.7% in Q1 to 1.5% in Q4). Growth of prices of electrical energy and heating, gas and other fuels was relatively strong in Q1 to Q3 (4.7%, 3.7% and 3.5%), but it rapidly decreased in Q4 (0.4%). Prices of housing and energies rose by 2.9% compared to year 2019. Prices of rents were raised by 3.1%, imputed rents by 2.4% and energies by 3.1%. The year-on-year growth of prices of regular maintenance and small repairs (3.2%) and other services associated with housing (4.3%) remained relatively significant during the year.</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lastRenderedPageBreak/>
              <w:t xml:space="preserve">By contrast the prices of alcohol and tobacco contributed the most to the year-on-year growth of consumer prices in Q4. </w:t>
            </w:r>
          </w:p>
        </w:tc>
        <w:tc>
          <w:tcPr>
            <w:tcW w:w="207" w:type="dxa"/>
          </w:tcPr>
          <w:p w:rsidR="00791BF4" w:rsidRPr="00742B86" w:rsidRDefault="00791BF4" w:rsidP="009C620B">
            <w:pPr>
              <w:pStyle w:val="Textpoznpodarou1"/>
              <w:jc w:val="both"/>
              <w:rPr>
                <w:highlight w:val="yellow"/>
                <w:lang w:val="en-GB" w:eastAsia="en-US"/>
              </w:rPr>
            </w:pPr>
          </w:p>
        </w:tc>
        <w:tc>
          <w:tcPr>
            <w:tcW w:w="177" w:type="dxa"/>
          </w:tcPr>
          <w:p w:rsidR="00791BF4" w:rsidRPr="00742B86" w:rsidRDefault="00791BF4" w:rsidP="009C620B">
            <w:pPr>
              <w:pStyle w:val="Textpoznpodarou1"/>
              <w:jc w:val="both"/>
              <w:rPr>
                <w:highlight w:val="yellow"/>
                <w:lang w:val="en-GB" w:eastAsia="en-US"/>
              </w:rPr>
            </w:pPr>
          </w:p>
        </w:tc>
        <w:tc>
          <w:tcPr>
            <w:tcW w:w="7610" w:type="dxa"/>
          </w:tcPr>
          <w:p w:rsidR="00791BF4" w:rsidRPr="00742B86" w:rsidRDefault="00791BF4" w:rsidP="009C620B">
            <w:pPr>
              <w:rPr>
                <w:lang w:val="en-GB" w:eastAsia="en-US"/>
              </w:rPr>
            </w:pPr>
            <w:r w:rsidRPr="00742B86">
              <w:rPr>
                <w:lang w:val="en-GB" w:eastAsia="en-US"/>
              </w:rPr>
              <w:t>The increase of the consumption tax was evident for the dynamics of the prices of alcoholic beverages and tobacco immediately at the beginning of the year (acceleration of the year-on-year price increase by 3.5%), especially for the alcoholic beverages. However, due to pre-stocking the increase of the tax on tobacco manifested only in Q2 and prices in the division received another impulse (6.6%). During H2, the dynamics of the prices of alcoholic beverages and tobacco further strengthened to 10.3% in Q3 and 9.9% in Q4. Especially the year-on-year dynamics for tobacco was strengthening (2.6%, 7.5%, 14.0% and 15.1% in individual quarters). Prices of alcoholic beverages and tobacco rose by 7.6% for the whole year 2020 (the most since year 2008), in that prices of alcoholic beverages by 4.8% and tobacco by 9.8%.</w:t>
            </w:r>
          </w:p>
        </w:tc>
      </w:tr>
      <w:tr w:rsidR="00791BF4" w:rsidRPr="00742B86" w:rsidTr="009C620B">
        <w:trPr>
          <w:trHeight w:val="170"/>
        </w:trPr>
        <w:tc>
          <w:tcPr>
            <w:tcW w:w="1659" w:type="dxa"/>
            <w:vMerge w:val="restart"/>
          </w:tcPr>
          <w:p w:rsidR="00791BF4" w:rsidRPr="00742B86" w:rsidRDefault="00791BF4" w:rsidP="009C620B">
            <w:pPr>
              <w:pStyle w:val="Marginlie"/>
              <w:rPr>
                <w:spacing w:val="0"/>
                <w:lang w:val="en-GB" w:eastAsia="en-US"/>
              </w:rPr>
            </w:pPr>
          </w:p>
        </w:tc>
        <w:tc>
          <w:tcPr>
            <w:tcW w:w="207" w:type="dxa"/>
          </w:tcPr>
          <w:p w:rsidR="00791BF4" w:rsidRPr="00742B86" w:rsidRDefault="00791BF4" w:rsidP="009C620B">
            <w:pPr>
              <w:pStyle w:val="Textpoznpodarou1"/>
              <w:jc w:val="both"/>
              <w:rPr>
                <w:highlight w:val="yellow"/>
                <w:lang w:val="en-GB" w:eastAsia="en-US"/>
              </w:rPr>
            </w:pPr>
          </w:p>
        </w:tc>
        <w:tc>
          <w:tcPr>
            <w:tcW w:w="177" w:type="dxa"/>
            <w:vMerge w:val="restart"/>
          </w:tcPr>
          <w:p w:rsidR="00791BF4" w:rsidRPr="00742B86" w:rsidRDefault="00791BF4" w:rsidP="009C620B">
            <w:pPr>
              <w:pStyle w:val="Textpoznpodarou1"/>
              <w:jc w:val="both"/>
              <w:rPr>
                <w:highlight w:val="yellow"/>
                <w:lang w:val="en-GB" w:eastAsia="en-US"/>
              </w:rPr>
            </w:pPr>
          </w:p>
        </w:tc>
        <w:tc>
          <w:tcPr>
            <w:tcW w:w="7610" w:type="dxa"/>
            <w:hideMark/>
          </w:tcPr>
          <w:p w:rsidR="00791BF4" w:rsidRPr="00742B86" w:rsidRDefault="00791BF4" w:rsidP="009C620B">
            <w:pPr>
              <w:spacing w:after="0"/>
              <w:rPr>
                <w:b/>
                <w:spacing w:val="-2"/>
                <w:szCs w:val="20"/>
                <w:lang w:val="en-GB" w:eastAsia="en-US"/>
              </w:rPr>
            </w:pPr>
            <w:r w:rsidRPr="00742B86">
              <w:rPr>
                <w:rFonts w:cs="Arial"/>
                <w:b/>
                <w:bCs/>
                <w:color w:val="000000"/>
                <w:spacing w:val="-2"/>
                <w:szCs w:val="20"/>
                <w:lang w:val="en-GB" w:eastAsia="en-US"/>
              </w:rPr>
              <w:t xml:space="preserve">Chart 9  </w:t>
            </w:r>
            <w:r w:rsidRPr="00742B86">
              <w:rPr>
                <w:rFonts w:cs="Arial"/>
                <w:b/>
                <w:bCs/>
                <w:color w:val="000000"/>
                <w:sz w:val="18"/>
                <w:szCs w:val="18"/>
                <w:lang w:val="en-GB"/>
              </w:rPr>
              <w:t xml:space="preserve">Prices in the selected divisions of the consumer price index </w:t>
            </w:r>
            <w:r w:rsidRPr="00742B86">
              <w:rPr>
                <w:rFonts w:cs="Arial"/>
                <w:color w:val="000000"/>
                <w:sz w:val="18"/>
                <w:szCs w:val="18"/>
                <w:lang w:val="en-GB"/>
              </w:rPr>
              <w:t xml:space="preserve">(year-on-year in %) </w:t>
            </w:r>
          </w:p>
        </w:tc>
      </w:tr>
      <w:tr w:rsidR="00791BF4" w:rsidRPr="00742B86" w:rsidTr="009C620B">
        <w:tblPrEx>
          <w:tblCellMar>
            <w:left w:w="70" w:type="dxa"/>
            <w:right w:w="70" w:type="dxa"/>
          </w:tblCellMar>
        </w:tblPrEx>
        <w:trPr>
          <w:trHeight w:val="170"/>
        </w:trPr>
        <w:tc>
          <w:tcPr>
            <w:tcW w:w="1659" w:type="dxa"/>
            <w:vMerge/>
            <w:vAlign w:val="center"/>
            <w:hideMark/>
          </w:tcPr>
          <w:p w:rsidR="00791BF4" w:rsidRPr="00742B86" w:rsidRDefault="00791BF4" w:rsidP="009C620B">
            <w:pPr>
              <w:spacing w:after="0" w:line="240" w:lineRule="auto"/>
              <w:jc w:val="left"/>
              <w:rPr>
                <w:sz w:val="16"/>
                <w:szCs w:val="16"/>
                <w:lang w:val="en-GB" w:eastAsia="en-US"/>
              </w:rPr>
            </w:pPr>
          </w:p>
        </w:tc>
        <w:tc>
          <w:tcPr>
            <w:tcW w:w="207" w:type="dxa"/>
          </w:tcPr>
          <w:p w:rsidR="00791BF4" w:rsidRPr="00742B86" w:rsidRDefault="00791BF4" w:rsidP="009C620B">
            <w:pPr>
              <w:spacing w:after="0" w:line="240" w:lineRule="auto"/>
              <w:jc w:val="left"/>
              <w:rPr>
                <w:rFonts w:eastAsia="Calibri"/>
                <w:szCs w:val="20"/>
                <w:highlight w:val="yellow"/>
                <w:lang w:val="en-GB" w:eastAsia="en-US"/>
              </w:rPr>
            </w:pPr>
          </w:p>
        </w:tc>
        <w:tc>
          <w:tcPr>
            <w:tcW w:w="177" w:type="dxa"/>
            <w:vMerge/>
            <w:vAlign w:val="center"/>
            <w:hideMark/>
          </w:tcPr>
          <w:p w:rsidR="00791BF4" w:rsidRPr="00742B86" w:rsidRDefault="00791BF4" w:rsidP="009C620B">
            <w:pPr>
              <w:spacing w:after="0" w:line="240" w:lineRule="auto"/>
              <w:jc w:val="left"/>
              <w:rPr>
                <w:rFonts w:eastAsia="Calibri"/>
                <w:szCs w:val="20"/>
                <w:highlight w:val="yellow"/>
                <w:lang w:val="en-GB" w:eastAsia="en-US"/>
              </w:rPr>
            </w:pPr>
          </w:p>
        </w:tc>
        <w:tc>
          <w:tcPr>
            <w:tcW w:w="7610" w:type="dxa"/>
            <w:hideMark/>
          </w:tcPr>
          <w:p w:rsidR="00791BF4" w:rsidRPr="00742B86" w:rsidRDefault="00791BF4" w:rsidP="009C620B">
            <w:pPr>
              <w:spacing w:after="0"/>
              <w:rPr>
                <w:lang w:val="en-GB" w:eastAsia="en-US"/>
              </w:rPr>
            </w:pPr>
            <w:r>
              <w:rPr>
                <w:noProof/>
              </w:rPr>
              <w:drawing>
                <wp:inline distT="0" distB="0" distL="0" distR="0" wp14:anchorId="41B5716F" wp14:editId="68CD9766">
                  <wp:extent cx="4737600" cy="3384925"/>
                  <wp:effectExtent l="0" t="0" r="6350" b="6350"/>
                  <wp:docPr id="31" name="Graf 31">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791BF4" w:rsidRPr="00742B86" w:rsidTr="009C620B">
        <w:trPr>
          <w:trHeight w:val="170"/>
        </w:trPr>
        <w:tc>
          <w:tcPr>
            <w:tcW w:w="0" w:type="auto"/>
            <w:vMerge/>
            <w:vAlign w:val="center"/>
            <w:hideMark/>
          </w:tcPr>
          <w:p w:rsidR="00791BF4" w:rsidRPr="00742B86" w:rsidRDefault="00791BF4" w:rsidP="009C620B">
            <w:pPr>
              <w:spacing w:after="0" w:line="240" w:lineRule="auto"/>
              <w:jc w:val="left"/>
              <w:rPr>
                <w:sz w:val="16"/>
                <w:szCs w:val="16"/>
                <w:lang w:val="en-GB" w:eastAsia="en-US"/>
              </w:rPr>
            </w:pPr>
          </w:p>
        </w:tc>
        <w:tc>
          <w:tcPr>
            <w:tcW w:w="0" w:type="auto"/>
          </w:tcPr>
          <w:p w:rsidR="00791BF4" w:rsidRPr="00742B86" w:rsidRDefault="00791BF4" w:rsidP="009C620B">
            <w:pPr>
              <w:spacing w:after="0" w:line="240" w:lineRule="auto"/>
              <w:jc w:val="left"/>
              <w:rPr>
                <w:rFonts w:eastAsia="Calibri"/>
                <w:szCs w:val="20"/>
                <w:highlight w:val="yellow"/>
                <w:lang w:val="en-GB" w:eastAsia="en-US"/>
              </w:rPr>
            </w:pPr>
          </w:p>
        </w:tc>
        <w:tc>
          <w:tcPr>
            <w:tcW w:w="0" w:type="auto"/>
            <w:vMerge/>
            <w:vAlign w:val="center"/>
            <w:hideMark/>
          </w:tcPr>
          <w:p w:rsidR="00791BF4" w:rsidRPr="00742B86" w:rsidRDefault="00791BF4" w:rsidP="009C620B">
            <w:pPr>
              <w:spacing w:after="0" w:line="240" w:lineRule="auto"/>
              <w:jc w:val="left"/>
              <w:rPr>
                <w:rFonts w:eastAsia="Calibri"/>
                <w:szCs w:val="20"/>
                <w:highlight w:val="yellow"/>
                <w:lang w:val="en-GB" w:eastAsia="en-US"/>
              </w:rPr>
            </w:pPr>
          </w:p>
        </w:tc>
        <w:tc>
          <w:tcPr>
            <w:tcW w:w="7610" w:type="dxa"/>
            <w:hideMark/>
          </w:tcPr>
          <w:p w:rsidR="00791BF4" w:rsidRPr="00742B86" w:rsidRDefault="00791BF4" w:rsidP="009C620B">
            <w:pPr>
              <w:rPr>
                <w:sz w:val="16"/>
                <w:szCs w:val="16"/>
                <w:lang w:val="en-GB" w:eastAsia="en-US"/>
              </w:rPr>
            </w:pPr>
            <w:r w:rsidRPr="00742B86">
              <w:rPr>
                <w:sz w:val="14"/>
                <w:szCs w:val="14"/>
                <w:lang w:val="en-GB" w:eastAsia="en-US"/>
              </w:rPr>
              <w:t>Source: CZSO</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t xml:space="preserve">Prices of transport were affected by the slump of oil prices, but also by the increase of prices of motor vehicles.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Division transport observed price turbulences connected first to the record </w:t>
            </w:r>
            <w:r>
              <w:rPr>
                <w:lang w:val="en-GB" w:eastAsia="en-US"/>
              </w:rPr>
              <w:t>spring</w:t>
            </w:r>
            <w:r w:rsidRPr="00742B86">
              <w:rPr>
                <w:lang w:val="en-GB" w:eastAsia="en-US"/>
              </w:rPr>
              <w:t xml:space="preserve"> slump of prices of oil and subsequently to the raised prices of motor vehicles</w:t>
            </w:r>
            <w:r w:rsidRPr="00742B86">
              <w:rPr>
                <w:rStyle w:val="Znakapoznpodarou"/>
                <w:lang w:val="en-GB" w:eastAsia="en-US"/>
              </w:rPr>
              <w:footnoteReference w:id="1"/>
            </w:r>
            <w:r w:rsidRPr="00742B86">
              <w:rPr>
                <w:lang w:val="en-GB" w:eastAsia="en-US"/>
              </w:rPr>
              <w:t xml:space="preserve"> during the last year. Both influences worked in the opposite direction, thus the resulting decrease of prices of transport was only mild in 2020 (–0.4%). In that, prices of transport vehicles went up by 4.6% and on the contrary, prices of their operation dived by 5.7%. In Q4 itself prices of transport slightly increased year-on-year (0.6%), price of transport equipment hiked up by 8.3% and prices of transport vehicle operation remained in deep descend (–6.7%).</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t xml:space="preserve">While the prices of food service maintained strong year-on-year growth, dynamics of the prices of accommodation weakened.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Food service and accommodation also relatively significantly added to the growth of consumer prices throughout the whole year. Year-on-year additions were stable at around 5% here throughout the most part of the year and weakened only at its end (4.3% in Q4). Prices rose by 4.9% for the whole year 2020. Large increases eventuated for prices of food service (year-on-year growth did not drop below 5.0%), while the growth of the price of accommodation services markedly slowed down from 4.9% in Q1 to 0.1% in Q4. Prices of wearing apparel and footwear climbed by 3.7% in year 2020 (in that by 3.4% in Q4). Increase of the prices of household equipment and appliances </w:t>
            </w:r>
            <w:r w:rsidRPr="00742B86">
              <w:rPr>
                <w:lang w:val="en-GB" w:eastAsia="en-US"/>
              </w:rPr>
              <w:lastRenderedPageBreak/>
              <w:t>amounted to 2.9% last year (2.8% in Q4). Prices of recreation and culture were raised by 2.2% last year (2.5% in Q4). Post</w:t>
            </w:r>
            <w:r>
              <w:rPr>
                <w:lang w:val="en-GB" w:eastAsia="en-US"/>
              </w:rPr>
              <w:t>al services</w:t>
            </w:r>
            <w:r w:rsidRPr="00742B86">
              <w:rPr>
                <w:lang w:val="en-GB" w:eastAsia="en-US"/>
              </w:rPr>
              <w:t xml:space="preserve"> and telecommunications were the only part of the consumer basket, where the prices fell last year (–3.6%). However, the decrease has been a long-term trend here. The prices of postal </w:t>
            </w:r>
            <w:r>
              <w:rPr>
                <w:lang w:val="en-GB" w:eastAsia="en-US"/>
              </w:rPr>
              <w:t>services</w:t>
            </w:r>
            <w:r w:rsidRPr="00742B86">
              <w:rPr>
                <w:lang w:val="en-GB" w:eastAsia="en-US"/>
              </w:rPr>
              <w:t xml:space="preserve"> and telecommunications last increased in year 2006.</w:t>
            </w:r>
          </w:p>
        </w:tc>
      </w:tr>
      <w:tr w:rsidR="00791BF4" w:rsidRPr="00742B86" w:rsidTr="009C620B">
        <w:trPr>
          <w:trHeight w:val="145"/>
        </w:trPr>
        <w:tc>
          <w:tcPr>
            <w:tcW w:w="1659" w:type="dxa"/>
            <w:hideMark/>
          </w:tcPr>
          <w:p w:rsidR="00791BF4" w:rsidRPr="00742B86" w:rsidRDefault="00791BF4" w:rsidP="009C620B">
            <w:pPr>
              <w:pStyle w:val="Marginlie"/>
              <w:rPr>
                <w:spacing w:val="0"/>
                <w:lang w:val="en-GB" w:eastAsia="en-US"/>
              </w:rPr>
            </w:pPr>
            <w:r w:rsidRPr="00742B86">
              <w:rPr>
                <w:spacing w:val="0"/>
                <w:lang w:val="en-GB" w:eastAsia="en-US"/>
              </w:rPr>
              <w:lastRenderedPageBreak/>
              <w:t>Consumer prices in the EU were raised the least since year 2016 last year.</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The consumer prices increased by 0.7%</w:t>
            </w:r>
            <w:r w:rsidRPr="00742B86">
              <w:rPr>
                <w:rStyle w:val="Znakapoznpodarou"/>
                <w:lang w:val="en-GB" w:eastAsia="en-US"/>
              </w:rPr>
              <w:footnoteReference w:id="2"/>
            </w:r>
            <w:r w:rsidRPr="00742B86">
              <w:rPr>
                <w:lang w:val="en-GB" w:eastAsia="en-US"/>
              </w:rPr>
              <w:t xml:space="preserve"> in the European Union last year, which is the least since year 2016, and their dynamics was gradually slowing down in the course of the year. Decline of transport prices (–2.2%), caused by the year-on-year slump of oil prices, but also the halt of growth of prices of housing and energies (–0.1%), which were affected by sharp hikes of electricity prices in the preceding years, drove the price dynamics down. Increase of prices of food and non-alcoholic beverages (2.5%) and alcoholic beverages and tobacco (3.9%) stayed strong. The consumer prices increased the most in Poland (3.7%), Hungary (3.4%) and the Czech Republic (3.3%) last year. Consumer prices decreased in total in eight countries, the most in Greece (–1.3%), Cyprus (–1.1%) and in Estonia (–0.6%). In Q4 itself, the consumer prices rose by 0.2% in the EU. Countries of the central Europe, especially Poland (3.6%), Hungary (2.9%) and the Czech Republic (2.7%) considerably defied the EU average. Prices fell in twelve countries, the most in Greece (–2.2%), Estonia (–1.3%) and in Ireland and Cyprus (similarly –1.1%).</w:t>
            </w:r>
          </w:p>
        </w:tc>
      </w:tr>
      <w:tr w:rsidR="00791BF4" w:rsidRPr="00742B86" w:rsidTr="009C620B">
        <w:trPr>
          <w:trHeight w:val="170"/>
        </w:trPr>
        <w:tc>
          <w:tcPr>
            <w:tcW w:w="1659" w:type="dxa"/>
            <w:vMerge w:val="restart"/>
          </w:tcPr>
          <w:p w:rsidR="00791BF4" w:rsidRPr="00742B86" w:rsidRDefault="00791BF4" w:rsidP="009C620B">
            <w:pPr>
              <w:pStyle w:val="Marginlie"/>
              <w:rPr>
                <w:spacing w:val="0"/>
                <w:lang w:val="en-GB" w:eastAsia="en-US"/>
              </w:rPr>
            </w:pPr>
          </w:p>
        </w:tc>
        <w:tc>
          <w:tcPr>
            <w:tcW w:w="207" w:type="dxa"/>
          </w:tcPr>
          <w:p w:rsidR="00791BF4" w:rsidRPr="00742B86" w:rsidRDefault="00791BF4" w:rsidP="009C620B">
            <w:pPr>
              <w:pStyle w:val="Textpoznpodarou1"/>
              <w:jc w:val="both"/>
              <w:rPr>
                <w:lang w:val="en-GB" w:eastAsia="en-US"/>
              </w:rPr>
            </w:pPr>
          </w:p>
        </w:tc>
        <w:tc>
          <w:tcPr>
            <w:tcW w:w="177" w:type="dxa"/>
            <w:vMerge w:val="restart"/>
          </w:tcPr>
          <w:p w:rsidR="00791BF4" w:rsidRPr="00742B86" w:rsidRDefault="00791BF4" w:rsidP="009C620B">
            <w:pPr>
              <w:pStyle w:val="Textpoznpodarou1"/>
              <w:jc w:val="both"/>
              <w:rPr>
                <w:lang w:val="en-GB" w:eastAsia="en-US"/>
              </w:rPr>
            </w:pPr>
          </w:p>
        </w:tc>
        <w:tc>
          <w:tcPr>
            <w:tcW w:w="7610" w:type="dxa"/>
            <w:hideMark/>
          </w:tcPr>
          <w:p w:rsidR="00791BF4" w:rsidRPr="00742B86" w:rsidRDefault="00791BF4" w:rsidP="009C620B">
            <w:pPr>
              <w:spacing w:after="0"/>
              <w:rPr>
                <w:szCs w:val="20"/>
                <w:lang w:val="en-GB" w:eastAsia="en-US"/>
              </w:rPr>
            </w:pPr>
            <w:r w:rsidRPr="00742B86">
              <w:rPr>
                <w:b/>
                <w:szCs w:val="20"/>
                <w:lang w:val="en-GB" w:eastAsia="en-US"/>
              </w:rPr>
              <w:t xml:space="preserve">Chart 10  </w:t>
            </w:r>
            <w:r w:rsidRPr="00742B86">
              <w:rPr>
                <w:b/>
                <w:sz w:val="18"/>
                <w:szCs w:val="18"/>
                <w:lang w:val="en-GB" w:eastAsia="en-US"/>
              </w:rPr>
              <w:t xml:space="preserve">Prices of real estate </w:t>
            </w:r>
            <w:r w:rsidRPr="00742B86">
              <w:rPr>
                <w:sz w:val="18"/>
                <w:szCs w:val="18"/>
                <w:lang w:val="en-GB" w:eastAsia="en-US"/>
              </w:rPr>
              <w:t>(year-on-year change, in %)</w:t>
            </w:r>
          </w:p>
        </w:tc>
      </w:tr>
      <w:tr w:rsidR="00791BF4" w:rsidRPr="00742B86" w:rsidTr="009C620B">
        <w:tblPrEx>
          <w:tblCellMar>
            <w:left w:w="70" w:type="dxa"/>
            <w:right w:w="70" w:type="dxa"/>
          </w:tblCellMar>
        </w:tblPrEx>
        <w:trPr>
          <w:trHeight w:val="170"/>
        </w:trPr>
        <w:tc>
          <w:tcPr>
            <w:tcW w:w="1659" w:type="dxa"/>
            <w:vMerge/>
            <w:vAlign w:val="center"/>
            <w:hideMark/>
          </w:tcPr>
          <w:p w:rsidR="00791BF4" w:rsidRPr="00742B86" w:rsidRDefault="00791BF4" w:rsidP="009C620B">
            <w:pPr>
              <w:spacing w:after="0" w:line="240" w:lineRule="auto"/>
              <w:jc w:val="left"/>
              <w:rPr>
                <w:sz w:val="16"/>
                <w:szCs w:val="16"/>
                <w:lang w:val="en-GB" w:eastAsia="en-US"/>
              </w:rPr>
            </w:pPr>
          </w:p>
        </w:tc>
        <w:tc>
          <w:tcPr>
            <w:tcW w:w="207" w:type="dxa"/>
          </w:tcPr>
          <w:p w:rsidR="00791BF4" w:rsidRPr="00742B86" w:rsidRDefault="00791BF4" w:rsidP="009C620B">
            <w:pPr>
              <w:spacing w:after="0" w:line="240" w:lineRule="auto"/>
              <w:jc w:val="left"/>
              <w:rPr>
                <w:rFonts w:eastAsia="Calibri"/>
                <w:szCs w:val="20"/>
                <w:lang w:val="en-GB" w:eastAsia="en-US"/>
              </w:rPr>
            </w:pPr>
          </w:p>
        </w:tc>
        <w:tc>
          <w:tcPr>
            <w:tcW w:w="177" w:type="dxa"/>
            <w:vMerge/>
            <w:vAlign w:val="center"/>
            <w:hideMark/>
          </w:tcPr>
          <w:p w:rsidR="00791BF4" w:rsidRPr="00742B86" w:rsidRDefault="00791BF4" w:rsidP="009C620B">
            <w:pPr>
              <w:spacing w:after="0" w:line="240" w:lineRule="auto"/>
              <w:jc w:val="left"/>
              <w:rPr>
                <w:rFonts w:eastAsia="Calibri"/>
                <w:szCs w:val="20"/>
                <w:lang w:val="en-GB" w:eastAsia="en-US"/>
              </w:rPr>
            </w:pPr>
          </w:p>
        </w:tc>
        <w:tc>
          <w:tcPr>
            <w:tcW w:w="7610" w:type="dxa"/>
            <w:hideMark/>
          </w:tcPr>
          <w:p w:rsidR="00791BF4" w:rsidRPr="00742B86" w:rsidRDefault="00791BF4" w:rsidP="009C620B">
            <w:pPr>
              <w:spacing w:after="0"/>
              <w:rPr>
                <w:lang w:val="en-GB" w:eastAsia="en-US"/>
              </w:rPr>
            </w:pPr>
            <w:r>
              <w:rPr>
                <w:noProof/>
              </w:rPr>
              <w:drawing>
                <wp:inline distT="0" distB="0" distL="0" distR="0" wp14:anchorId="3236095C" wp14:editId="5E11D813">
                  <wp:extent cx="4734425" cy="3378575"/>
                  <wp:effectExtent l="0" t="0" r="0" b="0"/>
                  <wp:docPr id="32" name="Graf 32">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791BF4" w:rsidRPr="00742B86" w:rsidTr="009C620B">
        <w:trPr>
          <w:trHeight w:val="170"/>
        </w:trPr>
        <w:tc>
          <w:tcPr>
            <w:tcW w:w="0" w:type="auto"/>
            <w:vMerge/>
            <w:vAlign w:val="center"/>
            <w:hideMark/>
          </w:tcPr>
          <w:p w:rsidR="00791BF4" w:rsidRPr="00742B86" w:rsidRDefault="00791BF4" w:rsidP="009C620B">
            <w:pPr>
              <w:spacing w:after="0" w:line="240" w:lineRule="auto"/>
              <w:jc w:val="left"/>
              <w:rPr>
                <w:sz w:val="16"/>
                <w:szCs w:val="16"/>
                <w:lang w:val="en-GB" w:eastAsia="en-US"/>
              </w:rPr>
            </w:pPr>
          </w:p>
        </w:tc>
        <w:tc>
          <w:tcPr>
            <w:tcW w:w="0" w:type="auto"/>
          </w:tcPr>
          <w:p w:rsidR="00791BF4" w:rsidRPr="00742B86" w:rsidRDefault="00791BF4" w:rsidP="009C620B">
            <w:pPr>
              <w:spacing w:after="0" w:line="240" w:lineRule="auto"/>
              <w:jc w:val="left"/>
              <w:rPr>
                <w:rFonts w:eastAsia="Calibri"/>
                <w:szCs w:val="20"/>
                <w:lang w:val="en-GB" w:eastAsia="en-US"/>
              </w:rPr>
            </w:pPr>
          </w:p>
        </w:tc>
        <w:tc>
          <w:tcPr>
            <w:tcW w:w="0" w:type="auto"/>
            <w:vMerge/>
            <w:vAlign w:val="center"/>
            <w:hideMark/>
          </w:tcPr>
          <w:p w:rsidR="00791BF4" w:rsidRPr="00742B86" w:rsidRDefault="00791BF4" w:rsidP="009C620B">
            <w:pPr>
              <w:spacing w:after="0" w:line="240" w:lineRule="auto"/>
              <w:jc w:val="left"/>
              <w:rPr>
                <w:rFonts w:eastAsia="Calibri"/>
                <w:szCs w:val="20"/>
                <w:lang w:val="en-GB" w:eastAsia="en-US"/>
              </w:rPr>
            </w:pPr>
          </w:p>
        </w:tc>
        <w:tc>
          <w:tcPr>
            <w:tcW w:w="7610" w:type="dxa"/>
            <w:hideMark/>
          </w:tcPr>
          <w:p w:rsidR="00791BF4" w:rsidRPr="00742B86" w:rsidRDefault="00791BF4" w:rsidP="009C620B">
            <w:pPr>
              <w:rPr>
                <w:b/>
                <w:bCs/>
                <w:sz w:val="16"/>
                <w:szCs w:val="16"/>
                <w:lang w:val="en-GB" w:eastAsia="en-US"/>
              </w:rPr>
            </w:pPr>
            <w:r w:rsidRPr="00742B86">
              <w:rPr>
                <w:sz w:val="14"/>
                <w:szCs w:val="14"/>
                <w:lang w:val="en-GB" w:eastAsia="en-US"/>
              </w:rPr>
              <w:t>Source: CZSO</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t xml:space="preserve">Growth of prices of flats outside Prague further accelerates.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Year-on-year dynamics of the catalogue </w:t>
            </w:r>
            <w:r>
              <w:rPr>
                <w:lang w:val="en-GB" w:eastAsia="en-US"/>
              </w:rPr>
              <w:t xml:space="preserve">prices of </w:t>
            </w:r>
            <w:r w:rsidRPr="00742B86">
              <w:rPr>
                <w:lang w:val="en-GB" w:eastAsia="en-US"/>
              </w:rPr>
              <w:t xml:space="preserve">flats slowed down after a longer period of time in Q4. Supply prices of flats in the CR rose in total rose by 7.6% year-on-year. At the same time, the pace slowdown only concerned prices of flats in Prague (5.2%), the increase of the supply prices increased to 11.0% in the rest of the Czech Republic. Possible reason is the extra pressure of demand, which shifted into the Prague surroundings, but also the ongoing sharp growth of prices in other large cities, which struggled with slow construction. Also for them, the growth of prices spills into </w:t>
            </w:r>
            <w:r w:rsidRPr="00742B86">
              <w:rPr>
                <w:lang w:val="en-GB" w:eastAsia="en-US"/>
              </w:rPr>
              <w:lastRenderedPageBreak/>
              <w:t xml:space="preserve">the near vicinity. Realised prices of older flats increased by 12.6% year-on-year in Q4, which is the most since Q3 2017. Prices of flats outside Prague were again the main drivers of growth (13.6%), but the addition to realised prices of older flats in Prague also slightly gained pace. The year-on-year growth of the realised prices of new flats in Prague, which attained 9.2% in Q4, was still kept at a high level. </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lastRenderedPageBreak/>
              <w:t xml:space="preserve">Industrial producer prices were also impacted by the year-on-year slump of oil prices.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Year-on-year dynamics of the industrial producer prices was affected by the decrease of prices of oil for the most part of the year. The price level remained nearly the same for the whole year 2020 (0.1%) and the industrial producer prices experienced the same year-on-year development also in Q4. Prices of manufacturing products and services, which form majority of the total index, fell by 1.4% last year. Prices of coke and refined oil products</w:t>
            </w:r>
            <w:r w:rsidRPr="00742B86">
              <w:rPr>
                <w:rStyle w:val="Znakapoznpodarou"/>
                <w:lang w:val="en-GB" w:eastAsia="en-US"/>
              </w:rPr>
              <w:footnoteReference w:id="3"/>
            </w:r>
            <w:r w:rsidRPr="00742B86">
              <w:rPr>
                <w:lang w:val="en-GB" w:eastAsia="en-US"/>
              </w:rPr>
              <w:t xml:space="preserve"> stood behind the majority of this decrease. Last year´s decrease of prices of chemicals and chemical products is also linked to the development of oil prices (</w:t>
            </w:r>
            <w:r>
              <w:rPr>
                <w:lang w:val="en-GB" w:eastAsia="en-US"/>
              </w:rPr>
              <w:noBreakHyphen/>
            </w:r>
            <w:r w:rsidRPr="00742B86">
              <w:rPr>
                <w:lang w:val="en-GB" w:eastAsia="en-US"/>
              </w:rPr>
              <w:t>8.3%). Prices of basic metals and metal products also went down (–1.6%). Furniture and other products of manufacturing worked in the direction of industrial producer price growth (4.5%, mainly repairs, maintenance and installation of machinery and equipment), transport equipment (2.2%) and food products, beverages, and tobacco (2.1%). Prices of manufacturing goods and services fell by 1.2% year-on-year in Q4 itself, again mainly due to the development of prices of coke and refined oil products. Only prices of chemicals and chemical products exerted downward pressure on prices in Q4 (–7.3%). Prices of transport equipment (year-on-year increase by 3.3%) and furniture and other manufacturing products (4.2%) contributed the most to the growth of industrial producer prices.</w:t>
            </w:r>
          </w:p>
        </w:tc>
      </w:tr>
      <w:tr w:rsidR="00791BF4" w:rsidRPr="00742B86" w:rsidTr="009C620B">
        <w:trPr>
          <w:trHeight w:val="170"/>
        </w:trPr>
        <w:tc>
          <w:tcPr>
            <w:tcW w:w="1659" w:type="dxa"/>
            <w:vMerge w:val="restart"/>
          </w:tcPr>
          <w:p w:rsidR="00791BF4" w:rsidRPr="00742B86" w:rsidRDefault="00791BF4" w:rsidP="009C620B">
            <w:pPr>
              <w:pStyle w:val="Marginlie"/>
              <w:rPr>
                <w:spacing w:val="0"/>
                <w:lang w:val="en-GB" w:eastAsia="en-US"/>
              </w:rPr>
            </w:pPr>
          </w:p>
        </w:tc>
        <w:tc>
          <w:tcPr>
            <w:tcW w:w="207" w:type="dxa"/>
          </w:tcPr>
          <w:p w:rsidR="00791BF4" w:rsidRPr="00742B86" w:rsidRDefault="00791BF4" w:rsidP="009C620B">
            <w:pPr>
              <w:pStyle w:val="Textpoznpodarou1"/>
              <w:jc w:val="both"/>
              <w:rPr>
                <w:highlight w:val="yellow"/>
                <w:lang w:val="en-GB" w:eastAsia="en-US"/>
              </w:rPr>
            </w:pPr>
          </w:p>
        </w:tc>
        <w:tc>
          <w:tcPr>
            <w:tcW w:w="177" w:type="dxa"/>
            <w:vMerge w:val="restart"/>
          </w:tcPr>
          <w:p w:rsidR="00791BF4" w:rsidRPr="00742B86" w:rsidRDefault="00791BF4" w:rsidP="009C620B">
            <w:pPr>
              <w:pStyle w:val="Textpoznpodarou1"/>
              <w:jc w:val="both"/>
              <w:rPr>
                <w:highlight w:val="yellow"/>
                <w:lang w:val="en-GB" w:eastAsia="en-US"/>
              </w:rPr>
            </w:pPr>
          </w:p>
        </w:tc>
        <w:tc>
          <w:tcPr>
            <w:tcW w:w="7610" w:type="dxa"/>
            <w:hideMark/>
          </w:tcPr>
          <w:p w:rsidR="00791BF4" w:rsidRPr="00742B86" w:rsidRDefault="00791BF4" w:rsidP="009C620B">
            <w:pPr>
              <w:spacing w:after="0"/>
              <w:rPr>
                <w:b/>
                <w:szCs w:val="20"/>
                <w:lang w:val="en-GB" w:eastAsia="en-US"/>
              </w:rPr>
            </w:pPr>
            <w:r w:rsidRPr="00742B86">
              <w:rPr>
                <w:b/>
                <w:szCs w:val="20"/>
                <w:lang w:val="en-GB" w:eastAsia="en-US"/>
              </w:rPr>
              <w:t xml:space="preserve">Chart 11  Prices of main groups of industrial producers </w:t>
            </w:r>
            <w:r w:rsidRPr="00742B86">
              <w:rPr>
                <w:bCs/>
                <w:szCs w:val="20"/>
                <w:lang w:val="en-GB" w:eastAsia="en-US"/>
              </w:rPr>
              <w:t>(year-on-year change, in %, based on CPA classification)</w:t>
            </w:r>
            <w:r w:rsidRPr="00742B86">
              <w:rPr>
                <w:b/>
                <w:szCs w:val="20"/>
                <w:lang w:val="en-GB" w:eastAsia="en-US"/>
              </w:rPr>
              <w:t xml:space="preserve"> </w:t>
            </w:r>
          </w:p>
        </w:tc>
      </w:tr>
      <w:tr w:rsidR="00791BF4" w:rsidRPr="00742B86" w:rsidTr="009C620B">
        <w:tblPrEx>
          <w:tblCellMar>
            <w:left w:w="70" w:type="dxa"/>
            <w:right w:w="70" w:type="dxa"/>
          </w:tblCellMar>
        </w:tblPrEx>
        <w:trPr>
          <w:trHeight w:val="170"/>
        </w:trPr>
        <w:tc>
          <w:tcPr>
            <w:tcW w:w="1659" w:type="dxa"/>
            <w:vMerge/>
            <w:vAlign w:val="center"/>
            <w:hideMark/>
          </w:tcPr>
          <w:p w:rsidR="00791BF4" w:rsidRPr="00742B86" w:rsidRDefault="00791BF4" w:rsidP="009C620B">
            <w:pPr>
              <w:spacing w:after="0" w:line="240" w:lineRule="auto"/>
              <w:jc w:val="left"/>
              <w:rPr>
                <w:sz w:val="16"/>
                <w:szCs w:val="16"/>
                <w:lang w:val="en-GB" w:eastAsia="en-US"/>
              </w:rPr>
            </w:pPr>
          </w:p>
        </w:tc>
        <w:tc>
          <w:tcPr>
            <w:tcW w:w="207" w:type="dxa"/>
          </w:tcPr>
          <w:p w:rsidR="00791BF4" w:rsidRPr="00742B86" w:rsidRDefault="00791BF4" w:rsidP="009C620B">
            <w:pPr>
              <w:spacing w:after="0" w:line="240" w:lineRule="auto"/>
              <w:jc w:val="left"/>
              <w:rPr>
                <w:rFonts w:eastAsia="Calibri"/>
                <w:szCs w:val="20"/>
                <w:highlight w:val="yellow"/>
                <w:lang w:val="en-GB" w:eastAsia="en-US"/>
              </w:rPr>
            </w:pPr>
          </w:p>
        </w:tc>
        <w:tc>
          <w:tcPr>
            <w:tcW w:w="177" w:type="dxa"/>
            <w:vMerge/>
            <w:vAlign w:val="center"/>
            <w:hideMark/>
          </w:tcPr>
          <w:p w:rsidR="00791BF4" w:rsidRPr="00742B86" w:rsidRDefault="00791BF4" w:rsidP="009C620B">
            <w:pPr>
              <w:spacing w:after="0" w:line="240" w:lineRule="auto"/>
              <w:jc w:val="left"/>
              <w:rPr>
                <w:rFonts w:eastAsia="Calibri"/>
                <w:szCs w:val="20"/>
                <w:highlight w:val="yellow"/>
                <w:lang w:val="en-GB" w:eastAsia="en-US"/>
              </w:rPr>
            </w:pPr>
          </w:p>
        </w:tc>
        <w:tc>
          <w:tcPr>
            <w:tcW w:w="7610" w:type="dxa"/>
            <w:hideMark/>
          </w:tcPr>
          <w:p w:rsidR="00791BF4" w:rsidRPr="00742B86" w:rsidRDefault="00791BF4" w:rsidP="009C620B">
            <w:pPr>
              <w:spacing w:after="0"/>
              <w:rPr>
                <w:lang w:val="en-GB" w:eastAsia="en-US"/>
              </w:rPr>
            </w:pPr>
            <w:r>
              <w:rPr>
                <w:noProof/>
              </w:rPr>
              <w:drawing>
                <wp:inline distT="0" distB="0" distL="0" distR="0" wp14:anchorId="6D9B3FF2" wp14:editId="77F10818">
                  <wp:extent cx="4737600" cy="3378575"/>
                  <wp:effectExtent l="0" t="0" r="6350" b="0"/>
                  <wp:docPr id="35" name="Graf 35">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791BF4" w:rsidRPr="00742B86" w:rsidTr="009C620B">
        <w:trPr>
          <w:trHeight w:val="170"/>
        </w:trPr>
        <w:tc>
          <w:tcPr>
            <w:tcW w:w="0" w:type="auto"/>
            <w:vMerge/>
            <w:vAlign w:val="center"/>
            <w:hideMark/>
          </w:tcPr>
          <w:p w:rsidR="00791BF4" w:rsidRPr="00742B86" w:rsidRDefault="00791BF4" w:rsidP="009C620B">
            <w:pPr>
              <w:spacing w:after="0" w:line="240" w:lineRule="auto"/>
              <w:jc w:val="left"/>
              <w:rPr>
                <w:sz w:val="16"/>
                <w:szCs w:val="16"/>
                <w:lang w:val="en-GB" w:eastAsia="en-US"/>
              </w:rPr>
            </w:pPr>
          </w:p>
        </w:tc>
        <w:tc>
          <w:tcPr>
            <w:tcW w:w="0" w:type="auto"/>
          </w:tcPr>
          <w:p w:rsidR="00791BF4" w:rsidRPr="00742B86" w:rsidRDefault="00791BF4" w:rsidP="009C620B">
            <w:pPr>
              <w:spacing w:after="0" w:line="240" w:lineRule="auto"/>
              <w:jc w:val="left"/>
              <w:rPr>
                <w:rFonts w:eastAsia="Calibri"/>
                <w:szCs w:val="20"/>
                <w:highlight w:val="yellow"/>
                <w:lang w:val="en-GB" w:eastAsia="en-US"/>
              </w:rPr>
            </w:pPr>
          </w:p>
        </w:tc>
        <w:tc>
          <w:tcPr>
            <w:tcW w:w="0" w:type="auto"/>
            <w:vMerge/>
            <w:vAlign w:val="center"/>
            <w:hideMark/>
          </w:tcPr>
          <w:p w:rsidR="00791BF4" w:rsidRPr="00742B86" w:rsidRDefault="00791BF4" w:rsidP="009C620B">
            <w:pPr>
              <w:spacing w:after="0" w:line="240" w:lineRule="auto"/>
              <w:jc w:val="left"/>
              <w:rPr>
                <w:rFonts w:eastAsia="Calibri"/>
                <w:szCs w:val="20"/>
                <w:highlight w:val="yellow"/>
                <w:lang w:val="en-GB" w:eastAsia="en-US"/>
              </w:rPr>
            </w:pPr>
          </w:p>
        </w:tc>
        <w:tc>
          <w:tcPr>
            <w:tcW w:w="7610" w:type="dxa"/>
            <w:hideMark/>
          </w:tcPr>
          <w:p w:rsidR="00791BF4" w:rsidRPr="00742B86" w:rsidRDefault="00791BF4" w:rsidP="009C620B">
            <w:pPr>
              <w:rPr>
                <w:b/>
                <w:bCs/>
                <w:sz w:val="16"/>
                <w:szCs w:val="16"/>
                <w:lang w:val="en-GB" w:eastAsia="en-US"/>
              </w:rPr>
            </w:pPr>
            <w:r w:rsidRPr="00742B86">
              <w:rPr>
                <w:sz w:val="14"/>
                <w:szCs w:val="14"/>
                <w:lang w:val="en-GB" w:eastAsia="en-US"/>
              </w:rPr>
              <w:t>Source: CZSO</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t xml:space="preserve">Prices of mining and quarrying were falling year-on-year.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Prices of mining and quarrying dropped in total by 2.8% in 2020 and were also affected by the decreased prices of oil. Since prices of oil and natural gas extraction plunged deeply (–24.2%), coal mining also recorded notable decrease (–5.0%). On the contrary, prices of other mining and quarrying of mineral resources grew by 4.9% (it mostly </w:t>
            </w:r>
            <w:r w:rsidRPr="00742B86">
              <w:rPr>
                <w:lang w:val="en-GB" w:eastAsia="en-US"/>
              </w:rPr>
              <w:lastRenderedPageBreak/>
              <w:t>concerns building materials). In Q4 itself, the year-on-year decrease of prices of mining and quarrying moderated to 2.0%. Very strong growth of the prices of electricity continued last year (in total by 7.7%), it however slowed slightly down during the year. Still, the year-on-year addition ended marked 6.1% in Q4. Prices of water supply and wastewater management services rose by 6.1%, in that by 6.4% year-on-year in Q4.</w:t>
            </w:r>
          </w:p>
        </w:tc>
      </w:tr>
      <w:tr w:rsidR="00791BF4" w:rsidRPr="00742B86" w:rsidTr="009C620B">
        <w:trPr>
          <w:trHeight w:val="145"/>
        </w:trPr>
        <w:tc>
          <w:tcPr>
            <w:tcW w:w="1659" w:type="dxa"/>
            <w:hideMark/>
          </w:tcPr>
          <w:p w:rsidR="00791BF4" w:rsidRPr="00742B86" w:rsidRDefault="00791BF4" w:rsidP="009C620B">
            <w:pPr>
              <w:pStyle w:val="Marginlie"/>
              <w:rPr>
                <w:spacing w:val="0"/>
                <w:lang w:val="en-GB" w:eastAsia="en-US"/>
              </w:rPr>
            </w:pPr>
            <w:r w:rsidRPr="00742B86">
              <w:rPr>
                <w:spacing w:val="0"/>
                <w:lang w:val="en-GB" w:eastAsia="en-US"/>
              </w:rPr>
              <w:lastRenderedPageBreak/>
              <w:t xml:space="preserve">Industrial producer prices were affected by the slump of oil prices in the whole EU.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Industrial producer prices dropped by 2.4% in the EU last year. The slump of oil prices had the main share, which influenced the prices of mining and quarrying (–8.7%), but also prices in manufacturing (–1.6%). Prices of electricity, gas, steam and air conditioning (–5.9%) were also falling. Industrial producer prices fell in the majority of EU countries last year. Ireland (–7.5%), Lithuania (–6.6%) and Denmark (–4.7%) recorded the largest decrease. Prices grew the most in Malta (1.6%), Slovakia and Hungary (similarly 0.8%). In Q4 itself, the prices of producers in the EU fell by 1.6%.  Effect of the oil prices slump was evaporating only slowly, thus the decrease in the majority of the EU countries lingered on. The largest drop occurred in Lithuania (</w:t>
            </w:r>
            <w:r>
              <w:rPr>
                <w:lang w:val="en-GB" w:eastAsia="en-US"/>
              </w:rPr>
              <w:noBreakHyphen/>
            </w:r>
            <w:r w:rsidRPr="00742B86">
              <w:rPr>
                <w:lang w:val="en-GB" w:eastAsia="en-US"/>
              </w:rPr>
              <w:t>6.7%), Cyprus (–5.9%) and Greece (–5.5%). Prices grew the most in Malta (1.7%), in Hungary (1.5%) and Ireland (1.2%) in Q4.</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t xml:space="preserve">Year-on-year growth of prices of market services mildly weakened last year.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Dynamics of prices of market services slightly weakened last year compared to year 2019, when the marked growth was associated with the pressure on the labour market and the rise of wages. In total, the prices of market services grew by 2.1% in year 2020. Warehousing and support activities for transportation (increase by 5.2%) and services in the area of programming and consultancy (3.6%) contributed the most to the growth of prices. The effect of prices of services in real estate activities was also significant (2.9%). Addition to prices of services in the area of employment, which are to a large extent linked to the wage dynamics, weakened compared to year 2019, but still remained substantial (5.1%). Prices of advertising and market research fell last year for the first time since 2014 </w:t>
            </w:r>
            <w:r>
              <w:rPr>
                <w:lang w:val="en-GB" w:eastAsia="en-US"/>
              </w:rPr>
              <w:t>(–0.</w:t>
            </w:r>
            <w:r w:rsidRPr="00742B86">
              <w:rPr>
                <w:lang w:val="en-GB" w:eastAsia="en-US"/>
              </w:rPr>
              <w:t>3 %) and prices of telecommunication services also registered a mild decrease (–0.1%).</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t>Some services reflected the current economic situation.</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Year-on-year addition to prices of market services was the highest in Q1 (2.5%), following a mild weakening, the growth kept a stable level for the rest of the year (2.1%, 2.0% and 2.0% in Q2 to 4). The structure of growth did not differ much from the numbers for the whole year. In Q4, warehousing and support activities for transportation (year-on-year addition of 4.9%), services in the area of programming and consultancy and related activities (3.6%) and services in the area of real estate (3.3%) contributed the most to the price growth. Current economic situation was likely reflected in the marked acceleration of the growth of prices for services in activities of head offices and management consultancy activities (7.9%) and on the contrary in the slowdown of services in the area of employment (1.3%). Prices of advertising and market research fell by 1.9% year-on-year in Q4.</w:t>
            </w:r>
          </w:p>
        </w:tc>
      </w:tr>
      <w:tr w:rsidR="00791BF4" w:rsidRPr="00742B86" w:rsidTr="009C620B">
        <w:trPr>
          <w:trHeight w:val="145"/>
        </w:trPr>
        <w:tc>
          <w:tcPr>
            <w:tcW w:w="1659" w:type="dxa"/>
            <w:hideMark/>
          </w:tcPr>
          <w:p w:rsidR="00791BF4" w:rsidRPr="00742B86" w:rsidRDefault="00791BF4" w:rsidP="009C620B">
            <w:pPr>
              <w:pStyle w:val="Marginlie"/>
              <w:rPr>
                <w:spacing w:val="0"/>
                <w:lang w:val="en-GB" w:eastAsia="en-US"/>
              </w:rPr>
            </w:pPr>
            <w:r w:rsidRPr="00742B86">
              <w:rPr>
                <w:spacing w:val="0"/>
                <w:lang w:val="en-GB" w:eastAsia="en-US"/>
              </w:rPr>
              <w:t>Prices of agricultural production fell last year. However, the plunge moderated during the year.</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spacing w:val="-2"/>
                <w:lang w:val="en-GB" w:eastAsia="en-US"/>
              </w:rPr>
            </w:pPr>
            <w:r w:rsidRPr="00742B86">
              <w:rPr>
                <w:spacing w:val="-2"/>
                <w:lang w:val="en-GB" w:eastAsia="en-US"/>
              </w:rPr>
              <w:t xml:space="preserve">Prices of agricultural production fell by 3.4% in year 2020. In that prices of plant production dived by 4.0% and prices of animal production by 2.4%. Especially prices of potatoes (–19.8%), vegetables and garden products (–9.7%), cereals (–4.9%), and feed crops (–3.4%) were falling in the plant production. In contrast the prices of fruit climbed up (16.5%). With the animal production, prices of farm animals decreased by 2.1% (to a large extent influenced by high basis of year 2019) and animal products by 2.7% (prices of milk dropped by 3.4%, while the prices of eggs went up by 4.0%). In Q4, prices of agricultural production decreased by 3.2%. Year-on-year downswing of prices of plant production weakened during the year and attained only 0.1% in Q4. Cereals (among them especially wheat), which from significant plunge at the beginning of the year moved into the year-on-year growth of 3.1% in Q4, stood behind it. Prices of industrial crop increased by 3.6% in Q4 and fruit by 9.4%. Towards the end of the year, prices of feed crops </w:t>
            </w:r>
            <w:r w:rsidRPr="00742B86">
              <w:rPr>
                <w:spacing w:val="-2"/>
                <w:lang w:val="en-GB" w:eastAsia="en-US"/>
              </w:rPr>
              <w:lastRenderedPageBreak/>
              <w:t>(</w:t>
            </w:r>
            <w:r>
              <w:rPr>
                <w:spacing w:val="-2"/>
                <w:lang w:val="en-GB" w:eastAsia="en-US"/>
              </w:rPr>
              <w:noBreakHyphen/>
            </w:r>
            <w:r w:rsidRPr="00742B86">
              <w:rPr>
                <w:spacing w:val="-2"/>
                <w:lang w:val="en-GB" w:eastAsia="en-US"/>
              </w:rPr>
              <w:t>9.9%), vegetables and garden products (–7.2%) and potatoes (–25.3%) were falling. Prices of animal production decreased by 8.0% year-on-year in Q4. In that plunge of prices of farm animals reached 13.9%, mainly due to the impact of development of prices of pigs and piglets (–25.0%). Prices of milk decreased by 2.8% year-on-year in Q4 and prices of eggs by 1.5%.</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lastRenderedPageBreak/>
              <w:t>Export prices increased last year. Depreciation of koruna foreign exchange also had a share in it.</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Development of prices of foreign trade was strongly affected by the depreciation in the value of koruna against the euro, which considerably subdued the pressures on the decrease of prices. Export prices thus increased by 1.1% in 2020. Food and live animals (increase 3.5%), beverages and tobacco (5.4%), machinery and transport equipment (2.8%) and industrial consumption goods (2.9%) worked in the direction of increase of prices. Prices of export of mineral fuels and grease (–15.8%) and other materials</w:t>
            </w:r>
            <w:r w:rsidRPr="00742B86">
              <w:rPr>
                <w:rStyle w:val="Znakapoznpodarou"/>
                <w:lang w:val="en-GB" w:eastAsia="en-US"/>
              </w:rPr>
              <w:footnoteReference w:id="4"/>
            </w:r>
            <w:r w:rsidRPr="00742B86">
              <w:rPr>
                <w:lang w:val="en-GB" w:eastAsia="en-US"/>
              </w:rPr>
              <w:t xml:space="preserve"> (–6.4%) markedly slumped, but prices of chemicals (–2.6%) and semi-finished products</w:t>
            </w:r>
            <w:r w:rsidRPr="00742B86">
              <w:rPr>
                <w:rStyle w:val="Znakapoznpodarou"/>
                <w:lang w:val="en-GB"/>
              </w:rPr>
              <w:footnoteReference w:id="5"/>
            </w:r>
            <w:r w:rsidRPr="00742B86">
              <w:rPr>
                <w:lang w:val="en-GB" w:eastAsia="en-US"/>
              </w:rPr>
              <w:t xml:space="preserve"> (–0.5%) also fell. In Q4 itself, the year-on-year growth of prices of export strengthened to 2.5%, especially under the influence of raised addition to prices of food and live animals (4.2%), machinery and transport equipment (3.9%) and industrial consumption goods (2.8%). Prices of other materials (3.6%) as well as semi-finished products (1.4%) transferred from year-on-year decrease into a solid growth. Already strong increase of prices of beverages and tobacco mildly strengthened (5.6%). Prices of mineral fuels remained in deep plunge (–10.2%).</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t xml:space="preserve">Import prices fell last year, mainly due to the impact of prices of mineral fuels.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Prices of import fell by 1.1% in 2020. Because the prices of mineral fuels plunged deeply (–24.6%). Prices of other materials also decreased (–3.5%). Decrease was also registered for chemicals (–2.4%), beverages and tobacco (–1.1%) and semi-finished products (–0.9%). Similarly to the export, the prices of imported food also strongly grew (3.6%), prices of machinery and transport equipment (2.2%) and industrial consumption goods (1.8%) also increased. In Q4, the prices of import lowered by 0.3% year-on-year. Further prices of mineral fuels were also falling (–18.8%) and food and live animals also moved into decrease (–1.3%). On the contrary, after longer period of decreases the price of beverages and tobacco started to grow year-on-year (2.5%). Prices of import of semi-finished products rose by 1.3%, machinery and transport equipment by 1.6% and industrial consumption goods by 2.1%.</w:t>
            </w:r>
          </w:p>
        </w:tc>
      </w:tr>
      <w:tr w:rsidR="00791BF4" w:rsidRPr="00742B86" w:rsidTr="009C620B">
        <w:trPr>
          <w:trHeight w:val="145"/>
        </w:trPr>
        <w:tc>
          <w:tcPr>
            <w:tcW w:w="1659" w:type="dxa"/>
          </w:tcPr>
          <w:p w:rsidR="00791BF4" w:rsidRPr="00742B86" w:rsidRDefault="00791BF4" w:rsidP="009C620B">
            <w:pPr>
              <w:pStyle w:val="Marginlie"/>
              <w:rPr>
                <w:spacing w:val="0"/>
                <w:lang w:val="en-GB" w:eastAsia="en-US"/>
              </w:rPr>
            </w:pPr>
            <w:r w:rsidRPr="00742B86">
              <w:rPr>
                <w:spacing w:val="0"/>
                <w:lang w:val="en-GB" w:eastAsia="en-US"/>
              </w:rPr>
              <w:t xml:space="preserve">Substantial difference between the development of prices of export and import led to positive terms of trade. </w:t>
            </w:r>
          </w:p>
        </w:tc>
        <w:tc>
          <w:tcPr>
            <w:tcW w:w="207" w:type="dxa"/>
          </w:tcPr>
          <w:p w:rsidR="00791BF4" w:rsidRPr="00742B86" w:rsidRDefault="00791BF4" w:rsidP="009C620B">
            <w:pPr>
              <w:pStyle w:val="Textpoznpodarou1"/>
              <w:jc w:val="both"/>
              <w:rPr>
                <w:lang w:val="en-GB" w:eastAsia="en-US"/>
              </w:rPr>
            </w:pPr>
          </w:p>
        </w:tc>
        <w:tc>
          <w:tcPr>
            <w:tcW w:w="177" w:type="dxa"/>
          </w:tcPr>
          <w:p w:rsidR="00791BF4" w:rsidRPr="00742B86" w:rsidRDefault="00791BF4" w:rsidP="009C620B">
            <w:pPr>
              <w:pStyle w:val="Textpoznpodarou1"/>
              <w:jc w:val="both"/>
              <w:rPr>
                <w:lang w:val="en-GB" w:eastAsia="en-US"/>
              </w:rPr>
            </w:pPr>
          </w:p>
        </w:tc>
        <w:tc>
          <w:tcPr>
            <w:tcW w:w="7610" w:type="dxa"/>
          </w:tcPr>
          <w:p w:rsidR="00791BF4" w:rsidRPr="00742B86" w:rsidRDefault="00791BF4" w:rsidP="009C620B">
            <w:pPr>
              <w:rPr>
                <w:lang w:val="en-GB" w:eastAsia="en-US"/>
              </w:rPr>
            </w:pPr>
            <w:r w:rsidRPr="00742B86">
              <w:rPr>
                <w:lang w:val="en-GB" w:eastAsia="en-US"/>
              </w:rPr>
              <w:t xml:space="preserve">Terms of trade of the foreign trade with goods attained 102.2% last year. Terms of trade with mineral fuels (111.7%), beverages and tobacco (106.6%), industrial consumption goods </w:t>
            </w:r>
            <w:r>
              <w:rPr>
                <w:lang w:val="en-GB" w:eastAsia="en-US"/>
              </w:rPr>
              <w:t>(101.1</w:t>
            </w:r>
            <w:r w:rsidRPr="00742B86">
              <w:rPr>
                <w:lang w:val="en-GB" w:eastAsia="en-US"/>
              </w:rPr>
              <w:t>%) were positive. Mildly positive were also terms of trade with machinery and transport equipment (100.6%) and semi-finished products (100.4%). Terms of trade with other materials were negative last year (97.0%) and terms were also mildly negative with chemicals (99.8%) and food (99.9%). In Q4 itself, the terms of trade of the foreign trade reached 102.8%, especially due to the trade with mineral fuels (110.6%), food (105.6%), other materials (103.2%), beverages and tobacco (103.0%) and machinery and transport equipment (102.3%). Terms of trade with chemicals were negative (98.0%).</w:t>
            </w:r>
          </w:p>
        </w:tc>
      </w:tr>
    </w:tbl>
    <w:p w:rsidR="000663F0" w:rsidRPr="00742B86" w:rsidRDefault="000663F0" w:rsidP="00E97F14">
      <w:pPr>
        <w:pStyle w:val="Nadpis11"/>
        <w:spacing w:after="0"/>
        <w:rPr>
          <w:b w:val="0"/>
          <w:sz w:val="2"/>
          <w:szCs w:val="2"/>
          <w:lang w:val="en-GB"/>
        </w:rPr>
      </w:pPr>
      <w:bookmarkStart w:id="5" w:name="_GoBack"/>
      <w:bookmarkEnd w:id="1"/>
      <w:bookmarkEnd w:id="2"/>
      <w:bookmarkEnd w:id="3"/>
      <w:bookmarkEnd w:id="4"/>
      <w:bookmarkEnd w:id="5"/>
    </w:p>
    <w:sectPr w:rsidR="000663F0" w:rsidRPr="00742B86" w:rsidSect="0068336E">
      <w:headerReference w:type="even" r:id="rId12"/>
      <w:headerReference w:type="default" r:id="rId13"/>
      <w:footerReference w:type="even" r:id="rId14"/>
      <w:footerReference w:type="default" r:id="rId15"/>
      <w:pgSz w:w="11906" w:h="16838" w:code="9"/>
      <w:pgMar w:top="1134" w:right="1134" w:bottom="1418" w:left="1134" w:header="680" w:footer="737"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5C8" w:rsidRDefault="003F15C8" w:rsidP="00E71A58">
      <w:r>
        <w:separator/>
      </w:r>
    </w:p>
  </w:endnote>
  <w:endnote w:type="continuationSeparator" w:id="0">
    <w:p w:rsidR="003F15C8" w:rsidRDefault="003F15C8"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C8" w:rsidRPr="00932443" w:rsidRDefault="003F15C8" w:rsidP="00A418BC">
    <w:pPr>
      <w:pStyle w:val="Zpat"/>
      <w:rPr>
        <w:szCs w:val="16"/>
      </w:rPr>
    </w:pPr>
    <w:r>
      <w:rPr>
        <w:szCs w:val="16"/>
        <w:lang w:eastAsia="cs-CZ"/>
      </w:rPr>
      <w:drawing>
        <wp:anchor distT="0" distB="0" distL="114300" distR="114300" simplePos="0" relativeHeight="251667968" behindDoc="0" locked="0" layoutInCell="1" allowOverlap="1" wp14:anchorId="71F0B6E3" wp14:editId="3AA519D4">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68336E">
      <w:rPr>
        <w:szCs w:val="16"/>
      </w:rPr>
      <w:t>22</w:t>
    </w:r>
    <w:r w:rsidRPr="00932443">
      <w:rPr>
        <w:szCs w:val="16"/>
      </w:rPr>
      <w:fldChar w:fldCharType="end"/>
    </w:r>
    <w:r w:rsidRPr="00932443">
      <w:rPr>
        <w:szCs w:val="16"/>
      </w:rPr>
      <w:tab/>
    </w:r>
    <w:r w:rsidRPr="006B1E91">
      <w:rPr>
        <w:szCs w:val="16"/>
        <w:lang w:val="en-GB"/>
      </w:rPr>
      <w:t xml:space="preserve">year </w:t>
    </w:r>
    <w:r>
      <w:rPr>
        <w:szCs w:val="16"/>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C8" w:rsidRPr="00932443" w:rsidRDefault="003F15C8" w:rsidP="00FA6CB6">
    <w:pPr>
      <w:pStyle w:val="Zpat"/>
      <w:rPr>
        <w:szCs w:val="16"/>
      </w:rPr>
    </w:pPr>
    <w:r w:rsidRPr="009743B9">
      <w:rPr>
        <w:lang w:eastAsia="cs-CZ"/>
      </w:rPr>
      <w:drawing>
        <wp:anchor distT="0" distB="0" distL="114300" distR="114300" simplePos="0" relativeHeight="251670016" behindDoc="0" locked="0" layoutInCell="1" allowOverlap="1" wp14:anchorId="191D17F9" wp14:editId="22DEAB6E">
          <wp:simplePos x="0" y="0"/>
          <wp:positionH relativeFrom="margin">
            <wp:align>left</wp:align>
          </wp:positionH>
          <wp:positionV relativeFrom="paragraph">
            <wp:posOffset>-47625</wp:posOffset>
          </wp:positionV>
          <wp:extent cx="690633" cy="204716"/>
          <wp:effectExtent l="0" t="0" r="0" b="5080"/>
          <wp:wrapNone/>
          <wp:docPr id="5"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0633" cy="204716"/>
                  </a:xfrm>
                  <a:prstGeom prst="rect">
                    <a:avLst/>
                  </a:prstGeom>
                  <a:noFill/>
                  <a:ln w="9525">
                    <a:noFill/>
                    <a:miter lim="800000"/>
                    <a:headEnd/>
                    <a:tailEnd/>
                  </a:ln>
                </pic:spPr>
              </pic:pic>
            </a:graphicData>
          </a:graphic>
        </wp:anchor>
      </w:drawing>
    </w:r>
    <w:r w:rsidRPr="00FA6CB6">
      <w:rPr>
        <w:szCs w:val="16"/>
      </w:rPr>
      <w:tab/>
    </w:r>
    <w:r w:rsidRPr="00443A47">
      <w:rPr>
        <w:szCs w:val="16"/>
        <w:lang w:val="en-GB"/>
      </w:rPr>
      <w:t>year</w:t>
    </w:r>
    <w:r>
      <w:rPr>
        <w:szCs w:val="16"/>
      </w:rPr>
      <w:t xml:space="preserve"> 2</w:t>
    </w:r>
    <w:r>
      <w:t>020</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68336E">
      <w:rPr>
        <w:rStyle w:val="ZpatChar"/>
        <w:szCs w:val="16"/>
      </w:rPr>
      <w:t>21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5C8" w:rsidRDefault="003F15C8" w:rsidP="00A21B4D">
      <w:pPr>
        <w:spacing w:after="0"/>
      </w:pPr>
      <w:r>
        <w:separator/>
      </w:r>
    </w:p>
  </w:footnote>
  <w:footnote w:type="continuationSeparator" w:id="0">
    <w:p w:rsidR="003F15C8" w:rsidRDefault="003F15C8" w:rsidP="00E71A58">
      <w:r>
        <w:continuationSeparator/>
      </w:r>
    </w:p>
  </w:footnote>
  <w:footnote w:id="1">
    <w:p w:rsidR="00791BF4" w:rsidRPr="00BE04B0" w:rsidRDefault="00791BF4" w:rsidP="00791BF4">
      <w:pPr>
        <w:pStyle w:val="Textpoznpodarou"/>
        <w:jc w:val="both"/>
        <w:rPr>
          <w:sz w:val="16"/>
          <w:szCs w:val="16"/>
          <w:lang w:val="en-GB"/>
        </w:rPr>
      </w:pPr>
      <w:r w:rsidRPr="007D5764">
        <w:rPr>
          <w:rStyle w:val="Znakapoznpodarou"/>
          <w:sz w:val="16"/>
          <w:szCs w:val="16"/>
        </w:rPr>
        <w:footnoteRef/>
      </w:r>
      <w:r w:rsidRPr="007D5764">
        <w:rPr>
          <w:sz w:val="16"/>
          <w:szCs w:val="16"/>
        </w:rPr>
        <w:t xml:space="preserve"> </w:t>
      </w:r>
      <w:r w:rsidRPr="00BE04B0">
        <w:rPr>
          <w:sz w:val="16"/>
          <w:szCs w:val="16"/>
          <w:lang w:val="en-GB"/>
        </w:rPr>
        <w:t>Reasons for raised prices were more. On one hand the spring suspension of production in the motor vehicle manufacturers resulted in shortage of new vehicles but</w:t>
      </w:r>
      <w:r>
        <w:rPr>
          <w:sz w:val="16"/>
          <w:szCs w:val="16"/>
          <w:lang w:val="en-GB"/>
        </w:rPr>
        <w:t xml:space="preserve"> import of used vehicles was also disrupted. Pricing also reflected the marked depreciation of koruna against euro. Tightening emission requirements are also a factor, which leads to raised prices in the longer term view. </w:t>
      </w:r>
    </w:p>
  </w:footnote>
  <w:footnote w:id="2">
    <w:p w:rsidR="00791BF4" w:rsidRPr="00DA3D0F" w:rsidRDefault="00791BF4" w:rsidP="00791BF4">
      <w:pPr>
        <w:pStyle w:val="Textpoznpodarou"/>
        <w:jc w:val="both"/>
        <w:rPr>
          <w:sz w:val="16"/>
          <w:szCs w:val="16"/>
          <w:lang w:val="sq-AL"/>
        </w:rPr>
      </w:pPr>
      <w:r w:rsidRPr="003E5AB5">
        <w:rPr>
          <w:rStyle w:val="Znakapoznpodarou"/>
          <w:sz w:val="16"/>
          <w:szCs w:val="16"/>
        </w:rPr>
        <w:footnoteRef/>
      </w:r>
      <w:r w:rsidRPr="003E5AB5">
        <w:rPr>
          <w:sz w:val="16"/>
          <w:szCs w:val="16"/>
        </w:rPr>
        <w:t xml:space="preserve"> </w:t>
      </w:r>
      <w:r w:rsidRPr="00DA3D0F">
        <w:rPr>
          <w:sz w:val="16"/>
          <w:szCs w:val="16"/>
          <w:lang w:val="sq-AL"/>
        </w:rPr>
        <w:t xml:space="preserve">According to the harmonised index of consumer prices. The index can methodically as well as numerically differ from published national results. </w:t>
      </w:r>
    </w:p>
  </w:footnote>
  <w:footnote w:id="3">
    <w:p w:rsidR="00791BF4" w:rsidRPr="00486604" w:rsidRDefault="00791BF4" w:rsidP="00791BF4">
      <w:pPr>
        <w:pStyle w:val="Textpoznpodarou"/>
        <w:rPr>
          <w:sz w:val="16"/>
          <w:szCs w:val="16"/>
          <w:lang w:val="en-GB"/>
        </w:rPr>
      </w:pPr>
      <w:r>
        <w:rPr>
          <w:rStyle w:val="Znakapoznpodarou"/>
        </w:rPr>
        <w:footnoteRef/>
      </w:r>
      <w:r>
        <w:rPr>
          <w:sz w:val="16"/>
          <w:szCs w:val="16"/>
        </w:rPr>
        <w:t xml:space="preserve"> </w:t>
      </w:r>
      <w:r w:rsidRPr="00486604">
        <w:rPr>
          <w:sz w:val="16"/>
          <w:szCs w:val="16"/>
          <w:lang w:val="en-GB"/>
        </w:rPr>
        <w:t>Individual data.</w:t>
      </w:r>
    </w:p>
  </w:footnote>
  <w:footnote w:id="4">
    <w:p w:rsidR="00791BF4" w:rsidRPr="00FE6E94" w:rsidRDefault="00791BF4" w:rsidP="00791BF4">
      <w:pPr>
        <w:pStyle w:val="Textpoznpodarou"/>
        <w:jc w:val="both"/>
        <w:rPr>
          <w:sz w:val="16"/>
          <w:szCs w:val="16"/>
          <w:lang w:val="en-GB"/>
        </w:rPr>
      </w:pPr>
      <w:r w:rsidRPr="00547836">
        <w:rPr>
          <w:rStyle w:val="Znakapoznpodarou"/>
          <w:sz w:val="16"/>
          <w:szCs w:val="16"/>
        </w:rPr>
        <w:footnoteRef/>
      </w:r>
      <w:r w:rsidRPr="00547836">
        <w:rPr>
          <w:sz w:val="16"/>
          <w:szCs w:val="16"/>
        </w:rPr>
        <w:t xml:space="preserve"> SITC 2 – </w:t>
      </w:r>
      <w:r w:rsidRPr="00FE6E94">
        <w:rPr>
          <w:sz w:val="16"/>
          <w:szCs w:val="16"/>
          <w:lang w:val="en-GB"/>
        </w:rPr>
        <w:t xml:space="preserve">crude materials, inedible, except fuels </w:t>
      </w:r>
    </w:p>
  </w:footnote>
  <w:footnote w:id="5">
    <w:p w:rsidR="00791BF4" w:rsidRPr="00FE6E94" w:rsidRDefault="00791BF4" w:rsidP="00791BF4">
      <w:pPr>
        <w:pStyle w:val="Textpoznpodarou"/>
        <w:jc w:val="both"/>
        <w:rPr>
          <w:sz w:val="16"/>
          <w:szCs w:val="16"/>
          <w:lang w:val="en-GB"/>
        </w:rPr>
      </w:pPr>
      <w:r w:rsidRPr="00FE6E94">
        <w:rPr>
          <w:rStyle w:val="Znakapoznpodarou"/>
          <w:sz w:val="16"/>
          <w:szCs w:val="16"/>
          <w:lang w:val="en-GB"/>
        </w:rPr>
        <w:footnoteRef/>
      </w:r>
      <w:r w:rsidRPr="00FE6E94">
        <w:rPr>
          <w:sz w:val="16"/>
          <w:szCs w:val="16"/>
          <w:lang w:val="en-GB"/>
        </w:rPr>
        <w:t xml:space="preserve"> SITC 6 – market products classified chiefly by material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C8" w:rsidRPr="006B1E91" w:rsidRDefault="003F15C8" w:rsidP="00937AE2">
    <w:pPr>
      <w:pStyle w:val="Zhlav"/>
      <w:rPr>
        <w:lang w:val="en-GB"/>
      </w:rPr>
    </w:pPr>
    <w:r w:rsidRPr="006B1E91">
      <w:rPr>
        <w:lang w:val="en-GB"/>
      </w:rPr>
      <w:t>The Czech Economy Development</w:t>
    </w:r>
  </w:p>
  <w:p w:rsidR="003F15C8" w:rsidRPr="006F5416" w:rsidRDefault="003F15C8"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C8" w:rsidRPr="00443A47" w:rsidRDefault="003F15C8" w:rsidP="00937AE2">
    <w:pPr>
      <w:pStyle w:val="Zhlav"/>
      <w:rPr>
        <w:lang w:val="en-GB"/>
      </w:rPr>
    </w:pPr>
    <w:r w:rsidRPr="00443A47">
      <w:rPr>
        <w:lang w:val="en-GB"/>
      </w:rPr>
      <w:t>The Czech Economy Development</w:t>
    </w:r>
  </w:p>
  <w:p w:rsidR="003F15C8" w:rsidRPr="006F5416" w:rsidRDefault="003F15C8"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5"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5"/>
  </w:num>
  <w:num w:numId="14">
    <w:abstractNumId w:val="12"/>
  </w:num>
  <w:num w:numId="15">
    <w:abstractNumId w:val="18"/>
  </w:num>
  <w:num w:numId="16">
    <w:abstractNumId w:val="14"/>
  </w:num>
  <w:num w:numId="17">
    <w:abstractNumId w:val="26"/>
  </w:num>
  <w:num w:numId="18">
    <w:abstractNumId w:val="19"/>
  </w:num>
  <w:num w:numId="19">
    <w:abstractNumId w:val="27"/>
  </w:num>
  <w:num w:numId="20">
    <w:abstractNumId w:val="28"/>
  </w:num>
  <w:num w:numId="21">
    <w:abstractNumId w:val="24"/>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GB" w:vendorID="64" w:dllVersion="131078" w:nlCheck="1" w:checkStyle="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3849"/>
    <w:rsid w:val="00003E04"/>
    <w:rsid w:val="00003F5C"/>
    <w:rsid w:val="00004D5A"/>
    <w:rsid w:val="000056D5"/>
    <w:rsid w:val="00005D9E"/>
    <w:rsid w:val="000063D5"/>
    <w:rsid w:val="00006625"/>
    <w:rsid w:val="00006ABD"/>
    <w:rsid w:val="00006B67"/>
    <w:rsid w:val="00006C0B"/>
    <w:rsid w:val="000073A0"/>
    <w:rsid w:val="0000767A"/>
    <w:rsid w:val="00007ABE"/>
    <w:rsid w:val="00010256"/>
    <w:rsid w:val="00010359"/>
    <w:rsid w:val="00010702"/>
    <w:rsid w:val="00010B4A"/>
    <w:rsid w:val="0001128E"/>
    <w:rsid w:val="00011912"/>
    <w:rsid w:val="00011FFF"/>
    <w:rsid w:val="0001248D"/>
    <w:rsid w:val="000129B7"/>
    <w:rsid w:val="0001387D"/>
    <w:rsid w:val="00014ED0"/>
    <w:rsid w:val="00015CDD"/>
    <w:rsid w:val="00016420"/>
    <w:rsid w:val="0001711F"/>
    <w:rsid w:val="000173F0"/>
    <w:rsid w:val="00017B01"/>
    <w:rsid w:val="000205D1"/>
    <w:rsid w:val="00020F22"/>
    <w:rsid w:val="0002195D"/>
    <w:rsid w:val="00021DDB"/>
    <w:rsid w:val="000228AE"/>
    <w:rsid w:val="000233D1"/>
    <w:rsid w:val="000234D6"/>
    <w:rsid w:val="00023D29"/>
    <w:rsid w:val="00024348"/>
    <w:rsid w:val="00026389"/>
    <w:rsid w:val="0002669F"/>
    <w:rsid w:val="000279E5"/>
    <w:rsid w:val="00027C1F"/>
    <w:rsid w:val="000308B6"/>
    <w:rsid w:val="0003090A"/>
    <w:rsid w:val="00031AE0"/>
    <w:rsid w:val="00031BB2"/>
    <w:rsid w:val="00031C4B"/>
    <w:rsid w:val="000322EF"/>
    <w:rsid w:val="00033FCD"/>
    <w:rsid w:val="00034015"/>
    <w:rsid w:val="000348AF"/>
    <w:rsid w:val="00034DF7"/>
    <w:rsid w:val="00034E68"/>
    <w:rsid w:val="000350C8"/>
    <w:rsid w:val="00036195"/>
    <w:rsid w:val="000374B2"/>
    <w:rsid w:val="000376C0"/>
    <w:rsid w:val="000376E9"/>
    <w:rsid w:val="000403A7"/>
    <w:rsid w:val="00040632"/>
    <w:rsid w:val="0004094F"/>
    <w:rsid w:val="000419EF"/>
    <w:rsid w:val="00041AFC"/>
    <w:rsid w:val="00041CEC"/>
    <w:rsid w:val="00041E9E"/>
    <w:rsid w:val="00042596"/>
    <w:rsid w:val="000436C5"/>
    <w:rsid w:val="000438BC"/>
    <w:rsid w:val="00044183"/>
    <w:rsid w:val="0004431D"/>
    <w:rsid w:val="00046559"/>
    <w:rsid w:val="0004694F"/>
    <w:rsid w:val="00046F2F"/>
    <w:rsid w:val="00047AD4"/>
    <w:rsid w:val="00047D54"/>
    <w:rsid w:val="0005054A"/>
    <w:rsid w:val="00050EEC"/>
    <w:rsid w:val="00051506"/>
    <w:rsid w:val="00051AF0"/>
    <w:rsid w:val="000522E4"/>
    <w:rsid w:val="00053625"/>
    <w:rsid w:val="00053713"/>
    <w:rsid w:val="00053F7F"/>
    <w:rsid w:val="0005434E"/>
    <w:rsid w:val="00055CB6"/>
    <w:rsid w:val="00057001"/>
    <w:rsid w:val="000572DD"/>
    <w:rsid w:val="0005746E"/>
    <w:rsid w:val="00057B1E"/>
    <w:rsid w:val="00060022"/>
    <w:rsid w:val="000610E1"/>
    <w:rsid w:val="000611F7"/>
    <w:rsid w:val="000616AD"/>
    <w:rsid w:val="00061C7A"/>
    <w:rsid w:val="000622A6"/>
    <w:rsid w:val="00062EC5"/>
    <w:rsid w:val="00062F22"/>
    <w:rsid w:val="00063975"/>
    <w:rsid w:val="00063CEA"/>
    <w:rsid w:val="0006444D"/>
    <w:rsid w:val="000645FC"/>
    <w:rsid w:val="0006533F"/>
    <w:rsid w:val="00065348"/>
    <w:rsid w:val="0006551C"/>
    <w:rsid w:val="00065A75"/>
    <w:rsid w:val="000663F0"/>
    <w:rsid w:val="00066558"/>
    <w:rsid w:val="00070A87"/>
    <w:rsid w:val="000712B3"/>
    <w:rsid w:val="00071A7C"/>
    <w:rsid w:val="00072FF5"/>
    <w:rsid w:val="00073082"/>
    <w:rsid w:val="00073A5A"/>
    <w:rsid w:val="0007474E"/>
    <w:rsid w:val="00074988"/>
    <w:rsid w:val="00074A70"/>
    <w:rsid w:val="0007512B"/>
    <w:rsid w:val="00075551"/>
    <w:rsid w:val="000767F5"/>
    <w:rsid w:val="00076D90"/>
    <w:rsid w:val="000773DB"/>
    <w:rsid w:val="00077FF0"/>
    <w:rsid w:val="00081427"/>
    <w:rsid w:val="00081A55"/>
    <w:rsid w:val="0008263E"/>
    <w:rsid w:val="00082C19"/>
    <w:rsid w:val="00082F89"/>
    <w:rsid w:val="0008318E"/>
    <w:rsid w:val="000837CD"/>
    <w:rsid w:val="00084BFF"/>
    <w:rsid w:val="00085395"/>
    <w:rsid w:val="000866A5"/>
    <w:rsid w:val="00086896"/>
    <w:rsid w:val="00086AC1"/>
    <w:rsid w:val="00086D19"/>
    <w:rsid w:val="00087634"/>
    <w:rsid w:val="00087F2B"/>
    <w:rsid w:val="00090188"/>
    <w:rsid w:val="000903D2"/>
    <w:rsid w:val="00090694"/>
    <w:rsid w:val="00090EE2"/>
    <w:rsid w:val="00090FC6"/>
    <w:rsid w:val="000913B1"/>
    <w:rsid w:val="0009290F"/>
    <w:rsid w:val="00093241"/>
    <w:rsid w:val="00093868"/>
    <w:rsid w:val="00094A84"/>
    <w:rsid w:val="00095025"/>
    <w:rsid w:val="00095135"/>
    <w:rsid w:val="00095273"/>
    <w:rsid w:val="0009626E"/>
    <w:rsid w:val="00097191"/>
    <w:rsid w:val="000974D1"/>
    <w:rsid w:val="00097784"/>
    <w:rsid w:val="0009799E"/>
    <w:rsid w:val="000A07CB"/>
    <w:rsid w:val="000A0AA7"/>
    <w:rsid w:val="000A0BC0"/>
    <w:rsid w:val="000A1183"/>
    <w:rsid w:val="000A12ED"/>
    <w:rsid w:val="000A1D49"/>
    <w:rsid w:val="000A212B"/>
    <w:rsid w:val="000A242D"/>
    <w:rsid w:val="000A256D"/>
    <w:rsid w:val="000A2E5F"/>
    <w:rsid w:val="000A3A2C"/>
    <w:rsid w:val="000A3D9E"/>
    <w:rsid w:val="000A4A54"/>
    <w:rsid w:val="000A4ED9"/>
    <w:rsid w:val="000A5DB7"/>
    <w:rsid w:val="000A6D94"/>
    <w:rsid w:val="000A7377"/>
    <w:rsid w:val="000A7FF4"/>
    <w:rsid w:val="000B03CC"/>
    <w:rsid w:val="000B0B1D"/>
    <w:rsid w:val="000B1AA3"/>
    <w:rsid w:val="000B2172"/>
    <w:rsid w:val="000B3D33"/>
    <w:rsid w:val="000B4212"/>
    <w:rsid w:val="000B5825"/>
    <w:rsid w:val="000B67B7"/>
    <w:rsid w:val="000B7328"/>
    <w:rsid w:val="000B7BE8"/>
    <w:rsid w:val="000C062B"/>
    <w:rsid w:val="000C0768"/>
    <w:rsid w:val="000C0E35"/>
    <w:rsid w:val="000C0EA8"/>
    <w:rsid w:val="000C13A2"/>
    <w:rsid w:val="000C2144"/>
    <w:rsid w:val="000C21A0"/>
    <w:rsid w:val="000C21E7"/>
    <w:rsid w:val="000C23EC"/>
    <w:rsid w:val="000C242B"/>
    <w:rsid w:val="000C30C3"/>
    <w:rsid w:val="000C3408"/>
    <w:rsid w:val="000C35AB"/>
    <w:rsid w:val="000C3F7B"/>
    <w:rsid w:val="000C4769"/>
    <w:rsid w:val="000C4D56"/>
    <w:rsid w:val="000C5DFA"/>
    <w:rsid w:val="000C6AFD"/>
    <w:rsid w:val="000C6C90"/>
    <w:rsid w:val="000C72B7"/>
    <w:rsid w:val="000D0A26"/>
    <w:rsid w:val="000D151D"/>
    <w:rsid w:val="000D1DDC"/>
    <w:rsid w:val="000D287F"/>
    <w:rsid w:val="000D3058"/>
    <w:rsid w:val="000D310A"/>
    <w:rsid w:val="000D3A1F"/>
    <w:rsid w:val="000D3EF4"/>
    <w:rsid w:val="000D493D"/>
    <w:rsid w:val="000D4DC0"/>
    <w:rsid w:val="000D5637"/>
    <w:rsid w:val="000D6894"/>
    <w:rsid w:val="000D6F4E"/>
    <w:rsid w:val="000D73BB"/>
    <w:rsid w:val="000E0E96"/>
    <w:rsid w:val="000E27AC"/>
    <w:rsid w:val="000E298B"/>
    <w:rsid w:val="000E2C7D"/>
    <w:rsid w:val="000E2DA8"/>
    <w:rsid w:val="000E3450"/>
    <w:rsid w:val="000E3A07"/>
    <w:rsid w:val="000E3E56"/>
    <w:rsid w:val="000E440D"/>
    <w:rsid w:val="000E4AC5"/>
    <w:rsid w:val="000E4E51"/>
    <w:rsid w:val="000E6253"/>
    <w:rsid w:val="000E6E4D"/>
    <w:rsid w:val="000E6FBD"/>
    <w:rsid w:val="000E6FCB"/>
    <w:rsid w:val="000F090B"/>
    <w:rsid w:val="000F0CCB"/>
    <w:rsid w:val="000F110B"/>
    <w:rsid w:val="000F2F24"/>
    <w:rsid w:val="000F3F3B"/>
    <w:rsid w:val="000F47E8"/>
    <w:rsid w:val="000F70E4"/>
    <w:rsid w:val="000F76EA"/>
    <w:rsid w:val="00100A8B"/>
    <w:rsid w:val="00100BC7"/>
    <w:rsid w:val="00100F5C"/>
    <w:rsid w:val="0010197E"/>
    <w:rsid w:val="00101CDA"/>
    <w:rsid w:val="00102037"/>
    <w:rsid w:val="00103DCB"/>
    <w:rsid w:val="00104C4C"/>
    <w:rsid w:val="00105015"/>
    <w:rsid w:val="001055D2"/>
    <w:rsid w:val="001057C2"/>
    <w:rsid w:val="00106EF4"/>
    <w:rsid w:val="0010769A"/>
    <w:rsid w:val="00107E91"/>
    <w:rsid w:val="0011038E"/>
    <w:rsid w:val="001125EF"/>
    <w:rsid w:val="00112CAB"/>
    <w:rsid w:val="00114C33"/>
    <w:rsid w:val="00114C8D"/>
    <w:rsid w:val="00116D3F"/>
    <w:rsid w:val="00117474"/>
    <w:rsid w:val="00117623"/>
    <w:rsid w:val="00117FEA"/>
    <w:rsid w:val="001200CF"/>
    <w:rsid w:val="001208E3"/>
    <w:rsid w:val="00121609"/>
    <w:rsid w:val="0012192F"/>
    <w:rsid w:val="001221BA"/>
    <w:rsid w:val="00122994"/>
    <w:rsid w:val="00123C09"/>
    <w:rsid w:val="00123FFA"/>
    <w:rsid w:val="001245AF"/>
    <w:rsid w:val="00124B46"/>
    <w:rsid w:val="00124F5A"/>
    <w:rsid w:val="001257E0"/>
    <w:rsid w:val="00125D69"/>
    <w:rsid w:val="0012799C"/>
    <w:rsid w:val="00127BC2"/>
    <w:rsid w:val="00127E15"/>
    <w:rsid w:val="00130ADC"/>
    <w:rsid w:val="00130C52"/>
    <w:rsid w:val="00130D9F"/>
    <w:rsid w:val="001326A3"/>
    <w:rsid w:val="00132C4D"/>
    <w:rsid w:val="00133846"/>
    <w:rsid w:val="00133FC1"/>
    <w:rsid w:val="00134659"/>
    <w:rsid w:val="00135015"/>
    <w:rsid w:val="00135698"/>
    <w:rsid w:val="001363D2"/>
    <w:rsid w:val="00136AB9"/>
    <w:rsid w:val="00137167"/>
    <w:rsid w:val="001405FA"/>
    <w:rsid w:val="001409AB"/>
    <w:rsid w:val="00140D1A"/>
    <w:rsid w:val="00141184"/>
    <w:rsid w:val="00141315"/>
    <w:rsid w:val="00141AA0"/>
    <w:rsid w:val="00141DCF"/>
    <w:rsid w:val="001425C3"/>
    <w:rsid w:val="0014262D"/>
    <w:rsid w:val="00142B29"/>
    <w:rsid w:val="001438C8"/>
    <w:rsid w:val="001441A1"/>
    <w:rsid w:val="00144588"/>
    <w:rsid w:val="001447DD"/>
    <w:rsid w:val="00144D63"/>
    <w:rsid w:val="001459BC"/>
    <w:rsid w:val="00147D97"/>
    <w:rsid w:val="001518E5"/>
    <w:rsid w:val="00152954"/>
    <w:rsid w:val="00152F4F"/>
    <w:rsid w:val="0015417D"/>
    <w:rsid w:val="0015435A"/>
    <w:rsid w:val="001544A1"/>
    <w:rsid w:val="001553B8"/>
    <w:rsid w:val="001554C2"/>
    <w:rsid w:val="00155D96"/>
    <w:rsid w:val="0015620F"/>
    <w:rsid w:val="001571C0"/>
    <w:rsid w:val="0015753D"/>
    <w:rsid w:val="00157CC9"/>
    <w:rsid w:val="00157F48"/>
    <w:rsid w:val="0016093A"/>
    <w:rsid w:val="00160C21"/>
    <w:rsid w:val="00160E90"/>
    <w:rsid w:val="001612F4"/>
    <w:rsid w:val="00161553"/>
    <w:rsid w:val="0016256B"/>
    <w:rsid w:val="00162F81"/>
    <w:rsid w:val="00163793"/>
    <w:rsid w:val="00164D4C"/>
    <w:rsid w:val="00165313"/>
    <w:rsid w:val="00167240"/>
    <w:rsid w:val="00167485"/>
    <w:rsid w:val="001679F5"/>
    <w:rsid w:val="00167B92"/>
    <w:rsid w:val="00167CB9"/>
    <w:rsid w:val="00167DD8"/>
    <w:rsid w:val="001700BC"/>
    <w:rsid w:val="001705AD"/>
    <w:rsid w:val="001706D6"/>
    <w:rsid w:val="001714F2"/>
    <w:rsid w:val="00171FEA"/>
    <w:rsid w:val="00173622"/>
    <w:rsid w:val="00175B9F"/>
    <w:rsid w:val="001762F4"/>
    <w:rsid w:val="00177478"/>
    <w:rsid w:val="001808B7"/>
    <w:rsid w:val="00181BBC"/>
    <w:rsid w:val="0018385F"/>
    <w:rsid w:val="00184017"/>
    <w:rsid w:val="001847BB"/>
    <w:rsid w:val="00184B08"/>
    <w:rsid w:val="00185010"/>
    <w:rsid w:val="00185153"/>
    <w:rsid w:val="00185AA7"/>
    <w:rsid w:val="00185C22"/>
    <w:rsid w:val="00186562"/>
    <w:rsid w:val="0018656D"/>
    <w:rsid w:val="00186BA9"/>
    <w:rsid w:val="001870D3"/>
    <w:rsid w:val="001874AB"/>
    <w:rsid w:val="00187D50"/>
    <w:rsid w:val="001917AA"/>
    <w:rsid w:val="0019196C"/>
    <w:rsid w:val="001926A9"/>
    <w:rsid w:val="00192F05"/>
    <w:rsid w:val="001935E7"/>
    <w:rsid w:val="00193A1D"/>
    <w:rsid w:val="00194729"/>
    <w:rsid w:val="0019480C"/>
    <w:rsid w:val="00194850"/>
    <w:rsid w:val="00195234"/>
    <w:rsid w:val="00196016"/>
    <w:rsid w:val="00196117"/>
    <w:rsid w:val="0019691A"/>
    <w:rsid w:val="001971BA"/>
    <w:rsid w:val="001978BE"/>
    <w:rsid w:val="00197A70"/>
    <w:rsid w:val="00197C0F"/>
    <w:rsid w:val="001A0487"/>
    <w:rsid w:val="001A0675"/>
    <w:rsid w:val="001A1F68"/>
    <w:rsid w:val="001A21FA"/>
    <w:rsid w:val="001A4341"/>
    <w:rsid w:val="001A4D52"/>
    <w:rsid w:val="001A4EF0"/>
    <w:rsid w:val="001A50C7"/>
    <w:rsid w:val="001A552F"/>
    <w:rsid w:val="001A70B1"/>
    <w:rsid w:val="001B0738"/>
    <w:rsid w:val="001B2CA9"/>
    <w:rsid w:val="001B3110"/>
    <w:rsid w:val="001B3E38"/>
    <w:rsid w:val="001B40F5"/>
    <w:rsid w:val="001B4729"/>
    <w:rsid w:val="001B4F0E"/>
    <w:rsid w:val="001B5F40"/>
    <w:rsid w:val="001B6310"/>
    <w:rsid w:val="001B6C09"/>
    <w:rsid w:val="001B6E12"/>
    <w:rsid w:val="001B707F"/>
    <w:rsid w:val="001C05CD"/>
    <w:rsid w:val="001C0F17"/>
    <w:rsid w:val="001C1B24"/>
    <w:rsid w:val="001C1B66"/>
    <w:rsid w:val="001C21CA"/>
    <w:rsid w:val="001C31A2"/>
    <w:rsid w:val="001C351D"/>
    <w:rsid w:val="001C4094"/>
    <w:rsid w:val="001C4B8F"/>
    <w:rsid w:val="001C4BB8"/>
    <w:rsid w:val="001C4FD0"/>
    <w:rsid w:val="001C5E46"/>
    <w:rsid w:val="001C6B3B"/>
    <w:rsid w:val="001C7A26"/>
    <w:rsid w:val="001C7E3F"/>
    <w:rsid w:val="001D0EF1"/>
    <w:rsid w:val="001D0F1C"/>
    <w:rsid w:val="001D22C2"/>
    <w:rsid w:val="001D2C99"/>
    <w:rsid w:val="001D3B6C"/>
    <w:rsid w:val="001D452E"/>
    <w:rsid w:val="001D54C1"/>
    <w:rsid w:val="001D556E"/>
    <w:rsid w:val="001D5DF2"/>
    <w:rsid w:val="001D62E0"/>
    <w:rsid w:val="001D68B2"/>
    <w:rsid w:val="001D7EFD"/>
    <w:rsid w:val="001D7F60"/>
    <w:rsid w:val="001E3306"/>
    <w:rsid w:val="001E3E5B"/>
    <w:rsid w:val="001E486E"/>
    <w:rsid w:val="001E504C"/>
    <w:rsid w:val="001E5A17"/>
    <w:rsid w:val="001E7030"/>
    <w:rsid w:val="001E74C5"/>
    <w:rsid w:val="001F05C2"/>
    <w:rsid w:val="001F0928"/>
    <w:rsid w:val="001F101A"/>
    <w:rsid w:val="001F1236"/>
    <w:rsid w:val="001F2F90"/>
    <w:rsid w:val="001F38A3"/>
    <w:rsid w:val="001F4597"/>
    <w:rsid w:val="001F4826"/>
    <w:rsid w:val="001F6ABC"/>
    <w:rsid w:val="001F6CD3"/>
    <w:rsid w:val="001F75DA"/>
    <w:rsid w:val="001F7CE0"/>
    <w:rsid w:val="00200085"/>
    <w:rsid w:val="002002F3"/>
    <w:rsid w:val="00202575"/>
    <w:rsid w:val="00202A83"/>
    <w:rsid w:val="00203332"/>
    <w:rsid w:val="00203CD5"/>
    <w:rsid w:val="00203D8F"/>
    <w:rsid w:val="00203DA4"/>
    <w:rsid w:val="0020491E"/>
    <w:rsid w:val="00204EA6"/>
    <w:rsid w:val="00205186"/>
    <w:rsid w:val="00206390"/>
    <w:rsid w:val="00206516"/>
    <w:rsid w:val="00206B92"/>
    <w:rsid w:val="002071D5"/>
    <w:rsid w:val="002111E5"/>
    <w:rsid w:val="002118B9"/>
    <w:rsid w:val="00213691"/>
    <w:rsid w:val="00213FAF"/>
    <w:rsid w:val="002142C0"/>
    <w:rsid w:val="00215601"/>
    <w:rsid w:val="002171C1"/>
    <w:rsid w:val="00217C5B"/>
    <w:rsid w:val="0022020D"/>
    <w:rsid w:val="00220A43"/>
    <w:rsid w:val="0022139E"/>
    <w:rsid w:val="00221CB5"/>
    <w:rsid w:val="00221ED9"/>
    <w:rsid w:val="00222729"/>
    <w:rsid w:val="00223185"/>
    <w:rsid w:val="002233D6"/>
    <w:rsid w:val="002243CC"/>
    <w:rsid w:val="0022441D"/>
    <w:rsid w:val="0022449A"/>
    <w:rsid w:val="00224574"/>
    <w:rsid w:val="00224A20"/>
    <w:rsid w:val="00224E3F"/>
    <w:rsid w:val="002252E0"/>
    <w:rsid w:val="002255F6"/>
    <w:rsid w:val="00225986"/>
    <w:rsid w:val="00226032"/>
    <w:rsid w:val="002264F7"/>
    <w:rsid w:val="0022738D"/>
    <w:rsid w:val="002275FA"/>
    <w:rsid w:val="00227605"/>
    <w:rsid w:val="00227850"/>
    <w:rsid w:val="00227A53"/>
    <w:rsid w:val="00227BD0"/>
    <w:rsid w:val="00227E2E"/>
    <w:rsid w:val="00227F53"/>
    <w:rsid w:val="00230C6E"/>
    <w:rsid w:val="00230DB5"/>
    <w:rsid w:val="00230E21"/>
    <w:rsid w:val="00231066"/>
    <w:rsid w:val="002316A8"/>
    <w:rsid w:val="00231859"/>
    <w:rsid w:val="002320C9"/>
    <w:rsid w:val="0023288F"/>
    <w:rsid w:val="00233364"/>
    <w:rsid w:val="0023359B"/>
    <w:rsid w:val="00233603"/>
    <w:rsid w:val="00233E81"/>
    <w:rsid w:val="002340EF"/>
    <w:rsid w:val="00234B82"/>
    <w:rsid w:val="00235818"/>
    <w:rsid w:val="00236443"/>
    <w:rsid w:val="0023668D"/>
    <w:rsid w:val="00236700"/>
    <w:rsid w:val="00237C8B"/>
    <w:rsid w:val="00240391"/>
    <w:rsid w:val="00240AF3"/>
    <w:rsid w:val="002418D5"/>
    <w:rsid w:val="00241B06"/>
    <w:rsid w:val="002424DB"/>
    <w:rsid w:val="0024343A"/>
    <w:rsid w:val="002436BA"/>
    <w:rsid w:val="00244276"/>
    <w:rsid w:val="00244652"/>
    <w:rsid w:val="00244A15"/>
    <w:rsid w:val="002452D9"/>
    <w:rsid w:val="00247319"/>
    <w:rsid w:val="00247447"/>
    <w:rsid w:val="0024799E"/>
    <w:rsid w:val="00247E60"/>
    <w:rsid w:val="00251496"/>
    <w:rsid w:val="00251B08"/>
    <w:rsid w:val="00251B0E"/>
    <w:rsid w:val="00251C53"/>
    <w:rsid w:val="00252AB9"/>
    <w:rsid w:val="002532B1"/>
    <w:rsid w:val="00253C0F"/>
    <w:rsid w:val="002558C1"/>
    <w:rsid w:val="00255F4B"/>
    <w:rsid w:val="00256207"/>
    <w:rsid w:val="002575F3"/>
    <w:rsid w:val="00257B79"/>
    <w:rsid w:val="002603E1"/>
    <w:rsid w:val="0026120E"/>
    <w:rsid w:val="00261402"/>
    <w:rsid w:val="00262489"/>
    <w:rsid w:val="00262582"/>
    <w:rsid w:val="0026291D"/>
    <w:rsid w:val="00262CF3"/>
    <w:rsid w:val="002635A1"/>
    <w:rsid w:val="00263A67"/>
    <w:rsid w:val="00264309"/>
    <w:rsid w:val="00264992"/>
    <w:rsid w:val="0026564B"/>
    <w:rsid w:val="00265C83"/>
    <w:rsid w:val="00265E85"/>
    <w:rsid w:val="00267B49"/>
    <w:rsid w:val="00267C51"/>
    <w:rsid w:val="002700D9"/>
    <w:rsid w:val="0027025F"/>
    <w:rsid w:val="002709CC"/>
    <w:rsid w:val="00270D25"/>
    <w:rsid w:val="00271022"/>
    <w:rsid w:val="00271465"/>
    <w:rsid w:val="00271E47"/>
    <w:rsid w:val="002721F5"/>
    <w:rsid w:val="00272DF4"/>
    <w:rsid w:val="00275062"/>
    <w:rsid w:val="00275758"/>
    <w:rsid w:val="0027583D"/>
    <w:rsid w:val="00275DEF"/>
    <w:rsid w:val="002763A2"/>
    <w:rsid w:val="002764E4"/>
    <w:rsid w:val="00276B33"/>
    <w:rsid w:val="00280D36"/>
    <w:rsid w:val="002812E3"/>
    <w:rsid w:val="00282755"/>
    <w:rsid w:val="00282A27"/>
    <w:rsid w:val="00282AAE"/>
    <w:rsid w:val="00282AD4"/>
    <w:rsid w:val="00283276"/>
    <w:rsid w:val="0028341F"/>
    <w:rsid w:val="002837AE"/>
    <w:rsid w:val="00283C13"/>
    <w:rsid w:val="00283F7B"/>
    <w:rsid w:val="0028431A"/>
    <w:rsid w:val="002853FA"/>
    <w:rsid w:val="00285412"/>
    <w:rsid w:val="00285604"/>
    <w:rsid w:val="00286220"/>
    <w:rsid w:val="00291640"/>
    <w:rsid w:val="002916BD"/>
    <w:rsid w:val="0029237E"/>
    <w:rsid w:val="00292997"/>
    <w:rsid w:val="00293D24"/>
    <w:rsid w:val="0029509B"/>
    <w:rsid w:val="0029588F"/>
    <w:rsid w:val="00295BAE"/>
    <w:rsid w:val="00295E96"/>
    <w:rsid w:val="002967F9"/>
    <w:rsid w:val="00297256"/>
    <w:rsid w:val="00297A5C"/>
    <w:rsid w:val="00297D51"/>
    <w:rsid w:val="002A0122"/>
    <w:rsid w:val="002A016B"/>
    <w:rsid w:val="002A0C95"/>
    <w:rsid w:val="002A16D4"/>
    <w:rsid w:val="002A17E2"/>
    <w:rsid w:val="002A1C17"/>
    <w:rsid w:val="002A1E4F"/>
    <w:rsid w:val="002A230C"/>
    <w:rsid w:val="002A24F6"/>
    <w:rsid w:val="002A2AF7"/>
    <w:rsid w:val="002A3209"/>
    <w:rsid w:val="002A3EA2"/>
    <w:rsid w:val="002A51AC"/>
    <w:rsid w:val="002A532A"/>
    <w:rsid w:val="002A5846"/>
    <w:rsid w:val="002A5D97"/>
    <w:rsid w:val="002A603E"/>
    <w:rsid w:val="002A63B9"/>
    <w:rsid w:val="002A7089"/>
    <w:rsid w:val="002B0C9F"/>
    <w:rsid w:val="002B1619"/>
    <w:rsid w:val="002B2CDE"/>
    <w:rsid w:val="002B3A7F"/>
    <w:rsid w:val="002B3EF4"/>
    <w:rsid w:val="002B4194"/>
    <w:rsid w:val="002B4845"/>
    <w:rsid w:val="002B5567"/>
    <w:rsid w:val="002B5812"/>
    <w:rsid w:val="002B72AA"/>
    <w:rsid w:val="002C1110"/>
    <w:rsid w:val="002C1BC2"/>
    <w:rsid w:val="002C1F09"/>
    <w:rsid w:val="002C22A4"/>
    <w:rsid w:val="002C260B"/>
    <w:rsid w:val="002C27A6"/>
    <w:rsid w:val="002C2832"/>
    <w:rsid w:val="002C31E4"/>
    <w:rsid w:val="002C398D"/>
    <w:rsid w:val="002C40D2"/>
    <w:rsid w:val="002C43BD"/>
    <w:rsid w:val="002C5245"/>
    <w:rsid w:val="002C564A"/>
    <w:rsid w:val="002C59D8"/>
    <w:rsid w:val="002C5FEB"/>
    <w:rsid w:val="002C6494"/>
    <w:rsid w:val="002D033B"/>
    <w:rsid w:val="002D05CB"/>
    <w:rsid w:val="002D0E59"/>
    <w:rsid w:val="002D2292"/>
    <w:rsid w:val="002D2C4F"/>
    <w:rsid w:val="002D3EBB"/>
    <w:rsid w:val="002D428D"/>
    <w:rsid w:val="002D455C"/>
    <w:rsid w:val="002D6066"/>
    <w:rsid w:val="002E02A1"/>
    <w:rsid w:val="002E0A27"/>
    <w:rsid w:val="002E192A"/>
    <w:rsid w:val="002E196A"/>
    <w:rsid w:val="002E20C7"/>
    <w:rsid w:val="002E20CD"/>
    <w:rsid w:val="002E222E"/>
    <w:rsid w:val="002E28D8"/>
    <w:rsid w:val="002E37D1"/>
    <w:rsid w:val="002E3817"/>
    <w:rsid w:val="002E3BEE"/>
    <w:rsid w:val="002E4E4C"/>
    <w:rsid w:val="002E4EA7"/>
    <w:rsid w:val="002E5846"/>
    <w:rsid w:val="002E6CE9"/>
    <w:rsid w:val="002E6E1C"/>
    <w:rsid w:val="002E792B"/>
    <w:rsid w:val="002E7AEB"/>
    <w:rsid w:val="002F1B09"/>
    <w:rsid w:val="002F1D56"/>
    <w:rsid w:val="002F1DCB"/>
    <w:rsid w:val="002F1DE4"/>
    <w:rsid w:val="002F333D"/>
    <w:rsid w:val="002F351A"/>
    <w:rsid w:val="002F46D6"/>
    <w:rsid w:val="002F498A"/>
    <w:rsid w:val="002F4AD8"/>
    <w:rsid w:val="002F5146"/>
    <w:rsid w:val="002F5285"/>
    <w:rsid w:val="002F5820"/>
    <w:rsid w:val="002F64BB"/>
    <w:rsid w:val="00300C31"/>
    <w:rsid w:val="003017EC"/>
    <w:rsid w:val="00302165"/>
    <w:rsid w:val="00303B89"/>
    <w:rsid w:val="00304771"/>
    <w:rsid w:val="003052D4"/>
    <w:rsid w:val="003060E9"/>
    <w:rsid w:val="00306C5B"/>
    <w:rsid w:val="00307529"/>
    <w:rsid w:val="00307DB3"/>
    <w:rsid w:val="00307ED2"/>
    <w:rsid w:val="0031076D"/>
    <w:rsid w:val="0031169A"/>
    <w:rsid w:val="00311AA6"/>
    <w:rsid w:val="00311C4D"/>
    <w:rsid w:val="003121AB"/>
    <w:rsid w:val="003129C5"/>
    <w:rsid w:val="00312EF6"/>
    <w:rsid w:val="00314068"/>
    <w:rsid w:val="00315169"/>
    <w:rsid w:val="003153C8"/>
    <w:rsid w:val="00315524"/>
    <w:rsid w:val="00315561"/>
    <w:rsid w:val="00317263"/>
    <w:rsid w:val="0031738D"/>
    <w:rsid w:val="0032058C"/>
    <w:rsid w:val="003208D0"/>
    <w:rsid w:val="003209D6"/>
    <w:rsid w:val="003217B9"/>
    <w:rsid w:val="003217C7"/>
    <w:rsid w:val="00321924"/>
    <w:rsid w:val="00321EB6"/>
    <w:rsid w:val="003220A5"/>
    <w:rsid w:val="003238E0"/>
    <w:rsid w:val="00323A1C"/>
    <w:rsid w:val="00324B59"/>
    <w:rsid w:val="00324C52"/>
    <w:rsid w:val="0032656E"/>
    <w:rsid w:val="0032788F"/>
    <w:rsid w:val="003302F3"/>
    <w:rsid w:val="00332190"/>
    <w:rsid w:val="00332485"/>
    <w:rsid w:val="00332A98"/>
    <w:rsid w:val="003334BD"/>
    <w:rsid w:val="00333973"/>
    <w:rsid w:val="00333CD0"/>
    <w:rsid w:val="0033448D"/>
    <w:rsid w:val="00334AD2"/>
    <w:rsid w:val="00334CB6"/>
    <w:rsid w:val="00336F32"/>
    <w:rsid w:val="0033709C"/>
    <w:rsid w:val="003370C5"/>
    <w:rsid w:val="003373C6"/>
    <w:rsid w:val="00337649"/>
    <w:rsid w:val="00340619"/>
    <w:rsid w:val="00340BF3"/>
    <w:rsid w:val="00341D26"/>
    <w:rsid w:val="00341F05"/>
    <w:rsid w:val="0034335E"/>
    <w:rsid w:val="00343BB6"/>
    <w:rsid w:val="00344668"/>
    <w:rsid w:val="003446C5"/>
    <w:rsid w:val="00344940"/>
    <w:rsid w:val="00345B78"/>
    <w:rsid w:val="00346234"/>
    <w:rsid w:val="003462D9"/>
    <w:rsid w:val="00346E45"/>
    <w:rsid w:val="0034723F"/>
    <w:rsid w:val="00347247"/>
    <w:rsid w:val="003474B6"/>
    <w:rsid w:val="00347DD4"/>
    <w:rsid w:val="00347F6F"/>
    <w:rsid w:val="00351AFA"/>
    <w:rsid w:val="00352356"/>
    <w:rsid w:val="00352B43"/>
    <w:rsid w:val="00352C28"/>
    <w:rsid w:val="00356BD9"/>
    <w:rsid w:val="00356DB3"/>
    <w:rsid w:val="00360645"/>
    <w:rsid w:val="0036077F"/>
    <w:rsid w:val="00360C86"/>
    <w:rsid w:val="00360F7A"/>
    <w:rsid w:val="00360FBC"/>
    <w:rsid w:val="00361537"/>
    <w:rsid w:val="00361FB7"/>
    <w:rsid w:val="0036242A"/>
    <w:rsid w:val="00362C23"/>
    <w:rsid w:val="00362DCA"/>
    <w:rsid w:val="00362E90"/>
    <w:rsid w:val="00364FA0"/>
    <w:rsid w:val="003657F3"/>
    <w:rsid w:val="00365844"/>
    <w:rsid w:val="00367F84"/>
    <w:rsid w:val="00370CFF"/>
    <w:rsid w:val="003712BC"/>
    <w:rsid w:val="00372164"/>
    <w:rsid w:val="003738BD"/>
    <w:rsid w:val="00374263"/>
    <w:rsid w:val="003746F0"/>
    <w:rsid w:val="0037473E"/>
    <w:rsid w:val="00374A20"/>
    <w:rsid w:val="00374E21"/>
    <w:rsid w:val="0037537A"/>
    <w:rsid w:val="00377B2E"/>
    <w:rsid w:val="003810F0"/>
    <w:rsid w:val="003815D4"/>
    <w:rsid w:val="003818DC"/>
    <w:rsid w:val="00382513"/>
    <w:rsid w:val="00383388"/>
    <w:rsid w:val="003834F8"/>
    <w:rsid w:val="003838D0"/>
    <w:rsid w:val="003840C2"/>
    <w:rsid w:val="00384327"/>
    <w:rsid w:val="00384A89"/>
    <w:rsid w:val="00385025"/>
    <w:rsid w:val="00385086"/>
    <w:rsid w:val="00385D98"/>
    <w:rsid w:val="00387963"/>
    <w:rsid w:val="00390306"/>
    <w:rsid w:val="003908A6"/>
    <w:rsid w:val="0039109D"/>
    <w:rsid w:val="00391989"/>
    <w:rsid w:val="00391A6C"/>
    <w:rsid w:val="003927F6"/>
    <w:rsid w:val="00394139"/>
    <w:rsid w:val="00396128"/>
    <w:rsid w:val="00396739"/>
    <w:rsid w:val="00396F82"/>
    <w:rsid w:val="003978B1"/>
    <w:rsid w:val="003A00E3"/>
    <w:rsid w:val="003A04F6"/>
    <w:rsid w:val="003A0837"/>
    <w:rsid w:val="003A2B4D"/>
    <w:rsid w:val="003A2D12"/>
    <w:rsid w:val="003A2EBA"/>
    <w:rsid w:val="003A3741"/>
    <w:rsid w:val="003A390C"/>
    <w:rsid w:val="003A4098"/>
    <w:rsid w:val="003A45E3"/>
    <w:rsid w:val="003A478C"/>
    <w:rsid w:val="003A4A38"/>
    <w:rsid w:val="003A4B03"/>
    <w:rsid w:val="003A5525"/>
    <w:rsid w:val="003A5889"/>
    <w:rsid w:val="003A6B38"/>
    <w:rsid w:val="003A6B83"/>
    <w:rsid w:val="003A6C97"/>
    <w:rsid w:val="003A722F"/>
    <w:rsid w:val="003A7373"/>
    <w:rsid w:val="003A7D09"/>
    <w:rsid w:val="003B0231"/>
    <w:rsid w:val="003B039F"/>
    <w:rsid w:val="003B04DB"/>
    <w:rsid w:val="003B0DF4"/>
    <w:rsid w:val="003B0ECE"/>
    <w:rsid w:val="003B1F9D"/>
    <w:rsid w:val="003B2718"/>
    <w:rsid w:val="003B2A8D"/>
    <w:rsid w:val="003B2AD1"/>
    <w:rsid w:val="003B2C12"/>
    <w:rsid w:val="003B2D2E"/>
    <w:rsid w:val="003B461F"/>
    <w:rsid w:val="003B483F"/>
    <w:rsid w:val="003B4998"/>
    <w:rsid w:val="003B5A32"/>
    <w:rsid w:val="003B5B59"/>
    <w:rsid w:val="003B7B50"/>
    <w:rsid w:val="003C0B07"/>
    <w:rsid w:val="003C0F1A"/>
    <w:rsid w:val="003C1263"/>
    <w:rsid w:val="003C2B05"/>
    <w:rsid w:val="003C2CE7"/>
    <w:rsid w:val="003C3490"/>
    <w:rsid w:val="003C3608"/>
    <w:rsid w:val="003C3A1D"/>
    <w:rsid w:val="003C3AE8"/>
    <w:rsid w:val="003C3D2C"/>
    <w:rsid w:val="003C4E13"/>
    <w:rsid w:val="003C6221"/>
    <w:rsid w:val="003C63D7"/>
    <w:rsid w:val="003C68CC"/>
    <w:rsid w:val="003C7E62"/>
    <w:rsid w:val="003D12B9"/>
    <w:rsid w:val="003D1E7A"/>
    <w:rsid w:val="003D242B"/>
    <w:rsid w:val="003D2492"/>
    <w:rsid w:val="003D29AA"/>
    <w:rsid w:val="003D2A99"/>
    <w:rsid w:val="003D3245"/>
    <w:rsid w:val="003D5A90"/>
    <w:rsid w:val="003D6920"/>
    <w:rsid w:val="003E0249"/>
    <w:rsid w:val="003E08A4"/>
    <w:rsid w:val="003E1AA3"/>
    <w:rsid w:val="003E1EF8"/>
    <w:rsid w:val="003E2DFB"/>
    <w:rsid w:val="003E4466"/>
    <w:rsid w:val="003E4C91"/>
    <w:rsid w:val="003E52D8"/>
    <w:rsid w:val="003E62F1"/>
    <w:rsid w:val="003E7971"/>
    <w:rsid w:val="003F04FF"/>
    <w:rsid w:val="003F08E2"/>
    <w:rsid w:val="003F15C8"/>
    <w:rsid w:val="003F313C"/>
    <w:rsid w:val="003F33B9"/>
    <w:rsid w:val="003F37FC"/>
    <w:rsid w:val="003F4318"/>
    <w:rsid w:val="003F4B2C"/>
    <w:rsid w:val="003F551C"/>
    <w:rsid w:val="003F55CF"/>
    <w:rsid w:val="003F5A24"/>
    <w:rsid w:val="003F626D"/>
    <w:rsid w:val="003F72ED"/>
    <w:rsid w:val="003F7D23"/>
    <w:rsid w:val="00400050"/>
    <w:rsid w:val="004002C8"/>
    <w:rsid w:val="00400468"/>
    <w:rsid w:val="0040099D"/>
    <w:rsid w:val="004016CB"/>
    <w:rsid w:val="00401B23"/>
    <w:rsid w:val="00402ADB"/>
    <w:rsid w:val="00403171"/>
    <w:rsid w:val="0040368D"/>
    <w:rsid w:val="00403A86"/>
    <w:rsid w:val="00403D1D"/>
    <w:rsid w:val="00403F57"/>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3ECB"/>
    <w:rsid w:val="004149AC"/>
    <w:rsid w:val="0041501E"/>
    <w:rsid w:val="00415072"/>
    <w:rsid w:val="00415452"/>
    <w:rsid w:val="004159C3"/>
    <w:rsid w:val="00415A57"/>
    <w:rsid w:val="00416968"/>
    <w:rsid w:val="00416DAC"/>
    <w:rsid w:val="00420880"/>
    <w:rsid w:val="00421179"/>
    <w:rsid w:val="00423623"/>
    <w:rsid w:val="0042612F"/>
    <w:rsid w:val="00430C96"/>
    <w:rsid w:val="0043174F"/>
    <w:rsid w:val="00431BFF"/>
    <w:rsid w:val="00432199"/>
    <w:rsid w:val="00432A58"/>
    <w:rsid w:val="004331C3"/>
    <w:rsid w:val="00433C17"/>
    <w:rsid w:val="00434617"/>
    <w:rsid w:val="00435051"/>
    <w:rsid w:val="00435C69"/>
    <w:rsid w:val="004360FB"/>
    <w:rsid w:val="00436EC4"/>
    <w:rsid w:val="00437AC6"/>
    <w:rsid w:val="00437CED"/>
    <w:rsid w:val="004407BF"/>
    <w:rsid w:val="00440900"/>
    <w:rsid w:val="00440ECB"/>
    <w:rsid w:val="0044121D"/>
    <w:rsid w:val="00441BF6"/>
    <w:rsid w:val="00441D2B"/>
    <w:rsid w:val="00441F8B"/>
    <w:rsid w:val="00442085"/>
    <w:rsid w:val="0044279E"/>
    <w:rsid w:val="00442D8F"/>
    <w:rsid w:val="004439AF"/>
    <w:rsid w:val="00443A47"/>
    <w:rsid w:val="004441A0"/>
    <w:rsid w:val="0044506B"/>
    <w:rsid w:val="00445861"/>
    <w:rsid w:val="00445A8E"/>
    <w:rsid w:val="00446D44"/>
    <w:rsid w:val="0045078A"/>
    <w:rsid w:val="0045086D"/>
    <w:rsid w:val="00450DAB"/>
    <w:rsid w:val="0045125B"/>
    <w:rsid w:val="00451EF1"/>
    <w:rsid w:val="00452E60"/>
    <w:rsid w:val="0045321B"/>
    <w:rsid w:val="00456FE5"/>
    <w:rsid w:val="00457490"/>
    <w:rsid w:val="00457953"/>
    <w:rsid w:val="004601CB"/>
    <w:rsid w:val="004604D8"/>
    <w:rsid w:val="00460656"/>
    <w:rsid w:val="00460C42"/>
    <w:rsid w:val="00460FB3"/>
    <w:rsid w:val="00463D3C"/>
    <w:rsid w:val="00464851"/>
    <w:rsid w:val="00464ADA"/>
    <w:rsid w:val="00465B69"/>
    <w:rsid w:val="00466595"/>
    <w:rsid w:val="0046746A"/>
    <w:rsid w:val="00467B14"/>
    <w:rsid w:val="004707FE"/>
    <w:rsid w:val="00470EDC"/>
    <w:rsid w:val="004712D8"/>
    <w:rsid w:val="0047276D"/>
    <w:rsid w:val="00472AF6"/>
    <w:rsid w:val="0047312E"/>
    <w:rsid w:val="00473482"/>
    <w:rsid w:val="00474A04"/>
    <w:rsid w:val="00476240"/>
    <w:rsid w:val="00476439"/>
    <w:rsid w:val="00476450"/>
    <w:rsid w:val="00476990"/>
    <w:rsid w:val="004769E1"/>
    <w:rsid w:val="0047735C"/>
    <w:rsid w:val="004776BC"/>
    <w:rsid w:val="00477820"/>
    <w:rsid w:val="00477B96"/>
    <w:rsid w:val="00480906"/>
    <w:rsid w:val="00480BAE"/>
    <w:rsid w:val="0048139F"/>
    <w:rsid w:val="00481E40"/>
    <w:rsid w:val="00482405"/>
    <w:rsid w:val="004826A7"/>
    <w:rsid w:val="0048368C"/>
    <w:rsid w:val="0048372F"/>
    <w:rsid w:val="00484ECE"/>
    <w:rsid w:val="00485E82"/>
    <w:rsid w:val="00486132"/>
    <w:rsid w:val="00486604"/>
    <w:rsid w:val="0048686D"/>
    <w:rsid w:val="00486A4D"/>
    <w:rsid w:val="0049026F"/>
    <w:rsid w:val="0049030E"/>
    <w:rsid w:val="004915CB"/>
    <w:rsid w:val="004924DC"/>
    <w:rsid w:val="00492879"/>
    <w:rsid w:val="00493E85"/>
    <w:rsid w:val="00495145"/>
    <w:rsid w:val="00495273"/>
    <w:rsid w:val="00495B0D"/>
    <w:rsid w:val="004979A5"/>
    <w:rsid w:val="004A0144"/>
    <w:rsid w:val="004A036E"/>
    <w:rsid w:val="004A0498"/>
    <w:rsid w:val="004A0D0E"/>
    <w:rsid w:val="004A14E4"/>
    <w:rsid w:val="004A204E"/>
    <w:rsid w:val="004A26A5"/>
    <w:rsid w:val="004A27F0"/>
    <w:rsid w:val="004A3212"/>
    <w:rsid w:val="004A37CD"/>
    <w:rsid w:val="004A40D9"/>
    <w:rsid w:val="004A49A5"/>
    <w:rsid w:val="004A4F8A"/>
    <w:rsid w:val="004A5494"/>
    <w:rsid w:val="004A5D4E"/>
    <w:rsid w:val="004A61C5"/>
    <w:rsid w:val="004A62A0"/>
    <w:rsid w:val="004A77DF"/>
    <w:rsid w:val="004B0B43"/>
    <w:rsid w:val="004B1417"/>
    <w:rsid w:val="004B305C"/>
    <w:rsid w:val="004B31B8"/>
    <w:rsid w:val="004B339A"/>
    <w:rsid w:val="004B4C83"/>
    <w:rsid w:val="004B55B7"/>
    <w:rsid w:val="004B5BFA"/>
    <w:rsid w:val="004B6468"/>
    <w:rsid w:val="004B6926"/>
    <w:rsid w:val="004B6EF8"/>
    <w:rsid w:val="004B7125"/>
    <w:rsid w:val="004B756A"/>
    <w:rsid w:val="004B7FB1"/>
    <w:rsid w:val="004C0B3F"/>
    <w:rsid w:val="004C0BC9"/>
    <w:rsid w:val="004C2794"/>
    <w:rsid w:val="004C2BB6"/>
    <w:rsid w:val="004C2C2D"/>
    <w:rsid w:val="004C3027"/>
    <w:rsid w:val="004C384C"/>
    <w:rsid w:val="004C3867"/>
    <w:rsid w:val="004C3B1F"/>
    <w:rsid w:val="004C3DB0"/>
    <w:rsid w:val="004C439A"/>
    <w:rsid w:val="004C4720"/>
    <w:rsid w:val="004C4CD0"/>
    <w:rsid w:val="004C5060"/>
    <w:rsid w:val="004C5165"/>
    <w:rsid w:val="004C589C"/>
    <w:rsid w:val="004C5AE8"/>
    <w:rsid w:val="004C6E0E"/>
    <w:rsid w:val="004C70DC"/>
    <w:rsid w:val="004C7ED1"/>
    <w:rsid w:val="004D0211"/>
    <w:rsid w:val="004D0794"/>
    <w:rsid w:val="004D0EDF"/>
    <w:rsid w:val="004D2E03"/>
    <w:rsid w:val="004D3296"/>
    <w:rsid w:val="004D3D9D"/>
    <w:rsid w:val="004D4056"/>
    <w:rsid w:val="004D4CB0"/>
    <w:rsid w:val="004D5B0F"/>
    <w:rsid w:val="004D6FBA"/>
    <w:rsid w:val="004D7626"/>
    <w:rsid w:val="004D762D"/>
    <w:rsid w:val="004E0318"/>
    <w:rsid w:val="004E186A"/>
    <w:rsid w:val="004E1A40"/>
    <w:rsid w:val="004E200A"/>
    <w:rsid w:val="004E23FC"/>
    <w:rsid w:val="004E2409"/>
    <w:rsid w:val="004E261D"/>
    <w:rsid w:val="004E4CBB"/>
    <w:rsid w:val="004E57BF"/>
    <w:rsid w:val="004E5F41"/>
    <w:rsid w:val="004E6011"/>
    <w:rsid w:val="004E6DE6"/>
    <w:rsid w:val="004E765E"/>
    <w:rsid w:val="004E7815"/>
    <w:rsid w:val="004F0180"/>
    <w:rsid w:val="004F06F5"/>
    <w:rsid w:val="004F12A4"/>
    <w:rsid w:val="004F253F"/>
    <w:rsid w:val="004F33A0"/>
    <w:rsid w:val="004F3698"/>
    <w:rsid w:val="004F3873"/>
    <w:rsid w:val="004F3BD2"/>
    <w:rsid w:val="004F4616"/>
    <w:rsid w:val="004F46ED"/>
    <w:rsid w:val="004F4C99"/>
    <w:rsid w:val="004F5358"/>
    <w:rsid w:val="004F5D02"/>
    <w:rsid w:val="004F63BE"/>
    <w:rsid w:val="004F6484"/>
    <w:rsid w:val="004F6539"/>
    <w:rsid w:val="005001BE"/>
    <w:rsid w:val="005025EE"/>
    <w:rsid w:val="00503D54"/>
    <w:rsid w:val="005048E2"/>
    <w:rsid w:val="00505E88"/>
    <w:rsid w:val="00505FC8"/>
    <w:rsid w:val="00506603"/>
    <w:rsid w:val="0050689D"/>
    <w:rsid w:val="005077F5"/>
    <w:rsid w:val="00507D08"/>
    <w:rsid w:val="005108C0"/>
    <w:rsid w:val="0051094F"/>
    <w:rsid w:val="00510A79"/>
    <w:rsid w:val="00511217"/>
    <w:rsid w:val="00511525"/>
    <w:rsid w:val="00511873"/>
    <w:rsid w:val="00511BF3"/>
    <w:rsid w:val="00512461"/>
    <w:rsid w:val="00512585"/>
    <w:rsid w:val="00512A2F"/>
    <w:rsid w:val="00513B7E"/>
    <w:rsid w:val="00513E9D"/>
    <w:rsid w:val="0051475D"/>
    <w:rsid w:val="00514B11"/>
    <w:rsid w:val="00515485"/>
    <w:rsid w:val="00515BE9"/>
    <w:rsid w:val="00515C74"/>
    <w:rsid w:val="0051630F"/>
    <w:rsid w:val="00517113"/>
    <w:rsid w:val="005175C2"/>
    <w:rsid w:val="00517E70"/>
    <w:rsid w:val="0052007E"/>
    <w:rsid w:val="005216A4"/>
    <w:rsid w:val="00521CAD"/>
    <w:rsid w:val="0052200D"/>
    <w:rsid w:val="00522425"/>
    <w:rsid w:val="00522E01"/>
    <w:rsid w:val="0052337A"/>
    <w:rsid w:val="00524385"/>
    <w:rsid w:val="005246BE"/>
    <w:rsid w:val="00525137"/>
    <w:rsid w:val="005251DD"/>
    <w:rsid w:val="00526AB0"/>
    <w:rsid w:val="00526F65"/>
    <w:rsid w:val="005278E5"/>
    <w:rsid w:val="0053012B"/>
    <w:rsid w:val="005301A6"/>
    <w:rsid w:val="00530A68"/>
    <w:rsid w:val="00530AD4"/>
    <w:rsid w:val="0053187B"/>
    <w:rsid w:val="00531C5A"/>
    <w:rsid w:val="00532CE7"/>
    <w:rsid w:val="00532D8B"/>
    <w:rsid w:val="0053324C"/>
    <w:rsid w:val="00533A8D"/>
    <w:rsid w:val="005344E4"/>
    <w:rsid w:val="00534A28"/>
    <w:rsid w:val="00535018"/>
    <w:rsid w:val="0053595E"/>
    <w:rsid w:val="00537571"/>
    <w:rsid w:val="00537AC2"/>
    <w:rsid w:val="00540056"/>
    <w:rsid w:val="005410E2"/>
    <w:rsid w:val="00541508"/>
    <w:rsid w:val="00541AE3"/>
    <w:rsid w:val="00543498"/>
    <w:rsid w:val="00543FDE"/>
    <w:rsid w:val="00544011"/>
    <w:rsid w:val="00544BE5"/>
    <w:rsid w:val="00544E94"/>
    <w:rsid w:val="00545073"/>
    <w:rsid w:val="005455F6"/>
    <w:rsid w:val="0054582F"/>
    <w:rsid w:val="00546FC7"/>
    <w:rsid w:val="005500F9"/>
    <w:rsid w:val="00550160"/>
    <w:rsid w:val="005523A8"/>
    <w:rsid w:val="00552860"/>
    <w:rsid w:val="00552F2C"/>
    <w:rsid w:val="00553A25"/>
    <w:rsid w:val="005547EB"/>
    <w:rsid w:val="005555E0"/>
    <w:rsid w:val="0055599F"/>
    <w:rsid w:val="00555C49"/>
    <w:rsid w:val="00556D68"/>
    <w:rsid w:val="005570D6"/>
    <w:rsid w:val="00557E0E"/>
    <w:rsid w:val="00557E45"/>
    <w:rsid w:val="00560C41"/>
    <w:rsid w:val="00561F44"/>
    <w:rsid w:val="00562B4D"/>
    <w:rsid w:val="00563EB8"/>
    <w:rsid w:val="005647BF"/>
    <w:rsid w:val="00564AF1"/>
    <w:rsid w:val="005655DB"/>
    <w:rsid w:val="00565E88"/>
    <w:rsid w:val="00567339"/>
    <w:rsid w:val="005678EE"/>
    <w:rsid w:val="00567910"/>
    <w:rsid w:val="00567D92"/>
    <w:rsid w:val="00570270"/>
    <w:rsid w:val="0057034E"/>
    <w:rsid w:val="00570464"/>
    <w:rsid w:val="00570BC3"/>
    <w:rsid w:val="00571651"/>
    <w:rsid w:val="0057182A"/>
    <w:rsid w:val="00571E59"/>
    <w:rsid w:val="00572079"/>
    <w:rsid w:val="00572900"/>
    <w:rsid w:val="00573602"/>
    <w:rsid w:val="0057364B"/>
    <w:rsid w:val="00574773"/>
    <w:rsid w:val="00575807"/>
    <w:rsid w:val="005761EC"/>
    <w:rsid w:val="005766CA"/>
    <w:rsid w:val="005770F9"/>
    <w:rsid w:val="00577C07"/>
    <w:rsid w:val="00577DB1"/>
    <w:rsid w:val="00580AD3"/>
    <w:rsid w:val="00580DE7"/>
    <w:rsid w:val="005810E1"/>
    <w:rsid w:val="005811BF"/>
    <w:rsid w:val="00581D66"/>
    <w:rsid w:val="005820CD"/>
    <w:rsid w:val="00583BDD"/>
    <w:rsid w:val="00583E52"/>
    <w:rsid w:val="00583FFD"/>
    <w:rsid w:val="00584252"/>
    <w:rsid w:val="0058519A"/>
    <w:rsid w:val="005856BD"/>
    <w:rsid w:val="00586BCA"/>
    <w:rsid w:val="00587038"/>
    <w:rsid w:val="00590B28"/>
    <w:rsid w:val="005911BE"/>
    <w:rsid w:val="00591273"/>
    <w:rsid w:val="00591E9E"/>
    <w:rsid w:val="005927A4"/>
    <w:rsid w:val="00593152"/>
    <w:rsid w:val="005931D8"/>
    <w:rsid w:val="00593EEA"/>
    <w:rsid w:val="00593FE6"/>
    <w:rsid w:val="005956A3"/>
    <w:rsid w:val="00595958"/>
    <w:rsid w:val="00595CAB"/>
    <w:rsid w:val="00595FDE"/>
    <w:rsid w:val="0059622E"/>
    <w:rsid w:val="00597671"/>
    <w:rsid w:val="00597BBF"/>
    <w:rsid w:val="005A0463"/>
    <w:rsid w:val="005A0948"/>
    <w:rsid w:val="005A0A03"/>
    <w:rsid w:val="005A10F2"/>
    <w:rsid w:val="005A21E0"/>
    <w:rsid w:val="005A28FF"/>
    <w:rsid w:val="005A2C09"/>
    <w:rsid w:val="005A32D0"/>
    <w:rsid w:val="005A3778"/>
    <w:rsid w:val="005A3DF8"/>
    <w:rsid w:val="005A5549"/>
    <w:rsid w:val="005A566A"/>
    <w:rsid w:val="005A7CF8"/>
    <w:rsid w:val="005B0EDA"/>
    <w:rsid w:val="005B121D"/>
    <w:rsid w:val="005B1688"/>
    <w:rsid w:val="005B26B0"/>
    <w:rsid w:val="005B41C9"/>
    <w:rsid w:val="005B44E6"/>
    <w:rsid w:val="005B4853"/>
    <w:rsid w:val="005B506A"/>
    <w:rsid w:val="005B5CD5"/>
    <w:rsid w:val="005B6CA1"/>
    <w:rsid w:val="005B770C"/>
    <w:rsid w:val="005C06ED"/>
    <w:rsid w:val="005C11B8"/>
    <w:rsid w:val="005C216C"/>
    <w:rsid w:val="005C2609"/>
    <w:rsid w:val="005C2B30"/>
    <w:rsid w:val="005C412B"/>
    <w:rsid w:val="005C43EC"/>
    <w:rsid w:val="005C45DD"/>
    <w:rsid w:val="005C4CB1"/>
    <w:rsid w:val="005C5991"/>
    <w:rsid w:val="005D0A73"/>
    <w:rsid w:val="005D254D"/>
    <w:rsid w:val="005D34F8"/>
    <w:rsid w:val="005D3F06"/>
    <w:rsid w:val="005D4B73"/>
    <w:rsid w:val="005D5645"/>
    <w:rsid w:val="005D5802"/>
    <w:rsid w:val="005D5AA9"/>
    <w:rsid w:val="005D66E6"/>
    <w:rsid w:val="005D7119"/>
    <w:rsid w:val="005D76C8"/>
    <w:rsid w:val="005D7890"/>
    <w:rsid w:val="005E003B"/>
    <w:rsid w:val="005E19C1"/>
    <w:rsid w:val="005E2194"/>
    <w:rsid w:val="005E24F0"/>
    <w:rsid w:val="005E36FE"/>
    <w:rsid w:val="005E38A9"/>
    <w:rsid w:val="005E3E65"/>
    <w:rsid w:val="005E3F66"/>
    <w:rsid w:val="005E490F"/>
    <w:rsid w:val="005E4BC9"/>
    <w:rsid w:val="005E5314"/>
    <w:rsid w:val="005E6ABB"/>
    <w:rsid w:val="005E7C78"/>
    <w:rsid w:val="005F04A7"/>
    <w:rsid w:val="005F114F"/>
    <w:rsid w:val="005F18C5"/>
    <w:rsid w:val="005F2A08"/>
    <w:rsid w:val="005F36CC"/>
    <w:rsid w:val="005F3EB1"/>
    <w:rsid w:val="005F413E"/>
    <w:rsid w:val="005F466B"/>
    <w:rsid w:val="005F46D8"/>
    <w:rsid w:val="005F480F"/>
    <w:rsid w:val="005F509C"/>
    <w:rsid w:val="005F5469"/>
    <w:rsid w:val="005F63F3"/>
    <w:rsid w:val="005F66F0"/>
    <w:rsid w:val="005F6D7F"/>
    <w:rsid w:val="005F7174"/>
    <w:rsid w:val="005F7678"/>
    <w:rsid w:val="0060120D"/>
    <w:rsid w:val="00601ADE"/>
    <w:rsid w:val="00601EEF"/>
    <w:rsid w:val="0060255A"/>
    <w:rsid w:val="00602EB3"/>
    <w:rsid w:val="006040C6"/>
    <w:rsid w:val="00604307"/>
    <w:rsid w:val="0060487F"/>
    <w:rsid w:val="00604EAD"/>
    <w:rsid w:val="0060513F"/>
    <w:rsid w:val="0060694B"/>
    <w:rsid w:val="00607DEA"/>
    <w:rsid w:val="006104FB"/>
    <w:rsid w:val="0061176D"/>
    <w:rsid w:val="0061200F"/>
    <w:rsid w:val="00612756"/>
    <w:rsid w:val="00612A2F"/>
    <w:rsid w:val="00612AAE"/>
    <w:rsid w:val="00612FD9"/>
    <w:rsid w:val="006139E0"/>
    <w:rsid w:val="00614245"/>
    <w:rsid w:val="00614D35"/>
    <w:rsid w:val="00614F97"/>
    <w:rsid w:val="006156B4"/>
    <w:rsid w:val="00615DAF"/>
    <w:rsid w:val="0061672A"/>
    <w:rsid w:val="00616E05"/>
    <w:rsid w:val="00617985"/>
    <w:rsid w:val="00617C01"/>
    <w:rsid w:val="00620B77"/>
    <w:rsid w:val="006212FC"/>
    <w:rsid w:val="0062131B"/>
    <w:rsid w:val="00621E26"/>
    <w:rsid w:val="006224EA"/>
    <w:rsid w:val="0062263A"/>
    <w:rsid w:val="006227DF"/>
    <w:rsid w:val="006236C8"/>
    <w:rsid w:val="00624093"/>
    <w:rsid w:val="006243E3"/>
    <w:rsid w:val="006256B8"/>
    <w:rsid w:val="00625A84"/>
    <w:rsid w:val="00626079"/>
    <w:rsid w:val="0062641C"/>
    <w:rsid w:val="006272EF"/>
    <w:rsid w:val="0062751D"/>
    <w:rsid w:val="00627F17"/>
    <w:rsid w:val="00631698"/>
    <w:rsid w:val="00631E44"/>
    <w:rsid w:val="00632579"/>
    <w:rsid w:val="00632714"/>
    <w:rsid w:val="00633923"/>
    <w:rsid w:val="00633AB2"/>
    <w:rsid w:val="00634C57"/>
    <w:rsid w:val="00634CE7"/>
    <w:rsid w:val="006350D5"/>
    <w:rsid w:val="00635CF8"/>
    <w:rsid w:val="00635D28"/>
    <w:rsid w:val="0063642C"/>
    <w:rsid w:val="006372CF"/>
    <w:rsid w:val="00637858"/>
    <w:rsid w:val="006404A7"/>
    <w:rsid w:val="00640A38"/>
    <w:rsid w:val="00640DC3"/>
    <w:rsid w:val="00640E6B"/>
    <w:rsid w:val="00641787"/>
    <w:rsid w:val="0064179B"/>
    <w:rsid w:val="00642489"/>
    <w:rsid w:val="00642F22"/>
    <w:rsid w:val="0064392C"/>
    <w:rsid w:val="00643B58"/>
    <w:rsid w:val="00644055"/>
    <w:rsid w:val="00644137"/>
    <w:rsid w:val="0064478C"/>
    <w:rsid w:val="00645160"/>
    <w:rsid w:val="006451E4"/>
    <w:rsid w:val="0064574B"/>
    <w:rsid w:val="00645B33"/>
    <w:rsid w:val="00650251"/>
    <w:rsid w:val="006516CB"/>
    <w:rsid w:val="00652E30"/>
    <w:rsid w:val="0065392C"/>
    <w:rsid w:val="00653BD0"/>
    <w:rsid w:val="00654110"/>
    <w:rsid w:val="00656C5D"/>
    <w:rsid w:val="00656CFB"/>
    <w:rsid w:val="00657E87"/>
    <w:rsid w:val="00657FD1"/>
    <w:rsid w:val="00660228"/>
    <w:rsid w:val="00660D2D"/>
    <w:rsid w:val="00661C41"/>
    <w:rsid w:val="00661EC9"/>
    <w:rsid w:val="00662469"/>
    <w:rsid w:val="00663C68"/>
    <w:rsid w:val="0066411C"/>
    <w:rsid w:val="00664205"/>
    <w:rsid w:val="00664647"/>
    <w:rsid w:val="00664803"/>
    <w:rsid w:val="006653CC"/>
    <w:rsid w:val="006654CB"/>
    <w:rsid w:val="00665982"/>
    <w:rsid w:val="00665BA4"/>
    <w:rsid w:val="00666BF3"/>
    <w:rsid w:val="006677C1"/>
    <w:rsid w:val="00667856"/>
    <w:rsid w:val="00667AF2"/>
    <w:rsid w:val="00670489"/>
    <w:rsid w:val="006710C9"/>
    <w:rsid w:val="00672586"/>
    <w:rsid w:val="006741CD"/>
    <w:rsid w:val="00674D89"/>
    <w:rsid w:val="0067514E"/>
    <w:rsid w:val="00675E37"/>
    <w:rsid w:val="00676736"/>
    <w:rsid w:val="006769A4"/>
    <w:rsid w:val="006769C6"/>
    <w:rsid w:val="00676D76"/>
    <w:rsid w:val="00676F9F"/>
    <w:rsid w:val="00677519"/>
    <w:rsid w:val="00677591"/>
    <w:rsid w:val="00677594"/>
    <w:rsid w:val="0068032F"/>
    <w:rsid w:val="006804E2"/>
    <w:rsid w:val="00680D37"/>
    <w:rsid w:val="0068174E"/>
    <w:rsid w:val="00681DCE"/>
    <w:rsid w:val="00682110"/>
    <w:rsid w:val="0068260E"/>
    <w:rsid w:val="0068336E"/>
    <w:rsid w:val="006846B3"/>
    <w:rsid w:val="00684D59"/>
    <w:rsid w:val="00684E25"/>
    <w:rsid w:val="006853B9"/>
    <w:rsid w:val="006858A4"/>
    <w:rsid w:val="00686718"/>
    <w:rsid w:val="00686BFA"/>
    <w:rsid w:val="00686DED"/>
    <w:rsid w:val="006875A0"/>
    <w:rsid w:val="006878C6"/>
    <w:rsid w:val="00687D27"/>
    <w:rsid w:val="00691943"/>
    <w:rsid w:val="00693550"/>
    <w:rsid w:val="00694D84"/>
    <w:rsid w:val="00695065"/>
    <w:rsid w:val="00695BEF"/>
    <w:rsid w:val="00696251"/>
    <w:rsid w:val="006966C7"/>
    <w:rsid w:val="006968C1"/>
    <w:rsid w:val="00696B76"/>
    <w:rsid w:val="006977F6"/>
    <w:rsid w:val="00697A13"/>
    <w:rsid w:val="006A088C"/>
    <w:rsid w:val="006A0ADD"/>
    <w:rsid w:val="006A0DD4"/>
    <w:rsid w:val="006A109C"/>
    <w:rsid w:val="006A1A58"/>
    <w:rsid w:val="006A3F21"/>
    <w:rsid w:val="006A5F4B"/>
    <w:rsid w:val="006A6565"/>
    <w:rsid w:val="006A7691"/>
    <w:rsid w:val="006A7EE2"/>
    <w:rsid w:val="006B0514"/>
    <w:rsid w:val="006B0F92"/>
    <w:rsid w:val="006B1E91"/>
    <w:rsid w:val="006B2785"/>
    <w:rsid w:val="006B27C7"/>
    <w:rsid w:val="006B344A"/>
    <w:rsid w:val="006B47C8"/>
    <w:rsid w:val="006B4A4F"/>
    <w:rsid w:val="006B519F"/>
    <w:rsid w:val="006B58C9"/>
    <w:rsid w:val="006B60ED"/>
    <w:rsid w:val="006B6CC5"/>
    <w:rsid w:val="006B7153"/>
    <w:rsid w:val="006B74AC"/>
    <w:rsid w:val="006B78D8"/>
    <w:rsid w:val="006B79EA"/>
    <w:rsid w:val="006C030A"/>
    <w:rsid w:val="006C0C5D"/>
    <w:rsid w:val="006C113F"/>
    <w:rsid w:val="006C123E"/>
    <w:rsid w:val="006C15A1"/>
    <w:rsid w:val="006C1752"/>
    <w:rsid w:val="006C1DDC"/>
    <w:rsid w:val="006C28CA"/>
    <w:rsid w:val="006C2BBF"/>
    <w:rsid w:val="006C2FBD"/>
    <w:rsid w:val="006C3116"/>
    <w:rsid w:val="006C3321"/>
    <w:rsid w:val="006C406F"/>
    <w:rsid w:val="006C4355"/>
    <w:rsid w:val="006C469D"/>
    <w:rsid w:val="006C46B5"/>
    <w:rsid w:val="006C484F"/>
    <w:rsid w:val="006C52EC"/>
    <w:rsid w:val="006C5506"/>
    <w:rsid w:val="006C56D4"/>
    <w:rsid w:val="006C6681"/>
    <w:rsid w:val="006C683C"/>
    <w:rsid w:val="006C6924"/>
    <w:rsid w:val="006C6B11"/>
    <w:rsid w:val="006C6C1E"/>
    <w:rsid w:val="006C7076"/>
    <w:rsid w:val="006C7AEC"/>
    <w:rsid w:val="006C7CA6"/>
    <w:rsid w:val="006D18B3"/>
    <w:rsid w:val="006D1E89"/>
    <w:rsid w:val="006D317E"/>
    <w:rsid w:val="006D3D63"/>
    <w:rsid w:val="006D3E8A"/>
    <w:rsid w:val="006D4150"/>
    <w:rsid w:val="006D61F6"/>
    <w:rsid w:val="006D6442"/>
    <w:rsid w:val="006D79F2"/>
    <w:rsid w:val="006E0376"/>
    <w:rsid w:val="006E0C7B"/>
    <w:rsid w:val="006E1332"/>
    <w:rsid w:val="006E19CB"/>
    <w:rsid w:val="006E279A"/>
    <w:rsid w:val="006E313B"/>
    <w:rsid w:val="006E34B2"/>
    <w:rsid w:val="006E3A45"/>
    <w:rsid w:val="006E4078"/>
    <w:rsid w:val="006E53AD"/>
    <w:rsid w:val="006E58CB"/>
    <w:rsid w:val="006E7227"/>
    <w:rsid w:val="006E761A"/>
    <w:rsid w:val="006F0741"/>
    <w:rsid w:val="006F1400"/>
    <w:rsid w:val="006F1C27"/>
    <w:rsid w:val="006F282F"/>
    <w:rsid w:val="006F2A65"/>
    <w:rsid w:val="006F3DD6"/>
    <w:rsid w:val="006F40DF"/>
    <w:rsid w:val="006F42BB"/>
    <w:rsid w:val="006F438E"/>
    <w:rsid w:val="006F440B"/>
    <w:rsid w:val="006F48A3"/>
    <w:rsid w:val="006F4DA4"/>
    <w:rsid w:val="006F5416"/>
    <w:rsid w:val="006F624B"/>
    <w:rsid w:val="006F6D87"/>
    <w:rsid w:val="007017D3"/>
    <w:rsid w:val="0070398A"/>
    <w:rsid w:val="0070412F"/>
    <w:rsid w:val="00705242"/>
    <w:rsid w:val="007055B3"/>
    <w:rsid w:val="007055E0"/>
    <w:rsid w:val="007056ED"/>
    <w:rsid w:val="00705F4E"/>
    <w:rsid w:val="0070612C"/>
    <w:rsid w:val="007065C5"/>
    <w:rsid w:val="007068E1"/>
    <w:rsid w:val="00706AA0"/>
    <w:rsid w:val="00706AD4"/>
    <w:rsid w:val="00707150"/>
    <w:rsid w:val="00711959"/>
    <w:rsid w:val="007124D7"/>
    <w:rsid w:val="00712B87"/>
    <w:rsid w:val="00712C20"/>
    <w:rsid w:val="00713549"/>
    <w:rsid w:val="00713591"/>
    <w:rsid w:val="007140BE"/>
    <w:rsid w:val="007147AB"/>
    <w:rsid w:val="00715502"/>
    <w:rsid w:val="00715E4D"/>
    <w:rsid w:val="0071677A"/>
    <w:rsid w:val="00716F48"/>
    <w:rsid w:val="00717114"/>
    <w:rsid w:val="0071779F"/>
    <w:rsid w:val="007211F5"/>
    <w:rsid w:val="00721601"/>
    <w:rsid w:val="00722777"/>
    <w:rsid w:val="00723435"/>
    <w:rsid w:val="00723436"/>
    <w:rsid w:val="007240E2"/>
    <w:rsid w:val="0072454C"/>
    <w:rsid w:val="0072583E"/>
    <w:rsid w:val="00725BB5"/>
    <w:rsid w:val="00726F49"/>
    <w:rsid w:val="00727C02"/>
    <w:rsid w:val="0073008E"/>
    <w:rsid w:val="00730AE8"/>
    <w:rsid w:val="00730D0A"/>
    <w:rsid w:val="00730F1B"/>
    <w:rsid w:val="007313AE"/>
    <w:rsid w:val="0073186D"/>
    <w:rsid w:val="0073333D"/>
    <w:rsid w:val="00733F35"/>
    <w:rsid w:val="007343D9"/>
    <w:rsid w:val="00734E1D"/>
    <w:rsid w:val="00734F71"/>
    <w:rsid w:val="00734FAF"/>
    <w:rsid w:val="00735448"/>
    <w:rsid w:val="00735648"/>
    <w:rsid w:val="0073590A"/>
    <w:rsid w:val="0073677E"/>
    <w:rsid w:val="007369E1"/>
    <w:rsid w:val="00736F07"/>
    <w:rsid w:val="007377BD"/>
    <w:rsid w:val="00737DEC"/>
    <w:rsid w:val="0074004D"/>
    <w:rsid w:val="00741493"/>
    <w:rsid w:val="007420B3"/>
    <w:rsid w:val="00742B86"/>
    <w:rsid w:val="007434E5"/>
    <w:rsid w:val="0074499B"/>
    <w:rsid w:val="007450BF"/>
    <w:rsid w:val="00745C3B"/>
    <w:rsid w:val="007471A1"/>
    <w:rsid w:val="007477BD"/>
    <w:rsid w:val="00747EE9"/>
    <w:rsid w:val="007520B6"/>
    <w:rsid w:val="00752180"/>
    <w:rsid w:val="00752323"/>
    <w:rsid w:val="0075309F"/>
    <w:rsid w:val="007532B7"/>
    <w:rsid w:val="00753CAB"/>
    <w:rsid w:val="00754A70"/>
    <w:rsid w:val="00754BC8"/>
    <w:rsid w:val="00754BC9"/>
    <w:rsid w:val="00755202"/>
    <w:rsid w:val="00755D3A"/>
    <w:rsid w:val="00757241"/>
    <w:rsid w:val="0075751D"/>
    <w:rsid w:val="0075763E"/>
    <w:rsid w:val="007578D3"/>
    <w:rsid w:val="007602CF"/>
    <w:rsid w:val="00760391"/>
    <w:rsid w:val="007609C6"/>
    <w:rsid w:val="007615F3"/>
    <w:rsid w:val="0076175D"/>
    <w:rsid w:val="00761CB5"/>
    <w:rsid w:val="007629B9"/>
    <w:rsid w:val="007629D5"/>
    <w:rsid w:val="007635F8"/>
    <w:rsid w:val="00763874"/>
    <w:rsid w:val="00763B85"/>
    <w:rsid w:val="00764974"/>
    <w:rsid w:val="00764C4D"/>
    <w:rsid w:val="00764D18"/>
    <w:rsid w:val="0076521E"/>
    <w:rsid w:val="0076550E"/>
    <w:rsid w:val="00765BCC"/>
    <w:rsid w:val="0076600D"/>
    <w:rsid w:val="007661C0"/>
    <w:rsid w:val="007661E9"/>
    <w:rsid w:val="00766460"/>
    <w:rsid w:val="00767062"/>
    <w:rsid w:val="00767601"/>
    <w:rsid w:val="00767777"/>
    <w:rsid w:val="00767FEF"/>
    <w:rsid w:val="007705B1"/>
    <w:rsid w:val="00770CFC"/>
    <w:rsid w:val="0077130E"/>
    <w:rsid w:val="007715EE"/>
    <w:rsid w:val="00771972"/>
    <w:rsid w:val="00772279"/>
    <w:rsid w:val="007726EC"/>
    <w:rsid w:val="00772DAB"/>
    <w:rsid w:val="00772FF9"/>
    <w:rsid w:val="007743DB"/>
    <w:rsid w:val="00774D2C"/>
    <w:rsid w:val="00774FEE"/>
    <w:rsid w:val="0077605B"/>
    <w:rsid w:val="00776169"/>
    <w:rsid w:val="00776527"/>
    <w:rsid w:val="0077691D"/>
    <w:rsid w:val="00777040"/>
    <w:rsid w:val="00777CE6"/>
    <w:rsid w:val="00777D57"/>
    <w:rsid w:val="00780EF1"/>
    <w:rsid w:val="00781A91"/>
    <w:rsid w:val="00781F36"/>
    <w:rsid w:val="00781FC6"/>
    <w:rsid w:val="00782263"/>
    <w:rsid w:val="00782F1C"/>
    <w:rsid w:val="00785778"/>
    <w:rsid w:val="007859D5"/>
    <w:rsid w:val="00786C87"/>
    <w:rsid w:val="0078755E"/>
    <w:rsid w:val="007877C9"/>
    <w:rsid w:val="00790764"/>
    <w:rsid w:val="0079085F"/>
    <w:rsid w:val="00790E96"/>
    <w:rsid w:val="00791005"/>
    <w:rsid w:val="00791BF4"/>
    <w:rsid w:val="00791E9D"/>
    <w:rsid w:val="00793D78"/>
    <w:rsid w:val="0079420B"/>
    <w:rsid w:val="0079453C"/>
    <w:rsid w:val="00794677"/>
    <w:rsid w:val="00795759"/>
    <w:rsid w:val="007A170B"/>
    <w:rsid w:val="007A20EB"/>
    <w:rsid w:val="007A282C"/>
    <w:rsid w:val="007A293C"/>
    <w:rsid w:val="007A2A3A"/>
    <w:rsid w:val="007A33E2"/>
    <w:rsid w:val="007A3CAF"/>
    <w:rsid w:val="007A3CF9"/>
    <w:rsid w:val="007A4664"/>
    <w:rsid w:val="007A4782"/>
    <w:rsid w:val="007A516D"/>
    <w:rsid w:val="007A51D9"/>
    <w:rsid w:val="007A5E65"/>
    <w:rsid w:val="007A65E1"/>
    <w:rsid w:val="007A6AAA"/>
    <w:rsid w:val="007A7033"/>
    <w:rsid w:val="007A775D"/>
    <w:rsid w:val="007B00A4"/>
    <w:rsid w:val="007B0834"/>
    <w:rsid w:val="007B0E83"/>
    <w:rsid w:val="007B11FA"/>
    <w:rsid w:val="007B1396"/>
    <w:rsid w:val="007B16D6"/>
    <w:rsid w:val="007B2011"/>
    <w:rsid w:val="007B21C9"/>
    <w:rsid w:val="007B2CFE"/>
    <w:rsid w:val="007B309B"/>
    <w:rsid w:val="007B37BE"/>
    <w:rsid w:val="007B3D5E"/>
    <w:rsid w:val="007B3DCB"/>
    <w:rsid w:val="007B5725"/>
    <w:rsid w:val="007B5C1F"/>
    <w:rsid w:val="007B6689"/>
    <w:rsid w:val="007B6747"/>
    <w:rsid w:val="007B6F72"/>
    <w:rsid w:val="007C10BD"/>
    <w:rsid w:val="007C1D66"/>
    <w:rsid w:val="007C1F0C"/>
    <w:rsid w:val="007C1FFB"/>
    <w:rsid w:val="007C2D94"/>
    <w:rsid w:val="007C3CF4"/>
    <w:rsid w:val="007C461A"/>
    <w:rsid w:val="007C4A6B"/>
    <w:rsid w:val="007C5F92"/>
    <w:rsid w:val="007C6227"/>
    <w:rsid w:val="007C6BBD"/>
    <w:rsid w:val="007C6D89"/>
    <w:rsid w:val="007C6F5E"/>
    <w:rsid w:val="007D0382"/>
    <w:rsid w:val="007D0B27"/>
    <w:rsid w:val="007D14FE"/>
    <w:rsid w:val="007D18DA"/>
    <w:rsid w:val="007D1A1F"/>
    <w:rsid w:val="007D213B"/>
    <w:rsid w:val="007D2E18"/>
    <w:rsid w:val="007D40DF"/>
    <w:rsid w:val="007D42E5"/>
    <w:rsid w:val="007D4458"/>
    <w:rsid w:val="007D46AD"/>
    <w:rsid w:val="007D6AF9"/>
    <w:rsid w:val="007E0535"/>
    <w:rsid w:val="007E0D4A"/>
    <w:rsid w:val="007E0E89"/>
    <w:rsid w:val="007E1788"/>
    <w:rsid w:val="007E1C07"/>
    <w:rsid w:val="007E1EE3"/>
    <w:rsid w:val="007E29B4"/>
    <w:rsid w:val="007E2CDD"/>
    <w:rsid w:val="007E2F12"/>
    <w:rsid w:val="007E3513"/>
    <w:rsid w:val="007E435A"/>
    <w:rsid w:val="007E445C"/>
    <w:rsid w:val="007E49F7"/>
    <w:rsid w:val="007E4C70"/>
    <w:rsid w:val="007E591C"/>
    <w:rsid w:val="007E5B5F"/>
    <w:rsid w:val="007E6360"/>
    <w:rsid w:val="007E7704"/>
    <w:rsid w:val="007E78B6"/>
    <w:rsid w:val="007E7E61"/>
    <w:rsid w:val="007F0845"/>
    <w:rsid w:val="007F0873"/>
    <w:rsid w:val="007F20F3"/>
    <w:rsid w:val="007F2353"/>
    <w:rsid w:val="007F2390"/>
    <w:rsid w:val="007F2CAC"/>
    <w:rsid w:val="007F41AD"/>
    <w:rsid w:val="007F4740"/>
    <w:rsid w:val="007F595A"/>
    <w:rsid w:val="007F5C38"/>
    <w:rsid w:val="007F708D"/>
    <w:rsid w:val="007F7E3F"/>
    <w:rsid w:val="0080003D"/>
    <w:rsid w:val="008006B3"/>
    <w:rsid w:val="00800B63"/>
    <w:rsid w:val="0080158A"/>
    <w:rsid w:val="00801E13"/>
    <w:rsid w:val="00803008"/>
    <w:rsid w:val="00803069"/>
    <w:rsid w:val="0080346B"/>
    <w:rsid w:val="00804155"/>
    <w:rsid w:val="00804C9F"/>
    <w:rsid w:val="00804D77"/>
    <w:rsid w:val="0080559E"/>
    <w:rsid w:val="00805AF3"/>
    <w:rsid w:val="00806C9C"/>
    <w:rsid w:val="0080734C"/>
    <w:rsid w:val="00807C82"/>
    <w:rsid w:val="008117CC"/>
    <w:rsid w:val="00811875"/>
    <w:rsid w:val="00813D58"/>
    <w:rsid w:val="00813DCA"/>
    <w:rsid w:val="00814858"/>
    <w:rsid w:val="008161A6"/>
    <w:rsid w:val="008165B8"/>
    <w:rsid w:val="00816905"/>
    <w:rsid w:val="00816D98"/>
    <w:rsid w:val="00816E42"/>
    <w:rsid w:val="00817040"/>
    <w:rsid w:val="00817A17"/>
    <w:rsid w:val="00817EC1"/>
    <w:rsid w:val="00820C40"/>
    <w:rsid w:val="00820DBC"/>
    <w:rsid w:val="0082112D"/>
    <w:rsid w:val="00821FF6"/>
    <w:rsid w:val="00822574"/>
    <w:rsid w:val="00822980"/>
    <w:rsid w:val="00822F08"/>
    <w:rsid w:val="00822F67"/>
    <w:rsid w:val="00824CB8"/>
    <w:rsid w:val="00825C4D"/>
    <w:rsid w:val="00826A08"/>
    <w:rsid w:val="00826AC0"/>
    <w:rsid w:val="00827186"/>
    <w:rsid w:val="008275B7"/>
    <w:rsid w:val="00827C8E"/>
    <w:rsid w:val="00830569"/>
    <w:rsid w:val="00830AEA"/>
    <w:rsid w:val="00830E86"/>
    <w:rsid w:val="0083143E"/>
    <w:rsid w:val="008315B8"/>
    <w:rsid w:val="008315D5"/>
    <w:rsid w:val="00831CDE"/>
    <w:rsid w:val="00831E98"/>
    <w:rsid w:val="00831F2B"/>
    <w:rsid w:val="008320CF"/>
    <w:rsid w:val="0083233B"/>
    <w:rsid w:val="00832F77"/>
    <w:rsid w:val="00834304"/>
    <w:rsid w:val="00834FAA"/>
    <w:rsid w:val="008354FB"/>
    <w:rsid w:val="00835E9A"/>
    <w:rsid w:val="00835FF1"/>
    <w:rsid w:val="00836086"/>
    <w:rsid w:val="0083630F"/>
    <w:rsid w:val="00836A06"/>
    <w:rsid w:val="008374BC"/>
    <w:rsid w:val="008379D6"/>
    <w:rsid w:val="00837E48"/>
    <w:rsid w:val="00840293"/>
    <w:rsid w:val="008402AD"/>
    <w:rsid w:val="00840457"/>
    <w:rsid w:val="008408D4"/>
    <w:rsid w:val="008417B5"/>
    <w:rsid w:val="00841901"/>
    <w:rsid w:val="008429B1"/>
    <w:rsid w:val="00842C2C"/>
    <w:rsid w:val="008458BD"/>
    <w:rsid w:val="00846121"/>
    <w:rsid w:val="008461C2"/>
    <w:rsid w:val="008462F1"/>
    <w:rsid w:val="008466C6"/>
    <w:rsid w:val="00846C92"/>
    <w:rsid w:val="0084708F"/>
    <w:rsid w:val="008477C8"/>
    <w:rsid w:val="008478A6"/>
    <w:rsid w:val="008502F6"/>
    <w:rsid w:val="0085114D"/>
    <w:rsid w:val="008520A8"/>
    <w:rsid w:val="00852217"/>
    <w:rsid w:val="00853282"/>
    <w:rsid w:val="0085334C"/>
    <w:rsid w:val="00855408"/>
    <w:rsid w:val="00855D03"/>
    <w:rsid w:val="00856D65"/>
    <w:rsid w:val="00861936"/>
    <w:rsid w:val="00861B41"/>
    <w:rsid w:val="00861B9F"/>
    <w:rsid w:val="00861BE3"/>
    <w:rsid w:val="008625D3"/>
    <w:rsid w:val="00862865"/>
    <w:rsid w:val="00862C0A"/>
    <w:rsid w:val="00863434"/>
    <w:rsid w:val="0086344F"/>
    <w:rsid w:val="00863B2F"/>
    <w:rsid w:val="008641AC"/>
    <w:rsid w:val="008647D9"/>
    <w:rsid w:val="00865E4C"/>
    <w:rsid w:val="00867546"/>
    <w:rsid w:val="0086796D"/>
    <w:rsid w:val="00867DAB"/>
    <w:rsid w:val="0087000B"/>
    <w:rsid w:val="008701E4"/>
    <w:rsid w:val="008704E9"/>
    <w:rsid w:val="00870ECD"/>
    <w:rsid w:val="0087347C"/>
    <w:rsid w:val="008734E7"/>
    <w:rsid w:val="0087368D"/>
    <w:rsid w:val="008740CC"/>
    <w:rsid w:val="00874FE8"/>
    <w:rsid w:val="00875A32"/>
    <w:rsid w:val="00875C6B"/>
    <w:rsid w:val="00876086"/>
    <w:rsid w:val="00876651"/>
    <w:rsid w:val="00876E83"/>
    <w:rsid w:val="008772BC"/>
    <w:rsid w:val="00880A0E"/>
    <w:rsid w:val="008817FE"/>
    <w:rsid w:val="00881CD7"/>
    <w:rsid w:val="00882911"/>
    <w:rsid w:val="00882ACE"/>
    <w:rsid w:val="00882F6E"/>
    <w:rsid w:val="00883202"/>
    <w:rsid w:val="0088433C"/>
    <w:rsid w:val="00884E02"/>
    <w:rsid w:val="00885CDC"/>
    <w:rsid w:val="00885D40"/>
    <w:rsid w:val="008873D4"/>
    <w:rsid w:val="00887CEF"/>
    <w:rsid w:val="00890CB1"/>
    <w:rsid w:val="0089167B"/>
    <w:rsid w:val="00891EDF"/>
    <w:rsid w:val="00892872"/>
    <w:rsid w:val="0089296D"/>
    <w:rsid w:val="00893E85"/>
    <w:rsid w:val="00893EBE"/>
    <w:rsid w:val="00894031"/>
    <w:rsid w:val="00894C5D"/>
    <w:rsid w:val="00895508"/>
    <w:rsid w:val="008967E9"/>
    <w:rsid w:val="00896A5C"/>
    <w:rsid w:val="008972D2"/>
    <w:rsid w:val="0089754C"/>
    <w:rsid w:val="008A0659"/>
    <w:rsid w:val="008A0ADD"/>
    <w:rsid w:val="008A0D27"/>
    <w:rsid w:val="008A1C59"/>
    <w:rsid w:val="008A2EB6"/>
    <w:rsid w:val="008A32D9"/>
    <w:rsid w:val="008A3529"/>
    <w:rsid w:val="008A37E2"/>
    <w:rsid w:val="008A388E"/>
    <w:rsid w:val="008A394E"/>
    <w:rsid w:val="008A3CBA"/>
    <w:rsid w:val="008A4B59"/>
    <w:rsid w:val="008A63E1"/>
    <w:rsid w:val="008A66B7"/>
    <w:rsid w:val="008A68BB"/>
    <w:rsid w:val="008A6AA5"/>
    <w:rsid w:val="008A7127"/>
    <w:rsid w:val="008B0CBA"/>
    <w:rsid w:val="008B2639"/>
    <w:rsid w:val="008B2E65"/>
    <w:rsid w:val="008B3226"/>
    <w:rsid w:val="008B3537"/>
    <w:rsid w:val="008B3690"/>
    <w:rsid w:val="008B3A80"/>
    <w:rsid w:val="008B3AEC"/>
    <w:rsid w:val="008B3C07"/>
    <w:rsid w:val="008B3F7B"/>
    <w:rsid w:val="008B42D3"/>
    <w:rsid w:val="008B5324"/>
    <w:rsid w:val="008B5C99"/>
    <w:rsid w:val="008B6106"/>
    <w:rsid w:val="008B6E6A"/>
    <w:rsid w:val="008B7C02"/>
    <w:rsid w:val="008B7D2B"/>
    <w:rsid w:val="008B7EF9"/>
    <w:rsid w:val="008C0049"/>
    <w:rsid w:val="008C0314"/>
    <w:rsid w:val="008C0E88"/>
    <w:rsid w:val="008C1717"/>
    <w:rsid w:val="008C3B05"/>
    <w:rsid w:val="008C4AE8"/>
    <w:rsid w:val="008C4B50"/>
    <w:rsid w:val="008C4C9D"/>
    <w:rsid w:val="008C5A37"/>
    <w:rsid w:val="008C7065"/>
    <w:rsid w:val="008C7569"/>
    <w:rsid w:val="008C79C3"/>
    <w:rsid w:val="008D006F"/>
    <w:rsid w:val="008D033D"/>
    <w:rsid w:val="008D0DBD"/>
    <w:rsid w:val="008D117E"/>
    <w:rsid w:val="008D127E"/>
    <w:rsid w:val="008D1CA8"/>
    <w:rsid w:val="008D1E0A"/>
    <w:rsid w:val="008D1E6A"/>
    <w:rsid w:val="008D2A16"/>
    <w:rsid w:val="008D33F5"/>
    <w:rsid w:val="008D35E4"/>
    <w:rsid w:val="008D3ACD"/>
    <w:rsid w:val="008D6C3A"/>
    <w:rsid w:val="008D6E5C"/>
    <w:rsid w:val="008D70E2"/>
    <w:rsid w:val="008D70EB"/>
    <w:rsid w:val="008D7CA7"/>
    <w:rsid w:val="008E0001"/>
    <w:rsid w:val="008E292B"/>
    <w:rsid w:val="008E2B34"/>
    <w:rsid w:val="008E2C57"/>
    <w:rsid w:val="008E31FF"/>
    <w:rsid w:val="008E3287"/>
    <w:rsid w:val="008E45EF"/>
    <w:rsid w:val="008E50FB"/>
    <w:rsid w:val="008E54EB"/>
    <w:rsid w:val="008E6614"/>
    <w:rsid w:val="008E6DCB"/>
    <w:rsid w:val="008E6F06"/>
    <w:rsid w:val="008E7B8E"/>
    <w:rsid w:val="008E7FC9"/>
    <w:rsid w:val="008F0107"/>
    <w:rsid w:val="008F029B"/>
    <w:rsid w:val="008F0589"/>
    <w:rsid w:val="008F0E27"/>
    <w:rsid w:val="008F2A5D"/>
    <w:rsid w:val="008F3636"/>
    <w:rsid w:val="008F3FC9"/>
    <w:rsid w:val="008F4B05"/>
    <w:rsid w:val="008F509F"/>
    <w:rsid w:val="008F5383"/>
    <w:rsid w:val="008F585B"/>
    <w:rsid w:val="008F6639"/>
    <w:rsid w:val="008F7FB0"/>
    <w:rsid w:val="009003A8"/>
    <w:rsid w:val="009005E4"/>
    <w:rsid w:val="00900977"/>
    <w:rsid w:val="009021DA"/>
    <w:rsid w:val="00902500"/>
    <w:rsid w:val="00902EEB"/>
    <w:rsid w:val="00902EFF"/>
    <w:rsid w:val="00903A8E"/>
    <w:rsid w:val="0090432C"/>
    <w:rsid w:val="00904D4A"/>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1EC0"/>
    <w:rsid w:val="00912437"/>
    <w:rsid w:val="0091268B"/>
    <w:rsid w:val="00912A92"/>
    <w:rsid w:val="00913FEA"/>
    <w:rsid w:val="0091476D"/>
    <w:rsid w:val="00915D07"/>
    <w:rsid w:val="009162AE"/>
    <w:rsid w:val="00916E70"/>
    <w:rsid w:val="00917251"/>
    <w:rsid w:val="0091728D"/>
    <w:rsid w:val="00917290"/>
    <w:rsid w:val="00917292"/>
    <w:rsid w:val="0092036B"/>
    <w:rsid w:val="009203CC"/>
    <w:rsid w:val="00920EC4"/>
    <w:rsid w:val="0092180B"/>
    <w:rsid w:val="00921F14"/>
    <w:rsid w:val="009224C3"/>
    <w:rsid w:val="009225B8"/>
    <w:rsid w:val="0092292F"/>
    <w:rsid w:val="00922D28"/>
    <w:rsid w:val="00923332"/>
    <w:rsid w:val="00923CB0"/>
    <w:rsid w:val="00923D8C"/>
    <w:rsid w:val="00924871"/>
    <w:rsid w:val="00924AC8"/>
    <w:rsid w:val="00925429"/>
    <w:rsid w:val="00925615"/>
    <w:rsid w:val="0092597A"/>
    <w:rsid w:val="009261AA"/>
    <w:rsid w:val="00926520"/>
    <w:rsid w:val="00926CF0"/>
    <w:rsid w:val="009271EF"/>
    <w:rsid w:val="009273A9"/>
    <w:rsid w:val="00930251"/>
    <w:rsid w:val="0093033E"/>
    <w:rsid w:val="009305FC"/>
    <w:rsid w:val="00930FB1"/>
    <w:rsid w:val="0093139F"/>
    <w:rsid w:val="00932443"/>
    <w:rsid w:val="00932B32"/>
    <w:rsid w:val="00933F4A"/>
    <w:rsid w:val="00933F9B"/>
    <w:rsid w:val="009341F1"/>
    <w:rsid w:val="00934FF1"/>
    <w:rsid w:val="00934FF2"/>
    <w:rsid w:val="009358D7"/>
    <w:rsid w:val="00935BD4"/>
    <w:rsid w:val="00935DFE"/>
    <w:rsid w:val="00935F70"/>
    <w:rsid w:val="0093648B"/>
    <w:rsid w:val="009373B2"/>
    <w:rsid w:val="009375A6"/>
    <w:rsid w:val="0093799F"/>
    <w:rsid w:val="00937AE2"/>
    <w:rsid w:val="0094061F"/>
    <w:rsid w:val="00940F0F"/>
    <w:rsid w:val="00941C4A"/>
    <w:rsid w:val="00942263"/>
    <w:rsid w:val="0094257D"/>
    <w:rsid w:val="0094416B"/>
    <w:rsid w:val="0094427A"/>
    <w:rsid w:val="00944C7C"/>
    <w:rsid w:val="00945245"/>
    <w:rsid w:val="00945523"/>
    <w:rsid w:val="00950921"/>
    <w:rsid w:val="00951D68"/>
    <w:rsid w:val="00951E5B"/>
    <w:rsid w:val="00952B7B"/>
    <w:rsid w:val="00954D15"/>
    <w:rsid w:val="00954F39"/>
    <w:rsid w:val="0095517D"/>
    <w:rsid w:val="009555FD"/>
    <w:rsid w:val="0095664B"/>
    <w:rsid w:val="009568DC"/>
    <w:rsid w:val="00957140"/>
    <w:rsid w:val="00957445"/>
    <w:rsid w:val="0095759C"/>
    <w:rsid w:val="00961014"/>
    <w:rsid w:val="009618EE"/>
    <w:rsid w:val="00961DDD"/>
    <w:rsid w:val="009624D2"/>
    <w:rsid w:val="009628D9"/>
    <w:rsid w:val="009637AE"/>
    <w:rsid w:val="00963A06"/>
    <w:rsid w:val="00964068"/>
    <w:rsid w:val="009640F6"/>
    <w:rsid w:val="009645B8"/>
    <w:rsid w:val="0096469D"/>
    <w:rsid w:val="00964776"/>
    <w:rsid w:val="00964A4E"/>
    <w:rsid w:val="00964B35"/>
    <w:rsid w:val="009651C7"/>
    <w:rsid w:val="00965424"/>
    <w:rsid w:val="00965797"/>
    <w:rsid w:val="00965A10"/>
    <w:rsid w:val="00965AD0"/>
    <w:rsid w:val="009670A3"/>
    <w:rsid w:val="009674BE"/>
    <w:rsid w:val="00967E1E"/>
    <w:rsid w:val="0097058F"/>
    <w:rsid w:val="00970FB5"/>
    <w:rsid w:val="00971710"/>
    <w:rsid w:val="00971B87"/>
    <w:rsid w:val="00971C77"/>
    <w:rsid w:val="0097203A"/>
    <w:rsid w:val="0097219D"/>
    <w:rsid w:val="00972FCD"/>
    <w:rsid w:val="00973324"/>
    <w:rsid w:val="009736DF"/>
    <w:rsid w:val="009741AE"/>
    <w:rsid w:val="009741FC"/>
    <w:rsid w:val="00974782"/>
    <w:rsid w:val="00974923"/>
    <w:rsid w:val="009755D6"/>
    <w:rsid w:val="00975909"/>
    <w:rsid w:val="00977C3D"/>
    <w:rsid w:val="00980D3D"/>
    <w:rsid w:val="0098103E"/>
    <w:rsid w:val="0098157D"/>
    <w:rsid w:val="00983101"/>
    <w:rsid w:val="00983E41"/>
    <w:rsid w:val="009845E1"/>
    <w:rsid w:val="00984D1B"/>
    <w:rsid w:val="00986246"/>
    <w:rsid w:val="00987A30"/>
    <w:rsid w:val="00987C7A"/>
    <w:rsid w:val="00990312"/>
    <w:rsid w:val="0099182E"/>
    <w:rsid w:val="00992BB3"/>
    <w:rsid w:val="00992CF3"/>
    <w:rsid w:val="00993194"/>
    <w:rsid w:val="0099321E"/>
    <w:rsid w:val="00993879"/>
    <w:rsid w:val="00993D41"/>
    <w:rsid w:val="00994171"/>
    <w:rsid w:val="00994868"/>
    <w:rsid w:val="00994D28"/>
    <w:rsid w:val="00994E5B"/>
    <w:rsid w:val="00994F2C"/>
    <w:rsid w:val="009957CC"/>
    <w:rsid w:val="009968D6"/>
    <w:rsid w:val="00997953"/>
    <w:rsid w:val="009A03A5"/>
    <w:rsid w:val="009A0BFF"/>
    <w:rsid w:val="009A10A0"/>
    <w:rsid w:val="009A1CAB"/>
    <w:rsid w:val="009A20E7"/>
    <w:rsid w:val="009A2359"/>
    <w:rsid w:val="009A24F1"/>
    <w:rsid w:val="009A27E0"/>
    <w:rsid w:val="009A37D1"/>
    <w:rsid w:val="009A4D57"/>
    <w:rsid w:val="009A51A5"/>
    <w:rsid w:val="009A598B"/>
    <w:rsid w:val="009A5F39"/>
    <w:rsid w:val="009A60D1"/>
    <w:rsid w:val="009A6225"/>
    <w:rsid w:val="009A64F5"/>
    <w:rsid w:val="009A7F9B"/>
    <w:rsid w:val="009B00D2"/>
    <w:rsid w:val="009B05B3"/>
    <w:rsid w:val="009B1324"/>
    <w:rsid w:val="009B142D"/>
    <w:rsid w:val="009B284F"/>
    <w:rsid w:val="009B3764"/>
    <w:rsid w:val="009B52AC"/>
    <w:rsid w:val="009B59EA"/>
    <w:rsid w:val="009B66CE"/>
    <w:rsid w:val="009B6FD3"/>
    <w:rsid w:val="009B72BE"/>
    <w:rsid w:val="009B78A4"/>
    <w:rsid w:val="009B7DB2"/>
    <w:rsid w:val="009C03DB"/>
    <w:rsid w:val="009C0B29"/>
    <w:rsid w:val="009C15AF"/>
    <w:rsid w:val="009C1750"/>
    <w:rsid w:val="009C2E29"/>
    <w:rsid w:val="009C3E8F"/>
    <w:rsid w:val="009C4227"/>
    <w:rsid w:val="009C554B"/>
    <w:rsid w:val="009C55E4"/>
    <w:rsid w:val="009C5E83"/>
    <w:rsid w:val="009C7126"/>
    <w:rsid w:val="009C719E"/>
    <w:rsid w:val="009C7799"/>
    <w:rsid w:val="009C7CF4"/>
    <w:rsid w:val="009D07A9"/>
    <w:rsid w:val="009D0AE2"/>
    <w:rsid w:val="009D0D61"/>
    <w:rsid w:val="009D0D9F"/>
    <w:rsid w:val="009D0EBB"/>
    <w:rsid w:val="009D0F41"/>
    <w:rsid w:val="009D1A43"/>
    <w:rsid w:val="009D2746"/>
    <w:rsid w:val="009D2C46"/>
    <w:rsid w:val="009D3ACD"/>
    <w:rsid w:val="009D4254"/>
    <w:rsid w:val="009D4F21"/>
    <w:rsid w:val="009D587D"/>
    <w:rsid w:val="009D7731"/>
    <w:rsid w:val="009E1120"/>
    <w:rsid w:val="009E1393"/>
    <w:rsid w:val="009E1922"/>
    <w:rsid w:val="009E1A3D"/>
    <w:rsid w:val="009E3381"/>
    <w:rsid w:val="009E407B"/>
    <w:rsid w:val="009E4715"/>
    <w:rsid w:val="009E4A58"/>
    <w:rsid w:val="009E4E41"/>
    <w:rsid w:val="009E5273"/>
    <w:rsid w:val="009E57A8"/>
    <w:rsid w:val="009E5B85"/>
    <w:rsid w:val="009E5BFE"/>
    <w:rsid w:val="009E5DDB"/>
    <w:rsid w:val="009E6D57"/>
    <w:rsid w:val="009F2518"/>
    <w:rsid w:val="009F2921"/>
    <w:rsid w:val="009F42CF"/>
    <w:rsid w:val="009F4982"/>
    <w:rsid w:val="009F4CA7"/>
    <w:rsid w:val="009F4F6A"/>
    <w:rsid w:val="009F55BA"/>
    <w:rsid w:val="009F7D36"/>
    <w:rsid w:val="009F7D61"/>
    <w:rsid w:val="00A00E37"/>
    <w:rsid w:val="00A00E71"/>
    <w:rsid w:val="00A01B8A"/>
    <w:rsid w:val="00A02311"/>
    <w:rsid w:val="00A0306F"/>
    <w:rsid w:val="00A03B10"/>
    <w:rsid w:val="00A03E2E"/>
    <w:rsid w:val="00A04616"/>
    <w:rsid w:val="00A04717"/>
    <w:rsid w:val="00A056C0"/>
    <w:rsid w:val="00A05D8F"/>
    <w:rsid w:val="00A05EE4"/>
    <w:rsid w:val="00A06F99"/>
    <w:rsid w:val="00A1053B"/>
    <w:rsid w:val="00A10D66"/>
    <w:rsid w:val="00A113A4"/>
    <w:rsid w:val="00A13B40"/>
    <w:rsid w:val="00A14114"/>
    <w:rsid w:val="00A16413"/>
    <w:rsid w:val="00A16545"/>
    <w:rsid w:val="00A16AED"/>
    <w:rsid w:val="00A16C37"/>
    <w:rsid w:val="00A16E1D"/>
    <w:rsid w:val="00A171D5"/>
    <w:rsid w:val="00A17A15"/>
    <w:rsid w:val="00A17D34"/>
    <w:rsid w:val="00A17D5B"/>
    <w:rsid w:val="00A2016A"/>
    <w:rsid w:val="00A201E1"/>
    <w:rsid w:val="00A20FE1"/>
    <w:rsid w:val="00A21B4D"/>
    <w:rsid w:val="00A21F33"/>
    <w:rsid w:val="00A22073"/>
    <w:rsid w:val="00A223E0"/>
    <w:rsid w:val="00A22959"/>
    <w:rsid w:val="00A23158"/>
    <w:rsid w:val="00A2341B"/>
    <w:rsid w:val="00A23847"/>
    <w:rsid w:val="00A23E43"/>
    <w:rsid w:val="00A24726"/>
    <w:rsid w:val="00A24DEB"/>
    <w:rsid w:val="00A24ED9"/>
    <w:rsid w:val="00A251DB"/>
    <w:rsid w:val="00A25216"/>
    <w:rsid w:val="00A2597D"/>
    <w:rsid w:val="00A2628E"/>
    <w:rsid w:val="00A266BF"/>
    <w:rsid w:val="00A2731E"/>
    <w:rsid w:val="00A309AC"/>
    <w:rsid w:val="00A30F65"/>
    <w:rsid w:val="00A3279E"/>
    <w:rsid w:val="00A33DB1"/>
    <w:rsid w:val="00A34400"/>
    <w:rsid w:val="00A35900"/>
    <w:rsid w:val="00A36CC1"/>
    <w:rsid w:val="00A40075"/>
    <w:rsid w:val="00A40EAC"/>
    <w:rsid w:val="00A418BC"/>
    <w:rsid w:val="00A41946"/>
    <w:rsid w:val="00A419FF"/>
    <w:rsid w:val="00A41FCF"/>
    <w:rsid w:val="00A428B2"/>
    <w:rsid w:val="00A42936"/>
    <w:rsid w:val="00A43CF8"/>
    <w:rsid w:val="00A43DF2"/>
    <w:rsid w:val="00A445A8"/>
    <w:rsid w:val="00A44B0D"/>
    <w:rsid w:val="00A44D21"/>
    <w:rsid w:val="00A45087"/>
    <w:rsid w:val="00A45489"/>
    <w:rsid w:val="00A45CED"/>
    <w:rsid w:val="00A465E9"/>
    <w:rsid w:val="00A468E7"/>
    <w:rsid w:val="00A46DE0"/>
    <w:rsid w:val="00A478BA"/>
    <w:rsid w:val="00A50D73"/>
    <w:rsid w:val="00A518BB"/>
    <w:rsid w:val="00A52348"/>
    <w:rsid w:val="00A52A88"/>
    <w:rsid w:val="00A52CAD"/>
    <w:rsid w:val="00A53FC7"/>
    <w:rsid w:val="00A546EA"/>
    <w:rsid w:val="00A55569"/>
    <w:rsid w:val="00A566A0"/>
    <w:rsid w:val="00A601E7"/>
    <w:rsid w:val="00A60A11"/>
    <w:rsid w:val="00A60AC1"/>
    <w:rsid w:val="00A6236A"/>
    <w:rsid w:val="00A626FF"/>
    <w:rsid w:val="00A62CE1"/>
    <w:rsid w:val="00A65469"/>
    <w:rsid w:val="00A65528"/>
    <w:rsid w:val="00A655D3"/>
    <w:rsid w:val="00A662D9"/>
    <w:rsid w:val="00A66EDD"/>
    <w:rsid w:val="00A66F79"/>
    <w:rsid w:val="00A6741E"/>
    <w:rsid w:val="00A67A99"/>
    <w:rsid w:val="00A67E29"/>
    <w:rsid w:val="00A7016A"/>
    <w:rsid w:val="00A7018D"/>
    <w:rsid w:val="00A7191D"/>
    <w:rsid w:val="00A722F9"/>
    <w:rsid w:val="00A72D42"/>
    <w:rsid w:val="00A72F8E"/>
    <w:rsid w:val="00A746C9"/>
    <w:rsid w:val="00A74C2A"/>
    <w:rsid w:val="00A75E40"/>
    <w:rsid w:val="00A76818"/>
    <w:rsid w:val="00A77D1D"/>
    <w:rsid w:val="00A8119D"/>
    <w:rsid w:val="00A81652"/>
    <w:rsid w:val="00A82C91"/>
    <w:rsid w:val="00A83150"/>
    <w:rsid w:val="00A83398"/>
    <w:rsid w:val="00A83D6E"/>
    <w:rsid w:val="00A83FD5"/>
    <w:rsid w:val="00A8521A"/>
    <w:rsid w:val="00A857C0"/>
    <w:rsid w:val="00A85ACB"/>
    <w:rsid w:val="00A90F2C"/>
    <w:rsid w:val="00A90FED"/>
    <w:rsid w:val="00A91482"/>
    <w:rsid w:val="00A9189D"/>
    <w:rsid w:val="00A91E71"/>
    <w:rsid w:val="00A923D5"/>
    <w:rsid w:val="00A925B1"/>
    <w:rsid w:val="00A92A3E"/>
    <w:rsid w:val="00A934F9"/>
    <w:rsid w:val="00A940E3"/>
    <w:rsid w:val="00A94983"/>
    <w:rsid w:val="00A95DA3"/>
    <w:rsid w:val="00A95F1A"/>
    <w:rsid w:val="00A96116"/>
    <w:rsid w:val="00A9614E"/>
    <w:rsid w:val="00A96422"/>
    <w:rsid w:val="00A96C0F"/>
    <w:rsid w:val="00A97075"/>
    <w:rsid w:val="00A97E05"/>
    <w:rsid w:val="00AA0E80"/>
    <w:rsid w:val="00AA17CD"/>
    <w:rsid w:val="00AA1D85"/>
    <w:rsid w:val="00AA212F"/>
    <w:rsid w:val="00AA26A9"/>
    <w:rsid w:val="00AA2996"/>
    <w:rsid w:val="00AA2AF4"/>
    <w:rsid w:val="00AA33FB"/>
    <w:rsid w:val="00AA41B7"/>
    <w:rsid w:val="00AA4282"/>
    <w:rsid w:val="00AA43F2"/>
    <w:rsid w:val="00AA4790"/>
    <w:rsid w:val="00AA52BF"/>
    <w:rsid w:val="00AA559A"/>
    <w:rsid w:val="00AA6C31"/>
    <w:rsid w:val="00AA6CDA"/>
    <w:rsid w:val="00AA7752"/>
    <w:rsid w:val="00AA7CE8"/>
    <w:rsid w:val="00AB0E44"/>
    <w:rsid w:val="00AB0F19"/>
    <w:rsid w:val="00AB1457"/>
    <w:rsid w:val="00AB2AF1"/>
    <w:rsid w:val="00AB345C"/>
    <w:rsid w:val="00AB3EC7"/>
    <w:rsid w:val="00AB5898"/>
    <w:rsid w:val="00AB5A64"/>
    <w:rsid w:val="00AB5CA1"/>
    <w:rsid w:val="00AB61AA"/>
    <w:rsid w:val="00AB6456"/>
    <w:rsid w:val="00AB75C5"/>
    <w:rsid w:val="00AC044E"/>
    <w:rsid w:val="00AC089C"/>
    <w:rsid w:val="00AC2118"/>
    <w:rsid w:val="00AC2395"/>
    <w:rsid w:val="00AC2960"/>
    <w:rsid w:val="00AC2AC4"/>
    <w:rsid w:val="00AC4284"/>
    <w:rsid w:val="00AC45BD"/>
    <w:rsid w:val="00AC4B69"/>
    <w:rsid w:val="00AC50BB"/>
    <w:rsid w:val="00AC597D"/>
    <w:rsid w:val="00AC6A7B"/>
    <w:rsid w:val="00AD066C"/>
    <w:rsid w:val="00AD0B22"/>
    <w:rsid w:val="00AD0EE7"/>
    <w:rsid w:val="00AD168E"/>
    <w:rsid w:val="00AD306C"/>
    <w:rsid w:val="00AD44CD"/>
    <w:rsid w:val="00AD583C"/>
    <w:rsid w:val="00AD5AD2"/>
    <w:rsid w:val="00AD6462"/>
    <w:rsid w:val="00AD6656"/>
    <w:rsid w:val="00AD66C5"/>
    <w:rsid w:val="00AD68C4"/>
    <w:rsid w:val="00AD71F9"/>
    <w:rsid w:val="00AD7D55"/>
    <w:rsid w:val="00AE09B3"/>
    <w:rsid w:val="00AE0C9E"/>
    <w:rsid w:val="00AE0DD4"/>
    <w:rsid w:val="00AE1A83"/>
    <w:rsid w:val="00AE2AE9"/>
    <w:rsid w:val="00AE2AFA"/>
    <w:rsid w:val="00AE30BE"/>
    <w:rsid w:val="00AE3E6A"/>
    <w:rsid w:val="00AE4A4F"/>
    <w:rsid w:val="00AE6414"/>
    <w:rsid w:val="00AE7269"/>
    <w:rsid w:val="00AE797C"/>
    <w:rsid w:val="00AE7CE7"/>
    <w:rsid w:val="00AE7FAB"/>
    <w:rsid w:val="00AE7FB6"/>
    <w:rsid w:val="00AF0DE4"/>
    <w:rsid w:val="00AF1E87"/>
    <w:rsid w:val="00AF22CD"/>
    <w:rsid w:val="00AF436B"/>
    <w:rsid w:val="00AF5179"/>
    <w:rsid w:val="00AF5CC2"/>
    <w:rsid w:val="00AF6776"/>
    <w:rsid w:val="00AF6883"/>
    <w:rsid w:val="00AF6F98"/>
    <w:rsid w:val="00AF75F2"/>
    <w:rsid w:val="00B00550"/>
    <w:rsid w:val="00B00913"/>
    <w:rsid w:val="00B01593"/>
    <w:rsid w:val="00B01FF9"/>
    <w:rsid w:val="00B023F2"/>
    <w:rsid w:val="00B026FE"/>
    <w:rsid w:val="00B038CA"/>
    <w:rsid w:val="00B05F00"/>
    <w:rsid w:val="00B06DB4"/>
    <w:rsid w:val="00B06EFE"/>
    <w:rsid w:val="00B0750D"/>
    <w:rsid w:val="00B0799C"/>
    <w:rsid w:val="00B102CE"/>
    <w:rsid w:val="00B10594"/>
    <w:rsid w:val="00B10A4D"/>
    <w:rsid w:val="00B10C90"/>
    <w:rsid w:val="00B11002"/>
    <w:rsid w:val="00B1114F"/>
    <w:rsid w:val="00B121B2"/>
    <w:rsid w:val="00B131B1"/>
    <w:rsid w:val="00B141B6"/>
    <w:rsid w:val="00B14BC1"/>
    <w:rsid w:val="00B14E32"/>
    <w:rsid w:val="00B162C3"/>
    <w:rsid w:val="00B16DD1"/>
    <w:rsid w:val="00B16EB8"/>
    <w:rsid w:val="00B17E71"/>
    <w:rsid w:val="00B17FDE"/>
    <w:rsid w:val="00B20632"/>
    <w:rsid w:val="00B22499"/>
    <w:rsid w:val="00B236B6"/>
    <w:rsid w:val="00B2379C"/>
    <w:rsid w:val="00B23D5D"/>
    <w:rsid w:val="00B23E6E"/>
    <w:rsid w:val="00B2450C"/>
    <w:rsid w:val="00B2687D"/>
    <w:rsid w:val="00B27948"/>
    <w:rsid w:val="00B27F6C"/>
    <w:rsid w:val="00B301DB"/>
    <w:rsid w:val="00B3108D"/>
    <w:rsid w:val="00B31693"/>
    <w:rsid w:val="00B32DDB"/>
    <w:rsid w:val="00B32F57"/>
    <w:rsid w:val="00B3345C"/>
    <w:rsid w:val="00B34528"/>
    <w:rsid w:val="00B34CC9"/>
    <w:rsid w:val="00B34CDA"/>
    <w:rsid w:val="00B3563B"/>
    <w:rsid w:val="00B36BDC"/>
    <w:rsid w:val="00B37499"/>
    <w:rsid w:val="00B37D3A"/>
    <w:rsid w:val="00B37D96"/>
    <w:rsid w:val="00B402FC"/>
    <w:rsid w:val="00B422E2"/>
    <w:rsid w:val="00B4236C"/>
    <w:rsid w:val="00B42D5F"/>
    <w:rsid w:val="00B43216"/>
    <w:rsid w:val="00B439DA"/>
    <w:rsid w:val="00B4411A"/>
    <w:rsid w:val="00B45FE8"/>
    <w:rsid w:val="00B46604"/>
    <w:rsid w:val="00B47089"/>
    <w:rsid w:val="00B47587"/>
    <w:rsid w:val="00B52151"/>
    <w:rsid w:val="00B530CD"/>
    <w:rsid w:val="00B53639"/>
    <w:rsid w:val="00B53C7D"/>
    <w:rsid w:val="00B53E56"/>
    <w:rsid w:val="00B5407D"/>
    <w:rsid w:val="00B54FC0"/>
    <w:rsid w:val="00B55A97"/>
    <w:rsid w:val="00B55F5E"/>
    <w:rsid w:val="00B5642C"/>
    <w:rsid w:val="00B5658D"/>
    <w:rsid w:val="00B56B6F"/>
    <w:rsid w:val="00B5752E"/>
    <w:rsid w:val="00B6074F"/>
    <w:rsid w:val="00B60AC1"/>
    <w:rsid w:val="00B61FF6"/>
    <w:rsid w:val="00B62316"/>
    <w:rsid w:val="00B623D7"/>
    <w:rsid w:val="00B63A11"/>
    <w:rsid w:val="00B64425"/>
    <w:rsid w:val="00B64C24"/>
    <w:rsid w:val="00B65CEF"/>
    <w:rsid w:val="00B65E90"/>
    <w:rsid w:val="00B6608F"/>
    <w:rsid w:val="00B67749"/>
    <w:rsid w:val="00B679FB"/>
    <w:rsid w:val="00B717C4"/>
    <w:rsid w:val="00B71FBF"/>
    <w:rsid w:val="00B72287"/>
    <w:rsid w:val="00B734A0"/>
    <w:rsid w:val="00B73A14"/>
    <w:rsid w:val="00B74433"/>
    <w:rsid w:val="00B748BD"/>
    <w:rsid w:val="00B74EA8"/>
    <w:rsid w:val="00B7680F"/>
    <w:rsid w:val="00B76B48"/>
    <w:rsid w:val="00B76D1E"/>
    <w:rsid w:val="00B77543"/>
    <w:rsid w:val="00B77584"/>
    <w:rsid w:val="00B80544"/>
    <w:rsid w:val="00B80D89"/>
    <w:rsid w:val="00B80EC6"/>
    <w:rsid w:val="00B81288"/>
    <w:rsid w:val="00B81D70"/>
    <w:rsid w:val="00B833B9"/>
    <w:rsid w:val="00B83AAF"/>
    <w:rsid w:val="00B83E07"/>
    <w:rsid w:val="00B84CF6"/>
    <w:rsid w:val="00B85016"/>
    <w:rsid w:val="00B8561A"/>
    <w:rsid w:val="00B86643"/>
    <w:rsid w:val="00B868F7"/>
    <w:rsid w:val="00B90131"/>
    <w:rsid w:val="00B9123C"/>
    <w:rsid w:val="00B92951"/>
    <w:rsid w:val="00B92C05"/>
    <w:rsid w:val="00B92D1D"/>
    <w:rsid w:val="00B92D7E"/>
    <w:rsid w:val="00B930CE"/>
    <w:rsid w:val="00B938C5"/>
    <w:rsid w:val="00B940A8"/>
    <w:rsid w:val="00B94ADB"/>
    <w:rsid w:val="00B9554A"/>
    <w:rsid w:val="00B95940"/>
    <w:rsid w:val="00B95ACA"/>
    <w:rsid w:val="00B96D74"/>
    <w:rsid w:val="00B9720E"/>
    <w:rsid w:val="00B97ACC"/>
    <w:rsid w:val="00B97FE2"/>
    <w:rsid w:val="00BA08E1"/>
    <w:rsid w:val="00BA0E0B"/>
    <w:rsid w:val="00BA201A"/>
    <w:rsid w:val="00BA361D"/>
    <w:rsid w:val="00BA3787"/>
    <w:rsid w:val="00BA403A"/>
    <w:rsid w:val="00BA46E8"/>
    <w:rsid w:val="00BA4AE9"/>
    <w:rsid w:val="00BA4E19"/>
    <w:rsid w:val="00BA6436"/>
    <w:rsid w:val="00BA64F2"/>
    <w:rsid w:val="00BA684E"/>
    <w:rsid w:val="00BA6C2B"/>
    <w:rsid w:val="00BA7AF6"/>
    <w:rsid w:val="00BA7B64"/>
    <w:rsid w:val="00BB02A3"/>
    <w:rsid w:val="00BB0351"/>
    <w:rsid w:val="00BB03DB"/>
    <w:rsid w:val="00BB069B"/>
    <w:rsid w:val="00BB15C3"/>
    <w:rsid w:val="00BB1948"/>
    <w:rsid w:val="00BB1AF4"/>
    <w:rsid w:val="00BB2202"/>
    <w:rsid w:val="00BB39E7"/>
    <w:rsid w:val="00BB3C6B"/>
    <w:rsid w:val="00BB3FD6"/>
    <w:rsid w:val="00BB453F"/>
    <w:rsid w:val="00BB46F3"/>
    <w:rsid w:val="00BB4A71"/>
    <w:rsid w:val="00BB4CB1"/>
    <w:rsid w:val="00BB4F98"/>
    <w:rsid w:val="00BB5AB2"/>
    <w:rsid w:val="00BB5ABF"/>
    <w:rsid w:val="00BB6EA2"/>
    <w:rsid w:val="00BB7B5B"/>
    <w:rsid w:val="00BB7EB1"/>
    <w:rsid w:val="00BC003F"/>
    <w:rsid w:val="00BC0930"/>
    <w:rsid w:val="00BC1048"/>
    <w:rsid w:val="00BC17C7"/>
    <w:rsid w:val="00BC327F"/>
    <w:rsid w:val="00BC3512"/>
    <w:rsid w:val="00BC4B35"/>
    <w:rsid w:val="00BC50BE"/>
    <w:rsid w:val="00BC5332"/>
    <w:rsid w:val="00BC5715"/>
    <w:rsid w:val="00BC5C12"/>
    <w:rsid w:val="00BC641B"/>
    <w:rsid w:val="00BC65A2"/>
    <w:rsid w:val="00BC7154"/>
    <w:rsid w:val="00BC731E"/>
    <w:rsid w:val="00BC7614"/>
    <w:rsid w:val="00BC7AC9"/>
    <w:rsid w:val="00BC7E2C"/>
    <w:rsid w:val="00BD041B"/>
    <w:rsid w:val="00BD054B"/>
    <w:rsid w:val="00BD05DF"/>
    <w:rsid w:val="00BD177E"/>
    <w:rsid w:val="00BD1839"/>
    <w:rsid w:val="00BD25BB"/>
    <w:rsid w:val="00BD2AF8"/>
    <w:rsid w:val="00BD366B"/>
    <w:rsid w:val="00BD3C09"/>
    <w:rsid w:val="00BD410B"/>
    <w:rsid w:val="00BD4A73"/>
    <w:rsid w:val="00BD6C75"/>
    <w:rsid w:val="00BD6D50"/>
    <w:rsid w:val="00BD73D2"/>
    <w:rsid w:val="00BD7958"/>
    <w:rsid w:val="00BE04B0"/>
    <w:rsid w:val="00BE0AD1"/>
    <w:rsid w:val="00BE0EF9"/>
    <w:rsid w:val="00BE10A1"/>
    <w:rsid w:val="00BE12CC"/>
    <w:rsid w:val="00BE18B9"/>
    <w:rsid w:val="00BE190A"/>
    <w:rsid w:val="00BE2495"/>
    <w:rsid w:val="00BE24DD"/>
    <w:rsid w:val="00BE2A8A"/>
    <w:rsid w:val="00BE386D"/>
    <w:rsid w:val="00BE54BF"/>
    <w:rsid w:val="00BE557B"/>
    <w:rsid w:val="00BE6AB5"/>
    <w:rsid w:val="00BE7F5F"/>
    <w:rsid w:val="00BF02C8"/>
    <w:rsid w:val="00BF0996"/>
    <w:rsid w:val="00BF1578"/>
    <w:rsid w:val="00BF15CA"/>
    <w:rsid w:val="00BF1D12"/>
    <w:rsid w:val="00BF1D3A"/>
    <w:rsid w:val="00BF2B5B"/>
    <w:rsid w:val="00BF2D41"/>
    <w:rsid w:val="00BF3274"/>
    <w:rsid w:val="00BF32DC"/>
    <w:rsid w:val="00BF4329"/>
    <w:rsid w:val="00BF4E43"/>
    <w:rsid w:val="00BF5C4C"/>
    <w:rsid w:val="00BF77FC"/>
    <w:rsid w:val="00C0062B"/>
    <w:rsid w:val="00C006D6"/>
    <w:rsid w:val="00C00BD7"/>
    <w:rsid w:val="00C012F4"/>
    <w:rsid w:val="00C01410"/>
    <w:rsid w:val="00C04B78"/>
    <w:rsid w:val="00C052AA"/>
    <w:rsid w:val="00C06EE3"/>
    <w:rsid w:val="00C070A5"/>
    <w:rsid w:val="00C075AB"/>
    <w:rsid w:val="00C07749"/>
    <w:rsid w:val="00C11244"/>
    <w:rsid w:val="00C11D48"/>
    <w:rsid w:val="00C1246C"/>
    <w:rsid w:val="00C12617"/>
    <w:rsid w:val="00C12FBA"/>
    <w:rsid w:val="00C1493E"/>
    <w:rsid w:val="00C15DBD"/>
    <w:rsid w:val="00C2010D"/>
    <w:rsid w:val="00C20376"/>
    <w:rsid w:val="00C20CB5"/>
    <w:rsid w:val="00C21430"/>
    <w:rsid w:val="00C21606"/>
    <w:rsid w:val="00C216DF"/>
    <w:rsid w:val="00C21775"/>
    <w:rsid w:val="00C21E61"/>
    <w:rsid w:val="00C21F94"/>
    <w:rsid w:val="00C234DB"/>
    <w:rsid w:val="00C2479A"/>
    <w:rsid w:val="00C24903"/>
    <w:rsid w:val="00C2590D"/>
    <w:rsid w:val="00C25D9C"/>
    <w:rsid w:val="00C27913"/>
    <w:rsid w:val="00C300E2"/>
    <w:rsid w:val="00C31F21"/>
    <w:rsid w:val="00C32073"/>
    <w:rsid w:val="00C32631"/>
    <w:rsid w:val="00C32C4E"/>
    <w:rsid w:val="00C33301"/>
    <w:rsid w:val="00C33311"/>
    <w:rsid w:val="00C33B68"/>
    <w:rsid w:val="00C347AE"/>
    <w:rsid w:val="00C35570"/>
    <w:rsid w:val="00C35A2A"/>
    <w:rsid w:val="00C36A79"/>
    <w:rsid w:val="00C401A9"/>
    <w:rsid w:val="00C401D2"/>
    <w:rsid w:val="00C4031A"/>
    <w:rsid w:val="00C405D4"/>
    <w:rsid w:val="00C419D5"/>
    <w:rsid w:val="00C41D54"/>
    <w:rsid w:val="00C42EBB"/>
    <w:rsid w:val="00C4513B"/>
    <w:rsid w:val="00C475E8"/>
    <w:rsid w:val="00C5051D"/>
    <w:rsid w:val="00C50E79"/>
    <w:rsid w:val="00C5197D"/>
    <w:rsid w:val="00C52484"/>
    <w:rsid w:val="00C525FB"/>
    <w:rsid w:val="00C5390B"/>
    <w:rsid w:val="00C54257"/>
    <w:rsid w:val="00C54697"/>
    <w:rsid w:val="00C54710"/>
    <w:rsid w:val="00C550CE"/>
    <w:rsid w:val="00C553A5"/>
    <w:rsid w:val="00C55402"/>
    <w:rsid w:val="00C55EFB"/>
    <w:rsid w:val="00C5603B"/>
    <w:rsid w:val="00C61F47"/>
    <w:rsid w:val="00C62828"/>
    <w:rsid w:val="00C63419"/>
    <w:rsid w:val="00C715CC"/>
    <w:rsid w:val="00C719A3"/>
    <w:rsid w:val="00C71D2F"/>
    <w:rsid w:val="00C72984"/>
    <w:rsid w:val="00C73885"/>
    <w:rsid w:val="00C73C93"/>
    <w:rsid w:val="00C7435A"/>
    <w:rsid w:val="00C747B1"/>
    <w:rsid w:val="00C74874"/>
    <w:rsid w:val="00C75510"/>
    <w:rsid w:val="00C755F9"/>
    <w:rsid w:val="00C756D8"/>
    <w:rsid w:val="00C75752"/>
    <w:rsid w:val="00C770C9"/>
    <w:rsid w:val="00C80E75"/>
    <w:rsid w:val="00C81070"/>
    <w:rsid w:val="00C8174E"/>
    <w:rsid w:val="00C81AC8"/>
    <w:rsid w:val="00C82191"/>
    <w:rsid w:val="00C83134"/>
    <w:rsid w:val="00C831E7"/>
    <w:rsid w:val="00C832F3"/>
    <w:rsid w:val="00C84307"/>
    <w:rsid w:val="00C844D4"/>
    <w:rsid w:val="00C845A4"/>
    <w:rsid w:val="00C85047"/>
    <w:rsid w:val="00C85545"/>
    <w:rsid w:val="00C855B5"/>
    <w:rsid w:val="00C85F0E"/>
    <w:rsid w:val="00C87F4F"/>
    <w:rsid w:val="00C90CF4"/>
    <w:rsid w:val="00C91C20"/>
    <w:rsid w:val="00C922DE"/>
    <w:rsid w:val="00C92843"/>
    <w:rsid w:val="00C92EB6"/>
    <w:rsid w:val="00C93389"/>
    <w:rsid w:val="00C948E6"/>
    <w:rsid w:val="00C94B0E"/>
    <w:rsid w:val="00C94CDD"/>
    <w:rsid w:val="00C9507E"/>
    <w:rsid w:val="00C95F09"/>
    <w:rsid w:val="00C96C69"/>
    <w:rsid w:val="00C972CB"/>
    <w:rsid w:val="00C97588"/>
    <w:rsid w:val="00CA0346"/>
    <w:rsid w:val="00CA0DA1"/>
    <w:rsid w:val="00CA14C2"/>
    <w:rsid w:val="00CA1BD6"/>
    <w:rsid w:val="00CA2D45"/>
    <w:rsid w:val="00CA37FF"/>
    <w:rsid w:val="00CA423A"/>
    <w:rsid w:val="00CA47BC"/>
    <w:rsid w:val="00CA5EAD"/>
    <w:rsid w:val="00CA6AB4"/>
    <w:rsid w:val="00CA7255"/>
    <w:rsid w:val="00CB1BEE"/>
    <w:rsid w:val="00CB2351"/>
    <w:rsid w:val="00CB3610"/>
    <w:rsid w:val="00CB3818"/>
    <w:rsid w:val="00CB39E6"/>
    <w:rsid w:val="00CB3BE4"/>
    <w:rsid w:val="00CB481D"/>
    <w:rsid w:val="00CB4930"/>
    <w:rsid w:val="00CB4BA9"/>
    <w:rsid w:val="00CB4C63"/>
    <w:rsid w:val="00CB5A48"/>
    <w:rsid w:val="00CB5E10"/>
    <w:rsid w:val="00CB5EAD"/>
    <w:rsid w:val="00CB613B"/>
    <w:rsid w:val="00CB6152"/>
    <w:rsid w:val="00CB632B"/>
    <w:rsid w:val="00CB64E1"/>
    <w:rsid w:val="00CB6E4D"/>
    <w:rsid w:val="00CB7BCB"/>
    <w:rsid w:val="00CC042C"/>
    <w:rsid w:val="00CC0834"/>
    <w:rsid w:val="00CC0AEA"/>
    <w:rsid w:val="00CC20FE"/>
    <w:rsid w:val="00CC2E7D"/>
    <w:rsid w:val="00CC3C55"/>
    <w:rsid w:val="00CC5BE8"/>
    <w:rsid w:val="00CC612B"/>
    <w:rsid w:val="00CC655F"/>
    <w:rsid w:val="00CC66F9"/>
    <w:rsid w:val="00CC6C2A"/>
    <w:rsid w:val="00CC6FE5"/>
    <w:rsid w:val="00CC7458"/>
    <w:rsid w:val="00CC76BD"/>
    <w:rsid w:val="00CC77E8"/>
    <w:rsid w:val="00CC7A87"/>
    <w:rsid w:val="00CD0D6B"/>
    <w:rsid w:val="00CD0EA7"/>
    <w:rsid w:val="00CD10A5"/>
    <w:rsid w:val="00CD1129"/>
    <w:rsid w:val="00CD128E"/>
    <w:rsid w:val="00CD1A80"/>
    <w:rsid w:val="00CD1CB5"/>
    <w:rsid w:val="00CD2076"/>
    <w:rsid w:val="00CD24CE"/>
    <w:rsid w:val="00CD29B5"/>
    <w:rsid w:val="00CD2B78"/>
    <w:rsid w:val="00CD3FAB"/>
    <w:rsid w:val="00CD4DF9"/>
    <w:rsid w:val="00CD5456"/>
    <w:rsid w:val="00CD5C3E"/>
    <w:rsid w:val="00CD5C57"/>
    <w:rsid w:val="00CD6331"/>
    <w:rsid w:val="00CE0FE9"/>
    <w:rsid w:val="00CE14BE"/>
    <w:rsid w:val="00CE17A4"/>
    <w:rsid w:val="00CE1BA9"/>
    <w:rsid w:val="00CE2383"/>
    <w:rsid w:val="00CE2D8F"/>
    <w:rsid w:val="00CE3E48"/>
    <w:rsid w:val="00CE47B8"/>
    <w:rsid w:val="00CE62FA"/>
    <w:rsid w:val="00CE6494"/>
    <w:rsid w:val="00CE670B"/>
    <w:rsid w:val="00CE6833"/>
    <w:rsid w:val="00CE6E27"/>
    <w:rsid w:val="00CF0081"/>
    <w:rsid w:val="00CF020B"/>
    <w:rsid w:val="00CF2E4D"/>
    <w:rsid w:val="00CF4205"/>
    <w:rsid w:val="00CF4908"/>
    <w:rsid w:val="00CF51EC"/>
    <w:rsid w:val="00CF545D"/>
    <w:rsid w:val="00CF5873"/>
    <w:rsid w:val="00CF73AE"/>
    <w:rsid w:val="00CF7777"/>
    <w:rsid w:val="00CF7E70"/>
    <w:rsid w:val="00D0085A"/>
    <w:rsid w:val="00D0197F"/>
    <w:rsid w:val="00D01B31"/>
    <w:rsid w:val="00D0242D"/>
    <w:rsid w:val="00D02716"/>
    <w:rsid w:val="00D02999"/>
    <w:rsid w:val="00D02A35"/>
    <w:rsid w:val="00D02B89"/>
    <w:rsid w:val="00D03A72"/>
    <w:rsid w:val="00D040DD"/>
    <w:rsid w:val="00D04101"/>
    <w:rsid w:val="00D04134"/>
    <w:rsid w:val="00D05C65"/>
    <w:rsid w:val="00D0686E"/>
    <w:rsid w:val="00D06B56"/>
    <w:rsid w:val="00D06D68"/>
    <w:rsid w:val="00D075BE"/>
    <w:rsid w:val="00D07AFF"/>
    <w:rsid w:val="00D07BC1"/>
    <w:rsid w:val="00D10BDD"/>
    <w:rsid w:val="00D10C15"/>
    <w:rsid w:val="00D11011"/>
    <w:rsid w:val="00D11476"/>
    <w:rsid w:val="00D12C25"/>
    <w:rsid w:val="00D133B4"/>
    <w:rsid w:val="00D13829"/>
    <w:rsid w:val="00D13986"/>
    <w:rsid w:val="00D14C5B"/>
    <w:rsid w:val="00D152E7"/>
    <w:rsid w:val="00D15FED"/>
    <w:rsid w:val="00D16712"/>
    <w:rsid w:val="00D16D59"/>
    <w:rsid w:val="00D2000D"/>
    <w:rsid w:val="00D2007D"/>
    <w:rsid w:val="00D202E5"/>
    <w:rsid w:val="00D205DA"/>
    <w:rsid w:val="00D214EF"/>
    <w:rsid w:val="00D215B0"/>
    <w:rsid w:val="00D21D6D"/>
    <w:rsid w:val="00D21D83"/>
    <w:rsid w:val="00D22A47"/>
    <w:rsid w:val="00D22AE8"/>
    <w:rsid w:val="00D235B7"/>
    <w:rsid w:val="00D23FAE"/>
    <w:rsid w:val="00D25F28"/>
    <w:rsid w:val="00D26071"/>
    <w:rsid w:val="00D260C7"/>
    <w:rsid w:val="00D2638A"/>
    <w:rsid w:val="00D269B9"/>
    <w:rsid w:val="00D27973"/>
    <w:rsid w:val="00D27F3A"/>
    <w:rsid w:val="00D31537"/>
    <w:rsid w:val="00D31E1E"/>
    <w:rsid w:val="00D322A0"/>
    <w:rsid w:val="00D32824"/>
    <w:rsid w:val="00D334E2"/>
    <w:rsid w:val="00D33FC5"/>
    <w:rsid w:val="00D34342"/>
    <w:rsid w:val="00D34835"/>
    <w:rsid w:val="00D34A5A"/>
    <w:rsid w:val="00D350B1"/>
    <w:rsid w:val="00D3546A"/>
    <w:rsid w:val="00D35AD6"/>
    <w:rsid w:val="00D35BBB"/>
    <w:rsid w:val="00D35E1A"/>
    <w:rsid w:val="00D3640A"/>
    <w:rsid w:val="00D36B0A"/>
    <w:rsid w:val="00D36DFB"/>
    <w:rsid w:val="00D36E1C"/>
    <w:rsid w:val="00D373AF"/>
    <w:rsid w:val="00D40556"/>
    <w:rsid w:val="00D406BB"/>
    <w:rsid w:val="00D40E6C"/>
    <w:rsid w:val="00D418B1"/>
    <w:rsid w:val="00D41A44"/>
    <w:rsid w:val="00D41F74"/>
    <w:rsid w:val="00D428C8"/>
    <w:rsid w:val="00D43034"/>
    <w:rsid w:val="00D43ED2"/>
    <w:rsid w:val="00D447B8"/>
    <w:rsid w:val="00D5040A"/>
    <w:rsid w:val="00D50F46"/>
    <w:rsid w:val="00D52084"/>
    <w:rsid w:val="00D5376B"/>
    <w:rsid w:val="00D5384E"/>
    <w:rsid w:val="00D544E7"/>
    <w:rsid w:val="00D545CD"/>
    <w:rsid w:val="00D5499F"/>
    <w:rsid w:val="00D5560A"/>
    <w:rsid w:val="00D56FBF"/>
    <w:rsid w:val="00D57677"/>
    <w:rsid w:val="00D5781F"/>
    <w:rsid w:val="00D60415"/>
    <w:rsid w:val="00D60DE7"/>
    <w:rsid w:val="00D60E3C"/>
    <w:rsid w:val="00D61FAB"/>
    <w:rsid w:val="00D63BE5"/>
    <w:rsid w:val="00D64735"/>
    <w:rsid w:val="00D6475F"/>
    <w:rsid w:val="00D655D4"/>
    <w:rsid w:val="00D66223"/>
    <w:rsid w:val="00D667B8"/>
    <w:rsid w:val="00D70289"/>
    <w:rsid w:val="00D70822"/>
    <w:rsid w:val="00D70BBF"/>
    <w:rsid w:val="00D72076"/>
    <w:rsid w:val="00D72084"/>
    <w:rsid w:val="00D721B4"/>
    <w:rsid w:val="00D726A9"/>
    <w:rsid w:val="00D72DBA"/>
    <w:rsid w:val="00D73BEB"/>
    <w:rsid w:val="00D743E0"/>
    <w:rsid w:val="00D7490C"/>
    <w:rsid w:val="00D75AC1"/>
    <w:rsid w:val="00D77252"/>
    <w:rsid w:val="00D8084C"/>
    <w:rsid w:val="00D81809"/>
    <w:rsid w:val="00D82EF1"/>
    <w:rsid w:val="00D84F43"/>
    <w:rsid w:val="00D85114"/>
    <w:rsid w:val="00D85821"/>
    <w:rsid w:val="00D8598C"/>
    <w:rsid w:val="00D86273"/>
    <w:rsid w:val="00D87C06"/>
    <w:rsid w:val="00D914D6"/>
    <w:rsid w:val="00D915EA"/>
    <w:rsid w:val="00D91620"/>
    <w:rsid w:val="00D919ED"/>
    <w:rsid w:val="00D922A1"/>
    <w:rsid w:val="00D928BE"/>
    <w:rsid w:val="00D932B8"/>
    <w:rsid w:val="00D95302"/>
    <w:rsid w:val="00D95C5D"/>
    <w:rsid w:val="00D96AFE"/>
    <w:rsid w:val="00D97D00"/>
    <w:rsid w:val="00DA096C"/>
    <w:rsid w:val="00DA1AB6"/>
    <w:rsid w:val="00DA1C5D"/>
    <w:rsid w:val="00DA2E65"/>
    <w:rsid w:val="00DA345F"/>
    <w:rsid w:val="00DA3ADF"/>
    <w:rsid w:val="00DA3D0F"/>
    <w:rsid w:val="00DA4174"/>
    <w:rsid w:val="00DA544C"/>
    <w:rsid w:val="00DA5F8E"/>
    <w:rsid w:val="00DA6364"/>
    <w:rsid w:val="00DA7114"/>
    <w:rsid w:val="00DA7C0C"/>
    <w:rsid w:val="00DB03DD"/>
    <w:rsid w:val="00DB08A9"/>
    <w:rsid w:val="00DB0B33"/>
    <w:rsid w:val="00DB0FD9"/>
    <w:rsid w:val="00DB2DFA"/>
    <w:rsid w:val="00DB2EC8"/>
    <w:rsid w:val="00DB321D"/>
    <w:rsid w:val="00DB459B"/>
    <w:rsid w:val="00DB47FD"/>
    <w:rsid w:val="00DB5E3A"/>
    <w:rsid w:val="00DB5E9A"/>
    <w:rsid w:val="00DB613B"/>
    <w:rsid w:val="00DB657E"/>
    <w:rsid w:val="00DB7342"/>
    <w:rsid w:val="00DB7489"/>
    <w:rsid w:val="00DC0138"/>
    <w:rsid w:val="00DC17D0"/>
    <w:rsid w:val="00DC2B41"/>
    <w:rsid w:val="00DC3128"/>
    <w:rsid w:val="00DC435B"/>
    <w:rsid w:val="00DC43C3"/>
    <w:rsid w:val="00DC53D8"/>
    <w:rsid w:val="00DC56FE"/>
    <w:rsid w:val="00DC5B3B"/>
    <w:rsid w:val="00DC6C2D"/>
    <w:rsid w:val="00DC7B1A"/>
    <w:rsid w:val="00DD0059"/>
    <w:rsid w:val="00DD04B0"/>
    <w:rsid w:val="00DD0E89"/>
    <w:rsid w:val="00DD129F"/>
    <w:rsid w:val="00DD13FC"/>
    <w:rsid w:val="00DD1A3F"/>
    <w:rsid w:val="00DD29B5"/>
    <w:rsid w:val="00DD2A4B"/>
    <w:rsid w:val="00DD2A77"/>
    <w:rsid w:val="00DD32DD"/>
    <w:rsid w:val="00DD33E8"/>
    <w:rsid w:val="00DD4463"/>
    <w:rsid w:val="00DD5287"/>
    <w:rsid w:val="00DD5B36"/>
    <w:rsid w:val="00DD7849"/>
    <w:rsid w:val="00DE03DE"/>
    <w:rsid w:val="00DE0D8B"/>
    <w:rsid w:val="00DE1237"/>
    <w:rsid w:val="00DE140F"/>
    <w:rsid w:val="00DE172A"/>
    <w:rsid w:val="00DE17E9"/>
    <w:rsid w:val="00DE2491"/>
    <w:rsid w:val="00DE31B8"/>
    <w:rsid w:val="00DE450F"/>
    <w:rsid w:val="00DE5CA6"/>
    <w:rsid w:val="00DE7AC8"/>
    <w:rsid w:val="00DF0830"/>
    <w:rsid w:val="00DF08DF"/>
    <w:rsid w:val="00DF1BCC"/>
    <w:rsid w:val="00DF2C5D"/>
    <w:rsid w:val="00DF3643"/>
    <w:rsid w:val="00DF42FF"/>
    <w:rsid w:val="00DF4369"/>
    <w:rsid w:val="00DF4423"/>
    <w:rsid w:val="00DF4ADF"/>
    <w:rsid w:val="00DF56C3"/>
    <w:rsid w:val="00DF5D1E"/>
    <w:rsid w:val="00DF5EAA"/>
    <w:rsid w:val="00DF77E4"/>
    <w:rsid w:val="00DF7F88"/>
    <w:rsid w:val="00E00B88"/>
    <w:rsid w:val="00E01C0E"/>
    <w:rsid w:val="00E02CF7"/>
    <w:rsid w:val="00E0368F"/>
    <w:rsid w:val="00E03D73"/>
    <w:rsid w:val="00E03F9A"/>
    <w:rsid w:val="00E040DA"/>
    <w:rsid w:val="00E044BF"/>
    <w:rsid w:val="00E04694"/>
    <w:rsid w:val="00E0510D"/>
    <w:rsid w:val="00E07FBC"/>
    <w:rsid w:val="00E1168B"/>
    <w:rsid w:val="00E12191"/>
    <w:rsid w:val="00E129E7"/>
    <w:rsid w:val="00E12ABE"/>
    <w:rsid w:val="00E12B1E"/>
    <w:rsid w:val="00E1394B"/>
    <w:rsid w:val="00E13995"/>
    <w:rsid w:val="00E1444C"/>
    <w:rsid w:val="00E14D38"/>
    <w:rsid w:val="00E15361"/>
    <w:rsid w:val="00E154E5"/>
    <w:rsid w:val="00E158D7"/>
    <w:rsid w:val="00E17262"/>
    <w:rsid w:val="00E17F36"/>
    <w:rsid w:val="00E20016"/>
    <w:rsid w:val="00E2009B"/>
    <w:rsid w:val="00E20BB9"/>
    <w:rsid w:val="00E20BCC"/>
    <w:rsid w:val="00E21413"/>
    <w:rsid w:val="00E2251C"/>
    <w:rsid w:val="00E2363D"/>
    <w:rsid w:val="00E23C6A"/>
    <w:rsid w:val="00E2484B"/>
    <w:rsid w:val="00E253A2"/>
    <w:rsid w:val="00E260F6"/>
    <w:rsid w:val="00E27127"/>
    <w:rsid w:val="00E27233"/>
    <w:rsid w:val="00E30F15"/>
    <w:rsid w:val="00E31771"/>
    <w:rsid w:val="00E3186D"/>
    <w:rsid w:val="00E31A3E"/>
    <w:rsid w:val="00E32080"/>
    <w:rsid w:val="00E3309D"/>
    <w:rsid w:val="00E350B1"/>
    <w:rsid w:val="00E3518F"/>
    <w:rsid w:val="00E357BF"/>
    <w:rsid w:val="00E35A53"/>
    <w:rsid w:val="00E3656B"/>
    <w:rsid w:val="00E3724A"/>
    <w:rsid w:val="00E378B1"/>
    <w:rsid w:val="00E37F74"/>
    <w:rsid w:val="00E40324"/>
    <w:rsid w:val="00E40BA3"/>
    <w:rsid w:val="00E417BE"/>
    <w:rsid w:val="00E41CD5"/>
    <w:rsid w:val="00E42054"/>
    <w:rsid w:val="00E4218B"/>
    <w:rsid w:val="00E4372D"/>
    <w:rsid w:val="00E43A9E"/>
    <w:rsid w:val="00E44243"/>
    <w:rsid w:val="00E444F5"/>
    <w:rsid w:val="00E453F9"/>
    <w:rsid w:val="00E45D7D"/>
    <w:rsid w:val="00E4623F"/>
    <w:rsid w:val="00E4665D"/>
    <w:rsid w:val="00E47854"/>
    <w:rsid w:val="00E47EBA"/>
    <w:rsid w:val="00E50156"/>
    <w:rsid w:val="00E504EB"/>
    <w:rsid w:val="00E5062B"/>
    <w:rsid w:val="00E5076C"/>
    <w:rsid w:val="00E50D2E"/>
    <w:rsid w:val="00E50D7D"/>
    <w:rsid w:val="00E51EF0"/>
    <w:rsid w:val="00E53470"/>
    <w:rsid w:val="00E5368D"/>
    <w:rsid w:val="00E53970"/>
    <w:rsid w:val="00E539F6"/>
    <w:rsid w:val="00E54698"/>
    <w:rsid w:val="00E54FB4"/>
    <w:rsid w:val="00E5539A"/>
    <w:rsid w:val="00E55791"/>
    <w:rsid w:val="00E55E1A"/>
    <w:rsid w:val="00E561A7"/>
    <w:rsid w:val="00E56BD7"/>
    <w:rsid w:val="00E578A2"/>
    <w:rsid w:val="00E579ED"/>
    <w:rsid w:val="00E57D86"/>
    <w:rsid w:val="00E60043"/>
    <w:rsid w:val="00E60A9D"/>
    <w:rsid w:val="00E60BEE"/>
    <w:rsid w:val="00E61740"/>
    <w:rsid w:val="00E61EB5"/>
    <w:rsid w:val="00E624E8"/>
    <w:rsid w:val="00E62F49"/>
    <w:rsid w:val="00E6324D"/>
    <w:rsid w:val="00E65084"/>
    <w:rsid w:val="00E6519D"/>
    <w:rsid w:val="00E66062"/>
    <w:rsid w:val="00E66341"/>
    <w:rsid w:val="00E6660E"/>
    <w:rsid w:val="00E66768"/>
    <w:rsid w:val="00E67305"/>
    <w:rsid w:val="00E67696"/>
    <w:rsid w:val="00E70C5F"/>
    <w:rsid w:val="00E71A58"/>
    <w:rsid w:val="00E71FB4"/>
    <w:rsid w:val="00E72A26"/>
    <w:rsid w:val="00E72A7A"/>
    <w:rsid w:val="00E7335A"/>
    <w:rsid w:val="00E7467D"/>
    <w:rsid w:val="00E747DC"/>
    <w:rsid w:val="00E74A2D"/>
    <w:rsid w:val="00E75C94"/>
    <w:rsid w:val="00E76A08"/>
    <w:rsid w:val="00E76B9B"/>
    <w:rsid w:val="00E76E61"/>
    <w:rsid w:val="00E77CC0"/>
    <w:rsid w:val="00E80B3D"/>
    <w:rsid w:val="00E80CA3"/>
    <w:rsid w:val="00E80F06"/>
    <w:rsid w:val="00E82618"/>
    <w:rsid w:val="00E844D4"/>
    <w:rsid w:val="00E84E09"/>
    <w:rsid w:val="00E85BB8"/>
    <w:rsid w:val="00E86048"/>
    <w:rsid w:val="00E86FB9"/>
    <w:rsid w:val="00E90CA8"/>
    <w:rsid w:val="00E930A1"/>
    <w:rsid w:val="00E93820"/>
    <w:rsid w:val="00E938CD"/>
    <w:rsid w:val="00E94A86"/>
    <w:rsid w:val="00E953F6"/>
    <w:rsid w:val="00E95F74"/>
    <w:rsid w:val="00E96143"/>
    <w:rsid w:val="00E96833"/>
    <w:rsid w:val="00E97506"/>
    <w:rsid w:val="00E97BB5"/>
    <w:rsid w:val="00E97F14"/>
    <w:rsid w:val="00EA0C68"/>
    <w:rsid w:val="00EA0E39"/>
    <w:rsid w:val="00EA156C"/>
    <w:rsid w:val="00EA1D0E"/>
    <w:rsid w:val="00EA1F81"/>
    <w:rsid w:val="00EA2072"/>
    <w:rsid w:val="00EA2841"/>
    <w:rsid w:val="00EA32BC"/>
    <w:rsid w:val="00EA35A7"/>
    <w:rsid w:val="00EA3B32"/>
    <w:rsid w:val="00EA3D05"/>
    <w:rsid w:val="00EA4402"/>
    <w:rsid w:val="00EA4B8D"/>
    <w:rsid w:val="00EA4F9E"/>
    <w:rsid w:val="00EA513E"/>
    <w:rsid w:val="00EA624A"/>
    <w:rsid w:val="00EA65E8"/>
    <w:rsid w:val="00EA6D0F"/>
    <w:rsid w:val="00EA7419"/>
    <w:rsid w:val="00EB0E32"/>
    <w:rsid w:val="00EB1632"/>
    <w:rsid w:val="00EB3E60"/>
    <w:rsid w:val="00EB4074"/>
    <w:rsid w:val="00EB4511"/>
    <w:rsid w:val="00EB48D7"/>
    <w:rsid w:val="00EB4A8E"/>
    <w:rsid w:val="00EB4BC5"/>
    <w:rsid w:val="00EB5BF7"/>
    <w:rsid w:val="00EB5E79"/>
    <w:rsid w:val="00EB6FAC"/>
    <w:rsid w:val="00EB7243"/>
    <w:rsid w:val="00EB7712"/>
    <w:rsid w:val="00EB7BAC"/>
    <w:rsid w:val="00EC03D7"/>
    <w:rsid w:val="00EC105F"/>
    <w:rsid w:val="00EC13A7"/>
    <w:rsid w:val="00EC24CE"/>
    <w:rsid w:val="00EC2EB6"/>
    <w:rsid w:val="00EC5A9F"/>
    <w:rsid w:val="00EC5E0C"/>
    <w:rsid w:val="00EC6267"/>
    <w:rsid w:val="00EC7221"/>
    <w:rsid w:val="00EC769F"/>
    <w:rsid w:val="00ED0EF0"/>
    <w:rsid w:val="00ED12B9"/>
    <w:rsid w:val="00ED16B8"/>
    <w:rsid w:val="00ED1A00"/>
    <w:rsid w:val="00ED1DF0"/>
    <w:rsid w:val="00ED2386"/>
    <w:rsid w:val="00ED2EA1"/>
    <w:rsid w:val="00ED3818"/>
    <w:rsid w:val="00ED3851"/>
    <w:rsid w:val="00ED3B4C"/>
    <w:rsid w:val="00ED3E51"/>
    <w:rsid w:val="00ED3F10"/>
    <w:rsid w:val="00ED4D04"/>
    <w:rsid w:val="00ED566D"/>
    <w:rsid w:val="00ED5907"/>
    <w:rsid w:val="00ED5F5B"/>
    <w:rsid w:val="00ED62C6"/>
    <w:rsid w:val="00ED64C1"/>
    <w:rsid w:val="00ED781F"/>
    <w:rsid w:val="00EE0735"/>
    <w:rsid w:val="00EE249F"/>
    <w:rsid w:val="00EE2EB4"/>
    <w:rsid w:val="00EE3446"/>
    <w:rsid w:val="00EE3E78"/>
    <w:rsid w:val="00EE40BD"/>
    <w:rsid w:val="00EE41FD"/>
    <w:rsid w:val="00EE420E"/>
    <w:rsid w:val="00EE460E"/>
    <w:rsid w:val="00EE4B1B"/>
    <w:rsid w:val="00EE5FBA"/>
    <w:rsid w:val="00EE6E06"/>
    <w:rsid w:val="00EE7179"/>
    <w:rsid w:val="00EE7D3F"/>
    <w:rsid w:val="00EF0D90"/>
    <w:rsid w:val="00EF150D"/>
    <w:rsid w:val="00EF1F5A"/>
    <w:rsid w:val="00EF23B5"/>
    <w:rsid w:val="00EF326A"/>
    <w:rsid w:val="00EF332E"/>
    <w:rsid w:val="00EF47BF"/>
    <w:rsid w:val="00EF59B1"/>
    <w:rsid w:val="00EF5A13"/>
    <w:rsid w:val="00EF5FF9"/>
    <w:rsid w:val="00EF77D4"/>
    <w:rsid w:val="00EF7CC7"/>
    <w:rsid w:val="00F00853"/>
    <w:rsid w:val="00F00866"/>
    <w:rsid w:val="00F00D29"/>
    <w:rsid w:val="00F00EC8"/>
    <w:rsid w:val="00F0160B"/>
    <w:rsid w:val="00F0193E"/>
    <w:rsid w:val="00F02F07"/>
    <w:rsid w:val="00F037FB"/>
    <w:rsid w:val="00F03E2F"/>
    <w:rsid w:val="00F03F8D"/>
    <w:rsid w:val="00F04811"/>
    <w:rsid w:val="00F0488C"/>
    <w:rsid w:val="00F05B75"/>
    <w:rsid w:val="00F073ED"/>
    <w:rsid w:val="00F07BC3"/>
    <w:rsid w:val="00F07C4C"/>
    <w:rsid w:val="00F10F11"/>
    <w:rsid w:val="00F11159"/>
    <w:rsid w:val="00F115E4"/>
    <w:rsid w:val="00F11AD8"/>
    <w:rsid w:val="00F12417"/>
    <w:rsid w:val="00F12931"/>
    <w:rsid w:val="00F12CFB"/>
    <w:rsid w:val="00F12EC0"/>
    <w:rsid w:val="00F13E60"/>
    <w:rsid w:val="00F13FDB"/>
    <w:rsid w:val="00F14055"/>
    <w:rsid w:val="00F15AAA"/>
    <w:rsid w:val="00F15BEF"/>
    <w:rsid w:val="00F17898"/>
    <w:rsid w:val="00F207C2"/>
    <w:rsid w:val="00F21337"/>
    <w:rsid w:val="00F219A1"/>
    <w:rsid w:val="00F23E20"/>
    <w:rsid w:val="00F240F7"/>
    <w:rsid w:val="00F24407"/>
    <w:rsid w:val="00F24FAA"/>
    <w:rsid w:val="00F25040"/>
    <w:rsid w:val="00F27071"/>
    <w:rsid w:val="00F27331"/>
    <w:rsid w:val="00F27EE5"/>
    <w:rsid w:val="00F27FB1"/>
    <w:rsid w:val="00F27FD6"/>
    <w:rsid w:val="00F307CB"/>
    <w:rsid w:val="00F30C5B"/>
    <w:rsid w:val="00F30C65"/>
    <w:rsid w:val="00F321D2"/>
    <w:rsid w:val="00F32649"/>
    <w:rsid w:val="00F33523"/>
    <w:rsid w:val="00F3364D"/>
    <w:rsid w:val="00F33914"/>
    <w:rsid w:val="00F349BF"/>
    <w:rsid w:val="00F34DDC"/>
    <w:rsid w:val="00F35211"/>
    <w:rsid w:val="00F36191"/>
    <w:rsid w:val="00F3629F"/>
    <w:rsid w:val="00F36DF3"/>
    <w:rsid w:val="00F37EDC"/>
    <w:rsid w:val="00F418D4"/>
    <w:rsid w:val="00F42F1C"/>
    <w:rsid w:val="00F42FF1"/>
    <w:rsid w:val="00F437CC"/>
    <w:rsid w:val="00F44537"/>
    <w:rsid w:val="00F44F17"/>
    <w:rsid w:val="00F458CC"/>
    <w:rsid w:val="00F45C94"/>
    <w:rsid w:val="00F46185"/>
    <w:rsid w:val="00F463A4"/>
    <w:rsid w:val="00F46423"/>
    <w:rsid w:val="00F4696A"/>
    <w:rsid w:val="00F47067"/>
    <w:rsid w:val="00F47234"/>
    <w:rsid w:val="00F51697"/>
    <w:rsid w:val="00F51ADD"/>
    <w:rsid w:val="00F525AB"/>
    <w:rsid w:val="00F525EB"/>
    <w:rsid w:val="00F529D3"/>
    <w:rsid w:val="00F52CB5"/>
    <w:rsid w:val="00F531E1"/>
    <w:rsid w:val="00F53378"/>
    <w:rsid w:val="00F53A68"/>
    <w:rsid w:val="00F54934"/>
    <w:rsid w:val="00F55A08"/>
    <w:rsid w:val="00F55A92"/>
    <w:rsid w:val="00F575D3"/>
    <w:rsid w:val="00F62720"/>
    <w:rsid w:val="00F62BFF"/>
    <w:rsid w:val="00F63AAE"/>
    <w:rsid w:val="00F63DDE"/>
    <w:rsid w:val="00F63FB7"/>
    <w:rsid w:val="00F6421B"/>
    <w:rsid w:val="00F6459D"/>
    <w:rsid w:val="00F647F1"/>
    <w:rsid w:val="00F649D2"/>
    <w:rsid w:val="00F6598D"/>
    <w:rsid w:val="00F65BCC"/>
    <w:rsid w:val="00F6602B"/>
    <w:rsid w:val="00F66638"/>
    <w:rsid w:val="00F6799D"/>
    <w:rsid w:val="00F70C75"/>
    <w:rsid w:val="00F7150B"/>
    <w:rsid w:val="00F717E4"/>
    <w:rsid w:val="00F71DE6"/>
    <w:rsid w:val="00F72D71"/>
    <w:rsid w:val="00F7381C"/>
    <w:rsid w:val="00F73A0C"/>
    <w:rsid w:val="00F74004"/>
    <w:rsid w:val="00F74052"/>
    <w:rsid w:val="00F7549F"/>
    <w:rsid w:val="00F756DB"/>
    <w:rsid w:val="00F757FC"/>
    <w:rsid w:val="00F767A8"/>
    <w:rsid w:val="00F77590"/>
    <w:rsid w:val="00F82A12"/>
    <w:rsid w:val="00F82D14"/>
    <w:rsid w:val="00F84E7D"/>
    <w:rsid w:val="00F85066"/>
    <w:rsid w:val="00F85575"/>
    <w:rsid w:val="00F86A3B"/>
    <w:rsid w:val="00F87619"/>
    <w:rsid w:val="00F87A4D"/>
    <w:rsid w:val="00F87C2D"/>
    <w:rsid w:val="00F92102"/>
    <w:rsid w:val="00F93688"/>
    <w:rsid w:val="00F939F3"/>
    <w:rsid w:val="00F93C6E"/>
    <w:rsid w:val="00F93F2C"/>
    <w:rsid w:val="00F94E96"/>
    <w:rsid w:val="00F962AD"/>
    <w:rsid w:val="00F9644E"/>
    <w:rsid w:val="00F97A10"/>
    <w:rsid w:val="00FA0105"/>
    <w:rsid w:val="00FA01D5"/>
    <w:rsid w:val="00FA05A0"/>
    <w:rsid w:val="00FA0AEF"/>
    <w:rsid w:val="00FA17CC"/>
    <w:rsid w:val="00FA1CFE"/>
    <w:rsid w:val="00FA1F01"/>
    <w:rsid w:val="00FA23E8"/>
    <w:rsid w:val="00FA26DF"/>
    <w:rsid w:val="00FA32BC"/>
    <w:rsid w:val="00FA34FF"/>
    <w:rsid w:val="00FA4059"/>
    <w:rsid w:val="00FA4574"/>
    <w:rsid w:val="00FA48A4"/>
    <w:rsid w:val="00FA4CB7"/>
    <w:rsid w:val="00FA50C4"/>
    <w:rsid w:val="00FA5112"/>
    <w:rsid w:val="00FA5526"/>
    <w:rsid w:val="00FA5D4D"/>
    <w:rsid w:val="00FA6084"/>
    <w:rsid w:val="00FA6831"/>
    <w:rsid w:val="00FA6CB6"/>
    <w:rsid w:val="00FA70D3"/>
    <w:rsid w:val="00FA7AEC"/>
    <w:rsid w:val="00FB062A"/>
    <w:rsid w:val="00FB0AEA"/>
    <w:rsid w:val="00FB0EE2"/>
    <w:rsid w:val="00FB1A79"/>
    <w:rsid w:val="00FB208B"/>
    <w:rsid w:val="00FB2B2D"/>
    <w:rsid w:val="00FB383D"/>
    <w:rsid w:val="00FB542E"/>
    <w:rsid w:val="00FB564F"/>
    <w:rsid w:val="00FB602B"/>
    <w:rsid w:val="00FB68F1"/>
    <w:rsid w:val="00FB7DBB"/>
    <w:rsid w:val="00FC05F8"/>
    <w:rsid w:val="00FC0E5F"/>
    <w:rsid w:val="00FC1266"/>
    <w:rsid w:val="00FC1A95"/>
    <w:rsid w:val="00FC1ED4"/>
    <w:rsid w:val="00FC35DD"/>
    <w:rsid w:val="00FC3BEC"/>
    <w:rsid w:val="00FC440B"/>
    <w:rsid w:val="00FC4431"/>
    <w:rsid w:val="00FC529C"/>
    <w:rsid w:val="00FC56DE"/>
    <w:rsid w:val="00FC59FE"/>
    <w:rsid w:val="00FC63D9"/>
    <w:rsid w:val="00FC64DE"/>
    <w:rsid w:val="00FC684B"/>
    <w:rsid w:val="00FC7D98"/>
    <w:rsid w:val="00FD03E1"/>
    <w:rsid w:val="00FD1135"/>
    <w:rsid w:val="00FD1B89"/>
    <w:rsid w:val="00FD30AD"/>
    <w:rsid w:val="00FD3265"/>
    <w:rsid w:val="00FD3CF7"/>
    <w:rsid w:val="00FD4916"/>
    <w:rsid w:val="00FD4D12"/>
    <w:rsid w:val="00FD4F73"/>
    <w:rsid w:val="00FD5049"/>
    <w:rsid w:val="00FD595E"/>
    <w:rsid w:val="00FD5A69"/>
    <w:rsid w:val="00FD5F69"/>
    <w:rsid w:val="00FD7802"/>
    <w:rsid w:val="00FE27C7"/>
    <w:rsid w:val="00FE2C7E"/>
    <w:rsid w:val="00FE2F78"/>
    <w:rsid w:val="00FE3137"/>
    <w:rsid w:val="00FE346B"/>
    <w:rsid w:val="00FE346F"/>
    <w:rsid w:val="00FE4602"/>
    <w:rsid w:val="00FE48E4"/>
    <w:rsid w:val="00FE634C"/>
    <w:rsid w:val="00FE6E69"/>
    <w:rsid w:val="00FE6E94"/>
    <w:rsid w:val="00FE6F59"/>
    <w:rsid w:val="00FE7036"/>
    <w:rsid w:val="00FF01B6"/>
    <w:rsid w:val="00FF1136"/>
    <w:rsid w:val="00FF22B6"/>
    <w:rsid w:val="00FF230E"/>
    <w:rsid w:val="00FF28CB"/>
    <w:rsid w:val="00FF3D76"/>
    <w:rsid w:val="00FF5B8C"/>
    <w:rsid w:val="00FF63E6"/>
    <w:rsid w:val="00FF70A2"/>
    <w:rsid w:val="00FF710A"/>
    <w:rsid w:val="00FF79F9"/>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02E7EBF8-5A4E-462D-AC4B-706FC6EE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Archiv\Q%20anal&#253;za\2020\2020Q4\eng\Makroanal&#253;za%20grafy_e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rchiv\Q%20anal&#253;za\2020\2020Q4\eng\Makroanal&#253;za%20grafy_e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rchiv\Q%20anal&#253;za\2020\2020Q4\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249577845322527E-2"/>
          <c:y val="2.1811335019919161E-2"/>
          <c:w val="0.92237743255066085"/>
          <c:h val="0.73318107621299466"/>
        </c:manualLayout>
      </c:layout>
      <c:barChart>
        <c:barDir val="col"/>
        <c:grouping val="clustered"/>
        <c:varyColors val="0"/>
        <c:ser>
          <c:idx val="0"/>
          <c:order val="0"/>
          <c:tx>
            <c:strRef>
              <c:f>'Ceny 2'!$C$5</c:f>
              <c:strCache>
                <c:ptCount val="1"/>
                <c:pt idx="0">
                  <c:v>Total</c:v>
                </c:pt>
              </c:strCache>
            </c:strRef>
          </c:tx>
          <c:spPr>
            <a:solidFill>
              <a:schemeClr val="bg1">
                <a:lumMod val="65000"/>
              </a:schemeClr>
            </a:solidFill>
            <a:ln w="19050">
              <a:noFill/>
            </a:ln>
          </c:spPr>
          <c:invertIfNegative val="0"/>
          <c:cat>
            <c:multiLvlStrRef>
              <c:f>'Ceny 2'!$A$18:$B$41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2'!$C$18:$C$41</c:f>
              <c:numCache>
                <c:formatCode>0.0</c:formatCode>
                <c:ptCount val="24"/>
                <c:pt idx="0">
                  <c:v>9.9999999999994316E-2</c:v>
                </c:pt>
                <c:pt idx="1">
                  <c:v>0.70000000000000284</c:v>
                </c:pt>
                <c:pt idx="2">
                  <c:v>0.40000000000000568</c:v>
                </c:pt>
                <c:pt idx="3">
                  <c:v>9.9999999999994316E-2</c:v>
                </c:pt>
                <c:pt idx="4">
                  <c:v>0.5</c:v>
                </c:pt>
                <c:pt idx="5">
                  <c:v>0.20000000000000284</c:v>
                </c:pt>
                <c:pt idx="6">
                  <c:v>0.5</c:v>
                </c:pt>
                <c:pt idx="7">
                  <c:v>1.4000000000000057</c:v>
                </c:pt>
                <c:pt idx="8" formatCode="General">
                  <c:v>2.4000000000000057</c:v>
                </c:pt>
                <c:pt idx="9" formatCode="General">
                  <c:v>2.2000000000000028</c:v>
                </c:pt>
                <c:pt idx="10">
                  <c:v>2.5</c:v>
                </c:pt>
                <c:pt idx="11">
                  <c:v>2.6</c:v>
                </c:pt>
                <c:pt idx="12">
                  <c:v>1.9</c:v>
                </c:pt>
                <c:pt idx="13">
                  <c:v>2.2999999999999998</c:v>
                </c:pt>
                <c:pt idx="14">
                  <c:v>2.4</c:v>
                </c:pt>
                <c:pt idx="15">
                  <c:v>2.1</c:v>
                </c:pt>
                <c:pt idx="16">
                  <c:v>2.7</c:v>
                </c:pt>
                <c:pt idx="17">
                  <c:v>2.8</c:v>
                </c:pt>
                <c:pt idx="18">
                  <c:v>2.8</c:v>
                </c:pt>
                <c:pt idx="19">
                  <c:v>3</c:v>
                </c:pt>
                <c:pt idx="20">
                  <c:v>3.6</c:v>
                </c:pt>
                <c:pt idx="21">
                  <c:v>3.1</c:v>
                </c:pt>
                <c:pt idx="22">
                  <c:v>3.3</c:v>
                </c:pt>
                <c:pt idx="23">
                  <c:v>2.6</c:v>
                </c:pt>
              </c:numCache>
            </c:numRef>
          </c:val>
          <c:extLst>
            <c:ext xmlns:c16="http://schemas.microsoft.com/office/drawing/2014/chart" uri="{C3380CC4-5D6E-409C-BE32-E72D297353CC}">
              <c16:uniqueId val="{00000000-D056-4258-95BB-4AAF52C85068}"/>
            </c:ext>
          </c:extLst>
        </c:ser>
        <c:dLbls>
          <c:showLegendKey val="0"/>
          <c:showVal val="0"/>
          <c:showCatName val="0"/>
          <c:showSerName val="0"/>
          <c:showPercent val="0"/>
          <c:showBubbleSize val="0"/>
        </c:dLbls>
        <c:gapWidth val="95"/>
        <c:axId val="130513536"/>
        <c:axId val="130531712"/>
      </c:barChart>
      <c:lineChart>
        <c:grouping val="standard"/>
        <c:varyColors val="0"/>
        <c:ser>
          <c:idx val="1"/>
          <c:order val="1"/>
          <c:tx>
            <c:strRef>
              <c:f>'Ceny 2'!$D$5</c:f>
              <c:strCache>
                <c:ptCount val="1"/>
                <c:pt idx="0">
                  <c:v>Food</c:v>
                </c:pt>
              </c:strCache>
            </c:strRef>
          </c:tx>
          <c:spPr>
            <a:ln w="19050">
              <a:solidFill>
                <a:srgbClr val="0071BC"/>
              </a:solidFill>
            </a:ln>
          </c:spPr>
          <c:marker>
            <c:symbol val="none"/>
          </c:marker>
          <c:cat>
            <c:multiLvlStrRef>
              <c:f>'Ceny 2'!$A$18:$B$41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2'!$D$18:$D$41</c:f>
              <c:numCache>
                <c:formatCode>0.0</c:formatCode>
                <c:ptCount val="24"/>
                <c:pt idx="0">
                  <c:v>-1.5999999999999943</c:v>
                </c:pt>
                <c:pt idx="1">
                  <c:v>-9.9999999999994316E-2</c:v>
                </c:pt>
                <c:pt idx="2">
                  <c:v>-0.90000000000000568</c:v>
                </c:pt>
                <c:pt idx="3">
                  <c:v>-1.5999999999999943</c:v>
                </c:pt>
                <c:pt idx="4">
                  <c:v>-1.7000000000000028</c:v>
                </c:pt>
                <c:pt idx="5">
                  <c:v>-2.4000000000000057</c:v>
                </c:pt>
                <c:pt idx="6">
                  <c:v>-0.79999999999999716</c:v>
                </c:pt>
                <c:pt idx="7">
                  <c:v>1.2000000000000028</c:v>
                </c:pt>
                <c:pt idx="8" formatCode="General">
                  <c:v>4.2000000000000028</c:v>
                </c:pt>
                <c:pt idx="9" formatCode="General">
                  <c:v>4.5</c:v>
                </c:pt>
                <c:pt idx="10">
                  <c:v>5.7</c:v>
                </c:pt>
                <c:pt idx="11">
                  <c:v>6.3</c:v>
                </c:pt>
                <c:pt idx="12">
                  <c:v>2.9</c:v>
                </c:pt>
                <c:pt idx="13" formatCode="#\ ##0.0_ ;\-#\ ##0.0\ ">
                  <c:v>2.2999999999999998</c:v>
                </c:pt>
                <c:pt idx="14">
                  <c:v>0.6</c:v>
                </c:pt>
                <c:pt idx="15">
                  <c:v>-0.5</c:v>
                </c:pt>
                <c:pt idx="16">
                  <c:v>1</c:v>
                </c:pt>
                <c:pt idx="17">
                  <c:v>2.5</c:v>
                </c:pt>
                <c:pt idx="18">
                  <c:v>3.5</c:v>
                </c:pt>
                <c:pt idx="19">
                  <c:v>4.3</c:v>
                </c:pt>
                <c:pt idx="20">
                  <c:v>6.1</c:v>
                </c:pt>
                <c:pt idx="21">
                  <c:v>6.5</c:v>
                </c:pt>
                <c:pt idx="22">
                  <c:v>4</c:v>
                </c:pt>
                <c:pt idx="23">
                  <c:v>1.7</c:v>
                </c:pt>
              </c:numCache>
            </c:numRef>
          </c:val>
          <c:smooth val="0"/>
          <c:extLst>
            <c:ext xmlns:c16="http://schemas.microsoft.com/office/drawing/2014/chart" uri="{C3380CC4-5D6E-409C-BE32-E72D297353CC}">
              <c16:uniqueId val="{00000001-D056-4258-95BB-4AAF52C85068}"/>
            </c:ext>
          </c:extLst>
        </c:ser>
        <c:ser>
          <c:idx val="3"/>
          <c:order val="2"/>
          <c:tx>
            <c:strRef>
              <c:f>'Ceny 2'!$F$5</c:f>
              <c:strCache>
                <c:ptCount val="1"/>
                <c:pt idx="0">
                  <c:v>Housing and energy</c:v>
                </c:pt>
              </c:strCache>
            </c:strRef>
          </c:tx>
          <c:spPr>
            <a:ln w="19050">
              <a:solidFill>
                <a:srgbClr val="7DBB2D"/>
              </a:solidFill>
            </a:ln>
          </c:spPr>
          <c:marker>
            <c:symbol val="none"/>
          </c:marker>
          <c:cat>
            <c:multiLvlStrRef>
              <c:f>'Ceny 2'!$A$18:$B$41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2'!$F$18:$F$41</c:f>
              <c:numCache>
                <c:formatCode>0.0</c:formatCode>
                <c:ptCount val="24"/>
                <c:pt idx="0">
                  <c:v>1.0999999999999943</c:v>
                </c:pt>
                <c:pt idx="1">
                  <c:v>1.2000000000000028</c:v>
                </c:pt>
                <c:pt idx="2">
                  <c:v>0.79999999999999716</c:v>
                </c:pt>
                <c:pt idx="3">
                  <c:v>0.90000000000000568</c:v>
                </c:pt>
                <c:pt idx="4">
                  <c:v>0.90000000000000568</c:v>
                </c:pt>
                <c:pt idx="5">
                  <c:v>0.5</c:v>
                </c:pt>
                <c:pt idx="6">
                  <c:v>0.40000000000000568</c:v>
                </c:pt>
                <c:pt idx="7">
                  <c:v>0.59999999999999432</c:v>
                </c:pt>
                <c:pt idx="8" formatCode="General">
                  <c:v>0.79999999999999716</c:v>
                </c:pt>
                <c:pt idx="9" formatCode="General">
                  <c:v>1.5</c:v>
                </c:pt>
                <c:pt idx="10">
                  <c:v>2.1</c:v>
                </c:pt>
                <c:pt idx="11">
                  <c:v>2.2000000000000002</c:v>
                </c:pt>
                <c:pt idx="12">
                  <c:v>2.2999999999999998</c:v>
                </c:pt>
                <c:pt idx="13">
                  <c:v>2.6</c:v>
                </c:pt>
                <c:pt idx="14">
                  <c:v>3.2</c:v>
                </c:pt>
                <c:pt idx="15">
                  <c:v>3.8</c:v>
                </c:pt>
                <c:pt idx="16">
                  <c:v>5.4</c:v>
                </c:pt>
                <c:pt idx="17">
                  <c:v>5.7</c:v>
                </c:pt>
                <c:pt idx="18">
                  <c:v>5.2</c:v>
                </c:pt>
                <c:pt idx="19">
                  <c:v>5</c:v>
                </c:pt>
                <c:pt idx="20">
                  <c:v>4.2</c:v>
                </c:pt>
                <c:pt idx="21">
                  <c:v>3.2</c:v>
                </c:pt>
                <c:pt idx="22">
                  <c:v>2.7</c:v>
                </c:pt>
                <c:pt idx="23">
                  <c:v>1.4</c:v>
                </c:pt>
              </c:numCache>
            </c:numRef>
          </c:val>
          <c:smooth val="0"/>
          <c:extLst>
            <c:ext xmlns:c16="http://schemas.microsoft.com/office/drawing/2014/chart" uri="{C3380CC4-5D6E-409C-BE32-E72D297353CC}">
              <c16:uniqueId val="{00000002-D056-4258-95BB-4AAF52C85068}"/>
            </c:ext>
          </c:extLst>
        </c:ser>
        <c:ser>
          <c:idx val="4"/>
          <c:order val="3"/>
          <c:tx>
            <c:strRef>
              <c:f>'Ceny 2'!$G$5</c:f>
              <c:strCache>
                <c:ptCount val="1"/>
                <c:pt idx="0">
                  <c:v>Transportation</c:v>
                </c:pt>
              </c:strCache>
            </c:strRef>
          </c:tx>
          <c:spPr>
            <a:ln w="19050">
              <a:solidFill>
                <a:srgbClr val="FFC000"/>
              </a:solidFill>
            </a:ln>
          </c:spPr>
          <c:marker>
            <c:symbol val="none"/>
          </c:marker>
          <c:cat>
            <c:multiLvlStrRef>
              <c:f>'Ceny 2'!$A$18:$B$41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2'!$G$18:$G$41</c:f>
              <c:numCache>
                <c:formatCode>General</c:formatCode>
                <c:ptCount val="24"/>
                <c:pt idx="0">
                  <c:v>-4.9000000000000057</c:v>
                </c:pt>
                <c:pt idx="1">
                  <c:v>-3.2999999999999972</c:v>
                </c:pt>
                <c:pt idx="2">
                  <c:v>-3.7999999999999972</c:v>
                </c:pt>
                <c:pt idx="3">
                  <c:v>-4.7000000000000028</c:v>
                </c:pt>
                <c:pt idx="4">
                  <c:v>-2.7000000000000028</c:v>
                </c:pt>
                <c:pt idx="5">
                  <c:v>-2.9000000000000057</c:v>
                </c:pt>
                <c:pt idx="6">
                  <c:v>-2.2999999999999972</c:v>
                </c:pt>
                <c:pt idx="7">
                  <c:v>1.0999999999999943</c:v>
                </c:pt>
                <c:pt idx="8">
                  <c:v>6</c:v>
                </c:pt>
                <c:pt idx="9">
                  <c:v>3.9000000000000057</c:v>
                </c:pt>
                <c:pt idx="10" formatCode="0.0">
                  <c:v>2.5</c:v>
                </c:pt>
                <c:pt idx="11" formatCode="0.0">
                  <c:v>2.5</c:v>
                </c:pt>
                <c:pt idx="12" formatCode="0.0">
                  <c:v>1</c:v>
                </c:pt>
                <c:pt idx="13" formatCode="0.0">
                  <c:v>3</c:v>
                </c:pt>
                <c:pt idx="14" formatCode="0.0">
                  <c:v>4.5</c:v>
                </c:pt>
                <c:pt idx="15" formatCode="0.0">
                  <c:v>2.6</c:v>
                </c:pt>
                <c:pt idx="16" formatCode="0.0">
                  <c:v>0.6</c:v>
                </c:pt>
                <c:pt idx="17" formatCode="0.0">
                  <c:v>0.8</c:v>
                </c:pt>
                <c:pt idx="18" formatCode="0.0">
                  <c:v>-0.2</c:v>
                </c:pt>
                <c:pt idx="19" formatCode="0.0">
                  <c:v>0.5</c:v>
                </c:pt>
                <c:pt idx="20">
                  <c:v>1.7</c:v>
                </c:pt>
                <c:pt idx="21" formatCode="0.0">
                  <c:v>-3.4</c:v>
                </c:pt>
                <c:pt idx="22" formatCode="0.0">
                  <c:v>-0.2</c:v>
                </c:pt>
                <c:pt idx="23" formatCode="0.0">
                  <c:v>0.6</c:v>
                </c:pt>
              </c:numCache>
            </c:numRef>
          </c:val>
          <c:smooth val="0"/>
          <c:extLst>
            <c:ext xmlns:c16="http://schemas.microsoft.com/office/drawing/2014/chart" uri="{C3380CC4-5D6E-409C-BE32-E72D297353CC}">
              <c16:uniqueId val="{00000003-D056-4258-95BB-4AAF52C85068}"/>
            </c:ext>
          </c:extLst>
        </c:ser>
        <c:ser>
          <c:idx val="5"/>
          <c:order val="4"/>
          <c:tx>
            <c:strRef>
              <c:f>'Ceny 2'!$E$5</c:f>
              <c:strCache>
                <c:ptCount val="1"/>
                <c:pt idx="0">
                  <c:v>Alcoholic beverages and tobacco</c:v>
                </c:pt>
              </c:strCache>
            </c:strRef>
          </c:tx>
          <c:spPr>
            <a:ln w="22225">
              <a:solidFill>
                <a:schemeClr val="accent2"/>
              </a:solidFill>
            </a:ln>
          </c:spPr>
          <c:marker>
            <c:symbol val="none"/>
          </c:marker>
          <c:cat>
            <c:multiLvlStrRef>
              <c:f>'Ceny 2'!$A$18:$B$41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2'!$E$18:$E$41</c:f>
              <c:numCache>
                <c:formatCode>0.0</c:formatCode>
                <c:ptCount val="24"/>
                <c:pt idx="0">
                  <c:v>3.4000000000000057</c:v>
                </c:pt>
                <c:pt idx="1">
                  <c:v>5.4000000000000057</c:v>
                </c:pt>
                <c:pt idx="2">
                  <c:v>5.2000000000000028</c:v>
                </c:pt>
                <c:pt idx="3">
                  <c:v>4.7000000000000028</c:v>
                </c:pt>
                <c:pt idx="4">
                  <c:v>3.5</c:v>
                </c:pt>
                <c:pt idx="5">
                  <c:v>4.4000000000000057</c:v>
                </c:pt>
                <c:pt idx="6">
                  <c:v>4.5</c:v>
                </c:pt>
                <c:pt idx="7">
                  <c:v>5.2000000000000028</c:v>
                </c:pt>
                <c:pt idx="8" formatCode="General">
                  <c:v>3.4000000000000057</c:v>
                </c:pt>
                <c:pt idx="9" formatCode="General">
                  <c:v>0.79999999999999716</c:v>
                </c:pt>
                <c:pt idx="10">
                  <c:v>1.3</c:v>
                </c:pt>
                <c:pt idx="11">
                  <c:v>1.5</c:v>
                </c:pt>
                <c:pt idx="12">
                  <c:v>2.5</c:v>
                </c:pt>
                <c:pt idx="13">
                  <c:v>3.6</c:v>
                </c:pt>
                <c:pt idx="14">
                  <c:v>2.8</c:v>
                </c:pt>
                <c:pt idx="15">
                  <c:v>3.1</c:v>
                </c:pt>
                <c:pt idx="16">
                  <c:v>3.3</c:v>
                </c:pt>
                <c:pt idx="17">
                  <c:v>1.7</c:v>
                </c:pt>
                <c:pt idx="18">
                  <c:v>1.9</c:v>
                </c:pt>
                <c:pt idx="19">
                  <c:v>1.8</c:v>
                </c:pt>
                <c:pt idx="20" formatCode="General">
                  <c:v>3.5</c:v>
                </c:pt>
                <c:pt idx="21">
                  <c:v>6.6</c:v>
                </c:pt>
                <c:pt idx="22">
                  <c:v>10.3</c:v>
                </c:pt>
                <c:pt idx="23">
                  <c:v>9.9</c:v>
                </c:pt>
              </c:numCache>
            </c:numRef>
          </c:val>
          <c:smooth val="0"/>
          <c:extLst>
            <c:ext xmlns:c16="http://schemas.microsoft.com/office/drawing/2014/chart" uri="{C3380CC4-5D6E-409C-BE32-E72D297353CC}">
              <c16:uniqueId val="{00000004-D056-4258-95BB-4AAF52C85068}"/>
            </c:ext>
          </c:extLst>
        </c:ser>
        <c:ser>
          <c:idx val="2"/>
          <c:order val="5"/>
          <c:tx>
            <c:strRef>
              <c:f>'Ceny 2'!$H$5</c:f>
              <c:strCache>
                <c:ptCount val="1"/>
                <c:pt idx="0">
                  <c:v>Restaurants and hotels</c:v>
                </c:pt>
              </c:strCache>
              <c:extLst xmlns:c15="http://schemas.microsoft.com/office/drawing/2012/chart"/>
            </c:strRef>
          </c:tx>
          <c:spPr>
            <a:ln w="19050">
              <a:solidFill>
                <a:srgbClr val="7030A0"/>
              </a:solidFill>
            </a:ln>
          </c:spPr>
          <c:marker>
            <c:symbol val="none"/>
          </c:marker>
          <c:cat>
            <c:multiLvlStrRef>
              <c:f>'Ceny 2'!$A$18:$B$41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2'!$H$18:$H$41</c:f>
              <c:numCache>
                <c:formatCode>###\ ###\ ##0.0</c:formatCode>
                <c:ptCount val="24"/>
                <c:pt idx="0">
                  <c:v>1.7000000000000028</c:v>
                </c:pt>
                <c:pt idx="1">
                  <c:v>1.5999999999999943</c:v>
                </c:pt>
                <c:pt idx="2">
                  <c:v>1.4000000000000057</c:v>
                </c:pt>
                <c:pt idx="3">
                  <c:v>1.2999999999999972</c:v>
                </c:pt>
                <c:pt idx="4">
                  <c:v>1.2000000000000028</c:v>
                </c:pt>
                <c:pt idx="5">
                  <c:v>1.0999999999999943</c:v>
                </c:pt>
                <c:pt idx="6">
                  <c:v>1.2000000000000028</c:v>
                </c:pt>
                <c:pt idx="7">
                  <c:v>2.7000000000000028</c:v>
                </c:pt>
                <c:pt idx="8">
                  <c:v>5.2000000000000028</c:v>
                </c:pt>
                <c:pt idx="9">
                  <c:v>5.7999999999999972</c:v>
                </c:pt>
                <c:pt idx="10">
                  <c:v>6.2999999999999972</c:v>
                </c:pt>
                <c:pt idx="11" formatCode="0.0">
                  <c:v>5.6</c:v>
                </c:pt>
                <c:pt idx="12" formatCode="0.0">
                  <c:v>3.5</c:v>
                </c:pt>
                <c:pt idx="13" formatCode="0.0">
                  <c:v>3.6</c:v>
                </c:pt>
                <c:pt idx="14" formatCode="0.0">
                  <c:v>3.5</c:v>
                </c:pt>
                <c:pt idx="15" formatCode="0.0">
                  <c:v>3.7</c:v>
                </c:pt>
                <c:pt idx="16" formatCode="0.0">
                  <c:v>3.8</c:v>
                </c:pt>
                <c:pt idx="17" formatCode="0.0">
                  <c:v>4</c:v>
                </c:pt>
                <c:pt idx="18" formatCode="0.0">
                  <c:v>4.5</c:v>
                </c:pt>
                <c:pt idx="19" formatCode="0.0">
                  <c:v>4.5999999999999996</c:v>
                </c:pt>
                <c:pt idx="20" formatCode="0.0">
                  <c:v>5.5</c:v>
                </c:pt>
                <c:pt idx="21" formatCode="0.0">
                  <c:v>5.0999999999999996</c:v>
                </c:pt>
                <c:pt idx="22" formatCode="0.0">
                  <c:v>4.9000000000000004</c:v>
                </c:pt>
                <c:pt idx="23" formatCode="0.0">
                  <c:v>4.3</c:v>
                </c:pt>
              </c:numCache>
            </c:numRef>
          </c:val>
          <c:smooth val="0"/>
          <c:extLst xmlns:c15="http://schemas.microsoft.com/office/drawing/2012/chart">
            <c:ext xmlns:c16="http://schemas.microsoft.com/office/drawing/2014/chart" uri="{C3380CC4-5D6E-409C-BE32-E72D297353CC}">
              <c16:uniqueId val="{00000005-D056-4258-95BB-4AAF52C85068}"/>
            </c:ext>
          </c:extLst>
        </c:ser>
        <c:dLbls>
          <c:showLegendKey val="0"/>
          <c:showVal val="0"/>
          <c:showCatName val="0"/>
          <c:showSerName val="0"/>
          <c:showPercent val="0"/>
          <c:showBubbleSize val="0"/>
        </c:dLbls>
        <c:marker val="1"/>
        <c:smooth val="0"/>
        <c:axId val="130513536"/>
        <c:axId val="130531712"/>
        <c:extLst/>
      </c:lineChart>
      <c:catAx>
        <c:axId val="13051353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30531712"/>
        <c:crosses val="autoZero"/>
        <c:auto val="1"/>
        <c:lblAlgn val="ctr"/>
        <c:lblOffset val="100"/>
        <c:noMultiLvlLbl val="0"/>
      </c:catAx>
      <c:valAx>
        <c:axId val="130531712"/>
        <c:scaling>
          <c:orientation val="minMax"/>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0513536"/>
        <c:crosses val="autoZero"/>
        <c:crossBetween val="between"/>
        <c:majorUnit val="1"/>
      </c:valAx>
      <c:spPr>
        <a:ln>
          <a:solidFill>
            <a:schemeClr val="tx1"/>
          </a:solidFill>
        </a:ln>
      </c:spPr>
    </c:plotArea>
    <c:legend>
      <c:legendPos val="b"/>
      <c:layout>
        <c:manualLayout>
          <c:xMode val="edge"/>
          <c:yMode val="edge"/>
          <c:x val="5.6562816616008108E-2"/>
          <c:y val="0.87970674321738151"/>
          <c:w val="0.92175447483958117"/>
          <c:h val="0.1095705279747833"/>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258203189717562E-2"/>
          <c:y val="2.9569886214146503E-2"/>
          <c:w val="0.92637856314472322"/>
          <c:h val="0.73556653157716956"/>
        </c:manualLayout>
      </c:layout>
      <c:barChart>
        <c:barDir val="col"/>
        <c:grouping val="clustered"/>
        <c:varyColors val="0"/>
        <c:ser>
          <c:idx val="0"/>
          <c:order val="0"/>
          <c:tx>
            <c:strRef>
              <c:f>'Ceny 1'!$C$5</c:f>
              <c:strCache>
                <c:ptCount val="1"/>
                <c:pt idx="0">
                  <c:v>Realised prices of older flats, the CR</c:v>
                </c:pt>
              </c:strCache>
            </c:strRef>
          </c:tx>
          <c:spPr>
            <a:solidFill>
              <a:schemeClr val="bg1">
                <a:lumMod val="65000"/>
              </a:schemeClr>
            </a:solidFill>
            <a:ln w="19050">
              <a:noFill/>
            </a:ln>
          </c:spPr>
          <c:invertIfNegative val="0"/>
          <c:cat>
            <c:multiLvlStrRef>
              <c:f>'Ceny 1'!$A$18:$B$41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1'!$C$18:$C$41</c:f>
              <c:numCache>
                <c:formatCode>General</c:formatCode>
                <c:ptCount val="24"/>
                <c:pt idx="0">
                  <c:v>4.2999999999999972</c:v>
                </c:pt>
                <c:pt idx="1">
                  <c:v>4.9000000000000057</c:v>
                </c:pt>
                <c:pt idx="2">
                  <c:v>6</c:v>
                </c:pt>
                <c:pt idx="3">
                  <c:v>6.7999999999999972</c:v>
                </c:pt>
                <c:pt idx="4">
                  <c:v>8.9000000000000057</c:v>
                </c:pt>
                <c:pt idx="5">
                  <c:v>10.299999999999997</c:v>
                </c:pt>
                <c:pt idx="6">
                  <c:v>12.299999999999997</c:v>
                </c:pt>
                <c:pt idx="7">
                  <c:v>14.599999999999994</c:v>
                </c:pt>
                <c:pt idx="8">
                  <c:v>17.200000000000003</c:v>
                </c:pt>
                <c:pt idx="9">
                  <c:v>18.700000000000003</c:v>
                </c:pt>
                <c:pt idx="10">
                  <c:v>15.799999999999997</c:v>
                </c:pt>
                <c:pt idx="11">
                  <c:v>12</c:v>
                </c:pt>
                <c:pt idx="12">
                  <c:v>9.2000000000000028</c:v>
                </c:pt>
                <c:pt idx="13">
                  <c:v>8</c:v>
                </c:pt>
                <c:pt idx="14">
                  <c:v>9.4000000000000057</c:v>
                </c:pt>
                <c:pt idx="15">
                  <c:v>11.400000000000006</c:v>
                </c:pt>
                <c:pt idx="16">
                  <c:v>11.299999999999997</c:v>
                </c:pt>
                <c:pt idx="17">
                  <c:v>10.599999999999994</c:v>
                </c:pt>
                <c:pt idx="18">
                  <c:v>9.5</c:v>
                </c:pt>
                <c:pt idx="19">
                  <c:v>9.4000000000000057</c:v>
                </c:pt>
                <c:pt idx="20">
                  <c:v>10.599999999999994</c:v>
                </c:pt>
                <c:pt idx="21">
                  <c:v>10.200000000000003</c:v>
                </c:pt>
                <c:pt idx="22">
                  <c:v>11.200000000000003</c:v>
                </c:pt>
                <c:pt idx="23">
                  <c:v>12.599999999999994</c:v>
                </c:pt>
              </c:numCache>
            </c:numRef>
          </c:val>
          <c:extLst>
            <c:ext xmlns:c16="http://schemas.microsoft.com/office/drawing/2014/chart" uri="{C3380CC4-5D6E-409C-BE32-E72D297353CC}">
              <c16:uniqueId val="{00000000-9E9D-401A-B0BE-72D7737DCB92}"/>
            </c:ext>
          </c:extLst>
        </c:ser>
        <c:ser>
          <c:idx val="1"/>
          <c:order val="1"/>
          <c:tx>
            <c:strRef>
              <c:f>'Ceny 1'!$D$5</c:f>
              <c:strCache>
                <c:ptCount val="1"/>
                <c:pt idx="0">
                  <c:v>Realised prices of older flats, Prague</c:v>
                </c:pt>
              </c:strCache>
            </c:strRef>
          </c:tx>
          <c:spPr>
            <a:solidFill>
              <a:prstClr val="black">
                <a:lumMod val="50000"/>
                <a:lumOff val="50000"/>
              </a:prstClr>
            </a:solidFill>
            <a:ln w="19050">
              <a:noFill/>
            </a:ln>
          </c:spPr>
          <c:invertIfNegative val="0"/>
          <c:cat>
            <c:multiLvlStrRef>
              <c:f>'Ceny 1'!$A$18:$B$41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1'!$D$18:$D$41</c:f>
              <c:numCache>
                <c:formatCode>General</c:formatCode>
                <c:ptCount val="24"/>
                <c:pt idx="0">
                  <c:v>5</c:v>
                </c:pt>
                <c:pt idx="1">
                  <c:v>5.9000000000000057</c:v>
                </c:pt>
                <c:pt idx="2">
                  <c:v>5.5999999999999943</c:v>
                </c:pt>
                <c:pt idx="3">
                  <c:v>4.5999999999999943</c:v>
                </c:pt>
                <c:pt idx="4">
                  <c:v>5.7999999999999972</c:v>
                </c:pt>
                <c:pt idx="5">
                  <c:v>7.5</c:v>
                </c:pt>
                <c:pt idx="6">
                  <c:v>9.4000000000000057</c:v>
                </c:pt>
                <c:pt idx="7">
                  <c:v>13.900000000000006</c:v>
                </c:pt>
                <c:pt idx="8">
                  <c:v>16.200000000000003</c:v>
                </c:pt>
                <c:pt idx="9">
                  <c:v>19</c:v>
                </c:pt>
                <c:pt idx="10">
                  <c:v>16.400000000000006</c:v>
                </c:pt>
                <c:pt idx="11">
                  <c:v>11.099999999999994</c:v>
                </c:pt>
                <c:pt idx="12">
                  <c:v>8.2999999999999972</c:v>
                </c:pt>
                <c:pt idx="13">
                  <c:v>4</c:v>
                </c:pt>
                <c:pt idx="14">
                  <c:v>6</c:v>
                </c:pt>
                <c:pt idx="15">
                  <c:v>8.7000000000000028</c:v>
                </c:pt>
                <c:pt idx="16">
                  <c:v>9.4000000000000057</c:v>
                </c:pt>
                <c:pt idx="17">
                  <c:v>8.7000000000000028</c:v>
                </c:pt>
                <c:pt idx="18">
                  <c:v>6.5</c:v>
                </c:pt>
                <c:pt idx="19">
                  <c:v>7.0999999999999943</c:v>
                </c:pt>
                <c:pt idx="20">
                  <c:v>6.2000000000000028</c:v>
                </c:pt>
                <c:pt idx="21">
                  <c:v>8</c:v>
                </c:pt>
                <c:pt idx="22">
                  <c:v>9.4000000000000057</c:v>
                </c:pt>
                <c:pt idx="23">
                  <c:v>9.5999999999999943</c:v>
                </c:pt>
              </c:numCache>
            </c:numRef>
          </c:val>
          <c:extLst>
            <c:ext xmlns:c16="http://schemas.microsoft.com/office/drawing/2014/chart" uri="{C3380CC4-5D6E-409C-BE32-E72D297353CC}">
              <c16:uniqueId val="{00000001-9E9D-401A-B0BE-72D7737DCB92}"/>
            </c:ext>
          </c:extLst>
        </c:ser>
        <c:dLbls>
          <c:showLegendKey val="0"/>
          <c:showVal val="0"/>
          <c:showCatName val="0"/>
          <c:showSerName val="0"/>
          <c:showPercent val="0"/>
          <c:showBubbleSize val="0"/>
        </c:dLbls>
        <c:gapWidth val="95"/>
        <c:axId val="130418560"/>
        <c:axId val="130420096"/>
      </c:barChart>
      <c:lineChart>
        <c:grouping val="standard"/>
        <c:varyColors val="0"/>
        <c:ser>
          <c:idx val="2"/>
          <c:order val="2"/>
          <c:tx>
            <c:strRef>
              <c:f>'Ceny 1'!$E$5</c:f>
              <c:strCache>
                <c:ptCount val="1"/>
                <c:pt idx="0">
                  <c:v>Catalogue prices of flats, the CR</c:v>
                </c:pt>
              </c:strCache>
            </c:strRef>
          </c:tx>
          <c:spPr>
            <a:ln w="19050">
              <a:solidFill>
                <a:schemeClr val="accent2"/>
              </a:solidFill>
            </a:ln>
          </c:spPr>
          <c:marker>
            <c:symbol val="none"/>
          </c:marker>
          <c:cat>
            <c:multiLvlStrRef>
              <c:f>'Ceny 1'!$A$18:$B$41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1'!$E$18:$E$41</c:f>
              <c:numCache>
                <c:formatCode>0.0</c:formatCode>
                <c:ptCount val="24"/>
                <c:pt idx="0">
                  <c:v>3.6253776435045406</c:v>
                </c:pt>
                <c:pt idx="1">
                  <c:v>4.9701789264413518</c:v>
                </c:pt>
                <c:pt idx="2">
                  <c:v>6.0843964671246207</c:v>
                </c:pt>
                <c:pt idx="3">
                  <c:v>9.5849802371541539</c:v>
                </c:pt>
                <c:pt idx="4">
                  <c:v>10.204081632653059</c:v>
                </c:pt>
                <c:pt idx="5">
                  <c:v>10.321969696969703</c:v>
                </c:pt>
                <c:pt idx="6">
                  <c:v>9.8982423681776162</c:v>
                </c:pt>
                <c:pt idx="7">
                  <c:v>9.9188458070333638</c:v>
                </c:pt>
                <c:pt idx="8">
                  <c:v>9.5238095238095184</c:v>
                </c:pt>
                <c:pt idx="9" formatCode="General">
                  <c:v>9.5278969957081472</c:v>
                </c:pt>
                <c:pt idx="10" formatCode="General">
                  <c:v>12.542087542087543</c:v>
                </c:pt>
                <c:pt idx="11" formatCode="General">
                  <c:v>12.469237079573418</c:v>
                </c:pt>
                <c:pt idx="12" formatCode="General">
                  <c:v>12.801932367149746</c:v>
                </c:pt>
                <c:pt idx="13" formatCode="General">
                  <c:v>12.225705329153584</c:v>
                </c:pt>
                <c:pt idx="14" formatCode="General">
                  <c:v>9.498878085265531</c:v>
                </c:pt>
                <c:pt idx="15" formatCode="General">
                  <c:v>8.4609773887673185</c:v>
                </c:pt>
                <c:pt idx="16" formatCode="General">
                  <c:v>7.4232690935046435</c:v>
                </c:pt>
                <c:pt idx="17" formatCode="General">
                  <c:v>5.7262569832402335</c:v>
                </c:pt>
                <c:pt idx="18" formatCode="General">
                  <c:v>5.1912568306010911</c:v>
                </c:pt>
                <c:pt idx="19" formatCode="General">
                  <c:v>5.5144586415601964</c:v>
                </c:pt>
                <c:pt idx="20" formatCode="General">
                  <c:v>6.0465116279069662</c:v>
                </c:pt>
                <c:pt idx="21" formatCode="General">
                  <c:v>7.1334214002641829</c:v>
                </c:pt>
                <c:pt idx="22" formatCode="General">
                  <c:v>7.9870129870129887</c:v>
                </c:pt>
                <c:pt idx="23" formatCode="General">
                  <c:v>7.6481835564053569</c:v>
                </c:pt>
              </c:numCache>
            </c:numRef>
          </c:val>
          <c:smooth val="0"/>
          <c:extLst>
            <c:ext xmlns:c16="http://schemas.microsoft.com/office/drawing/2014/chart" uri="{C3380CC4-5D6E-409C-BE32-E72D297353CC}">
              <c16:uniqueId val="{00000002-9E9D-401A-B0BE-72D7737DCB92}"/>
            </c:ext>
          </c:extLst>
        </c:ser>
        <c:ser>
          <c:idx val="3"/>
          <c:order val="3"/>
          <c:tx>
            <c:strRef>
              <c:f>'Ceny 1'!$F$5</c:f>
              <c:strCache>
                <c:ptCount val="1"/>
                <c:pt idx="0">
                  <c:v>Catalogue prices of flats, Prague</c:v>
                </c:pt>
              </c:strCache>
            </c:strRef>
          </c:tx>
          <c:spPr>
            <a:ln>
              <a:solidFill>
                <a:schemeClr val="accent1"/>
              </a:solidFill>
            </a:ln>
          </c:spPr>
          <c:marker>
            <c:symbol val="none"/>
          </c:marker>
          <c:cat>
            <c:multiLvlStrRef>
              <c:f>'Ceny 1'!$A$18:$B$41</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2015</c:v>
                  </c:pt>
                  <c:pt idx="4">
                    <c:v>2016</c:v>
                  </c:pt>
                  <c:pt idx="8">
                    <c:v>2017</c:v>
                  </c:pt>
                  <c:pt idx="12">
                    <c:v>2018</c:v>
                  </c:pt>
                  <c:pt idx="16">
                    <c:v>2019</c:v>
                  </c:pt>
                  <c:pt idx="20">
                    <c:v>2020</c:v>
                  </c:pt>
                </c:lvl>
              </c:multiLvlStrCache>
            </c:multiLvlStrRef>
          </c:cat>
          <c:val>
            <c:numRef>
              <c:f>'Ceny 1'!$F$18:$F$41</c:f>
              <c:numCache>
                <c:formatCode>0.0</c:formatCode>
                <c:ptCount val="24"/>
                <c:pt idx="0">
                  <c:v>5.7710501419110631</c:v>
                </c:pt>
                <c:pt idx="1">
                  <c:v>6.4995357474466111</c:v>
                </c:pt>
                <c:pt idx="2">
                  <c:v>6.7089755213055353</c:v>
                </c:pt>
                <c:pt idx="3">
                  <c:v>8.7862318840579601</c:v>
                </c:pt>
                <c:pt idx="4">
                  <c:v>10.196779964221831</c:v>
                </c:pt>
                <c:pt idx="5">
                  <c:v>10.549258936355706</c:v>
                </c:pt>
                <c:pt idx="6">
                  <c:v>9.7706032285471416</c:v>
                </c:pt>
                <c:pt idx="7">
                  <c:v>11.323896752706073</c:v>
                </c:pt>
                <c:pt idx="8">
                  <c:v>13.636363636363626</c:v>
                </c:pt>
                <c:pt idx="9" formatCode="General">
                  <c:v>14.589905362776051</c:v>
                </c:pt>
                <c:pt idx="10" formatCode="General">
                  <c:v>18.266253869969049</c:v>
                </c:pt>
                <c:pt idx="11" formatCode="General">
                  <c:v>18.773373223635019</c:v>
                </c:pt>
                <c:pt idx="12" formatCode="General">
                  <c:v>15.071428571428555</c:v>
                </c:pt>
                <c:pt idx="13" formatCode="General">
                  <c:v>14.24638678596007</c:v>
                </c:pt>
                <c:pt idx="14" formatCode="General">
                  <c:v>10.732984293193695</c:v>
                </c:pt>
                <c:pt idx="15" formatCode="General">
                  <c:v>8.7531486146095574</c:v>
                </c:pt>
                <c:pt idx="16" formatCode="General">
                  <c:v>8.3178150217256359</c:v>
                </c:pt>
                <c:pt idx="17" formatCode="General">
                  <c:v>4.9397590361445651</c:v>
                </c:pt>
                <c:pt idx="18" formatCode="General">
                  <c:v>3.3096926713947994</c:v>
                </c:pt>
                <c:pt idx="19" formatCode="General">
                  <c:v>2.9530978575564575</c:v>
                </c:pt>
                <c:pt idx="20" formatCode="General">
                  <c:v>3.5530085959885298</c:v>
                </c:pt>
                <c:pt idx="21" formatCode="General">
                  <c:v>5.2812858783008068</c:v>
                </c:pt>
                <c:pt idx="22" formatCode="General">
                  <c:v>6.2356979405034281</c:v>
                </c:pt>
                <c:pt idx="23" formatCode="General">
                  <c:v>5.1743532058492718</c:v>
                </c:pt>
              </c:numCache>
            </c:numRef>
          </c:val>
          <c:smooth val="0"/>
          <c:extLst>
            <c:ext xmlns:c16="http://schemas.microsoft.com/office/drawing/2014/chart" uri="{C3380CC4-5D6E-409C-BE32-E72D297353CC}">
              <c16:uniqueId val="{00000003-9E9D-401A-B0BE-72D7737DCB92}"/>
            </c:ext>
          </c:extLst>
        </c:ser>
        <c:dLbls>
          <c:showLegendKey val="0"/>
          <c:showVal val="0"/>
          <c:showCatName val="0"/>
          <c:showSerName val="0"/>
          <c:showPercent val="0"/>
          <c:showBubbleSize val="0"/>
        </c:dLbls>
        <c:marker val="1"/>
        <c:smooth val="0"/>
        <c:axId val="130418560"/>
        <c:axId val="130420096"/>
      </c:lineChart>
      <c:catAx>
        <c:axId val="13041856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30420096"/>
        <c:crosses val="autoZero"/>
        <c:auto val="1"/>
        <c:lblAlgn val="ctr"/>
        <c:lblOffset val="100"/>
        <c:noMultiLvlLbl val="0"/>
      </c:catAx>
      <c:valAx>
        <c:axId val="130420096"/>
        <c:scaling>
          <c:orientation val="minMax"/>
          <c:min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0418560"/>
        <c:crosses val="autoZero"/>
        <c:crossBetween val="between"/>
        <c:majorUnit val="2"/>
      </c:valAx>
      <c:spPr>
        <a:ln>
          <a:solidFill>
            <a:schemeClr val="tx1"/>
          </a:solidFill>
        </a:ln>
      </c:spPr>
    </c:plotArea>
    <c:legend>
      <c:legendPos val="b"/>
      <c:layout>
        <c:manualLayout>
          <c:xMode val="edge"/>
          <c:yMode val="edge"/>
          <c:x val="4.6528021206651497E-2"/>
          <c:y val="0.88817854328492629"/>
          <c:w val="0.9267997314289258"/>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707738197712412E-2"/>
          <c:y val="2.1811315924219993E-2"/>
          <c:w val="0.89142432050272657"/>
          <c:h val="0.71663233141956562"/>
        </c:manualLayout>
      </c:layout>
      <c:barChart>
        <c:barDir val="col"/>
        <c:grouping val="clustered"/>
        <c:varyColors val="0"/>
        <c:ser>
          <c:idx val="0"/>
          <c:order val="0"/>
          <c:tx>
            <c:strRef>
              <c:f>'Ceny 4'!$C$5</c:f>
              <c:strCache>
                <c:ptCount val="1"/>
                <c:pt idx="0">
                  <c:v>Total</c:v>
                </c:pt>
              </c:strCache>
            </c:strRef>
          </c:tx>
          <c:spPr>
            <a:solidFill>
              <a:schemeClr val="bg1">
                <a:lumMod val="65000"/>
              </a:schemeClr>
            </a:solidFill>
            <a:ln w="19050">
              <a:noFill/>
            </a:ln>
          </c:spPr>
          <c:invertIfNegative val="0"/>
          <c:cat>
            <c:multiLvlStrRef>
              <c:f>'Ceny 4'!$A$30:$B$101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'Ceny 4'!$C$30:$C$101</c:f>
              <c:numCache>
                <c:formatCode>0.0</c:formatCode>
                <c:ptCount val="72"/>
                <c:pt idx="0">
                  <c:v>-3.5</c:v>
                </c:pt>
                <c:pt idx="1">
                  <c:v>-3.5999999999999943</c:v>
                </c:pt>
                <c:pt idx="2">
                  <c:v>-2.9000000000000057</c:v>
                </c:pt>
                <c:pt idx="3">
                  <c:v>-2.5999999999999943</c:v>
                </c:pt>
                <c:pt idx="4">
                  <c:v>-2.0999999999999943</c:v>
                </c:pt>
                <c:pt idx="5">
                  <c:v>-2.2999999999999972</c:v>
                </c:pt>
                <c:pt idx="6">
                  <c:v>-3</c:v>
                </c:pt>
                <c:pt idx="7">
                  <c:v>-3.7000000000000028</c:v>
                </c:pt>
                <c:pt idx="8">
                  <c:v>-4.2000000000000028</c:v>
                </c:pt>
                <c:pt idx="9">
                  <c:v>-3.9000000000000057</c:v>
                </c:pt>
                <c:pt idx="10">
                  <c:v>-3.7000000000000028</c:v>
                </c:pt>
                <c:pt idx="11">
                  <c:v>-2.9000000000000057</c:v>
                </c:pt>
                <c:pt idx="12">
                  <c:v>-3.4000000000000057</c:v>
                </c:pt>
                <c:pt idx="13">
                  <c:v>-4</c:v>
                </c:pt>
                <c:pt idx="14">
                  <c:v>-4.5</c:v>
                </c:pt>
                <c:pt idx="15">
                  <c:v>-4.7000000000000028</c:v>
                </c:pt>
                <c:pt idx="16">
                  <c:v>-4.7999999999999972</c:v>
                </c:pt>
                <c:pt idx="17">
                  <c:v>-4.4000000000000057</c:v>
                </c:pt>
                <c:pt idx="18">
                  <c:v>-4</c:v>
                </c:pt>
                <c:pt idx="19">
                  <c:v>-3.4000000000000057</c:v>
                </c:pt>
                <c:pt idx="20">
                  <c:v>-2.4000000000000057</c:v>
                </c:pt>
                <c:pt idx="21">
                  <c:v>-1.7000000000000028</c:v>
                </c:pt>
                <c:pt idx="22">
                  <c:v>-1.2999999999999972</c:v>
                </c:pt>
                <c:pt idx="23">
                  <c:v>-0.40000000000000568</c:v>
                </c:pt>
                <c:pt idx="24" formatCode="General">
                  <c:v>2.0999999999999943</c:v>
                </c:pt>
                <c:pt idx="25" formatCode="General">
                  <c:v>3.0999999999999943</c:v>
                </c:pt>
                <c:pt idx="26">
                  <c:v>3</c:v>
                </c:pt>
                <c:pt idx="27">
                  <c:v>3.2000000000000028</c:v>
                </c:pt>
                <c:pt idx="28" formatCode="General">
                  <c:v>2.2999999999999972</c:v>
                </c:pt>
                <c:pt idx="29" formatCode="General">
                  <c:v>1.2999999999999972</c:v>
                </c:pt>
                <c:pt idx="30" formatCode="General">
                  <c:v>1.1000000000000001</c:v>
                </c:pt>
                <c:pt idx="31" formatCode="General">
                  <c:v>1.4</c:v>
                </c:pt>
                <c:pt idx="32" formatCode="General">
                  <c:v>1.7</c:v>
                </c:pt>
                <c:pt idx="33" formatCode="General">
                  <c:v>1.1000000000000001</c:v>
                </c:pt>
                <c:pt idx="34" formatCode="General">
                  <c:v>0.9</c:v>
                </c:pt>
                <c:pt idx="35" formatCode="General">
                  <c:v>0.7</c:v>
                </c:pt>
                <c:pt idx="36" formatCode="General">
                  <c:v>0.5</c:v>
                </c:pt>
                <c:pt idx="37" formatCode="General">
                  <c:v>-0.3</c:v>
                </c:pt>
                <c:pt idx="38" formatCode="General">
                  <c:v>0.1</c:v>
                </c:pt>
                <c:pt idx="39" formatCode="General">
                  <c:v>0</c:v>
                </c:pt>
                <c:pt idx="40" formatCode="General">
                  <c:v>1.5</c:v>
                </c:pt>
                <c:pt idx="41" formatCode="General">
                  <c:v>2.9</c:v>
                </c:pt>
                <c:pt idx="42" formatCode="General">
                  <c:v>3.4</c:v>
                </c:pt>
                <c:pt idx="43" formatCode="General">
                  <c:v>3.3</c:v>
                </c:pt>
                <c:pt idx="44" formatCode="General">
                  <c:v>3.2</c:v>
                </c:pt>
                <c:pt idx="45" formatCode="General">
                  <c:v>3.9</c:v>
                </c:pt>
                <c:pt idx="46" formatCode="General">
                  <c:v>3.9</c:v>
                </c:pt>
                <c:pt idx="47" formatCode="General">
                  <c:v>2.4</c:v>
                </c:pt>
                <c:pt idx="48" formatCode="General">
                  <c:v>2.9</c:v>
                </c:pt>
                <c:pt idx="49" formatCode="General">
                  <c:v>3.6</c:v>
                </c:pt>
                <c:pt idx="50" formatCode="General">
                  <c:v>3.8</c:v>
                </c:pt>
                <c:pt idx="51" formatCode="General">
                  <c:v>4.3</c:v>
                </c:pt>
                <c:pt idx="52" formatCode="General">
                  <c:v>3.8</c:v>
                </c:pt>
                <c:pt idx="53" formatCode="General">
                  <c:v>2.5</c:v>
                </c:pt>
                <c:pt idx="54" formatCode="General">
                  <c:v>2.1</c:v>
                </c:pt>
                <c:pt idx="55" formatCode="General">
                  <c:v>2.1</c:v>
                </c:pt>
                <c:pt idx="56" formatCode="General">
                  <c:v>1.9</c:v>
                </c:pt>
                <c:pt idx="57" formatCode="General">
                  <c:v>0.9</c:v>
                </c:pt>
                <c:pt idx="58" formatCode="General">
                  <c:v>0.9</c:v>
                </c:pt>
                <c:pt idx="59" formatCode="General">
                  <c:v>2.1</c:v>
                </c:pt>
                <c:pt idx="60" formatCode="General">
                  <c:v>2.4</c:v>
                </c:pt>
                <c:pt idx="61" formatCode="General">
                  <c:v>1.4</c:v>
                </c:pt>
                <c:pt idx="62" formatCode="General">
                  <c:v>0.4</c:v>
                </c:pt>
                <c:pt idx="63" formatCode="General">
                  <c:v>-0.8</c:v>
                </c:pt>
                <c:pt idx="64" formatCode="General">
                  <c:v>-0.9</c:v>
                </c:pt>
                <c:pt idx="65" formatCode="General">
                  <c:v>-0.3</c:v>
                </c:pt>
                <c:pt idx="66" formatCode="General">
                  <c:v>-0.1</c:v>
                </c:pt>
                <c:pt idx="67" formatCode="General">
                  <c:v>-0.5</c:v>
                </c:pt>
                <c:pt idx="68" formatCode="General">
                  <c:v>-0.4</c:v>
                </c:pt>
                <c:pt idx="69" formatCode="General">
                  <c:v>0.3</c:v>
                </c:pt>
                <c:pt idx="70" formatCode="General">
                  <c:v>-0.1</c:v>
                </c:pt>
                <c:pt idx="71" formatCode="General">
                  <c:v>0</c:v>
                </c:pt>
              </c:numCache>
            </c:numRef>
          </c:val>
          <c:extLst>
            <c:ext xmlns:c16="http://schemas.microsoft.com/office/drawing/2014/chart" uri="{C3380CC4-5D6E-409C-BE32-E72D297353CC}">
              <c16:uniqueId val="{00000000-B669-4BAF-8498-469EF213CDC6}"/>
            </c:ext>
          </c:extLst>
        </c:ser>
        <c:dLbls>
          <c:showLegendKey val="0"/>
          <c:showVal val="0"/>
          <c:showCatName val="0"/>
          <c:showSerName val="0"/>
          <c:showPercent val="0"/>
          <c:showBubbleSize val="0"/>
        </c:dLbls>
        <c:gapWidth val="96"/>
        <c:axId val="119381376"/>
        <c:axId val="130745472"/>
      </c:barChart>
      <c:lineChart>
        <c:grouping val="standard"/>
        <c:varyColors val="0"/>
        <c:ser>
          <c:idx val="1"/>
          <c:order val="1"/>
          <c:tx>
            <c:strRef>
              <c:f>'Ceny 4'!$D$5</c:f>
              <c:strCache>
                <c:ptCount val="1"/>
                <c:pt idx="0">
                  <c:v>Mining and quarrying,</c:v>
                </c:pt>
              </c:strCache>
            </c:strRef>
          </c:tx>
          <c:spPr>
            <a:ln w="19050">
              <a:solidFill>
                <a:srgbClr val="7DBB2D"/>
              </a:solidFill>
            </a:ln>
          </c:spPr>
          <c:marker>
            <c:symbol val="none"/>
          </c:marker>
          <c:cat>
            <c:multiLvlStrRef>
              <c:f>'Ceny 4'!$A$30:$B$101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'Ceny 4'!$D$30:$D$101</c:f>
              <c:numCache>
                <c:formatCode>0.0</c:formatCode>
                <c:ptCount val="72"/>
                <c:pt idx="0">
                  <c:v>-0.90000000000000568</c:v>
                </c:pt>
                <c:pt idx="1">
                  <c:v>-1.5</c:v>
                </c:pt>
                <c:pt idx="2">
                  <c:v>-0.90000000000000568</c:v>
                </c:pt>
                <c:pt idx="3">
                  <c:v>-0.90000000000000568</c:v>
                </c:pt>
                <c:pt idx="4">
                  <c:v>0.29999999999999716</c:v>
                </c:pt>
                <c:pt idx="5">
                  <c:v>0.59999999999999432</c:v>
                </c:pt>
                <c:pt idx="6">
                  <c:v>0.40000000000000568</c:v>
                </c:pt>
                <c:pt idx="7">
                  <c:v>-0.29999999999999716</c:v>
                </c:pt>
                <c:pt idx="8">
                  <c:v>-1.7000000000000028</c:v>
                </c:pt>
                <c:pt idx="9">
                  <c:v>-1.4000000000000057</c:v>
                </c:pt>
                <c:pt idx="10">
                  <c:v>-0.59999999999999432</c:v>
                </c:pt>
                <c:pt idx="11">
                  <c:v>-0.5</c:v>
                </c:pt>
                <c:pt idx="12">
                  <c:v>-6.5999999999999943</c:v>
                </c:pt>
                <c:pt idx="13">
                  <c:v>-6.0999999999999943</c:v>
                </c:pt>
                <c:pt idx="14">
                  <c:v>-6.5</c:v>
                </c:pt>
                <c:pt idx="15">
                  <c:v>-7</c:v>
                </c:pt>
                <c:pt idx="16">
                  <c:v>-7.0999999999999943</c:v>
                </c:pt>
                <c:pt idx="17">
                  <c:v>-7.2999999999999972</c:v>
                </c:pt>
                <c:pt idx="18">
                  <c:v>-6.5999999999999943</c:v>
                </c:pt>
                <c:pt idx="19">
                  <c:v>-6</c:v>
                </c:pt>
                <c:pt idx="20">
                  <c:v>-4.9000000000000057</c:v>
                </c:pt>
                <c:pt idx="21">
                  <c:v>-5.2000000000000028</c:v>
                </c:pt>
                <c:pt idx="22">
                  <c:v>-5.2999999999999972</c:v>
                </c:pt>
                <c:pt idx="23">
                  <c:v>-5.0999999999999943</c:v>
                </c:pt>
                <c:pt idx="24" formatCode="General">
                  <c:v>2.2999999999999972</c:v>
                </c:pt>
                <c:pt idx="25" formatCode="General">
                  <c:v>5.7999999999999972</c:v>
                </c:pt>
                <c:pt idx="26">
                  <c:v>6.2000000000000028</c:v>
                </c:pt>
                <c:pt idx="27">
                  <c:v>6.4000000000000057</c:v>
                </c:pt>
                <c:pt idx="28" formatCode="General">
                  <c:v>4.2999999999999972</c:v>
                </c:pt>
                <c:pt idx="29" formatCode="General">
                  <c:v>4.0999999999999943</c:v>
                </c:pt>
                <c:pt idx="30" formatCode="General">
                  <c:v>2.9</c:v>
                </c:pt>
                <c:pt idx="31" formatCode="General">
                  <c:v>1.7</c:v>
                </c:pt>
                <c:pt idx="32" formatCode="General">
                  <c:v>1.9</c:v>
                </c:pt>
                <c:pt idx="33" formatCode="General">
                  <c:v>3.4</c:v>
                </c:pt>
                <c:pt idx="34" formatCode="General">
                  <c:v>3.3</c:v>
                </c:pt>
                <c:pt idx="35" formatCode="General">
                  <c:v>3.6</c:v>
                </c:pt>
                <c:pt idx="36" formatCode="General">
                  <c:v>6.7</c:v>
                </c:pt>
                <c:pt idx="37" formatCode="General">
                  <c:v>5</c:v>
                </c:pt>
                <c:pt idx="38" formatCode="General">
                  <c:v>4.3</c:v>
                </c:pt>
                <c:pt idx="39" formatCode="General">
                  <c:v>4.5999999999999996</c:v>
                </c:pt>
                <c:pt idx="40" formatCode="General">
                  <c:v>7.4</c:v>
                </c:pt>
                <c:pt idx="41" formatCode="General">
                  <c:v>8</c:v>
                </c:pt>
                <c:pt idx="42" formatCode="General">
                  <c:v>8.4</c:v>
                </c:pt>
                <c:pt idx="43" formatCode="General">
                  <c:v>10.1</c:v>
                </c:pt>
                <c:pt idx="44" formatCode="General">
                  <c:v>9.9</c:v>
                </c:pt>
                <c:pt idx="45" formatCode="General">
                  <c:v>9</c:v>
                </c:pt>
                <c:pt idx="46" formatCode="General">
                  <c:v>9.1999999999999993</c:v>
                </c:pt>
                <c:pt idx="47" formatCode="General">
                  <c:v>8.3000000000000007</c:v>
                </c:pt>
                <c:pt idx="48" formatCode="General">
                  <c:v>7.9</c:v>
                </c:pt>
                <c:pt idx="49" formatCode="General">
                  <c:v>7.4</c:v>
                </c:pt>
                <c:pt idx="50" formatCode="General">
                  <c:v>8</c:v>
                </c:pt>
                <c:pt idx="51" formatCode="General">
                  <c:v>8.4</c:v>
                </c:pt>
                <c:pt idx="52" formatCode="General">
                  <c:v>7.5</c:v>
                </c:pt>
                <c:pt idx="53" formatCode="General">
                  <c:v>7.1</c:v>
                </c:pt>
                <c:pt idx="54" formatCode="General">
                  <c:v>6.9</c:v>
                </c:pt>
                <c:pt idx="55" formatCode="General">
                  <c:v>6.8</c:v>
                </c:pt>
                <c:pt idx="56" formatCode="General">
                  <c:v>6.6</c:v>
                </c:pt>
                <c:pt idx="57" formatCode="General">
                  <c:v>3.6</c:v>
                </c:pt>
                <c:pt idx="58" formatCode="General">
                  <c:v>3.2</c:v>
                </c:pt>
                <c:pt idx="59" formatCode="General">
                  <c:v>4.3</c:v>
                </c:pt>
                <c:pt idx="60" formatCode="General">
                  <c:v>-2.1</c:v>
                </c:pt>
                <c:pt idx="61" formatCode="General">
                  <c:v>-1.8</c:v>
                </c:pt>
                <c:pt idx="62" formatCode="General">
                  <c:v>-2.6</c:v>
                </c:pt>
                <c:pt idx="63" formatCode="General">
                  <c:v>-3.7</c:v>
                </c:pt>
                <c:pt idx="64" formatCode="General">
                  <c:v>-3.1</c:v>
                </c:pt>
                <c:pt idx="65" formatCode="General">
                  <c:v>-3.6</c:v>
                </c:pt>
                <c:pt idx="66" formatCode="General">
                  <c:v>-3.5</c:v>
                </c:pt>
                <c:pt idx="67" formatCode="General">
                  <c:v>-3.5</c:v>
                </c:pt>
                <c:pt idx="68" formatCode="General">
                  <c:v>-3.7</c:v>
                </c:pt>
                <c:pt idx="69" formatCode="General">
                  <c:v>-1.9</c:v>
                </c:pt>
                <c:pt idx="70" formatCode="General">
                  <c:v>-1.8</c:v>
                </c:pt>
                <c:pt idx="71" formatCode="General">
                  <c:v>-2.2000000000000002</c:v>
                </c:pt>
              </c:numCache>
            </c:numRef>
          </c:val>
          <c:smooth val="0"/>
          <c:extLst>
            <c:ext xmlns:c16="http://schemas.microsoft.com/office/drawing/2014/chart" uri="{C3380CC4-5D6E-409C-BE32-E72D297353CC}">
              <c16:uniqueId val="{00000001-B669-4BAF-8498-469EF213CDC6}"/>
            </c:ext>
          </c:extLst>
        </c:ser>
        <c:ser>
          <c:idx val="2"/>
          <c:order val="2"/>
          <c:tx>
            <c:strRef>
              <c:f>'Ceny 4'!$E$5</c:f>
              <c:strCache>
                <c:ptCount val="1"/>
                <c:pt idx="0">
                  <c:v>Manufacturing</c:v>
                </c:pt>
              </c:strCache>
            </c:strRef>
          </c:tx>
          <c:spPr>
            <a:ln w="19050">
              <a:solidFill>
                <a:srgbClr val="BD1B21"/>
              </a:solidFill>
            </a:ln>
          </c:spPr>
          <c:marker>
            <c:symbol val="none"/>
          </c:marker>
          <c:cat>
            <c:multiLvlStrRef>
              <c:f>'Ceny 4'!$A$30:$B$101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'Ceny 4'!$E$30:$E$101</c:f>
              <c:numCache>
                <c:formatCode>0.0</c:formatCode>
                <c:ptCount val="72"/>
                <c:pt idx="0">
                  <c:v>-4.2999999999999972</c:v>
                </c:pt>
                <c:pt idx="1">
                  <c:v>-4.4000000000000057</c:v>
                </c:pt>
                <c:pt idx="2">
                  <c:v>-3.5</c:v>
                </c:pt>
                <c:pt idx="3">
                  <c:v>-3.0999999999999943</c:v>
                </c:pt>
                <c:pt idx="4">
                  <c:v>-2.7000000000000028</c:v>
                </c:pt>
                <c:pt idx="5">
                  <c:v>-2.7999999999999972</c:v>
                </c:pt>
                <c:pt idx="6">
                  <c:v>-3.5999999999999943</c:v>
                </c:pt>
                <c:pt idx="7">
                  <c:v>-4.7000000000000028</c:v>
                </c:pt>
                <c:pt idx="8">
                  <c:v>-5.2000000000000028</c:v>
                </c:pt>
                <c:pt idx="9">
                  <c:v>-4.9000000000000057</c:v>
                </c:pt>
                <c:pt idx="10">
                  <c:v>-4.5999999999999943</c:v>
                </c:pt>
                <c:pt idx="11">
                  <c:v>-3.5</c:v>
                </c:pt>
                <c:pt idx="12">
                  <c:v>-3.2999999999999972</c:v>
                </c:pt>
                <c:pt idx="13">
                  <c:v>-4.0999999999999943</c:v>
                </c:pt>
                <c:pt idx="14">
                  <c:v>-4.5999999999999943</c:v>
                </c:pt>
                <c:pt idx="15">
                  <c:v>-4.9000000000000057</c:v>
                </c:pt>
                <c:pt idx="16">
                  <c:v>-5</c:v>
                </c:pt>
                <c:pt idx="17">
                  <c:v>-4.5</c:v>
                </c:pt>
                <c:pt idx="18">
                  <c:v>-4</c:v>
                </c:pt>
                <c:pt idx="19">
                  <c:v>-3.2000000000000028</c:v>
                </c:pt>
                <c:pt idx="20">
                  <c:v>-2</c:v>
                </c:pt>
                <c:pt idx="21">
                  <c:v>-1.0999999999999943</c:v>
                </c:pt>
                <c:pt idx="22">
                  <c:v>-0.59999999999999432</c:v>
                </c:pt>
                <c:pt idx="23">
                  <c:v>0.59999999999999432</c:v>
                </c:pt>
                <c:pt idx="24" formatCode="General">
                  <c:v>2.5999999999999943</c:v>
                </c:pt>
                <c:pt idx="25" formatCode="General">
                  <c:v>4</c:v>
                </c:pt>
                <c:pt idx="26">
                  <c:v>3.7999999999999972</c:v>
                </c:pt>
                <c:pt idx="27">
                  <c:v>4</c:v>
                </c:pt>
                <c:pt idx="28" formatCode="General">
                  <c:v>2.7999999999999972</c:v>
                </c:pt>
                <c:pt idx="29" formatCode="General">
                  <c:v>1.5</c:v>
                </c:pt>
                <c:pt idx="30" formatCode="General">
                  <c:v>1.4</c:v>
                </c:pt>
                <c:pt idx="31" formatCode="General">
                  <c:v>2</c:v>
                </c:pt>
                <c:pt idx="32" formatCode="General">
                  <c:v>2.1</c:v>
                </c:pt>
                <c:pt idx="33" formatCode="General">
                  <c:v>1.4</c:v>
                </c:pt>
                <c:pt idx="34" formatCode="General">
                  <c:v>1.1000000000000001</c:v>
                </c:pt>
                <c:pt idx="35" formatCode="General">
                  <c:v>0.9</c:v>
                </c:pt>
                <c:pt idx="36" formatCode="General">
                  <c:v>0.2</c:v>
                </c:pt>
                <c:pt idx="37" formatCode="General">
                  <c:v>-0.9</c:v>
                </c:pt>
                <c:pt idx="38" formatCode="General">
                  <c:v>-0.5</c:v>
                </c:pt>
                <c:pt idx="39" formatCode="General">
                  <c:v>-0.5</c:v>
                </c:pt>
                <c:pt idx="40" formatCode="General">
                  <c:v>1.3</c:v>
                </c:pt>
                <c:pt idx="41" formatCode="General">
                  <c:v>2.8</c:v>
                </c:pt>
                <c:pt idx="42" formatCode="General">
                  <c:v>3.4</c:v>
                </c:pt>
                <c:pt idx="43" formatCode="General">
                  <c:v>3.2</c:v>
                </c:pt>
                <c:pt idx="44" formatCode="General">
                  <c:v>3</c:v>
                </c:pt>
                <c:pt idx="45" formatCode="General">
                  <c:v>3.8</c:v>
                </c:pt>
                <c:pt idx="46" formatCode="General">
                  <c:v>3.9</c:v>
                </c:pt>
                <c:pt idx="47" formatCode="General">
                  <c:v>2.2000000000000002</c:v>
                </c:pt>
                <c:pt idx="48" formatCode="General">
                  <c:v>1.9</c:v>
                </c:pt>
                <c:pt idx="49" formatCode="General">
                  <c:v>2.9</c:v>
                </c:pt>
                <c:pt idx="50" formatCode="General">
                  <c:v>3</c:v>
                </c:pt>
                <c:pt idx="51" formatCode="General">
                  <c:v>3.5</c:v>
                </c:pt>
                <c:pt idx="52" formatCode="General">
                  <c:v>2.9</c:v>
                </c:pt>
                <c:pt idx="53" formatCode="General">
                  <c:v>1.4</c:v>
                </c:pt>
                <c:pt idx="54" formatCode="General">
                  <c:v>0.9</c:v>
                </c:pt>
                <c:pt idx="55" formatCode="General">
                  <c:v>0.8</c:v>
                </c:pt>
                <c:pt idx="56" formatCode="General">
                  <c:v>0.7</c:v>
                </c:pt>
                <c:pt idx="57" formatCode="General">
                  <c:v>-0.4</c:v>
                </c:pt>
                <c:pt idx="58" formatCode="General">
                  <c:v>-0.7</c:v>
                </c:pt>
                <c:pt idx="59" formatCode="General">
                  <c:v>0.8</c:v>
                </c:pt>
                <c:pt idx="60" formatCode="General">
                  <c:v>1.2</c:v>
                </c:pt>
                <c:pt idx="61" formatCode="General">
                  <c:v>-0.1</c:v>
                </c:pt>
                <c:pt idx="62" formatCode="General">
                  <c:v>-1.2</c:v>
                </c:pt>
                <c:pt idx="63" formatCode="General">
                  <c:v>-2.5</c:v>
                </c:pt>
                <c:pt idx="64" formatCode="General">
                  <c:v>-2.6</c:v>
                </c:pt>
                <c:pt idx="65" formatCode="General">
                  <c:v>-1.9</c:v>
                </c:pt>
                <c:pt idx="66" formatCode="General">
                  <c:v>-1.6</c:v>
                </c:pt>
                <c:pt idx="67" formatCode="General">
                  <c:v>-2</c:v>
                </c:pt>
                <c:pt idx="68" formatCode="General">
                  <c:v>-1.9</c:v>
                </c:pt>
                <c:pt idx="69" formatCode="General">
                  <c:v>-1.1000000000000001</c:v>
                </c:pt>
                <c:pt idx="70" formatCode="General">
                  <c:v>-1.4</c:v>
                </c:pt>
                <c:pt idx="71" formatCode="General">
                  <c:v>-1.2</c:v>
                </c:pt>
              </c:numCache>
            </c:numRef>
          </c:val>
          <c:smooth val="0"/>
          <c:extLst>
            <c:ext xmlns:c16="http://schemas.microsoft.com/office/drawing/2014/chart" uri="{C3380CC4-5D6E-409C-BE32-E72D297353CC}">
              <c16:uniqueId val="{00000002-B669-4BAF-8498-469EF213CDC6}"/>
            </c:ext>
          </c:extLst>
        </c:ser>
        <c:ser>
          <c:idx val="3"/>
          <c:order val="3"/>
          <c:tx>
            <c:strRef>
              <c:f>'Ceny 4'!$F$5</c:f>
              <c:strCache>
                <c:ptCount val="1"/>
                <c:pt idx="0">
                  <c:v>Electricity, gas, steam and air conditioning supply</c:v>
                </c:pt>
              </c:strCache>
            </c:strRef>
          </c:tx>
          <c:spPr>
            <a:ln w="19050">
              <a:solidFill>
                <a:srgbClr val="F8A124"/>
              </a:solidFill>
            </a:ln>
          </c:spPr>
          <c:marker>
            <c:symbol val="none"/>
          </c:marker>
          <c:cat>
            <c:multiLvlStrRef>
              <c:f>'Ceny 4'!$A$30:$B$101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'Ceny 4'!$F$30:$F$101</c:f>
              <c:numCache>
                <c:formatCode>0.0</c:formatCode>
                <c:ptCount val="72"/>
                <c:pt idx="0">
                  <c:v>-0.79999999999999716</c:v>
                </c:pt>
                <c:pt idx="1">
                  <c:v>-0.79999999999999716</c:v>
                </c:pt>
                <c:pt idx="2">
                  <c:v>-0.79999999999999716</c:v>
                </c:pt>
                <c:pt idx="3">
                  <c:v>-0.70000000000000284</c:v>
                </c:pt>
                <c:pt idx="4">
                  <c:v>-0.70000000000000284</c:v>
                </c:pt>
                <c:pt idx="5">
                  <c:v>-0.70000000000000284</c:v>
                </c:pt>
                <c:pt idx="6">
                  <c:v>-0.70000000000000284</c:v>
                </c:pt>
                <c:pt idx="7">
                  <c:v>-0.79999999999999716</c:v>
                </c:pt>
                <c:pt idx="8">
                  <c:v>-0.79999999999999716</c:v>
                </c:pt>
                <c:pt idx="9">
                  <c:v>-0.90000000000000568</c:v>
                </c:pt>
                <c:pt idx="10">
                  <c:v>-0.90000000000000568</c:v>
                </c:pt>
                <c:pt idx="11">
                  <c:v>-0.90000000000000568</c:v>
                </c:pt>
                <c:pt idx="12">
                  <c:v>-4</c:v>
                </c:pt>
                <c:pt idx="13">
                  <c:v>-4.0999999999999943</c:v>
                </c:pt>
                <c:pt idx="14">
                  <c:v>-4.0999999999999943</c:v>
                </c:pt>
                <c:pt idx="15">
                  <c:v>-4</c:v>
                </c:pt>
                <c:pt idx="16">
                  <c:v>-4</c:v>
                </c:pt>
                <c:pt idx="17">
                  <c:v>-4.0999999999999943</c:v>
                </c:pt>
                <c:pt idx="18">
                  <c:v>-4</c:v>
                </c:pt>
                <c:pt idx="19">
                  <c:v>-4</c:v>
                </c:pt>
                <c:pt idx="20">
                  <c:v>-4.0999999999999943</c:v>
                </c:pt>
                <c:pt idx="21">
                  <c:v>-4.0999999999999943</c:v>
                </c:pt>
                <c:pt idx="22">
                  <c:v>-4.0999999999999943</c:v>
                </c:pt>
                <c:pt idx="23">
                  <c:v>-4.0999999999999943</c:v>
                </c:pt>
                <c:pt idx="24" formatCode="General">
                  <c:v>-1.0999999999999943</c:v>
                </c:pt>
                <c:pt idx="25" formatCode="General">
                  <c:v>-1.2000000000000028</c:v>
                </c:pt>
                <c:pt idx="26">
                  <c:v>-1.2000000000000028</c:v>
                </c:pt>
                <c:pt idx="27">
                  <c:v>-1.4000000000000057</c:v>
                </c:pt>
                <c:pt idx="28" formatCode="General">
                  <c:v>-1.2999999999999972</c:v>
                </c:pt>
                <c:pt idx="29" formatCode="General">
                  <c:v>-1.0999999999999943</c:v>
                </c:pt>
                <c:pt idx="30" formatCode="General">
                  <c:v>-1.1000000000000001</c:v>
                </c:pt>
                <c:pt idx="31" formatCode="General">
                  <c:v>-1.3</c:v>
                </c:pt>
                <c:pt idx="32" formatCode="General">
                  <c:v>-1.1000000000000001</c:v>
                </c:pt>
                <c:pt idx="33" formatCode="General">
                  <c:v>-1.1000000000000001</c:v>
                </c:pt>
                <c:pt idx="34" formatCode="General">
                  <c:v>-1.1000000000000001</c:v>
                </c:pt>
                <c:pt idx="35" formatCode="General">
                  <c:v>-1.1000000000000001</c:v>
                </c:pt>
                <c:pt idx="36" formatCode="General">
                  <c:v>1.5</c:v>
                </c:pt>
                <c:pt idx="37" formatCode="General">
                  <c:v>1.6</c:v>
                </c:pt>
                <c:pt idx="38" formatCode="General">
                  <c:v>1.6</c:v>
                </c:pt>
                <c:pt idx="39" formatCode="General">
                  <c:v>1.7</c:v>
                </c:pt>
                <c:pt idx="40" formatCode="General">
                  <c:v>1.7</c:v>
                </c:pt>
                <c:pt idx="41" formatCode="General">
                  <c:v>2.2999999999999998</c:v>
                </c:pt>
                <c:pt idx="42" formatCode="General">
                  <c:v>2.2999999999999998</c:v>
                </c:pt>
                <c:pt idx="43" formatCode="General">
                  <c:v>2.6</c:v>
                </c:pt>
                <c:pt idx="44" formatCode="General">
                  <c:v>2.7</c:v>
                </c:pt>
                <c:pt idx="45" formatCode="General">
                  <c:v>2.8</c:v>
                </c:pt>
                <c:pt idx="46" formatCode="General">
                  <c:v>2.8</c:v>
                </c:pt>
                <c:pt idx="47" formatCode="General">
                  <c:v>2.8</c:v>
                </c:pt>
                <c:pt idx="48" formatCode="General">
                  <c:v>7.2</c:v>
                </c:pt>
                <c:pt idx="49" formatCode="General">
                  <c:v>7.5</c:v>
                </c:pt>
                <c:pt idx="50" formatCode="General">
                  <c:v>8.4</c:v>
                </c:pt>
                <c:pt idx="51" formatCode="General">
                  <c:v>8.1999999999999993</c:v>
                </c:pt>
                <c:pt idx="52" formatCode="General">
                  <c:v>8.6</c:v>
                </c:pt>
                <c:pt idx="53" formatCode="General">
                  <c:v>7.9</c:v>
                </c:pt>
                <c:pt idx="54" formatCode="General">
                  <c:v>8</c:v>
                </c:pt>
                <c:pt idx="55" formatCode="General">
                  <c:v>7.7</c:v>
                </c:pt>
                <c:pt idx="56" formatCode="General">
                  <c:v>7.7</c:v>
                </c:pt>
                <c:pt idx="57" formatCode="General">
                  <c:v>7.5</c:v>
                </c:pt>
                <c:pt idx="58" formatCode="General">
                  <c:v>8.6999999999999993</c:v>
                </c:pt>
                <c:pt idx="59" formatCode="General">
                  <c:v>8.8000000000000007</c:v>
                </c:pt>
                <c:pt idx="60" formatCode="General">
                  <c:v>9.3000000000000007</c:v>
                </c:pt>
                <c:pt idx="61" formatCode="General">
                  <c:v>9</c:v>
                </c:pt>
                <c:pt idx="62" formatCode="General">
                  <c:v>8.3000000000000007</c:v>
                </c:pt>
                <c:pt idx="63" formatCode="General">
                  <c:v>8.6</c:v>
                </c:pt>
                <c:pt idx="64" formatCode="General">
                  <c:v>8</c:v>
                </c:pt>
                <c:pt idx="65" formatCode="General">
                  <c:v>8</c:v>
                </c:pt>
                <c:pt idx="66" formatCode="General">
                  <c:v>7.7</c:v>
                </c:pt>
                <c:pt idx="67" formatCode="General">
                  <c:v>7.9</c:v>
                </c:pt>
                <c:pt idx="68" formatCode="General">
                  <c:v>7.7</c:v>
                </c:pt>
                <c:pt idx="69" formatCode="General">
                  <c:v>7</c:v>
                </c:pt>
                <c:pt idx="70" formatCode="General">
                  <c:v>5.8</c:v>
                </c:pt>
                <c:pt idx="71" formatCode="General">
                  <c:v>5.6</c:v>
                </c:pt>
              </c:numCache>
            </c:numRef>
          </c:val>
          <c:smooth val="0"/>
          <c:extLst>
            <c:ext xmlns:c16="http://schemas.microsoft.com/office/drawing/2014/chart" uri="{C3380CC4-5D6E-409C-BE32-E72D297353CC}">
              <c16:uniqueId val="{00000003-B669-4BAF-8498-469EF213CDC6}"/>
            </c:ext>
          </c:extLst>
        </c:ser>
        <c:ser>
          <c:idx val="4"/>
          <c:order val="4"/>
          <c:tx>
            <c:strRef>
              <c:f>'Ceny 4'!$G$5</c:f>
              <c:strCache>
                <c:ptCount val="1"/>
                <c:pt idx="0">
                  <c:v>Water supply, sewerage</c:v>
                </c:pt>
              </c:strCache>
            </c:strRef>
          </c:tx>
          <c:spPr>
            <a:ln w="19050">
              <a:solidFill>
                <a:schemeClr val="accent1"/>
              </a:solidFill>
            </a:ln>
          </c:spPr>
          <c:marker>
            <c:symbol val="none"/>
          </c:marker>
          <c:cat>
            <c:multiLvlStrRef>
              <c:f>'Ceny 4'!$A$30:$B$101</c:f>
              <c:multiLvlStrCache>
                <c:ptCount val="7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pt idx="66">
                    <c:v>7</c:v>
                  </c:pt>
                  <c:pt idx="67">
                    <c:v>8</c:v>
                  </c:pt>
                  <c:pt idx="68">
                    <c:v>9</c:v>
                  </c:pt>
                  <c:pt idx="69">
                    <c:v>10</c:v>
                  </c:pt>
                  <c:pt idx="70">
                    <c:v>11</c:v>
                  </c:pt>
                  <c:pt idx="71">
                    <c:v>12</c:v>
                  </c:pt>
                </c:lvl>
                <c:lvl>
                  <c:pt idx="0">
                    <c:v>2015</c:v>
                  </c:pt>
                  <c:pt idx="12">
                    <c:v>2016</c:v>
                  </c:pt>
                  <c:pt idx="24">
                    <c:v>2017</c:v>
                  </c:pt>
                  <c:pt idx="36">
                    <c:v>2018</c:v>
                  </c:pt>
                  <c:pt idx="48">
                    <c:v>2019</c:v>
                  </c:pt>
                  <c:pt idx="60">
                    <c:v>2020</c:v>
                  </c:pt>
                </c:lvl>
              </c:multiLvlStrCache>
            </c:multiLvlStrRef>
          </c:cat>
          <c:val>
            <c:numRef>
              <c:f>'Ceny 4'!$G$30:$G$101</c:f>
              <c:numCache>
                <c:formatCode>General</c:formatCode>
                <c:ptCount val="72"/>
                <c:pt idx="0">
                  <c:v>3.4000000000000057</c:v>
                </c:pt>
                <c:pt idx="1">
                  <c:v>3.4000000000000057</c:v>
                </c:pt>
                <c:pt idx="2">
                  <c:v>3.4000000000000057</c:v>
                </c:pt>
                <c:pt idx="3">
                  <c:v>3.4000000000000057</c:v>
                </c:pt>
                <c:pt idx="4">
                  <c:v>3.4000000000000057</c:v>
                </c:pt>
                <c:pt idx="5">
                  <c:v>3.4000000000000057</c:v>
                </c:pt>
                <c:pt idx="6">
                  <c:v>3.4000000000000057</c:v>
                </c:pt>
                <c:pt idx="7">
                  <c:v>3.4000000000000057</c:v>
                </c:pt>
                <c:pt idx="8">
                  <c:v>3.4000000000000057</c:v>
                </c:pt>
                <c:pt idx="9">
                  <c:v>3.4000000000000057</c:v>
                </c:pt>
                <c:pt idx="10">
                  <c:v>3.4000000000000057</c:v>
                </c:pt>
                <c:pt idx="11">
                  <c:v>3.4000000000000057</c:v>
                </c:pt>
                <c:pt idx="12">
                  <c:v>0.5</c:v>
                </c:pt>
                <c:pt idx="13">
                  <c:v>0.5</c:v>
                </c:pt>
                <c:pt idx="14">
                  <c:v>0.5</c:v>
                </c:pt>
                <c:pt idx="15">
                  <c:v>1.5999999999999943</c:v>
                </c:pt>
                <c:pt idx="16">
                  <c:v>1.5999999999999943</c:v>
                </c:pt>
                <c:pt idx="17">
                  <c:v>1.5999999999999943</c:v>
                </c:pt>
                <c:pt idx="18">
                  <c:v>1.5999999999999943</c:v>
                </c:pt>
                <c:pt idx="19">
                  <c:v>1.5999999999999943</c:v>
                </c:pt>
                <c:pt idx="20">
                  <c:v>1.5999999999999943</c:v>
                </c:pt>
                <c:pt idx="21">
                  <c:v>1.5999999999999943</c:v>
                </c:pt>
                <c:pt idx="22">
                  <c:v>1.5999999999999943</c:v>
                </c:pt>
                <c:pt idx="23">
                  <c:v>1.5999999999999943</c:v>
                </c:pt>
                <c:pt idx="24">
                  <c:v>2.0999999999999943</c:v>
                </c:pt>
                <c:pt idx="25">
                  <c:v>2.0999999999999943</c:v>
                </c:pt>
                <c:pt idx="26" formatCode="0.0">
                  <c:v>2.0999999999999943</c:v>
                </c:pt>
                <c:pt idx="27" formatCode="0.0">
                  <c:v>1</c:v>
                </c:pt>
                <c:pt idx="28">
                  <c:v>1</c:v>
                </c:pt>
                <c:pt idx="29">
                  <c:v>1</c:v>
                </c:pt>
                <c:pt idx="30">
                  <c:v>1</c:v>
                </c:pt>
                <c:pt idx="31">
                  <c:v>1</c:v>
                </c:pt>
                <c:pt idx="32">
                  <c:v>1</c:v>
                </c:pt>
                <c:pt idx="33">
                  <c:v>1</c:v>
                </c:pt>
                <c:pt idx="34">
                  <c:v>1</c:v>
                </c:pt>
                <c:pt idx="35">
                  <c:v>1</c:v>
                </c:pt>
                <c:pt idx="36">
                  <c:v>1.9</c:v>
                </c:pt>
                <c:pt idx="37">
                  <c:v>1.9</c:v>
                </c:pt>
                <c:pt idx="38">
                  <c:v>1.9</c:v>
                </c:pt>
                <c:pt idx="39">
                  <c:v>1.9</c:v>
                </c:pt>
                <c:pt idx="40">
                  <c:v>1.9</c:v>
                </c:pt>
                <c:pt idx="41">
                  <c:v>1.9</c:v>
                </c:pt>
                <c:pt idx="42">
                  <c:v>1.9</c:v>
                </c:pt>
                <c:pt idx="43">
                  <c:v>1.9</c:v>
                </c:pt>
                <c:pt idx="44">
                  <c:v>1.9</c:v>
                </c:pt>
                <c:pt idx="45">
                  <c:v>1.9</c:v>
                </c:pt>
                <c:pt idx="46">
                  <c:v>1.9</c:v>
                </c:pt>
                <c:pt idx="47">
                  <c:v>1.9</c:v>
                </c:pt>
                <c:pt idx="48">
                  <c:v>2.9</c:v>
                </c:pt>
                <c:pt idx="49">
                  <c:v>2.9</c:v>
                </c:pt>
                <c:pt idx="50">
                  <c:v>2.9</c:v>
                </c:pt>
                <c:pt idx="51">
                  <c:v>2.9</c:v>
                </c:pt>
                <c:pt idx="52">
                  <c:v>2.9</c:v>
                </c:pt>
                <c:pt idx="53">
                  <c:v>2.9</c:v>
                </c:pt>
                <c:pt idx="54">
                  <c:v>2.9</c:v>
                </c:pt>
                <c:pt idx="55">
                  <c:v>2.9</c:v>
                </c:pt>
                <c:pt idx="56">
                  <c:v>2.9</c:v>
                </c:pt>
                <c:pt idx="57">
                  <c:v>2.9</c:v>
                </c:pt>
                <c:pt idx="58">
                  <c:v>2.9</c:v>
                </c:pt>
                <c:pt idx="59">
                  <c:v>2.9</c:v>
                </c:pt>
                <c:pt idx="60">
                  <c:v>5.4</c:v>
                </c:pt>
                <c:pt idx="61">
                  <c:v>5.4</c:v>
                </c:pt>
                <c:pt idx="62">
                  <c:v>5.4</c:v>
                </c:pt>
                <c:pt idx="63">
                  <c:v>5.4</c:v>
                </c:pt>
                <c:pt idx="64">
                  <c:v>6.4</c:v>
                </c:pt>
                <c:pt idx="65">
                  <c:v>6.4</c:v>
                </c:pt>
                <c:pt idx="66">
                  <c:v>6.4</c:v>
                </c:pt>
                <c:pt idx="67">
                  <c:v>6.4</c:v>
                </c:pt>
                <c:pt idx="68">
                  <c:v>6.4</c:v>
                </c:pt>
                <c:pt idx="69">
                  <c:v>6.4</c:v>
                </c:pt>
                <c:pt idx="70">
                  <c:v>6.4</c:v>
                </c:pt>
                <c:pt idx="71">
                  <c:v>6.4</c:v>
                </c:pt>
              </c:numCache>
            </c:numRef>
          </c:val>
          <c:smooth val="0"/>
          <c:extLst>
            <c:ext xmlns:c16="http://schemas.microsoft.com/office/drawing/2014/chart" uri="{C3380CC4-5D6E-409C-BE32-E72D297353CC}">
              <c16:uniqueId val="{00000004-B669-4BAF-8498-469EF213CDC6}"/>
            </c:ext>
          </c:extLst>
        </c:ser>
        <c:dLbls>
          <c:showLegendKey val="0"/>
          <c:showVal val="0"/>
          <c:showCatName val="0"/>
          <c:showSerName val="0"/>
          <c:showPercent val="0"/>
          <c:showBubbleSize val="0"/>
        </c:dLbls>
        <c:marker val="1"/>
        <c:smooth val="0"/>
        <c:axId val="119381376"/>
        <c:axId val="130745472"/>
      </c:lineChart>
      <c:catAx>
        <c:axId val="119381376"/>
        <c:scaling>
          <c:orientation val="minMax"/>
        </c:scaling>
        <c:delete val="0"/>
        <c:axPos val="b"/>
        <c:numFmt formatCode="General" sourceLinked="0"/>
        <c:majorTickMark val="out"/>
        <c:minorTickMark val="none"/>
        <c:tickLblPos val="low"/>
        <c:spPr>
          <a:ln>
            <a:solidFill>
              <a:schemeClr val="tx1"/>
            </a:solidFill>
          </a:ln>
        </c:spPr>
        <c:crossAx val="130745472"/>
        <c:crosses val="autoZero"/>
        <c:auto val="1"/>
        <c:lblAlgn val="ctr"/>
        <c:lblOffset val="100"/>
        <c:noMultiLvlLbl val="0"/>
      </c:catAx>
      <c:valAx>
        <c:axId val="130745472"/>
        <c:scaling>
          <c:orientation val="minMax"/>
          <c:max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9381376"/>
        <c:crosses val="autoZero"/>
        <c:crossBetween val="between"/>
        <c:majorUnit val="2"/>
      </c:valAx>
      <c:spPr>
        <a:ln>
          <a:solidFill>
            <a:schemeClr val="tx1"/>
          </a:solidFill>
        </a:ln>
      </c:spPr>
    </c:plotArea>
    <c:legend>
      <c:legendPos val="b"/>
      <c:layout>
        <c:manualLayout>
          <c:xMode val="edge"/>
          <c:yMode val="edge"/>
          <c:x val="5.0596282132642133E-2"/>
          <c:y val="0.86223931272106069"/>
          <c:w val="0.89560705842620769"/>
          <c:h val="0.12109402425765123"/>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96FA7-2F02-4F28-8714-D3CDE84E4DE0}">
  <ds:schemaRefs>
    <ds:schemaRef ds:uri="http://schemas.openxmlformats.org/officeDocument/2006/bibliography"/>
  </ds:schemaRefs>
</ds:datastoreItem>
</file>

<file path=customXml/itemProps2.xml><?xml version="1.0" encoding="utf-8"?>
<ds:datastoreItem xmlns:ds="http://schemas.openxmlformats.org/officeDocument/2006/customXml" ds:itemID="{4FF593F0-F0F6-4BE6-A695-2A34FBF9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TotalTime>
  <Pages>6</Pages>
  <Words>2821</Words>
  <Characters>16648</Characters>
  <Application>Microsoft Office Word</Application>
  <DocSecurity>0</DocSecurity>
  <Lines>138</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19431</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3</cp:revision>
  <cp:lastPrinted>2019-04-08T10:52:00Z</cp:lastPrinted>
  <dcterms:created xsi:type="dcterms:W3CDTF">2021-04-15T07:06:00Z</dcterms:created>
  <dcterms:modified xsi:type="dcterms:W3CDTF">2021-04-15T07:24:00Z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2021-03-22T11:53:56Z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1a9c6233-56e3-45a9-a4c7-406c80ed1e4a</vt:lpwstr>
  </property>
  <property fmtid="{D5CDD505-2E9C-101B-9397-08002B2CF9AE}" pid="8" name="MSIP_Label_29db9e61-aac5-4f6e-805d-ceb8cb9983a1_ContentBits">
    <vt:lpwstr>0</vt:lpwstr>
  </property>
</Properties>
</file>