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56FB8" w14:textId="77777777" w:rsidR="00EC6B23" w:rsidRPr="00652444" w:rsidRDefault="00EC6B23" w:rsidP="00EC6B23">
      <w:pPr>
        <w:pStyle w:val="Nadpis11"/>
      </w:pPr>
      <w:bookmarkStart w:id="0" w:name="_Toc121993822"/>
      <w:bookmarkStart w:id="1" w:name="_Toc169258115"/>
      <w:bookmarkStart w:id="2" w:name="_Toc153531176"/>
      <w:bookmarkStart w:id="3" w:name="_Toc153531177"/>
      <w:r w:rsidRPr="00652444">
        <w:rPr>
          <w:szCs w:val="32"/>
        </w:rPr>
        <w:t>3</w:t>
      </w:r>
      <w:r w:rsidRPr="00652444">
        <w:t>. Výkonnost odvětví</w:t>
      </w:r>
      <w:bookmarkEnd w:id="1"/>
    </w:p>
    <w:p w14:paraId="155BB50C" w14:textId="77777777" w:rsidR="00EC6B23" w:rsidRPr="004E1DB2" w:rsidRDefault="00EC6B23" w:rsidP="00EC6B23">
      <w:pPr>
        <w:pStyle w:val="Nadpis11"/>
        <w:rPr>
          <w:b w:val="0"/>
          <w:sz w:val="2"/>
          <w:szCs w:val="2"/>
          <w:highlight w:val="yellow"/>
        </w:rPr>
      </w:pPr>
    </w:p>
    <w:p w14:paraId="7A3D409B" w14:textId="77777777" w:rsidR="00EC6B23" w:rsidRPr="004E1DB2" w:rsidRDefault="00EC6B23" w:rsidP="00EC6B23">
      <w:pPr>
        <w:pStyle w:val="Nadpis11"/>
        <w:rPr>
          <w:b w:val="0"/>
          <w:sz w:val="2"/>
          <w:szCs w:val="2"/>
          <w:highlight w:val="yellow"/>
        </w:rPr>
      </w:pPr>
    </w:p>
    <w:tbl>
      <w:tblPr>
        <w:tblW w:w="9639" w:type="dxa"/>
        <w:tblInd w:w="-20" w:type="dxa"/>
        <w:tblLayout w:type="fixed"/>
        <w:tblCellMar>
          <w:left w:w="0" w:type="dxa"/>
          <w:right w:w="0" w:type="dxa"/>
        </w:tblCellMar>
        <w:tblLook w:val="00A0" w:firstRow="1" w:lastRow="0" w:firstColumn="1" w:lastColumn="0" w:noHBand="0" w:noVBand="0"/>
      </w:tblPr>
      <w:tblGrid>
        <w:gridCol w:w="1814"/>
        <w:gridCol w:w="229"/>
        <w:gridCol w:w="7596"/>
      </w:tblGrid>
      <w:tr w:rsidR="00EC6B23" w:rsidRPr="00316308" w14:paraId="01903B32" w14:textId="77777777" w:rsidTr="002F7D0A">
        <w:trPr>
          <w:trHeight w:val="145"/>
        </w:trPr>
        <w:tc>
          <w:tcPr>
            <w:tcW w:w="1814" w:type="dxa"/>
            <w:shd w:val="clear" w:color="auto" w:fill="auto"/>
            <w:tcMar>
              <w:left w:w="0" w:type="dxa"/>
            </w:tcMar>
          </w:tcPr>
          <w:p w14:paraId="1AE483CE" w14:textId="77777777" w:rsidR="00EC6B23" w:rsidRDefault="00EC6B23" w:rsidP="002F7D0A">
            <w:pPr>
              <w:pStyle w:val="Marginlie"/>
            </w:pPr>
            <w:r>
              <w:t>Celkový výkon odvětví mezikvartálně nadále stagnoval. Meziročně se mírně snížil.</w:t>
            </w:r>
          </w:p>
        </w:tc>
        <w:tc>
          <w:tcPr>
            <w:tcW w:w="229" w:type="dxa"/>
            <w:shd w:val="clear" w:color="auto" w:fill="auto"/>
            <w:tcMar>
              <w:left w:w="0" w:type="dxa"/>
            </w:tcMar>
          </w:tcPr>
          <w:p w14:paraId="4BA1354D" w14:textId="77777777" w:rsidR="00EC6B23" w:rsidRPr="003B1401" w:rsidRDefault="00EC6B23" w:rsidP="002F7D0A">
            <w:pPr>
              <w:pStyle w:val="Textpoznpodarou"/>
              <w:jc w:val="both"/>
              <w:rPr>
                <w:spacing w:val="-4"/>
              </w:rPr>
            </w:pPr>
          </w:p>
        </w:tc>
        <w:tc>
          <w:tcPr>
            <w:tcW w:w="7596" w:type="dxa"/>
            <w:shd w:val="clear" w:color="auto" w:fill="auto"/>
            <w:tcMar>
              <w:left w:w="0" w:type="dxa"/>
            </w:tcMar>
          </w:tcPr>
          <w:p w14:paraId="02869F0C" w14:textId="77777777" w:rsidR="00EC6B23" w:rsidRPr="00EC434A" w:rsidRDefault="00EC6B23" w:rsidP="002F7D0A">
            <w:pPr>
              <w:spacing w:after="200"/>
              <w:rPr>
                <w:color w:val="0D0D0D" w:themeColor="text1" w:themeTint="F2"/>
                <w:spacing w:val="-4"/>
              </w:rPr>
            </w:pPr>
            <w:r w:rsidRPr="00EC434A">
              <w:rPr>
                <w:color w:val="0D0D0D" w:themeColor="text1" w:themeTint="F2"/>
                <w:spacing w:val="-4"/>
              </w:rPr>
              <w:t xml:space="preserve">Hrubá přidaná hodnota (HPH) na počátku letošního roku mezikvartálně fakticky stagnovala (−0,1 %) a pokračovala tak </w:t>
            </w:r>
            <w:r>
              <w:rPr>
                <w:color w:val="0D0D0D" w:themeColor="text1" w:themeTint="F2"/>
                <w:spacing w:val="-4"/>
              </w:rPr>
              <w:t xml:space="preserve">v </w:t>
            </w:r>
            <w:r w:rsidRPr="00EC434A">
              <w:rPr>
                <w:color w:val="0D0D0D" w:themeColor="text1" w:themeTint="F2"/>
                <w:spacing w:val="-4"/>
              </w:rPr>
              <w:t>obdobném vývoji jako na konci loňského roku. Mírný růst výkonu většiny odvětví služeb byl kompenzován nepříznivým vývojem v průmyslu i</w:t>
            </w:r>
            <w:r>
              <w:rPr>
                <w:color w:val="0D0D0D" w:themeColor="text1" w:themeTint="F2"/>
                <w:spacing w:val="-4"/>
              </w:rPr>
              <w:t> </w:t>
            </w:r>
            <w:r w:rsidRPr="00EC434A">
              <w:rPr>
                <w:color w:val="0D0D0D" w:themeColor="text1" w:themeTint="F2"/>
                <w:spacing w:val="-4"/>
              </w:rPr>
              <w:t>stavebnictví. Meziročně se pokles HPH mírně prohloubil (na −0,7 %, nejhorší výsledek od vrcholu pandemie na počátku roku 2021). Z hlavních odvětví rostl výkon pouze v pe</w:t>
            </w:r>
            <w:r>
              <w:rPr>
                <w:color w:val="0D0D0D" w:themeColor="text1" w:themeTint="F2"/>
                <w:spacing w:val="-4"/>
              </w:rPr>
              <w:t>něžnictví a pojišťovnictví (+4,9</w:t>
            </w:r>
            <w:r w:rsidRPr="00EC434A">
              <w:rPr>
                <w:color w:val="0D0D0D" w:themeColor="text1" w:themeTint="F2"/>
                <w:spacing w:val="-4"/>
              </w:rPr>
              <w:t xml:space="preserve"> %), k růstu celé </w:t>
            </w:r>
            <w:r>
              <w:rPr>
                <w:color w:val="0D0D0D" w:themeColor="text1" w:themeTint="F2"/>
                <w:spacing w:val="-4"/>
              </w:rPr>
              <w:t xml:space="preserve">ekonomiky nicméně přispěl pouze </w:t>
            </w:r>
            <w:r w:rsidRPr="00EC434A">
              <w:rPr>
                <w:color w:val="0D0D0D" w:themeColor="text1" w:themeTint="F2"/>
                <w:spacing w:val="-4"/>
              </w:rPr>
              <w:t>0,2 p. b. Rozhodujíc</w:t>
            </w:r>
            <w:r>
              <w:rPr>
                <w:color w:val="0D0D0D" w:themeColor="text1" w:themeTint="F2"/>
                <w:spacing w:val="-4"/>
              </w:rPr>
              <w:t>í</w:t>
            </w:r>
            <w:r w:rsidRPr="00EC434A">
              <w:rPr>
                <w:color w:val="0D0D0D" w:themeColor="text1" w:themeTint="F2"/>
                <w:spacing w:val="-4"/>
              </w:rPr>
              <w:t xml:space="preserve"> roli měl pokles výkonu průmyslu (−1,5 %), jenž byl výsledkem nepříznivého vývoje jak zpracovatelského průmyslu, tak ostatní</w:t>
            </w:r>
            <w:r>
              <w:rPr>
                <w:color w:val="0D0D0D" w:themeColor="text1" w:themeTint="F2"/>
                <w:spacing w:val="-4"/>
              </w:rPr>
              <w:t>ch</w:t>
            </w:r>
            <w:r w:rsidRPr="00EC434A">
              <w:rPr>
                <w:color w:val="0D0D0D" w:themeColor="text1" w:themeTint="F2"/>
                <w:spacing w:val="-4"/>
              </w:rPr>
              <w:t xml:space="preserve"> jeho částí.</w:t>
            </w:r>
          </w:p>
        </w:tc>
      </w:tr>
      <w:tr w:rsidR="00EC6B23" w:rsidRPr="003D1D6D" w14:paraId="329A6CED" w14:textId="77777777" w:rsidTr="002F7D0A">
        <w:trPr>
          <w:trHeight w:val="145"/>
        </w:trPr>
        <w:tc>
          <w:tcPr>
            <w:tcW w:w="1814" w:type="dxa"/>
            <w:shd w:val="clear" w:color="auto" w:fill="auto"/>
            <w:tcMar>
              <w:left w:w="0" w:type="dxa"/>
            </w:tcMar>
          </w:tcPr>
          <w:p w14:paraId="153BAA9C" w14:textId="77777777" w:rsidR="00EC6B23" w:rsidRDefault="00EC6B23" w:rsidP="002F7D0A">
            <w:pPr>
              <w:pStyle w:val="Marginlie"/>
              <w:spacing w:after="240"/>
              <w:rPr>
                <w:color w:val="0D0D0D" w:themeColor="text1" w:themeTint="F2"/>
                <w:spacing w:val="-4"/>
              </w:rPr>
            </w:pPr>
            <w:r>
              <w:rPr>
                <w:color w:val="0D0D0D" w:themeColor="text1" w:themeTint="F2"/>
                <w:spacing w:val="-4"/>
              </w:rPr>
              <w:t>Hrubá tuzemská produkce masa se meziročně zvýšila, takřka výhradně vlivem oživení výroby vepřového.</w:t>
            </w:r>
          </w:p>
          <w:p w14:paraId="2D0CEB0C" w14:textId="77777777" w:rsidR="00EC6B23" w:rsidRDefault="00EC6B23" w:rsidP="002F7D0A">
            <w:pPr>
              <w:pStyle w:val="Marginlie"/>
              <w:spacing w:after="240"/>
              <w:rPr>
                <w:color w:val="0D0D0D" w:themeColor="text1" w:themeTint="F2"/>
                <w:spacing w:val="-4"/>
              </w:rPr>
            </w:pPr>
          </w:p>
          <w:p w14:paraId="63A203E7" w14:textId="77777777" w:rsidR="00EC6B23" w:rsidRDefault="00EC6B23" w:rsidP="002F7D0A">
            <w:pPr>
              <w:pStyle w:val="Marginlie"/>
              <w:spacing w:after="240"/>
              <w:rPr>
                <w:color w:val="0D0D0D" w:themeColor="text1" w:themeTint="F2"/>
                <w:spacing w:val="-4"/>
              </w:rPr>
            </w:pPr>
          </w:p>
          <w:p w14:paraId="597CB173" w14:textId="77777777" w:rsidR="00EC6B23" w:rsidRDefault="00EC6B23" w:rsidP="002F7D0A">
            <w:pPr>
              <w:pStyle w:val="Marginlie"/>
              <w:spacing w:after="240"/>
              <w:rPr>
                <w:color w:val="0D0D0D" w:themeColor="text1" w:themeTint="F2"/>
                <w:spacing w:val="-4"/>
              </w:rPr>
            </w:pPr>
            <w:r>
              <w:rPr>
                <w:color w:val="0D0D0D" w:themeColor="text1" w:themeTint="F2"/>
                <w:spacing w:val="-4"/>
              </w:rPr>
              <w:t xml:space="preserve">Spotřeba všech hlavních druhů masa rostla, a to </w:t>
            </w:r>
            <w:r>
              <w:rPr>
                <w:color w:val="0D0D0D" w:themeColor="text1" w:themeTint="F2"/>
                <w:spacing w:val="-4"/>
              </w:rPr>
              <w:br/>
              <w:t>i vlivem posíleného dovozu.</w:t>
            </w:r>
          </w:p>
          <w:p w14:paraId="1FB05E46" w14:textId="77777777" w:rsidR="00EC6B23" w:rsidRPr="00C95A68" w:rsidRDefault="00EC6B23" w:rsidP="002F7D0A">
            <w:pPr>
              <w:pStyle w:val="Marginlie"/>
              <w:spacing w:after="240"/>
              <w:rPr>
                <w:color w:val="0D0D0D" w:themeColor="text1" w:themeTint="F2"/>
                <w:spacing w:val="-4"/>
              </w:rPr>
            </w:pPr>
          </w:p>
        </w:tc>
        <w:tc>
          <w:tcPr>
            <w:tcW w:w="229" w:type="dxa"/>
            <w:shd w:val="clear" w:color="auto" w:fill="auto"/>
            <w:tcMar>
              <w:left w:w="0" w:type="dxa"/>
            </w:tcMar>
          </w:tcPr>
          <w:p w14:paraId="4C1D6092" w14:textId="77777777" w:rsidR="00EC6B23" w:rsidRPr="00C95A68" w:rsidRDefault="00EC6B23" w:rsidP="002F7D0A">
            <w:pPr>
              <w:pStyle w:val="Textpoznpodarou"/>
              <w:spacing w:after="240"/>
              <w:jc w:val="both"/>
              <w:rPr>
                <w:color w:val="0D0D0D" w:themeColor="text1" w:themeTint="F2"/>
                <w:spacing w:val="-4"/>
              </w:rPr>
            </w:pPr>
          </w:p>
        </w:tc>
        <w:tc>
          <w:tcPr>
            <w:tcW w:w="7596" w:type="dxa"/>
            <w:shd w:val="clear" w:color="auto" w:fill="auto"/>
            <w:tcMar>
              <w:left w:w="0" w:type="dxa"/>
            </w:tcMar>
          </w:tcPr>
          <w:p w14:paraId="1E0EA346" w14:textId="77777777" w:rsidR="00EC6B23" w:rsidRPr="00EC434A" w:rsidRDefault="00EC6B23" w:rsidP="002F7D0A">
            <w:pPr>
              <w:rPr>
                <w:color w:val="0D0D0D" w:themeColor="text1" w:themeTint="F2"/>
                <w:spacing w:val="-4"/>
              </w:rPr>
            </w:pPr>
            <w:r w:rsidRPr="00EC434A">
              <w:rPr>
                <w:color w:val="0D0D0D" w:themeColor="text1" w:themeTint="F2"/>
                <w:spacing w:val="-4"/>
              </w:rPr>
              <w:t xml:space="preserve">Dva roky trvající meziroční pokles fyzického objemu výroby masa na jatkách se loni ve 4. čtvrtletí zastavil a tento obrat potvrdilo i 1. čtvrtletí 2024 (+0,8 %). K letošnímu růstu přispělo takřka výhradně jen mírné oživení výroby vepřového (+2,1 </w:t>
            </w:r>
            <w:r>
              <w:rPr>
                <w:color w:val="0D0D0D" w:themeColor="text1" w:themeTint="F2"/>
                <w:spacing w:val="-4"/>
              </w:rPr>
              <w:t xml:space="preserve">%), u hovězího </w:t>
            </w:r>
            <w:r w:rsidRPr="00EC434A">
              <w:rPr>
                <w:color w:val="0D0D0D" w:themeColor="text1" w:themeTint="F2"/>
                <w:spacing w:val="-4"/>
              </w:rPr>
              <w:t>i drůbežího výroba na jatkách stagnovala. U mléka pokračoval dlouhodobý mírný růst produkce – přímý nákup mléka od producentů se meziročně zvýšil o 3,2 % (z toho samotný nákup mlékárnami o 3,8 %). Hrubá tuzemská produkce odpovídající celkovým dodávkám z českých chovů na jatka (v tuzemsku i zahraničí) se v 1. čtvrtletí mezir</w:t>
            </w:r>
            <w:r>
              <w:rPr>
                <w:color w:val="0D0D0D" w:themeColor="text1" w:themeTint="F2"/>
                <w:spacing w:val="-4"/>
              </w:rPr>
              <w:t xml:space="preserve">očně zvýšila </w:t>
            </w:r>
            <w:r w:rsidRPr="00EC434A">
              <w:rPr>
                <w:color w:val="0D0D0D" w:themeColor="text1" w:themeTint="F2"/>
                <w:spacing w:val="-4"/>
              </w:rPr>
              <w:t xml:space="preserve">u vepřového masa o 3,8 %. Projevilo se posílení vývozu živých prasat k porážce (zejména na Slovensko a Maďarsko). U hovězího masa produkce naopak o 0,8 % klesla, zejména vlivem poklesu vývozu živých zvířat (např. do Německa i Rakouska) a </w:t>
            </w:r>
            <w:r>
              <w:rPr>
                <w:color w:val="0D0D0D" w:themeColor="text1" w:themeTint="F2"/>
                <w:spacing w:val="-4"/>
              </w:rPr>
              <w:t xml:space="preserve">došlo k mírnému </w:t>
            </w:r>
            <w:r w:rsidRPr="00EC434A">
              <w:rPr>
                <w:color w:val="0D0D0D" w:themeColor="text1" w:themeTint="F2"/>
                <w:spacing w:val="-4"/>
              </w:rPr>
              <w:t>nárůstu jejich dovozu. U drůbežího masa produkce stagnovala (+0,1 %), velmi mírný pokles výroby na tuzemských jatkách byl kompenzován vyšším exportem živých zvířat. Po započítání bilance dovozu a vývozu masa se předběžně kalkulovaná spotřeba masa meziročně zvýšila u všech tří druhů: u hovězího o 3,9 %, u vepřového o 3,2 % a u drůbežího o 8,9 %. Ovlivnila ji nejen vyšší produkce na našich jatkách, ale také zvýšený dovoz jak vepřového, tak drůbežího i hovězího.</w:t>
            </w:r>
          </w:p>
        </w:tc>
      </w:tr>
      <w:tr w:rsidR="00EC6B23" w:rsidRPr="003D1D6D" w14:paraId="03F7ACF0" w14:textId="77777777" w:rsidTr="002F7D0A">
        <w:trPr>
          <w:trHeight w:val="145"/>
        </w:trPr>
        <w:tc>
          <w:tcPr>
            <w:tcW w:w="1814" w:type="dxa"/>
            <w:shd w:val="clear" w:color="auto" w:fill="auto"/>
            <w:tcMar>
              <w:left w:w="0" w:type="dxa"/>
            </w:tcMar>
          </w:tcPr>
          <w:p w14:paraId="69519849" w14:textId="77777777" w:rsidR="00EC6B23" w:rsidRDefault="00EC6B23" w:rsidP="002F7D0A">
            <w:pPr>
              <w:pStyle w:val="Marginlie"/>
              <w:spacing w:after="240"/>
              <w:rPr>
                <w:color w:val="0D0D0D" w:themeColor="text1" w:themeTint="F2"/>
                <w:spacing w:val="-4"/>
              </w:rPr>
            </w:pPr>
            <w:r>
              <w:rPr>
                <w:color w:val="0D0D0D" w:themeColor="text1" w:themeTint="F2"/>
                <w:spacing w:val="-4"/>
              </w:rPr>
              <w:t xml:space="preserve">Většinu průmyslových odvětví stále limituje slabá poptávka a doznívající efekt zvýšených výrobních nákladů z období energetické krize. </w:t>
            </w:r>
          </w:p>
          <w:p w14:paraId="7A4C20B4" w14:textId="77777777" w:rsidR="00EC6B23" w:rsidRDefault="00EC6B23" w:rsidP="002F7D0A">
            <w:pPr>
              <w:pStyle w:val="Marginlie"/>
              <w:spacing w:after="240"/>
              <w:rPr>
                <w:color w:val="0D0D0D" w:themeColor="text1" w:themeTint="F2"/>
                <w:spacing w:val="-4"/>
              </w:rPr>
            </w:pPr>
          </w:p>
          <w:p w14:paraId="558F80B7" w14:textId="77777777" w:rsidR="00EC6B23" w:rsidRDefault="00EC6B23" w:rsidP="002F7D0A">
            <w:pPr>
              <w:pStyle w:val="Marginlie"/>
              <w:spacing w:after="240"/>
              <w:rPr>
                <w:color w:val="0D0D0D" w:themeColor="text1" w:themeTint="F2"/>
                <w:spacing w:val="-4"/>
              </w:rPr>
            </w:pPr>
          </w:p>
          <w:p w14:paraId="7D49D8E6" w14:textId="77777777" w:rsidR="00EC6B23" w:rsidRDefault="00EC6B23" w:rsidP="002F7D0A">
            <w:pPr>
              <w:pStyle w:val="Marginlie"/>
              <w:spacing w:after="240"/>
              <w:rPr>
                <w:color w:val="0D0D0D" w:themeColor="text1" w:themeTint="F2"/>
                <w:spacing w:val="-4"/>
              </w:rPr>
            </w:pPr>
          </w:p>
          <w:p w14:paraId="1512E964" w14:textId="77777777" w:rsidR="00EC6B23" w:rsidRDefault="00EC6B23" w:rsidP="002F7D0A">
            <w:pPr>
              <w:pStyle w:val="Marginlie"/>
              <w:spacing w:after="240"/>
              <w:rPr>
                <w:color w:val="0D0D0D" w:themeColor="text1" w:themeTint="F2"/>
                <w:spacing w:val="-4"/>
              </w:rPr>
            </w:pPr>
            <w:r>
              <w:rPr>
                <w:color w:val="0D0D0D" w:themeColor="text1" w:themeTint="F2"/>
                <w:spacing w:val="-4"/>
              </w:rPr>
              <w:t>Průmyslová produkce se tak na počátku roku 2024 mezikvartálně mírně snížila.</w:t>
            </w:r>
          </w:p>
        </w:tc>
        <w:tc>
          <w:tcPr>
            <w:tcW w:w="229" w:type="dxa"/>
            <w:shd w:val="clear" w:color="auto" w:fill="auto"/>
            <w:tcMar>
              <w:left w:w="0" w:type="dxa"/>
            </w:tcMar>
          </w:tcPr>
          <w:p w14:paraId="1190624B" w14:textId="77777777" w:rsidR="00EC6B23" w:rsidRDefault="00EC6B23" w:rsidP="002F7D0A">
            <w:pPr>
              <w:pStyle w:val="Textpoznpodarou"/>
              <w:spacing w:after="240"/>
              <w:jc w:val="both"/>
              <w:rPr>
                <w:spacing w:val="-4"/>
              </w:rPr>
            </w:pPr>
          </w:p>
        </w:tc>
        <w:tc>
          <w:tcPr>
            <w:tcW w:w="7596" w:type="dxa"/>
            <w:shd w:val="clear" w:color="auto" w:fill="auto"/>
            <w:tcMar>
              <w:left w:w="0" w:type="dxa"/>
            </w:tcMar>
          </w:tcPr>
          <w:p w14:paraId="6B179D3A" w14:textId="77777777" w:rsidR="00EC6B23" w:rsidRPr="00EC434A" w:rsidRDefault="00EC6B23" w:rsidP="002F7D0A">
            <w:pPr>
              <w:rPr>
                <w:color w:val="0D0D0D" w:themeColor="text1" w:themeTint="F2"/>
                <w:spacing w:val="-4"/>
              </w:rPr>
            </w:pPr>
            <w:r w:rsidRPr="00EC434A">
              <w:rPr>
                <w:color w:val="0D0D0D" w:themeColor="text1" w:themeTint="F2"/>
                <w:spacing w:val="-4"/>
              </w:rPr>
              <w:t>Průmysl v tuzemsku i v EU se na počátku letošního roku stále potýkal s utlumenou poptávkou. Na konci roku 2023 sice jeho výkon v Česku ožil, neboť produkce</w:t>
            </w:r>
            <w:r w:rsidRPr="00EC434A">
              <w:rPr>
                <w:rStyle w:val="Znakapoznpodarou"/>
                <w:color w:val="0D0D0D" w:themeColor="text1" w:themeTint="F2"/>
                <w:spacing w:val="-4"/>
              </w:rPr>
              <w:footnoteReference w:id="1"/>
            </w:r>
            <w:r w:rsidRPr="00EC434A">
              <w:rPr>
                <w:color w:val="0D0D0D" w:themeColor="text1" w:themeTint="F2"/>
                <w:spacing w:val="-4"/>
              </w:rPr>
              <w:t xml:space="preserve"> mezikvartálně vzrostla o 1,9 % (nejvíce od sklonku roku 2020), avšak na tomto vývoji měla významný podíl pouze výroba dopravních prostředků s nejbližšími návaznými obory. Automobilový průmysl ale v následujícím kvartálu </w:t>
            </w:r>
            <w:r>
              <w:rPr>
                <w:color w:val="0D0D0D" w:themeColor="text1" w:themeTint="F2"/>
                <w:spacing w:val="-4"/>
              </w:rPr>
              <w:t xml:space="preserve">již neudržel </w:t>
            </w:r>
            <w:r w:rsidRPr="00EC434A">
              <w:rPr>
                <w:color w:val="0D0D0D" w:themeColor="text1" w:themeTint="F2"/>
                <w:spacing w:val="-4"/>
              </w:rPr>
              <w:t>velmi vysoké tempo výroby, jež zčásti ještě pramenilo z finalizace většího objemu zakázek nahromaděných z období ovlivněného narušením dodavatelským řetězců. Vzhledem k jeho vysoké váze</w:t>
            </w:r>
            <w:r w:rsidRPr="00EC434A">
              <w:rPr>
                <w:rStyle w:val="Znakapoznpodarou"/>
                <w:color w:val="0D0D0D" w:themeColor="text1" w:themeTint="F2"/>
                <w:spacing w:val="-4"/>
              </w:rPr>
              <w:footnoteReference w:id="2"/>
            </w:r>
            <w:r w:rsidRPr="00EC434A">
              <w:rPr>
                <w:color w:val="0D0D0D" w:themeColor="text1" w:themeTint="F2"/>
                <w:spacing w:val="-4"/>
              </w:rPr>
              <w:t xml:space="preserve"> tak nebylo překvapivé, že výkon celého průmyslu se v 1. čtvrtletí 2024 mezikvartálně </w:t>
            </w:r>
            <w:r>
              <w:rPr>
                <w:color w:val="0D0D0D" w:themeColor="text1" w:themeTint="F2"/>
                <w:spacing w:val="-4"/>
              </w:rPr>
              <w:t xml:space="preserve">snížil </w:t>
            </w:r>
            <w:r w:rsidRPr="00EC434A">
              <w:rPr>
                <w:color w:val="0D0D0D" w:themeColor="text1" w:themeTint="F2"/>
                <w:spacing w:val="-4"/>
              </w:rPr>
              <w:t>o 0,7 %</w:t>
            </w:r>
            <w:r>
              <w:rPr>
                <w:color w:val="0D0D0D" w:themeColor="text1" w:themeTint="F2"/>
                <w:spacing w:val="-4"/>
              </w:rPr>
              <w:t>.</w:t>
            </w:r>
            <w:r w:rsidRPr="00EC434A">
              <w:rPr>
                <w:color w:val="0D0D0D" w:themeColor="text1" w:themeTint="F2"/>
                <w:spacing w:val="-4"/>
              </w:rPr>
              <w:t xml:space="preserve"> Na druhou stranu produkce většiny energeticky náročných zpracovatelských oborů se díky postupnému zklidnění situace na energetických trzích již patrně odráží od svého dna. Např. výkon ve výrobě stavebních materiálů se po sedmi čtvrtletích nepřetržitých poklesů</w:t>
            </w:r>
            <w:r w:rsidRPr="00EC434A">
              <w:rPr>
                <w:rStyle w:val="Znakapoznpodarou"/>
                <w:color w:val="0D0D0D" w:themeColor="text1" w:themeTint="F2"/>
                <w:spacing w:val="-4"/>
              </w:rPr>
              <w:footnoteReference w:id="3"/>
            </w:r>
            <w:r w:rsidRPr="00EC434A">
              <w:rPr>
                <w:color w:val="0D0D0D" w:themeColor="text1" w:themeTint="F2"/>
                <w:spacing w:val="-4"/>
              </w:rPr>
              <w:t xml:space="preserve"> letos na počátku roku mezikvartálně zvýšil skoro o 8 %. Výroba základních kovů, hutnictví a slévárenství je ovšem stále výrazně utlumená, a to nejen v Česku, ale také ve většině zemí EU. Se slabou poptávkou se nadále potýká i těžební průmysl a energetika. Výše uvedené vlivy vedly k tomu, že produkce celého průmyslu v 1. čtvrtletí za svým vrcholem z období předpandemické konjunktury (2. čtvrtletí 2019) mírně zaostala (o 1,7 %)</w:t>
            </w:r>
            <w:r w:rsidRPr="00EC434A">
              <w:rPr>
                <w:rStyle w:val="Znakapoznpodarou"/>
                <w:color w:val="0D0D0D" w:themeColor="text1" w:themeTint="F2"/>
                <w:spacing w:val="-4"/>
              </w:rPr>
              <w:footnoteReference w:id="4"/>
            </w:r>
            <w:r w:rsidRPr="00EC434A">
              <w:rPr>
                <w:color w:val="0D0D0D" w:themeColor="text1" w:themeTint="F2"/>
                <w:spacing w:val="-4"/>
              </w:rPr>
              <w:t>.</w:t>
            </w:r>
          </w:p>
        </w:tc>
      </w:tr>
      <w:tr w:rsidR="00EC6B23" w:rsidRPr="003D1D6D" w14:paraId="7D540D9A" w14:textId="77777777" w:rsidTr="002F7D0A">
        <w:trPr>
          <w:trHeight w:val="145"/>
        </w:trPr>
        <w:tc>
          <w:tcPr>
            <w:tcW w:w="1814" w:type="dxa"/>
            <w:shd w:val="clear" w:color="auto" w:fill="auto"/>
            <w:tcMar>
              <w:left w:w="0" w:type="dxa"/>
            </w:tcMar>
          </w:tcPr>
          <w:p w14:paraId="4FB23832" w14:textId="77777777" w:rsidR="00EC6B23" w:rsidRDefault="00EC6B23" w:rsidP="002F7D0A">
            <w:pPr>
              <w:pStyle w:val="Marginlie"/>
              <w:spacing w:after="240"/>
              <w:rPr>
                <w:color w:val="0D0D0D" w:themeColor="text1" w:themeTint="F2"/>
                <w:spacing w:val="-4"/>
              </w:rPr>
            </w:pPr>
            <w:r>
              <w:rPr>
                <w:color w:val="0D0D0D" w:themeColor="text1" w:themeTint="F2"/>
                <w:spacing w:val="-4"/>
              </w:rPr>
              <w:lastRenderedPageBreak/>
              <w:t xml:space="preserve">Za meziročním poklesem průmyslu stálo především strojírenství. </w:t>
            </w:r>
          </w:p>
          <w:p w14:paraId="0322BB2C" w14:textId="77777777" w:rsidR="00EC6B23" w:rsidRDefault="00EC6B23" w:rsidP="002F7D0A">
            <w:pPr>
              <w:pStyle w:val="Marginlie"/>
              <w:spacing w:after="240"/>
              <w:rPr>
                <w:color w:val="0D0D0D" w:themeColor="text1" w:themeTint="F2"/>
                <w:spacing w:val="-4"/>
              </w:rPr>
            </w:pPr>
          </w:p>
          <w:p w14:paraId="667334C3" w14:textId="77777777" w:rsidR="00EC6B23" w:rsidRDefault="00EC6B23" w:rsidP="002F7D0A">
            <w:pPr>
              <w:pStyle w:val="Marginlie"/>
              <w:spacing w:after="240"/>
              <w:rPr>
                <w:color w:val="0D0D0D" w:themeColor="text1" w:themeTint="F2"/>
                <w:spacing w:val="-4"/>
              </w:rPr>
            </w:pPr>
          </w:p>
          <w:p w14:paraId="6CBC1C5E" w14:textId="77777777" w:rsidR="00EC6B23" w:rsidRDefault="00EC6B23" w:rsidP="002F7D0A">
            <w:pPr>
              <w:pStyle w:val="Marginlie"/>
              <w:spacing w:after="240"/>
              <w:rPr>
                <w:color w:val="0D0D0D" w:themeColor="text1" w:themeTint="F2"/>
                <w:spacing w:val="-4"/>
              </w:rPr>
            </w:pPr>
            <w:r>
              <w:rPr>
                <w:color w:val="0D0D0D" w:themeColor="text1" w:themeTint="F2"/>
                <w:spacing w:val="-4"/>
              </w:rPr>
              <w:t>Pokračující útlum produkce energetiky odrážel dopad nebývalé teplé zimy i přetrvávající slabé ekonomické aktivity většiny výrobních odvětví.</w:t>
            </w:r>
          </w:p>
          <w:p w14:paraId="079938D7" w14:textId="77777777" w:rsidR="00EC6B23" w:rsidRDefault="00EC6B23" w:rsidP="002F7D0A">
            <w:pPr>
              <w:pStyle w:val="Marginlie"/>
              <w:spacing w:after="240"/>
              <w:rPr>
                <w:color w:val="0D0D0D" w:themeColor="text1" w:themeTint="F2"/>
                <w:spacing w:val="-4"/>
              </w:rPr>
            </w:pPr>
            <w:r>
              <w:rPr>
                <w:color w:val="0D0D0D" w:themeColor="text1" w:themeTint="F2"/>
                <w:spacing w:val="-4"/>
              </w:rPr>
              <w:t>Nadále se vytěžilo méně uhlí i stavebních materiálů.</w:t>
            </w:r>
          </w:p>
        </w:tc>
        <w:tc>
          <w:tcPr>
            <w:tcW w:w="229" w:type="dxa"/>
            <w:shd w:val="clear" w:color="auto" w:fill="auto"/>
            <w:tcMar>
              <w:left w:w="0" w:type="dxa"/>
            </w:tcMar>
          </w:tcPr>
          <w:p w14:paraId="1C2638CB" w14:textId="77777777" w:rsidR="00EC6B23" w:rsidRDefault="00EC6B23" w:rsidP="002F7D0A">
            <w:pPr>
              <w:pStyle w:val="Textpoznpodarou"/>
              <w:spacing w:after="240"/>
              <w:jc w:val="both"/>
              <w:rPr>
                <w:spacing w:val="-4"/>
              </w:rPr>
            </w:pPr>
          </w:p>
        </w:tc>
        <w:tc>
          <w:tcPr>
            <w:tcW w:w="7596" w:type="dxa"/>
            <w:shd w:val="clear" w:color="auto" w:fill="auto"/>
            <w:tcMar>
              <w:left w:w="0" w:type="dxa"/>
            </w:tcMar>
          </w:tcPr>
          <w:p w14:paraId="015D8F6E" w14:textId="77777777" w:rsidR="00EC6B23" w:rsidRPr="00EC434A" w:rsidRDefault="00EC6B23" w:rsidP="002F7D0A">
            <w:pPr>
              <w:rPr>
                <w:color w:val="0D0D0D" w:themeColor="text1" w:themeTint="F2"/>
                <w:spacing w:val="-4"/>
              </w:rPr>
            </w:pPr>
            <w:r w:rsidRPr="00EC434A">
              <w:rPr>
                <w:color w:val="0D0D0D" w:themeColor="text1" w:themeTint="F2"/>
                <w:spacing w:val="-4"/>
              </w:rPr>
              <w:t>V 1. čtvrtletí 2024 se průmyslová produkce meziročně snížila o 0,9 %, pokles pokračoval třetí kvartál v řadě. Za tímto vývojem stála, stejně jako na konci loňského roku, především nižší produkce strojírenství (o 13 %, příspěvek k růstu −1,1 p. b.). Přetrvávající slabší důvěra podnikatelů v ekonomiku spolu se zhoršenou dostupností úvěrového financování (vlivem vysokých úrokových sazeb) podvazuje růst tuzemské soukromé investiční aktivity. Strojírenství ovšem aktuálně naráží i na slabší poptávku ze zahraničí. Výkon průmyslu citelně tlumila energetika (−0,5 p. b.), byť pokles produkce v ní oproti loňskému rekordnímu propadu</w:t>
            </w:r>
            <w:r w:rsidRPr="00EC434A">
              <w:rPr>
                <w:rStyle w:val="Znakapoznpodarou"/>
                <w:color w:val="0D0D0D" w:themeColor="text1" w:themeTint="F2"/>
                <w:spacing w:val="-4"/>
              </w:rPr>
              <w:footnoteReference w:id="5"/>
            </w:r>
            <w:r w:rsidRPr="00EC434A">
              <w:rPr>
                <w:color w:val="0D0D0D" w:themeColor="text1" w:themeTint="F2"/>
                <w:spacing w:val="-4"/>
              </w:rPr>
              <w:t xml:space="preserve"> zmírnil na −5 %. Pokračující snižování výkonu ovlivnila v prvé řadě nižší produkce uhelných elektráren. Významně se nadále projevuje přetrvávající pokles tuzemské poptávky související letos především s nebývale vysokými teplotami ve druhé půli zimního období</w:t>
            </w:r>
            <w:r w:rsidRPr="00EC434A">
              <w:rPr>
                <w:rStyle w:val="Znakapoznpodarou"/>
                <w:color w:val="0D0D0D" w:themeColor="text1" w:themeTint="F2"/>
                <w:spacing w:val="-4"/>
              </w:rPr>
              <w:footnoteReference w:id="6"/>
            </w:r>
            <w:r w:rsidRPr="00EC434A">
              <w:rPr>
                <w:color w:val="0D0D0D" w:themeColor="text1" w:themeTint="F2"/>
                <w:spacing w:val="-4"/>
              </w:rPr>
              <w:t>. Roli ovšem stále hrála i celková snížená poptávka ve většině výrobních odvětví, což je důsledek přetrvávající slabé ekonomické aktivity. Naopak vliv úsporných opatření motivovaných vysokými cenami energií, jenž byl klíčový v letech 2022 i 2023, vyprchává</w:t>
            </w:r>
            <w:r w:rsidRPr="00EC434A">
              <w:rPr>
                <w:rStyle w:val="Znakapoznpodarou"/>
                <w:color w:val="0D0D0D" w:themeColor="text1" w:themeTint="F2"/>
                <w:spacing w:val="-4"/>
              </w:rPr>
              <w:footnoteReference w:id="7"/>
            </w:r>
            <w:r w:rsidRPr="00EC434A">
              <w:rPr>
                <w:color w:val="0D0D0D" w:themeColor="text1" w:themeTint="F2"/>
                <w:spacing w:val="-4"/>
              </w:rPr>
              <w:t>. S vývojem v energetice souvisí i pokračující řízený útlum v těžebním průmyslu. Dvojciferný pokles produkce zde pokračoval pátý kvartál v řadě, aktuálně činil meziročních 15 % (a proti růstu výkonu celého průmyslu působil −0,3 p. b.). Negativně se projevuje hlavně pokles ve stále méně rentabilní těžbě uhlí (−21 %), slabá domácí poptávka však stále limituje rovněž výkon v těžbě stavebních materiálů (−7,5 %).</w:t>
            </w:r>
          </w:p>
        </w:tc>
      </w:tr>
      <w:tr w:rsidR="00EC6B23" w:rsidRPr="003D1D6D" w14:paraId="75914EB7" w14:textId="77777777" w:rsidTr="002F7D0A">
        <w:trPr>
          <w:trHeight w:val="145"/>
        </w:trPr>
        <w:tc>
          <w:tcPr>
            <w:tcW w:w="1814" w:type="dxa"/>
            <w:shd w:val="clear" w:color="auto" w:fill="auto"/>
            <w:tcMar>
              <w:left w:w="0" w:type="dxa"/>
            </w:tcMar>
          </w:tcPr>
          <w:p w14:paraId="1C9AD851" w14:textId="77777777" w:rsidR="00EC6B23" w:rsidRDefault="00EC6B23" w:rsidP="002F7D0A">
            <w:pPr>
              <w:pStyle w:val="Marginlie"/>
              <w:spacing w:after="240"/>
              <w:rPr>
                <w:color w:val="0D0D0D" w:themeColor="text1" w:themeTint="F2"/>
                <w:spacing w:val="-4"/>
              </w:rPr>
            </w:pPr>
            <w:r>
              <w:rPr>
                <w:color w:val="0D0D0D" w:themeColor="text1" w:themeTint="F2"/>
                <w:spacing w:val="-4"/>
              </w:rPr>
              <w:t xml:space="preserve">Energeticky náročné obory hutnictví či kovodělného průmyslu čelily slabé poptávce i stále zvýšeným výrobním nákladům. </w:t>
            </w:r>
          </w:p>
        </w:tc>
        <w:tc>
          <w:tcPr>
            <w:tcW w:w="229" w:type="dxa"/>
            <w:shd w:val="clear" w:color="auto" w:fill="auto"/>
            <w:tcMar>
              <w:left w:w="0" w:type="dxa"/>
            </w:tcMar>
          </w:tcPr>
          <w:p w14:paraId="7B6954BE" w14:textId="77777777" w:rsidR="00EC6B23" w:rsidRDefault="00EC6B23" w:rsidP="002F7D0A">
            <w:pPr>
              <w:pStyle w:val="Textpoznpodarou"/>
              <w:spacing w:after="240"/>
              <w:jc w:val="both"/>
              <w:rPr>
                <w:spacing w:val="-4"/>
              </w:rPr>
            </w:pPr>
          </w:p>
        </w:tc>
        <w:tc>
          <w:tcPr>
            <w:tcW w:w="7596" w:type="dxa"/>
            <w:shd w:val="clear" w:color="auto" w:fill="auto"/>
            <w:tcMar>
              <w:left w:w="0" w:type="dxa"/>
            </w:tcMar>
          </w:tcPr>
          <w:p w14:paraId="12E4FB81" w14:textId="77777777" w:rsidR="00EC6B23" w:rsidRPr="00EC434A" w:rsidRDefault="00EC6B23" w:rsidP="002F7D0A">
            <w:pPr>
              <w:rPr>
                <w:color w:val="0D0D0D" w:themeColor="text1" w:themeTint="F2"/>
                <w:spacing w:val="-4"/>
              </w:rPr>
            </w:pPr>
            <w:r w:rsidRPr="00EC434A">
              <w:rPr>
                <w:color w:val="0D0D0D" w:themeColor="text1" w:themeTint="F2"/>
                <w:spacing w:val="-4"/>
              </w:rPr>
              <w:t>Slabé poptávce i stále zvýšeným výrobním nákladům (ve vztahu k roku 2020 i 2021) čelily i na počátku letošního roku některé energeticky náročné obory. V základní kovovýrobě, hutnictví a slévárenství se produkce meziročn</w:t>
            </w:r>
            <w:r>
              <w:rPr>
                <w:color w:val="0D0D0D" w:themeColor="text1" w:themeTint="F2"/>
                <w:spacing w:val="-4"/>
              </w:rPr>
              <w:t>ě</w:t>
            </w:r>
            <w:r w:rsidRPr="00EC434A">
              <w:rPr>
                <w:color w:val="0D0D0D" w:themeColor="text1" w:themeTint="F2"/>
                <w:spacing w:val="-4"/>
              </w:rPr>
              <w:t xml:space="preserve"> snížila desátý kvartál v řadě, aktuálně o 7,2 %. Firmám chyběla nejvíce zahraniční poptávka. Mírněji se snížil výkon také v kovodělném průmyslu (−1,2 %), kde lze však pozorovat náznak příznivějšího vývoje zahraniční poptávky. Na tuzemském trhu se navíc stále pozitivně projevují státní zakázky v dílčím segmentu zbrojní výroby. O 2,4 % se v 1. čtvrtletí snížila produkce ve výrazně proexportním i dovozně náročném a investičně orientovaném elektronickém průmyslu. V pozadí nadále stála oslabená zahraniční poptávka, ale nově i ustupující „boom“ rozvoje fotovoltaiky na domácím trhu. Mírný útlum celého odvětví přitom zřetelně předznamenal pokles meziročních temp dovozu výrobních komponent, patrný po většinu loňského roku. Přetrvávající recese v tuzemském stavebnictví ovlivňovala na počátku roku vývoj ve výrobě ostatních nekovových minerálních výrobků i v textilním průmyslu (skrze slabší poptávku v dominantním segmentu výroby technických textilií). V obou případech ale meziroční pokles výroby zmírňuje a v mezikvartálním srovnání je patrný náznak oživení.</w:t>
            </w:r>
          </w:p>
        </w:tc>
      </w:tr>
      <w:tr w:rsidR="00EC6B23" w:rsidRPr="003D1D6D" w14:paraId="3819CCA2" w14:textId="77777777" w:rsidTr="002F7D0A">
        <w:trPr>
          <w:trHeight w:val="145"/>
        </w:trPr>
        <w:tc>
          <w:tcPr>
            <w:tcW w:w="1814" w:type="dxa"/>
            <w:shd w:val="clear" w:color="auto" w:fill="auto"/>
            <w:tcMar>
              <w:left w:w="0" w:type="dxa"/>
            </w:tcMar>
          </w:tcPr>
          <w:p w14:paraId="6285ADED" w14:textId="77777777" w:rsidR="00EC6B23" w:rsidRDefault="00EC6B23" w:rsidP="002F7D0A">
            <w:pPr>
              <w:pStyle w:val="Marginlie"/>
              <w:spacing w:after="240"/>
              <w:rPr>
                <w:color w:val="0D0D0D" w:themeColor="text1" w:themeTint="F2"/>
                <w:spacing w:val="-4"/>
              </w:rPr>
            </w:pPr>
            <w:r>
              <w:rPr>
                <w:color w:val="0D0D0D" w:themeColor="text1" w:themeTint="F2"/>
                <w:spacing w:val="-4"/>
              </w:rPr>
              <w:t>Dařilo se výrobě motorových vozidel, jejich fyzická produkce byla rekordní. Rostl i výkon ve výrobě ostatních dopravních prostředků.</w:t>
            </w:r>
          </w:p>
        </w:tc>
        <w:tc>
          <w:tcPr>
            <w:tcW w:w="229" w:type="dxa"/>
            <w:shd w:val="clear" w:color="auto" w:fill="auto"/>
            <w:tcMar>
              <w:left w:w="0" w:type="dxa"/>
            </w:tcMar>
          </w:tcPr>
          <w:p w14:paraId="3D6E4938" w14:textId="77777777" w:rsidR="00EC6B23" w:rsidRDefault="00EC6B23" w:rsidP="002F7D0A">
            <w:pPr>
              <w:pStyle w:val="Textpoznpodarou"/>
              <w:spacing w:after="240"/>
              <w:jc w:val="both"/>
              <w:rPr>
                <w:spacing w:val="-4"/>
              </w:rPr>
            </w:pPr>
          </w:p>
        </w:tc>
        <w:tc>
          <w:tcPr>
            <w:tcW w:w="7596" w:type="dxa"/>
            <w:shd w:val="clear" w:color="auto" w:fill="auto"/>
            <w:tcMar>
              <w:left w:w="0" w:type="dxa"/>
            </w:tcMar>
          </w:tcPr>
          <w:p w14:paraId="4AFBC74E" w14:textId="77777777" w:rsidR="00EC6B23" w:rsidRPr="00EC434A" w:rsidRDefault="00EC6B23" w:rsidP="002F7D0A">
            <w:pPr>
              <w:rPr>
                <w:color w:val="0D0D0D" w:themeColor="text1" w:themeTint="F2"/>
                <w:spacing w:val="-4"/>
              </w:rPr>
            </w:pPr>
            <w:r w:rsidRPr="00EC434A">
              <w:rPr>
                <w:color w:val="0D0D0D" w:themeColor="text1" w:themeTint="F2"/>
                <w:spacing w:val="-4"/>
              </w:rPr>
              <w:t>Přestože meziroční růst produkce v automobilovém průmyslu zmírnil v 1. čtvrtletí na rovná 2 % (nejméně za posledních osm kvartálů), přispíval k vývoji celého průmyslu prorůstově ze všech jeho oborů stále nejvíce (+0,4 p. b.). Výrobci aut nadále profitovali ze solidního růstu domácí i zahraniční poptávky</w:t>
            </w:r>
            <w:r w:rsidRPr="00EC434A">
              <w:rPr>
                <w:rStyle w:val="Znakapoznpodarou"/>
                <w:color w:val="0D0D0D" w:themeColor="text1" w:themeTint="F2"/>
                <w:spacing w:val="-4"/>
              </w:rPr>
              <w:footnoteReference w:id="8"/>
            </w:r>
            <w:r w:rsidRPr="00EC434A">
              <w:rPr>
                <w:color w:val="0D0D0D" w:themeColor="text1" w:themeTint="F2"/>
                <w:spacing w:val="-4"/>
              </w:rPr>
              <w:t>. O dobré aktuální kondici celého odvětví svědčí rovněž údaje o fyzické produkci</w:t>
            </w:r>
            <w:r w:rsidRPr="00EC434A">
              <w:rPr>
                <w:rStyle w:val="Znakapoznpodarou"/>
                <w:color w:val="0D0D0D" w:themeColor="text1" w:themeTint="F2"/>
                <w:spacing w:val="-4"/>
              </w:rPr>
              <w:footnoteReference w:id="9"/>
            </w:r>
            <w:r w:rsidRPr="00EC434A">
              <w:rPr>
                <w:color w:val="0D0D0D" w:themeColor="text1" w:themeTint="F2"/>
                <w:spacing w:val="-4"/>
              </w:rPr>
              <w:t xml:space="preserve">, jakož i vysoké využití výrobních kapacit (to na počátku 2. čtvrtletí 2024 vystoupalo na 93,5 % a plně tak dorovnalo úroveň z vrcholu předpandemické konjunktury). Dařilo se rovněž výrobě ostatních (především kolejových) vozidel, v níž produkce i díky státním zakázkám v oblasti obrany vzrostla o 7,3 %. V dalších návazných </w:t>
            </w:r>
            <w:r w:rsidRPr="00EC434A">
              <w:rPr>
                <w:color w:val="0D0D0D" w:themeColor="text1" w:themeTint="F2"/>
                <w:spacing w:val="-4"/>
              </w:rPr>
              <w:lastRenderedPageBreak/>
              <w:t xml:space="preserve">oborech automobilového průmyslu produkce naopak letos spíše jen stagnovala, nicméně aktuální růst zakázek (hlavně v elektrotechnickém průmyslu) naznačuje příznivější vyhlídky. </w:t>
            </w:r>
          </w:p>
        </w:tc>
      </w:tr>
      <w:tr w:rsidR="00EC6B23" w:rsidRPr="003D1D6D" w14:paraId="52B08B5F" w14:textId="77777777" w:rsidTr="002F7D0A">
        <w:trPr>
          <w:trHeight w:val="145"/>
        </w:trPr>
        <w:tc>
          <w:tcPr>
            <w:tcW w:w="1814" w:type="dxa"/>
            <w:shd w:val="clear" w:color="auto" w:fill="auto"/>
            <w:tcMar>
              <w:left w:w="0" w:type="dxa"/>
            </w:tcMar>
          </w:tcPr>
          <w:p w14:paraId="50CC3FC3" w14:textId="77777777" w:rsidR="00EC6B23" w:rsidRDefault="00EC6B23" w:rsidP="002F7D0A">
            <w:pPr>
              <w:pStyle w:val="Marginlie"/>
              <w:spacing w:after="240"/>
              <w:rPr>
                <w:color w:val="0D0D0D" w:themeColor="text1" w:themeTint="F2"/>
                <w:spacing w:val="-4"/>
              </w:rPr>
            </w:pPr>
            <w:r>
              <w:rPr>
                <w:color w:val="0D0D0D" w:themeColor="text1" w:themeTint="F2"/>
                <w:spacing w:val="-4"/>
              </w:rPr>
              <w:lastRenderedPageBreak/>
              <w:t xml:space="preserve">Pozitivní obrat nastal v energeticky náročných provozech chemického </w:t>
            </w:r>
            <w:r>
              <w:rPr>
                <w:color w:val="0D0D0D" w:themeColor="text1" w:themeTint="F2"/>
                <w:spacing w:val="-4"/>
              </w:rPr>
              <w:br/>
              <w:t>a papírenského průmyslu a též v některých oborech těžících ze zvýšené spotřeby domácností.</w:t>
            </w:r>
          </w:p>
        </w:tc>
        <w:tc>
          <w:tcPr>
            <w:tcW w:w="229" w:type="dxa"/>
            <w:shd w:val="clear" w:color="auto" w:fill="auto"/>
            <w:tcMar>
              <w:left w:w="0" w:type="dxa"/>
            </w:tcMar>
          </w:tcPr>
          <w:p w14:paraId="46B6FEAC" w14:textId="77777777" w:rsidR="00EC6B23" w:rsidRDefault="00EC6B23" w:rsidP="002F7D0A">
            <w:pPr>
              <w:pStyle w:val="Textpoznpodarou"/>
              <w:spacing w:after="240"/>
              <w:jc w:val="both"/>
              <w:rPr>
                <w:spacing w:val="-4"/>
              </w:rPr>
            </w:pPr>
          </w:p>
        </w:tc>
        <w:tc>
          <w:tcPr>
            <w:tcW w:w="7596" w:type="dxa"/>
            <w:shd w:val="clear" w:color="auto" w:fill="auto"/>
            <w:tcMar>
              <w:left w:w="0" w:type="dxa"/>
            </w:tcMar>
          </w:tcPr>
          <w:p w14:paraId="7554D65C" w14:textId="77777777" w:rsidR="00EC6B23" w:rsidRPr="00EC434A" w:rsidRDefault="00EC6B23" w:rsidP="002F7D0A">
            <w:pPr>
              <w:rPr>
                <w:color w:val="0D0D0D" w:themeColor="text1" w:themeTint="F2"/>
                <w:spacing w:val="-4"/>
              </w:rPr>
            </w:pPr>
            <w:r w:rsidRPr="00EC434A">
              <w:rPr>
                <w:color w:val="0D0D0D" w:themeColor="text1" w:themeTint="F2"/>
                <w:spacing w:val="-4"/>
              </w:rPr>
              <w:t xml:space="preserve">K významnému obratu došlo letos v chemickém průmyslu, kde produkce v 1. čtvrtletí meziročně vzrostla poprvé za posledních 1,5 roku (+5,4 %). Pozitivní vliv zde mělo posílení domácí poptávky. Oživení nastalo i v dalším energeticky náročném, avšak malém oboru – papírenském průmyslu. Produkce zde dokonce rostla ze všech průmyslových oborů nejvíce (+9,3 %). Pozitivní obrat naznačuje rovněž vyšší produkce v některých malých oborech orientovaných převážně na produkty krátkodobé spotřeby (potravinářský, nápojový a oděvní průmysl). Naopak dlouhodobě (prakticky bez narušení </w:t>
            </w:r>
            <w:r>
              <w:rPr>
                <w:color w:val="0D0D0D" w:themeColor="text1" w:themeTint="F2"/>
                <w:spacing w:val="-4"/>
              </w:rPr>
              <w:br/>
            </w:r>
            <w:r w:rsidRPr="00EC434A">
              <w:rPr>
                <w:color w:val="0D0D0D" w:themeColor="text1" w:themeTint="F2"/>
                <w:spacing w:val="-4"/>
              </w:rPr>
              <w:t xml:space="preserve">i </w:t>
            </w:r>
            <w:r>
              <w:rPr>
                <w:color w:val="0D0D0D" w:themeColor="text1" w:themeTint="F2"/>
                <w:spacing w:val="-4"/>
              </w:rPr>
              <w:t>přes éru</w:t>
            </w:r>
            <w:r w:rsidRPr="00EC434A">
              <w:rPr>
                <w:color w:val="0D0D0D" w:themeColor="text1" w:themeTint="F2"/>
                <w:spacing w:val="-4"/>
              </w:rPr>
              <w:t xml:space="preserve"> pandemie) se rozvíjí farmaceutický průmysl. Za téměř 5% růstem jeho produkce v 1. čtvrtletí stála vyšší poptávka z tuzemska i zahraničí.</w:t>
            </w:r>
          </w:p>
        </w:tc>
      </w:tr>
      <w:tr w:rsidR="00EC6B23" w:rsidRPr="00A92514" w14:paraId="3BBAC90D" w14:textId="77777777" w:rsidTr="002F7D0A">
        <w:trPr>
          <w:trHeight w:val="170"/>
        </w:trPr>
        <w:tc>
          <w:tcPr>
            <w:tcW w:w="1814" w:type="dxa"/>
            <w:vMerge w:val="restart"/>
            <w:shd w:val="clear" w:color="auto" w:fill="auto"/>
            <w:tcMar>
              <w:left w:w="0" w:type="dxa"/>
            </w:tcMar>
          </w:tcPr>
          <w:p w14:paraId="59DF9067" w14:textId="77777777" w:rsidR="00EC6B23" w:rsidRDefault="00EC6B23" w:rsidP="002F7D0A">
            <w:pPr>
              <w:pStyle w:val="Marginlie"/>
            </w:pPr>
          </w:p>
        </w:tc>
        <w:tc>
          <w:tcPr>
            <w:tcW w:w="229" w:type="dxa"/>
            <w:vMerge w:val="restart"/>
            <w:shd w:val="clear" w:color="auto" w:fill="auto"/>
            <w:tcMar>
              <w:left w:w="0" w:type="dxa"/>
            </w:tcMar>
          </w:tcPr>
          <w:p w14:paraId="70B3B7E6" w14:textId="77777777" w:rsidR="00EC6B23" w:rsidRDefault="00EC6B23" w:rsidP="002F7D0A">
            <w:pPr>
              <w:pStyle w:val="Textpoznpodarou"/>
              <w:jc w:val="both"/>
              <w:rPr>
                <w:spacing w:val="-4"/>
              </w:rPr>
            </w:pPr>
          </w:p>
        </w:tc>
        <w:tc>
          <w:tcPr>
            <w:tcW w:w="7596" w:type="dxa"/>
            <w:shd w:val="clear" w:color="auto" w:fill="auto"/>
            <w:tcMar>
              <w:left w:w="0" w:type="dxa"/>
            </w:tcMar>
          </w:tcPr>
          <w:p w14:paraId="39A2F5C1" w14:textId="77777777" w:rsidR="00EC6B23" w:rsidRPr="00884AAD" w:rsidRDefault="00EC6B23" w:rsidP="002F7D0A">
            <w:pPr>
              <w:spacing w:after="0"/>
              <w:rPr>
                <w:spacing w:val="-2"/>
              </w:rPr>
            </w:pPr>
            <w:r w:rsidRPr="00884AAD">
              <w:rPr>
                <w:rFonts w:cs="Arial"/>
                <w:b/>
                <w:bCs/>
                <w:color w:val="000000"/>
                <w:spacing w:val="-2"/>
                <w:szCs w:val="20"/>
              </w:rPr>
              <w:t xml:space="preserve">Graf č. 4 </w:t>
            </w:r>
            <w:r w:rsidRPr="00884AAD">
              <w:rPr>
                <w:b/>
                <w:spacing w:val="-2"/>
              </w:rPr>
              <w:t xml:space="preserve">Příspěvky dílčích odvětví k meziroční změně průmyslové produkce v ČR </w:t>
            </w:r>
            <w:r w:rsidRPr="00884AAD">
              <w:rPr>
                <w:spacing w:val="-2"/>
              </w:rPr>
              <w:t xml:space="preserve">(očištěno o kalendářní vlivy, reálně, v p. b.) </w:t>
            </w:r>
            <w:r w:rsidRPr="00884AAD">
              <w:rPr>
                <w:b/>
                <w:spacing w:val="-2"/>
              </w:rPr>
              <w:t xml:space="preserve">a produkce v celém průmyslu v ČR, Německu a EU27 </w:t>
            </w:r>
            <w:r w:rsidRPr="00884AAD">
              <w:rPr>
                <w:spacing w:val="-2"/>
              </w:rPr>
              <w:t>(se</w:t>
            </w:r>
            <w:r>
              <w:rPr>
                <w:spacing w:val="-2"/>
              </w:rPr>
              <w:t>zónně očištěno, úroveň roku 2021</w:t>
            </w:r>
            <w:r w:rsidRPr="00884AAD">
              <w:rPr>
                <w:spacing w:val="-2"/>
              </w:rPr>
              <w:t>=100, pravá osa)</w:t>
            </w:r>
          </w:p>
        </w:tc>
      </w:tr>
      <w:tr w:rsidR="00EC6B23" w:rsidRPr="0067514E" w14:paraId="7BF4763B" w14:textId="77777777" w:rsidTr="002F7D0A">
        <w:tblPrEx>
          <w:tblCellMar>
            <w:left w:w="70" w:type="dxa"/>
            <w:right w:w="70" w:type="dxa"/>
          </w:tblCellMar>
        </w:tblPrEx>
        <w:trPr>
          <w:trHeight w:val="170"/>
        </w:trPr>
        <w:tc>
          <w:tcPr>
            <w:tcW w:w="1814" w:type="dxa"/>
            <w:vMerge/>
            <w:shd w:val="clear" w:color="auto" w:fill="auto"/>
          </w:tcPr>
          <w:p w14:paraId="07BFCCB2" w14:textId="77777777" w:rsidR="00EC6B23" w:rsidRDefault="00EC6B23" w:rsidP="002F7D0A">
            <w:pPr>
              <w:pStyle w:val="Marginlie"/>
            </w:pPr>
          </w:p>
        </w:tc>
        <w:tc>
          <w:tcPr>
            <w:tcW w:w="229" w:type="dxa"/>
            <w:vMerge/>
            <w:shd w:val="clear" w:color="auto" w:fill="auto"/>
          </w:tcPr>
          <w:p w14:paraId="641C7B63" w14:textId="77777777" w:rsidR="00EC6B23" w:rsidRDefault="00EC6B23" w:rsidP="002F7D0A">
            <w:pPr>
              <w:pStyle w:val="Textpoznpodarou"/>
              <w:jc w:val="both"/>
              <w:rPr>
                <w:spacing w:val="-4"/>
              </w:rPr>
            </w:pPr>
          </w:p>
        </w:tc>
        <w:tc>
          <w:tcPr>
            <w:tcW w:w="7596" w:type="dxa"/>
            <w:shd w:val="clear" w:color="auto" w:fill="auto"/>
          </w:tcPr>
          <w:p w14:paraId="33B6840B" w14:textId="77777777" w:rsidR="00EC6B23" w:rsidRPr="0067514E" w:rsidRDefault="00EC6B23" w:rsidP="002F7D0A">
            <w:pPr>
              <w:spacing w:after="0"/>
              <w:rPr>
                <w:spacing w:val="-6"/>
              </w:rPr>
            </w:pPr>
            <w:r>
              <w:rPr>
                <w:noProof/>
              </w:rPr>
              <w:drawing>
                <wp:inline distT="0" distB="0" distL="0" distR="0" wp14:anchorId="2A730B93" wp14:editId="1A8FD9FD">
                  <wp:extent cx="4723074" cy="3493770"/>
                  <wp:effectExtent l="0" t="0" r="190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EC6B23" w:rsidRPr="00E52D45" w14:paraId="0E243C08" w14:textId="77777777" w:rsidTr="002F7D0A">
        <w:trPr>
          <w:trHeight w:val="170"/>
        </w:trPr>
        <w:tc>
          <w:tcPr>
            <w:tcW w:w="1814" w:type="dxa"/>
            <w:vMerge/>
            <w:shd w:val="clear" w:color="auto" w:fill="auto"/>
            <w:tcMar>
              <w:left w:w="0" w:type="dxa"/>
            </w:tcMar>
          </w:tcPr>
          <w:p w14:paraId="6C68A646" w14:textId="77777777" w:rsidR="00EC6B23" w:rsidRDefault="00EC6B23" w:rsidP="002F7D0A">
            <w:pPr>
              <w:pStyle w:val="Marginlie"/>
            </w:pPr>
          </w:p>
        </w:tc>
        <w:tc>
          <w:tcPr>
            <w:tcW w:w="229" w:type="dxa"/>
            <w:vMerge/>
            <w:shd w:val="clear" w:color="auto" w:fill="auto"/>
            <w:tcMar>
              <w:left w:w="0" w:type="dxa"/>
            </w:tcMar>
          </w:tcPr>
          <w:p w14:paraId="05BFBA8D" w14:textId="77777777" w:rsidR="00EC6B23" w:rsidRDefault="00EC6B23" w:rsidP="002F7D0A">
            <w:pPr>
              <w:pStyle w:val="Textpoznpodarou"/>
              <w:jc w:val="both"/>
              <w:rPr>
                <w:spacing w:val="-4"/>
              </w:rPr>
            </w:pPr>
          </w:p>
        </w:tc>
        <w:tc>
          <w:tcPr>
            <w:tcW w:w="7596" w:type="dxa"/>
            <w:shd w:val="clear" w:color="auto" w:fill="auto"/>
            <w:tcMar>
              <w:left w:w="0" w:type="dxa"/>
            </w:tcMar>
          </w:tcPr>
          <w:p w14:paraId="27647516" w14:textId="77777777" w:rsidR="00EC6B23" w:rsidRDefault="00EC6B23" w:rsidP="002F7D0A">
            <w:pPr>
              <w:tabs>
                <w:tab w:val="right" w:pos="7683"/>
              </w:tabs>
              <w:spacing w:after="0" w:line="240" w:lineRule="auto"/>
              <w:jc w:val="left"/>
              <w:rPr>
                <w:rFonts w:cs="Arial"/>
                <w:sz w:val="14"/>
                <w:szCs w:val="14"/>
              </w:rPr>
            </w:pPr>
            <w:r>
              <w:rPr>
                <w:rFonts w:cs="Arial"/>
                <w:sz w:val="14"/>
                <w:szCs w:val="14"/>
              </w:rPr>
              <w:t xml:space="preserve">Poznámka: Tržby jsou uvedeny v běžných cenách. </w:t>
            </w:r>
            <w:r>
              <w:rPr>
                <w:rFonts w:cs="Arial"/>
                <w:sz w:val="14"/>
                <w:szCs w:val="14"/>
              </w:rPr>
              <w:tab/>
              <w:t xml:space="preserve"> </w:t>
            </w:r>
          </w:p>
          <w:p w14:paraId="53EC99DE" w14:textId="77777777" w:rsidR="00EC6B23" w:rsidRPr="0057119D" w:rsidRDefault="00EC6B23" w:rsidP="002F7D0A">
            <w:pPr>
              <w:tabs>
                <w:tab w:val="right" w:pos="7683"/>
              </w:tabs>
              <w:spacing w:after="0" w:line="240" w:lineRule="auto"/>
              <w:jc w:val="left"/>
              <w:rPr>
                <w:rFonts w:cs="Arial"/>
                <w:spacing w:val="-2"/>
                <w:sz w:val="14"/>
                <w:szCs w:val="14"/>
              </w:rPr>
            </w:pPr>
            <w:r w:rsidRPr="0057119D">
              <w:rPr>
                <w:rFonts w:cs="Arial"/>
                <w:spacing w:val="-2"/>
                <w:sz w:val="14"/>
                <w:szCs w:val="14"/>
              </w:rPr>
              <w:t xml:space="preserve">*Příspěvek zbývajícího zpracovatelského průmyslu zahrnuje i vliv celkové metodické diskrepance pramenící </w:t>
            </w:r>
            <w:r>
              <w:rPr>
                <w:rFonts w:cs="Arial"/>
                <w:spacing w:val="-2"/>
                <w:sz w:val="14"/>
                <w:szCs w:val="14"/>
              </w:rPr>
              <w:t>z</w:t>
            </w:r>
            <w:r w:rsidRPr="0057119D">
              <w:rPr>
                <w:rFonts w:cs="Arial"/>
                <w:spacing w:val="-2"/>
                <w:sz w:val="14"/>
                <w:szCs w:val="14"/>
              </w:rPr>
              <w:t>e změn</w:t>
            </w:r>
            <w:r>
              <w:rPr>
                <w:rFonts w:cs="Arial"/>
                <w:spacing w:val="-2"/>
                <w:sz w:val="14"/>
                <w:szCs w:val="14"/>
              </w:rPr>
              <w:t>y</w:t>
            </w:r>
            <w:r w:rsidRPr="0057119D">
              <w:rPr>
                <w:rFonts w:cs="Arial"/>
                <w:spacing w:val="-2"/>
                <w:sz w:val="14"/>
                <w:szCs w:val="14"/>
              </w:rPr>
              <w:t xml:space="preserve"> vah.</w:t>
            </w:r>
          </w:p>
          <w:p w14:paraId="36D7C16D" w14:textId="77777777" w:rsidR="00EC6B23" w:rsidRPr="00E52D45" w:rsidRDefault="00EC6B23" w:rsidP="002F7D0A">
            <w:pPr>
              <w:tabs>
                <w:tab w:val="right" w:pos="7683"/>
              </w:tabs>
              <w:spacing w:after="200" w:line="240" w:lineRule="auto"/>
              <w:jc w:val="left"/>
              <w:rPr>
                <w:spacing w:val="-2"/>
                <w:sz w:val="14"/>
                <w:szCs w:val="14"/>
              </w:rPr>
            </w:pPr>
            <w:r w:rsidRPr="00883202">
              <w:rPr>
                <w:rFonts w:cs="Arial"/>
                <w:sz w:val="14"/>
                <w:szCs w:val="14"/>
              </w:rPr>
              <w:t>Zdroj: ČSÚ</w:t>
            </w:r>
            <w:r>
              <w:rPr>
                <w:rFonts w:cs="Arial"/>
                <w:sz w:val="14"/>
                <w:szCs w:val="14"/>
              </w:rPr>
              <w:t>, Eurostat</w:t>
            </w:r>
          </w:p>
        </w:tc>
      </w:tr>
      <w:tr w:rsidR="00EC6B23" w:rsidRPr="00705C3E" w14:paraId="07A7D06F" w14:textId="77777777" w:rsidTr="002F7D0A">
        <w:trPr>
          <w:trHeight w:val="134"/>
        </w:trPr>
        <w:tc>
          <w:tcPr>
            <w:tcW w:w="1814" w:type="dxa"/>
            <w:shd w:val="clear" w:color="auto" w:fill="auto"/>
            <w:tcMar>
              <w:left w:w="0" w:type="dxa"/>
            </w:tcMar>
          </w:tcPr>
          <w:p w14:paraId="1F1FB2AF" w14:textId="77777777" w:rsidR="00EC6B23" w:rsidRDefault="00EC6B23" w:rsidP="002F7D0A">
            <w:pPr>
              <w:pStyle w:val="Marginlie"/>
            </w:pPr>
            <w:r>
              <w:t xml:space="preserve">Pokles hodnoty průmyslových zakázek se v 1. čtvrtletí zastavil. Dařilo se zejména segmentu automotive a návazným oborům. </w:t>
            </w:r>
          </w:p>
          <w:p w14:paraId="1E16AAC2" w14:textId="77777777" w:rsidR="00EC6B23" w:rsidRDefault="00EC6B23" w:rsidP="002F7D0A">
            <w:pPr>
              <w:pStyle w:val="Marginlie"/>
            </w:pPr>
          </w:p>
          <w:p w14:paraId="66A19D61" w14:textId="77777777" w:rsidR="00EC6B23" w:rsidRDefault="00EC6B23" w:rsidP="002F7D0A">
            <w:pPr>
              <w:pStyle w:val="Marginlie"/>
            </w:pPr>
          </w:p>
          <w:p w14:paraId="611F8853" w14:textId="77777777" w:rsidR="00EC6B23" w:rsidRDefault="00EC6B23" w:rsidP="002F7D0A">
            <w:pPr>
              <w:pStyle w:val="Marginlie"/>
            </w:pPr>
          </w:p>
          <w:p w14:paraId="11BDBC2F" w14:textId="77777777" w:rsidR="00EC6B23" w:rsidRDefault="00EC6B23" w:rsidP="002F7D0A">
            <w:pPr>
              <w:pStyle w:val="Marginlie"/>
            </w:pPr>
          </w:p>
          <w:p w14:paraId="36E91D5C" w14:textId="77777777" w:rsidR="00EC6B23" w:rsidRDefault="00EC6B23" w:rsidP="002F7D0A">
            <w:pPr>
              <w:pStyle w:val="Marginlie"/>
            </w:pPr>
            <w:r>
              <w:t>Ve strojírenství a hutnictví však domácí i zahraniční poptávka nadále citelně klesala.</w:t>
            </w:r>
          </w:p>
        </w:tc>
        <w:tc>
          <w:tcPr>
            <w:tcW w:w="229" w:type="dxa"/>
            <w:shd w:val="clear" w:color="auto" w:fill="auto"/>
            <w:tcMar>
              <w:left w:w="0" w:type="dxa"/>
            </w:tcMar>
          </w:tcPr>
          <w:p w14:paraId="2818146F" w14:textId="77777777" w:rsidR="00EC6B23" w:rsidRDefault="00EC6B23" w:rsidP="002F7D0A">
            <w:pPr>
              <w:pStyle w:val="Textpoznpodarou"/>
              <w:jc w:val="both"/>
              <w:rPr>
                <w:spacing w:val="-4"/>
              </w:rPr>
            </w:pPr>
          </w:p>
        </w:tc>
        <w:tc>
          <w:tcPr>
            <w:tcW w:w="7596" w:type="dxa"/>
            <w:shd w:val="clear" w:color="auto" w:fill="auto"/>
            <w:tcMar>
              <w:left w:w="0" w:type="dxa"/>
            </w:tcMar>
          </w:tcPr>
          <w:p w14:paraId="3ED4C123" w14:textId="4070DC30" w:rsidR="00EC6B23" w:rsidRPr="00EC434A" w:rsidRDefault="00EC6B23" w:rsidP="002F7D0A">
            <w:pPr>
              <w:spacing w:after="0"/>
              <w:rPr>
                <w:color w:val="0D0D0D" w:themeColor="text1" w:themeTint="F2"/>
                <w:spacing w:val="-4"/>
              </w:rPr>
            </w:pPr>
            <w:r w:rsidRPr="00EC434A">
              <w:rPr>
                <w:color w:val="0D0D0D" w:themeColor="text1" w:themeTint="F2"/>
                <w:spacing w:val="-4"/>
              </w:rPr>
              <w:t>Dynamika nových průmyslových zakázek potvrzovala na počátku roku mírné oživení.  Zatímco po většinu loňského roku se nominální hodnota zakázek ve sledovaných průmyslových oborech</w:t>
            </w:r>
            <w:r w:rsidRPr="00EC434A">
              <w:rPr>
                <w:rStyle w:val="Znakapoznpodarou"/>
                <w:color w:val="0D0D0D" w:themeColor="text1" w:themeTint="F2"/>
                <w:spacing w:val="-4"/>
              </w:rPr>
              <w:footnoteReference w:id="10"/>
            </w:r>
            <w:r w:rsidRPr="00EC434A">
              <w:rPr>
                <w:color w:val="0D0D0D" w:themeColor="text1" w:themeTint="F2"/>
                <w:spacing w:val="-4"/>
              </w:rPr>
              <w:t xml:space="preserve"> meziročně snižovala, v 1. čtvrtletí 2024 vzrostla o 4,1 %. To lze s ohledem na stagnaci cen průmyslových výrobců považovat za náznak budoucího hospodářského oživení celého odvětví. Mírný růst signalizovaly jak objednávky z tuzemska (+3,4 %), tak ze zahraničí (+4,5 %). Růst celkových zakázek byl stejně jako za posledních 1,5 roku nejvíce tažen vyšší poptávkou po motorových vozidlech (+12,9 %), dařilo se také návazné výrobě elektrických zařízení (+9,0 %). Pozitivní vyhlídky byly díky tuzemské poptávce patrné i u ostatních dopravních prostředků, ta má ovšem v tomto relativně menším odvětví značně volatilní charakter.</w:t>
            </w:r>
            <w:r>
              <w:rPr>
                <w:color w:val="0D0D0D" w:themeColor="text1" w:themeTint="F2"/>
                <w:spacing w:val="-4"/>
              </w:rPr>
              <w:t xml:space="preserve"> Podobné platí rovněž o oděvním </w:t>
            </w:r>
            <w:r w:rsidRPr="00EC434A">
              <w:rPr>
                <w:color w:val="0D0D0D" w:themeColor="text1" w:themeTint="F2"/>
                <w:spacing w:val="-4"/>
              </w:rPr>
              <w:t>a</w:t>
            </w:r>
            <w:r>
              <w:rPr>
                <w:color w:val="0D0D0D" w:themeColor="text1" w:themeTint="F2"/>
                <w:spacing w:val="-4"/>
              </w:rPr>
              <w:t> </w:t>
            </w:r>
            <w:r w:rsidRPr="00EC434A">
              <w:rPr>
                <w:color w:val="0D0D0D" w:themeColor="text1" w:themeTint="F2"/>
                <w:spacing w:val="-4"/>
              </w:rPr>
              <w:t xml:space="preserve">papírenském průmyslu, kde k mírnému (zhruba 5%) růstu zakázek pomohla hlavně vyšší </w:t>
            </w:r>
            <w:r w:rsidRPr="00EC434A">
              <w:rPr>
                <w:color w:val="0D0D0D" w:themeColor="text1" w:themeTint="F2"/>
                <w:spacing w:val="-4"/>
              </w:rPr>
              <w:lastRenderedPageBreak/>
              <w:t>poptávka ze zahraničí. Řada nosných zpracovatelských oborů byla ovšem stále limitovaná slabou poptávkou. V hutnictví propadla meziročně téměř o pětinu, ve strojírenství takřka o</w:t>
            </w:r>
            <w:r>
              <w:rPr>
                <w:color w:val="0D0D0D" w:themeColor="text1" w:themeTint="F2"/>
                <w:spacing w:val="-4"/>
              </w:rPr>
              <w:t> </w:t>
            </w:r>
            <w:r w:rsidRPr="00EC434A">
              <w:rPr>
                <w:color w:val="0D0D0D" w:themeColor="text1" w:themeTint="F2"/>
                <w:spacing w:val="-4"/>
              </w:rPr>
              <w:t xml:space="preserve">desetinu. </w:t>
            </w:r>
          </w:p>
          <w:p w14:paraId="03023B41" w14:textId="77777777" w:rsidR="00EC6B23" w:rsidRPr="00EC434A" w:rsidRDefault="00EC6B23" w:rsidP="002F7D0A">
            <w:pPr>
              <w:spacing w:after="0"/>
              <w:rPr>
                <w:spacing w:val="-4"/>
              </w:rPr>
            </w:pPr>
          </w:p>
        </w:tc>
      </w:tr>
      <w:tr w:rsidR="00EC6B23" w:rsidRPr="00705C3E" w14:paraId="6942C999" w14:textId="77777777" w:rsidTr="002F7D0A">
        <w:trPr>
          <w:trHeight w:val="134"/>
        </w:trPr>
        <w:tc>
          <w:tcPr>
            <w:tcW w:w="1814" w:type="dxa"/>
            <w:vMerge w:val="restart"/>
            <w:shd w:val="clear" w:color="auto" w:fill="auto"/>
            <w:tcMar>
              <w:left w:w="0" w:type="dxa"/>
            </w:tcMar>
          </w:tcPr>
          <w:p w14:paraId="4BF3DF0F" w14:textId="77777777" w:rsidR="00EC6B23" w:rsidRDefault="00EC6B23" w:rsidP="002F7D0A">
            <w:pPr>
              <w:pStyle w:val="Marginlie"/>
            </w:pPr>
          </w:p>
        </w:tc>
        <w:tc>
          <w:tcPr>
            <w:tcW w:w="229" w:type="dxa"/>
            <w:vMerge w:val="restart"/>
            <w:shd w:val="clear" w:color="auto" w:fill="auto"/>
            <w:tcMar>
              <w:left w:w="0" w:type="dxa"/>
            </w:tcMar>
          </w:tcPr>
          <w:p w14:paraId="65C11DC7" w14:textId="77777777" w:rsidR="00EC6B23" w:rsidRDefault="00EC6B23" w:rsidP="002F7D0A">
            <w:pPr>
              <w:pStyle w:val="Textpoznpodarou"/>
              <w:jc w:val="both"/>
              <w:rPr>
                <w:spacing w:val="-4"/>
              </w:rPr>
            </w:pPr>
          </w:p>
        </w:tc>
        <w:tc>
          <w:tcPr>
            <w:tcW w:w="7596" w:type="dxa"/>
            <w:shd w:val="clear" w:color="auto" w:fill="auto"/>
            <w:tcMar>
              <w:left w:w="0" w:type="dxa"/>
            </w:tcMar>
          </w:tcPr>
          <w:p w14:paraId="3CA035F5" w14:textId="150E7807" w:rsidR="00EC6B23" w:rsidRPr="00705C3E" w:rsidRDefault="00EC6B23" w:rsidP="002F7D0A">
            <w:pPr>
              <w:spacing w:after="0"/>
              <w:rPr>
                <w:color w:val="0D0D0D" w:themeColor="text1" w:themeTint="F2"/>
                <w:spacing w:val="-5"/>
              </w:rPr>
            </w:pPr>
            <w:r w:rsidRPr="00760356">
              <w:rPr>
                <w:b/>
                <w:spacing w:val="-2"/>
              </w:rPr>
              <w:t>Graf č. 5</w:t>
            </w:r>
            <w:r>
              <w:rPr>
                <w:b/>
                <w:spacing w:val="-2"/>
              </w:rPr>
              <w:t xml:space="preserve"> Nové zakázky v </w:t>
            </w:r>
            <w:r w:rsidRPr="00760356">
              <w:rPr>
                <w:b/>
                <w:spacing w:val="-2"/>
              </w:rPr>
              <w:t xml:space="preserve">průmyslu </w:t>
            </w:r>
            <w:r w:rsidRPr="00760356">
              <w:rPr>
                <w:bCs/>
                <w:spacing w:val="-2"/>
              </w:rPr>
              <w:t>(</w:t>
            </w:r>
            <w:r>
              <w:rPr>
                <w:bCs/>
                <w:spacing w:val="-2"/>
              </w:rPr>
              <w:t>nominálně</w:t>
            </w:r>
            <w:r w:rsidRPr="00760356">
              <w:rPr>
                <w:bCs/>
                <w:spacing w:val="-2"/>
              </w:rPr>
              <w:t xml:space="preserve">, </w:t>
            </w:r>
            <w:r w:rsidRPr="00760356">
              <w:rPr>
                <w:spacing w:val="-2"/>
              </w:rPr>
              <w:t>meziročně</w:t>
            </w:r>
            <w:r>
              <w:rPr>
                <w:spacing w:val="-2"/>
              </w:rPr>
              <w:t>,</w:t>
            </w:r>
            <w:r w:rsidRPr="00760356">
              <w:rPr>
                <w:bCs/>
                <w:spacing w:val="-2"/>
              </w:rPr>
              <w:t xml:space="preserve"> v %)</w:t>
            </w:r>
            <w:r>
              <w:rPr>
                <w:b/>
                <w:spacing w:val="-2"/>
              </w:rPr>
              <w:t xml:space="preserve">, </w:t>
            </w:r>
            <w:r w:rsidRPr="00760356">
              <w:rPr>
                <w:b/>
                <w:spacing w:val="-2"/>
              </w:rPr>
              <w:t>využi</w:t>
            </w:r>
            <w:r>
              <w:rPr>
                <w:b/>
                <w:spacing w:val="-2"/>
              </w:rPr>
              <w:t xml:space="preserve">tí výrobních kapacit v průmyslu, </w:t>
            </w:r>
            <w:r w:rsidRPr="00760356">
              <w:rPr>
                <w:b/>
                <w:spacing w:val="-2"/>
              </w:rPr>
              <w:t>vybrané bariéry růst</w:t>
            </w:r>
            <w:r w:rsidRPr="006E759E">
              <w:rPr>
                <w:b/>
                <w:spacing w:val="-2"/>
              </w:rPr>
              <w:t>u</w:t>
            </w:r>
            <w:r w:rsidRPr="006E759E">
              <w:rPr>
                <w:spacing w:val="-2"/>
              </w:rPr>
              <w:t xml:space="preserve">* (v %, pravá osa) </w:t>
            </w:r>
            <w:r w:rsidRPr="006E759E">
              <w:rPr>
                <w:b/>
                <w:spacing w:val="-2"/>
              </w:rPr>
              <w:t>a </w:t>
            </w:r>
            <w:r>
              <w:rPr>
                <w:b/>
              </w:rPr>
              <w:t>saldo</w:t>
            </w:r>
            <w:r w:rsidRPr="006E759E">
              <w:rPr>
                <w:b/>
              </w:rPr>
              <w:t xml:space="preserve"> důvěry</w:t>
            </w:r>
            <w:r w:rsidRPr="00883202">
              <w:rPr>
                <w:b/>
              </w:rPr>
              <w:t xml:space="preserve"> </w:t>
            </w:r>
            <w:r>
              <w:rPr>
                <w:b/>
              </w:rPr>
              <w:t xml:space="preserve">podnikatelů </w:t>
            </w:r>
            <w:r w:rsidRPr="00883202">
              <w:rPr>
                <w:b/>
              </w:rPr>
              <w:t xml:space="preserve">v průmyslu* </w:t>
            </w:r>
            <w:r>
              <w:t xml:space="preserve">(v p. b., pravá </w:t>
            </w:r>
            <w:r w:rsidRPr="00883202">
              <w:t>osa)</w:t>
            </w:r>
          </w:p>
        </w:tc>
      </w:tr>
      <w:tr w:rsidR="00EC6B23" w:rsidRPr="00705C3E" w14:paraId="0032FD75" w14:textId="77777777" w:rsidTr="002F7D0A">
        <w:tblPrEx>
          <w:tblCellMar>
            <w:left w:w="70" w:type="dxa"/>
            <w:right w:w="70" w:type="dxa"/>
          </w:tblCellMar>
        </w:tblPrEx>
        <w:trPr>
          <w:trHeight w:val="133"/>
        </w:trPr>
        <w:tc>
          <w:tcPr>
            <w:tcW w:w="1814" w:type="dxa"/>
            <w:vMerge/>
            <w:shd w:val="clear" w:color="auto" w:fill="auto"/>
          </w:tcPr>
          <w:p w14:paraId="423CEB5E" w14:textId="77777777" w:rsidR="00EC6B23" w:rsidRDefault="00EC6B23" w:rsidP="002F7D0A">
            <w:pPr>
              <w:pStyle w:val="Marginlie"/>
            </w:pPr>
          </w:p>
        </w:tc>
        <w:tc>
          <w:tcPr>
            <w:tcW w:w="229" w:type="dxa"/>
            <w:vMerge/>
            <w:shd w:val="clear" w:color="auto" w:fill="auto"/>
          </w:tcPr>
          <w:p w14:paraId="361E477F" w14:textId="77777777" w:rsidR="00EC6B23" w:rsidRDefault="00EC6B23" w:rsidP="002F7D0A">
            <w:pPr>
              <w:pStyle w:val="Textpoznpodarou"/>
              <w:jc w:val="both"/>
              <w:rPr>
                <w:spacing w:val="-4"/>
              </w:rPr>
            </w:pPr>
          </w:p>
        </w:tc>
        <w:tc>
          <w:tcPr>
            <w:tcW w:w="7596" w:type="dxa"/>
            <w:shd w:val="clear" w:color="auto" w:fill="auto"/>
          </w:tcPr>
          <w:p w14:paraId="42A99E84" w14:textId="77777777" w:rsidR="00EC6B23" w:rsidRPr="00705C3E" w:rsidRDefault="00EC6B23" w:rsidP="002F7D0A">
            <w:pPr>
              <w:spacing w:after="0"/>
              <w:rPr>
                <w:color w:val="0D0D0D" w:themeColor="text1" w:themeTint="F2"/>
                <w:spacing w:val="-5"/>
              </w:rPr>
            </w:pPr>
            <w:r>
              <w:rPr>
                <w:noProof/>
              </w:rPr>
              <w:drawing>
                <wp:inline distT="0" distB="0" distL="0" distR="0" wp14:anchorId="1BAA76FF" wp14:editId="75A3D9AE">
                  <wp:extent cx="4679332" cy="3636780"/>
                  <wp:effectExtent l="0" t="0" r="6985" b="190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C6B23" w:rsidRPr="00705C3E" w14:paraId="287426AE" w14:textId="77777777" w:rsidTr="002F7D0A">
        <w:trPr>
          <w:trHeight w:val="133"/>
        </w:trPr>
        <w:tc>
          <w:tcPr>
            <w:tcW w:w="1814" w:type="dxa"/>
            <w:vMerge/>
            <w:shd w:val="clear" w:color="auto" w:fill="auto"/>
            <w:tcMar>
              <w:left w:w="0" w:type="dxa"/>
            </w:tcMar>
          </w:tcPr>
          <w:p w14:paraId="3F321A44" w14:textId="77777777" w:rsidR="00EC6B23" w:rsidRDefault="00EC6B23" w:rsidP="002F7D0A">
            <w:pPr>
              <w:pStyle w:val="Marginlie"/>
            </w:pPr>
          </w:p>
        </w:tc>
        <w:tc>
          <w:tcPr>
            <w:tcW w:w="229" w:type="dxa"/>
            <w:vMerge/>
            <w:shd w:val="clear" w:color="auto" w:fill="auto"/>
            <w:tcMar>
              <w:left w:w="0" w:type="dxa"/>
            </w:tcMar>
          </w:tcPr>
          <w:p w14:paraId="0026755B" w14:textId="77777777" w:rsidR="00EC6B23" w:rsidRDefault="00EC6B23" w:rsidP="002F7D0A">
            <w:pPr>
              <w:pStyle w:val="Textpoznpodarou"/>
              <w:jc w:val="both"/>
              <w:rPr>
                <w:spacing w:val="-4"/>
              </w:rPr>
            </w:pPr>
          </w:p>
        </w:tc>
        <w:tc>
          <w:tcPr>
            <w:tcW w:w="7596" w:type="dxa"/>
            <w:shd w:val="clear" w:color="auto" w:fill="auto"/>
            <w:tcMar>
              <w:left w:w="0" w:type="dxa"/>
            </w:tcMar>
          </w:tcPr>
          <w:p w14:paraId="5E70CCF8" w14:textId="77777777" w:rsidR="00EC6B23" w:rsidRPr="00705C3E" w:rsidRDefault="00EC6B23" w:rsidP="002F7D0A">
            <w:pPr>
              <w:spacing w:after="200" w:line="240" w:lineRule="auto"/>
              <w:rPr>
                <w:color w:val="0D0D0D" w:themeColor="text1" w:themeTint="F2"/>
                <w:spacing w:val="-5"/>
              </w:rPr>
            </w:pPr>
            <w:r w:rsidRPr="008B3FE9">
              <w:rPr>
                <w:color w:val="0D0D0D" w:themeColor="text1" w:themeTint="F2"/>
                <w:spacing w:val="-5"/>
                <w:sz w:val="14"/>
                <w:szCs w:val="14"/>
              </w:rPr>
              <w:t>*</w:t>
            </w:r>
            <w:r w:rsidRPr="008B3FE9">
              <w:rPr>
                <w:rFonts w:cs="Arial"/>
                <w:sz w:val="14"/>
                <w:szCs w:val="14"/>
              </w:rPr>
              <w:t>Vyu</w:t>
            </w:r>
            <w:r w:rsidRPr="00883202">
              <w:rPr>
                <w:rFonts w:cs="Arial"/>
                <w:sz w:val="14"/>
                <w:szCs w:val="14"/>
              </w:rPr>
              <w:t>žití průmys</w:t>
            </w:r>
            <w:r>
              <w:rPr>
                <w:rFonts w:cs="Arial"/>
                <w:sz w:val="14"/>
                <w:szCs w:val="14"/>
              </w:rPr>
              <w:t xml:space="preserve">lových kapacit i bariéry růstu vyjadřují stav v prvním měsíci daného čtvrtletí, </w:t>
            </w:r>
            <w:r w:rsidRPr="006E759E">
              <w:rPr>
                <w:rFonts w:cs="Arial"/>
                <w:sz w:val="14"/>
                <w:szCs w:val="14"/>
              </w:rPr>
              <w:t>saldo důvěry</w:t>
            </w:r>
            <w:r>
              <w:rPr>
                <w:rFonts w:cs="Arial"/>
                <w:sz w:val="14"/>
                <w:szCs w:val="14"/>
              </w:rPr>
              <w:t xml:space="preserve"> podnikatelů je vztaženo k</w:t>
            </w:r>
            <w:r w:rsidRPr="00883202">
              <w:rPr>
                <w:rFonts w:cs="Arial"/>
                <w:sz w:val="14"/>
                <w:szCs w:val="14"/>
              </w:rPr>
              <w:t xml:space="preserve">e </w:t>
            </w:r>
            <w:r>
              <w:rPr>
                <w:rFonts w:cs="Arial"/>
                <w:sz w:val="14"/>
                <w:szCs w:val="14"/>
              </w:rPr>
              <w:t xml:space="preserve">druhému měsíci čtvrtletí. Zakázky jsou očištěny o kalendářní vlivy, ostatní ukazatele jsou </w:t>
            </w:r>
            <w:r w:rsidRPr="00883202">
              <w:rPr>
                <w:rFonts w:cs="Arial"/>
                <w:spacing w:val="-2"/>
                <w:sz w:val="14"/>
                <w:szCs w:val="14"/>
              </w:rPr>
              <w:t>sezónně očištěny</w:t>
            </w:r>
            <w:r>
              <w:rPr>
                <w:rFonts w:cs="Arial"/>
                <w:spacing w:val="-2"/>
                <w:sz w:val="14"/>
                <w:szCs w:val="14"/>
              </w:rPr>
              <w:t>.</w:t>
            </w:r>
            <w:r w:rsidRPr="00883202">
              <w:rPr>
                <w:rFonts w:cs="Arial"/>
                <w:spacing w:val="-2"/>
                <w:sz w:val="14"/>
                <w:szCs w:val="14"/>
              </w:rPr>
              <w:t xml:space="preserve"> </w:t>
            </w:r>
            <w:r>
              <w:rPr>
                <w:rFonts w:cs="Arial"/>
                <w:sz w:val="14"/>
                <w:szCs w:val="14"/>
              </w:rPr>
              <w:t xml:space="preserve">Podniky mohly uvést více hlavních růstových bariér současně.                                                                   </w:t>
            </w:r>
            <w:r w:rsidRPr="00883202">
              <w:rPr>
                <w:rFonts w:cs="Arial"/>
                <w:sz w:val="14"/>
                <w:szCs w:val="14"/>
              </w:rPr>
              <w:t>Zdroj: ČSÚ</w:t>
            </w:r>
            <w:r>
              <w:rPr>
                <w:rFonts w:cs="Arial"/>
                <w:sz w:val="14"/>
                <w:szCs w:val="14"/>
              </w:rPr>
              <w:t>, Eurostat</w:t>
            </w:r>
          </w:p>
        </w:tc>
      </w:tr>
      <w:tr w:rsidR="00EC6B23" w:rsidRPr="00784EC8" w14:paraId="4C3F106B" w14:textId="77777777" w:rsidTr="002F7D0A">
        <w:trPr>
          <w:trHeight w:val="170"/>
        </w:trPr>
        <w:tc>
          <w:tcPr>
            <w:tcW w:w="1814" w:type="dxa"/>
            <w:shd w:val="clear" w:color="auto" w:fill="auto"/>
            <w:tcMar>
              <w:left w:w="0" w:type="dxa"/>
            </w:tcMar>
          </w:tcPr>
          <w:p w14:paraId="0AFCA83F" w14:textId="77777777" w:rsidR="00EC6B23" w:rsidRDefault="00EC6B23" w:rsidP="002F7D0A">
            <w:pPr>
              <w:pStyle w:val="Marginlie"/>
              <w:rPr>
                <w:color w:val="0D0D0D" w:themeColor="text1" w:themeTint="F2"/>
              </w:rPr>
            </w:pPr>
            <w:r w:rsidRPr="00870728">
              <w:rPr>
                <w:color w:val="0D0D0D" w:themeColor="text1" w:themeTint="F2"/>
              </w:rPr>
              <w:t xml:space="preserve">Důvěra podniků v průmyslu byla nadále nízká. </w:t>
            </w:r>
            <w:r>
              <w:rPr>
                <w:color w:val="0D0D0D" w:themeColor="text1" w:themeTint="F2"/>
              </w:rPr>
              <w:t>Již skoro polovinu firem omezovala nedostatečná poptávka. Aktuální i očekávaný vývoj zaměstnanosti zůstává nepříznivý.</w:t>
            </w:r>
          </w:p>
          <w:p w14:paraId="19CF33DC" w14:textId="77777777" w:rsidR="00EC6B23" w:rsidRDefault="00EC6B23" w:rsidP="002F7D0A">
            <w:pPr>
              <w:pStyle w:val="Marginlie"/>
              <w:rPr>
                <w:color w:val="0D0D0D" w:themeColor="text1" w:themeTint="F2"/>
              </w:rPr>
            </w:pPr>
          </w:p>
          <w:p w14:paraId="3D053086" w14:textId="77777777" w:rsidR="00EC6B23" w:rsidRDefault="00EC6B23" w:rsidP="002F7D0A">
            <w:pPr>
              <w:pStyle w:val="Marginlie"/>
              <w:rPr>
                <w:color w:val="0D0D0D" w:themeColor="text1" w:themeTint="F2"/>
              </w:rPr>
            </w:pPr>
          </w:p>
          <w:p w14:paraId="0B2367F7" w14:textId="77777777" w:rsidR="00EC6B23" w:rsidRDefault="00EC6B23" w:rsidP="002F7D0A">
            <w:pPr>
              <w:pStyle w:val="Marginlie"/>
              <w:rPr>
                <w:color w:val="0D0D0D" w:themeColor="text1" w:themeTint="F2"/>
              </w:rPr>
            </w:pPr>
          </w:p>
          <w:p w14:paraId="685815B1" w14:textId="77777777" w:rsidR="00EC6B23" w:rsidRDefault="00EC6B23" w:rsidP="002F7D0A">
            <w:pPr>
              <w:pStyle w:val="Marginlie"/>
              <w:rPr>
                <w:color w:val="0D0D0D" w:themeColor="text1" w:themeTint="F2"/>
              </w:rPr>
            </w:pPr>
          </w:p>
          <w:p w14:paraId="16451287" w14:textId="77777777" w:rsidR="00EC6B23" w:rsidRDefault="00EC6B23" w:rsidP="002F7D0A">
            <w:pPr>
              <w:pStyle w:val="Marginlie"/>
              <w:rPr>
                <w:color w:val="0D0D0D" w:themeColor="text1" w:themeTint="F2"/>
                <w:spacing w:val="-4"/>
              </w:rPr>
            </w:pPr>
            <w:r>
              <w:rPr>
                <w:color w:val="0D0D0D" w:themeColor="text1" w:themeTint="F2"/>
              </w:rPr>
              <w:t>Podniky v dubnu mírně zlepšily svá očekávání v oblasti výroby i vlastní ekonomické situace.</w:t>
            </w:r>
          </w:p>
        </w:tc>
        <w:tc>
          <w:tcPr>
            <w:tcW w:w="229" w:type="dxa"/>
            <w:shd w:val="clear" w:color="auto" w:fill="auto"/>
            <w:tcMar>
              <w:left w:w="0" w:type="dxa"/>
            </w:tcMar>
          </w:tcPr>
          <w:p w14:paraId="72E475BE"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4185FCC6" w14:textId="77777777" w:rsidR="00EC6B23" w:rsidRDefault="00EC6B23" w:rsidP="002F7D0A">
            <w:pPr>
              <w:spacing w:after="200"/>
              <w:rPr>
                <w:color w:val="0D0D0D" w:themeColor="text1" w:themeTint="F2"/>
                <w:spacing w:val="-6"/>
              </w:rPr>
            </w:pPr>
            <w:r w:rsidRPr="00DE5CA8">
              <w:rPr>
                <w:color w:val="0D0D0D" w:themeColor="text1" w:themeTint="F2"/>
                <w:spacing w:val="-3"/>
              </w:rPr>
              <w:t xml:space="preserve">Důvěra podnikatelů v průmyslu </w:t>
            </w:r>
            <w:r w:rsidRPr="00305A06">
              <w:rPr>
                <w:color w:val="0D0D0D" w:themeColor="text1" w:themeTint="F2"/>
                <w:spacing w:val="-3"/>
              </w:rPr>
              <w:t>zůstávala</w:t>
            </w:r>
            <w:r>
              <w:rPr>
                <w:color w:val="0D0D0D" w:themeColor="text1" w:themeTint="F2"/>
                <w:spacing w:val="-3"/>
              </w:rPr>
              <w:t xml:space="preserve"> již bezmála dva roky v negativním pásmu. Letos v únoru sestoupila nejníže od protipandemických uzávěr výroby (na jaře 2020). Následně sice došlo k mírnému zotavení, avšak i v dubnu setrvávala důvěra výrazně pod svým dlouhodobým průměrem (o 7,5 p. b.). Přestože u nákladových tlaků došlo ke stabilizaci (podniky v krátkodobém horizontu již téměř neplánují další zdražování své produkce) a do normálu se vrátil i objem naskladněných zásob, podniky napříč většinou odvětví stále limituje nedostatečná poptávka. Její role jako klíčové růstové bariéry od poloviny loňského roku roste (aktuálně omezuje již 50 % firem</w:t>
            </w:r>
            <w:r>
              <w:rPr>
                <w:rStyle w:val="Znakapoznpodarou"/>
                <w:color w:val="0D0D0D" w:themeColor="text1" w:themeTint="F2"/>
                <w:spacing w:val="-3"/>
              </w:rPr>
              <w:footnoteReference w:id="11"/>
            </w:r>
            <w:r>
              <w:rPr>
                <w:color w:val="0D0D0D" w:themeColor="text1" w:themeTint="F2"/>
                <w:spacing w:val="-3"/>
              </w:rPr>
              <w:t>). Naopak nedostatek zaměstnanců sužoval jen 12 % podniků (nejméně za poslední čtyři roky). Firmy navíc plánují v nejbližším kvartálu lidi spíše propouštět (15 % oproti 7 % očekávajících zvyšování zaměstnanosti), což zapadá i do vývoje posledních měsíců (evidenční počet zaměstnanců v průmyslu se v 1. čtvrtletí 2024 meziročně snížil o rovná 2 %). Nicméně v krátkodobých očekáváních výroby i celkové vlastní ekonomické situace zavládl v dubnu (na rozdíl od počátku roku) mezi podniky velmi mírný optimismus.</w:t>
            </w:r>
          </w:p>
        </w:tc>
      </w:tr>
      <w:tr w:rsidR="00EC6B23" w:rsidRPr="00784EC8" w14:paraId="5BC8EEE3" w14:textId="77777777" w:rsidTr="002F7D0A">
        <w:trPr>
          <w:trHeight w:val="170"/>
        </w:trPr>
        <w:tc>
          <w:tcPr>
            <w:tcW w:w="1814" w:type="dxa"/>
            <w:shd w:val="clear" w:color="auto" w:fill="auto"/>
            <w:tcMar>
              <w:left w:w="0" w:type="dxa"/>
            </w:tcMar>
          </w:tcPr>
          <w:p w14:paraId="2A65C691" w14:textId="77777777" w:rsidR="00EC6B23" w:rsidRDefault="00EC6B23" w:rsidP="002F7D0A">
            <w:pPr>
              <w:pStyle w:val="Marginlie"/>
              <w:rPr>
                <w:color w:val="0D0D0D" w:themeColor="text1" w:themeTint="F2"/>
                <w:spacing w:val="-4"/>
              </w:rPr>
            </w:pPr>
            <w:r>
              <w:rPr>
                <w:color w:val="0D0D0D" w:themeColor="text1" w:themeTint="F2"/>
                <w:spacing w:val="-4"/>
              </w:rPr>
              <w:t>Výkon stavebnictví stále ovlivňovaly významné nákladové tlaky i slábnoucí soukromá investiční aktivita.</w:t>
            </w:r>
          </w:p>
        </w:tc>
        <w:tc>
          <w:tcPr>
            <w:tcW w:w="229" w:type="dxa"/>
            <w:shd w:val="clear" w:color="auto" w:fill="auto"/>
            <w:tcMar>
              <w:left w:w="0" w:type="dxa"/>
            </w:tcMar>
          </w:tcPr>
          <w:p w14:paraId="1D7F7F85"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3F4BD8CC" w14:textId="77777777" w:rsidR="00EC6B23" w:rsidRDefault="00EC6B23" w:rsidP="002F7D0A">
            <w:pPr>
              <w:spacing w:after="200"/>
              <w:rPr>
                <w:color w:val="0D0D0D" w:themeColor="text1" w:themeTint="F2"/>
                <w:spacing w:val="-6"/>
              </w:rPr>
            </w:pPr>
            <w:r>
              <w:rPr>
                <w:color w:val="0D0D0D" w:themeColor="text1" w:themeTint="F2"/>
                <w:spacing w:val="-6"/>
              </w:rPr>
              <w:t>Na s</w:t>
            </w:r>
            <w:r w:rsidRPr="0036189F">
              <w:rPr>
                <w:color w:val="0D0D0D" w:themeColor="text1" w:themeTint="F2"/>
                <w:spacing w:val="-6"/>
              </w:rPr>
              <w:t xml:space="preserve">tavebnictví </w:t>
            </w:r>
            <w:r>
              <w:rPr>
                <w:color w:val="0D0D0D" w:themeColor="text1" w:themeTint="F2"/>
                <w:spacing w:val="-6"/>
              </w:rPr>
              <w:t>i na počátku letošního roku působily</w:t>
            </w:r>
            <w:r w:rsidRPr="0036189F">
              <w:rPr>
                <w:color w:val="0D0D0D" w:themeColor="text1" w:themeTint="F2"/>
                <w:spacing w:val="-6"/>
              </w:rPr>
              <w:t xml:space="preserve"> </w:t>
            </w:r>
            <w:r>
              <w:rPr>
                <w:color w:val="0D0D0D" w:themeColor="text1" w:themeTint="F2"/>
                <w:spacing w:val="-6"/>
              </w:rPr>
              <w:t>přetrvávající nákladové tlaky. Byť ceny stavebních prací začaly po tříletém zvyšování od loňského podzimu meziročně mírně klesat, výraznějšímu poklesu realizovaných i očekávaných cen stavební výroby</w:t>
            </w:r>
            <w:r>
              <w:rPr>
                <w:rStyle w:val="Znakapoznpodarou"/>
                <w:color w:val="0D0D0D" w:themeColor="text1" w:themeTint="F2"/>
                <w:spacing w:val="-6"/>
              </w:rPr>
              <w:footnoteReference w:id="12"/>
            </w:r>
            <w:r>
              <w:rPr>
                <w:color w:val="0D0D0D" w:themeColor="text1" w:themeTint="F2"/>
                <w:spacing w:val="-6"/>
              </w:rPr>
              <w:t xml:space="preserve"> bránil svižný růst nákladů práce ovlivněný </w:t>
            </w:r>
            <w:r w:rsidRPr="000F6F33">
              <w:rPr>
                <w:color w:val="0D0D0D" w:themeColor="text1" w:themeTint="F2"/>
                <w:spacing w:val="-4"/>
              </w:rPr>
              <w:t xml:space="preserve">chronickým nedostatkem </w:t>
            </w:r>
            <w:r>
              <w:rPr>
                <w:color w:val="0D0D0D" w:themeColor="text1" w:themeTint="F2"/>
                <w:spacing w:val="-4"/>
              </w:rPr>
              <w:t xml:space="preserve">zejména </w:t>
            </w:r>
            <w:r w:rsidRPr="000F6F33">
              <w:rPr>
                <w:color w:val="0D0D0D" w:themeColor="text1" w:themeTint="F2"/>
                <w:spacing w:val="-4"/>
              </w:rPr>
              <w:t>kvalifikované</w:t>
            </w:r>
            <w:r>
              <w:rPr>
                <w:color w:val="0D0D0D" w:themeColor="text1" w:themeTint="F2"/>
                <w:spacing w:val="-4"/>
              </w:rPr>
              <w:t xml:space="preserve"> pracovní síly. </w:t>
            </w:r>
            <w:r>
              <w:rPr>
                <w:color w:val="0D0D0D" w:themeColor="text1" w:themeTint="F2"/>
                <w:spacing w:val="-4"/>
              </w:rPr>
              <w:lastRenderedPageBreak/>
              <w:t xml:space="preserve">Stále se projevovala i </w:t>
            </w:r>
            <w:r>
              <w:rPr>
                <w:color w:val="0D0D0D" w:themeColor="text1" w:themeTint="F2"/>
                <w:spacing w:val="-6"/>
              </w:rPr>
              <w:t xml:space="preserve">nízká investiční aktivita v soukromé sféře související se slabší důvěrou podniků i domácností v ekonomiku a zhoršenými možnostmi financování (např. kvůli přetrvávajícím zvýšeným úrokovým sazbám). </w:t>
            </w:r>
            <w:r>
              <w:rPr>
                <w:rStyle w:val="normaltextrun"/>
                <w:rFonts w:eastAsia="MS Gothic" w:cs="Arial"/>
                <w:szCs w:val="20"/>
              </w:rPr>
              <w:t>Proti hlubšímu útlumu výkonu stavebnictví naopak působily veřejné investice</w:t>
            </w:r>
            <w:r>
              <w:rPr>
                <w:rStyle w:val="Znakapoznpodarou"/>
                <w:rFonts w:eastAsia="MS Gothic"/>
                <w:szCs w:val="20"/>
              </w:rPr>
              <w:footnoteReference w:id="13"/>
            </w:r>
            <w:r>
              <w:rPr>
                <w:rStyle w:val="normaltextrun"/>
                <w:rFonts w:eastAsia="MS Gothic" w:cs="Arial"/>
                <w:szCs w:val="20"/>
              </w:rPr>
              <w:t>, včetně prostředků z rozpočtu EU určených na výstavbu i modernizaci dopravní infrastruktury či na snížení energetické náročnosti v oblasti bydlení.</w:t>
            </w:r>
          </w:p>
        </w:tc>
      </w:tr>
      <w:tr w:rsidR="00EC6B23" w:rsidRPr="00784EC8" w14:paraId="6AA8011B" w14:textId="77777777" w:rsidTr="002F7D0A">
        <w:trPr>
          <w:trHeight w:val="170"/>
        </w:trPr>
        <w:tc>
          <w:tcPr>
            <w:tcW w:w="1814" w:type="dxa"/>
            <w:shd w:val="clear" w:color="auto" w:fill="auto"/>
            <w:tcMar>
              <w:left w:w="0" w:type="dxa"/>
            </w:tcMar>
          </w:tcPr>
          <w:p w14:paraId="46816011" w14:textId="77777777" w:rsidR="00EC6B23" w:rsidRDefault="00EC6B23" w:rsidP="002F7D0A">
            <w:pPr>
              <w:pStyle w:val="Marginlie"/>
              <w:rPr>
                <w:color w:val="0D0D0D" w:themeColor="text1" w:themeTint="F2"/>
                <w:spacing w:val="-4"/>
              </w:rPr>
            </w:pPr>
            <w:r>
              <w:rPr>
                <w:color w:val="0D0D0D" w:themeColor="text1" w:themeTint="F2"/>
                <w:spacing w:val="-4"/>
              </w:rPr>
              <w:lastRenderedPageBreak/>
              <w:t xml:space="preserve">Stavební produkce se meziročně snížila sedmý kvartál v řadě. V mezičtvrtletním pohledu ale došlo vlivem příznivého počasí k mírnému oživení. </w:t>
            </w:r>
          </w:p>
        </w:tc>
        <w:tc>
          <w:tcPr>
            <w:tcW w:w="229" w:type="dxa"/>
            <w:shd w:val="clear" w:color="auto" w:fill="auto"/>
            <w:tcMar>
              <w:left w:w="0" w:type="dxa"/>
            </w:tcMar>
          </w:tcPr>
          <w:p w14:paraId="6C4F51B4"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39FE44F3" w14:textId="77777777" w:rsidR="00EC6B23" w:rsidRPr="001036E4" w:rsidRDefault="00EC6B23" w:rsidP="002F7D0A">
            <w:pPr>
              <w:rPr>
                <w:rStyle w:val="normaltextrun"/>
                <w:color w:val="0D0D0D" w:themeColor="text1" w:themeTint="F2"/>
                <w:spacing w:val="-6"/>
              </w:rPr>
            </w:pPr>
            <w:r>
              <w:rPr>
                <w:color w:val="0D0D0D" w:themeColor="text1" w:themeTint="F2"/>
                <w:spacing w:val="-6"/>
              </w:rPr>
              <w:t>S</w:t>
            </w:r>
            <w:r w:rsidRPr="0047559F">
              <w:rPr>
                <w:color w:val="0D0D0D" w:themeColor="text1" w:themeTint="F2"/>
                <w:spacing w:val="-6"/>
              </w:rPr>
              <w:t>tavební produkce</w:t>
            </w:r>
            <w:r w:rsidRPr="0047559F">
              <w:rPr>
                <w:rStyle w:val="Znakapoznpodarou"/>
                <w:color w:val="0D0D0D" w:themeColor="text1" w:themeTint="F2"/>
                <w:spacing w:val="-6"/>
              </w:rPr>
              <w:footnoteReference w:id="14"/>
            </w:r>
            <w:r>
              <w:rPr>
                <w:color w:val="0D0D0D" w:themeColor="text1" w:themeTint="F2"/>
                <w:spacing w:val="-6"/>
              </w:rPr>
              <w:t xml:space="preserve"> na počátku roku 2024 mezikvartálně vzrostla o 0,6 % a zastavila tak svůj pokles, jenž vyplnil většinu loňského roku. K letošnímu oživení zásadně přispělo nebývale teplé zimní období, které vedlo zejména v únoru</w:t>
            </w:r>
            <w:r>
              <w:rPr>
                <w:rStyle w:val="Znakapoznpodarou"/>
                <w:color w:val="0D0D0D" w:themeColor="text1" w:themeTint="F2"/>
                <w:spacing w:val="-6"/>
              </w:rPr>
              <w:footnoteReference w:id="15"/>
            </w:r>
            <w:r>
              <w:rPr>
                <w:color w:val="0D0D0D" w:themeColor="text1" w:themeTint="F2"/>
                <w:spacing w:val="-6"/>
              </w:rPr>
              <w:t xml:space="preserve"> k razantnímu posílení v inženýrském stavitelství (a v menší míře i v ostatních segmentech celého odvětví). V 1.</w:t>
            </w:r>
            <w:r>
              <w:rPr>
                <w:rStyle w:val="normaltextrun"/>
                <w:rFonts w:cs="Arial"/>
                <w:color w:val="000000"/>
                <w:szCs w:val="20"/>
              </w:rPr>
              <w:t> </w:t>
            </w:r>
            <w:r>
              <w:rPr>
                <w:color w:val="0D0D0D" w:themeColor="text1" w:themeTint="F2"/>
                <w:spacing w:val="-6"/>
              </w:rPr>
              <w:t>čtvrtletí 2024 zaostával výkon celého odvětví za vrcholem z období poslední konjunk</w:t>
            </w:r>
            <w:r w:rsidRPr="008D1961">
              <w:rPr>
                <w:color w:val="0D0D0D" w:themeColor="text1" w:themeTint="F2"/>
                <w:spacing w:val="-6"/>
              </w:rPr>
              <w:t>tury</w:t>
            </w:r>
            <w:r>
              <w:rPr>
                <w:color w:val="0D0D0D" w:themeColor="text1" w:themeTint="F2"/>
                <w:spacing w:val="-6"/>
              </w:rPr>
              <w:t xml:space="preserve"> (3.</w:t>
            </w:r>
            <w:r>
              <w:rPr>
                <w:rStyle w:val="normaltextrun"/>
                <w:rFonts w:cs="Arial"/>
                <w:color w:val="000000"/>
                <w:szCs w:val="20"/>
              </w:rPr>
              <w:t> </w:t>
            </w:r>
            <w:r>
              <w:rPr>
                <w:color w:val="0D0D0D" w:themeColor="text1" w:themeTint="F2"/>
                <w:spacing w:val="-6"/>
              </w:rPr>
              <w:t xml:space="preserve">čtvrtletí 2019) o 5,1 % (z toho pozemní stavitelství o rovných 8 %). Ve srovnání se stejným obdobím předcházejícího roku klesla stavební produkce o 4,3 % a snižovala se tak sedmý kvartál v řadě. K meziročnímu poklesu přispěla zejména výstavba budov. Relativně nejvíce ovšem klesl výkon </w:t>
            </w:r>
            <w:r>
              <w:rPr>
                <w:rStyle w:val="normaltextrun"/>
                <w:rFonts w:cs="Arial"/>
                <w:color w:val="000000"/>
                <w:szCs w:val="20"/>
              </w:rPr>
              <w:t>v segmentu specializovaných stavebních činností (−9,5 %), které zahrnují např. kompletační a dokončovací elektroinstalační či instalatérské práce a jsou spíše doménou menších stavebních firem. Naopak v inženýrském stavitelství se po slabším loňském roce produkce v 1. čtvrtletí zvýšila o 4,9 %, zčásti i vlivem nižší loňské základny.</w:t>
            </w:r>
          </w:p>
        </w:tc>
      </w:tr>
      <w:tr w:rsidR="00EC6B23" w:rsidRPr="00D232BB" w14:paraId="466EE578" w14:textId="77777777" w:rsidTr="002F7D0A">
        <w:trPr>
          <w:trHeight w:val="170"/>
        </w:trPr>
        <w:tc>
          <w:tcPr>
            <w:tcW w:w="1814" w:type="dxa"/>
            <w:vMerge w:val="restart"/>
            <w:shd w:val="clear" w:color="auto" w:fill="auto"/>
            <w:tcMar>
              <w:left w:w="0" w:type="dxa"/>
            </w:tcMar>
          </w:tcPr>
          <w:p w14:paraId="4A3F590D" w14:textId="77777777" w:rsidR="00EC6B23" w:rsidRDefault="00EC6B23" w:rsidP="002F7D0A">
            <w:pPr>
              <w:pStyle w:val="Marginlie"/>
            </w:pPr>
          </w:p>
        </w:tc>
        <w:tc>
          <w:tcPr>
            <w:tcW w:w="229" w:type="dxa"/>
            <w:vMerge w:val="restart"/>
            <w:shd w:val="clear" w:color="auto" w:fill="auto"/>
            <w:tcMar>
              <w:left w:w="0" w:type="dxa"/>
            </w:tcMar>
          </w:tcPr>
          <w:p w14:paraId="7B48254E" w14:textId="77777777" w:rsidR="00EC6B23" w:rsidRDefault="00EC6B23" w:rsidP="002F7D0A">
            <w:pPr>
              <w:pStyle w:val="Textpoznpodarou"/>
              <w:jc w:val="both"/>
              <w:rPr>
                <w:spacing w:val="-4"/>
              </w:rPr>
            </w:pPr>
          </w:p>
        </w:tc>
        <w:tc>
          <w:tcPr>
            <w:tcW w:w="7596" w:type="dxa"/>
            <w:shd w:val="clear" w:color="auto" w:fill="auto"/>
            <w:tcMar>
              <w:left w:w="0" w:type="dxa"/>
            </w:tcMar>
          </w:tcPr>
          <w:p w14:paraId="19CC1C85" w14:textId="77777777" w:rsidR="00EC6B23" w:rsidRPr="00D232BB" w:rsidRDefault="00EC6B23" w:rsidP="002F7D0A">
            <w:pPr>
              <w:spacing w:after="20"/>
              <w:rPr>
                <w:rFonts w:cs="Arial"/>
                <w:bCs/>
              </w:rPr>
            </w:pPr>
            <w:r w:rsidRPr="006E759E">
              <w:rPr>
                <w:b/>
                <w:spacing w:val="-5"/>
              </w:rPr>
              <w:t xml:space="preserve">Graf č. 6 Příspěvky odvětví k meziroční změně stavební produkce </w:t>
            </w:r>
            <w:r w:rsidRPr="006E759E">
              <w:rPr>
                <w:spacing w:val="-5"/>
              </w:rPr>
              <w:t>(reálně, v p. b.)</w:t>
            </w:r>
            <w:r w:rsidRPr="006E759E">
              <w:rPr>
                <w:b/>
                <w:bCs/>
                <w:spacing w:val="-5"/>
              </w:rPr>
              <w:t>,</w:t>
            </w:r>
            <w:r w:rsidRPr="006E759E">
              <w:rPr>
                <w:b/>
                <w:bCs/>
                <w:spacing w:val="-5"/>
              </w:rPr>
              <w:br/>
            </w:r>
            <w:r w:rsidRPr="006E759E">
              <w:rPr>
                <w:b/>
                <w:spacing w:val="-5"/>
              </w:rPr>
              <w:t xml:space="preserve">nové stavební zakázky </w:t>
            </w:r>
            <w:r w:rsidRPr="006E759E">
              <w:rPr>
                <w:spacing w:val="-5"/>
              </w:rPr>
              <w:t>(</w:t>
            </w:r>
            <w:r w:rsidRPr="006E759E">
              <w:rPr>
                <w:bCs/>
                <w:spacing w:val="-5"/>
              </w:rPr>
              <w:t xml:space="preserve">nominálně, </w:t>
            </w:r>
            <w:r w:rsidRPr="006E759E">
              <w:rPr>
                <w:spacing w:val="-5"/>
              </w:rPr>
              <w:t>meziročně,</w:t>
            </w:r>
            <w:r w:rsidRPr="006E759E">
              <w:rPr>
                <w:bCs/>
                <w:spacing w:val="-5"/>
              </w:rPr>
              <w:t xml:space="preserve"> v %)</w:t>
            </w:r>
            <w:r w:rsidRPr="006E759E">
              <w:rPr>
                <w:b/>
                <w:spacing w:val="-5"/>
              </w:rPr>
              <w:t>, saldo důvěry podnikatelů ve stavebnictví*</w:t>
            </w:r>
            <w:r w:rsidRPr="006E759E">
              <w:rPr>
                <w:spacing w:val="-5"/>
              </w:rPr>
              <w:t xml:space="preserve"> (v p. b., pravá osa) </w:t>
            </w:r>
            <w:r w:rsidRPr="006E759E">
              <w:rPr>
                <w:b/>
                <w:spacing w:val="-5"/>
              </w:rPr>
              <w:t>a vybrané bariéry růstu</w:t>
            </w:r>
            <w:r w:rsidRPr="006E759E">
              <w:rPr>
                <w:spacing w:val="-5"/>
              </w:rPr>
              <w:t>* (v %, pravá osa)</w:t>
            </w:r>
          </w:p>
        </w:tc>
      </w:tr>
      <w:tr w:rsidR="00EC6B23" w:rsidRPr="0067514E" w14:paraId="0B00D709" w14:textId="77777777" w:rsidTr="002F7D0A">
        <w:tblPrEx>
          <w:tblCellMar>
            <w:left w:w="70" w:type="dxa"/>
            <w:right w:w="70" w:type="dxa"/>
          </w:tblCellMar>
        </w:tblPrEx>
        <w:trPr>
          <w:trHeight w:val="170"/>
        </w:trPr>
        <w:tc>
          <w:tcPr>
            <w:tcW w:w="1814" w:type="dxa"/>
            <w:vMerge/>
            <w:shd w:val="clear" w:color="auto" w:fill="auto"/>
          </w:tcPr>
          <w:p w14:paraId="27660D8E" w14:textId="77777777" w:rsidR="00EC6B23" w:rsidRDefault="00EC6B23" w:rsidP="002F7D0A">
            <w:pPr>
              <w:pStyle w:val="Marginlie"/>
            </w:pPr>
          </w:p>
        </w:tc>
        <w:tc>
          <w:tcPr>
            <w:tcW w:w="229" w:type="dxa"/>
            <w:vMerge/>
            <w:shd w:val="clear" w:color="auto" w:fill="auto"/>
          </w:tcPr>
          <w:p w14:paraId="1122B5B7" w14:textId="77777777" w:rsidR="00EC6B23" w:rsidRDefault="00EC6B23" w:rsidP="002F7D0A">
            <w:pPr>
              <w:pStyle w:val="Textpoznpodarou"/>
              <w:jc w:val="both"/>
              <w:rPr>
                <w:spacing w:val="-4"/>
              </w:rPr>
            </w:pPr>
          </w:p>
        </w:tc>
        <w:tc>
          <w:tcPr>
            <w:tcW w:w="7596" w:type="dxa"/>
            <w:shd w:val="clear" w:color="auto" w:fill="auto"/>
          </w:tcPr>
          <w:p w14:paraId="7BA1D8A3" w14:textId="77777777" w:rsidR="00EC6B23" w:rsidRPr="0067514E" w:rsidRDefault="00EC6B23" w:rsidP="002F7D0A">
            <w:pPr>
              <w:spacing w:after="0"/>
              <w:rPr>
                <w:spacing w:val="-6"/>
              </w:rPr>
            </w:pPr>
            <w:r>
              <w:rPr>
                <w:noProof/>
              </w:rPr>
              <w:drawing>
                <wp:inline distT="0" distB="0" distL="0" distR="0" wp14:anchorId="29E2E3E2" wp14:editId="004D141F">
                  <wp:extent cx="4693578" cy="3060000"/>
                  <wp:effectExtent l="0" t="0" r="0" b="762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EC6B23" w:rsidRPr="008F2BE2" w14:paraId="09539666" w14:textId="77777777" w:rsidTr="002F7D0A">
        <w:trPr>
          <w:trHeight w:val="170"/>
        </w:trPr>
        <w:tc>
          <w:tcPr>
            <w:tcW w:w="1814" w:type="dxa"/>
            <w:vMerge/>
            <w:shd w:val="clear" w:color="auto" w:fill="auto"/>
            <w:tcMar>
              <w:left w:w="0" w:type="dxa"/>
            </w:tcMar>
          </w:tcPr>
          <w:p w14:paraId="3A462473" w14:textId="77777777" w:rsidR="00EC6B23" w:rsidRDefault="00EC6B23" w:rsidP="002F7D0A">
            <w:pPr>
              <w:pStyle w:val="Marginlie"/>
            </w:pPr>
          </w:p>
        </w:tc>
        <w:tc>
          <w:tcPr>
            <w:tcW w:w="229" w:type="dxa"/>
            <w:vMerge/>
            <w:shd w:val="clear" w:color="auto" w:fill="auto"/>
            <w:tcMar>
              <w:left w:w="0" w:type="dxa"/>
            </w:tcMar>
          </w:tcPr>
          <w:p w14:paraId="2FF121C0" w14:textId="77777777" w:rsidR="00EC6B23" w:rsidRDefault="00EC6B23" w:rsidP="002F7D0A">
            <w:pPr>
              <w:pStyle w:val="Textpoznpodarou"/>
              <w:jc w:val="both"/>
              <w:rPr>
                <w:spacing w:val="-4"/>
              </w:rPr>
            </w:pPr>
          </w:p>
        </w:tc>
        <w:tc>
          <w:tcPr>
            <w:tcW w:w="7596" w:type="dxa"/>
            <w:shd w:val="clear" w:color="auto" w:fill="auto"/>
            <w:tcMar>
              <w:left w:w="0" w:type="dxa"/>
            </w:tcMar>
          </w:tcPr>
          <w:p w14:paraId="50A891A6" w14:textId="77777777" w:rsidR="00EC6B23" w:rsidRPr="00883202" w:rsidRDefault="00EC6B23" w:rsidP="002F7D0A">
            <w:pPr>
              <w:spacing w:after="0"/>
              <w:rPr>
                <w:rFonts w:cs="Arial"/>
                <w:sz w:val="14"/>
                <w:szCs w:val="14"/>
              </w:rPr>
            </w:pPr>
            <w:r>
              <w:rPr>
                <w:rFonts w:cs="Arial"/>
                <w:sz w:val="14"/>
                <w:szCs w:val="14"/>
              </w:rPr>
              <w:t xml:space="preserve">Poznámka: </w:t>
            </w:r>
            <w:r w:rsidRPr="00883202">
              <w:rPr>
                <w:rFonts w:cs="Arial"/>
                <w:sz w:val="14"/>
                <w:szCs w:val="14"/>
              </w:rPr>
              <w:t>Údaje o stavební produkci jsou očištěny o kalendářní vlivy.</w:t>
            </w:r>
          </w:p>
          <w:p w14:paraId="6DE87168" w14:textId="77777777" w:rsidR="00EC6B23" w:rsidRPr="00EC434A" w:rsidRDefault="00EC6B23" w:rsidP="002F7D0A">
            <w:pPr>
              <w:pStyle w:val="Textpoznpodarou"/>
              <w:spacing w:after="240"/>
              <w:jc w:val="both"/>
              <w:rPr>
                <w:rFonts w:cs="Arial"/>
                <w:sz w:val="14"/>
                <w:szCs w:val="14"/>
              </w:rPr>
            </w:pPr>
            <w:r w:rsidRPr="00883202">
              <w:rPr>
                <w:rFonts w:cs="Arial"/>
                <w:sz w:val="14"/>
                <w:szCs w:val="14"/>
              </w:rPr>
              <w:t>*</w:t>
            </w:r>
            <w:r w:rsidRPr="006E759E">
              <w:rPr>
                <w:rFonts w:cs="Arial"/>
                <w:spacing w:val="-2"/>
                <w:sz w:val="14"/>
                <w:szCs w:val="14"/>
              </w:rPr>
              <w:t>Saldo důvěry podnikatelů i bariéry</w:t>
            </w:r>
            <w:r w:rsidRPr="00883202">
              <w:rPr>
                <w:rFonts w:cs="Arial"/>
                <w:spacing w:val="-2"/>
                <w:sz w:val="14"/>
                <w:szCs w:val="14"/>
              </w:rPr>
              <w:t xml:space="preserve"> růstu jsou sezónně očištěny a vyjadřují stav ve druhém měsíci daného čtvrtletí</w:t>
            </w:r>
            <w:r w:rsidRPr="00883202">
              <w:rPr>
                <w:rFonts w:cs="Arial"/>
                <w:sz w:val="14"/>
                <w:szCs w:val="14"/>
              </w:rPr>
              <w:t>.</w:t>
            </w:r>
            <w:r>
              <w:rPr>
                <w:rFonts w:cs="Arial"/>
                <w:sz w:val="14"/>
                <w:szCs w:val="14"/>
              </w:rPr>
              <w:t xml:space="preserve"> Podniky mohly uvést více hlavních bariér současně.                                                                                                 </w:t>
            </w:r>
            <w:r w:rsidRPr="00883202">
              <w:rPr>
                <w:rFonts w:cs="Arial"/>
                <w:sz w:val="14"/>
                <w:szCs w:val="14"/>
              </w:rPr>
              <w:t>Zdroj: ČSÚ</w:t>
            </w:r>
            <w:r>
              <w:rPr>
                <w:rFonts w:cs="Arial"/>
                <w:sz w:val="14"/>
                <w:szCs w:val="14"/>
              </w:rPr>
              <w:t>, Eurostat</w:t>
            </w:r>
          </w:p>
        </w:tc>
      </w:tr>
      <w:tr w:rsidR="00EC6B23" w14:paraId="0B6EBCA6" w14:textId="77777777" w:rsidTr="002F7D0A">
        <w:trPr>
          <w:trHeight w:val="170"/>
        </w:trPr>
        <w:tc>
          <w:tcPr>
            <w:tcW w:w="1814" w:type="dxa"/>
            <w:shd w:val="clear" w:color="auto" w:fill="auto"/>
            <w:tcMar>
              <w:left w:w="0" w:type="dxa"/>
            </w:tcMar>
          </w:tcPr>
          <w:p w14:paraId="66BD8505" w14:textId="77777777" w:rsidR="00EC6B23" w:rsidRDefault="00EC6B23" w:rsidP="002F7D0A">
            <w:pPr>
              <w:pStyle w:val="Marginlie"/>
              <w:rPr>
                <w:rFonts w:cs="Arial"/>
                <w:color w:val="0D0D0D" w:themeColor="text1" w:themeTint="F2"/>
                <w:spacing w:val="-4"/>
              </w:rPr>
            </w:pPr>
            <w:r>
              <w:rPr>
                <w:color w:val="0D0D0D" w:themeColor="text1" w:themeTint="F2"/>
                <w:spacing w:val="-4"/>
              </w:rPr>
              <w:t xml:space="preserve">Počet zahájených bytů dále klesal, objem výstavby byl v rámci </w:t>
            </w:r>
            <w:r>
              <w:rPr>
                <w:color w:val="0D0D0D" w:themeColor="text1" w:themeTint="F2"/>
                <w:spacing w:val="-4"/>
              </w:rPr>
              <w:lastRenderedPageBreak/>
              <w:t>1. čtvrtletí nejnižší za posledních šest let.</w:t>
            </w:r>
          </w:p>
        </w:tc>
        <w:tc>
          <w:tcPr>
            <w:tcW w:w="229" w:type="dxa"/>
            <w:shd w:val="clear" w:color="auto" w:fill="auto"/>
            <w:tcMar>
              <w:left w:w="0" w:type="dxa"/>
            </w:tcMar>
          </w:tcPr>
          <w:p w14:paraId="0FA4F2FA" w14:textId="77777777" w:rsidR="00EC6B23" w:rsidRPr="00D87405" w:rsidRDefault="00EC6B23" w:rsidP="002F7D0A">
            <w:pPr>
              <w:pStyle w:val="Textpoznpodarou"/>
              <w:jc w:val="both"/>
              <w:rPr>
                <w:rFonts w:eastAsia="Times New Roman" w:cs="Arial"/>
                <w:color w:val="0D0D0D" w:themeColor="text1" w:themeTint="F2"/>
                <w:spacing w:val="-4"/>
              </w:rPr>
            </w:pPr>
          </w:p>
        </w:tc>
        <w:tc>
          <w:tcPr>
            <w:tcW w:w="7596" w:type="dxa"/>
            <w:shd w:val="clear" w:color="auto" w:fill="auto"/>
            <w:tcMar>
              <w:left w:w="0" w:type="dxa"/>
            </w:tcMar>
          </w:tcPr>
          <w:p w14:paraId="460A1259" w14:textId="77777777" w:rsidR="00EC6B23" w:rsidRDefault="00EC6B23" w:rsidP="002F7D0A">
            <w:pPr>
              <w:spacing w:after="120"/>
              <w:rPr>
                <w:color w:val="0D0D0D" w:themeColor="text1" w:themeTint="F2"/>
                <w:spacing w:val="-6"/>
              </w:rPr>
            </w:pPr>
            <w:r>
              <w:rPr>
                <w:color w:val="0D0D0D" w:themeColor="text1" w:themeTint="F2"/>
                <w:spacing w:val="-6"/>
              </w:rPr>
              <w:t xml:space="preserve">Ve výkonech pozemního stavitelství se v 1. čtvrtletí 2024 stejně jako po celý loňský rok negativně promítala utlumená bytová výstavba. Počet zahájených bytů se meziročně propadl o 15,1 %, když činil jen 8,1 tis. bytů (nejméně za posledních šest let). K letošnímu poklesu </w:t>
            </w:r>
            <w:r>
              <w:rPr>
                <w:color w:val="0D0D0D" w:themeColor="text1" w:themeTint="F2"/>
                <w:spacing w:val="-6"/>
              </w:rPr>
              <w:lastRenderedPageBreak/>
              <w:t xml:space="preserve">přispěly hlavně byty vzniklé úpravou ve stávajících bytových domech a také byty </w:t>
            </w:r>
            <w:r>
              <w:rPr>
                <w:color w:val="0D0D0D" w:themeColor="text1" w:themeTint="F2"/>
                <w:spacing w:val="-6"/>
              </w:rPr>
              <w:br/>
              <w:t xml:space="preserve">v rodinných domech. Objem celkové výstavby klesl ve většině regionů, absolutně nejvíce v Praze a středních Čechách. Snižoval se rovněž počet všech dokončených bytů (na </w:t>
            </w:r>
            <w:r>
              <w:rPr>
                <w:color w:val="0D0D0D" w:themeColor="text1" w:themeTint="F2"/>
                <w:spacing w:val="-6"/>
              </w:rPr>
              <w:br/>
              <w:t>8,0 tis.), vzhledem k vyšší rozestavěnosti z předchozích let byl však pokles ve srovnání se zahajovanou výstavbou zatím relativně nevýznamný (v 1. čtvrtletí činil 2,2 %).</w:t>
            </w:r>
          </w:p>
        </w:tc>
      </w:tr>
      <w:tr w:rsidR="00EC6B23" w14:paraId="0DF2B7DA" w14:textId="77777777" w:rsidTr="002F7D0A">
        <w:trPr>
          <w:trHeight w:val="170"/>
        </w:trPr>
        <w:tc>
          <w:tcPr>
            <w:tcW w:w="1814" w:type="dxa"/>
            <w:shd w:val="clear" w:color="auto" w:fill="auto"/>
            <w:tcMar>
              <w:left w:w="0" w:type="dxa"/>
            </w:tcMar>
          </w:tcPr>
          <w:p w14:paraId="3247D764" w14:textId="77777777" w:rsidR="00EC6B23" w:rsidRDefault="00EC6B23" w:rsidP="002F7D0A">
            <w:pPr>
              <w:pStyle w:val="Marginlie"/>
              <w:rPr>
                <w:rFonts w:cs="Arial"/>
                <w:color w:val="0D0D0D" w:themeColor="text1" w:themeTint="F2"/>
                <w:spacing w:val="-4"/>
              </w:rPr>
            </w:pPr>
            <w:r>
              <w:rPr>
                <w:rFonts w:cs="Arial"/>
                <w:color w:val="0D0D0D" w:themeColor="text1" w:themeTint="F2"/>
                <w:spacing w:val="-4"/>
              </w:rPr>
              <w:lastRenderedPageBreak/>
              <w:t>Pokračoval růst hodnoty stavebních povolení i nových tuzemských zakázek.</w:t>
            </w:r>
          </w:p>
          <w:p w14:paraId="091EDBD1" w14:textId="77777777" w:rsidR="00EC6B23" w:rsidRDefault="00EC6B23" w:rsidP="002F7D0A">
            <w:pPr>
              <w:pStyle w:val="Marginlie"/>
              <w:rPr>
                <w:rFonts w:cs="Arial"/>
                <w:color w:val="0D0D0D" w:themeColor="text1" w:themeTint="F2"/>
                <w:spacing w:val="-4"/>
              </w:rPr>
            </w:pPr>
          </w:p>
          <w:p w14:paraId="7FE39526" w14:textId="77777777" w:rsidR="00EC6B23" w:rsidRDefault="00EC6B23" w:rsidP="002F7D0A">
            <w:pPr>
              <w:pStyle w:val="Marginlie"/>
              <w:rPr>
                <w:rFonts w:cs="Arial"/>
                <w:color w:val="0D0D0D" w:themeColor="text1" w:themeTint="F2"/>
                <w:spacing w:val="-4"/>
              </w:rPr>
            </w:pPr>
          </w:p>
          <w:p w14:paraId="58DDC3CC" w14:textId="77777777" w:rsidR="00EC6B23" w:rsidRDefault="00EC6B23" w:rsidP="002F7D0A">
            <w:pPr>
              <w:pStyle w:val="Marginlie"/>
              <w:rPr>
                <w:rFonts w:cs="Arial"/>
                <w:color w:val="0D0D0D" w:themeColor="text1" w:themeTint="F2"/>
                <w:spacing w:val="-4"/>
              </w:rPr>
            </w:pPr>
          </w:p>
          <w:p w14:paraId="4EAD3FA7" w14:textId="77777777" w:rsidR="00EC6B23" w:rsidRDefault="00EC6B23" w:rsidP="002F7D0A">
            <w:pPr>
              <w:pStyle w:val="Marginlie"/>
              <w:rPr>
                <w:rFonts w:cs="Arial"/>
                <w:color w:val="0D0D0D" w:themeColor="text1" w:themeTint="F2"/>
                <w:spacing w:val="-4"/>
              </w:rPr>
            </w:pPr>
          </w:p>
          <w:p w14:paraId="676FBBA3" w14:textId="77777777" w:rsidR="00EC6B23" w:rsidRDefault="00EC6B23" w:rsidP="002F7D0A">
            <w:pPr>
              <w:pStyle w:val="Marginlie"/>
              <w:rPr>
                <w:rFonts w:cs="Arial"/>
                <w:color w:val="0D0D0D" w:themeColor="text1" w:themeTint="F2"/>
                <w:spacing w:val="-4"/>
              </w:rPr>
            </w:pPr>
            <w:r>
              <w:rPr>
                <w:rFonts w:cs="Arial"/>
                <w:color w:val="0D0D0D" w:themeColor="text1" w:themeTint="F2"/>
                <w:spacing w:val="-4"/>
              </w:rPr>
              <w:t>Celková zásoba stavební práce vzrostla letos i díky oživení soukromých zakázek.</w:t>
            </w:r>
          </w:p>
        </w:tc>
        <w:tc>
          <w:tcPr>
            <w:tcW w:w="229" w:type="dxa"/>
            <w:shd w:val="clear" w:color="auto" w:fill="auto"/>
            <w:tcMar>
              <w:left w:w="0" w:type="dxa"/>
            </w:tcMar>
          </w:tcPr>
          <w:p w14:paraId="447E517A" w14:textId="77777777" w:rsidR="00EC6B23" w:rsidRPr="00D87405" w:rsidRDefault="00EC6B23" w:rsidP="002F7D0A">
            <w:pPr>
              <w:pStyle w:val="Textpoznpodarou"/>
              <w:jc w:val="both"/>
              <w:rPr>
                <w:rFonts w:eastAsia="Times New Roman" w:cs="Arial"/>
                <w:color w:val="0D0D0D" w:themeColor="text1" w:themeTint="F2"/>
                <w:spacing w:val="-4"/>
              </w:rPr>
            </w:pPr>
          </w:p>
        </w:tc>
        <w:tc>
          <w:tcPr>
            <w:tcW w:w="7596" w:type="dxa"/>
            <w:shd w:val="clear" w:color="auto" w:fill="auto"/>
            <w:tcMar>
              <w:left w:w="0" w:type="dxa"/>
            </w:tcMar>
          </w:tcPr>
          <w:p w14:paraId="3D08996D" w14:textId="77777777" w:rsidR="00EC6B23" w:rsidRDefault="00EC6B23" w:rsidP="002F7D0A">
            <w:pPr>
              <w:spacing w:after="120"/>
              <w:rPr>
                <w:color w:val="0D0D0D" w:themeColor="text1" w:themeTint="F2"/>
                <w:spacing w:val="-6"/>
              </w:rPr>
            </w:pPr>
            <w:r>
              <w:rPr>
                <w:color w:val="0D0D0D" w:themeColor="text1" w:themeTint="F2"/>
                <w:spacing w:val="-6"/>
              </w:rPr>
              <w:t>Některé p</w:t>
            </w:r>
            <w:r w:rsidRPr="00C301B8">
              <w:rPr>
                <w:color w:val="0D0D0D" w:themeColor="text1" w:themeTint="F2"/>
                <w:spacing w:val="-6"/>
              </w:rPr>
              <w:t>ředst</w:t>
            </w:r>
            <w:r>
              <w:rPr>
                <w:color w:val="0D0D0D" w:themeColor="text1" w:themeTint="F2"/>
                <w:spacing w:val="-6"/>
              </w:rPr>
              <w:t>ihové ukazatele ve stavebnictví</w:t>
            </w:r>
            <w:r w:rsidRPr="00C301B8">
              <w:rPr>
                <w:color w:val="0D0D0D" w:themeColor="text1" w:themeTint="F2"/>
                <w:spacing w:val="-6"/>
              </w:rPr>
              <w:t xml:space="preserve"> mohou zavdávat mírnému optimismu. Orientační hodnota pov</w:t>
            </w:r>
            <w:r>
              <w:rPr>
                <w:color w:val="0D0D0D" w:themeColor="text1" w:themeTint="F2"/>
                <w:spacing w:val="-6"/>
              </w:rPr>
              <w:t xml:space="preserve">olených staveb </w:t>
            </w:r>
            <w:r>
              <w:rPr>
                <w:rStyle w:val="normaltextrun"/>
                <w:rFonts w:cs="Arial"/>
                <w:color w:val="000000"/>
                <w:szCs w:val="20"/>
                <w:shd w:val="clear" w:color="auto" w:fill="FFFFFF"/>
              </w:rPr>
              <w:t>za 1. čtvrtletí 2024</w:t>
            </w:r>
            <w:r w:rsidRPr="00027A9B">
              <w:rPr>
                <w:rStyle w:val="normaltextrun"/>
                <w:rFonts w:cs="Arial"/>
                <w:color w:val="000000"/>
                <w:szCs w:val="20"/>
                <w:shd w:val="clear" w:color="auto" w:fill="FFFFFF"/>
              </w:rPr>
              <w:t xml:space="preserve"> </w:t>
            </w:r>
            <w:r>
              <w:rPr>
                <w:rStyle w:val="normaltextrun"/>
                <w:rFonts w:cs="Arial"/>
                <w:color w:val="000000"/>
                <w:szCs w:val="20"/>
                <w:shd w:val="clear" w:color="auto" w:fill="FFFFFF"/>
              </w:rPr>
              <w:t>meziročně vzrost</w:t>
            </w:r>
            <w:r w:rsidRPr="00027A9B">
              <w:rPr>
                <w:rStyle w:val="normaltextrun"/>
                <w:rFonts w:cs="Arial"/>
                <w:color w:val="000000"/>
                <w:szCs w:val="20"/>
                <w:shd w:val="clear" w:color="auto" w:fill="FFFFFF"/>
              </w:rPr>
              <w:t>la o 7,2 % (nepatrně více než ceny stavebních prací) a zvyšovala se pátý kvartál v řadě.</w:t>
            </w:r>
            <w:r>
              <w:rPr>
                <w:rStyle w:val="normaltextrun"/>
                <w:rFonts w:cs="Arial"/>
                <w:color w:val="000000"/>
                <w:szCs w:val="20"/>
                <w:shd w:val="clear" w:color="auto" w:fill="FFFFFF"/>
              </w:rPr>
              <w:t xml:space="preserve"> Letošní výsledek příznivě ovlivnil březen, kdy bylo povoleno šest staveb</w:t>
            </w:r>
            <w:r w:rsidRPr="00027A9B">
              <w:rPr>
                <w:rStyle w:val="normaltextrun"/>
                <w:rFonts w:cs="Arial"/>
                <w:color w:val="000000"/>
                <w:szCs w:val="20"/>
                <w:shd w:val="clear" w:color="auto" w:fill="FFFFFF"/>
              </w:rPr>
              <w:t xml:space="preserve"> s </w:t>
            </w:r>
            <w:r>
              <w:rPr>
                <w:rStyle w:val="normaltextrun"/>
                <w:rFonts w:cs="Arial"/>
                <w:color w:val="000000"/>
                <w:szCs w:val="20"/>
                <w:shd w:val="clear" w:color="auto" w:fill="FFFFFF"/>
              </w:rPr>
              <w:t xml:space="preserve">rozpočty nad 1 mld. V úhrnu za celý kvartál ovšem klesla hodnota povolení u </w:t>
            </w:r>
            <w:r w:rsidRPr="00027A9B">
              <w:rPr>
                <w:rStyle w:val="normaltextrun"/>
                <w:rFonts w:cs="Arial"/>
                <w:color w:val="000000"/>
                <w:szCs w:val="20"/>
                <w:shd w:val="clear" w:color="auto" w:fill="FFFFFF"/>
              </w:rPr>
              <w:t>výstavby bytových i</w:t>
            </w:r>
            <w:r>
              <w:rPr>
                <w:rStyle w:val="normaltextrun"/>
                <w:rFonts w:cs="Arial"/>
                <w:color w:val="000000"/>
                <w:szCs w:val="20"/>
                <w:shd w:val="clear" w:color="auto" w:fill="FFFFFF"/>
              </w:rPr>
              <w:t> </w:t>
            </w:r>
            <w:r w:rsidRPr="00027A9B">
              <w:rPr>
                <w:rStyle w:val="normaltextrun"/>
                <w:rFonts w:cs="Arial"/>
                <w:color w:val="000000"/>
                <w:szCs w:val="20"/>
                <w:shd w:val="clear" w:color="auto" w:fill="FFFFFF"/>
              </w:rPr>
              <w:t>nebytových bud</w:t>
            </w:r>
            <w:r>
              <w:rPr>
                <w:rStyle w:val="normaltextrun"/>
                <w:rFonts w:cs="Arial"/>
                <w:color w:val="000000"/>
                <w:szCs w:val="20"/>
                <w:shd w:val="clear" w:color="auto" w:fill="FFFFFF"/>
              </w:rPr>
              <w:t>ov a rovněž u dopravní infrastruktury.</w:t>
            </w:r>
            <w:r w:rsidRPr="00027A9B">
              <w:rPr>
                <w:rStyle w:val="normaltextrun"/>
                <w:rFonts w:cs="Arial"/>
                <w:color w:val="000000"/>
                <w:szCs w:val="20"/>
                <w:shd w:val="clear" w:color="auto" w:fill="FFFFFF"/>
              </w:rPr>
              <w:t xml:space="preserve"> </w:t>
            </w:r>
            <w:r>
              <w:rPr>
                <w:rStyle w:val="normaltextrun"/>
                <w:color w:val="000000"/>
                <w:shd w:val="clear" w:color="auto" w:fill="FFFFFF"/>
              </w:rPr>
              <w:t>Ke zřetelnému oživení došlo v oblasti stavebních zakázek</w:t>
            </w:r>
            <w:r>
              <w:rPr>
                <w:rStyle w:val="Znakapoznpodarou"/>
                <w:color w:val="000000"/>
                <w:shd w:val="clear" w:color="auto" w:fill="FFFFFF"/>
              </w:rPr>
              <w:footnoteReference w:id="16"/>
            </w:r>
            <w:r>
              <w:rPr>
                <w:rStyle w:val="normaltextrun"/>
                <w:color w:val="000000"/>
                <w:shd w:val="clear" w:color="auto" w:fill="FFFFFF"/>
              </w:rPr>
              <w:t xml:space="preserve">. </w:t>
            </w:r>
            <w:r w:rsidRPr="00635A2F">
              <w:rPr>
                <w:color w:val="0D0D0D" w:themeColor="text1" w:themeTint="F2"/>
                <w:spacing w:val="-6"/>
              </w:rPr>
              <w:t>Hodnota nových tuzemských zakázek byla v 1. čtv</w:t>
            </w:r>
            <w:r>
              <w:rPr>
                <w:color w:val="0D0D0D" w:themeColor="text1" w:themeTint="F2"/>
                <w:spacing w:val="-6"/>
              </w:rPr>
              <w:t>rtletí meziročně skoro o více než 30 %</w:t>
            </w:r>
            <w:r w:rsidRPr="00635A2F">
              <w:rPr>
                <w:color w:val="0D0D0D" w:themeColor="text1" w:themeTint="F2"/>
                <w:spacing w:val="-6"/>
              </w:rPr>
              <w:t xml:space="preserve"> vyšší a současně rostla třetí kvartál v řadě. Na aktuálním růstu se </w:t>
            </w:r>
            <w:r>
              <w:rPr>
                <w:color w:val="0D0D0D" w:themeColor="text1" w:themeTint="F2"/>
                <w:spacing w:val="-6"/>
              </w:rPr>
              <w:t xml:space="preserve">významně </w:t>
            </w:r>
            <w:r w:rsidRPr="00635A2F">
              <w:rPr>
                <w:color w:val="0D0D0D" w:themeColor="text1" w:themeTint="F2"/>
                <w:spacing w:val="-6"/>
              </w:rPr>
              <w:t xml:space="preserve">podílelo jak pozemní, tak inženýrské stavitelství. Celková zásoba dosud nerealizovaných zakázek byla </w:t>
            </w:r>
            <w:r>
              <w:rPr>
                <w:color w:val="0D0D0D" w:themeColor="text1" w:themeTint="F2"/>
                <w:spacing w:val="-6"/>
              </w:rPr>
              <w:t>na konci letošního března meziročně vyšší o 13,8</w:t>
            </w:r>
            <w:r w:rsidRPr="00635A2F">
              <w:rPr>
                <w:color w:val="0D0D0D" w:themeColor="text1" w:themeTint="F2"/>
                <w:spacing w:val="-6"/>
              </w:rPr>
              <w:t xml:space="preserve"> %, tradičně hlavně díky veřejným zadavatelům. Poprvé za posledních pět kvartálů se ovšem meziročně zvýšila i hodnota soukromých tuzemských zakázek. Naopak pokles u zahraničn</w:t>
            </w:r>
            <w:r>
              <w:rPr>
                <w:color w:val="0D0D0D" w:themeColor="text1" w:themeTint="F2"/>
                <w:spacing w:val="-6"/>
              </w:rPr>
              <w:t xml:space="preserve">ích zakázek trvá již dva a půl roku.  </w:t>
            </w:r>
          </w:p>
        </w:tc>
      </w:tr>
      <w:tr w:rsidR="00EC6B23" w14:paraId="1D026826" w14:textId="77777777" w:rsidTr="002F7D0A">
        <w:trPr>
          <w:trHeight w:val="170"/>
        </w:trPr>
        <w:tc>
          <w:tcPr>
            <w:tcW w:w="1814" w:type="dxa"/>
            <w:shd w:val="clear" w:color="auto" w:fill="auto"/>
            <w:tcMar>
              <w:left w:w="0" w:type="dxa"/>
            </w:tcMar>
          </w:tcPr>
          <w:p w14:paraId="3383E416" w14:textId="77777777" w:rsidR="00EC6B23" w:rsidRDefault="00EC6B23" w:rsidP="002F7D0A">
            <w:pPr>
              <w:pStyle w:val="Marginlie"/>
              <w:rPr>
                <w:rFonts w:cs="Arial"/>
                <w:color w:val="0D0D0D" w:themeColor="text1" w:themeTint="F2"/>
                <w:spacing w:val="-4"/>
              </w:rPr>
            </w:pPr>
            <w:r>
              <w:rPr>
                <w:spacing w:val="-4"/>
              </w:rPr>
              <w:t>Pesimismus podnikatelů ve stavebnictví přetrvává.</w:t>
            </w:r>
          </w:p>
        </w:tc>
        <w:tc>
          <w:tcPr>
            <w:tcW w:w="229" w:type="dxa"/>
            <w:shd w:val="clear" w:color="auto" w:fill="auto"/>
            <w:tcMar>
              <w:left w:w="0" w:type="dxa"/>
            </w:tcMar>
          </w:tcPr>
          <w:p w14:paraId="65D1FB2E" w14:textId="77777777" w:rsidR="00EC6B23" w:rsidRPr="00D87405" w:rsidRDefault="00EC6B23" w:rsidP="002F7D0A">
            <w:pPr>
              <w:pStyle w:val="Textpoznpodarou"/>
              <w:jc w:val="both"/>
              <w:rPr>
                <w:rFonts w:eastAsia="Times New Roman" w:cs="Arial"/>
                <w:color w:val="0D0D0D" w:themeColor="text1" w:themeTint="F2"/>
                <w:spacing w:val="-4"/>
              </w:rPr>
            </w:pPr>
          </w:p>
        </w:tc>
        <w:tc>
          <w:tcPr>
            <w:tcW w:w="7596" w:type="dxa"/>
            <w:shd w:val="clear" w:color="auto" w:fill="auto"/>
            <w:tcMar>
              <w:left w:w="0" w:type="dxa"/>
            </w:tcMar>
          </w:tcPr>
          <w:p w14:paraId="439DEFB9" w14:textId="77777777" w:rsidR="00EC6B23" w:rsidRPr="00C301B8" w:rsidRDefault="00EC6B23" w:rsidP="002F7D0A">
            <w:pPr>
              <w:spacing w:after="120"/>
              <w:rPr>
                <w:color w:val="0D0D0D" w:themeColor="text1" w:themeTint="F2"/>
                <w:spacing w:val="-6"/>
              </w:rPr>
            </w:pPr>
            <w:r>
              <w:rPr>
                <w:color w:val="0D0D0D" w:themeColor="text1" w:themeTint="F2"/>
                <w:spacing w:val="-6"/>
              </w:rPr>
              <w:t>Přestože se celková důvěra podnikatelů ve stavebnictví letos během jara postupně mírně zhoršovala,</w:t>
            </w:r>
            <w:r>
              <w:rPr>
                <w:rStyle w:val="Zdraznn"/>
                <w:rFonts w:eastAsiaTheme="majorEastAsia" w:cs="Arial"/>
                <w:szCs w:val="20"/>
              </w:rPr>
              <w:t xml:space="preserve"> </w:t>
            </w:r>
            <w:r>
              <w:rPr>
                <w:rStyle w:val="normaltextrun"/>
                <w:rFonts w:eastAsiaTheme="majorEastAsia" w:cs="Arial"/>
                <w:szCs w:val="20"/>
              </w:rPr>
              <w:t>negativní sentiment zde přesto není tak výrazný jako ve většině loňského roku</w:t>
            </w:r>
            <w:r>
              <w:rPr>
                <w:color w:val="0D0D0D" w:themeColor="text1" w:themeTint="F2"/>
                <w:spacing w:val="-6"/>
              </w:rPr>
              <w:t xml:space="preserve">. Stabilně zhruba čtvrtina firem hodnotí současnou poptávku jako nedostatečnou, krátkodobé výhledy v oblasti stavební činnosti, zaměstnanosti i vlastní ekonomické situace podniků zůstaly i letos v květnu mírně negativní. Klíčovou růstovou bariérou zůstává nedostatek zaměstnanců, což trvá s drobnými přerušeními již zhruba šest let.  </w:t>
            </w:r>
          </w:p>
        </w:tc>
      </w:tr>
      <w:tr w:rsidR="00EC6B23" w14:paraId="67700F36" w14:textId="77777777" w:rsidTr="002F7D0A">
        <w:trPr>
          <w:trHeight w:val="170"/>
        </w:trPr>
        <w:tc>
          <w:tcPr>
            <w:tcW w:w="1814" w:type="dxa"/>
            <w:shd w:val="clear" w:color="auto" w:fill="auto"/>
            <w:tcMar>
              <w:left w:w="0" w:type="dxa"/>
            </w:tcMar>
          </w:tcPr>
          <w:p w14:paraId="0062286A" w14:textId="77777777" w:rsidR="00EC6B23" w:rsidRPr="00E16B2A" w:rsidRDefault="00EC6B23" w:rsidP="002F7D0A">
            <w:pPr>
              <w:pStyle w:val="Marginlie"/>
              <w:rPr>
                <w:rFonts w:cs="Arial"/>
                <w:color w:val="0D0D0D" w:themeColor="text1" w:themeTint="F2"/>
                <w:spacing w:val="-4"/>
              </w:rPr>
            </w:pPr>
            <w:r>
              <w:rPr>
                <w:rFonts w:cs="Arial"/>
                <w:color w:val="0D0D0D" w:themeColor="text1" w:themeTint="F2"/>
                <w:spacing w:val="-4"/>
              </w:rPr>
              <w:t>Mezikvartální pokles tržeb ve službách se na přelomu let 2023 a 2024 zastavil. Oživení poptávky nastalo téměř ve všech hlavních odvětvích služeb.</w:t>
            </w:r>
          </w:p>
        </w:tc>
        <w:tc>
          <w:tcPr>
            <w:tcW w:w="229" w:type="dxa"/>
            <w:shd w:val="clear" w:color="auto" w:fill="auto"/>
            <w:tcMar>
              <w:left w:w="0" w:type="dxa"/>
            </w:tcMar>
          </w:tcPr>
          <w:p w14:paraId="50B51D3C" w14:textId="77777777" w:rsidR="00EC6B23" w:rsidRPr="00D87405" w:rsidRDefault="00EC6B23" w:rsidP="002F7D0A">
            <w:pPr>
              <w:pStyle w:val="Textpoznpodarou"/>
              <w:jc w:val="both"/>
              <w:rPr>
                <w:rFonts w:eastAsia="Times New Roman" w:cs="Arial"/>
                <w:color w:val="0D0D0D" w:themeColor="text1" w:themeTint="F2"/>
                <w:spacing w:val="-4"/>
              </w:rPr>
            </w:pPr>
          </w:p>
        </w:tc>
        <w:tc>
          <w:tcPr>
            <w:tcW w:w="7596" w:type="dxa"/>
            <w:shd w:val="clear" w:color="auto" w:fill="auto"/>
            <w:tcMar>
              <w:left w:w="0" w:type="dxa"/>
            </w:tcMar>
          </w:tcPr>
          <w:p w14:paraId="4F2F5F83" w14:textId="77777777" w:rsidR="00EC6B23" w:rsidRPr="000608D2" w:rsidRDefault="00EC6B23" w:rsidP="002F7D0A">
            <w:pPr>
              <w:spacing w:after="120"/>
              <w:rPr>
                <w:rFonts w:cs="Arial"/>
                <w:color w:val="0D0D0D" w:themeColor="text1" w:themeTint="F2"/>
                <w:spacing w:val="-4"/>
              </w:rPr>
            </w:pPr>
            <w:r w:rsidRPr="00C8516F">
              <w:rPr>
                <w:color w:val="0D0D0D" w:themeColor="text1" w:themeTint="F2"/>
                <w:spacing w:val="-4"/>
              </w:rPr>
              <w:t>Poptávka po službách</w:t>
            </w:r>
            <w:r>
              <w:rPr>
                <w:color w:val="0D0D0D" w:themeColor="text1" w:themeTint="F2"/>
                <w:spacing w:val="-4"/>
              </w:rPr>
              <w:t xml:space="preserve"> pozvolna ožívala, což souvisí se zlepšenou kondicí celé tuzemské ekonomiky. Stabilizace hladiny spotřebitelských cen pomohla po delším období nastartovat růst reálných mezd zaměstnanců, což se odrazilo v příznivější finanční situaci domácností. Na služby působila letos pozitivně i mírně rostoucí podniková poptávka, jež byla po většinu loňského roku ještě dosti utlumená. </w:t>
            </w:r>
            <w:r w:rsidRPr="00C8516F">
              <w:rPr>
                <w:rFonts w:cs="Arial"/>
                <w:color w:val="0D0D0D" w:themeColor="text1" w:themeTint="F2"/>
                <w:spacing w:val="-4"/>
              </w:rPr>
              <w:t>Tržby ve službách</w:t>
            </w:r>
            <w:r w:rsidRPr="00C8516F">
              <w:rPr>
                <w:color w:val="0D0D0D" w:themeColor="text1" w:themeTint="F2"/>
                <w:spacing w:val="-4"/>
                <w:vertAlign w:val="superscript"/>
              </w:rPr>
              <w:footnoteReference w:id="17"/>
            </w:r>
            <w:r>
              <w:rPr>
                <w:rFonts w:cs="Arial"/>
                <w:color w:val="0D0D0D" w:themeColor="text1" w:themeTint="F2"/>
                <w:spacing w:val="-4"/>
              </w:rPr>
              <w:t xml:space="preserve"> v poslední čtvrtině loňského roku mezikvartálně vzrostly o 0,6 % a zaznamenaly tak první posílení od 3. čtvrtletí 2022. V 1. čtvrtletí 2024 růst tržeb zrychlil na 2,2 % − tedy nejvíce za posledních sedm čtvrtletí. Na tomto oživení se podílela téměř všechna hlavní odvětví služeb, klíčovou roli měla ovšem doprava a skladování (+5,8 %). </w:t>
            </w:r>
            <w:r w:rsidRPr="00C8516F">
              <w:rPr>
                <w:rFonts w:cs="Arial"/>
                <w:color w:val="0D0D0D" w:themeColor="text1" w:themeTint="F2"/>
                <w:spacing w:val="-4"/>
              </w:rPr>
              <w:t>Celkové tržby v</w:t>
            </w:r>
            <w:r>
              <w:rPr>
                <w:rFonts w:cs="Arial"/>
                <w:color w:val="0D0D0D" w:themeColor="text1" w:themeTint="F2"/>
                <w:spacing w:val="-4"/>
              </w:rPr>
              <w:t>e službách se letos nacházel</w:t>
            </w:r>
            <w:r w:rsidRPr="00C8516F">
              <w:rPr>
                <w:rFonts w:cs="Arial"/>
                <w:color w:val="0D0D0D" w:themeColor="text1" w:themeTint="F2"/>
                <w:spacing w:val="-4"/>
              </w:rPr>
              <w:t xml:space="preserve">y </w:t>
            </w:r>
            <w:r>
              <w:rPr>
                <w:rFonts w:cs="Arial"/>
                <w:color w:val="0D0D0D" w:themeColor="text1" w:themeTint="F2"/>
                <w:spacing w:val="-4"/>
              </w:rPr>
              <w:t>lehce nad úrovní z vrcholu poslední konjunktury v předpandemickém období (oproti 2.</w:t>
            </w:r>
            <w:r w:rsidRPr="00C8516F">
              <w:rPr>
                <w:rFonts w:cs="Arial"/>
                <w:color w:val="0D0D0D" w:themeColor="text1" w:themeTint="F2"/>
                <w:spacing w:val="-4"/>
              </w:rPr>
              <w:t xml:space="preserve"> č</w:t>
            </w:r>
            <w:r>
              <w:rPr>
                <w:rFonts w:cs="Arial"/>
                <w:color w:val="0D0D0D" w:themeColor="text1" w:themeTint="F2"/>
                <w:spacing w:val="-4"/>
              </w:rPr>
              <w:t>tvrtletí 2019 byly vyšší o 1,6 %</w:t>
            </w:r>
            <w:r w:rsidRPr="00C8516F">
              <w:rPr>
                <w:rStyle w:val="Znakapoznpodarou"/>
                <w:color w:val="0D0D0D" w:themeColor="text1" w:themeTint="F2"/>
                <w:spacing w:val="-4"/>
              </w:rPr>
              <w:footnoteReference w:id="18"/>
            </w:r>
            <w:r w:rsidRPr="00C8516F">
              <w:rPr>
                <w:rFonts w:cs="Arial"/>
                <w:color w:val="0D0D0D" w:themeColor="text1" w:themeTint="F2"/>
                <w:spacing w:val="-4"/>
              </w:rPr>
              <w:t>).</w:t>
            </w:r>
          </w:p>
        </w:tc>
      </w:tr>
      <w:tr w:rsidR="00EC6B23" w14:paraId="439DBB28" w14:textId="77777777" w:rsidTr="002F7D0A">
        <w:trPr>
          <w:trHeight w:val="170"/>
        </w:trPr>
        <w:tc>
          <w:tcPr>
            <w:tcW w:w="1814" w:type="dxa"/>
            <w:shd w:val="clear" w:color="auto" w:fill="auto"/>
            <w:tcMar>
              <w:left w:w="0" w:type="dxa"/>
            </w:tcMar>
          </w:tcPr>
          <w:p w14:paraId="510476AA" w14:textId="77777777" w:rsidR="00EC6B23" w:rsidRDefault="00EC6B23" w:rsidP="002F7D0A">
            <w:pPr>
              <w:pStyle w:val="Marginlie"/>
              <w:rPr>
                <w:color w:val="0D0D0D" w:themeColor="text1" w:themeTint="F2"/>
                <w:spacing w:val="-4"/>
              </w:rPr>
            </w:pPr>
            <w:r>
              <w:rPr>
                <w:color w:val="0D0D0D" w:themeColor="text1" w:themeTint="F2"/>
                <w:spacing w:val="-4"/>
              </w:rPr>
              <w:t xml:space="preserve">Na meziročním růstu tržeb v odvětví dopravy </w:t>
            </w:r>
            <w:r>
              <w:rPr>
                <w:color w:val="0D0D0D" w:themeColor="text1" w:themeTint="F2"/>
                <w:spacing w:val="-4"/>
              </w:rPr>
              <w:br/>
              <w:t>a skladování se nejvíce podílela letecká doprava.</w:t>
            </w:r>
          </w:p>
        </w:tc>
        <w:tc>
          <w:tcPr>
            <w:tcW w:w="229" w:type="dxa"/>
            <w:shd w:val="clear" w:color="auto" w:fill="auto"/>
            <w:tcMar>
              <w:left w:w="0" w:type="dxa"/>
            </w:tcMar>
          </w:tcPr>
          <w:p w14:paraId="33492EC0"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1993512C" w14:textId="77777777" w:rsidR="00EC6B23" w:rsidRPr="00C8516F" w:rsidRDefault="00EC6B23" w:rsidP="002F7D0A">
            <w:pPr>
              <w:spacing w:after="200"/>
              <w:rPr>
                <w:color w:val="0D0D0D" w:themeColor="text1" w:themeTint="F2"/>
                <w:spacing w:val="-4"/>
              </w:rPr>
            </w:pPr>
            <w:r>
              <w:rPr>
                <w:color w:val="0D0D0D" w:themeColor="text1" w:themeTint="F2"/>
                <w:spacing w:val="-4"/>
              </w:rPr>
              <w:t xml:space="preserve">Pozitivní obrat v poptávce po službách je patrný i v meziročním pohledu. Tržby zde po loňské recesi opět mírně vzrostly (+1,0 %). Výkon váhově nejvýznamnějšího odvětví dopravy a skladování ale vzrostl jen 0,5 % a přispěl k růstu služeb +0,1 p. b. Díky rozvoji cestovního ruchu rostly svižně zejména tržby leteckým dopravcům (+22,4 %), za maximální úrovní z období konjunktury 2015 až 2019 však stále o desetinu zaostávaly. Alespoň mírný růst poptávky ovšem pocítily takřka všechny druhy dopravy (vyjma potrubní dopravy). V pozemní dopravě mírně rostly výkony silniční dopravy, které částečně kompenzovaly pokles v železniční dopravě. V poštovních a kurýrních činnostech se tržby zvýšily poprvé za posledních šest kvartálů (+3,0 %), z velké části díky rychlejšímu oživení u internetových prodejů. Naopak ve skladování a vedlejších činnostech v dopravě pokles tržeb pokračoval (−1,8 %). </w:t>
            </w:r>
          </w:p>
        </w:tc>
      </w:tr>
      <w:tr w:rsidR="00EC6B23" w14:paraId="11ADAA52" w14:textId="77777777" w:rsidTr="002F7D0A">
        <w:trPr>
          <w:trHeight w:val="170"/>
        </w:trPr>
        <w:tc>
          <w:tcPr>
            <w:tcW w:w="1814" w:type="dxa"/>
            <w:shd w:val="clear" w:color="auto" w:fill="auto"/>
            <w:tcMar>
              <w:left w:w="0" w:type="dxa"/>
            </w:tcMar>
          </w:tcPr>
          <w:p w14:paraId="1521D3E3" w14:textId="77777777" w:rsidR="00EC6B23" w:rsidRDefault="00EC6B23" w:rsidP="002F7D0A">
            <w:pPr>
              <w:pStyle w:val="Marginlie"/>
              <w:rPr>
                <w:color w:val="0D0D0D" w:themeColor="text1" w:themeTint="F2"/>
                <w:spacing w:val="-4"/>
              </w:rPr>
            </w:pPr>
            <w:r>
              <w:rPr>
                <w:color w:val="0D0D0D" w:themeColor="text1" w:themeTint="F2"/>
                <w:spacing w:val="-4"/>
              </w:rPr>
              <w:lastRenderedPageBreak/>
              <w:t xml:space="preserve">Růst počtu ubytovaných hostů v HUZ zrychlil. Rozvoj turismu nadále táhli zejména nerezidenti. Nezvykle teplé počasí </w:t>
            </w:r>
            <w:r>
              <w:rPr>
                <w:color w:val="0D0D0D" w:themeColor="text1" w:themeTint="F2"/>
                <w:spacing w:val="-4"/>
              </w:rPr>
              <w:br/>
              <w:t xml:space="preserve">i „předsunutí“ Velikonoc podpořil hlavně městský cestovní ruch. </w:t>
            </w:r>
          </w:p>
        </w:tc>
        <w:tc>
          <w:tcPr>
            <w:tcW w:w="229" w:type="dxa"/>
            <w:shd w:val="clear" w:color="auto" w:fill="auto"/>
            <w:tcMar>
              <w:left w:w="0" w:type="dxa"/>
            </w:tcMar>
          </w:tcPr>
          <w:p w14:paraId="4DCA6396"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685B4D34" w14:textId="77777777" w:rsidR="00EC6B23" w:rsidRDefault="00EC6B23" w:rsidP="002F7D0A">
            <w:pPr>
              <w:spacing w:after="200"/>
              <w:rPr>
                <w:color w:val="0D0D0D" w:themeColor="text1" w:themeTint="F2"/>
                <w:spacing w:val="-4"/>
              </w:rPr>
            </w:pPr>
            <w:r>
              <w:rPr>
                <w:color w:val="0D0D0D" w:themeColor="text1" w:themeTint="F2"/>
                <w:spacing w:val="-4"/>
              </w:rPr>
              <w:t xml:space="preserve">Mezi hlavními odvětvími služeb se tržby v 1. čtvrtletí meziročně nejvíce zvýšily </w:t>
            </w:r>
            <w:r>
              <w:rPr>
                <w:color w:val="0D0D0D" w:themeColor="text1" w:themeTint="F2"/>
                <w:spacing w:val="-4"/>
              </w:rPr>
              <w:br/>
              <w:t>v u</w:t>
            </w:r>
            <w:r w:rsidRPr="002B5296">
              <w:rPr>
                <w:color w:val="0D0D0D" w:themeColor="text1" w:themeTint="F2"/>
                <w:spacing w:val="-4"/>
              </w:rPr>
              <w:t>bytování, stravování a pohostinství</w:t>
            </w:r>
            <w:r>
              <w:rPr>
                <w:color w:val="0D0D0D" w:themeColor="text1" w:themeTint="F2"/>
                <w:spacing w:val="-4"/>
              </w:rPr>
              <w:t xml:space="preserve"> (+2,9 %). Růst poptávky zde byl tažen zejména stravováním a pohostinstvím. To vedle postupně se zotavující spotřeby tuzemských domácností profitovalo také ze svižně se rozvíjejícího příjezdového cestovního ruchu. Do hromadných ubytovacích zařízení (HUZ) přijelo meziročně o 9,9 % hostů více (růstové tempo ve srovnání s 2. pololetím loňského roku lehce zrychlilo). </w:t>
            </w:r>
            <w:r>
              <w:rPr>
                <w:rStyle w:val="normaltextrun"/>
                <w:rFonts w:cs="Arial"/>
                <w:szCs w:val="20"/>
              </w:rPr>
              <w:t>Celková poptávka po cestovním ruchu (zachycená počtem přenocování) rostla o 7,7 %</w:t>
            </w:r>
            <w:r>
              <w:rPr>
                <w:rStyle w:val="Znakapoznpodarou"/>
                <w:szCs w:val="20"/>
              </w:rPr>
              <w:footnoteReference w:id="19"/>
            </w:r>
            <w:r>
              <w:rPr>
                <w:rStyle w:val="normaltextrun"/>
                <w:rFonts w:cs="Arial"/>
                <w:szCs w:val="20"/>
              </w:rPr>
              <w:t xml:space="preserve">, v tom ze strany nerezidentů o 17,2 %, od domácí klientely jen o 0,6 % (u ní dokonce poptávka ve </w:t>
            </w:r>
            <w:r>
              <w:rPr>
                <w:rStyle w:val="normaltextrun"/>
                <w:rFonts w:cs="Arial"/>
                <w:szCs w:val="20"/>
              </w:rPr>
              <w:br/>
              <w:t>2. pololetí 2023 lehce klesla). K růstu poptávky tak již osmý kvartál v řadě přispívali zejména zahraniční hosté</w:t>
            </w:r>
            <w:r>
              <w:rPr>
                <w:rStyle w:val="Znakapoznpodarou"/>
                <w:szCs w:val="20"/>
              </w:rPr>
              <w:footnoteReference w:id="20"/>
            </w:r>
            <w:r>
              <w:rPr>
                <w:rStyle w:val="normaltextrun"/>
                <w:rFonts w:cs="Arial"/>
                <w:szCs w:val="20"/>
              </w:rPr>
              <w:t>.</w:t>
            </w:r>
            <w:r>
              <w:rPr>
                <w:rStyle w:val="eop"/>
                <w:rFonts w:cs="Arial"/>
                <w:szCs w:val="20"/>
              </w:rPr>
              <w:t xml:space="preserve"> </w:t>
            </w:r>
            <w:r>
              <w:rPr>
                <w:rStyle w:val="normaltextrun"/>
                <w:rFonts w:cs="Arial"/>
                <w:szCs w:val="20"/>
              </w:rPr>
              <w:t>Návštěvnost v 1. čtvrtletí výrazně ovlivnilo počasí (velmi teplý únor a březen – tedy období jarních školních prázdnin) a „předsunutí“ Velikonoc (ty kromě letoška spadly do 1. čtvrtletí naposledy v roce 2016).</w:t>
            </w:r>
          </w:p>
        </w:tc>
      </w:tr>
      <w:tr w:rsidR="00EC6B23" w14:paraId="5FF5A75B" w14:textId="77777777" w:rsidTr="002F7D0A">
        <w:trPr>
          <w:trHeight w:val="170"/>
        </w:trPr>
        <w:tc>
          <w:tcPr>
            <w:tcW w:w="1814" w:type="dxa"/>
            <w:shd w:val="clear" w:color="auto" w:fill="auto"/>
            <w:tcMar>
              <w:left w:w="0" w:type="dxa"/>
            </w:tcMar>
          </w:tcPr>
          <w:p w14:paraId="4E6BCAE1" w14:textId="77777777" w:rsidR="00EC6B23" w:rsidRDefault="00EC6B23" w:rsidP="002F7D0A">
            <w:pPr>
              <w:pStyle w:val="Marginlie"/>
              <w:rPr>
                <w:color w:val="0D0D0D" w:themeColor="text1" w:themeTint="F2"/>
                <w:spacing w:val="-4"/>
              </w:rPr>
            </w:pPr>
            <w:r>
              <w:rPr>
                <w:color w:val="0D0D0D" w:themeColor="text1" w:themeTint="F2"/>
                <w:spacing w:val="-4"/>
              </w:rPr>
              <w:t xml:space="preserve">Poptávka po pronájmu </w:t>
            </w:r>
            <w:r>
              <w:rPr>
                <w:color w:val="0D0D0D" w:themeColor="text1" w:themeTint="F2"/>
                <w:spacing w:val="-4"/>
              </w:rPr>
              <w:br/>
              <w:t>a operativním leasingu vzrostla, pokračoval dlouhodobější pokles tržeb pracovních agentur.</w:t>
            </w:r>
          </w:p>
        </w:tc>
        <w:tc>
          <w:tcPr>
            <w:tcW w:w="229" w:type="dxa"/>
            <w:shd w:val="clear" w:color="auto" w:fill="auto"/>
            <w:tcMar>
              <w:left w:w="0" w:type="dxa"/>
            </w:tcMar>
          </w:tcPr>
          <w:p w14:paraId="1852F155"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41010A51" w14:textId="77777777" w:rsidR="00EC6B23" w:rsidRDefault="00EC6B23" w:rsidP="002F7D0A">
            <w:pPr>
              <w:spacing w:after="200"/>
              <w:rPr>
                <w:color w:val="0D0D0D" w:themeColor="text1" w:themeTint="F2"/>
                <w:spacing w:val="-4"/>
              </w:rPr>
            </w:pPr>
            <w:r>
              <w:rPr>
                <w:color w:val="0D0D0D" w:themeColor="text1" w:themeTint="F2"/>
                <w:spacing w:val="-4"/>
              </w:rPr>
              <w:t>Rozvoj turismu se v 1. čtvrtletí odrazil také ve svižně rostoucích tržbách cestovních agentur a</w:t>
            </w:r>
            <w:r w:rsidRPr="00D4708D">
              <w:rPr>
                <w:color w:val="0D0D0D" w:themeColor="text1" w:themeTint="F2"/>
                <w:spacing w:val="-4"/>
              </w:rPr>
              <w:t xml:space="preserve"> kanceláří</w:t>
            </w:r>
            <w:r>
              <w:rPr>
                <w:color w:val="0D0D0D" w:themeColor="text1" w:themeTint="F2"/>
                <w:spacing w:val="-4"/>
              </w:rPr>
              <w:t xml:space="preserve"> (+14,5 % meziročně), jejichž reálná výše již překonala úroveň z 1. čtvrtletí 2019. Tato oblast i letos zásadně ovlivnila růst tržeb v celém odvětví a</w:t>
            </w:r>
            <w:r w:rsidRPr="00D4708D">
              <w:rPr>
                <w:color w:val="0D0D0D" w:themeColor="text1" w:themeTint="F2"/>
                <w:spacing w:val="-4"/>
              </w:rPr>
              <w:t xml:space="preserve">dministrativní </w:t>
            </w:r>
            <w:r>
              <w:rPr>
                <w:color w:val="0D0D0D" w:themeColor="text1" w:themeTint="F2"/>
                <w:spacing w:val="-4"/>
              </w:rPr>
              <w:br/>
            </w:r>
            <w:r w:rsidRPr="00D4708D">
              <w:rPr>
                <w:color w:val="0D0D0D" w:themeColor="text1" w:themeTint="F2"/>
                <w:spacing w:val="-4"/>
              </w:rPr>
              <w:t>a podpůrné činnosti</w:t>
            </w:r>
            <w:r>
              <w:rPr>
                <w:color w:val="0D0D0D" w:themeColor="text1" w:themeTint="F2"/>
                <w:spacing w:val="-4"/>
              </w:rPr>
              <w:t xml:space="preserve"> (+2,5 %). Svižně se zde ovšem zvyšovaly také tržby v oblasti pronájmu a operativního leasingu (za stroje, zařízení či za výrobky</w:t>
            </w:r>
            <w:r w:rsidRPr="00362082">
              <w:rPr>
                <w:color w:val="0D0D0D" w:themeColor="text1" w:themeTint="F2"/>
                <w:spacing w:val="-4"/>
              </w:rPr>
              <w:t xml:space="preserve"> pro osobní potřebu a převážně pro domácnost</w:t>
            </w:r>
            <w:r>
              <w:rPr>
                <w:color w:val="0D0D0D" w:themeColor="text1" w:themeTint="F2"/>
                <w:spacing w:val="-4"/>
              </w:rPr>
              <w:t xml:space="preserve">, např. </w:t>
            </w:r>
            <w:r w:rsidRPr="00362A30">
              <w:rPr>
                <w:color w:val="0D0D0D" w:themeColor="text1" w:themeTint="F2"/>
                <w:spacing w:val="-4"/>
              </w:rPr>
              <w:t>rekreačních a sportovních potřeb</w:t>
            </w:r>
            <w:r>
              <w:rPr>
                <w:color w:val="0D0D0D" w:themeColor="text1" w:themeTint="F2"/>
                <w:spacing w:val="-4"/>
              </w:rPr>
              <w:t xml:space="preserve">). Naopak u řady méně sofistikovaných podnikových služeb přetrvávala slabší poptávka. Šlo především </w:t>
            </w:r>
            <w:r>
              <w:rPr>
                <w:color w:val="0D0D0D" w:themeColor="text1" w:themeTint="F2"/>
                <w:spacing w:val="-4"/>
              </w:rPr>
              <w:br/>
              <w:t>o pracovní agentury, kde tržby klesaly již bezmála tři roky, v 1. čtvrtletí 2024 o více než desetinu</w:t>
            </w:r>
            <w:r w:rsidRPr="002A2FF6">
              <w:rPr>
                <w:rStyle w:val="Znakapoznpodarou"/>
                <w:color w:val="0D0D0D" w:themeColor="text1" w:themeTint="F2"/>
                <w:spacing w:val="-2"/>
              </w:rPr>
              <w:footnoteReference w:id="21"/>
            </w:r>
            <w:r>
              <w:rPr>
                <w:color w:val="0D0D0D" w:themeColor="text1" w:themeTint="F2"/>
                <w:spacing w:val="-4"/>
              </w:rPr>
              <w:t>. Tlak na snižování nákladů i rozvoj digitalizace vyústily ve slabší poptávku po úklidových činnostech či po b</w:t>
            </w:r>
            <w:r w:rsidRPr="00DE1692">
              <w:rPr>
                <w:color w:val="0D0D0D" w:themeColor="text1" w:themeTint="F2"/>
                <w:spacing w:val="-4"/>
              </w:rPr>
              <w:t>ezpečnostní</w:t>
            </w:r>
            <w:r>
              <w:rPr>
                <w:color w:val="0D0D0D" w:themeColor="text1" w:themeTint="F2"/>
                <w:spacing w:val="-4"/>
              </w:rPr>
              <w:t>ch</w:t>
            </w:r>
            <w:r w:rsidRPr="00DE1692">
              <w:rPr>
                <w:color w:val="0D0D0D" w:themeColor="text1" w:themeTint="F2"/>
                <w:spacing w:val="-4"/>
              </w:rPr>
              <w:t xml:space="preserve"> a pátrací</w:t>
            </w:r>
            <w:r>
              <w:rPr>
                <w:color w:val="0D0D0D" w:themeColor="text1" w:themeTint="F2"/>
                <w:spacing w:val="-4"/>
              </w:rPr>
              <w:t>ch činnostech.</w:t>
            </w:r>
          </w:p>
        </w:tc>
      </w:tr>
      <w:tr w:rsidR="00EC6B23" w14:paraId="014D6CF1" w14:textId="77777777" w:rsidTr="002F7D0A">
        <w:trPr>
          <w:trHeight w:val="170"/>
        </w:trPr>
        <w:tc>
          <w:tcPr>
            <w:tcW w:w="1814" w:type="dxa"/>
            <w:shd w:val="clear" w:color="auto" w:fill="auto"/>
            <w:tcMar>
              <w:left w:w="0" w:type="dxa"/>
            </w:tcMar>
          </w:tcPr>
          <w:p w14:paraId="6E223768" w14:textId="77777777" w:rsidR="00EC6B23" w:rsidRDefault="00EC6B23" w:rsidP="002F7D0A">
            <w:pPr>
              <w:pStyle w:val="Marginlie"/>
              <w:rPr>
                <w:color w:val="0D0D0D" w:themeColor="text1" w:themeTint="F2"/>
                <w:spacing w:val="-4"/>
              </w:rPr>
            </w:pPr>
            <w:r>
              <w:rPr>
                <w:color w:val="0D0D0D" w:themeColor="text1" w:themeTint="F2"/>
                <w:spacing w:val="-4"/>
              </w:rPr>
              <w:t>Mírně rostla poptávka po většině sofistikovanějších podnikových služeb.</w:t>
            </w:r>
          </w:p>
        </w:tc>
        <w:tc>
          <w:tcPr>
            <w:tcW w:w="229" w:type="dxa"/>
            <w:shd w:val="clear" w:color="auto" w:fill="auto"/>
            <w:tcMar>
              <w:left w:w="0" w:type="dxa"/>
            </w:tcMar>
          </w:tcPr>
          <w:p w14:paraId="31B47975"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73A44DE6" w14:textId="514EB695" w:rsidR="00EC6B23" w:rsidRDefault="00EC6B23" w:rsidP="00EC6B23">
            <w:pPr>
              <w:spacing w:after="200"/>
              <w:rPr>
                <w:color w:val="0D0D0D" w:themeColor="text1" w:themeTint="F2"/>
                <w:spacing w:val="-4"/>
              </w:rPr>
            </w:pPr>
            <w:r>
              <w:rPr>
                <w:rFonts w:cs="Arial"/>
                <w:color w:val="0D0D0D" w:themeColor="text1" w:themeTint="F2"/>
                <w:spacing w:val="-4"/>
              </w:rPr>
              <w:t>V</w:t>
            </w:r>
            <w:r w:rsidRPr="00EB7A5A">
              <w:rPr>
                <w:color w:val="0D0D0D" w:themeColor="text1" w:themeTint="F2"/>
                <w:spacing w:val="-4"/>
              </w:rPr>
              <w:t> profesních, vědeckých a technických činnost</w:t>
            </w:r>
            <w:r>
              <w:rPr>
                <w:color w:val="0D0D0D" w:themeColor="text1" w:themeTint="F2"/>
                <w:spacing w:val="-4"/>
              </w:rPr>
              <w:t xml:space="preserve">ech, soustřeďujících typicky sofistikovanější služby pro podniky, meziroční růst tržeb letos zvolnil (na 1,7 %). </w:t>
            </w:r>
            <w:r w:rsidRPr="00EB7A5A">
              <w:rPr>
                <w:color w:val="0D0D0D" w:themeColor="text1" w:themeTint="F2"/>
                <w:spacing w:val="-4"/>
              </w:rPr>
              <w:t>Navzd</w:t>
            </w:r>
            <w:r>
              <w:rPr>
                <w:color w:val="0D0D0D" w:themeColor="text1" w:themeTint="F2"/>
                <w:spacing w:val="-4"/>
              </w:rPr>
              <w:t>ory potížím ve stavebnictví přispěly k růstu celého odvětví architektonické a inženýrské činnosti</w:t>
            </w:r>
            <w:r w:rsidRPr="00EB7A5A">
              <w:rPr>
                <w:color w:val="0D0D0D" w:themeColor="text1" w:themeTint="F2"/>
                <w:spacing w:val="-4"/>
              </w:rPr>
              <w:t xml:space="preserve"> (</w:t>
            </w:r>
            <w:r>
              <w:rPr>
                <w:color w:val="0D0D0D" w:themeColor="text1" w:themeTint="F2"/>
                <w:spacing w:val="-4"/>
              </w:rPr>
              <w:t xml:space="preserve">kde se tržby zvýšily o 3,2 %). Dlouhodobý růst poptávky zaznamenaly </w:t>
            </w:r>
            <w:r w:rsidRPr="00EB7A5A">
              <w:rPr>
                <w:color w:val="0D0D0D" w:themeColor="text1" w:themeTint="F2"/>
                <w:spacing w:val="-4"/>
              </w:rPr>
              <w:t>činnosti</w:t>
            </w:r>
            <w:r>
              <w:rPr>
                <w:color w:val="0D0D0D" w:themeColor="text1" w:themeTint="F2"/>
                <w:spacing w:val="-4"/>
              </w:rPr>
              <w:t xml:space="preserve"> vedení podniků a </w:t>
            </w:r>
            <w:r w:rsidRPr="004824CE">
              <w:rPr>
                <w:color w:val="0D0D0D" w:themeColor="text1" w:themeTint="F2"/>
                <w:spacing w:val="-4"/>
              </w:rPr>
              <w:t>poradenství v oblasti řízení</w:t>
            </w:r>
            <w:r>
              <w:rPr>
                <w:color w:val="0D0D0D" w:themeColor="text1" w:themeTint="F2"/>
                <w:spacing w:val="-4"/>
              </w:rPr>
              <w:t>. Ve srovnání s celým loňským rokem zrychlil růst tržeb v </w:t>
            </w:r>
            <w:r w:rsidRPr="00EB7A5A">
              <w:rPr>
                <w:spacing w:val="-4"/>
              </w:rPr>
              <w:t>ostatní</w:t>
            </w:r>
            <w:r>
              <w:rPr>
                <w:spacing w:val="-4"/>
              </w:rPr>
              <w:t>ch</w:t>
            </w:r>
            <w:r w:rsidRPr="00EB7A5A">
              <w:rPr>
                <w:spacing w:val="-4"/>
              </w:rPr>
              <w:t xml:space="preserve"> profesní</w:t>
            </w:r>
            <w:r>
              <w:rPr>
                <w:spacing w:val="-4"/>
              </w:rPr>
              <w:t>ch, vědeckých a technických činnostech</w:t>
            </w:r>
            <w:r w:rsidRPr="00EB7A5A">
              <w:rPr>
                <w:rStyle w:val="Znakapoznpodarou"/>
                <w:spacing w:val="-4"/>
              </w:rPr>
              <w:footnoteReference w:id="22"/>
            </w:r>
            <w:r w:rsidRPr="00EB7A5A">
              <w:rPr>
                <w:spacing w:val="-4"/>
              </w:rPr>
              <w:t xml:space="preserve"> (</w:t>
            </w:r>
            <w:r>
              <w:rPr>
                <w:spacing w:val="-4"/>
              </w:rPr>
              <w:t xml:space="preserve">na </w:t>
            </w:r>
            <w:r>
              <w:rPr>
                <w:color w:val="0D0D0D" w:themeColor="text1" w:themeTint="F2"/>
                <w:spacing w:val="-4"/>
              </w:rPr>
              <w:t>+7</w:t>
            </w:r>
            <w:r>
              <w:rPr>
                <w:spacing w:val="-4"/>
              </w:rPr>
              <w:t xml:space="preserve">,2 %, </w:t>
            </w:r>
            <w:r w:rsidRPr="00EB7A5A">
              <w:rPr>
                <w:spacing w:val="-4"/>
              </w:rPr>
              <w:t xml:space="preserve">oproti roku 2019 </w:t>
            </w:r>
            <w:r>
              <w:rPr>
                <w:spacing w:val="-4"/>
              </w:rPr>
              <w:t>však byla poptávka stále o více než 15</w:t>
            </w:r>
            <w:r w:rsidRPr="00EB7A5A">
              <w:rPr>
                <w:spacing w:val="-4"/>
              </w:rPr>
              <w:t xml:space="preserve"> %</w:t>
            </w:r>
            <w:r>
              <w:rPr>
                <w:spacing w:val="-4"/>
              </w:rPr>
              <w:t xml:space="preserve"> nižší)</w:t>
            </w:r>
            <w:r w:rsidRPr="00EB7A5A">
              <w:rPr>
                <w:spacing w:val="-4"/>
              </w:rPr>
              <w:t>.</w:t>
            </w:r>
            <w:r>
              <w:rPr>
                <w:spacing w:val="-4"/>
              </w:rPr>
              <w:t xml:space="preserve"> Tržby v oblasti reklamy se mírně snížily, naopak poprvé od konce roku 2021 vzrostla poptávka v oblasti p</w:t>
            </w:r>
            <w:r w:rsidRPr="00735AC3">
              <w:rPr>
                <w:spacing w:val="-4"/>
              </w:rPr>
              <w:t>růzkum</w:t>
            </w:r>
            <w:r>
              <w:rPr>
                <w:spacing w:val="-4"/>
              </w:rPr>
              <w:t>u</w:t>
            </w:r>
            <w:r w:rsidRPr="00735AC3">
              <w:rPr>
                <w:spacing w:val="-4"/>
              </w:rPr>
              <w:t xml:space="preserve"> trhu a</w:t>
            </w:r>
            <w:r>
              <w:rPr>
                <w:spacing w:val="-4"/>
              </w:rPr>
              <w:t> </w:t>
            </w:r>
            <w:r w:rsidRPr="00735AC3">
              <w:rPr>
                <w:spacing w:val="-4"/>
              </w:rPr>
              <w:t>veřejného mínění</w:t>
            </w:r>
            <w:r>
              <w:rPr>
                <w:spacing w:val="-4"/>
              </w:rPr>
              <w:t xml:space="preserve">.  </w:t>
            </w:r>
          </w:p>
        </w:tc>
      </w:tr>
      <w:tr w:rsidR="00EC6B23" w14:paraId="09954A67" w14:textId="77777777" w:rsidTr="002F7D0A">
        <w:trPr>
          <w:trHeight w:val="170"/>
        </w:trPr>
        <w:tc>
          <w:tcPr>
            <w:tcW w:w="1814" w:type="dxa"/>
            <w:shd w:val="clear" w:color="auto" w:fill="auto"/>
            <w:tcMar>
              <w:left w:w="0" w:type="dxa"/>
            </w:tcMar>
          </w:tcPr>
          <w:p w14:paraId="1258FABF" w14:textId="77777777" w:rsidR="00EC6B23" w:rsidRDefault="00EC6B23" w:rsidP="002F7D0A">
            <w:pPr>
              <w:pStyle w:val="Marginlie"/>
              <w:rPr>
                <w:color w:val="0D0D0D" w:themeColor="text1" w:themeTint="F2"/>
              </w:rPr>
            </w:pPr>
            <w:r>
              <w:rPr>
                <w:color w:val="0D0D0D" w:themeColor="text1" w:themeTint="F2"/>
                <w:spacing w:val="-6"/>
              </w:rPr>
              <w:t>V</w:t>
            </w:r>
            <w:r w:rsidRPr="00112739">
              <w:rPr>
                <w:color w:val="0D0D0D" w:themeColor="text1" w:themeTint="F2"/>
                <w:spacing w:val="-6"/>
              </w:rPr>
              <w:t> dlouhodobě prosperujících informačních a komunika</w:t>
            </w:r>
            <w:r>
              <w:rPr>
                <w:color w:val="0D0D0D" w:themeColor="text1" w:themeTint="F2"/>
                <w:spacing w:val="-6"/>
              </w:rPr>
              <w:t xml:space="preserve">čních </w:t>
            </w:r>
            <w:r>
              <w:rPr>
                <w:color w:val="0D0D0D" w:themeColor="text1" w:themeTint="F2"/>
                <w:spacing w:val="-6"/>
              </w:rPr>
              <w:lastRenderedPageBreak/>
              <w:t>činnostech tržby pouze stagnovaly.</w:t>
            </w:r>
          </w:p>
          <w:p w14:paraId="7A9836C5" w14:textId="77777777" w:rsidR="00EC6B23" w:rsidRPr="00951B5E" w:rsidRDefault="00EC6B23" w:rsidP="002F7D0A">
            <w:pPr>
              <w:pStyle w:val="Marginlie"/>
              <w:rPr>
                <w:color w:val="0D0D0D" w:themeColor="text1" w:themeTint="F2"/>
              </w:rPr>
            </w:pPr>
          </w:p>
        </w:tc>
        <w:tc>
          <w:tcPr>
            <w:tcW w:w="229" w:type="dxa"/>
            <w:shd w:val="clear" w:color="auto" w:fill="auto"/>
            <w:tcMar>
              <w:left w:w="0" w:type="dxa"/>
            </w:tcMar>
          </w:tcPr>
          <w:p w14:paraId="3C7A108D"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31D9BF86" w14:textId="65AEABDC" w:rsidR="00EC6B23" w:rsidRPr="00AE0F64" w:rsidRDefault="00EC6B23" w:rsidP="002F7D0A">
            <w:pPr>
              <w:spacing w:after="200"/>
              <w:rPr>
                <w:rFonts w:cs="Arial"/>
                <w:color w:val="0D0D0D" w:themeColor="text1" w:themeTint="F2"/>
                <w:spacing w:val="-2"/>
              </w:rPr>
            </w:pPr>
            <w:r>
              <w:rPr>
                <w:rFonts w:cs="Arial"/>
                <w:color w:val="0D0D0D" w:themeColor="text1" w:themeTint="F2"/>
                <w:spacing w:val="-6"/>
              </w:rPr>
              <w:t>V tradičně dynamickém odvětví i</w:t>
            </w:r>
            <w:r w:rsidRPr="00B86BDD">
              <w:rPr>
                <w:rFonts w:cs="Arial"/>
                <w:color w:val="0D0D0D" w:themeColor="text1" w:themeTint="F2"/>
                <w:spacing w:val="-6"/>
              </w:rPr>
              <w:t>nformační a komunikační</w:t>
            </w:r>
            <w:r>
              <w:rPr>
                <w:rFonts w:cs="Arial"/>
                <w:color w:val="0D0D0D" w:themeColor="text1" w:themeTint="F2"/>
                <w:spacing w:val="-6"/>
              </w:rPr>
              <w:t xml:space="preserve"> činnosti tržby v 1. čtvrtletí tržby meziročně spíše stagnovaly (+0,4 %) a navázaly tak na nevýrazné loňské výsledky</w:t>
            </w:r>
            <w:r w:rsidRPr="00F236AB">
              <w:rPr>
                <w:rFonts w:cs="Arial"/>
                <w:color w:val="0D0D0D" w:themeColor="text1" w:themeTint="F2"/>
                <w:spacing w:val="-2"/>
              </w:rPr>
              <w:t xml:space="preserve">. </w:t>
            </w:r>
            <w:r>
              <w:rPr>
                <w:rFonts w:cs="Arial"/>
                <w:color w:val="0D0D0D" w:themeColor="text1" w:themeTint="F2"/>
                <w:spacing w:val="-2"/>
              </w:rPr>
              <w:t>Nejvíce se zvýšila poptávka v tvorbě rozhlasových a televizních</w:t>
            </w:r>
            <w:r w:rsidRPr="009E2693">
              <w:rPr>
                <w:rFonts w:cs="Arial"/>
                <w:color w:val="0D0D0D" w:themeColor="text1" w:themeTint="F2"/>
                <w:spacing w:val="-2"/>
              </w:rPr>
              <w:t xml:space="preserve"> programů a vysílání</w:t>
            </w:r>
            <w:r>
              <w:rPr>
                <w:rFonts w:cs="Arial"/>
                <w:color w:val="0D0D0D" w:themeColor="text1" w:themeTint="F2"/>
                <w:spacing w:val="-2"/>
              </w:rPr>
              <w:t xml:space="preserve"> (+10,6 %), </w:t>
            </w:r>
            <w:r>
              <w:rPr>
                <w:rFonts w:cs="Arial"/>
                <w:color w:val="0D0D0D" w:themeColor="text1" w:themeTint="F2"/>
                <w:spacing w:val="-2"/>
              </w:rPr>
              <w:lastRenderedPageBreak/>
              <w:t>k růstu celého odvětví ovšem přispěla zejména vyšší poptávka v dlouhodobě se rozvíjejících činnostech</w:t>
            </w:r>
            <w:r w:rsidRPr="009E2693">
              <w:rPr>
                <w:rFonts w:cs="Arial"/>
                <w:color w:val="0D0D0D" w:themeColor="text1" w:themeTint="F2"/>
                <w:spacing w:val="-2"/>
              </w:rPr>
              <w:t xml:space="preserve"> v oblasti </w:t>
            </w:r>
            <w:r>
              <w:rPr>
                <w:rFonts w:cs="Arial"/>
                <w:color w:val="0D0D0D" w:themeColor="text1" w:themeTint="F2"/>
                <w:spacing w:val="-2"/>
              </w:rPr>
              <w:t>informačních technologií (</w:t>
            </w:r>
            <w:r w:rsidRPr="004416F5">
              <w:rPr>
                <w:color w:val="0D0D0D" w:themeColor="text1" w:themeTint="F2"/>
                <w:spacing w:val="-6"/>
              </w:rPr>
              <w:t>zahrnujících např. programování či správu počítačového vybavení)</w:t>
            </w:r>
            <w:r>
              <w:rPr>
                <w:color w:val="0D0D0D" w:themeColor="text1" w:themeTint="F2"/>
                <w:spacing w:val="-6"/>
              </w:rPr>
              <w:t xml:space="preserve">. Opačně působil především propad tržeb </w:t>
            </w:r>
            <w:r>
              <w:rPr>
                <w:rFonts w:cs="Arial"/>
                <w:color w:val="0D0D0D" w:themeColor="text1" w:themeTint="F2"/>
                <w:spacing w:val="-6"/>
              </w:rPr>
              <w:t>tzv. filmového a hudebního průmyslu (</w:t>
            </w:r>
            <w:r>
              <w:rPr>
                <w:color w:val="0D0D0D" w:themeColor="text1" w:themeTint="F2"/>
                <w:spacing w:val="-2"/>
              </w:rPr>
              <w:t>−</w:t>
            </w:r>
            <w:r>
              <w:rPr>
                <w:rFonts w:cs="Arial"/>
                <w:color w:val="0D0D0D" w:themeColor="text1" w:themeTint="F2"/>
                <w:spacing w:val="-6"/>
              </w:rPr>
              <w:t>39 %)</w:t>
            </w:r>
            <w:r w:rsidRPr="00951B5E">
              <w:rPr>
                <w:rStyle w:val="Znakapoznpodarou"/>
                <w:color w:val="0D0D0D" w:themeColor="text1" w:themeTint="F2"/>
                <w:spacing w:val="-8"/>
              </w:rPr>
              <w:footnoteReference w:id="23"/>
            </w:r>
            <w:r>
              <w:rPr>
                <w:rFonts w:cs="Arial"/>
                <w:color w:val="0D0D0D" w:themeColor="text1" w:themeTint="F2"/>
                <w:spacing w:val="-6"/>
              </w:rPr>
              <w:t xml:space="preserve">, který souvisel primárně s nepravidelnou fakturací (mohl být ovlivněn také nepřímými dopady delší stávky v Hollywoodu z konce loňského roku). S nižší poptávkou se vyrovnávaly také </w:t>
            </w:r>
            <w:r>
              <w:rPr>
                <w:color w:val="0D0D0D" w:themeColor="text1" w:themeTint="F2"/>
                <w:spacing w:val="-4"/>
              </w:rPr>
              <w:t>informační činnosti</w:t>
            </w:r>
            <w:r>
              <w:rPr>
                <w:rStyle w:val="Znakapoznpodarou"/>
                <w:color w:val="0D0D0D" w:themeColor="text1" w:themeTint="F2"/>
                <w:spacing w:val="-4"/>
              </w:rPr>
              <w:footnoteReference w:id="24"/>
            </w:r>
            <w:r>
              <w:rPr>
                <w:color w:val="0D0D0D" w:themeColor="text1" w:themeTint="F2"/>
                <w:spacing w:val="-4"/>
              </w:rPr>
              <w:t>, tržby zde klesly šestý kvartál v řadě (aktuálně o 1,1 %). Zhruba o</w:t>
            </w:r>
            <w:r>
              <w:rPr>
                <w:rFonts w:cs="Arial"/>
                <w:color w:val="0D0D0D" w:themeColor="text1" w:themeTint="F2"/>
                <w:spacing w:val="-6"/>
              </w:rPr>
              <w:t> </w:t>
            </w:r>
            <w:r>
              <w:rPr>
                <w:color w:val="0D0D0D" w:themeColor="text1" w:themeTint="F2"/>
                <w:spacing w:val="-4"/>
              </w:rPr>
              <w:t xml:space="preserve">5 % se letos, obdobně jako za celý loňský rok, snížily tržby </w:t>
            </w:r>
            <w:r w:rsidRPr="00F236AB">
              <w:rPr>
                <w:rFonts w:cs="Arial"/>
                <w:color w:val="0D0D0D" w:themeColor="text1" w:themeTint="F2"/>
                <w:spacing w:val="-2"/>
              </w:rPr>
              <w:t>za vyda</w:t>
            </w:r>
            <w:r>
              <w:rPr>
                <w:rFonts w:cs="Arial"/>
                <w:color w:val="0D0D0D" w:themeColor="text1" w:themeTint="F2"/>
                <w:spacing w:val="-2"/>
              </w:rPr>
              <w:t>vatelské činnosti a nacházely se tak mírně pod úrovní z počátku roku 2019.</w:t>
            </w:r>
          </w:p>
        </w:tc>
      </w:tr>
      <w:tr w:rsidR="00EC6B23" w14:paraId="7C787339" w14:textId="77777777" w:rsidTr="002F7D0A">
        <w:trPr>
          <w:trHeight w:val="170"/>
        </w:trPr>
        <w:tc>
          <w:tcPr>
            <w:tcW w:w="1814" w:type="dxa"/>
            <w:shd w:val="clear" w:color="auto" w:fill="auto"/>
            <w:tcMar>
              <w:left w:w="0" w:type="dxa"/>
            </w:tcMar>
          </w:tcPr>
          <w:p w14:paraId="3F541946" w14:textId="77777777" w:rsidR="00EC6B23" w:rsidRDefault="00EC6B23" w:rsidP="002F7D0A">
            <w:pPr>
              <w:pStyle w:val="Marginlie"/>
            </w:pPr>
          </w:p>
        </w:tc>
        <w:tc>
          <w:tcPr>
            <w:tcW w:w="229" w:type="dxa"/>
            <w:shd w:val="clear" w:color="auto" w:fill="auto"/>
            <w:tcMar>
              <w:left w:w="0" w:type="dxa"/>
            </w:tcMar>
          </w:tcPr>
          <w:p w14:paraId="185A73B0" w14:textId="77777777" w:rsidR="00EC6B23" w:rsidRDefault="00EC6B23" w:rsidP="002F7D0A">
            <w:pPr>
              <w:pStyle w:val="Textpoznpodarou"/>
              <w:jc w:val="both"/>
              <w:rPr>
                <w:spacing w:val="-4"/>
              </w:rPr>
            </w:pPr>
          </w:p>
        </w:tc>
        <w:tc>
          <w:tcPr>
            <w:tcW w:w="7596" w:type="dxa"/>
            <w:shd w:val="clear" w:color="auto" w:fill="auto"/>
            <w:tcMar>
              <w:left w:w="0" w:type="dxa"/>
            </w:tcMar>
          </w:tcPr>
          <w:p w14:paraId="6114F7EF" w14:textId="77777777" w:rsidR="00EC6B23" w:rsidRPr="00C32591" w:rsidRDefault="00EC6B23" w:rsidP="002F7D0A">
            <w:pPr>
              <w:spacing w:after="40"/>
              <w:rPr>
                <w:b/>
                <w:spacing w:val="-4"/>
              </w:rPr>
            </w:pPr>
            <w:r w:rsidRPr="00C32591">
              <w:rPr>
                <w:b/>
                <w:spacing w:val="-4"/>
              </w:rPr>
              <w:t xml:space="preserve">Graf č. 7 </w:t>
            </w:r>
            <w:r w:rsidRPr="00C32591">
              <w:rPr>
                <w:b/>
                <w:bCs/>
                <w:spacing w:val="-4"/>
              </w:rPr>
              <w:t>Příspěvky dílčích odvětví k meziroční změně tržeb ve službách*</w:t>
            </w:r>
            <w:r w:rsidRPr="00C32591">
              <w:rPr>
                <w:b/>
                <w:spacing w:val="-4"/>
              </w:rPr>
              <w:br/>
            </w:r>
            <w:r w:rsidRPr="00C32591">
              <w:rPr>
                <w:spacing w:val="-4"/>
              </w:rPr>
              <w:t>(reálně, v p. b),</w:t>
            </w:r>
            <w:r w:rsidRPr="00C32591">
              <w:rPr>
                <w:b/>
                <w:spacing w:val="-4"/>
              </w:rPr>
              <w:t xml:space="preserve"> </w:t>
            </w:r>
            <w:r w:rsidRPr="00C32591">
              <w:rPr>
                <w:b/>
                <w:bCs/>
                <w:spacing w:val="-4"/>
              </w:rPr>
              <w:t xml:space="preserve">celkové tržby ve službách* </w:t>
            </w:r>
            <w:r>
              <w:rPr>
                <w:spacing w:val="-4"/>
              </w:rPr>
              <w:t>(báze 2021</w:t>
            </w:r>
            <w:r w:rsidRPr="00C32591">
              <w:rPr>
                <w:spacing w:val="-4"/>
              </w:rPr>
              <w:t>=100, pravá osa),</w:t>
            </w:r>
            <w:r w:rsidRPr="00C32591">
              <w:rPr>
                <w:b/>
                <w:spacing w:val="-4"/>
              </w:rPr>
              <w:t xml:space="preserve"> </w:t>
            </w:r>
            <w:r w:rsidRPr="00C32591">
              <w:rPr>
                <w:b/>
                <w:bCs/>
                <w:spacing w:val="-4"/>
              </w:rPr>
              <w:t>saldo důvěry podnikatelů ve službách**</w:t>
            </w:r>
            <w:r w:rsidRPr="00C32591">
              <w:rPr>
                <w:b/>
                <w:spacing w:val="-4"/>
              </w:rPr>
              <w:t xml:space="preserve"> </w:t>
            </w:r>
            <w:r w:rsidRPr="00C32591">
              <w:rPr>
                <w:spacing w:val="-4"/>
              </w:rPr>
              <w:t>(v p. b., pravá osa)</w:t>
            </w:r>
            <w:r>
              <w:rPr>
                <w:b/>
                <w:bCs/>
                <w:spacing w:val="-4"/>
              </w:rPr>
              <w:t xml:space="preserve"> a </w:t>
            </w:r>
            <w:r w:rsidRPr="00C32591">
              <w:rPr>
                <w:b/>
                <w:bCs/>
                <w:spacing w:val="-4"/>
              </w:rPr>
              <w:t>bariéry růstu**</w:t>
            </w:r>
            <w:r w:rsidRPr="00C32591">
              <w:rPr>
                <w:b/>
                <w:spacing w:val="-4"/>
              </w:rPr>
              <w:t xml:space="preserve"> </w:t>
            </w:r>
            <w:r w:rsidRPr="00C32591">
              <w:rPr>
                <w:spacing w:val="-4"/>
              </w:rPr>
              <w:t xml:space="preserve">(v %, pravá osa) </w:t>
            </w:r>
          </w:p>
        </w:tc>
      </w:tr>
      <w:tr w:rsidR="00EC6B23" w14:paraId="47C5642A" w14:textId="77777777" w:rsidTr="002F7D0A">
        <w:tblPrEx>
          <w:tblCellMar>
            <w:left w:w="70" w:type="dxa"/>
            <w:right w:w="70" w:type="dxa"/>
          </w:tblCellMar>
        </w:tblPrEx>
        <w:trPr>
          <w:trHeight w:val="170"/>
        </w:trPr>
        <w:tc>
          <w:tcPr>
            <w:tcW w:w="1814" w:type="dxa"/>
            <w:shd w:val="clear" w:color="auto" w:fill="auto"/>
          </w:tcPr>
          <w:p w14:paraId="33E94506" w14:textId="77777777" w:rsidR="00EC6B23" w:rsidRDefault="00EC6B23" w:rsidP="002F7D0A">
            <w:pPr>
              <w:pStyle w:val="Marginlie"/>
            </w:pPr>
          </w:p>
        </w:tc>
        <w:tc>
          <w:tcPr>
            <w:tcW w:w="229" w:type="dxa"/>
            <w:shd w:val="clear" w:color="auto" w:fill="auto"/>
          </w:tcPr>
          <w:p w14:paraId="1709BFA3" w14:textId="77777777" w:rsidR="00EC6B23" w:rsidRDefault="00EC6B23" w:rsidP="002F7D0A">
            <w:pPr>
              <w:pStyle w:val="Textpoznpodarou"/>
              <w:jc w:val="both"/>
              <w:rPr>
                <w:spacing w:val="-4"/>
              </w:rPr>
            </w:pPr>
          </w:p>
        </w:tc>
        <w:tc>
          <w:tcPr>
            <w:tcW w:w="7596" w:type="dxa"/>
            <w:shd w:val="clear" w:color="auto" w:fill="auto"/>
          </w:tcPr>
          <w:p w14:paraId="6C099C7D" w14:textId="77777777" w:rsidR="00EC6B23" w:rsidRPr="004C1143" w:rsidRDefault="00EC6B23" w:rsidP="002F7D0A">
            <w:pPr>
              <w:spacing w:after="0"/>
              <w:rPr>
                <w:rFonts w:cs="Arial"/>
                <w:sz w:val="14"/>
                <w:szCs w:val="14"/>
              </w:rPr>
            </w:pPr>
            <w:r>
              <w:rPr>
                <w:noProof/>
              </w:rPr>
              <w:drawing>
                <wp:inline distT="0" distB="0" distL="0" distR="0" wp14:anchorId="28099386" wp14:editId="126D403E">
                  <wp:extent cx="4725619" cy="3636645"/>
                  <wp:effectExtent l="0" t="0" r="0" b="190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EC6B23" w14:paraId="1BCCDC6C" w14:textId="77777777" w:rsidTr="002F7D0A">
        <w:trPr>
          <w:trHeight w:val="170"/>
        </w:trPr>
        <w:tc>
          <w:tcPr>
            <w:tcW w:w="1814" w:type="dxa"/>
            <w:shd w:val="clear" w:color="auto" w:fill="auto"/>
            <w:tcMar>
              <w:left w:w="0" w:type="dxa"/>
            </w:tcMar>
          </w:tcPr>
          <w:p w14:paraId="7AA089BA" w14:textId="77777777" w:rsidR="00EC6B23" w:rsidRDefault="00EC6B23" w:rsidP="002F7D0A">
            <w:pPr>
              <w:pStyle w:val="Marginlie"/>
            </w:pPr>
          </w:p>
        </w:tc>
        <w:tc>
          <w:tcPr>
            <w:tcW w:w="229" w:type="dxa"/>
            <w:shd w:val="clear" w:color="auto" w:fill="auto"/>
            <w:tcMar>
              <w:left w:w="0" w:type="dxa"/>
            </w:tcMar>
          </w:tcPr>
          <w:p w14:paraId="7BD0A90A" w14:textId="77777777" w:rsidR="00EC6B23" w:rsidRDefault="00EC6B23" w:rsidP="002F7D0A">
            <w:pPr>
              <w:pStyle w:val="Textpoznpodarou"/>
              <w:jc w:val="both"/>
              <w:rPr>
                <w:spacing w:val="-4"/>
              </w:rPr>
            </w:pPr>
          </w:p>
        </w:tc>
        <w:tc>
          <w:tcPr>
            <w:tcW w:w="7596" w:type="dxa"/>
            <w:shd w:val="clear" w:color="auto" w:fill="auto"/>
            <w:tcMar>
              <w:left w:w="0" w:type="dxa"/>
            </w:tcMar>
          </w:tcPr>
          <w:p w14:paraId="0EF1EA3C" w14:textId="77777777" w:rsidR="00EC6B23" w:rsidRPr="00C32591" w:rsidRDefault="00EC6B23" w:rsidP="002F7D0A">
            <w:pPr>
              <w:spacing w:after="0" w:line="240" w:lineRule="auto"/>
              <w:rPr>
                <w:rFonts w:cs="Arial"/>
                <w:spacing w:val="-4"/>
                <w:sz w:val="14"/>
                <w:szCs w:val="14"/>
              </w:rPr>
            </w:pPr>
            <w:r w:rsidRPr="00C32591">
              <w:rPr>
                <w:rFonts w:cs="Arial"/>
                <w:spacing w:val="-4"/>
                <w:sz w:val="14"/>
                <w:szCs w:val="14"/>
              </w:rPr>
              <w:t>Poznámka: všechny údaje jsou sezónně očištěny, pouze příspěvky dílčích odvětví k růstu tržeb jsou očištěny jen o kalendářní vlivy.</w:t>
            </w:r>
          </w:p>
          <w:p w14:paraId="71B3AE2D" w14:textId="77777777" w:rsidR="00EC6B23" w:rsidRPr="00C32591" w:rsidRDefault="00EC6B23" w:rsidP="002F7D0A">
            <w:pPr>
              <w:spacing w:after="0" w:line="240" w:lineRule="auto"/>
              <w:rPr>
                <w:rFonts w:cs="Arial"/>
                <w:sz w:val="14"/>
                <w:szCs w:val="14"/>
              </w:rPr>
            </w:pPr>
            <w:r w:rsidRPr="00C32591">
              <w:rPr>
                <w:rFonts w:cs="Arial"/>
                <w:sz w:val="14"/>
                <w:szCs w:val="14"/>
              </w:rPr>
              <w:t>*Bez odvětví obchodu, peněžnictví, pojišťovnictví, vědy, výzkumu a veřejných služeb.</w:t>
            </w:r>
          </w:p>
          <w:p w14:paraId="152DDEE6" w14:textId="77777777" w:rsidR="00EC6B23" w:rsidRPr="004C1143" w:rsidRDefault="00EC6B23" w:rsidP="002F7D0A">
            <w:pPr>
              <w:spacing w:after="200" w:line="240" w:lineRule="auto"/>
              <w:rPr>
                <w:rFonts w:cs="Arial"/>
                <w:sz w:val="14"/>
                <w:szCs w:val="14"/>
              </w:rPr>
            </w:pPr>
            <w:r w:rsidRPr="00052ADA">
              <w:rPr>
                <w:rFonts w:cs="Arial"/>
                <w:sz w:val="14"/>
                <w:szCs w:val="14"/>
              </w:rPr>
              <w:t>.**</w:t>
            </w:r>
            <w:r w:rsidRPr="00052ADA">
              <w:rPr>
                <w:rFonts w:cs="Arial"/>
                <w:spacing w:val="-2"/>
                <w:sz w:val="14"/>
                <w:szCs w:val="14"/>
              </w:rPr>
              <w:t>Zahrnuje i finanční sektor. Saldo důvěry podnikatelů i barié</w:t>
            </w:r>
            <w:r>
              <w:rPr>
                <w:rFonts w:cs="Arial"/>
                <w:spacing w:val="-2"/>
                <w:sz w:val="14"/>
                <w:szCs w:val="14"/>
              </w:rPr>
              <w:t xml:space="preserve">ry růstu </w:t>
            </w:r>
            <w:r w:rsidRPr="00052ADA">
              <w:rPr>
                <w:rFonts w:cs="Arial"/>
                <w:spacing w:val="-2"/>
                <w:sz w:val="14"/>
                <w:szCs w:val="14"/>
              </w:rPr>
              <w:t xml:space="preserve">vyjadřují stav v prvním (bariéry růstu), resp. ve druhém měsíci daného čtvrtletí (saldo důvěry). </w:t>
            </w:r>
            <w:r w:rsidRPr="00052ADA">
              <w:rPr>
                <w:rFonts w:cs="Arial"/>
                <w:sz w:val="14"/>
                <w:szCs w:val="14"/>
              </w:rPr>
              <w:t>Podniky mohly uvést více hlavních bariér současně.</w:t>
            </w:r>
            <w:r>
              <w:rPr>
                <w:rFonts w:cs="Arial"/>
                <w:sz w:val="14"/>
                <w:szCs w:val="14"/>
              </w:rPr>
              <w:t xml:space="preserve">                    </w:t>
            </w:r>
            <w:r w:rsidRPr="00052ADA">
              <w:rPr>
                <w:rFonts w:cs="Arial"/>
                <w:sz w:val="14"/>
                <w:szCs w:val="14"/>
              </w:rPr>
              <w:t xml:space="preserve">    Zdroj: ČSÚ, Eurostat</w:t>
            </w:r>
          </w:p>
        </w:tc>
      </w:tr>
      <w:tr w:rsidR="00EC6B23" w14:paraId="15A669BC" w14:textId="77777777" w:rsidTr="002F7D0A">
        <w:trPr>
          <w:trHeight w:val="170"/>
        </w:trPr>
        <w:tc>
          <w:tcPr>
            <w:tcW w:w="1814" w:type="dxa"/>
            <w:shd w:val="clear" w:color="auto" w:fill="auto"/>
            <w:tcMar>
              <w:left w:w="0" w:type="dxa"/>
            </w:tcMar>
          </w:tcPr>
          <w:p w14:paraId="1D30DDEC" w14:textId="77777777" w:rsidR="00EC6B23" w:rsidRDefault="00EC6B23" w:rsidP="002F7D0A">
            <w:pPr>
              <w:pStyle w:val="Marginlie"/>
              <w:rPr>
                <w:color w:val="0D0D0D" w:themeColor="text1" w:themeTint="F2"/>
                <w:spacing w:val="-6"/>
              </w:rPr>
            </w:pPr>
            <w:r>
              <w:rPr>
                <w:color w:val="0D0D0D" w:themeColor="text1" w:themeTint="F2"/>
                <w:spacing w:val="-6"/>
              </w:rPr>
              <w:t>Cenová stabilizace v ekonomice vedla rychle ke zlepšení spotřebitelské důvěry. Posílil i optimismus obchodníků.</w:t>
            </w:r>
          </w:p>
          <w:p w14:paraId="76BE7388" w14:textId="77777777" w:rsidR="00EC6B23" w:rsidRDefault="00EC6B23" w:rsidP="002F7D0A">
            <w:pPr>
              <w:pStyle w:val="Marginlie"/>
              <w:rPr>
                <w:color w:val="0D0D0D" w:themeColor="text1" w:themeTint="F2"/>
                <w:spacing w:val="-6"/>
              </w:rPr>
            </w:pPr>
          </w:p>
          <w:p w14:paraId="03632F95" w14:textId="77777777" w:rsidR="00EC6B23" w:rsidRDefault="00EC6B23" w:rsidP="002F7D0A">
            <w:pPr>
              <w:pStyle w:val="Marginlie"/>
              <w:rPr>
                <w:color w:val="0D0D0D" w:themeColor="text1" w:themeTint="F2"/>
                <w:spacing w:val="-6"/>
              </w:rPr>
            </w:pPr>
          </w:p>
          <w:p w14:paraId="0F250E52" w14:textId="77777777" w:rsidR="00EC6B23" w:rsidRDefault="00EC6B23" w:rsidP="002F7D0A">
            <w:pPr>
              <w:pStyle w:val="Marginlie"/>
              <w:rPr>
                <w:color w:val="0D0D0D" w:themeColor="text1" w:themeTint="F2"/>
                <w:spacing w:val="-6"/>
              </w:rPr>
            </w:pPr>
          </w:p>
          <w:p w14:paraId="1BA31331" w14:textId="77777777" w:rsidR="00EC6B23" w:rsidRDefault="00EC6B23" w:rsidP="002F7D0A">
            <w:pPr>
              <w:pStyle w:val="Marginlie"/>
              <w:rPr>
                <w:color w:val="0D0D0D" w:themeColor="text1" w:themeTint="F2"/>
                <w:spacing w:val="-6"/>
              </w:rPr>
            </w:pPr>
          </w:p>
          <w:p w14:paraId="5A240981" w14:textId="77777777" w:rsidR="00EC6B23" w:rsidRDefault="00EC6B23" w:rsidP="002F7D0A">
            <w:pPr>
              <w:pStyle w:val="Marginlie"/>
              <w:rPr>
                <w:color w:val="0D0D0D" w:themeColor="text1" w:themeTint="F2"/>
                <w:spacing w:val="-6"/>
              </w:rPr>
            </w:pPr>
          </w:p>
          <w:p w14:paraId="338D7760" w14:textId="77777777" w:rsidR="00EC6B23" w:rsidRDefault="00EC6B23" w:rsidP="002F7D0A">
            <w:pPr>
              <w:pStyle w:val="Marginlie"/>
              <w:rPr>
                <w:color w:val="0D0D0D" w:themeColor="text1" w:themeTint="F2"/>
                <w:spacing w:val="-6"/>
              </w:rPr>
            </w:pPr>
          </w:p>
          <w:p w14:paraId="55296BB9" w14:textId="77777777" w:rsidR="00EC6B23" w:rsidRPr="00112739" w:rsidRDefault="00EC6B23" w:rsidP="002F7D0A">
            <w:pPr>
              <w:pStyle w:val="Marginlie"/>
              <w:rPr>
                <w:color w:val="0D0D0D" w:themeColor="text1" w:themeTint="F2"/>
                <w:spacing w:val="-6"/>
              </w:rPr>
            </w:pPr>
            <w:r>
              <w:rPr>
                <w:color w:val="0D0D0D" w:themeColor="text1" w:themeTint="F2"/>
                <w:spacing w:val="-6"/>
              </w:rPr>
              <w:lastRenderedPageBreak/>
              <w:t>Maloobchodní tržby mezikvartálně vzrostly již potřetí v řadě, úrovně z roku 2019 ale nedosáhly.</w:t>
            </w:r>
          </w:p>
        </w:tc>
        <w:tc>
          <w:tcPr>
            <w:tcW w:w="229" w:type="dxa"/>
            <w:shd w:val="clear" w:color="auto" w:fill="auto"/>
            <w:tcMar>
              <w:left w:w="0" w:type="dxa"/>
            </w:tcMar>
          </w:tcPr>
          <w:p w14:paraId="31168DD8"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494C780D" w14:textId="77777777" w:rsidR="00EC6B23" w:rsidRPr="00832E72" w:rsidRDefault="00EC6B23" w:rsidP="002F7D0A">
            <w:pPr>
              <w:spacing w:after="200"/>
              <w:rPr>
                <w:rFonts w:cs="Arial"/>
                <w:color w:val="0D0D0D" w:themeColor="text1" w:themeTint="F2"/>
                <w:spacing w:val="-4"/>
              </w:rPr>
            </w:pPr>
            <w:r w:rsidRPr="00832E72">
              <w:rPr>
                <w:rFonts w:cs="Arial"/>
                <w:color w:val="0D0D0D" w:themeColor="text1" w:themeTint="F2"/>
                <w:spacing w:val="-4"/>
              </w:rPr>
              <w:t xml:space="preserve">Rovněž vývoj maloobchodu zaznamenal v posledních měsících pozitivní obrat. Jeho klíčovým předpokladem byl návrat spotřebitelské inflace do běžných růstových pásem spojený navíc s patrně dočasným, avšak relativně významným poklesem cen potravin. To spolu s dobrou kondicí trhu práce vedlo </w:t>
            </w:r>
            <w:r>
              <w:rPr>
                <w:rFonts w:cs="Arial"/>
                <w:color w:val="0D0D0D" w:themeColor="text1" w:themeTint="F2"/>
                <w:spacing w:val="-4"/>
              </w:rPr>
              <w:t xml:space="preserve">rychle </w:t>
            </w:r>
            <w:r w:rsidRPr="00832E72">
              <w:rPr>
                <w:rFonts w:cs="Arial"/>
                <w:color w:val="0D0D0D" w:themeColor="text1" w:themeTint="F2"/>
                <w:spacing w:val="-4"/>
              </w:rPr>
              <w:t>k opětovnému růstu kupní síly domácností a zlepšení jejich celkové důvěry v ekonomiku. Ta vystoupala letos v dubnu nejvýše za poslední dva a půl roku a zároveň mírně překonala i d</w:t>
            </w:r>
            <w:r>
              <w:rPr>
                <w:rFonts w:cs="Arial"/>
                <w:color w:val="0D0D0D" w:themeColor="text1" w:themeTint="F2"/>
                <w:spacing w:val="-4"/>
              </w:rPr>
              <w:t xml:space="preserve">louhodobý průměr (z období let 2003 až </w:t>
            </w:r>
            <w:r w:rsidRPr="00832E72">
              <w:rPr>
                <w:rFonts w:cs="Arial"/>
                <w:color w:val="0D0D0D" w:themeColor="text1" w:themeTint="F2"/>
                <w:spacing w:val="-4"/>
              </w:rPr>
              <w:t xml:space="preserve">2023). Souběžně s tím posiloval i optimismus obchodníků, </w:t>
            </w:r>
            <w:r>
              <w:rPr>
                <w:rFonts w:cs="Arial"/>
                <w:color w:val="0D0D0D" w:themeColor="text1" w:themeTint="F2"/>
                <w:spacing w:val="-4"/>
              </w:rPr>
              <w:t>úroveň jejich důvěry v ekonomiku</w:t>
            </w:r>
            <w:r w:rsidRPr="00832E72">
              <w:rPr>
                <w:rFonts w:cs="Arial"/>
                <w:color w:val="0D0D0D" w:themeColor="text1" w:themeTint="F2"/>
                <w:spacing w:val="-4"/>
              </w:rPr>
              <w:t xml:space="preserve"> </w:t>
            </w:r>
            <w:r>
              <w:rPr>
                <w:rFonts w:cs="Arial"/>
                <w:color w:val="0D0D0D" w:themeColor="text1" w:themeTint="F2"/>
                <w:spacing w:val="-4"/>
              </w:rPr>
              <w:t xml:space="preserve">tak </w:t>
            </w:r>
            <w:r w:rsidRPr="00832E72">
              <w:rPr>
                <w:rFonts w:cs="Arial"/>
                <w:color w:val="0D0D0D" w:themeColor="text1" w:themeTint="F2"/>
                <w:spacing w:val="-4"/>
              </w:rPr>
              <w:t xml:space="preserve">byla v květnu nejvyšší za posledních dvanáct měsíců. </w:t>
            </w:r>
            <w:r>
              <w:rPr>
                <w:rFonts w:cs="Arial"/>
                <w:color w:val="0D0D0D" w:themeColor="text1" w:themeTint="F2"/>
                <w:spacing w:val="-4"/>
              </w:rPr>
              <w:t>K oživení maloobchodu přispělo rovněž</w:t>
            </w:r>
            <w:r w:rsidRPr="00832E72">
              <w:rPr>
                <w:rFonts w:cs="Arial"/>
                <w:color w:val="0D0D0D" w:themeColor="text1" w:themeTint="F2"/>
                <w:spacing w:val="-4"/>
              </w:rPr>
              <w:t xml:space="preserve"> znatelné oživení příjezdového cestovního ruchu. </w:t>
            </w:r>
            <w:r w:rsidRPr="00832E72">
              <w:rPr>
                <w:rFonts w:cs="Arial"/>
                <w:color w:val="0D0D0D" w:themeColor="text1" w:themeTint="F2"/>
                <w:spacing w:val="-4"/>
                <w:szCs w:val="20"/>
              </w:rPr>
              <w:t>Tržby v maloobchodu</w:t>
            </w:r>
            <w:r w:rsidRPr="00832E72">
              <w:rPr>
                <w:rStyle w:val="Znakapoznpodarou"/>
                <w:color w:val="0D0D0D" w:themeColor="text1" w:themeTint="F2"/>
                <w:spacing w:val="-4"/>
              </w:rPr>
              <w:footnoteReference w:id="25"/>
            </w:r>
            <w:r w:rsidRPr="00832E72">
              <w:rPr>
                <w:rFonts w:cs="Arial"/>
                <w:color w:val="0D0D0D" w:themeColor="text1" w:themeTint="F2"/>
                <w:spacing w:val="-4"/>
                <w:szCs w:val="20"/>
              </w:rPr>
              <w:t xml:space="preserve"> po sedmi čtvrtletích nepříznivého vývoje vykázaly již ve 3. čtvrtletí 202</w:t>
            </w:r>
            <w:r>
              <w:rPr>
                <w:rFonts w:cs="Arial"/>
                <w:color w:val="0D0D0D" w:themeColor="text1" w:themeTint="F2"/>
                <w:spacing w:val="-4"/>
                <w:szCs w:val="20"/>
              </w:rPr>
              <w:t xml:space="preserve">3 </w:t>
            </w:r>
            <w:r>
              <w:rPr>
                <w:rFonts w:cs="Arial"/>
                <w:color w:val="0D0D0D" w:themeColor="text1" w:themeTint="F2"/>
                <w:spacing w:val="-4"/>
                <w:szCs w:val="20"/>
              </w:rPr>
              <w:lastRenderedPageBreak/>
              <w:t>mírný mezikvartální růst (+0,7</w:t>
            </w:r>
            <w:r w:rsidRPr="00832E72">
              <w:rPr>
                <w:rFonts w:cs="Arial"/>
                <w:color w:val="0D0D0D" w:themeColor="text1" w:themeTint="F2"/>
                <w:spacing w:val="-4"/>
                <w:szCs w:val="20"/>
              </w:rPr>
              <w:t xml:space="preserve"> %), jenž následně posiloval a na p</w:t>
            </w:r>
            <w:r>
              <w:rPr>
                <w:rFonts w:cs="Arial"/>
                <w:color w:val="0D0D0D" w:themeColor="text1" w:themeTint="F2"/>
                <w:spacing w:val="-4"/>
                <w:szCs w:val="20"/>
              </w:rPr>
              <w:t>očátku letošního roku dosáhl 2,0</w:t>
            </w:r>
            <w:r w:rsidRPr="00832E72">
              <w:rPr>
                <w:rFonts w:cs="Arial"/>
                <w:color w:val="0D0D0D" w:themeColor="text1" w:themeTint="F2"/>
                <w:spacing w:val="-4"/>
                <w:szCs w:val="20"/>
              </w:rPr>
              <w:t xml:space="preserve"> %. I přesto aktuální úroveň tržeb za svým předkrizovým maximem </w:t>
            </w:r>
            <w:r>
              <w:rPr>
                <w:rFonts w:cs="Arial"/>
                <w:color w:val="0D0D0D" w:themeColor="text1" w:themeTint="F2"/>
                <w:spacing w:val="-4"/>
                <w:szCs w:val="20"/>
              </w:rPr>
              <w:t>(ze 4. čtvrtletí 2019) skoro o</w:t>
            </w:r>
            <w:r w:rsidRPr="00832E72">
              <w:rPr>
                <w:rFonts w:cs="Arial"/>
                <w:color w:val="0D0D0D" w:themeColor="text1" w:themeTint="F2"/>
                <w:spacing w:val="-4"/>
                <w:szCs w:val="20"/>
              </w:rPr>
              <w:t xml:space="preserve"> 4 % zaostávala.</w:t>
            </w:r>
          </w:p>
        </w:tc>
      </w:tr>
      <w:tr w:rsidR="00EC6B23" w14:paraId="62FC64B8" w14:textId="77777777" w:rsidTr="002F7D0A">
        <w:trPr>
          <w:trHeight w:val="155"/>
        </w:trPr>
        <w:tc>
          <w:tcPr>
            <w:tcW w:w="1814" w:type="dxa"/>
            <w:vMerge w:val="restart"/>
            <w:shd w:val="clear" w:color="auto" w:fill="auto"/>
            <w:tcMar>
              <w:left w:w="0" w:type="dxa"/>
            </w:tcMar>
          </w:tcPr>
          <w:p w14:paraId="2C331110" w14:textId="77777777" w:rsidR="00EC6B23" w:rsidRDefault="00EC6B23" w:rsidP="002F7D0A">
            <w:pPr>
              <w:pStyle w:val="Marginlie"/>
            </w:pPr>
          </w:p>
        </w:tc>
        <w:tc>
          <w:tcPr>
            <w:tcW w:w="229" w:type="dxa"/>
            <w:vMerge w:val="restart"/>
            <w:shd w:val="clear" w:color="auto" w:fill="auto"/>
            <w:tcMar>
              <w:left w:w="0" w:type="dxa"/>
            </w:tcMar>
          </w:tcPr>
          <w:p w14:paraId="3E225C64" w14:textId="77777777" w:rsidR="00EC6B23" w:rsidRDefault="00EC6B23" w:rsidP="002F7D0A">
            <w:pPr>
              <w:pStyle w:val="Textpoznpodarou"/>
              <w:jc w:val="both"/>
              <w:rPr>
                <w:spacing w:val="-4"/>
              </w:rPr>
            </w:pPr>
          </w:p>
        </w:tc>
        <w:tc>
          <w:tcPr>
            <w:tcW w:w="7596" w:type="dxa"/>
            <w:shd w:val="clear" w:color="auto" w:fill="auto"/>
            <w:tcMar>
              <w:left w:w="0" w:type="dxa"/>
            </w:tcMar>
          </w:tcPr>
          <w:p w14:paraId="473F5067" w14:textId="77777777" w:rsidR="00EC6B23" w:rsidRPr="00832E72" w:rsidRDefault="00EC6B23" w:rsidP="002F7D0A">
            <w:pPr>
              <w:spacing w:after="0"/>
              <w:rPr>
                <w:rFonts w:cs="Arial"/>
                <w:color w:val="0D0D0D" w:themeColor="text1" w:themeTint="F2"/>
                <w:spacing w:val="-4"/>
                <w:szCs w:val="20"/>
              </w:rPr>
            </w:pPr>
            <w:r>
              <w:rPr>
                <w:b/>
              </w:rPr>
              <w:t>Graf č. 8</w:t>
            </w:r>
            <w:r w:rsidRPr="00F0005D">
              <w:rPr>
                <w:b/>
              </w:rPr>
              <w:t xml:space="preserve"> </w:t>
            </w:r>
            <w:r w:rsidRPr="004405E2">
              <w:rPr>
                <w:rFonts w:cs="Arial"/>
                <w:b/>
                <w:bCs/>
                <w:color w:val="0D0D0D" w:themeColor="text1" w:themeTint="F2"/>
                <w:spacing w:val="-6"/>
              </w:rPr>
              <w:t xml:space="preserve">Příspěvky dílčích odvětví k meziroční změně tržeb v maloobchodu* </w:t>
            </w:r>
            <w:r w:rsidRPr="004405E2">
              <w:rPr>
                <w:rFonts w:cs="Arial"/>
                <w:color w:val="0D0D0D" w:themeColor="text1" w:themeTint="F2"/>
                <w:spacing w:val="-6"/>
              </w:rPr>
              <w:t xml:space="preserve">(reálně, v p. b.), </w:t>
            </w:r>
            <w:r w:rsidRPr="004405E2">
              <w:rPr>
                <w:rFonts w:cs="Arial"/>
                <w:b/>
                <w:bCs/>
                <w:color w:val="0D0D0D" w:themeColor="text1" w:themeTint="F2"/>
                <w:spacing w:val="-6"/>
              </w:rPr>
              <w:t xml:space="preserve">tržby v maloobchodu a v motoristickém segmentu obchodu** </w:t>
            </w:r>
            <w:r w:rsidRPr="004405E2">
              <w:rPr>
                <w:rFonts w:cs="Arial"/>
                <w:color w:val="0D0D0D" w:themeColor="text1" w:themeTint="F2"/>
                <w:spacing w:val="-6"/>
              </w:rPr>
              <w:t>(reálně, ú</w:t>
            </w:r>
            <w:r>
              <w:rPr>
                <w:rFonts w:cs="Arial"/>
                <w:color w:val="0D0D0D" w:themeColor="text1" w:themeTint="F2"/>
                <w:spacing w:val="-6"/>
              </w:rPr>
              <w:t xml:space="preserve">roveň roku 2021=100, pravá osa), </w:t>
            </w:r>
            <w:r w:rsidRPr="004405E2">
              <w:rPr>
                <w:rFonts w:cs="Arial"/>
                <w:b/>
                <w:bCs/>
                <w:color w:val="0D0D0D" w:themeColor="text1" w:themeTint="F2"/>
                <w:spacing w:val="-6"/>
              </w:rPr>
              <w:t>s</w:t>
            </w:r>
            <w:r>
              <w:rPr>
                <w:rFonts w:cs="Arial"/>
                <w:b/>
                <w:bCs/>
                <w:color w:val="0D0D0D" w:themeColor="text1" w:themeTint="F2"/>
                <w:spacing w:val="-6"/>
              </w:rPr>
              <w:t xml:space="preserve">aldo důvěry </w:t>
            </w:r>
            <w:r w:rsidRPr="00BC34D2">
              <w:rPr>
                <w:rFonts w:cs="Arial"/>
                <w:b/>
                <w:bCs/>
                <w:color w:val="0D0D0D" w:themeColor="text1" w:themeTint="F2"/>
                <w:spacing w:val="-6"/>
              </w:rPr>
              <w:t>spotřebitelů i obchodníků</w:t>
            </w:r>
            <w:r w:rsidRPr="004405E2">
              <w:rPr>
                <w:rFonts w:cs="Arial"/>
                <w:b/>
                <w:bCs/>
                <w:color w:val="0D0D0D" w:themeColor="text1" w:themeTint="F2"/>
                <w:spacing w:val="-6"/>
              </w:rPr>
              <w:t xml:space="preserve">*** </w:t>
            </w:r>
            <w:r w:rsidRPr="004405E2">
              <w:rPr>
                <w:rFonts w:cs="Arial"/>
                <w:color w:val="0D0D0D" w:themeColor="text1" w:themeTint="F2"/>
                <w:spacing w:val="-6"/>
              </w:rPr>
              <w:t>(v p. b., pravá osa)</w:t>
            </w:r>
          </w:p>
        </w:tc>
      </w:tr>
      <w:tr w:rsidR="00EC6B23" w14:paraId="67A37309" w14:textId="77777777" w:rsidTr="002F7D0A">
        <w:tblPrEx>
          <w:tblCellMar>
            <w:left w:w="70" w:type="dxa"/>
            <w:right w:w="70" w:type="dxa"/>
          </w:tblCellMar>
        </w:tblPrEx>
        <w:trPr>
          <w:trHeight w:val="155"/>
        </w:trPr>
        <w:tc>
          <w:tcPr>
            <w:tcW w:w="1814" w:type="dxa"/>
            <w:vMerge/>
            <w:shd w:val="clear" w:color="auto" w:fill="auto"/>
          </w:tcPr>
          <w:p w14:paraId="07B0D6DE" w14:textId="77777777" w:rsidR="00EC6B23" w:rsidRDefault="00EC6B23" w:rsidP="002F7D0A">
            <w:pPr>
              <w:pStyle w:val="Marginlie"/>
            </w:pPr>
          </w:p>
        </w:tc>
        <w:tc>
          <w:tcPr>
            <w:tcW w:w="229" w:type="dxa"/>
            <w:vMerge/>
            <w:shd w:val="clear" w:color="auto" w:fill="auto"/>
          </w:tcPr>
          <w:p w14:paraId="262FA4F8" w14:textId="77777777" w:rsidR="00EC6B23" w:rsidRDefault="00EC6B23" w:rsidP="002F7D0A">
            <w:pPr>
              <w:pStyle w:val="Textpoznpodarou"/>
              <w:jc w:val="both"/>
              <w:rPr>
                <w:spacing w:val="-4"/>
              </w:rPr>
            </w:pPr>
          </w:p>
        </w:tc>
        <w:tc>
          <w:tcPr>
            <w:tcW w:w="7596" w:type="dxa"/>
            <w:shd w:val="clear" w:color="auto" w:fill="auto"/>
          </w:tcPr>
          <w:p w14:paraId="0CD878EA" w14:textId="77777777" w:rsidR="00EC6B23" w:rsidRPr="00832E72" w:rsidRDefault="00EC6B23" w:rsidP="002F7D0A">
            <w:pPr>
              <w:spacing w:after="0"/>
              <w:rPr>
                <w:rFonts w:cs="Arial"/>
                <w:color w:val="0D0D0D" w:themeColor="text1" w:themeTint="F2"/>
                <w:spacing w:val="-4"/>
                <w:szCs w:val="20"/>
              </w:rPr>
            </w:pPr>
            <w:r>
              <w:rPr>
                <w:noProof/>
              </w:rPr>
              <w:drawing>
                <wp:inline distT="0" distB="0" distL="0" distR="0" wp14:anchorId="0446541B" wp14:editId="19155186">
                  <wp:extent cx="4783289" cy="3716118"/>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EC6B23" w14:paraId="40084EA4" w14:textId="77777777" w:rsidTr="002F7D0A">
        <w:trPr>
          <w:trHeight w:val="155"/>
        </w:trPr>
        <w:tc>
          <w:tcPr>
            <w:tcW w:w="1814" w:type="dxa"/>
            <w:vMerge/>
            <w:shd w:val="clear" w:color="auto" w:fill="auto"/>
            <w:tcMar>
              <w:left w:w="0" w:type="dxa"/>
            </w:tcMar>
          </w:tcPr>
          <w:p w14:paraId="04810BCC" w14:textId="77777777" w:rsidR="00EC6B23" w:rsidRDefault="00EC6B23" w:rsidP="002F7D0A">
            <w:pPr>
              <w:pStyle w:val="Marginlie"/>
            </w:pPr>
          </w:p>
        </w:tc>
        <w:tc>
          <w:tcPr>
            <w:tcW w:w="229" w:type="dxa"/>
            <w:vMerge/>
            <w:shd w:val="clear" w:color="auto" w:fill="auto"/>
            <w:tcMar>
              <w:left w:w="0" w:type="dxa"/>
            </w:tcMar>
          </w:tcPr>
          <w:p w14:paraId="65AE3752" w14:textId="77777777" w:rsidR="00EC6B23" w:rsidRDefault="00EC6B23" w:rsidP="002F7D0A">
            <w:pPr>
              <w:pStyle w:val="Textpoznpodarou"/>
              <w:jc w:val="both"/>
              <w:rPr>
                <w:spacing w:val="-4"/>
              </w:rPr>
            </w:pPr>
          </w:p>
        </w:tc>
        <w:tc>
          <w:tcPr>
            <w:tcW w:w="7596" w:type="dxa"/>
            <w:shd w:val="clear" w:color="auto" w:fill="auto"/>
            <w:tcMar>
              <w:left w:w="0" w:type="dxa"/>
            </w:tcMar>
          </w:tcPr>
          <w:p w14:paraId="678D370D" w14:textId="77777777" w:rsidR="00EC6B23" w:rsidRPr="00052ADA" w:rsidRDefault="00EC6B23" w:rsidP="002F7D0A">
            <w:pPr>
              <w:spacing w:after="0" w:line="240" w:lineRule="auto"/>
              <w:rPr>
                <w:rFonts w:cs="Arial"/>
                <w:sz w:val="14"/>
                <w:szCs w:val="14"/>
              </w:rPr>
            </w:pPr>
            <w:r>
              <w:rPr>
                <w:rFonts w:cs="Arial"/>
                <w:color w:val="0D0D0D" w:themeColor="text1" w:themeTint="F2"/>
                <w:spacing w:val="-6"/>
              </w:rPr>
              <w:t>*</w:t>
            </w:r>
            <w:r w:rsidRPr="00052ADA">
              <w:rPr>
                <w:rFonts w:cs="Arial"/>
                <w:sz w:val="14"/>
                <w:szCs w:val="14"/>
              </w:rPr>
              <w:t xml:space="preserve"> Tržby jsou očištěny o kalendářní vlivy.       ** Tržby jsou sezónně i kalendářně očištěny.</w:t>
            </w:r>
          </w:p>
          <w:p w14:paraId="2F85EE00" w14:textId="77777777" w:rsidR="00EC6B23" w:rsidRPr="00832E72" w:rsidRDefault="00EC6B23" w:rsidP="002F7D0A">
            <w:pPr>
              <w:spacing w:after="200"/>
              <w:rPr>
                <w:rFonts w:cs="Arial"/>
                <w:color w:val="0D0D0D" w:themeColor="text1" w:themeTint="F2"/>
                <w:spacing w:val="-4"/>
                <w:szCs w:val="20"/>
              </w:rPr>
            </w:pPr>
            <w:r>
              <w:rPr>
                <w:rFonts w:cs="Arial"/>
                <w:color w:val="0D0D0D" w:themeColor="text1" w:themeTint="F2"/>
                <w:spacing w:val="-4"/>
                <w:sz w:val="14"/>
                <w:szCs w:val="14"/>
              </w:rPr>
              <w:t>*** Salda důvěry jsou sezónně očištěna a vyjadřují</w:t>
            </w:r>
            <w:r w:rsidRPr="00052ADA">
              <w:rPr>
                <w:rFonts w:cs="Arial"/>
                <w:color w:val="0D0D0D" w:themeColor="text1" w:themeTint="F2"/>
                <w:spacing w:val="-4"/>
                <w:sz w:val="14"/>
                <w:szCs w:val="14"/>
              </w:rPr>
              <w:t xml:space="preserve"> stav ve druhém měs</w:t>
            </w:r>
            <w:r>
              <w:rPr>
                <w:rFonts w:cs="Arial"/>
                <w:color w:val="0D0D0D" w:themeColor="text1" w:themeTint="F2"/>
                <w:spacing w:val="-4"/>
                <w:sz w:val="14"/>
                <w:szCs w:val="14"/>
              </w:rPr>
              <w:t>íci daného čtvrtletí.</w:t>
            </w:r>
            <w:r>
              <w:rPr>
                <w:rFonts w:cs="Arial"/>
                <w:color w:val="0D0D0D" w:themeColor="text1" w:themeTint="F2"/>
                <w:spacing w:val="-4"/>
                <w:sz w:val="14"/>
                <w:szCs w:val="14"/>
              </w:rPr>
              <w:tab/>
              <w:t xml:space="preserve">      </w:t>
            </w:r>
            <w:r w:rsidRPr="00052ADA">
              <w:rPr>
                <w:rFonts w:cs="Arial"/>
                <w:color w:val="0D0D0D" w:themeColor="text1" w:themeTint="F2"/>
                <w:spacing w:val="-4"/>
                <w:sz w:val="14"/>
                <w:szCs w:val="14"/>
              </w:rPr>
              <w:t xml:space="preserve">       </w:t>
            </w:r>
            <w:r>
              <w:rPr>
                <w:rFonts w:cs="Arial"/>
                <w:color w:val="0D0D0D" w:themeColor="text1" w:themeTint="F2"/>
                <w:spacing w:val="-4"/>
                <w:sz w:val="14"/>
                <w:szCs w:val="14"/>
              </w:rPr>
              <w:t xml:space="preserve">                     </w:t>
            </w:r>
            <w:r w:rsidRPr="00052ADA">
              <w:rPr>
                <w:rFonts w:cs="Arial"/>
                <w:color w:val="0D0D0D" w:themeColor="text1" w:themeTint="F2"/>
                <w:spacing w:val="-4"/>
                <w:sz w:val="14"/>
                <w:szCs w:val="14"/>
              </w:rPr>
              <w:t xml:space="preserve">  Zdroj: ČSÚ</w:t>
            </w:r>
          </w:p>
        </w:tc>
      </w:tr>
      <w:tr w:rsidR="00EC6B23" w14:paraId="39488D17" w14:textId="77777777" w:rsidTr="002F7D0A">
        <w:trPr>
          <w:trHeight w:val="170"/>
        </w:trPr>
        <w:tc>
          <w:tcPr>
            <w:tcW w:w="1814" w:type="dxa"/>
            <w:shd w:val="clear" w:color="auto" w:fill="auto"/>
            <w:tcMar>
              <w:left w:w="0" w:type="dxa"/>
            </w:tcMar>
          </w:tcPr>
          <w:p w14:paraId="19BDBED9" w14:textId="77777777" w:rsidR="00EC6B23" w:rsidRDefault="00EC6B23" w:rsidP="002F7D0A">
            <w:pPr>
              <w:pStyle w:val="Marginlie"/>
            </w:pPr>
            <w:r>
              <w:t>K meziročnímu růstu tržeb přispělo skoro z</w:t>
            </w:r>
            <w:r>
              <w:rPr>
                <w:color w:val="0D0D0D" w:themeColor="text1" w:themeTint="F2"/>
                <w:spacing w:val="-6"/>
              </w:rPr>
              <w:t> </w:t>
            </w:r>
            <w:r>
              <w:t>poloviny razantní oživení internetového prodeje.</w:t>
            </w:r>
          </w:p>
          <w:p w14:paraId="1F4F596F" w14:textId="77777777" w:rsidR="00EC6B23" w:rsidRDefault="00EC6B23" w:rsidP="002F7D0A">
            <w:pPr>
              <w:pStyle w:val="Marginlie"/>
            </w:pPr>
          </w:p>
          <w:p w14:paraId="4226BF8E" w14:textId="77777777" w:rsidR="00EC6B23" w:rsidRDefault="00EC6B23" w:rsidP="002F7D0A">
            <w:pPr>
              <w:pStyle w:val="Marginlie"/>
            </w:pPr>
            <w:r>
              <w:t xml:space="preserve">V rámci specializovaných prodejen se nejvíce zvyšoval zájem </w:t>
            </w:r>
            <w:r>
              <w:br/>
              <w:t>o kosmetické a toaletní výrobky.</w:t>
            </w:r>
          </w:p>
          <w:p w14:paraId="638F8852" w14:textId="77777777" w:rsidR="00EC6B23" w:rsidRDefault="00EC6B23" w:rsidP="002F7D0A">
            <w:pPr>
              <w:pStyle w:val="Marginlie"/>
            </w:pPr>
          </w:p>
          <w:p w14:paraId="146D948C" w14:textId="77777777" w:rsidR="00EC6B23" w:rsidRDefault="00EC6B23" w:rsidP="002F7D0A">
            <w:pPr>
              <w:pStyle w:val="Marginlie"/>
            </w:pPr>
          </w:p>
          <w:p w14:paraId="4AE881C5" w14:textId="77777777" w:rsidR="00EC6B23" w:rsidRDefault="00EC6B23" w:rsidP="002F7D0A">
            <w:pPr>
              <w:pStyle w:val="Marginlie"/>
            </w:pPr>
          </w:p>
          <w:p w14:paraId="54C74446" w14:textId="77777777" w:rsidR="00EC6B23" w:rsidRDefault="00EC6B23" w:rsidP="002F7D0A">
            <w:pPr>
              <w:pStyle w:val="Marginlie"/>
            </w:pPr>
          </w:p>
          <w:p w14:paraId="7B9305DF" w14:textId="77777777" w:rsidR="00EC6B23" w:rsidRDefault="00EC6B23" w:rsidP="002F7D0A">
            <w:pPr>
              <w:pStyle w:val="Marginlie"/>
            </w:pPr>
            <w:r>
              <w:t xml:space="preserve">Tržby za potraviny rostly relativně nejvíce od konce roku 2019. </w:t>
            </w:r>
          </w:p>
        </w:tc>
        <w:tc>
          <w:tcPr>
            <w:tcW w:w="229" w:type="dxa"/>
            <w:shd w:val="clear" w:color="auto" w:fill="auto"/>
            <w:tcMar>
              <w:left w:w="0" w:type="dxa"/>
            </w:tcMar>
          </w:tcPr>
          <w:p w14:paraId="5255310D" w14:textId="77777777" w:rsidR="00EC6B23" w:rsidRDefault="00EC6B23" w:rsidP="002F7D0A">
            <w:pPr>
              <w:pStyle w:val="Textpoznpodarou"/>
              <w:jc w:val="both"/>
              <w:rPr>
                <w:spacing w:val="-4"/>
              </w:rPr>
            </w:pPr>
          </w:p>
        </w:tc>
        <w:tc>
          <w:tcPr>
            <w:tcW w:w="7596" w:type="dxa"/>
            <w:shd w:val="clear" w:color="auto" w:fill="auto"/>
            <w:tcMar>
              <w:left w:w="0" w:type="dxa"/>
            </w:tcMar>
          </w:tcPr>
          <w:p w14:paraId="29478F13" w14:textId="77777777" w:rsidR="00EC6B23" w:rsidRPr="00832E72" w:rsidRDefault="00EC6B23" w:rsidP="002F7D0A">
            <w:pPr>
              <w:spacing w:after="200"/>
              <w:rPr>
                <w:rFonts w:cs="Arial"/>
                <w:color w:val="0D0D0D" w:themeColor="text1" w:themeTint="F2"/>
                <w:spacing w:val="-4"/>
                <w:szCs w:val="20"/>
              </w:rPr>
            </w:pPr>
            <w:r w:rsidRPr="00832E72">
              <w:rPr>
                <w:rFonts w:cs="Arial"/>
                <w:color w:val="0D0D0D" w:themeColor="text1" w:themeTint="F2"/>
                <w:spacing w:val="-4"/>
                <w:szCs w:val="20"/>
              </w:rPr>
              <w:t>V 1. čtvrtletí 2024 se maloobchodní t</w:t>
            </w:r>
            <w:r>
              <w:rPr>
                <w:rFonts w:cs="Arial"/>
                <w:color w:val="0D0D0D" w:themeColor="text1" w:themeTint="F2"/>
                <w:spacing w:val="-4"/>
                <w:szCs w:val="20"/>
              </w:rPr>
              <w:t>ržby meziročně zvýšily o 3,9</w:t>
            </w:r>
            <w:r w:rsidRPr="00832E72">
              <w:rPr>
                <w:rFonts w:cs="Arial"/>
                <w:color w:val="0D0D0D" w:themeColor="text1" w:themeTint="F2"/>
                <w:spacing w:val="-4"/>
                <w:szCs w:val="20"/>
              </w:rPr>
              <w:t xml:space="preserve"> % a zastavily tak pokles trvající téměř dva roky. K růstu přispěly veškeré významné segmenty maloobchodu. Klíčovou roli sehrál vyšší prod</w:t>
            </w:r>
            <w:r>
              <w:rPr>
                <w:rFonts w:cs="Arial"/>
                <w:color w:val="0D0D0D" w:themeColor="text1" w:themeTint="F2"/>
                <w:spacing w:val="-4"/>
                <w:szCs w:val="20"/>
              </w:rPr>
              <w:t>ej nepotravinářského zboží (+5,2 %, příspěvek +2,5</w:t>
            </w:r>
            <w:r w:rsidRPr="00832E72">
              <w:rPr>
                <w:rFonts w:cs="Arial"/>
                <w:color w:val="0D0D0D" w:themeColor="text1" w:themeTint="F2"/>
                <w:spacing w:val="-4"/>
                <w:szCs w:val="20"/>
              </w:rPr>
              <w:t xml:space="preserve"> p. b.) tažený </w:t>
            </w:r>
            <w:r>
              <w:rPr>
                <w:rFonts w:cs="Arial"/>
                <w:color w:val="0D0D0D" w:themeColor="text1" w:themeTint="F2"/>
                <w:spacing w:val="-4"/>
                <w:szCs w:val="20"/>
              </w:rPr>
              <w:t xml:space="preserve">v </w:t>
            </w:r>
            <w:r w:rsidRPr="00832E72">
              <w:rPr>
                <w:rFonts w:cs="Arial"/>
                <w:color w:val="0D0D0D" w:themeColor="text1" w:themeTint="F2"/>
                <w:spacing w:val="-4"/>
                <w:szCs w:val="20"/>
              </w:rPr>
              <w:t xml:space="preserve">první řadě razantním oživením internetového </w:t>
            </w:r>
            <w:r>
              <w:rPr>
                <w:rFonts w:cs="Arial"/>
                <w:color w:val="0D0D0D" w:themeColor="text1" w:themeTint="F2"/>
                <w:spacing w:val="-4"/>
                <w:szCs w:val="20"/>
              </w:rPr>
              <w:t xml:space="preserve">a zásilkového </w:t>
            </w:r>
            <w:r w:rsidRPr="00832E72">
              <w:rPr>
                <w:rFonts w:cs="Arial"/>
                <w:color w:val="0D0D0D" w:themeColor="text1" w:themeTint="F2"/>
                <w:spacing w:val="-4"/>
                <w:szCs w:val="20"/>
              </w:rPr>
              <w:t>prodeje (+</w:t>
            </w:r>
            <w:r>
              <w:rPr>
                <w:rFonts w:cs="Arial"/>
                <w:color w:val="0D0D0D" w:themeColor="text1" w:themeTint="F2"/>
                <w:spacing w:val="-4"/>
                <w:szCs w:val="20"/>
              </w:rPr>
              <w:t>15,2</w:t>
            </w:r>
            <w:r w:rsidRPr="00832E72">
              <w:rPr>
                <w:rFonts w:cs="Arial"/>
                <w:color w:val="0D0D0D" w:themeColor="text1" w:themeTint="F2"/>
                <w:spacing w:val="-4"/>
                <w:szCs w:val="20"/>
              </w:rPr>
              <w:t xml:space="preserve"> %). Ten patrn</w:t>
            </w:r>
            <w:r>
              <w:rPr>
                <w:rFonts w:cs="Arial"/>
                <w:color w:val="0D0D0D" w:themeColor="text1" w:themeTint="F2"/>
                <w:spacing w:val="-4"/>
                <w:szCs w:val="20"/>
              </w:rPr>
              <w:t xml:space="preserve">ě absorbuje i část poptávky </w:t>
            </w:r>
            <w:r w:rsidRPr="00832E72">
              <w:rPr>
                <w:rFonts w:cs="Arial"/>
                <w:color w:val="0D0D0D" w:themeColor="text1" w:themeTint="F2"/>
                <w:spacing w:val="-4"/>
                <w:szCs w:val="20"/>
              </w:rPr>
              <w:t xml:space="preserve">specializovaných </w:t>
            </w:r>
            <w:r>
              <w:rPr>
                <w:rFonts w:cs="Arial"/>
                <w:color w:val="0D0D0D" w:themeColor="text1" w:themeTint="F2"/>
                <w:spacing w:val="-4"/>
                <w:szCs w:val="20"/>
              </w:rPr>
              <w:t>kamenných prodejen</w:t>
            </w:r>
            <w:r w:rsidRPr="00832E72">
              <w:rPr>
                <w:rFonts w:cs="Arial"/>
                <w:color w:val="0D0D0D" w:themeColor="text1" w:themeTint="F2"/>
                <w:spacing w:val="-4"/>
                <w:szCs w:val="20"/>
              </w:rPr>
              <w:t xml:space="preserve"> </w:t>
            </w:r>
            <w:r>
              <w:rPr>
                <w:rFonts w:cs="Arial"/>
                <w:color w:val="0D0D0D" w:themeColor="text1" w:themeTint="F2"/>
                <w:spacing w:val="-4"/>
                <w:szCs w:val="20"/>
              </w:rPr>
              <w:t>(</w:t>
            </w:r>
            <w:r w:rsidRPr="00832E72">
              <w:rPr>
                <w:rFonts w:cs="Arial"/>
                <w:color w:val="0D0D0D" w:themeColor="text1" w:themeTint="F2"/>
                <w:spacing w:val="-4"/>
                <w:szCs w:val="20"/>
              </w:rPr>
              <w:t xml:space="preserve">např. tržby za obchod s počítačovým a komunikačním zařízením v těchto prodejnách se v 1. čtvrtletí snížily </w:t>
            </w:r>
            <w:r>
              <w:rPr>
                <w:rFonts w:cs="Arial"/>
                <w:color w:val="0D0D0D" w:themeColor="text1" w:themeTint="F2"/>
                <w:spacing w:val="-4"/>
                <w:szCs w:val="20"/>
              </w:rPr>
              <w:t>o</w:t>
            </w:r>
            <w:r w:rsidRPr="00832E72">
              <w:rPr>
                <w:rFonts w:cs="Arial"/>
                <w:color w:val="0D0D0D" w:themeColor="text1" w:themeTint="F2"/>
                <w:spacing w:val="-4"/>
                <w:szCs w:val="20"/>
              </w:rPr>
              <w:t> </w:t>
            </w:r>
            <w:r>
              <w:rPr>
                <w:rFonts w:cs="Arial"/>
                <w:color w:val="0D0D0D" w:themeColor="text1" w:themeTint="F2"/>
                <w:spacing w:val="-4"/>
                <w:szCs w:val="20"/>
              </w:rPr>
              <w:t>4,7</w:t>
            </w:r>
            <w:r w:rsidRPr="00832E72">
              <w:rPr>
                <w:rFonts w:cs="Arial"/>
                <w:color w:val="0D0D0D" w:themeColor="text1" w:themeTint="F2"/>
                <w:spacing w:val="-4"/>
                <w:szCs w:val="20"/>
              </w:rPr>
              <w:t> </w:t>
            </w:r>
            <w:r>
              <w:rPr>
                <w:rFonts w:cs="Arial"/>
                <w:color w:val="0D0D0D" w:themeColor="text1" w:themeTint="F2"/>
                <w:spacing w:val="-4"/>
                <w:szCs w:val="20"/>
              </w:rPr>
              <w:t>%). Pouze lehce nižším tempem klesly také</w:t>
            </w:r>
            <w:r w:rsidRPr="00832E72">
              <w:rPr>
                <w:rFonts w:cs="Arial"/>
                <w:color w:val="0D0D0D" w:themeColor="text1" w:themeTint="F2"/>
                <w:spacing w:val="-4"/>
                <w:szCs w:val="20"/>
              </w:rPr>
              <w:t xml:space="preserve"> tržby za výrobky převážně pro domácnosti</w:t>
            </w:r>
            <w:r w:rsidRPr="00832E72">
              <w:rPr>
                <w:rStyle w:val="Znakapoznpodarou"/>
                <w:color w:val="0D0D0D" w:themeColor="text1" w:themeTint="F2"/>
                <w:spacing w:val="-4"/>
                <w:szCs w:val="20"/>
              </w:rPr>
              <w:footnoteReference w:id="26"/>
            </w:r>
            <w:r w:rsidRPr="00832E72">
              <w:rPr>
                <w:rFonts w:cs="Arial"/>
                <w:color w:val="0D0D0D" w:themeColor="text1" w:themeTint="F2"/>
                <w:spacing w:val="-4"/>
                <w:szCs w:val="20"/>
              </w:rPr>
              <w:t xml:space="preserve">. </w:t>
            </w:r>
            <w:r>
              <w:rPr>
                <w:rFonts w:cs="Arial"/>
                <w:color w:val="0D0D0D" w:themeColor="text1" w:themeTint="F2"/>
                <w:spacing w:val="-4"/>
                <w:szCs w:val="20"/>
              </w:rPr>
              <w:t>Jen minimální růst poptávky (po slabším loňském roce) registrovaly prodejny s výrobky a pro kulturu a rekreaci a také prodejny s oděvy, obuví a koženým zbožím</w:t>
            </w:r>
            <w:r>
              <w:rPr>
                <w:rStyle w:val="Znakapoznpodarou"/>
                <w:color w:val="0D0D0D" w:themeColor="text1" w:themeTint="F2"/>
                <w:spacing w:val="-4"/>
                <w:szCs w:val="20"/>
              </w:rPr>
              <w:footnoteReference w:id="27"/>
            </w:r>
            <w:r>
              <w:rPr>
                <w:rFonts w:cs="Arial"/>
                <w:color w:val="0D0D0D" w:themeColor="text1" w:themeTint="F2"/>
                <w:spacing w:val="-4"/>
                <w:szCs w:val="20"/>
              </w:rPr>
              <w:t>. N</w:t>
            </w:r>
            <w:r w:rsidRPr="00832E72">
              <w:rPr>
                <w:rFonts w:cs="Arial"/>
                <w:color w:val="0D0D0D" w:themeColor="text1" w:themeTint="F2"/>
                <w:spacing w:val="-4"/>
                <w:szCs w:val="20"/>
              </w:rPr>
              <w:t xml:space="preserve">ejvíce </w:t>
            </w:r>
            <w:r w:rsidRPr="00031306">
              <w:rPr>
                <w:rFonts w:cs="Arial"/>
                <w:color w:val="0D0D0D" w:themeColor="text1" w:themeTint="F2"/>
                <w:szCs w:val="20"/>
              </w:rPr>
              <w:t>v rámci specializovaných prodejen</w:t>
            </w:r>
            <w:r w:rsidRPr="00031306">
              <w:rPr>
                <w:rStyle w:val="Znakapoznpodarou"/>
                <w:color w:val="0D0D0D" w:themeColor="text1" w:themeTint="F2"/>
                <w:szCs w:val="20"/>
              </w:rPr>
              <w:footnoteReference w:id="28"/>
            </w:r>
            <w:r w:rsidRPr="00031306">
              <w:rPr>
                <w:rFonts w:cs="Arial"/>
                <w:color w:val="0D0D0D" w:themeColor="text1" w:themeTint="F2"/>
                <w:szCs w:val="20"/>
              </w:rPr>
              <w:t xml:space="preserve"> rostly tržby za kosm</w:t>
            </w:r>
            <w:r>
              <w:rPr>
                <w:rFonts w:cs="Arial"/>
                <w:color w:val="0D0D0D" w:themeColor="text1" w:themeTint="F2"/>
                <w:szCs w:val="20"/>
              </w:rPr>
              <w:t>etické a toaletní výrobky (+19,2</w:t>
            </w:r>
            <w:r w:rsidRPr="00031306">
              <w:rPr>
                <w:rFonts w:cs="Arial"/>
                <w:color w:val="0D0D0D" w:themeColor="text1" w:themeTint="F2"/>
                <w:szCs w:val="20"/>
              </w:rPr>
              <w:t xml:space="preserve"> %)</w:t>
            </w:r>
            <w:r w:rsidRPr="00832E72">
              <w:rPr>
                <w:rFonts w:cs="Arial"/>
                <w:color w:val="0D0D0D" w:themeColor="text1" w:themeTint="F2"/>
                <w:spacing w:val="-4"/>
                <w:szCs w:val="20"/>
              </w:rPr>
              <w:t xml:space="preserve"> a dále za farmaceu</w:t>
            </w:r>
            <w:r>
              <w:rPr>
                <w:rFonts w:cs="Arial"/>
                <w:color w:val="0D0D0D" w:themeColor="text1" w:themeTint="F2"/>
                <w:spacing w:val="-4"/>
                <w:szCs w:val="20"/>
              </w:rPr>
              <w:t>tické a zdravotnické zboží (+6,6</w:t>
            </w:r>
            <w:r w:rsidRPr="00832E72">
              <w:rPr>
                <w:rFonts w:cs="Arial"/>
                <w:color w:val="0D0D0D" w:themeColor="text1" w:themeTint="F2"/>
                <w:spacing w:val="-4"/>
                <w:szCs w:val="20"/>
              </w:rPr>
              <w:t xml:space="preserve"> %), což jsou v obou případech produkty, u nichž se poptávka významně nesnížila ani během pandemického období. Tržby za potraviny se zvýšily relativně skromněji (+2,3 %, příspěvek k</w:t>
            </w:r>
            <w:r>
              <w:rPr>
                <w:rFonts w:cs="Arial"/>
                <w:color w:val="0D0D0D" w:themeColor="text1" w:themeTint="F2"/>
                <w:spacing w:val="-4"/>
                <w:szCs w:val="20"/>
              </w:rPr>
              <w:t> </w:t>
            </w:r>
            <w:r w:rsidRPr="00832E72">
              <w:rPr>
                <w:rFonts w:cs="Arial"/>
                <w:color w:val="0D0D0D" w:themeColor="text1" w:themeTint="F2"/>
                <w:spacing w:val="-4"/>
                <w:szCs w:val="20"/>
              </w:rPr>
              <w:t>růstu</w:t>
            </w:r>
            <w:r>
              <w:rPr>
                <w:rFonts w:cs="Arial"/>
                <w:color w:val="0D0D0D" w:themeColor="text1" w:themeTint="F2"/>
                <w:spacing w:val="-4"/>
                <w:szCs w:val="20"/>
              </w:rPr>
              <w:t xml:space="preserve"> celého maloobchodu</w:t>
            </w:r>
            <w:r w:rsidRPr="00832E72">
              <w:rPr>
                <w:rFonts w:cs="Arial"/>
                <w:color w:val="0D0D0D" w:themeColor="text1" w:themeTint="F2"/>
                <w:spacing w:val="-4"/>
                <w:szCs w:val="20"/>
              </w:rPr>
              <w:t xml:space="preserve"> </w:t>
            </w:r>
            <w:r>
              <w:rPr>
                <w:rFonts w:cs="Arial"/>
                <w:color w:val="0D0D0D" w:themeColor="text1" w:themeTint="F2"/>
                <w:spacing w:val="-4"/>
                <w:szCs w:val="20"/>
              </w:rPr>
              <w:t xml:space="preserve">činil </w:t>
            </w:r>
            <w:r w:rsidRPr="00832E72">
              <w:rPr>
                <w:rFonts w:cs="Arial"/>
                <w:color w:val="0D0D0D" w:themeColor="text1" w:themeTint="F2"/>
                <w:spacing w:val="-4"/>
                <w:szCs w:val="20"/>
              </w:rPr>
              <w:t>+0,9 p. b.)</w:t>
            </w:r>
            <w:r>
              <w:rPr>
                <w:rFonts w:cs="Arial"/>
                <w:color w:val="0D0D0D" w:themeColor="text1" w:themeTint="F2"/>
                <w:spacing w:val="-4"/>
                <w:szCs w:val="20"/>
              </w:rPr>
              <w:t>, i</w:t>
            </w:r>
            <w:r w:rsidRPr="00832E72">
              <w:rPr>
                <w:rFonts w:cs="Arial"/>
                <w:color w:val="0D0D0D" w:themeColor="text1" w:themeTint="F2"/>
                <w:spacing w:val="-4"/>
                <w:szCs w:val="20"/>
              </w:rPr>
              <w:t> tak se jednalo o nejvyšší tempo od konce roku 2019.</w:t>
            </w:r>
            <w:r>
              <w:rPr>
                <w:rFonts w:cs="Arial"/>
                <w:color w:val="0D0D0D" w:themeColor="text1" w:themeTint="F2"/>
                <w:spacing w:val="-4"/>
                <w:szCs w:val="20"/>
              </w:rPr>
              <w:t xml:space="preserve"> Růst poptávky </w:t>
            </w:r>
            <w:r w:rsidRPr="00832E72">
              <w:rPr>
                <w:rFonts w:cs="Arial"/>
                <w:color w:val="0D0D0D" w:themeColor="text1" w:themeTint="F2"/>
                <w:spacing w:val="-4"/>
                <w:szCs w:val="20"/>
              </w:rPr>
              <w:t xml:space="preserve">byl </w:t>
            </w:r>
            <w:r>
              <w:rPr>
                <w:rFonts w:cs="Arial"/>
                <w:color w:val="0D0D0D" w:themeColor="text1" w:themeTint="F2"/>
                <w:spacing w:val="-4"/>
                <w:szCs w:val="20"/>
              </w:rPr>
              <w:t xml:space="preserve">zde </w:t>
            </w:r>
            <w:r w:rsidRPr="00832E72">
              <w:rPr>
                <w:rFonts w:cs="Arial"/>
                <w:color w:val="0D0D0D" w:themeColor="text1" w:themeTint="F2"/>
                <w:spacing w:val="-4"/>
                <w:szCs w:val="20"/>
              </w:rPr>
              <w:t xml:space="preserve">koncentrován do velkých řetězců, neboť tržby menších specializovaných prodejen s potravinami </w:t>
            </w:r>
            <w:r w:rsidRPr="00D1534A">
              <w:rPr>
                <w:rFonts w:cs="Arial"/>
                <w:color w:val="0D0D0D" w:themeColor="text1" w:themeTint="F2"/>
                <w:spacing w:val="-3"/>
                <w:szCs w:val="20"/>
              </w:rPr>
              <w:t>(</w:t>
            </w:r>
            <w:r>
              <w:rPr>
                <w:rFonts w:cs="Arial"/>
                <w:color w:val="0D0D0D" w:themeColor="text1" w:themeTint="F2"/>
                <w:spacing w:val="-3"/>
                <w:szCs w:val="20"/>
              </w:rPr>
              <w:t>z</w:t>
            </w:r>
            <w:r>
              <w:rPr>
                <w:rFonts w:cs="Arial"/>
                <w:color w:val="0D0D0D" w:themeColor="text1" w:themeTint="F2"/>
                <w:szCs w:val="20"/>
              </w:rPr>
              <w:t> </w:t>
            </w:r>
            <w:r w:rsidRPr="00D1534A">
              <w:rPr>
                <w:rFonts w:cs="Arial"/>
                <w:color w:val="0D0D0D" w:themeColor="text1" w:themeTint="F2"/>
                <w:spacing w:val="-3"/>
                <w:szCs w:val="20"/>
              </w:rPr>
              <w:t>nichž váhově nejvýznamnější sortimentní skupin</w:t>
            </w:r>
            <w:r>
              <w:rPr>
                <w:rFonts w:cs="Arial"/>
                <w:color w:val="0D0D0D" w:themeColor="text1" w:themeTint="F2"/>
                <w:spacing w:val="-3"/>
                <w:szCs w:val="20"/>
              </w:rPr>
              <w:t xml:space="preserve">u představují </w:t>
            </w:r>
            <w:r>
              <w:rPr>
                <w:rFonts w:cs="Arial"/>
                <w:color w:val="0D0D0D" w:themeColor="text1" w:themeTint="F2"/>
                <w:spacing w:val="-3"/>
                <w:szCs w:val="20"/>
              </w:rPr>
              <w:lastRenderedPageBreak/>
              <w:t>tabákové výrobky)</w:t>
            </w:r>
            <w:r>
              <w:rPr>
                <w:rFonts w:cs="Arial"/>
                <w:color w:val="0D0D0D" w:themeColor="text1" w:themeTint="F2"/>
                <w:spacing w:val="-4"/>
                <w:szCs w:val="20"/>
              </w:rPr>
              <w:t xml:space="preserve"> se snížily o 2,1</w:t>
            </w:r>
            <w:r w:rsidRPr="00832E72">
              <w:rPr>
                <w:rFonts w:cs="Arial"/>
                <w:color w:val="0D0D0D" w:themeColor="text1" w:themeTint="F2"/>
                <w:spacing w:val="-4"/>
                <w:szCs w:val="20"/>
              </w:rPr>
              <w:t xml:space="preserve"> % </w:t>
            </w:r>
            <w:r>
              <w:rPr>
                <w:rFonts w:cs="Arial"/>
                <w:color w:val="0D0D0D" w:themeColor="text1" w:themeTint="F2"/>
                <w:spacing w:val="-4"/>
                <w:szCs w:val="20"/>
              </w:rPr>
              <w:t xml:space="preserve">a </w:t>
            </w:r>
            <w:r w:rsidRPr="00832E72">
              <w:rPr>
                <w:rFonts w:cs="Arial"/>
                <w:color w:val="0D0D0D" w:themeColor="text1" w:themeTint="F2"/>
                <w:spacing w:val="-4"/>
                <w:szCs w:val="20"/>
              </w:rPr>
              <w:t>klesaly osm kvartálů v </w:t>
            </w:r>
            <w:r>
              <w:rPr>
                <w:rFonts w:cs="Arial"/>
                <w:color w:val="0D0D0D" w:themeColor="text1" w:themeTint="F2"/>
                <w:spacing w:val="-4"/>
                <w:szCs w:val="20"/>
              </w:rPr>
              <w:t>řadě</w:t>
            </w:r>
            <w:r w:rsidRPr="00832E72">
              <w:rPr>
                <w:rFonts w:cs="Arial"/>
                <w:color w:val="0D0D0D" w:themeColor="text1" w:themeTint="F2"/>
                <w:spacing w:val="-4"/>
                <w:szCs w:val="20"/>
              </w:rPr>
              <w:t>. N</w:t>
            </w:r>
            <w:r>
              <w:rPr>
                <w:rFonts w:cs="Arial"/>
                <w:color w:val="0D0D0D" w:themeColor="text1" w:themeTint="F2"/>
                <w:spacing w:val="-4"/>
                <w:szCs w:val="20"/>
              </w:rPr>
              <w:t>aproti tomu</w:t>
            </w:r>
            <w:r w:rsidRPr="00832E72">
              <w:rPr>
                <w:rFonts w:cs="Arial"/>
                <w:color w:val="0D0D0D" w:themeColor="text1" w:themeTint="F2"/>
                <w:spacing w:val="-4"/>
                <w:szCs w:val="20"/>
              </w:rPr>
              <w:t xml:space="preserve"> po loňském oživení</w:t>
            </w:r>
            <w:r>
              <w:rPr>
                <w:rFonts w:cs="Arial"/>
                <w:color w:val="0D0D0D" w:themeColor="text1" w:themeTint="F2"/>
                <w:spacing w:val="-4"/>
                <w:szCs w:val="20"/>
              </w:rPr>
              <w:t>,</w:t>
            </w:r>
            <w:r w:rsidRPr="00832E72">
              <w:rPr>
                <w:rFonts w:cs="Arial"/>
                <w:color w:val="0D0D0D" w:themeColor="text1" w:themeTint="F2"/>
                <w:spacing w:val="-4"/>
                <w:szCs w:val="20"/>
              </w:rPr>
              <w:t xml:space="preserve"> </w:t>
            </w:r>
            <w:r>
              <w:rPr>
                <w:rFonts w:cs="Arial"/>
                <w:color w:val="0D0D0D" w:themeColor="text1" w:themeTint="F2"/>
                <w:spacing w:val="-3"/>
                <w:szCs w:val="20"/>
              </w:rPr>
              <w:t>zčásti stimulovaném</w:t>
            </w:r>
            <w:r w:rsidRPr="00D1534A">
              <w:rPr>
                <w:rFonts w:cs="Arial"/>
                <w:color w:val="0D0D0D" w:themeColor="text1" w:themeTint="F2"/>
                <w:spacing w:val="-3"/>
                <w:szCs w:val="20"/>
              </w:rPr>
              <w:t xml:space="preserve"> příznivější </w:t>
            </w:r>
            <w:r>
              <w:rPr>
                <w:rFonts w:cs="Arial"/>
                <w:color w:val="0D0D0D" w:themeColor="text1" w:themeTint="F2"/>
                <w:spacing w:val="-3"/>
                <w:szCs w:val="20"/>
              </w:rPr>
              <w:t>spotřebitelskou cenou,</w:t>
            </w:r>
            <w:r w:rsidRPr="00832E72">
              <w:rPr>
                <w:rFonts w:cs="Arial"/>
                <w:color w:val="0D0D0D" w:themeColor="text1" w:themeTint="F2"/>
                <w:spacing w:val="-4"/>
                <w:szCs w:val="20"/>
              </w:rPr>
              <w:t xml:space="preserve"> pokračoval růst poptávky po pohonných hmotách (v 1. čtvrtletí </w:t>
            </w:r>
            <w:r>
              <w:rPr>
                <w:rFonts w:cs="Arial"/>
                <w:color w:val="0D0D0D" w:themeColor="text1" w:themeTint="F2"/>
                <w:spacing w:val="-4"/>
                <w:szCs w:val="20"/>
              </w:rPr>
              <w:t xml:space="preserve">2024 zde </w:t>
            </w:r>
            <w:r w:rsidRPr="00832E72">
              <w:rPr>
                <w:rFonts w:cs="Arial"/>
                <w:color w:val="0D0D0D" w:themeColor="text1" w:themeTint="F2"/>
                <w:spacing w:val="-4"/>
                <w:szCs w:val="20"/>
              </w:rPr>
              <w:t>tržby p</w:t>
            </w:r>
            <w:r>
              <w:rPr>
                <w:rFonts w:cs="Arial"/>
                <w:color w:val="0D0D0D" w:themeColor="text1" w:themeTint="F2"/>
                <w:spacing w:val="-4"/>
                <w:szCs w:val="20"/>
              </w:rPr>
              <w:t>osílily o rovná 4 % a k růstu</w:t>
            </w:r>
            <w:r w:rsidRPr="00832E72">
              <w:rPr>
                <w:rFonts w:cs="Arial"/>
                <w:color w:val="0D0D0D" w:themeColor="text1" w:themeTint="F2"/>
                <w:spacing w:val="-4"/>
                <w:szCs w:val="20"/>
              </w:rPr>
              <w:t xml:space="preserve"> maloobchodu přispěly +0,5 p. b.).</w:t>
            </w:r>
            <w:r>
              <w:rPr>
                <w:rFonts w:cs="Arial"/>
                <w:color w:val="0D0D0D" w:themeColor="text1" w:themeTint="F2"/>
                <w:spacing w:val="-4"/>
                <w:szCs w:val="20"/>
              </w:rPr>
              <w:t xml:space="preserve"> </w:t>
            </w:r>
          </w:p>
        </w:tc>
      </w:tr>
      <w:tr w:rsidR="00EC6B23" w14:paraId="015E486B" w14:textId="77777777" w:rsidTr="002F7D0A">
        <w:trPr>
          <w:trHeight w:val="170"/>
        </w:trPr>
        <w:tc>
          <w:tcPr>
            <w:tcW w:w="1814" w:type="dxa"/>
            <w:shd w:val="clear" w:color="auto" w:fill="auto"/>
            <w:tcMar>
              <w:left w:w="0" w:type="dxa"/>
            </w:tcMar>
          </w:tcPr>
          <w:p w14:paraId="2F59863F" w14:textId="77777777" w:rsidR="00EC6B23" w:rsidRPr="000839A0" w:rsidRDefault="00EC6B23" w:rsidP="002F7D0A">
            <w:pPr>
              <w:pStyle w:val="Marginlie"/>
              <w:rPr>
                <w:spacing w:val="-4"/>
              </w:rPr>
            </w:pPr>
            <w:r>
              <w:rPr>
                <w:spacing w:val="-4"/>
              </w:rPr>
              <w:lastRenderedPageBreak/>
              <w:t>Mírný růst tržeb nastal ve všech částech motoristického segmentu obchodu.</w:t>
            </w:r>
          </w:p>
        </w:tc>
        <w:tc>
          <w:tcPr>
            <w:tcW w:w="229" w:type="dxa"/>
            <w:shd w:val="clear" w:color="auto" w:fill="auto"/>
            <w:tcMar>
              <w:left w:w="0" w:type="dxa"/>
            </w:tcMar>
          </w:tcPr>
          <w:p w14:paraId="187FDF07" w14:textId="77777777" w:rsidR="00EC6B23" w:rsidRDefault="00EC6B23" w:rsidP="002F7D0A">
            <w:pPr>
              <w:pStyle w:val="Textpoznpodarou"/>
              <w:jc w:val="both"/>
              <w:rPr>
                <w:spacing w:val="-4"/>
              </w:rPr>
            </w:pPr>
          </w:p>
        </w:tc>
        <w:tc>
          <w:tcPr>
            <w:tcW w:w="7596" w:type="dxa"/>
            <w:shd w:val="clear" w:color="auto" w:fill="auto"/>
            <w:tcMar>
              <w:left w:w="0" w:type="dxa"/>
            </w:tcMar>
          </w:tcPr>
          <w:p w14:paraId="7C9BD599" w14:textId="77777777" w:rsidR="00EC6B23" w:rsidRPr="00D1534A" w:rsidRDefault="00EC6B23" w:rsidP="002F7D0A">
            <w:pPr>
              <w:spacing w:after="200"/>
              <w:rPr>
                <w:rFonts w:cs="Arial"/>
                <w:color w:val="0D0D0D" w:themeColor="text1" w:themeTint="F2"/>
                <w:spacing w:val="-3"/>
                <w:szCs w:val="20"/>
              </w:rPr>
            </w:pPr>
            <w:r>
              <w:rPr>
                <w:rFonts w:cs="Arial"/>
                <w:color w:val="0D0D0D" w:themeColor="text1" w:themeTint="F2"/>
                <w:szCs w:val="20"/>
              </w:rPr>
              <w:t xml:space="preserve">Tržby v motoristickém segmentu obchodu se v 1. čtvrtletí meziročně zvýšily o 2,5 % a obdobně jako PHM navázaly na své loňské oživení. Mírný růst poptávky se letos projevoval ve všech částech tohoto segmentu. </w:t>
            </w:r>
            <w:r>
              <w:rPr>
                <w:rFonts w:cs="Arial"/>
                <w:color w:val="0D0D0D" w:themeColor="text1" w:themeTint="F2"/>
                <w:spacing w:val="-6"/>
                <w:szCs w:val="20"/>
              </w:rPr>
              <w:t xml:space="preserve">Oproti 4. čtvrtletí 2017, kdy byl tento segment obchodu na svém vrcholu, byly letos jeho tržby nižší o 7,7 %, z toho v oblasti motocyklů (obchod, opravy a údržba) však tuto úroveň převýšily o více než desetinu.   </w:t>
            </w:r>
          </w:p>
        </w:tc>
      </w:tr>
    </w:tbl>
    <w:p w14:paraId="190CF1D6" w14:textId="77777777" w:rsidR="00EC6B23" w:rsidRPr="00004D2D" w:rsidRDefault="00EC6B23" w:rsidP="00EC6B23">
      <w:pPr>
        <w:spacing w:after="0" w:line="240" w:lineRule="auto"/>
        <w:jc w:val="left"/>
        <w:rPr>
          <w:rFonts w:eastAsia="MS Gothic"/>
          <w:b/>
          <w:bCs/>
          <w:color w:val="71818C"/>
          <w:sz w:val="2"/>
          <w:szCs w:val="2"/>
        </w:rPr>
      </w:pPr>
    </w:p>
    <w:p w14:paraId="20A664BB" w14:textId="77777777" w:rsidR="00EC6B23" w:rsidRDefault="00EC6B23" w:rsidP="00EC6B23">
      <w:pPr>
        <w:spacing w:after="0" w:line="240" w:lineRule="auto"/>
        <w:jc w:val="left"/>
        <w:rPr>
          <w:rFonts w:eastAsia="MS Gothic"/>
          <w:b/>
          <w:bCs/>
          <w:color w:val="71818C"/>
          <w:sz w:val="32"/>
          <w:szCs w:val="28"/>
        </w:rPr>
      </w:pPr>
    </w:p>
    <w:p w14:paraId="5179A073" w14:textId="77777777" w:rsidR="00F204DA" w:rsidRDefault="00F204DA" w:rsidP="00F204DA">
      <w:pPr>
        <w:pStyle w:val="Nadpis11"/>
        <w:rPr>
          <w:sz w:val="2"/>
          <w:szCs w:val="2"/>
        </w:rPr>
      </w:pPr>
      <w:bookmarkStart w:id="4" w:name="_GoBack"/>
      <w:bookmarkEnd w:id="2"/>
      <w:bookmarkEnd w:id="3"/>
      <w:bookmarkEnd w:id="0"/>
      <w:bookmarkEnd w:id="4"/>
    </w:p>
    <w:p w14:paraId="6FD91E5A" w14:textId="797E1141" w:rsidR="00106BCC" w:rsidRPr="001C3855" w:rsidRDefault="00106BCC" w:rsidP="00F204DA">
      <w:pPr>
        <w:pStyle w:val="Nadpis11"/>
        <w:rPr>
          <w:sz w:val="2"/>
          <w:szCs w:val="2"/>
        </w:rPr>
      </w:pPr>
    </w:p>
    <w:sectPr w:rsidR="00106BCC" w:rsidRPr="001C3855" w:rsidSect="00B92E1D">
      <w:headerReference w:type="even" r:id="rId17"/>
      <w:headerReference w:type="default" r:id="rId18"/>
      <w:footerReference w:type="even" r:id="rId19"/>
      <w:footerReference w:type="default" r:id="rId20"/>
      <w:pgSz w:w="11906" w:h="16838" w:code="9"/>
      <w:pgMar w:top="1134" w:right="1134" w:bottom="1418" w:left="1134" w:header="680" w:footer="737"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B34EC" w14:textId="77777777" w:rsidR="005C1345" w:rsidRDefault="005C1345" w:rsidP="00E71A58">
      <w:r>
        <w:separator/>
      </w:r>
    </w:p>
  </w:endnote>
  <w:endnote w:type="continuationSeparator" w:id="0">
    <w:p w14:paraId="37EAFF0A" w14:textId="77777777" w:rsidR="005C1345" w:rsidRDefault="005C134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42A5A2DA" w:rsidR="00FA1CA9" w:rsidRPr="00932443" w:rsidRDefault="00FA1CA9"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B92E1D">
      <w:rPr>
        <w:szCs w:val="16"/>
      </w:rPr>
      <w:t>16</w:t>
    </w:r>
    <w:r w:rsidRPr="00932443">
      <w:rPr>
        <w:szCs w:val="16"/>
      </w:rPr>
      <w:fldChar w:fldCharType="end"/>
    </w:r>
    <w:r w:rsidRPr="00932443">
      <w:rPr>
        <w:szCs w:val="16"/>
      </w:rPr>
      <w:tab/>
    </w:r>
    <w:r>
      <w:rPr>
        <w:szCs w:val="16"/>
      </w:rPr>
      <w:t>rok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383ABF96" w:rsidR="00FA1CA9" w:rsidRPr="00932443" w:rsidRDefault="00FA1CA9" w:rsidP="00FA6CB6">
    <w:pPr>
      <w:pStyle w:val="Zpat"/>
      <w:rPr>
        <w:szCs w:val="16"/>
      </w:rPr>
    </w:pPr>
    <w:r w:rsidRPr="00FA6CB6">
      <w:rPr>
        <w:szCs w:val="16"/>
      </w:rPr>
      <w:tab/>
    </w:r>
    <w:r>
      <w:rPr>
        <w:szCs w:val="16"/>
      </w:rPr>
      <w:t>rok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B92E1D">
      <w:rPr>
        <w:rStyle w:val="ZpatChar"/>
        <w:szCs w:val="16"/>
      </w:rPr>
      <w:t>17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4C316" w14:textId="77777777" w:rsidR="005C1345" w:rsidRDefault="005C1345" w:rsidP="00A21B4D">
      <w:pPr>
        <w:spacing w:after="0"/>
      </w:pPr>
      <w:r>
        <w:separator/>
      </w:r>
    </w:p>
  </w:footnote>
  <w:footnote w:type="continuationSeparator" w:id="0">
    <w:p w14:paraId="10266835" w14:textId="77777777" w:rsidR="005C1345" w:rsidRDefault="005C1345" w:rsidP="00E71A58">
      <w:r>
        <w:continuationSeparator/>
      </w:r>
    </w:p>
  </w:footnote>
  <w:footnote w:id="1">
    <w:p w14:paraId="61E5409E" w14:textId="77777777" w:rsidR="00EC6B23" w:rsidRPr="00E1174E" w:rsidRDefault="00EC6B23" w:rsidP="00EC6B23">
      <w:pPr>
        <w:spacing w:after="0" w:line="240" w:lineRule="auto"/>
        <w:rPr>
          <w:rFonts w:cs="Arial"/>
          <w:color w:val="0D0D0D" w:themeColor="text1" w:themeTint="F2"/>
          <w:spacing w:val="-4"/>
          <w:sz w:val="16"/>
          <w:szCs w:val="16"/>
        </w:rPr>
      </w:pPr>
      <w:r w:rsidRPr="008C2F46">
        <w:rPr>
          <w:rStyle w:val="Znakapoznpodarou"/>
          <w:spacing w:val="-4"/>
          <w:sz w:val="16"/>
          <w:szCs w:val="16"/>
        </w:rPr>
        <w:footnoteRef/>
      </w:r>
      <w:r w:rsidRPr="008C2F46">
        <w:rPr>
          <w:spacing w:val="-4"/>
          <w:sz w:val="16"/>
          <w:szCs w:val="16"/>
        </w:rPr>
        <w:t xml:space="preserve"> </w:t>
      </w:r>
      <w:r w:rsidRPr="00E1174E">
        <w:rPr>
          <w:rFonts w:cs="Arial"/>
          <w:color w:val="0D0D0D" w:themeColor="text1" w:themeTint="F2"/>
          <w:spacing w:val="-4"/>
          <w:sz w:val="16"/>
          <w:szCs w:val="16"/>
        </w:rPr>
        <w:t>Zahrnuje odvětví těžby a dobývání, zpracovatelského průmyslu a také energetiky (zde pojímané jako odvětví výroby a rozvodu elektřiny, plynu, tepla a klimatizovaného vzduchu). Všechna meziroční tempa produkce jsou očištěna o kalendářní vlivy, mezičtvrtletní tempa i o vliv sezónnosti.</w:t>
      </w:r>
    </w:p>
  </w:footnote>
  <w:footnote w:id="2">
    <w:p w14:paraId="32ECDD6B" w14:textId="77777777" w:rsidR="00EC6B23" w:rsidRPr="00B45768" w:rsidRDefault="00EC6B23" w:rsidP="00EC6B23">
      <w:pPr>
        <w:pStyle w:val="Textpoznpodarou"/>
        <w:rPr>
          <w:sz w:val="16"/>
          <w:szCs w:val="16"/>
        </w:rPr>
      </w:pPr>
      <w:r w:rsidRPr="00B45768">
        <w:rPr>
          <w:rStyle w:val="Znakapoznpodarou"/>
          <w:sz w:val="16"/>
          <w:szCs w:val="16"/>
        </w:rPr>
        <w:footnoteRef/>
      </w:r>
      <w:r w:rsidRPr="00B45768">
        <w:rPr>
          <w:sz w:val="16"/>
          <w:szCs w:val="16"/>
        </w:rPr>
        <w:t xml:space="preserve"> Na celkové hodnotě průmyslové produkce se toto odvětví v 1. čtvrtletí podílelo takřka celou pětinou. </w:t>
      </w:r>
    </w:p>
  </w:footnote>
  <w:footnote w:id="3">
    <w:p w14:paraId="43F71A8D" w14:textId="77777777" w:rsidR="00EC6B23" w:rsidRPr="0072547F" w:rsidRDefault="00EC6B23" w:rsidP="00EC6B23">
      <w:pPr>
        <w:pStyle w:val="Textpoznpodarou"/>
        <w:rPr>
          <w:sz w:val="16"/>
          <w:szCs w:val="16"/>
        </w:rPr>
      </w:pPr>
      <w:r w:rsidRPr="0072547F">
        <w:rPr>
          <w:rStyle w:val="Znakapoznpodarou"/>
          <w:sz w:val="16"/>
          <w:szCs w:val="16"/>
        </w:rPr>
        <w:footnoteRef/>
      </w:r>
      <w:r w:rsidRPr="0072547F">
        <w:rPr>
          <w:sz w:val="16"/>
          <w:szCs w:val="16"/>
        </w:rPr>
        <w:t xml:space="preserve"> Za období od 2. čtvrtletí 2022 do 4. čtvrtletí 2023 se produkce v odvětví ostatních nekovových minerálních výrobků v úhrnu </w:t>
      </w:r>
      <w:r>
        <w:rPr>
          <w:sz w:val="16"/>
          <w:szCs w:val="16"/>
        </w:rPr>
        <w:t xml:space="preserve">snížila </w:t>
      </w:r>
      <w:r>
        <w:rPr>
          <w:sz w:val="16"/>
          <w:szCs w:val="16"/>
        </w:rPr>
        <w:br/>
        <w:t>o 24</w:t>
      </w:r>
      <w:r w:rsidRPr="00E1174E">
        <w:rPr>
          <w:rFonts w:cs="Arial"/>
          <w:color w:val="0D0D0D" w:themeColor="text1" w:themeTint="F2"/>
          <w:spacing w:val="-4"/>
          <w:sz w:val="16"/>
          <w:szCs w:val="16"/>
        </w:rPr>
        <w:t> </w:t>
      </w:r>
      <w:r w:rsidRPr="0072547F">
        <w:rPr>
          <w:sz w:val="16"/>
          <w:szCs w:val="16"/>
        </w:rPr>
        <w:t>%</w:t>
      </w:r>
      <w:r>
        <w:rPr>
          <w:sz w:val="16"/>
          <w:szCs w:val="16"/>
        </w:rPr>
        <w:t>.</w:t>
      </w:r>
      <w:r w:rsidRPr="0072547F">
        <w:rPr>
          <w:sz w:val="16"/>
          <w:szCs w:val="16"/>
        </w:rPr>
        <w:t xml:space="preserve"> S</w:t>
      </w:r>
      <w:r>
        <w:rPr>
          <w:sz w:val="16"/>
          <w:szCs w:val="16"/>
        </w:rPr>
        <w:t>rovnatelný propad zde přitom v novodobé éře nastal</w:t>
      </w:r>
      <w:r w:rsidRPr="0072547F">
        <w:rPr>
          <w:sz w:val="16"/>
          <w:szCs w:val="16"/>
        </w:rPr>
        <w:t xml:space="preserve"> pouze během let 2008 až 2009.</w:t>
      </w:r>
    </w:p>
  </w:footnote>
  <w:footnote w:id="4">
    <w:p w14:paraId="79C27467" w14:textId="77777777" w:rsidR="00EC6B23" w:rsidRPr="0013125D" w:rsidRDefault="00EC6B23" w:rsidP="00EC6B23">
      <w:pPr>
        <w:pStyle w:val="Textpoznpodarou"/>
        <w:rPr>
          <w:sz w:val="16"/>
          <w:szCs w:val="16"/>
        </w:rPr>
      </w:pPr>
      <w:r w:rsidRPr="0013125D">
        <w:rPr>
          <w:rStyle w:val="Znakapoznpodarou"/>
          <w:sz w:val="16"/>
          <w:szCs w:val="16"/>
        </w:rPr>
        <w:footnoteRef/>
      </w:r>
      <w:r w:rsidRPr="0013125D">
        <w:rPr>
          <w:sz w:val="16"/>
          <w:szCs w:val="16"/>
        </w:rPr>
        <w:t xml:space="preserve"> Z</w:t>
      </w:r>
      <w:r>
        <w:rPr>
          <w:sz w:val="16"/>
          <w:szCs w:val="16"/>
        </w:rPr>
        <w:t>a svým vrcholem z období let 2015 až 2019 letos v 1</w:t>
      </w:r>
      <w:r w:rsidRPr="0013125D">
        <w:rPr>
          <w:sz w:val="16"/>
          <w:szCs w:val="16"/>
        </w:rPr>
        <w:t xml:space="preserve">. </w:t>
      </w:r>
      <w:r>
        <w:rPr>
          <w:sz w:val="16"/>
          <w:szCs w:val="16"/>
        </w:rPr>
        <w:t>čtvrtletí zaostávalo 17 z 25 hlavních</w:t>
      </w:r>
      <w:r w:rsidRPr="0013125D">
        <w:rPr>
          <w:sz w:val="16"/>
          <w:szCs w:val="16"/>
        </w:rPr>
        <w:t xml:space="preserve"> prů</w:t>
      </w:r>
      <w:r>
        <w:rPr>
          <w:sz w:val="16"/>
          <w:szCs w:val="16"/>
        </w:rPr>
        <w:t xml:space="preserve">myslových oborů – nejvíce těžba uhlí </w:t>
      </w:r>
      <w:r w:rsidRPr="004369AC">
        <w:rPr>
          <w:spacing w:val="2"/>
          <w:sz w:val="16"/>
          <w:szCs w:val="16"/>
        </w:rPr>
        <w:t>(</w:t>
      </w:r>
      <w:r w:rsidRPr="004369AC">
        <w:rPr>
          <w:rFonts w:cs="Arial"/>
          <w:color w:val="0D0D0D" w:themeColor="text1" w:themeTint="F2"/>
          <w:spacing w:val="2"/>
          <w:sz w:val="16"/>
          <w:szCs w:val="16"/>
        </w:rPr>
        <w:t>o </w:t>
      </w:r>
      <w:r w:rsidRPr="004369AC">
        <w:rPr>
          <w:spacing w:val="2"/>
          <w:sz w:val="16"/>
          <w:szCs w:val="16"/>
        </w:rPr>
        <w:t>58</w:t>
      </w:r>
      <w:r w:rsidRPr="004369AC">
        <w:rPr>
          <w:rFonts w:cs="Arial"/>
          <w:color w:val="0D0D0D" w:themeColor="text1" w:themeTint="F2"/>
          <w:spacing w:val="2"/>
          <w:sz w:val="16"/>
          <w:szCs w:val="16"/>
        </w:rPr>
        <w:t> </w:t>
      </w:r>
      <w:r w:rsidRPr="004369AC">
        <w:rPr>
          <w:spacing w:val="2"/>
          <w:sz w:val="16"/>
          <w:szCs w:val="16"/>
        </w:rPr>
        <w:t>%), výroba základních kovů, hutn</w:t>
      </w:r>
      <w:r>
        <w:rPr>
          <w:spacing w:val="2"/>
          <w:sz w:val="16"/>
          <w:szCs w:val="16"/>
        </w:rPr>
        <w:t>í zpracování a slévárenství (−30 %), textilní průmysl</w:t>
      </w:r>
      <w:r w:rsidRPr="004369AC">
        <w:rPr>
          <w:spacing w:val="2"/>
          <w:sz w:val="16"/>
          <w:szCs w:val="16"/>
        </w:rPr>
        <w:t xml:space="preserve"> </w:t>
      </w:r>
      <w:r>
        <w:rPr>
          <w:spacing w:val="2"/>
          <w:sz w:val="16"/>
          <w:szCs w:val="16"/>
        </w:rPr>
        <w:t xml:space="preserve">a </w:t>
      </w:r>
      <w:r w:rsidRPr="004369AC">
        <w:rPr>
          <w:spacing w:val="2"/>
          <w:sz w:val="16"/>
          <w:szCs w:val="16"/>
        </w:rPr>
        <w:t xml:space="preserve">energetika </w:t>
      </w:r>
      <w:r>
        <w:rPr>
          <w:spacing w:val="2"/>
          <w:sz w:val="16"/>
          <w:szCs w:val="16"/>
        </w:rPr>
        <w:t>(shodně −</w:t>
      </w:r>
      <w:r w:rsidRPr="004369AC">
        <w:rPr>
          <w:spacing w:val="2"/>
          <w:sz w:val="16"/>
          <w:szCs w:val="16"/>
        </w:rPr>
        <w:t xml:space="preserve">20 %) </w:t>
      </w:r>
      <w:r>
        <w:rPr>
          <w:spacing w:val="2"/>
          <w:sz w:val="16"/>
          <w:szCs w:val="16"/>
        </w:rPr>
        <w:br/>
      </w:r>
      <w:r w:rsidRPr="004369AC">
        <w:rPr>
          <w:spacing w:val="2"/>
          <w:sz w:val="16"/>
          <w:szCs w:val="16"/>
        </w:rPr>
        <w:t>a tiskárenství (</w:t>
      </w:r>
      <w:r>
        <w:rPr>
          <w:spacing w:val="2"/>
          <w:sz w:val="16"/>
          <w:szCs w:val="16"/>
        </w:rPr>
        <w:t>−</w:t>
      </w:r>
      <w:r w:rsidRPr="004369AC">
        <w:rPr>
          <w:sz w:val="16"/>
          <w:szCs w:val="16"/>
        </w:rPr>
        <w:t>19</w:t>
      </w:r>
      <w:r w:rsidRPr="004369AC">
        <w:rPr>
          <w:rFonts w:cs="Arial"/>
          <w:color w:val="0D0D0D" w:themeColor="text1" w:themeTint="F2"/>
          <w:sz w:val="16"/>
          <w:szCs w:val="16"/>
        </w:rPr>
        <w:t> </w:t>
      </w:r>
      <w:r w:rsidRPr="004369AC">
        <w:rPr>
          <w:sz w:val="16"/>
          <w:szCs w:val="16"/>
        </w:rPr>
        <w:t>%).</w:t>
      </w:r>
      <w:r>
        <w:rPr>
          <w:sz w:val="16"/>
          <w:szCs w:val="16"/>
        </w:rPr>
        <w:t xml:space="preserve"> Z větších oborů dále zejména chemický (−12 %) a strojírenský průmysl (−11 %) a kovovýroba (−5 %). Naopak nad předkrizovou úrovní produkce se aktuálně nacházela zejména výroba ostatních dopravních prostředků (+20 %), farmacie (+18 %), výroba motorových vozidel (+16 %), ostatní zpracovatelský průmysl (+15 %), elektrotechnický průmysl (+13 %), papírenský průmysl (+12 %), a z dalších oborů např. potravinářství (+4 %).</w:t>
      </w:r>
    </w:p>
  </w:footnote>
  <w:footnote w:id="5">
    <w:p w14:paraId="33F883D0" w14:textId="77777777" w:rsidR="00EC6B23" w:rsidRPr="005002C2" w:rsidRDefault="00EC6B23" w:rsidP="00EC6B23">
      <w:pPr>
        <w:pStyle w:val="Textpoznpodarou"/>
        <w:rPr>
          <w:sz w:val="16"/>
          <w:szCs w:val="16"/>
        </w:rPr>
      </w:pPr>
      <w:r w:rsidRPr="005002C2">
        <w:rPr>
          <w:rStyle w:val="Znakapoznpodarou"/>
          <w:sz w:val="16"/>
          <w:szCs w:val="16"/>
        </w:rPr>
        <w:footnoteRef/>
      </w:r>
      <w:r w:rsidRPr="005002C2">
        <w:rPr>
          <w:sz w:val="16"/>
          <w:szCs w:val="16"/>
        </w:rPr>
        <w:t xml:space="preserve"> Za celý rok 2023 se vý</w:t>
      </w:r>
      <w:r>
        <w:rPr>
          <w:sz w:val="16"/>
          <w:szCs w:val="16"/>
        </w:rPr>
        <w:t>kon energetiky snížil o 11,1 %, tedy</w:t>
      </w:r>
      <w:r w:rsidRPr="005002C2">
        <w:rPr>
          <w:sz w:val="16"/>
          <w:szCs w:val="16"/>
        </w:rPr>
        <w:t xml:space="preserve"> zdaleka nejvíce ve srovnatelné řadě po roce 2000. </w:t>
      </w:r>
    </w:p>
  </w:footnote>
  <w:footnote w:id="6">
    <w:p w14:paraId="5FE587B8" w14:textId="77777777" w:rsidR="00EC6B23" w:rsidRPr="0011709E" w:rsidRDefault="00EC6B23" w:rsidP="00EC6B23">
      <w:pPr>
        <w:pStyle w:val="Textpoznpodarou"/>
        <w:rPr>
          <w:sz w:val="16"/>
          <w:szCs w:val="16"/>
        </w:rPr>
      </w:pPr>
      <w:r w:rsidRPr="002B00F4">
        <w:rPr>
          <w:rStyle w:val="Znakapoznpodarou"/>
          <w:sz w:val="16"/>
          <w:szCs w:val="16"/>
        </w:rPr>
        <w:footnoteRef/>
      </w:r>
      <w:r w:rsidRPr="002B00F4">
        <w:rPr>
          <w:sz w:val="16"/>
          <w:szCs w:val="16"/>
        </w:rPr>
        <w:t xml:space="preserve"> Průměrná teplota ovzduší v ČR byla dle Českého hydrometeorologického úřadu v únoru o 6,1 stupně Celsia vyšší než dlouhodobý </w:t>
      </w:r>
      <w:r w:rsidRPr="0011709E">
        <w:rPr>
          <w:sz w:val="16"/>
          <w:szCs w:val="16"/>
        </w:rPr>
        <w:t xml:space="preserve">průměr (z období </w:t>
      </w:r>
      <w:r>
        <w:rPr>
          <w:sz w:val="16"/>
          <w:szCs w:val="16"/>
        </w:rPr>
        <w:t xml:space="preserve">let </w:t>
      </w:r>
      <w:r w:rsidRPr="0011709E">
        <w:rPr>
          <w:sz w:val="16"/>
          <w:szCs w:val="16"/>
        </w:rPr>
        <w:t>1991</w:t>
      </w:r>
      <w:r>
        <w:rPr>
          <w:sz w:val="16"/>
          <w:szCs w:val="16"/>
        </w:rPr>
        <w:t>–</w:t>
      </w:r>
      <w:r w:rsidRPr="0011709E">
        <w:rPr>
          <w:sz w:val="16"/>
          <w:szCs w:val="16"/>
        </w:rPr>
        <w:t xml:space="preserve">2020), v březnu o 3,8 stupně a </w:t>
      </w:r>
      <w:r>
        <w:rPr>
          <w:sz w:val="16"/>
          <w:szCs w:val="16"/>
        </w:rPr>
        <w:t xml:space="preserve">v </w:t>
      </w:r>
      <w:r w:rsidRPr="0011709E">
        <w:rPr>
          <w:sz w:val="16"/>
          <w:szCs w:val="16"/>
        </w:rPr>
        <w:t>lednu o 0,9 stupně.</w:t>
      </w:r>
    </w:p>
  </w:footnote>
  <w:footnote w:id="7">
    <w:p w14:paraId="039490CA" w14:textId="77777777" w:rsidR="00EC6B23" w:rsidRDefault="00EC6B23" w:rsidP="00EC6B23">
      <w:pPr>
        <w:pStyle w:val="Textpoznpodarou"/>
      </w:pPr>
      <w:r w:rsidRPr="0011709E">
        <w:rPr>
          <w:rStyle w:val="Znakapoznpodarou"/>
          <w:sz w:val="16"/>
          <w:szCs w:val="16"/>
        </w:rPr>
        <w:footnoteRef/>
      </w:r>
      <w:r w:rsidRPr="0011709E">
        <w:rPr>
          <w:sz w:val="16"/>
          <w:szCs w:val="16"/>
        </w:rPr>
        <w:t xml:space="preserve"> </w:t>
      </w:r>
      <w:r w:rsidRPr="0011709E">
        <w:rPr>
          <w:color w:val="0D0D0D" w:themeColor="text1" w:themeTint="F2"/>
          <w:spacing w:val="-4"/>
          <w:sz w:val="16"/>
          <w:szCs w:val="16"/>
        </w:rPr>
        <w:t>Dle předběžných</w:t>
      </w:r>
      <w:r>
        <w:rPr>
          <w:color w:val="0D0D0D" w:themeColor="text1" w:themeTint="F2"/>
          <w:spacing w:val="-4"/>
          <w:sz w:val="16"/>
          <w:szCs w:val="16"/>
        </w:rPr>
        <w:t xml:space="preserve"> </w:t>
      </w:r>
      <w:r w:rsidRPr="00201E70">
        <w:rPr>
          <w:color w:val="0D0D0D" w:themeColor="text1" w:themeTint="F2"/>
          <w:spacing w:val="-4"/>
          <w:sz w:val="16"/>
          <w:szCs w:val="16"/>
        </w:rPr>
        <w:t xml:space="preserve">údajů </w:t>
      </w:r>
      <w:r>
        <w:rPr>
          <w:color w:val="0D0D0D" w:themeColor="text1" w:themeTint="F2"/>
          <w:spacing w:val="-4"/>
          <w:sz w:val="16"/>
          <w:szCs w:val="16"/>
        </w:rPr>
        <w:t>E</w:t>
      </w:r>
      <w:r w:rsidRPr="00201E70">
        <w:rPr>
          <w:color w:val="0D0D0D" w:themeColor="text1" w:themeTint="F2"/>
          <w:spacing w:val="-4"/>
          <w:sz w:val="16"/>
          <w:szCs w:val="16"/>
        </w:rPr>
        <w:t xml:space="preserve">nergetického regulačního </w:t>
      </w:r>
      <w:r>
        <w:rPr>
          <w:color w:val="0D0D0D" w:themeColor="text1" w:themeTint="F2"/>
          <w:spacing w:val="-4"/>
          <w:sz w:val="16"/>
          <w:szCs w:val="16"/>
        </w:rPr>
        <w:t>úřadu se fyzická spotřeba zemního plynu v ČR v 1. čtvrtletí 2024 snížila o 4,3 % (meziroční pokles nastal jedenáctý kvartál v řadě). Spotřeba přepočtená na dlouhodobý teplotní normál se ovšem mírně zvýšila (+0,5 %), k nárůstu zde předtím došlo naposledy ve 2. čtvrtletí 2021.</w:t>
      </w:r>
    </w:p>
  </w:footnote>
  <w:footnote w:id="8">
    <w:p w14:paraId="75833AEB" w14:textId="77777777" w:rsidR="00EC6B23" w:rsidRDefault="00EC6B23" w:rsidP="00EC6B23">
      <w:pPr>
        <w:pStyle w:val="Textpoznpodarou"/>
      </w:pPr>
      <w:r w:rsidRPr="0011709E">
        <w:rPr>
          <w:rStyle w:val="Znakapoznpodarou"/>
          <w:sz w:val="16"/>
          <w:szCs w:val="16"/>
        </w:rPr>
        <w:footnoteRef/>
      </w:r>
      <w:r w:rsidRPr="0011709E">
        <w:rPr>
          <w:sz w:val="16"/>
          <w:szCs w:val="16"/>
        </w:rPr>
        <w:t xml:space="preserve"> </w:t>
      </w:r>
      <w:r w:rsidRPr="0011709E">
        <w:rPr>
          <w:rFonts w:eastAsia="Times New Roman" w:cs="Arial"/>
          <w:color w:val="0D0D0D" w:themeColor="text1" w:themeTint="F2"/>
          <w:spacing w:val="-4"/>
          <w:sz w:val="16"/>
          <w:szCs w:val="16"/>
        </w:rPr>
        <w:t>Dle Evropského</w:t>
      </w:r>
      <w:r w:rsidRPr="00E1174E">
        <w:rPr>
          <w:rFonts w:eastAsia="Times New Roman" w:cs="Arial"/>
          <w:color w:val="0D0D0D" w:themeColor="text1" w:themeTint="F2"/>
          <w:spacing w:val="-4"/>
          <w:sz w:val="16"/>
          <w:szCs w:val="16"/>
        </w:rPr>
        <w:t xml:space="preserve"> sdružení výrobců</w:t>
      </w:r>
      <w:r>
        <w:rPr>
          <w:rFonts w:eastAsia="Times New Roman" w:cs="Arial"/>
          <w:color w:val="0D0D0D" w:themeColor="text1" w:themeTint="F2"/>
          <w:spacing w:val="-4"/>
          <w:sz w:val="16"/>
          <w:szCs w:val="16"/>
        </w:rPr>
        <w:t xml:space="preserve"> automobilů vzrostly za leden až duben 2024</w:t>
      </w:r>
      <w:r w:rsidRPr="00E1174E">
        <w:rPr>
          <w:rFonts w:eastAsia="Times New Roman" w:cs="Arial"/>
          <w:color w:val="0D0D0D" w:themeColor="text1" w:themeTint="F2"/>
          <w:spacing w:val="-4"/>
          <w:sz w:val="16"/>
          <w:szCs w:val="16"/>
        </w:rPr>
        <w:t xml:space="preserve"> počty registrací nových osobních aut v EU meziro</w:t>
      </w:r>
      <w:r>
        <w:rPr>
          <w:rFonts w:eastAsia="Times New Roman" w:cs="Arial"/>
          <w:color w:val="0D0D0D" w:themeColor="text1" w:themeTint="F2"/>
          <w:spacing w:val="-4"/>
          <w:sz w:val="16"/>
          <w:szCs w:val="16"/>
        </w:rPr>
        <w:t>čně o 8 %, ještě svižnější dynamiky přitom vykázal segment elektrických vozidel.</w:t>
      </w:r>
    </w:p>
  </w:footnote>
  <w:footnote w:id="9">
    <w:p w14:paraId="467849A6" w14:textId="77777777" w:rsidR="00EC6B23" w:rsidRPr="00E1174E" w:rsidRDefault="00EC6B23" w:rsidP="00EC6B23">
      <w:pPr>
        <w:pStyle w:val="Textpoznpodarou"/>
        <w:rPr>
          <w:color w:val="0D0D0D" w:themeColor="text1" w:themeTint="F2"/>
          <w:sz w:val="16"/>
          <w:szCs w:val="16"/>
        </w:rPr>
      </w:pPr>
      <w:r w:rsidRPr="00E1174E">
        <w:rPr>
          <w:rStyle w:val="Znakapoznpodarou"/>
          <w:color w:val="0D0D0D" w:themeColor="text1" w:themeTint="F2"/>
          <w:sz w:val="16"/>
          <w:szCs w:val="16"/>
        </w:rPr>
        <w:footnoteRef/>
      </w:r>
      <w:r w:rsidRPr="00E1174E">
        <w:rPr>
          <w:color w:val="0D0D0D" w:themeColor="text1" w:themeTint="F2"/>
          <w:sz w:val="16"/>
          <w:szCs w:val="16"/>
        </w:rPr>
        <w:t xml:space="preserve"> Dle Sdružení automobilo</w:t>
      </w:r>
      <w:r>
        <w:rPr>
          <w:color w:val="0D0D0D" w:themeColor="text1" w:themeTint="F2"/>
          <w:sz w:val="16"/>
          <w:szCs w:val="16"/>
        </w:rPr>
        <w:t>vého průmyslu bylo za první čtyři měsíce letošního roku v Česku vyrobeno 531 tis. osobních automobilů (meziročně o 14 % více a současně 7 % více než v rekordním roce 2017</w:t>
      </w:r>
      <w:r w:rsidRPr="00E1174E">
        <w:rPr>
          <w:color w:val="0D0D0D" w:themeColor="text1" w:themeTint="F2"/>
          <w:sz w:val="16"/>
          <w:szCs w:val="16"/>
        </w:rPr>
        <w:t xml:space="preserve">). </w:t>
      </w:r>
      <w:r>
        <w:rPr>
          <w:color w:val="0D0D0D" w:themeColor="text1" w:themeTint="F2"/>
          <w:spacing w:val="-3"/>
          <w:sz w:val="16"/>
          <w:szCs w:val="16"/>
        </w:rPr>
        <w:t xml:space="preserve">Kromě března byla letos dosud výroba </w:t>
      </w:r>
      <w:r w:rsidRPr="00E1174E">
        <w:rPr>
          <w:color w:val="0D0D0D" w:themeColor="text1" w:themeTint="F2"/>
          <w:spacing w:val="-3"/>
          <w:sz w:val="16"/>
          <w:szCs w:val="16"/>
        </w:rPr>
        <w:t xml:space="preserve">v rámci shodných měsíců dokonce nejvyšší v historii. </w:t>
      </w:r>
      <w:r>
        <w:rPr>
          <w:color w:val="0D0D0D" w:themeColor="text1" w:themeTint="F2"/>
          <w:spacing w:val="-3"/>
          <w:sz w:val="16"/>
          <w:szCs w:val="16"/>
        </w:rPr>
        <w:t>Na rozdíl od předchozích let se vyznačovala nebývalou rovnoměrností (ve všech měsících výroba mírně překročila 130 tis. vozů), což naznačuje výrazné zklidnění v oblasti dodavatelských řetězců. K meziročnímu poklesu naopak došlo ve výrobě elektrických vozidel</w:t>
      </w:r>
      <w:r w:rsidRPr="00E1174E">
        <w:rPr>
          <w:color w:val="0D0D0D" w:themeColor="text1" w:themeTint="F2"/>
          <w:spacing w:val="-3"/>
          <w:sz w:val="16"/>
          <w:szCs w:val="16"/>
        </w:rPr>
        <w:t xml:space="preserve"> (vč. vozů s hybridní</w:t>
      </w:r>
      <w:r>
        <w:rPr>
          <w:color w:val="0D0D0D" w:themeColor="text1" w:themeTint="F2"/>
          <w:spacing w:val="-3"/>
          <w:sz w:val="16"/>
          <w:szCs w:val="16"/>
        </w:rPr>
        <w:t>m pohonem), které se zatím letos na celkové produkci</w:t>
      </w:r>
      <w:r w:rsidRPr="00E1174E">
        <w:rPr>
          <w:color w:val="0D0D0D" w:themeColor="text1" w:themeTint="F2"/>
          <w:spacing w:val="-3"/>
          <w:sz w:val="16"/>
          <w:szCs w:val="16"/>
        </w:rPr>
        <w:t xml:space="preserve"> osobních automobilů</w:t>
      </w:r>
      <w:r>
        <w:rPr>
          <w:color w:val="0D0D0D" w:themeColor="text1" w:themeTint="F2"/>
          <w:spacing w:val="-3"/>
          <w:sz w:val="16"/>
          <w:szCs w:val="16"/>
        </w:rPr>
        <w:t xml:space="preserve"> podílely 7,5 % (o rok dříve 12,1 %). Meziroční posílení výroby</w:t>
      </w:r>
      <w:r w:rsidRPr="00E1174E">
        <w:rPr>
          <w:color w:val="0D0D0D" w:themeColor="text1" w:themeTint="F2"/>
          <w:spacing w:val="-3"/>
          <w:sz w:val="16"/>
          <w:szCs w:val="16"/>
        </w:rPr>
        <w:t xml:space="preserve"> </w:t>
      </w:r>
      <w:r>
        <w:rPr>
          <w:color w:val="0D0D0D" w:themeColor="text1" w:themeTint="F2"/>
          <w:spacing w:val="-3"/>
          <w:sz w:val="16"/>
          <w:szCs w:val="16"/>
        </w:rPr>
        <w:t xml:space="preserve">bylo naopak zaznamenáno u </w:t>
      </w:r>
      <w:r w:rsidRPr="00E1174E">
        <w:rPr>
          <w:color w:val="0D0D0D" w:themeColor="text1" w:themeTint="F2"/>
          <w:spacing w:val="-3"/>
          <w:sz w:val="16"/>
          <w:szCs w:val="16"/>
        </w:rPr>
        <w:t>vý</w:t>
      </w:r>
      <w:r>
        <w:rPr>
          <w:color w:val="0D0D0D" w:themeColor="text1" w:themeTint="F2"/>
          <w:spacing w:val="-3"/>
          <w:sz w:val="16"/>
          <w:szCs w:val="16"/>
        </w:rPr>
        <w:t>robců</w:t>
      </w:r>
      <w:r w:rsidRPr="00E1174E">
        <w:rPr>
          <w:color w:val="0D0D0D" w:themeColor="text1" w:themeTint="F2"/>
          <w:spacing w:val="-3"/>
          <w:sz w:val="16"/>
          <w:szCs w:val="16"/>
        </w:rPr>
        <w:t xml:space="preserve"> ostatních druhů silničních motorových vozidel.</w:t>
      </w:r>
    </w:p>
  </w:footnote>
  <w:footnote w:id="10">
    <w:p w14:paraId="0FAE3DF3" w14:textId="77777777" w:rsidR="00EC6B23" w:rsidRPr="00FB58F4" w:rsidRDefault="00EC6B23" w:rsidP="00EC6B23">
      <w:pPr>
        <w:pStyle w:val="Textpoznpodarou"/>
        <w:jc w:val="both"/>
        <w:rPr>
          <w:rFonts w:cs="Arial"/>
          <w:color w:val="0D0D0D" w:themeColor="text1" w:themeTint="F2"/>
          <w:spacing w:val="-2"/>
          <w:sz w:val="16"/>
          <w:szCs w:val="16"/>
        </w:rPr>
      </w:pPr>
      <w:r w:rsidRPr="00F33536">
        <w:rPr>
          <w:rStyle w:val="Znakapoznpodarou"/>
          <w:rFonts w:cs="Arial"/>
          <w:color w:val="0D0D0D" w:themeColor="text1" w:themeTint="F2"/>
          <w:spacing w:val="-2"/>
          <w:sz w:val="16"/>
          <w:szCs w:val="16"/>
        </w:rPr>
        <w:footnoteRef/>
      </w:r>
      <w:r w:rsidRPr="00F33536">
        <w:rPr>
          <w:rFonts w:cs="Arial"/>
          <w:color w:val="0D0D0D" w:themeColor="text1" w:themeTint="F2"/>
          <w:spacing w:val="-2"/>
          <w:sz w:val="16"/>
          <w:szCs w:val="16"/>
        </w:rPr>
        <w:t xml:space="preserve"> Zjišťování zakázek probíhá jen ve dvanácti zpracovatelských odvětvích vyrábějících převážně na zakázku, s dlouhodobějším výrobním cyklem a s většími zásobami zakázek. Meziroční tempa zakázek j</w:t>
      </w:r>
      <w:r>
        <w:rPr>
          <w:rFonts w:cs="Arial"/>
          <w:color w:val="0D0D0D" w:themeColor="text1" w:themeTint="F2"/>
          <w:spacing w:val="-2"/>
          <w:sz w:val="16"/>
          <w:szCs w:val="16"/>
        </w:rPr>
        <w:t>sou očištěna o kalendářní vlivy, mezikvartální tempa také o vliv sezónnosti.</w:t>
      </w:r>
    </w:p>
  </w:footnote>
  <w:footnote w:id="11">
    <w:p w14:paraId="2A8B422F" w14:textId="77777777" w:rsidR="00EC6B23" w:rsidRPr="0004570A" w:rsidRDefault="00EC6B23" w:rsidP="00EC6B23">
      <w:pPr>
        <w:pStyle w:val="Textpoznpodarou"/>
        <w:rPr>
          <w:sz w:val="16"/>
          <w:szCs w:val="16"/>
        </w:rPr>
      </w:pPr>
      <w:r w:rsidRPr="0004570A">
        <w:rPr>
          <w:rStyle w:val="Znakapoznpodarou"/>
          <w:sz w:val="16"/>
          <w:szCs w:val="16"/>
        </w:rPr>
        <w:footnoteRef/>
      </w:r>
      <w:r w:rsidRPr="0004570A">
        <w:rPr>
          <w:sz w:val="16"/>
          <w:szCs w:val="16"/>
        </w:rPr>
        <w:t xml:space="preserve"> Podniky mohou uvést více růstových bariér současně.</w:t>
      </w:r>
    </w:p>
  </w:footnote>
  <w:footnote w:id="12">
    <w:p w14:paraId="3B76D3AD" w14:textId="77777777" w:rsidR="00EC6B23" w:rsidRPr="00291A49" w:rsidRDefault="00EC6B23" w:rsidP="00EC6B23">
      <w:pPr>
        <w:pStyle w:val="Textpoznpodarou"/>
        <w:rPr>
          <w:sz w:val="16"/>
          <w:szCs w:val="16"/>
        </w:rPr>
      </w:pPr>
      <w:r w:rsidRPr="00291A49">
        <w:rPr>
          <w:rStyle w:val="Znakapoznpodarou"/>
          <w:sz w:val="16"/>
          <w:szCs w:val="16"/>
        </w:rPr>
        <w:footnoteRef/>
      </w:r>
      <w:r w:rsidRPr="00291A49">
        <w:rPr>
          <w:sz w:val="16"/>
          <w:szCs w:val="16"/>
        </w:rPr>
        <w:t xml:space="preserve"> Dle kon</w:t>
      </w:r>
      <w:r>
        <w:rPr>
          <w:sz w:val="16"/>
          <w:szCs w:val="16"/>
        </w:rPr>
        <w:t xml:space="preserve">junkturálních průzkumů z května 2024 očekávala </w:t>
      </w:r>
      <w:r w:rsidRPr="00291A49">
        <w:rPr>
          <w:sz w:val="16"/>
          <w:szCs w:val="16"/>
        </w:rPr>
        <w:t xml:space="preserve">růst cen vlastní produkce </w:t>
      </w:r>
      <w:r>
        <w:rPr>
          <w:sz w:val="16"/>
          <w:szCs w:val="16"/>
        </w:rPr>
        <w:t xml:space="preserve">(v horizontu tří měsíců) stále více než třetina tuzemských </w:t>
      </w:r>
      <w:r w:rsidRPr="00291A49">
        <w:rPr>
          <w:sz w:val="16"/>
          <w:szCs w:val="16"/>
        </w:rPr>
        <w:t>stavebních p</w:t>
      </w:r>
      <w:r>
        <w:rPr>
          <w:sz w:val="16"/>
          <w:szCs w:val="16"/>
        </w:rPr>
        <w:t xml:space="preserve">odniků. Šlo jednoznačně </w:t>
      </w:r>
      <w:r w:rsidRPr="00291A49">
        <w:rPr>
          <w:sz w:val="16"/>
          <w:szCs w:val="16"/>
        </w:rPr>
        <w:t>o nejvyšší podíl me</w:t>
      </w:r>
      <w:r>
        <w:rPr>
          <w:sz w:val="16"/>
          <w:szCs w:val="16"/>
        </w:rPr>
        <w:t>zi všemi hlavními odvětvími</w:t>
      </w:r>
      <w:r w:rsidRPr="00291A49">
        <w:rPr>
          <w:sz w:val="16"/>
          <w:szCs w:val="16"/>
        </w:rPr>
        <w:t>.</w:t>
      </w:r>
      <w:r>
        <w:rPr>
          <w:sz w:val="16"/>
          <w:szCs w:val="16"/>
        </w:rPr>
        <w:t xml:space="preserve"> Zatímco v těchto odvětvích inflační tlaky již z velké části vyprchaly, ve stavebnictví se vlivem delšího výrobního cyklu projevuje vyšší setrvačnost.</w:t>
      </w:r>
    </w:p>
  </w:footnote>
  <w:footnote w:id="13">
    <w:p w14:paraId="58A35C14" w14:textId="77777777" w:rsidR="00EC6B23" w:rsidRPr="000F6F33" w:rsidRDefault="00EC6B23" w:rsidP="00EC6B23">
      <w:pPr>
        <w:pStyle w:val="Textpoznpodarou"/>
        <w:rPr>
          <w:sz w:val="16"/>
          <w:szCs w:val="16"/>
        </w:rPr>
      </w:pPr>
      <w:r w:rsidRPr="000F6F33">
        <w:rPr>
          <w:rStyle w:val="Znakapoznpodarou"/>
          <w:sz w:val="16"/>
          <w:szCs w:val="16"/>
        </w:rPr>
        <w:footnoteRef/>
      </w:r>
      <w:r w:rsidRPr="000F6F33">
        <w:rPr>
          <w:sz w:val="16"/>
          <w:szCs w:val="16"/>
        </w:rPr>
        <w:t xml:space="preserve"> </w:t>
      </w:r>
      <w:r>
        <w:rPr>
          <w:sz w:val="16"/>
          <w:szCs w:val="16"/>
        </w:rPr>
        <w:t>Např. k</w:t>
      </w:r>
      <w:r w:rsidRPr="000F6F33">
        <w:rPr>
          <w:sz w:val="16"/>
          <w:szCs w:val="16"/>
        </w:rPr>
        <w:t>apitálové výdaje stá</w:t>
      </w:r>
      <w:r>
        <w:rPr>
          <w:sz w:val="16"/>
          <w:szCs w:val="16"/>
        </w:rPr>
        <w:t xml:space="preserve">tního rozpočtu ČR vzrostly letos od ledna do dubna meziročně o 4 % (na 55 </w:t>
      </w:r>
      <w:r w:rsidRPr="000F6F33">
        <w:rPr>
          <w:sz w:val="16"/>
          <w:szCs w:val="16"/>
        </w:rPr>
        <w:t>mld. korun</w:t>
      </w:r>
      <w:r>
        <w:rPr>
          <w:sz w:val="16"/>
          <w:szCs w:val="16"/>
        </w:rPr>
        <w:t>)</w:t>
      </w:r>
      <w:r w:rsidRPr="000F6F33">
        <w:rPr>
          <w:sz w:val="16"/>
          <w:szCs w:val="16"/>
        </w:rPr>
        <w:t>.</w:t>
      </w:r>
      <w:r>
        <w:rPr>
          <w:sz w:val="16"/>
          <w:szCs w:val="16"/>
        </w:rPr>
        <w:t xml:space="preserve"> Státní fond dopravní infrastruktury počítá na celý letošní rok s celkovými výdaji ve výši 150 mld. korun, což je jen nepatrně méně než v rekordním loňském roce (151 mld.). </w:t>
      </w:r>
    </w:p>
  </w:footnote>
  <w:footnote w:id="14">
    <w:p w14:paraId="0E104901" w14:textId="77777777" w:rsidR="00EC6B23" w:rsidRPr="002D2942" w:rsidRDefault="00EC6B23" w:rsidP="00EC6B23">
      <w:pPr>
        <w:pStyle w:val="Textpoznpodarou"/>
        <w:jc w:val="both"/>
        <w:rPr>
          <w:sz w:val="16"/>
          <w:szCs w:val="16"/>
        </w:rPr>
      </w:pPr>
      <w:r w:rsidRPr="002D2942">
        <w:rPr>
          <w:rStyle w:val="Znakapoznpodarou"/>
          <w:rFonts w:cs="Arial"/>
          <w:color w:val="0D0D0D" w:themeColor="text1" w:themeTint="F2"/>
          <w:sz w:val="16"/>
          <w:szCs w:val="16"/>
        </w:rPr>
        <w:footnoteRef/>
      </w:r>
      <w:r w:rsidRPr="002D2942">
        <w:rPr>
          <w:rFonts w:cs="Arial"/>
          <w:color w:val="0D0D0D" w:themeColor="text1" w:themeTint="F2"/>
          <w:sz w:val="16"/>
          <w:szCs w:val="16"/>
        </w:rPr>
        <w:t xml:space="preserve"> Údaje o stavební produkci jsou ve stálých cenách, meziroční tempa jsou očištěna o kalendářní vlivy, mezičtvrtletní též o vliv sezónnosti.</w:t>
      </w:r>
    </w:p>
  </w:footnote>
  <w:footnote w:id="15">
    <w:p w14:paraId="21CD67C2" w14:textId="77777777" w:rsidR="00EC6B23" w:rsidRPr="00013110" w:rsidRDefault="00EC6B23" w:rsidP="00EC6B23">
      <w:pPr>
        <w:pStyle w:val="Textpoznpodarou"/>
        <w:rPr>
          <w:sz w:val="16"/>
          <w:szCs w:val="16"/>
        </w:rPr>
      </w:pPr>
      <w:r w:rsidRPr="00013110">
        <w:rPr>
          <w:rStyle w:val="Znakapoznpodarou"/>
          <w:sz w:val="16"/>
          <w:szCs w:val="16"/>
        </w:rPr>
        <w:footnoteRef/>
      </w:r>
      <w:r w:rsidRPr="00013110">
        <w:rPr>
          <w:sz w:val="16"/>
          <w:szCs w:val="16"/>
        </w:rPr>
        <w:t xml:space="preserve"> </w:t>
      </w:r>
      <w:r w:rsidRPr="00013110">
        <w:rPr>
          <w:rStyle w:val="normaltextrun"/>
          <w:rFonts w:eastAsiaTheme="majorEastAsia" w:cs="Arial"/>
          <w:sz w:val="16"/>
          <w:szCs w:val="16"/>
        </w:rPr>
        <w:t>Jednalo se o nejteplejší únor zaznamenaný na území ČR v dostupné řadě od roku 1961 s rekordně vysokou odchylkou průměrné měsíční teploty vzduchu od normálu 1991–2020 (+6,1 °C</w:t>
      </w:r>
      <w:r>
        <w:rPr>
          <w:rStyle w:val="normaltextrun"/>
          <w:rFonts w:eastAsiaTheme="majorEastAsia" w:cs="Arial"/>
          <w:sz w:val="16"/>
          <w:szCs w:val="16"/>
        </w:rPr>
        <w:t>) a minimálním výskytem mrazivých</w:t>
      </w:r>
      <w:r w:rsidRPr="00013110">
        <w:rPr>
          <w:rStyle w:val="normaltextrun"/>
          <w:rFonts w:eastAsiaTheme="majorEastAsia" w:cs="Arial"/>
          <w:sz w:val="16"/>
          <w:szCs w:val="16"/>
        </w:rPr>
        <w:t xml:space="preserve"> dní (žádný den v únoru neklesla průměrná denní teplota pod +2 °C). Teplotně nadprůměrné (byť mírněji) byly i všechny ostatní měsíce letošní zimy. </w:t>
      </w:r>
      <w:r w:rsidRPr="00013110">
        <w:rPr>
          <w:rStyle w:val="eop"/>
          <w:rFonts w:cs="Arial"/>
          <w:sz w:val="16"/>
          <w:szCs w:val="16"/>
        </w:rPr>
        <w:t> </w:t>
      </w:r>
    </w:p>
  </w:footnote>
  <w:footnote w:id="16">
    <w:p w14:paraId="60124063" w14:textId="77777777" w:rsidR="00EC6B23" w:rsidRPr="006C33B2" w:rsidRDefault="00EC6B23" w:rsidP="00EC6B23">
      <w:pPr>
        <w:pStyle w:val="Textpoznpodarou"/>
        <w:rPr>
          <w:sz w:val="16"/>
          <w:szCs w:val="16"/>
        </w:rPr>
      </w:pPr>
      <w:r w:rsidRPr="006C33B2">
        <w:rPr>
          <w:rStyle w:val="Znakapoznpodarou"/>
          <w:sz w:val="16"/>
          <w:szCs w:val="16"/>
        </w:rPr>
        <w:footnoteRef/>
      </w:r>
      <w:r w:rsidRPr="006C33B2">
        <w:rPr>
          <w:sz w:val="16"/>
          <w:szCs w:val="16"/>
        </w:rPr>
        <w:t xml:space="preserve"> Zakázky jsou sledovány pouze u podniků s 50 a více zaměstnanci.</w:t>
      </w:r>
    </w:p>
  </w:footnote>
  <w:footnote w:id="17">
    <w:p w14:paraId="373CF7AC" w14:textId="77777777" w:rsidR="00EC6B23" w:rsidRPr="00E62461" w:rsidRDefault="00EC6B23" w:rsidP="00EC6B23">
      <w:pPr>
        <w:spacing w:after="0" w:line="240" w:lineRule="auto"/>
        <w:rPr>
          <w:spacing w:val="-2"/>
        </w:rPr>
      </w:pPr>
      <w:r w:rsidRPr="00E62461">
        <w:rPr>
          <w:rStyle w:val="Znakapoznpodarou"/>
          <w:color w:val="0D0D0D" w:themeColor="text1" w:themeTint="F2"/>
          <w:spacing w:val="-2"/>
          <w:sz w:val="16"/>
          <w:szCs w:val="16"/>
        </w:rPr>
        <w:footnoteRef/>
      </w:r>
      <w:r w:rsidRPr="00E62461">
        <w:rPr>
          <w:color w:val="0D0D0D" w:themeColor="text1" w:themeTint="F2"/>
          <w:spacing w:val="-2"/>
          <w:sz w:val="16"/>
          <w:szCs w:val="16"/>
        </w:rPr>
        <w:t xml:space="preserve"> Bez obchodu, peněžnictví, pojišťovnictví, vědy, výzkumu a veřejných služeb. Všechny údaje za tržby ve službách jsou ve stálých cenách, meziroční data jsou očištěna o kalendářní vlivy, mezičtvrtletní jsou očištěna o sezónní vlivy (včetně vlivu počtu pracovních dnů).</w:t>
      </w:r>
    </w:p>
  </w:footnote>
  <w:footnote w:id="18">
    <w:p w14:paraId="38F655EE" w14:textId="4A4AD64F" w:rsidR="00EC6B23" w:rsidRPr="00D60F26" w:rsidRDefault="00EC6B23" w:rsidP="00EC6B23">
      <w:pPr>
        <w:pStyle w:val="Textpoznpodarou"/>
        <w:rPr>
          <w:spacing w:val="-4"/>
          <w:sz w:val="16"/>
          <w:szCs w:val="16"/>
        </w:rPr>
      </w:pPr>
      <w:r w:rsidRPr="00D60F26">
        <w:rPr>
          <w:rStyle w:val="Znakapoznpodarou"/>
          <w:spacing w:val="-4"/>
          <w:sz w:val="16"/>
          <w:szCs w:val="16"/>
        </w:rPr>
        <w:footnoteRef/>
      </w:r>
      <w:r w:rsidRPr="00D60F26">
        <w:rPr>
          <w:spacing w:val="-4"/>
          <w:sz w:val="16"/>
          <w:szCs w:val="16"/>
        </w:rPr>
        <w:t xml:space="preserve"> Z hlavních</w:t>
      </w:r>
      <w:r>
        <w:rPr>
          <w:spacing w:val="-4"/>
          <w:sz w:val="16"/>
          <w:szCs w:val="16"/>
        </w:rPr>
        <w:t xml:space="preserve"> odvětví za úrovní z 2. čtvrtletí 2019 </w:t>
      </w:r>
      <w:r w:rsidRPr="00D60F26">
        <w:rPr>
          <w:spacing w:val="-4"/>
          <w:sz w:val="16"/>
          <w:szCs w:val="16"/>
        </w:rPr>
        <w:t xml:space="preserve">zaostávaly </w:t>
      </w:r>
      <w:r>
        <w:rPr>
          <w:spacing w:val="-4"/>
          <w:sz w:val="16"/>
          <w:szCs w:val="16"/>
        </w:rPr>
        <w:t xml:space="preserve">letos </w:t>
      </w:r>
      <w:r w:rsidRPr="00D60F26">
        <w:rPr>
          <w:spacing w:val="-4"/>
          <w:sz w:val="16"/>
          <w:szCs w:val="16"/>
        </w:rPr>
        <w:t>tržby nejvíce v ubytování, stravování a pohostinství (</w:t>
      </w:r>
      <w:r>
        <w:rPr>
          <w:spacing w:val="-4"/>
          <w:sz w:val="16"/>
          <w:szCs w:val="16"/>
        </w:rPr>
        <w:t>−14,2</w:t>
      </w:r>
      <w:r w:rsidRPr="00D60F26">
        <w:rPr>
          <w:spacing w:val="-4"/>
          <w:sz w:val="16"/>
          <w:szCs w:val="16"/>
        </w:rPr>
        <w:t xml:space="preserve"> %) </w:t>
      </w:r>
      <w:r>
        <w:rPr>
          <w:spacing w:val="-4"/>
          <w:sz w:val="16"/>
          <w:szCs w:val="16"/>
        </w:rPr>
        <w:br/>
      </w:r>
      <w:r w:rsidRPr="00D60F26">
        <w:rPr>
          <w:spacing w:val="-4"/>
          <w:sz w:val="16"/>
          <w:szCs w:val="16"/>
        </w:rPr>
        <w:t xml:space="preserve">a v </w:t>
      </w:r>
      <w:r w:rsidRPr="00D60F26">
        <w:rPr>
          <w:rFonts w:cs="Arial"/>
          <w:color w:val="0D0D0D" w:themeColor="text1" w:themeTint="F2"/>
          <w:spacing w:val="-4"/>
          <w:sz w:val="16"/>
          <w:szCs w:val="16"/>
        </w:rPr>
        <w:t>administrativních a podpůrných činnostech (</w:t>
      </w:r>
      <w:r w:rsidRPr="00D60F26">
        <w:rPr>
          <w:color w:val="0D0D0D" w:themeColor="text1" w:themeTint="F2"/>
          <w:spacing w:val="-4"/>
          <w:sz w:val="16"/>
          <w:szCs w:val="16"/>
        </w:rPr>
        <w:t>–</w:t>
      </w:r>
      <w:r>
        <w:rPr>
          <w:rFonts w:cs="Arial"/>
          <w:color w:val="0D0D0D" w:themeColor="text1" w:themeTint="F2"/>
          <w:spacing w:val="-4"/>
          <w:sz w:val="16"/>
          <w:szCs w:val="16"/>
        </w:rPr>
        <w:t>8,0</w:t>
      </w:r>
      <w:r w:rsidRPr="00D60F26">
        <w:rPr>
          <w:rFonts w:cs="Arial"/>
          <w:color w:val="0D0D0D" w:themeColor="text1" w:themeTint="F2"/>
          <w:spacing w:val="-4"/>
          <w:sz w:val="16"/>
          <w:szCs w:val="16"/>
        </w:rPr>
        <w:t xml:space="preserve"> %). </w:t>
      </w:r>
      <w:r>
        <w:rPr>
          <w:rFonts w:cs="Arial"/>
          <w:color w:val="0D0D0D" w:themeColor="text1" w:themeTint="F2"/>
          <w:spacing w:val="-4"/>
          <w:sz w:val="16"/>
          <w:szCs w:val="16"/>
        </w:rPr>
        <w:t>O</w:t>
      </w:r>
      <w:r w:rsidRPr="00D60F26">
        <w:rPr>
          <w:rFonts w:cs="Arial"/>
          <w:color w:val="0D0D0D" w:themeColor="text1" w:themeTint="F2"/>
          <w:spacing w:val="-4"/>
          <w:sz w:val="16"/>
          <w:szCs w:val="16"/>
        </w:rPr>
        <w:t>proti tom</w:t>
      </w:r>
      <w:r>
        <w:rPr>
          <w:rFonts w:cs="Arial"/>
          <w:color w:val="0D0D0D" w:themeColor="text1" w:themeTint="F2"/>
          <w:spacing w:val="-4"/>
          <w:sz w:val="16"/>
          <w:szCs w:val="16"/>
        </w:rPr>
        <w:t>u tuto úroveň překonaly zejména</w:t>
      </w:r>
      <w:r w:rsidRPr="00D60F26">
        <w:rPr>
          <w:spacing w:val="-4"/>
          <w:sz w:val="16"/>
          <w:szCs w:val="16"/>
        </w:rPr>
        <w:t> </w:t>
      </w:r>
      <w:r w:rsidRPr="00D60F26">
        <w:rPr>
          <w:rFonts w:cs="Arial"/>
          <w:color w:val="0D0D0D" w:themeColor="text1" w:themeTint="F2"/>
          <w:spacing w:val="-4"/>
          <w:sz w:val="16"/>
          <w:szCs w:val="16"/>
        </w:rPr>
        <w:t>informa</w:t>
      </w:r>
      <w:r>
        <w:rPr>
          <w:rFonts w:cs="Arial"/>
          <w:color w:val="0D0D0D" w:themeColor="text1" w:themeTint="F2"/>
          <w:spacing w:val="-4"/>
          <w:sz w:val="16"/>
          <w:szCs w:val="16"/>
        </w:rPr>
        <w:t>ční a</w:t>
      </w:r>
      <w:r w:rsidRPr="001A321F">
        <w:rPr>
          <w:spacing w:val="-2"/>
          <w:sz w:val="16"/>
          <w:szCs w:val="16"/>
        </w:rPr>
        <w:t> </w:t>
      </w:r>
      <w:r>
        <w:rPr>
          <w:rFonts w:cs="Arial"/>
          <w:color w:val="0D0D0D" w:themeColor="text1" w:themeTint="F2"/>
          <w:spacing w:val="-4"/>
          <w:sz w:val="16"/>
          <w:szCs w:val="16"/>
        </w:rPr>
        <w:t xml:space="preserve">komunikační činnosti </w:t>
      </w:r>
      <w:r>
        <w:rPr>
          <w:rFonts w:cs="Arial"/>
          <w:color w:val="0D0D0D" w:themeColor="text1" w:themeTint="F2"/>
          <w:spacing w:val="-4"/>
          <w:sz w:val="16"/>
          <w:szCs w:val="16"/>
        </w:rPr>
        <w:br/>
        <w:t>(+11,2</w:t>
      </w:r>
      <w:r w:rsidRPr="00D60F26">
        <w:rPr>
          <w:rFonts w:cs="Arial"/>
          <w:color w:val="0D0D0D" w:themeColor="text1" w:themeTint="F2"/>
          <w:spacing w:val="-4"/>
          <w:sz w:val="16"/>
          <w:szCs w:val="16"/>
        </w:rPr>
        <w:t xml:space="preserve"> %)</w:t>
      </w:r>
      <w:r>
        <w:rPr>
          <w:rFonts w:cs="Arial"/>
          <w:color w:val="0D0D0D" w:themeColor="text1" w:themeTint="F2"/>
          <w:spacing w:val="-4"/>
          <w:sz w:val="16"/>
          <w:szCs w:val="16"/>
        </w:rPr>
        <w:t xml:space="preserve"> a činnosti v oblasti nemovitostí (+4,5 %)</w:t>
      </w:r>
      <w:r w:rsidRPr="00D60F26">
        <w:rPr>
          <w:rFonts w:cs="Arial"/>
          <w:color w:val="0D0D0D" w:themeColor="text1" w:themeTint="F2"/>
          <w:spacing w:val="-4"/>
          <w:sz w:val="16"/>
          <w:szCs w:val="16"/>
        </w:rPr>
        <w:t>.</w:t>
      </w:r>
    </w:p>
  </w:footnote>
  <w:footnote w:id="19">
    <w:p w14:paraId="5D4B5A22" w14:textId="77777777" w:rsidR="00EC6B23" w:rsidRPr="00A85E31" w:rsidRDefault="00EC6B23" w:rsidP="00EC6B23">
      <w:pPr>
        <w:pStyle w:val="paragraph"/>
        <w:spacing w:before="0" w:beforeAutospacing="0" w:after="0" w:afterAutospacing="0"/>
        <w:textAlignment w:val="baseline"/>
        <w:rPr>
          <w:rFonts w:ascii="Arial" w:hAnsi="Arial" w:cs="Arial"/>
          <w:sz w:val="16"/>
          <w:szCs w:val="16"/>
        </w:rPr>
      </w:pPr>
      <w:r w:rsidRPr="00A85E31">
        <w:rPr>
          <w:rStyle w:val="Znakapoznpodarou"/>
          <w:rFonts w:ascii="Arial" w:hAnsi="Arial" w:cs="Arial"/>
          <w:sz w:val="16"/>
          <w:szCs w:val="16"/>
        </w:rPr>
        <w:footnoteRef/>
      </w:r>
      <w:r w:rsidRPr="00A85E31">
        <w:rPr>
          <w:rFonts w:ascii="Arial" w:hAnsi="Arial" w:cs="Arial"/>
          <w:sz w:val="16"/>
          <w:szCs w:val="16"/>
        </w:rPr>
        <w:t xml:space="preserve"> </w:t>
      </w:r>
      <w:r w:rsidRPr="00A85E31">
        <w:rPr>
          <w:rStyle w:val="normaltextrun"/>
          <w:rFonts w:ascii="Arial" w:hAnsi="Arial" w:cs="Arial"/>
          <w:sz w:val="16"/>
          <w:szCs w:val="16"/>
        </w:rPr>
        <w:t>Meziroční růst u přenocování byl tažen takřka výhradně hotely (kde jich přibylo o 10,5 % - nejvíce 5* - o 15,7 %). Naopak cel</w:t>
      </w:r>
      <w:r>
        <w:rPr>
          <w:rStyle w:val="normaltextrun"/>
          <w:rFonts w:ascii="Arial" w:hAnsi="Arial" w:cs="Arial"/>
          <w:sz w:val="16"/>
          <w:szCs w:val="16"/>
        </w:rPr>
        <w:t>ková poptávka v penzionech se vlivem poklesu počtu tuzemských hostů mírně snížil</w:t>
      </w:r>
      <w:r w:rsidRPr="00A85E31">
        <w:rPr>
          <w:rStyle w:val="normaltextrun"/>
          <w:rFonts w:ascii="Arial" w:hAnsi="Arial" w:cs="Arial"/>
          <w:sz w:val="16"/>
          <w:szCs w:val="16"/>
        </w:rPr>
        <w:t>a (</w:t>
      </w:r>
      <w:r>
        <w:rPr>
          <w:rStyle w:val="normaltextrun"/>
          <w:rFonts w:ascii="Arial" w:hAnsi="Arial" w:cs="Arial"/>
          <w:sz w:val="16"/>
          <w:szCs w:val="16"/>
        </w:rPr>
        <w:t>−</w:t>
      </w:r>
      <w:r w:rsidRPr="00A85E31">
        <w:rPr>
          <w:rStyle w:val="normaltextrun"/>
          <w:rFonts w:ascii="Arial" w:hAnsi="Arial" w:cs="Arial"/>
          <w:sz w:val="16"/>
          <w:szCs w:val="16"/>
        </w:rPr>
        <w:t xml:space="preserve">1,6 %). V kempech byl počet přenocování vyšší skoro o polovinu. Regionálně klesla celková poptávka v 5 krajích (nejvíce v Libereckém – o 5 %), z významné části vlivem úbytku domácí klientely v horských oblastech. Naopak v Praze počet přenocování vzrostl o 18,4 %, v některých krajích podpořilo poptávku </w:t>
      </w:r>
      <w:r>
        <w:rPr>
          <w:rStyle w:val="normaltextrun"/>
          <w:rFonts w:ascii="Arial" w:hAnsi="Arial" w:cs="Arial"/>
          <w:sz w:val="16"/>
          <w:szCs w:val="16"/>
        </w:rPr>
        <w:br/>
      </w:r>
      <w:r w:rsidRPr="00A85E31">
        <w:rPr>
          <w:rStyle w:val="normaltextrun"/>
          <w:rFonts w:ascii="Arial" w:hAnsi="Arial" w:cs="Arial"/>
          <w:sz w:val="16"/>
          <w:szCs w:val="16"/>
        </w:rPr>
        <w:t>i pořádání významných sportovních akcí (MS v cyklokrosu v Táboře a MS v biatlonu v Novém Městě na Moravě). Na Vysočině tak meziročně přibylo přenocování o 20 % (z toho nerezidentů o 44 %).</w:t>
      </w:r>
      <w:r w:rsidRPr="00A85E31">
        <w:rPr>
          <w:rStyle w:val="eop"/>
          <w:rFonts w:ascii="Arial" w:hAnsi="Arial" w:cs="Arial"/>
          <w:sz w:val="16"/>
          <w:szCs w:val="16"/>
        </w:rPr>
        <w:t> </w:t>
      </w:r>
    </w:p>
  </w:footnote>
  <w:footnote w:id="20">
    <w:p w14:paraId="2ECDBFEA" w14:textId="77777777" w:rsidR="00EC6B23" w:rsidRPr="00A85E31" w:rsidRDefault="00EC6B23" w:rsidP="00EC6B23">
      <w:pPr>
        <w:pStyle w:val="paragraph"/>
        <w:spacing w:before="0" w:beforeAutospacing="0" w:after="0" w:afterAutospacing="0"/>
        <w:textAlignment w:val="baseline"/>
        <w:rPr>
          <w:rStyle w:val="eop"/>
          <w:rFonts w:ascii="Arial" w:hAnsi="Arial" w:cs="Arial"/>
          <w:sz w:val="16"/>
          <w:szCs w:val="16"/>
        </w:rPr>
      </w:pPr>
      <w:r w:rsidRPr="00A85E31">
        <w:rPr>
          <w:rStyle w:val="Znakapoznpodarou"/>
          <w:rFonts w:ascii="Arial" w:hAnsi="Arial" w:cs="Arial"/>
          <w:sz w:val="16"/>
          <w:szCs w:val="16"/>
        </w:rPr>
        <w:footnoteRef/>
      </w:r>
      <w:r w:rsidRPr="00A85E31">
        <w:rPr>
          <w:rFonts w:ascii="Arial" w:hAnsi="Arial" w:cs="Arial"/>
          <w:sz w:val="16"/>
          <w:szCs w:val="16"/>
        </w:rPr>
        <w:t xml:space="preserve"> </w:t>
      </w:r>
      <w:r w:rsidRPr="00A85E31">
        <w:rPr>
          <w:rStyle w:val="normaltextrun"/>
          <w:rFonts w:ascii="Arial" w:hAnsi="Arial" w:cs="Arial"/>
          <w:sz w:val="16"/>
          <w:szCs w:val="16"/>
        </w:rPr>
        <w:t xml:space="preserve">K růstu počtu přenocování nerezidentů přispěla v 1. čtvrtletí 2024 tradičně dominantní skupina hostů z Německa (jejich poptávka vzrostla meziročně o 15,3 %), silně rostla </w:t>
      </w:r>
      <w:r>
        <w:rPr>
          <w:rStyle w:val="normaltextrun"/>
          <w:rFonts w:ascii="Arial" w:hAnsi="Arial" w:cs="Arial"/>
          <w:sz w:val="16"/>
          <w:szCs w:val="16"/>
        </w:rPr>
        <w:t xml:space="preserve">i </w:t>
      </w:r>
      <w:r w:rsidRPr="00A85E31">
        <w:rPr>
          <w:rStyle w:val="normaltextrun"/>
          <w:rFonts w:ascii="Arial" w:hAnsi="Arial" w:cs="Arial"/>
          <w:sz w:val="16"/>
          <w:szCs w:val="16"/>
        </w:rPr>
        <w:t>klientela ze Špa</w:t>
      </w:r>
      <w:r>
        <w:rPr>
          <w:rStyle w:val="normaltextrun"/>
          <w:rFonts w:ascii="Arial" w:hAnsi="Arial" w:cs="Arial"/>
          <w:sz w:val="16"/>
          <w:szCs w:val="16"/>
        </w:rPr>
        <w:t>nělska (+61 %) a Itálie (+30 %). M</w:t>
      </w:r>
      <w:r w:rsidRPr="00A85E31">
        <w:rPr>
          <w:rStyle w:val="normaltextrun"/>
          <w:rFonts w:ascii="Arial" w:hAnsi="Arial" w:cs="Arial"/>
          <w:sz w:val="16"/>
          <w:szCs w:val="16"/>
        </w:rPr>
        <w:t>ezi nejvýznamnějšími národnostmi vykázali pokles přenocování jen Ukrajinci (</w:t>
      </w:r>
      <w:r>
        <w:rPr>
          <w:rStyle w:val="normaltextrun"/>
          <w:rFonts w:ascii="Arial" w:hAnsi="Arial" w:cs="Arial"/>
          <w:sz w:val="16"/>
          <w:szCs w:val="16"/>
        </w:rPr>
        <w:t>−</w:t>
      </w:r>
      <w:r w:rsidRPr="00A85E31">
        <w:rPr>
          <w:rStyle w:val="normaltextrun"/>
          <w:rFonts w:ascii="Arial" w:hAnsi="Arial" w:cs="Arial"/>
          <w:sz w:val="16"/>
          <w:szCs w:val="16"/>
        </w:rPr>
        <w:t xml:space="preserve">12 %), z dalších podstatnějších skupin klesl zájem z Ruska a Nizozemska. I přes nepříznivou geopolitickou situaci počet hostů i přenocování Izraelců vzrostl o více než desetinu. </w:t>
      </w:r>
    </w:p>
    <w:p w14:paraId="26484DA0" w14:textId="77777777" w:rsidR="00EC6B23" w:rsidRPr="00A85E31" w:rsidRDefault="00EC6B23" w:rsidP="00EC6B23">
      <w:pPr>
        <w:pStyle w:val="paragraph"/>
        <w:spacing w:before="0" w:beforeAutospacing="0" w:after="0" w:afterAutospacing="0"/>
        <w:textAlignment w:val="baseline"/>
        <w:rPr>
          <w:rFonts w:ascii="Arial" w:hAnsi="Arial" w:cs="Arial"/>
          <w:sz w:val="16"/>
          <w:szCs w:val="16"/>
        </w:rPr>
      </w:pPr>
      <w:r w:rsidRPr="00A85E31">
        <w:rPr>
          <w:rStyle w:val="normaltextrun"/>
          <w:rFonts w:ascii="Arial" w:hAnsi="Arial" w:cs="Arial"/>
          <w:sz w:val="16"/>
          <w:szCs w:val="16"/>
        </w:rPr>
        <w:t>Proti 1. čtvrtletí 2019 se letos v Česku ubytovalo o 3,2 % hostů více, ale počet přenocován</w:t>
      </w:r>
      <w:r>
        <w:rPr>
          <w:rStyle w:val="normaltextrun"/>
          <w:rFonts w:ascii="Arial" w:hAnsi="Arial" w:cs="Arial"/>
          <w:sz w:val="16"/>
          <w:szCs w:val="16"/>
        </w:rPr>
        <w:t>í zaostal</w:t>
      </w:r>
      <w:r w:rsidRPr="00A85E31">
        <w:rPr>
          <w:rStyle w:val="normaltextrun"/>
          <w:rFonts w:ascii="Arial" w:hAnsi="Arial" w:cs="Arial"/>
          <w:sz w:val="16"/>
          <w:szCs w:val="16"/>
        </w:rPr>
        <w:t xml:space="preserve"> za touto předpandemickou úrovní </w:t>
      </w:r>
      <w:r>
        <w:rPr>
          <w:rStyle w:val="normaltextrun"/>
          <w:rFonts w:ascii="Arial" w:hAnsi="Arial" w:cs="Arial"/>
          <w:sz w:val="16"/>
          <w:szCs w:val="16"/>
        </w:rPr>
        <w:br/>
      </w:r>
      <w:r w:rsidRPr="00A85E31">
        <w:rPr>
          <w:rStyle w:val="normaltextrun"/>
          <w:rFonts w:ascii="Arial" w:hAnsi="Arial" w:cs="Arial"/>
          <w:sz w:val="16"/>
          <w:szCs w:val="16"/>
        </w:rPr>
        <w:t xml:space="preserve">o 1,5 % (u zahraničních hostů o 7 %, u těch z Česka byl však vyšší o 3,9 %). Počet zahraničních hostů zaostával za rokem 2019 </w:t>
      </w:r>
      <w:r>
        <w:rPr>
          <w:rStyle w:val="normaltextrun"/>
          <w:rFonts w:ascii="Arial" w:hAnsi="Arial" w:cs="Arial"/>
          <w:sz w:val="16"/>
          <w:szCs w:val="16"/>
        </w:rPr>
        <w:br/>
        <w:t xml:space="preserve">o 65 tis. </w:t>
      </w:r>
      <w:r w:rsidRPr="00B43007">
        <w:rPr>
          <w:rStyle w:val="normaltextrun"/>
          <w:rFonts w:ascii="Arial" w:hAnsi="Arial" w:cs="Arial"/>
          <w:spacing w:val="-2"/>
          <w:sz w:val="16"/>
          <w:szCs w:val="16"/>
        </w:rPr>
        <w:t>(</w:t>
      </w:r>
      <w:r>
        <w:rPr>
          <w:rStyle w:val="normaltextrun"/>
          <w:rFonts w:ascii="Arial" w:hAnsi="Arial" w:cs="Arial"/>
          <w:spacing w:val="-2"/>
          <w:sz w:val="16"/>
          <w:szCs w:val="16"/>
        </w:rPr>
        <w:t>−</w:t>
      </w:r>
      <w:r w:rsidRPr="00B43007">
        <w:rPr>
          <w:rStyle w:val="normaltextrun"/>
          <w:rFonts w:ascii="Arial" w:hAnsi="Arial" w:cs="Arial"/>
          <w:spacing w:val="-2"/>
          <w:sz w:val="16"/>
          <w:szCs w:val="16"/>
        </w:rPr>
        <w:t>3,2 %), hlavně vlivem nižšího počtu hostů z Ruska (</w:t>
      </w:r>
      <w:r>
        <w:rPr>
          <w:rStyle w:val="normaltextrun"/>
          <w:rFonts w:ascii="Arial" w:hAnsi="Arial" w:cs="Arial"/>
          <w:spacing w:val="-2"/>
          <w:sz w:val="16"/>
          <w:szCs w:val="16"/>
        </w:rPr>
        <w:t>−</w:t>
      </w:r>
      <w:r w:rsidRPr="00B43007">
        <w:rPr>
          <w:rStyle w:val="normaltextrun"/>
          <w:rFonts w:ascii="Arial" w:hAnsi="Arial" w:cs="Arial"/>
          <w:spacing w:val="-2"/>
          <w:sz w:val="16"/>
          <w:szCs w:val="16"/>
        </w:rPr>
        <w:t xml:space="preserve">121 tis, </w:t>
      </w:r>
      <w:r>
        <w:rPr>
          <w:rStyle w:val="normaltextrun"/>
          <w:rFonts w:ascii="Arial" w:hAnsi="Arial" w:cs="Arial"/>
          <w:spacing w:val="-2"/>
          <w:sz w:val="16"/>
          <w:szCs w:val="16"/>
        </w:rPr>
        <w:t>−</w:t>
      </w:r>
      <w:r w:rsidRPr="00B43007">
        <w:rPr>
          <w:rStyle w:val="normaltextrun"/>
          <w:rFonts w:ascii="Arial" w:hAnsi="Arial" w:cs="Arial"/>
          <w:spacing w:val="-2"/>
          <w:sz w:val="16"/>
          <w:szCs w:val="16"/>
        </w:rPr>
        <w:t xml:space="preserve">93 %), </w:t>
      </w:r>
      <w:r>
        <w:rPr>
          <w:rStyle w:val="normaltextrun"/>
          <w:rFonts w:ascii="Arial" w:hAnsi="Arial" w:cs="Arial"/>
          <w:spacing w:val="-2"/>
          <w:sz w:val="16"/>
          <w:szCs w:val="16"/>
        </w:rPr>
        <w:t xml:space="preserve">z </w:t>
      </w:r>
      <w:r w:rsidRPr="00B43007">
        <w:rPr>
          <w:rStyle w:val="normaltextrun"/>
          <w:rFonts w:ascii="Arial" w:hAnsi="Arial" w:cs="Arial"/>
          <w:spacing w:val="-2"/>
          <w:sz w:val="16"/>
          <w:szCs w:val="16"/>
        </w:rPr>
        <w:t>Číny (</w:t>
      </w:r>
      <w:r>
        <w:rPr>
          <w:rStyle w:val="normaltextrun"/>
          <w:rFonts w:ascii="Arial" w:hAnsi="Arial" w:cs="Arial"/>
          <w:spacing w:val="-2"/>
          <w:sz w:val="16"/>
          <w:szCs w:val="16"/>
        </w:rPr>
        <w:t>−</w:t>
      </w:r>
      <w:r w:rsidRPr="00B43007">
        <w:rPr>
          <w:rStyle w:val="normaltextrun"/>
          <w:rFonts w:ascii="Arial" w:hAnsi="Arial" w:cs="Arial"/>
          <w:spacing w:val="-2"/>
          <w:sz w:val="16"/>
          <w:szCs w:val="16"/>
        </w:rPr>
        <w:t xml:space="preserve">69 tis., </w:t>
      </w:r>
      <w:r>
        <w:rPr>
          <w:rStyle w:val="normaltextrun"/>
          <w:rFonts w:ascii="Arial" w:hAnsi="Arial" w:cs="Arial"/>
          <w:spacing w:val="-2"/>
          <w:sz w:val="16"/>
          <w:szCs w:val="16"/>
        </w:rPr>
        <w:t>−</w:t>
      </w:r>
      <w:r w:rsidRPr="00B43007">
        <w:rPr>
          <w:rStyle w:val="normaltextrun"/>
          <w:rFonts w:ascii="Arial" w:hAnsi="Arial" w:cs="Arial"/>
          <w:spacing w:val="-2"/>
          <w:sz w:val="16"/>
          <w:szCs w:val="16"/>
        </w:rPr>
        <w:t>76 %) a Jižní Korey (</w:t>
      </w:r>
      <w:r>
        <w:rPr>
          <w:rStyle w:val="normaltextrun"/>
          <w:rFonts w:ascii="Arial" w:hAnsi="Arial" w:cs="Arial"/>
          <w:spacing w:val="-2"/>
          <w:sz w:val="16"/>
          <w:szCs w:val="16"/>
        </w:rPr>
        <w:t>−</w:t>
      </w:r>
      <w:r w:rsidRPr="00B43007">
        <w:rPr>
          <w:rStyle w:val="normaltextrun"/>
          <w:rFonts w:ascii="Arial" w:hAnsi="Arial" w:cs="Arial"/>
          <w:spacing w:val="-2"/>
          <w:sz w:val="16"/>
          <w:szCs w:val="16"/>
        </w:rPr>
        <w:t xml:space="preserve">42 tis., </w:t>
      </w:r>
      <w:r>
        <w:rPr>
          <w:rStyle w:val="normaltextrun"/>
          <w:rFonts w:ascii="Arial" w:hAnsi="Arial" w:cs="Arial"/>
          <w:spacing w:val="-2"/>
          <w:sz w:val="16"/>
          <w:szCs w:val="16"/>
        </w:rPr>
        <w:t>−</w:t>
      </w:r>
      <w:r w:rsidRPr="00B43007">
        <w:rPr>
          <w:rStyle w:val="normaltextrun"/>
          <w:rFonts w:ascii="Arial" w:hAnsi="Arial" w:cs="Arial"/>
          <w:spacing w:val="-2"/>
          <w:sz w:val="16"/>
          <w:szCs w:val="16"/>
        </w:rPr>
        <w:t xml:space="preserve">48 %) </w:t>
      </w:r>
      <w:r>
        <w:rPr>
          <w:rStyle w:val="normaltextrun"/>
          <w:rFonts w:ascii="Arial" w:hAnsi="Arial" w:cs="Arial"/>
          <w:spacing w:val="-2"/>
          <w:sz w:val="16"/>
          <w:szCs w:val="16"/>
        </w:rPr>
        <w:br/>
      </w:r>
      <w:r w:rsidRPr="00B43007">
        <w:rPr>
          <w:rStyle w:val="normaltextrun"/>
          <w:rFonts w:ascii="Arial" w:hAnsi="Arial" w:cs="Arial"/>
          <w:spacing w:val="-2"/>
          <w:sz w:val="16"/>
          <w:szCs w:val="16"/>
        </w:rPr>
        <w:t>a Japonska (</w:t>
      </w:r>
      <w:r>
        <w:rPr>
          <w:rStyle w:val="normaltextrun"/>
          <w:rFonts w:ascii="Arial" w:hAnsi="Arial" w:cs="Arial"/>
          <w:spacing w:val="-2"/>
          <w:sz w:val="16"/>
          <w:szCs w:val="16"/>
        </w:rPr>
        <w:t>−</w:t>
      </w:r>
      <w:r w:rsidRPr="00B43007">
        <w:rPr>
          <w:rStyle w:val="normaltextrun"/>
          <w:rFonts w:ascii="Arial" w:hAnsi="Arial" w:cs="Arial"/>
          <w:spacing w:val="-2"/>
          <w:sz w:val="16"/>
          <w:szCs w:val="16"/>
        </w:rPr>
        <w:t xml:space="preserve">15 tis., </w:t>
      </w:r>
      <w:r>
        <w:rPr>
          <w:rStyle w:val="normaltextrun"/>
          <w:rFonts w:ascii="Arial" w:hAnsi="Arial" w:cs="Arial"/>
          <w:spacing w:val="-2"/>
          <w:sz w:val="16"/>
          <w:szCs w:val="16"/>
        </w:rPr>
        <w:t>−</w:t>
      </w:r>
      <w:r w:rsidRPr="00B43007">
        <w:rPr>
          <w:rStyle w:val="normaltextrun"/>
          <w:rFonts w:ascii="Arial" w:hAnsi="Arial" w:cs="Arial"/>
          <w:spacing w:val="-2"/>
          <w:sz w:val="16"/>
          <w:szCs w:val="16"/>
        </w:rPr>
        <w:t>55 %). Přibylo naopak zejména Němců (+94 tis. +23 %), Slováků (+36 tis., +25 %), z významnějších skupin pak Italů (+17 %) a Španělů (+13 %). Z návštěvníků z</w:t>
      </w:r>
      <w:r>
        <w:rPr>
          <w:rStyle w:val="normaltextrun"/>
          <w:rFonts w:ascii="Arial" w:hAnsi="Arial" w:cs="Arial"/>
          <w:spacing w:val="-2"/>
          <w:sz w:val="16"/>
          <w:szCs w:val="16"/>
        </w:rPr>
        <w:t>e</w:t>
      </w:r>
      <w:r w:rsidRPr="00B43007">
        <w:rPr>
          <w:rStyle w:val="normaltextrun"/>
          <w:rFonts w:ascii="Arial" w:hAnsi="Arial" w:cs="Arial"/>
          <w:spacing w:val="-2"/>
          <w:sz w:val="16"/>
          <w:szCs w:val="16"/>
        </w:rPr>
        <w:t xml:space="preserve"> zemí EU zaostávali nejvíce Švédové a Finové (shodně okolo 40 %) a dalších šest států (např. Francie o 15 %).</w:t>
      </w:r>
    </w:p>
  </w:footnote>
  <w:footnote w:id="21">
    <w:p w14:paraId="3ED6AFE4" w14:textId="77777777" w:rsidR="00EC6B23" w:rsidRPr="00052DD9" w:rsidRDefault="00EC6B23" w:rsidP="00EC6B23">
      <w:pPr>
        <w:pStyle w:val="Textpoznpodarou"/>
        <w:rPr>
          <w:sz w:val="16"/>
          <w:szCs w:val="16"/>
        </w:rPr>
      </w:pPr>
      <w:r w:rsidRPr="00052DD9">
        <w:rPr>
          <w:rStyle w:val="Znakapoznpodarou"/>
          <w:sz w:val="16"/>
          <w:szCs w:val="16"/>
        </w:rPr>
        <w:footnoteRef/>
      </w:r>
      <w:r w:rsidRPr="00052DD9">
        <w:rPr>
          <w:sz w:val="16"/>
          <w:szCs w:val="16"/>
        </w:rPr>
        <w:t xml:space="preserve"> K poklesu tržeb </w:t>
      </w:r>
      <w:r>
        <w:rPr>
          <w:sz w:val="16"/>
          <w:szCs w:val="16"/>
        </w:rPr>
        <w:t xml:space="preserve">zde </w:t>
      </w:r>
      <w:r w:rsidRPr="00052DD9">
        <w:rPr>
          <w:sz w:val="16"/>
          <w:szCs w:val="16"/>
        </w:rPr>
        <w:t xml:space="preserve">došlo i při vysokém růstu počtu pracujících cizinců v ČR. Na něm se v posledních dvou letech významně podíleli uprchlíci z Ukrajiny. Vzhledem ke statutu dočasné ochrany, který byl těmto osobám přiznán, je </w:t>
      </w:r>
      <w:r>
        <w:rPr>
          <w:sz w:val="16"/>
          <w:szCs w:val="16"/>
        </w:rPr>
        <w:t>je</w:t>
      </w:r>
      <w:r w:rsidRPr="00052DD9">
        <w:rPr>
          <w:sz w:val="16"/>
          <w:szCs w:val="16"/>
        </w:rPr>
        <w:t xml:space="preserve">jich zaměstnávání v tuzemsku administrativně jednodušší (oproti ostatním skupinám migrantů z tzv. třetích zemí) a </w:t>
      </w:r>
      <w:r>
        <w:rPr>
          <w:sz w:val="16"/>
          <w:szCs w:val="16"/>
        </w:rPr>
        <w:t>ti tak mohou</w:t>
      </w:r>
      <w:r w:rsidRPr="00052DD9">
        <w:rPr>
          <w:sz w:val="16"/>
          <w:szCs w:val="16"/>
        </w:rPr>
        <w:t xml:space="preserve"> snáze nalézt práci „napřímo“ (bez zprostředkovatele). Kromě výše uvedeného se na pokle</w:t>
      </w:r>
      <w:r>
        <w:rPr>
          <w:sz w:val="16"/>
          <w:szCs w:val="16"/>
        </w:rPr>
        <w:t xml:space="preserve">su tržeb </w:t>
      </w:r>
      <w:r w:rsidRPr="00052DD9">
        <w:rPr>
          <w:sz w:val="16"/>
          <w:szCs w:val="16"/>
        </w:rPr>
        <w:t xml:space="preserve">může podílet i snížená poptávka pracovních </w:t>
      </w:r>
      <w:r>
        <w:rPr>
          <w:sz w:val="16"/>
          <w:szCs w:val="16"/>
        </w:rPr>
        <w:t xml:space="preserve">agentur </w:t>
      </w:r>
      <w:r w:rsidRPr="00052DD9">
        <w:rPr>
          <w:sz w:val="16"/>
          <w:szCs w:val="16"/>
        </w:rPr>
        <w:t>ze strany klí</w:t>
      </w:r>
      <w:r>
        <w:rPr>
          <w:sz w:val="16"/>
          <w:szCs w:val="16"/>
        </w:rPr>
        <w:t xml:space="preserve">čových výrobních odvětví </w:t>
      </w:r>
      <w:r w:rsidRPr="00052DD9">
        <w:rPr>
          <w:sz w:val="16"/>
          <w:szCs w:val="16"/>
        </w:rPr>
        <w:t>procház</w:t>
      </w:r>
      <w:r>
        <w:rPr>
          <w:sz w:val="16"/>
          <w:szCs w:val="16"/>
        </w:rPr>
        <w:t>ej</w:t>
      </w:r>
      <w:r w:rsidRPr="00052DD9">
        <w:rPr>
          <w:sz w:val="16"/>
          <w:szCs w:val="16"/>
        </w:rPr>
        <w:t>í</w:t>
      </w:r>
      <w:r>
        <w:rPr>
          <w:sz w:val="16"/>
          <w:szCs w:val="16"/>
        </w:rPr>
        <w:t>cích recesí (</w:t>
      </w:r>
      <w:r w:rsidRPr="00052DD9">
        <w:rPr>
          <w:sz w:val="16"/>
          <w:szCs w:val="16"/>
        </w:rPr>
        <w:t>průmysl</w:t>
      </w:r>
      <w:r>
        <w:rPr>
          <w:sz w:val="16"/>
          <w:szCs w:val="16"/>
        </w:rPr>
        <w:t xml:space="preserve"> a stavebnictví</w:t>
      </w:r>
      <w:r w:rsidRPr="00052DD9">
        <w:rPr>
          <w:sz w:val="16"/>
          <w:szCs w:val="16"/>
        </w:rPr>
        <w:t>).</w:t>
      </w:r>
    </w:p>
  </w:footnote>
  <w:footnote w:id="22">
    <w:p w14:paraId="4D26A395" w14:textId="77777777" w:rsidR="00EC6B23" w:rsidRPr="00F34E27" w:rsidRDefault="00EC6B23" w:rsidP="00EC6B23">
      <w:pPr>
        <w:pStyle w:val="Textpoznpodarou"/>
        <w:rPr>
          <w:sz w:val="16"/>
          <w:szCs w:val="16"/>
        </w:rPr>
      </w:pPr>
      <w:r w:rsidRPr="00F34E27">
        <w:rPr>
          <w:rStyle w:val="Znakapoznpodarou"/>
          <w:sz w:val="16"/>
          <w:szCs w:val="16"/>
        </w:rPr>
        <w:footnoteRef/>
      </w:r>
      <w:r w:rsidRPr="00F34E27">
        <w:rPr>
          <w:sz w:val="16"/>
          <w:szCs w:val="16"/>
        </w:rPr>
        <w:t xml:space="preserve"> Toto dílčí odvětví, v němž hrají významnou roli drobní podnikatelé, zahrnuje především zprostředkovatelské činnosti, návrhářské, překladatelské a fotografické služby </w:t>
      </w:r>
      <w:r>
        <w:rPr>
          <w:sz w:val="16"/>
          <w:szCs w:val="16"/>
        </w:rPr>
        <w:t>nebo činnosti stavebního dozoru.</w:t>
      </w:r>
    </w:p>
  </w:footnote>
  <w:footnote w:id="23">
    <w:p w14:paraId="5E5E583B" w14:textId="77777777" w:rsidR="00EC6B23" w:rsidRPr="00590597" w:rsidRDefault="00EC6B23" w:rsidP="00EC6B23">
      <w:pPr>
        <w:pStyle w:val="Textpoznpodarou"/>
        <w:rPr>
          <w:sz w:val="16"/>
          <w:szCs w:val="16"/>
        </w:rPr>
      </w:pPr>
      <w:r w:rsidRPr="00590597">
        <w:rPr>
          <w:rStyle w:val="Znakapoznpodarou"/>
          <w:sz w:val="16"/>
          <w:szCs w:val="16"/>
        </w:rPr>
        <w:footnoteRef/>
      </w:r>
      <w:r w:rsidRPr="00590597">
        <w:rPr>
          <w:sz w:val="16"/>
          <w:szCs w:val="16"/>
        </w:rPr>
        <w:t xml:space="preserve"> </w:t>
      </w:r>
      <w:r>
        <w:rPr>
          <w:sz w:val="16"/>
          <w:szCs w:val="16"/>
        </w:rPr>
        <w:t>Podstatně lépe si vedl segment</w:t>
      </w:r>
      <w:r w:rsidRPr="00590597">
        <w:rPr>
          <w:sz w:val="16"/>
          <w:szCs w:val="16"/>
        </w:rPr>
        <w:t xml:space="preserve"> filmové distribuce. </w:t>
      </w:r>
      <w:r w:rsidRPr="00590597">
        <w:rPr>
          <w:rFonts w:cs="Arial"/>
          <w:color w:val="0D0D0D" w:themeColor="text1" w:themeTint="F2"/>
          <w:spacing w:val="-3"/>
          <w:sz w:val="16"/>
          <w:szCs w:val="16"/>
        </w:rPr>
        <w:t xml:space="preserve">Dle údajů </w:t>
      </w:r>
      <w:r w:rsidRPr="00590597">
        <w:rPr>
          <w:spacing w:val="-3"/>
          <w:sz w:val="16"/>
          <w:szCs w:val="16"/>
        </w:rPr>
        <w:t>Unie filmových distributo</w:t>
      </w:r>
      <w:r>
        <w:rPr>
          <w:spacing w:val="-3"/>
          <w:sz w:val="16"/>
          <w:szCs w:val="16"/>
        </w:rPr>
        <w:t xml:space="preserve">rů klesly letos od ledna do dubna </w:t>
      </w:r>
      <w:r w:rsidRPr="00590597">
        <w:rPr>
          <w:spacing w:val="-3"/>
          <w:sz w:val="16"/>
          <w:szCs w:val="16"/>
        </w:rPr>
        <w:t>hrubé nominální tržby provozovate</w:t>
      </w:r>
      <w:r>
        <w:rPr>
          <w:spacing w:val="-3"/>
          <w:sz w:val="16"/>
          <w:szCs w:val="16"/>
        </w:rPr>
        <w:t>lů tuzemských kin meziročně o 2,6</w:t>
      </w:r>
      <w:r w:rsidRPr="00590597">
        <w:rPr>
          <w:spacing w:val="-3"/>
          <w:sz w:val="16"/>
          <w:szCs w:val="16"/>
        </w:rPr>
        <w:t xml:space="preserve"> %. Celková návštěv</w:t>
      </w:r>
      <w:r>
        <w:rPr>
          <w:spacing w:val="-3"/>
          <w:sz w:val="16"/>
          <w:szCs w:val="16"/>
        </w:rPr>
        <w:t xml:space="preserve">nost se analogicky snížila o 5,9 %, naopak </w:t>
      </w:r>
      <w:r w:rsidRPr="00590597">
        <w:rPr>
          <w:spacing w:val="-3"/>
          <w:sz w:val="16"/>
          <w:szCs w:val="16"/>
        </w:rPr>
        <w:t>počet odehraných představení</w:t>
      </w:r>
      <w:r>
        <w:rPr>
          <w:spacing w:val="-3"/>
          <w:sz w:val="16"/>
          <w:szCs w:val="16"/>
        </w:rPr>
        <w:t xml:space="preserve"> narostl o 5,2 %. </w:t>
      </w:r>
      <w:r w:rsidRPr="00590597">
        <w:rPr>
          <w:spacing w:val="-3"/>
          <w:sz w:val="16"/>
          <w:szCs w:val="16"/>
        </w:rPr>
        <w:t>Ve srovnání s</w:t>
      </w:r>
      <w:r>
        <w:rPr>
          <w:spacing w:val="-3"/>
          <w:sz w:val="16"/>
          <w:szCs w:val="16"/>
        </w:rPr>
        <w:t>e stejným obdobím rekordního roku</w:t>
      </w:r>
      <w:r w:rsidRPr="00590597">
        <w:rPr>
          <w:spacing w:val="-3"/>
          <w:sz w:val="16"/>
          <w:szCs w:val="16"/>
        </w:rPr>
        <w:t xml:space="preserve"> 2019 </w:t>
      </w:r>
      <w:r>
        <w:rPr>
          <w:spacing w:val="-3"/>
          <w:sz w:val="16"/>
          <w:szCs w:val="16"/>
        </w:rPr>
        <w:t>ovšem letos</w:t>
      </w:r>
      <w:r w:rsidRPr="00590597">
        <w:rPr>
          <w:spacing w:val="-3"/>
          <w:sz w:val="16"/>
          <w:szCs w:val="16"/>
        </w:rPr>
        <w:t xml:space="preserve"> </w:t>
      </w:r>
      <w:r>
        <w:rPr>
          <w:spacing w:val="-3"/>
          <w:sz w:val="16"/>
          <w:szCs w:val="16"/>
        </w:rPr>
        <w:t xml:space="preserve">stále scházely bezmála dvě pětiny </w:t>
      </w:r>
      <w:r w:rsidRPr="00590597">
        <w:rPr>
          <w:spacing w:val="-3"/>
          <w:sz w:val="16"/>
          <w:szCs w:val="16"/>
        </w:rPr>
        <w:t>diváků</w:t>
      </w:r>
      <w:r>
        <w:rPr>
          <w:spacing w:val="-3"/>
          <w:sz w:val="16"/>
          <w:szCs w:val="16"/>
        </w:rPr>
        <w:t xml:space="preserve"> </w:t>
      </w:r>
      <w:r>
        <w:rPr>
          <w:spacing w:val="-3"/>
          <w:sz w:val="16"/>
          <w:szCs w:val="16"/>
        </w:rPr>
        <w:br/>
        <w:t>a více než čtvrtina tržeb</w:t>
      </w:r>
      <w:r w:rsidRPr="00590597">
        <w:rPr>
          <w:spacing w:val="-3"/>
          <w:sz w:val="16"/>
          <w:szCs w:val="16"/>
        </w:rPr>
        <w:t>.</w:t>
      </w:r>
    </w:p>
  </w:footnote>
  <w:footnote w:id="24">
    <w:p w14:paraId="646BA5C0" w14:textId="77777777" w:rsidR="00EC6B23" w:rsidRPr="00B86BDD" w:rsidRDefault="00EC6B23" w:rsidP="00EC6B23">
      <w:pPr>
        <w:pStyle w:val="Textpoznpodarou"/>
        <w:rPr>
          <w:sz w:val="16"/>
          <w:szCs w:val="16"/>
        </w:rPr>
      </w:pPr>
      <w:r w:rsidRPr="00B86BDD">
        <w:rPr>
          <w:rStyle w:val="Znakapoznpodarou"/>
          <w:sz w:val="16"/>
          <w:szCs w:val="16"/>
        </w:rPr>
        <w:footnoteRef/>
      </w:r>
      <w:r w:rsidRPr="00B86BDD">
        <w:rPr>
          <w:sz w:val="16"/>
          <w:szCs w:val="16"/>
        </w:rPr>
        <w:t xml:space="preserve"> Zahrnují zejména činnosti webových portálů, zpravodajských tiskových kanceláří a agentur či zpracování dat a hosting.</w:t>
      </w:r>
    </w:p>
  </w:footnote>
  <w:footnote w:id="25">
    <w:p w14:paraId="10C29A2F" w14:textId="77777777" w:rsidR="00EC6B23" w:rsidRPr="00EB7D87" w:rsidRDefault="00EC6B23" w:rsidP="00EC6B23">
      <w:pPr>
        <w:spacing w:after="0" w:line="240" w:lineRule="auto"/>
        <w:rPr>
          <w:spacing w:val="-2"/>
        </w:rPr>
      </w:pPr>
      <w:r w:rsidRPr="00EB7D87">
        <w:rPr>
          <w:rStyle w:val="Znakapoznpodarou"/>
          <w:color w:val="0D0D0D" w:themeColor="text1" w:themeTint="F2"/>
          <w:spacing w:val="-2"/>
          <w:sz w:val="16"/>
          <w:szCs w:val="16"/>
        </w:rPr>
        <w:footnoteRef/>
      </w:r>
      <w:r>
        <w:rPr>
          <w:color w:val="0D0D0D" w:themeColor="text1" w:themeTint="F2"/>
          <w:spacing w:val="-2"/>
          <w:sz w:val="16"/>
          <w:szCs w:val="16"/>
        </w:rPr>
        <w:t xml:space="preserve"> Všechna meziroční</w:t>
      </w:r>
      <w:r w:rsidRPr="00EB7D87">
        <w:rPr>
          <w:color w:val="0D0D0D" w:themeColor="text1" w:themeTint="F2"/>
          <w:spacing w:val="-2"/>
          <w:sz w:val="16"/>
          <w:szCs w:val="16"/>
        </w:rPr>
        <w:t xml:space="preserve"> tempa tržeb za maloobchod jsou uvedena ve stálých cenách a očištěna o kalendářní vlivy, mezičtvrtletní tempa jsou očištěna o sezónní vlivy (včetně vlivu počtu pracovních dnů). Maloobchod zahrnuje odvětví CZ-NACE 47.</w:t>
      </w:r>
    </w:p>
  </w:footnote>
  <w:footnote w:id="26">
    <w:p w14:paraId="14A1B1FA" w14:textId="77777777" w:rsidR="00EC6B23" w:rsidRPr="00832E72" w:rsidRDefault="00EC6B23" w:rsidP="00EC6B23">
      <w:pPr>
        <w:pStyle w:val="Textpoznpodarou"/>
        <w:rPr>
          <w:sz w:val="16"/>
          <w:szCs w:val="16"/>
        </w:rPr>
      </w:pPr>
      <w:r w:rsidRPr="00832E72">
        <w:rPr>
          <w:rStyle w:val="Znakapoznpodarou"/>
          <w:sz w:val="16"/>
          <w:szCs w:val="16"/>
        </w:rPr>
        <w:footnoteRef/>
      </w:r>
      <w:r w:rsidRPr="00832E72">
        <w:rPr>
          <w:sz w:val="16"/>
          <w:szCs w:val="16"/>
        </w:rPr>
        <w:t xml:space="preserve"> Ty zahrnují především </w:t>
      </w:r>
      <w:r w:rsidRPr="00832E72">
        <w:rPr>
          <w:rStyle w:val="normaltextrun"/>
          <w:rFonts w:eastAsia="MS Gothic" w:cs="Arial"/>
          <w:spacing w:val="-3"/>
          <w:sz w:val="16"/>
          <w:szCs w:val="16"/>
        </w:rPr>
        <w:t>železářské zboží, stavebniny, barvy, sklo, potřeby pro kutily, elektrospotřebiče, elektroniku, nábytek,</w:t>
      </w:r>
      <w:r w:rsidRPr="00832E72">
        <w:rPr>
          <w:rFonts w:cs="Arial"/>
          <w:color w:val="0D0D0D" w:themeColor="text1" w:themeTint="F2"/>
          <w:spacing w:val="-3"/>
          <w:sz w:val="16"/>
          <w:szCs w:val="16"/>
        </w:rPr>
        <w:t> </w:t>
      </w:r>
      <w:r w:rsidRPr="00832E72">
        <w:rPr>
          <w:rStyle w:val="normaltextrun"/>
          <w:rFonts w:eastAsia="MS Gothic" w:cs="Arial"/>
          <w:spacing w:val="-3"/>
          <w:sz w:val="16"/>
          <w:szCs w:val="16"/>
        </w:rPr>
        <w:t xml:space="preserve">svítidla, </w:t>
      </w:r>
      <w:r>
        <w:rPr>
          <w:rFonts w:cs="Arial"/>
          <w:color w:val="0D0D0D" w:themeColor="text1" w:themeTint="F2"/>
          <w:sz w:val="16"/>
          <w:szCs w:val="16"/>
        </w:rPr>
        <w:t>koberce či bytový textil</w:t>
      </w:r>
      <w:r w:rsidRPr="00832E72">
        <w:rPr>
          <w:rFonts w:cs="Arial"/>
          <w:color w:val="0D0D0D" w:themeColor="text1" w:themeTint="F2"/>
          <w:sz w:val="16"/>
          <w:szCs w:val="16"/>
        </w:rPr>
        <w:t>.</w:t>
      </w:r>
    </w:p>
  </w:footnote>
  <w:footnote w:id="27">
    <w:p w14:paraId="1A358071" w14:textId="77777777" w:rsidR="00EC6B23" w:rsidRPr="00F67A32" w:rsidRDefault="00EC6B23" w:rsidP="00EC6B23">
      <w:pPr>
        <w:pStyle w:val="Textpoznpodarou"/>
        <w:rPr>
          <w:sz w:val="16"/>
          <w:szCs w:val="16"/>
        </w:rPr>
      </w:pPr>
      <w:r w:rsidRPr="00F67A32">
        <w:rPr>
          <w:rStyle w:val="Znakapoznpodarou"/>
          <w:sz w:val="16"/>
          <w:szCs w:val="16"/>
        </w:rPr>
        <w:footnoteRef/>
      </w:r>
      <w:r w:rsidRPr="00F67A32">
        <w:rPr>
          <w:sz w:val="16"/>
          <w:szCs w:val="16"/>
        </w:rPr>
        <w:t xml:space="preserve"> Poptávku v obou těchto kategoriích specializovaných prodejen silně poznamenaly restrikce během pandemického období. Ve srovnání s počátkem roku 2019 byly např. aktuální tržby za oděvy, obuv a kožené zboží </w:t>
      </w:r>
      <w:r>
        <w:rPr>
          <w:sz w:val="16"/>
          <w:szCs w:val="16"/>
        </w:rPr>
        <w:t xml:space="preserve">stále </w:t>
      </w:r>
      <w:r w:rsidRPr="00F67A32">
        <w:rPr>
          <w:sz w:val="16"/>
          <w:szCs w:val="16"/>
        </w:rPr>
        <w:t xml:space="preserve">nižší o celou pětinu. </w:t>
      </w:r>
    </w:p>
  </w:footnote>
  <w:footnote w:id="28">
    <w:p w14:paraId="118D2082" w14:textId="77777777" w:rsidR="00EC6B23" w:rsidRPr="00B45636" w:rsidRDefault="00EC6B23" w:rsidP="00EC6B23">
      <w:pPr>
        <w:pStyle w:val="Textpoznpodarou"/>
        <w:rPr>
          <w:sz w:val="16"/>
          <w:szCs w:val="16"/>
        </w:rPr>
      </w:pPr>
      <w:r w:rsidRPr="00B45636">
        <w:rPr>
          <w:rStyle w:val="Znakapoznpodarou"/>
          <w:sz w:val="16"/>
          <w:szCs w:val="16"/>
        </w:rPr>
        <w:footnoteRef/>
      </w:r>
      <w:r w:rsidRPr="00B45636">
        <w:rPr>
          <w:sz w:val="16"/>
          <w:szCs w:val="16"/>
        </w:rPr>
        <w:t xml:space="preserve"> Mimo</w:t>
      </w:r>
      <w:r>
        <w:rPr>
          <w:sz w:val="16"/>
          <w:szCs w:val="16"/>
        </w:rPr>
        <w:t xml:space="preserve"> specializované prodejny již třetí rok v řadě</w:t>
      </w:r>
      <w:r w:rsidRPr="00B45636">
        <w:rPr>
          <w:sz w:val="16"/>
          <w:szCs w:val="16"/>
        </w:rPr>
        <w:t xml:space="preserve"> </w:t>
      </w:r>
      <w:r>
        <w:rPr>
          <w:sz w:val="16"/>
          <w:szCs w:val="16"/>
        </w:rPr>
        <w:t xml:space="preserve">(vyjma krátkodobého poklesu loni ve 2. čtvrtletí) svižně rostly tržby </w:t>
      </w:r>
      <w:r w:rsidRPr="00B45636">
        <w:rPr>
          <w:rStyle w:val="normaltextrun"/>
          <w:rFonts w:eastAsia="MS Gothic" w:cs="Arial"/>
          <w:sz w:val="16"/>
          <w:szCs w:val="16"/>
        </w:rPr>
        <w:t xml:space="preserve">v </w:t>
      </w:r>
      <w:r w:rsidRPr="00B45636">
        <w:rPr>
          <w:rFonts w:cs="Arial"/>
          <w:color w:val="0D0D0D" w:themeColor="text1" w:themeTint="F2"/>
          <w:sz w:val="16"/>
          <w:szCs w:val="16"/>
        </w:rPr>
        <w:t xml:space="preserve">malém segmentu ostatního maloobchodu s převahou </w:t>
      </w:r>
      <w:r>
        <w:rPr>
          <w:rFonts w:cs="Arial"/>
          <w:color w:val="0D0D0D" w:themeColor="text1" w:themeTint="F2"/>
          <w:sz w:val="16"/>
          <w:szCs w:val="16"/>
        </w:rPr>
        <w:t>nepotravinářského zboží (letos v 1. čtvrtletí o 18,2 %).</w:t>
      </w:r>
      <w:r w:rsidRPr="00B45636">
        <w:rPr>
          <w:rFonts w:cs="Arial"/>
          <w:color w:val="0D0D0D" w:themeColor="text1" w:themeTint="F2"/>
          <w:sz w:val="16"/>
          <w:szCs w:val="16"/>
        </w:rPr>
        <w:t xml:space="preserve"> Ten zahrnuje typicky menší provozovny orientované na prodej různorodého drobného zboží, zpravidla ve slevových akcích.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FA1CA9" w:rsidRDefault="00FA1CA9" w:rsidP="00937AE2">
    <w:pPr>
      <w:pStyle w:val="Zhlav"/>
    </w:pPr>
    <w:r>
      <w:t>Vývoj ekonomiky České republiky</w:t>
    </w:r>
  </w:p>
  <w:p w14:paraId="3E881AB3" w14:textId="77777777" w:rsidR="00FA1CA9" w:rsidRPr="006F5416" w:rsidRDefault="00FA1CA9"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FA1CA9" w:rsidRDefault="00FA1CA9" w:rsidP="00937AE2">
    <w:pPr>
      <w:pStyle w:val="Zhlav"/>
    </w:pPr>
    <w:r>
      <w:t>Vývoj ekonomiky České republiky</w:t>
    </w:r>
  </w:p>
  <w:p w14:paraId="57266714" w14:textId="77777777" w:rsidR="00FA1CA9" w:rsidRPr="006F5416" w:rsidRDefault="00FA1CA9"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8193">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994"/>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107"/>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2B5"/>
    <w:rsid w:val="00026389"/>
    <w:rsid w:val="0002669F"/>
    <w:rsid w:val="000279E5"/>
    <w:rsid w:val="000305E0"/>
    <w:rsid w:val="00031AE0"/>
    <w:rsid w:val="00031BB2"/>
    <w:rsid w:val="000322EF"/>
    <w:rsid w:val="00032C3C"/>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2CA"/>
    <w:rsid w:val="00047AD4"/>
    <w:rsid w:val="00047D54"/>
    <w:rsid w:val="00050541"/>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363"/>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4ED"/>
    <w:rsid w:val="000837CD"/>
    <w:rsid w:val="00083B7F"/>
    <w:rsid w:val="00084BFF"/>
    <w:rsid w:val="00085395"/>
    <w:rsid w:val="00086896"/>
    <w:rsid w:val="00086AC1"/>
    <w:rsid w:val="00086D19"/>
    <w:rsid w:val="00087634"/>
    <w:rsid w:val="00087F2B"/>
    <w:rsid w:val="00090694"/>
    <w:rsid w:val="00090EE2"/>
    <w:rsid w:val="00090FC6"/>
    <w:rsid w:val="0009122C"/>
    <w:rsid w:val="000913B1"/>
    <w:rsid w:val="0009290F"/>
    <w:rsid w:val="00093241"/>
    <w:rsid w:val="00093868"/>
    <w:rsid w:val="00094A84"/>
    <w:rsid w:val="00095025"/>
    <w:rsid w:val="00095135"/>
    <w:rsid w:val="00095152"/>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85C"/>
    <w:rsid w:val="000A3A2C"/>
    <w:rsid w:val="000A3D9E"/>
    <w:rsid w:val="000A4A54"/>
    <w:rsid w:val="000A4ED9"/>
    <w:rsid w:val="000A5DB7"/>
    <w:rsid w:val="000A6753"/>
    <w:rsid w:val="000A6D94"/>
    <w:rsid w:val="000A72BC"/>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2FC"/>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D7AC7"/>
    <w:rsid w:val="000D7C6F"/>
    <w:rsid w:val="000E04FD"/>
    <w:rsid w:val="000E0E96"/>
    <w:rsid w:val="000E298B"/>
    <w:rsid w:val="000E2C7D"/>
    <w:rsid w:val="000E3E56"/>
    <w:rsid w:val="000E440D"/>
    <w:rsid w:val="000E4AC5"/>
    <w:rsid w:val="000E6253"/>
    <w:rsid w:val="000E6AC4"/>
    <w:rsid w:val="000E6E4D"/>
    <w:rsid w:val="000E6FBD"/>
    <w:rsid w:val="000E6FCB"/>
    <w:rsid w:val="000F0848"/>
    <w:rsid w:val="000F090B"/>
    <w:rsid w:val="000F0E42"/>
    <w:rsid w:val="000F15F7"/>
    <w:rsid w:val="000F1AA2"/>
    <w:rsid w:val="000F378E"/>
    <w:rsid w:val="000F3F3B"/>
    <w:rsid w:val="000F4721"/>
    <w:rsid w:val="000F47E8"/>
    <w:rsid w:val="000F70E4"/>
    <w:rsid w:val="000F76EA"/>
    <w:rsid w:val="00100A8B"/>
    <w:rsid w:val="00100F5C"/>
    <w:rsid w:val="00101B15"/>
    <w:rsid w:val="00101CDA"/>
    <w:rsid w:val="00102037"/>
    <w:rsid w:val="001021B1"/>
    <w:rsid w:val="00103DCB"/>
    <w:rsid w:val="00104C4C"/>
    <w:rsid w:val="00105015"/>
    <w:rsid w:val="001055D2"/>
    <w:rsid w:val="001057C2"/>
    <w:rsid w:val="00106BCC"/>
    <w:rsid w:val="00107124"/>
    <w:rsid w:val="0011038E"/>
    <w:rsid w:val="0011055D"/>
    <w:rsid w:val="00111573"/>
    <w:rsid w:val="00112370"/>
    <w:rsid w:val="0011239B"/>
    <w:rsid w:val="001125EF"/>
    <w:rsid w:val="00112CAB"/>
    <w:rsid w:val="0011440C"/>
    <w:rsid w:val="00114C33"/>
    <w:rsid w:val="00114D5B"/>
    <w:rsid w:val="00116D3F"/>
    <w:rsid w:val="00117474"/>
    <w:rsid w:val="00117623"/>
    <w:rsid w:val="00117FEA"/>
    <w:rsid w:val="001200CF"/>
    <w:rsid w:val="001208E3"/>
    <w:rsid w:val="001211F9"/>
    <w:rsid w:val="00121609"/>
    <w:rsid w:val="0012192F"/>
    <w:rsid w:val="00122994"/>
    <w:rsid w:val="00123204"/>
    <w:rsid w:val="00124B46"/>
    <w:rsid w:val="001257BE"/>
    <w:rsid w:val="001257E0"/>
    <w:rsid w:val="00125D69"/>
    <w:rsid w:val="0012799C"/>
    <w:rsid w:val="00127BC2"/>
    <w:rsid w:val="00127E15"/>
    <w:rsid w:val="001308F1"/>
    <w:rsid w:val="00130ADC"/>
    <w:rsid w:val="00130D9F"/>
    <w:rsid w:val="00132C4D"/>
    <w:rsid w:val="00133FC1"/>
    <w:rsid w:val="00134659"/>
    <w:rsid w:val="00135111"/>
    <w:rsid w:val="00135376"/>
    <w:rsid w:val="00136A6F"/>
    <w:rsid w:val="00136C1A"/>
    <w:rsid w:val="00137812"/>
    <w:rsid w:val="00137F06"/>
    <w:rsid w:val="001405FA"/>
    <w:rsid w:val="00140D1A"/>
    <w:rsid w:val="00141184"/>
    <w:rsid w:val="00141315"/>
    <w:rsid w:val="0014152B"/>
    <w:rsid w:val="00141AA0"/>
    <w:rsid w:val="001425C3"/>
    <w:rsid w:val="0014262D"/>
    <w:rsid w:val="00142B29"/>
    <w:rsid w:val="00143EED"/>
    <w:rsid w:val="00144108"/>
    <w:rsid w:val="00144588"/>
    <w:rsid w:val="001447DD"/>
    <w:rsid w:val="00145358"/>
    <w:rsid w:val="001459BC"/>
    <w:rsid w:val="0014779E"/>
    <w:rsid w:val="00147B13"/>
    <w:rsid w:val="00150ECA"/>
    <w:rsid w:val="0015108F"/>
    <w:rsid w:val="00151707"/>
    <w:rsid w:val="00152C86"/>
    <w:rsid w:val="00152EBC"/>
    <w:rsid w:val="00152F4F"/>
    <w:rsid w:val="00153264"/>
    <w:rsid w:val="0015329F"/>
    <w:rsid w:val="001544A1"/>
    <w:rsid w:val="001553B8"/>
    <w:rsid w:val="001554C2"/>
    <w:rsid w:val="00156D04"/>
    <w:rsid w:val="001571C0"/>
    <w:rsid w:val="001574FE"/>
    <w:rsid w:val="0015753D"/>
    <w:rsid w:val="00157984"/>
    <w:rsid w:val="00157CC9"/>
    <w:rsid w:val="00160C21"/>
    <w:rsid w:val="001612F4"/>
    <w:rsid w:val="00161553"/>
    <w:rsid w:val="0016216F"/>
    <w:rsid w:val="0016256B"/>
    <w:rsid w:val="00162F81"/>
    <w:rsid w:val="00163793"/>
    <w:rsid w:val="00163868"/>
    <w:rsid w:val="00164CA1"/>
    <w:rsid w:val="00165313"/>
    <w:rsid w:val="001659C3"/>
    <w:rsid w:val="001665AB"/>
    <w:rsid w:val="00167485"/>
    <w:rsid w:val="001679F5"/>
    <w:rsid w:val="00167B92"/>
    <w:rsid w:val="00167CB9"/>
    <w:rsid w:val="00167DD8"/>
    <w:rsid w:val="001705AD"/>
    <w:rsid w:val="001706D6"/>
    <w:rsid w:val="001714F2"/>
    <w:rsid w:val="00171FEA"/>
    <w:rsid w:val="00173622"/>
    <w:rsid w:val="00174ED1"/>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23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64B"/>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3CD"/>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3855"/>
    <w:rsid w:val="001C4B8F"/>
    <w:rsid w:val="001C4BB8"/>
    <w:rsid w:val="001C4D8C"/>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6B3F"/>
    <w:rsid w:val="001D7EFD"/>
    <w:rsid w:val="001D7F60"/>
    <w:rsid w:val="001E085B"/>
    <w:rsid w:val="001E149B"/>
    <w:rsid w:val="001E15CB"/>
    <w:rsid w:val="001E1AF1"/>
    <w:rsid w:val="001E3306"/>
    <w:rsid w:val="001E504C"/>
    <w:rsid w:val="001E56AC"/>
    <w:rsid w:val="001E5A17"/>
    <w:rsid w:val="001E6441"/>
    <w:rsid w:val="001E74C5"/>
    <w:rsid w:val="001F1236"/>
    <w:rsid w:val="001F2F90"/>
    <w:rsid w:val="001F4597"/>
    <w:rsid w:val="001F4826"/>
    <w:rsid w:val="001F4933"/>
    <w:rsid w:val="001F59C8"/>
    <w:rsid w:val="001F6483"/>
    <w:rsid w:val="001F6CD3"/>
    <w:rsid w:val="001F75DA"/>
    <w:rsid w:val="001F7931"/>
    <w:rsid w:val="001F7CE0"/>
    <w:rsid w:val="00200085"/>
    <w:rsid w:val="00201633"/>
    <w:rsid w:val="00203332"/>
    <w:rsid w:val="002036E6"/>
    <w:rsid w:val="00203CD5"/>
    <w:rsid w:val="00203D8F"/>
    <w:rsid w:val="00203DA4"/>
    <w:rsid w:val="00204EA6"/>
    <w:rsid w:val="00205186"/>
    <w:rsid w:val="00206516"/>
    <w:rsid w:val="002070CF"/>
    <w:rsid w:val="002071D5"/>
    <w:rsid w:val="002073FD"/>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1D"/>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2B7"/>
    <w:rsid w:val="00251496"/>
    <w:rsid w:val="00251B08"/>
    <w:rsid w:val="00251C53"/>
    <w:rsid w:val="00252AB9"/>
    <w:rsid w:val="002532B1"/>
    <w:rsid w:val="00253C0F"/>
    <w:rsid w:val="00253F48"/>
    <w:rsid w:val="00254FC3"/>
    <w:rsid w:val="002558C1"/>
    <w:rsid w:val="00256207"/>
    <w:rsid w:val="002575F3"/>
    <w:rsid w:val="002601B4"/>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5E43"/>
    <w:rsid w:val="002763A2"/>
    <w:rsid w:val="00276B33"/>
    <w:rsid w:val="0027720A"/>
    <w:rsid w:val="00277669"/>
    <w:rsid w:val="002803A5"/>
    <w:rsid w:val="00280ACB"/>
    <w:rsid w:val="002812E3"/>
    <w:rsid w:val="00281576"/>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0ED"/>
    <w:rsid w:val="002A3209"/>
    <w:rsid w:val="002A34B5"/>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B75C0"/>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0B6"/>
    <w:rsid w:val="002E3638"/>
    <w:rsid w:val="002E37D1"/>
    <w:rsid w:val="002E3BEE"/>
    <w:rsid w:val="002E4DCE"/>
    <w:rsid w:val="002E4E4C"/>
    <w:rsid w:val="002E4EA7"/>
    <w:rsid w:val="002E5846"/>
    <w:rsid w:val="002E631B"/>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0D42"/>
    <w:rsid w:val="00301294"/>
    <w:rsid w:val="003017EC"/>
    <w:rsid w:val="00302165"/>
    <w:rsid w:val="00303BB4"/>
    <w:rsid w:val="00304771"/>
    <w:rsid w:val="00304F9C"/>
    <w:rsid w:val="003052D4"/>
    <w:rsid w:val="00305863"/>
    <w:rsid w:val="003060D6"/>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A8B"/>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BCB"/>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375E0"/>
    <w:rsid w:val="00340BE6"/>
    <w:rsid w:val="00340BF3"/>
    <w:rsid w:val="00341C6C"/>
    <w:rsid w:val="00341D26"/>
    <w:rsid w:val="00341F05"/>
    <w:rsid w:val="0034335E"/>
    <w:rsid w:val="00344668"/>
    <w:rsid w:val="00344940"/>
    <w:rsid w:val="0034506D"/>
    <w:rsid w:val="00346234"/>
    <w:rsid w:val="003462D9"/>
    <w:rsid w:val="0034723F"/>
    <w:rsid w:val="00347247"/>
    <w:rsid w:val="003474B6"/>
    <w:rsid w:val="00347DD4"/>
    <w:rsid w:val="00352B43"/>
    <w:rsid w:val="00352C28"/>
    <w:rsid w:val="003541BB"/>
    <w:rsid w:val="00354502"/>
    <w:rsid w:val="00354F89"/>
    <w:rsid w:val="0035506D"/>
    <w:rsid w:val="003579A1"/>
    <w:rsid w:val="0036077F"/>
    <w:rsid w:val="00360A35"/>
    <w:rsid w:val="00360C86"/>
    <w:rsid w:val="00360F7A"/>
    <w:rsid w:val="00360FBC"/>
    <w:rsid w:val="00361537"/>
    <w:rsid w:val="00361B2D"/>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32DB"/>
    <w:rsid w:val="003A45E3"/>
    <w:rsid w:val="003A46B8"/>
    <w:rsid w:val="003A478C"/>
    <w:rsid w:val="003A4A38"/>
    <w:rsid w:val="003A5295"/>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87"/>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5EBF"/>
    <w:rsid w:val="003D6920"/>
    <w:rsid w:val="003D6982"/>
    <w:rsid w:val="003E0249"/>
    <w:rsid w:val="003E08A4"/>
    <w:rsid w:val="003E105C"/>
    <w:rsid w:val="003E1EF8"/>
    <w:rsid w:val="003E2DFB"/>
    <w:rsid w:val="003E4466"/>
    <w:rsid w:val="003E4C91"/>
    <w:rsid w:val="003E52D8"/>
    <w:rsid w:val="003E62F1"/>
    <w:rsid w:val="003E6ED5"/>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0F40"/>
    <w:rsid w:val="00421179"/>
    <w:rsid w:val="004225D7"/>
    <w:rsid w:val="00422EE6"/>
    <w:rsid w:val="00423623"/>
    <w:rsid w:val="0042470E"/>
    <w:rsid w:val="0042507B"/>
    <w:rsid w:val="00425352"/>
    <w:rsid w:val="00426C99"/>
    <w:rsid w:val="004272BE"/>
    <w:rsid w:val="00430C96"/>
    <w:rsid w:val="0043174F"/>
    <w:rsid w:val="00431BFF"/>
    <w:rsid w:val="00432199"/>
    <w:rsid w:val="00432A58"/>
    <w:rsid w:val="00432FC7"/>
    <w:rsid w:val="004331C3"/>
    <w:rsid w:val="00433C17"/>
    <w:rsid w:val="00434617"/>
    <w:rsid w:val="00434DE9"/>
    <w:rsid w:val="00435051"/>
    <w:rsid w:val="00435C69"/>
    <w:rsid w:val="004360FB"/>
    <w:rsid w:val="00437CED"/>
    <w:rsid w:val="004407BF"/>
    <w:rsid w:val="00440900"/>
    <w:rsid w:val="00440D2A"/>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5833"/>
    <w:rsid w:val="00456FB5"/>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6AEE"/>
    <w:rsid w:val="0047735C"/>
    <w:rsid w:val="004776BC"/>
    <w:rsid w:val="00477820"/>
    <w:rsid w:val="00477B96"/>
    <w:rsid w:val="00480802"/>
    <w:rsid w:val="00480BAE"/>
    <w:rsid w:val="00480D7F"/>
    <w:rsid w:val="0048139F"/>
    <w:rsid w:val="00481E40"/>
    <w:rsid w:val="00482405"/>
    <w:rsid w:val="004826A7"/>
    <w:rsid w:val="004828DA"/>
    <w:rsid w:val="0048368C"/>
    <w:rsid w:val="0048372F"/>
    <w:rsid w:val="0048399F"/>
    <w:rsid w:val="00483A0C"/>
    <w:rsid w:val="004841CC"/>
    <w:rsid w:val="00484ECE"/>
    <w:rsid w:val="00485E82"/>
    <w:rsid w:val="00486132"/>
    <w:rsid w:val="0048686D"/>
    <w:rsid w:val="00486A4D"/>
    <w:rsid w:val="004915CB"/>
    <w:rsid w:val="00491A2B"/>
    <w:rsid w:val="004924DC"/>
    <w:rsid w:val="00492879"/>
    <w:rsid w:val="00493E85"/>
    <w:rsid w:val="00495145"/>
    <w:rsid w:val="0049531F"/>
    <w:rsid w:val="004979A5"/>
    <w:rsid w:val="004A0144"/>
    <w:rsid w:val="004A036E"/>
    <w:rsid w:val="004A0389"/>
    <w:rsid w:val="004A0498"/>
    <w:rsid w:val="004A06B0"/>
    <w:rsid w:val="004A0D0E"/>
    <w:rsid w:val="004A14E4"/>
    <w:rsid w:val="004A204E"/>
    <w:rsid w:val="004A26A5"/>
    <w:rsid w:val="004A27F0"/>
    <w:rsid w:val="004A3212"/>
    <w:rsid w:val="004A37CD"/>
    <w:rsid w:val="004A3BE4"/>
    <w:rsid w:val="004A40D9"/>
    <w:rsid w:val="004A49A5"/>
    <w:rsid w:val="004A4F8A"/>
    <w:rsid w:val="004A52AB"/>
    <w:rsid w:val="004A5494"/>
    <w:rsid w:val="004A5D4E"/>
    <w:rsid w:val="004A61C5"/>
    <w:rsid w:val="004A62A0"/>
    <w:rsid w:val="004A77DF"/>
    <w:rsid w:val="004A7DC0"/>
    <w:rsid w:val="004B1417"/>
    <w:rsid w:val="004B1627"/>
    <w:rsid w:val="004B305C"/>
    <w:rsid w:val="004B31B8"/>
    <w:rsid w:val="004B339A"/>
    <w:rsid w:val="004B4C83"/>
    <w:rsid w:val="004B55B7"/>
    <w:rsid w:val="004B591D"/>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CE4"/>
    <w:rsid w:val="004C3DB0"/>
    <w:rsid w:val="004C439A"/>
    <w:rsid w:val="004C4720"/>
    <w:rsid w:val="004C4CD0"/>
    <w:rsid w:val="004C5060"/>
    <w:rsid w:val="004C5165"/>
    <w:rsid w:val="004C589C"/>
    <w:rsid w:val="004C5AE8"/>
    <w:rsid w:val="004C6E0E"/>
    <w:rsid w:val="004C70DC"/>
    <w:rsid w:val="004D0211"/>
    <w:rsid w:val="004D0794"/>
    <w:rsid w:val="004D17A6"/>
    <w:rsid w:val="004D2D31"/>
    <w:rsid w:val="004D2E03"/>
    <w:rsid w:val="004D3296"/>
    <w:rsid w:val="004D4056"/>
    <w:rsid w:val="004D4CB0"/>
    <w:rsid w:val="004D5B0F"/>
    <w:rsid w:val="004D7626"/>
    <w:rsid w:val="004E085C"/>
    <w:rsid w:val="004E12DF"/>
    <w:rsid w:val="004E186A"/>
    <w:rsid w:val="004E1A40"/>
    <w:rsid w:val="004E1DB2"/>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01B"/>
    <w:rsid w:val="004F6484"/>
    <w:rsid w:val="004F6539"/>
    <w:rsid w:val="004F6E12"/>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782"/>
    <w:rsid w:val="0053595E"/>
    <w:rsid w:val="00537571"/>
    <w:rsid w:val="00540056"/>
    <w:rsid w:val="005410E2"/>
    <w:rsid w:val="00541508"/>
    <w:rsid w:val="00541AE3"/>
    <w:rsid w:val="00543498"/>
    <w:rsid w:val="00544011"/>
    <w:rsid w:val="00544BE5"/>
    <w:rsid w:val="005453A3"/>
    <w:rsid w:val="005455F6"/>
    <w:rsid w:val="0054582F"/>
    <w:rsid w:val="0054632B"/>
    <w:rsid w:val="00546FC7"/>
    <w:rsid w:val="005500F9"/>
    <w:rsid w:val="00550160"/>
    <w:rsid w:val="00550249"/>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5F3"/>
    <w:rsid w:val="00560C41"/>
    <w:rsid w:val="00560C68"/>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601"/>
    <w:rsid w:val="00570BC3"/>
    <w:rsid w:val="00571766"/>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2A12"/>
    <w:rsid w:val="00583BDD"/>
    <w:rsid w:val="00583E52"/>
    <w:rsid w:val="00583FFD"/>
    <w:rsid w:val="00584252"/>
    <w:rsid w:val="005848DD"/>
    <w:rsid w:val="0058519A"/>
    <w:rsid w:val="005856BD"/>
    <w:rsid w:val="00585983"/>
    <w:rsid w:val="00586BCA"/>
    <w:rsid w:val="00587038"/>
    <w:rsid w:val="00587319"/>
    <w:rsid w:val="00590608"/>
    <w:rsid w:val="00590B28"/>
    <w:rsid w:val="005911BE"/>
    <w:rsid w:val="00591273"/>
    <w:rsid w:val="00591E9E"/>
    <w:rsid w:val="005927A4"/>
    <w:rsid w:val="00593152"/>
    <w:rsid w:val="00593389"/>
    <w:rsid w:val="00593FE6"/>
    <w:rsid w:val="005956A3"/>
    <w:rsid w:val="00595958"/>
    <w:rsid w:val="00595CAB"/>
    <w:rsid w:val="0059622E"/>
    <w:rsid w:val="0059684D"/>
    <w:rsid w:val="00597671"/>
    <w:rsid w:val="00597BBF"/>
    <w:rsid w:val="005A040C"/>
    <w:rsid w:val="005A0463"/>
    <w:rsid w:val="005A05DF"/>
    <w:rsid w:val="005A0948"/>
    <w:rsid w:val="005A0A03"/>
    <w:rsid w:val="005A10F2"/>
    <w:rsid w:val="005A16C0"/>
    <w:rsid w:val="005A2156"/>
    <w:rsid w:val="005A21E0"/>
    <w:rsid w:val="005A2401"/>
    <w:rsid w:val="005A28FF"/>
    <w:rsid w:val="005A2C09"/>
    <w:rsid w:val="005A3778"/>
    <w:rsid w:val="005A37B0"/>
    <w:rsid w:val="005A3DF8"/>
    <w:rsid w:val="005A5549"/>
    <w:rsid w:val="005A566A"/>
    <w:rsid w:val="005A56E0"/>
    <w:rsid w:val="005A70CA"/>
    <w:rsid w:val="005A7ABD"/>
    <w:rsid w:val="005A7CF8"/>
    <w:rsid w:val="005B0EDA"/>
    <w:rsid w:val="005B121D"/>
    <w:rsid w:val="005B1705"/>
    <w:rsid w:val="005B26B0"/>
    <w:rsid w:val="005B41C9"/>
    <w:rsid w:val="005B44E6"/>
    <w:rsid w:val="005B4853"/>
    <w:rsid w:val="005B591B"/>
    <w:rsid w:val="005B6CA1"/>
    <w:rsid w:val="005B770C"/>
    <w:rsid w:val="005C06ED"/>
    <w:rsid w:val="005C0CE1"/>
    <w:rsid w:val="005C11B8"/>
    <w:rsid w:val="005C1345"/>
    <w:rsid w:val="005C1B24"/>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5B60"/>
    <w:rsid w:val="005D66E6"/>
    <w:rsid w:val="005D7119"/>
    <w:rsid w:val="005D76C8"/>
    <w:rsid w:val="005D7890"/>
    <w:rsid w:val="005D7AAF"/>
    <w:rsid w:val="005E19C1"/>
    <w:rsid w:val="005E2194"/>
    <w:rsid w:val="005E24F0"/>
    <w:rsid w:val="005E3113"/>
    <w:rsid w:val="005E36FE"/>
    <w:rsid w:val="005E3F66"/>
    <w:rsid w:val="005E490F"/>
    <w:rsid w:val="005E4BC9"/>
    <w:rsid w:val="005E5314"/>
    <w:rsid w:val="005E53DC"/>
    <w:rsid w:val="005E764D"/>
    <w:rsid w:val="005E772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5F7B79"/>
    <w:rsid w:val="0060120D"/>
    <w:rsid w:val="006017C1"/>
    <w:rsid w:val="00601ADE"/>
    <w:rsid w:val="00601EEF"/>
    <w:rsid w:val="0060255A"/>
    <w:rsid w:val="00602998"/>
    <w:rsid w:val="00602EB3"/>
    <w:rsid w:val="00604307"/>
    <w:rsid w:val="0060487F"/>
    <w:rsid w:val="00604EAD"/>
    <w:rsid w:val="0060513F"/>
    <w:rsid w:val="006065E2"/>
    <w:rsid w:val="0060694B"/>
    <w:rsid w:val="00607E1D"/>
    <w:rsid w:val="006104FB"/>
    <w:rsid w:val="006116FF"/>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641"/>
    <w:rsid w:val="00620B77"/>
    <w:rsid w:val="00621190"/>
    <w:rsid w:val="0062131B"/>
    <w:rsid w:val="00621E26"/>
    <w:rsid w:val="006224EA"/>
    <w:rsid w:val="0062263A"/>
    <w:rsid w:val="006227DF"/>
    <w:rsid w:val="006234A0"/>
    <w:rsid w:val="006236C8"/>
    <w:rsid w:val="00624093"/>
    <w:rsid w:val="0062415E"/>
    <w:rsid w:val="00625A84"/>
    <w:rsid w:val="00626079"/>
    <w:rsid w:val="00626B8F"/>
    <w:rsid w:val="006275B5"/>
    <w:rsid w:val="00631698"/>
    <w:rsid w:val="00631E44"/>
    <w:rsid w:val="00634C57"/>
    <w:rsid w:val="00634CE7"/>
    <w:rsid w:val="006350D5"/>
    <w:rsid w:val="00635EBE"/>
    <w:rsid w:val="0063642C"/>
    <w:rsid w:val="006376B3"/>
    <w:rsid w:val="00637858"/>
    <w:rsid w:val="006404A7"/>
    <w:rsid w:val="00640A38"/>
    <w:rsid w:val="00640E6B"/>
    <w:rsid w:val="00641787"/>
    <w:rsid w:val="0064179B"/>
    <w:rsid w:val="00642338"/>
    <w:rsid w:val="00642489"/>
    <w:rsid w:val="00644055"/>
    <w:rsid w:val="00644137"/>
    <w:rsid w:val="0064478C"/>
    <w:rsid w:val="00644938"/>
    <w:rsid w:val="00645160"/>
    <w:rsid w:val="006451E4"/>
    <w:rsid w:val="0064574B"/>
    <w:rsid w:val="00645B33"/>
    <w:rsid w:val="00650FFC"/>
    <w:rsid w:val="0065153D"/>
    <w:rsid w:val="006516CB"/>
    <w:rsid w:val="00652444"/>
    <w:rsid w:val="00652E30"/>
    <w:rsid w:val="00653BD0"/>
    <w:rsid w:val="00654110"/>
    <w:rsid w:val="00656C5D"/>
    <w:rsid w:val="00656CFB"/>
    <w:rsid w:val="00656D25"/>
    <w:rsid w:val="00657E87"/>
    <w:rsid w:val="00660D2D"/>
    <w:rsid w:val="0066110B"/>
    <w:rsid w:val="00661C41"/>
    <w:rsid w:val="00661EC9"/>
    <w:rsid w:val="00662469"/>
    <w:rsid w:val="0066411C"/>
    <w:rsid w:val="00664205"/>
    <w:rsid w:val="00664647"/>
    <w:rsid w:val="00664803"/>
    <w:rsid w:val="0066502F"/>
    <w:rsid w:val="006653CC"/>
    <w:rsid w:val="00665501"/>
    <w:rsid w:val="00665982"/>
    <w:rsid w:val="00665BA4"/>
    <w:rsid w:val="00666BF3"/>
    <w:rsid w:val="00667748"/>
    <w:rsid w:val="00667856"/>
    <w:rsid w:val="00667AF2"/>
    <w:rsid w:val="00670489"/>
    <w:rsid w:val="006710C9"/>
    <w:rsid w:val="00671D85"/>
    <w:rsid w:val="00672586"/>
    <w:rsid w:val="006727BC"/>
    <w:rsid w:val="006741CD"/>
    <w:rsid w:val="006745DF"/>
    <w:rsid w:val="00674BAC"/>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9F8"/>
    <w:rsid w:val="00684B9B"/>
    <w:rsid w:val="00684D59"/>
    <w:rsid w:val="00684E25"/>
    <w:rsid w:val="006858A4"/>
    <w:rsid w:val="00685C08"/>
    <w:rsid w:val="00685C8C"/>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2153"/>
    <w:rsid w:val="006A3CAF"/>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981"/>
    <w:rsid w:val="006C7AEC"/>
    <w:rsid w:val="006C7CA6"/>
    <w:rsid w:val="006D15D3"/>
    <w:rsid w:val="006D18B3"/>
    <w:rsid w:val="006D1E89"/>
    <w:rsid w:val="006D26CE"/>
    <w:rsid w:val="006D317E"/>
    <w:rsid w:val="006D3E8A"/>
    <w:rsid w:val="006D47D9"/>
    <w:rsid w:val="006D61F6"/>
    <w:rsid w:val="006E1081"/>
    <w:rsid w:val="006E1332"/>
    <w:rsid w:val="006E19CB"/>
    <w:rsid w:val="006E279A"/>
    <w:rsid w:val="006E313B"/>
    <w:rsid w:val="006E32A5"/>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18A4"/>
    <w:rsid w:val="0070398A"/>
    <w:rsid w:val="00705242"/>
    <w:rsid w:val="007055E0"/>
    <w:rsid w:val="007056ED"/>
    <w:rsid w:val="00705F4E"/>
    <w:rsid w:val="0070658E"/>
    <w:rsid w:val="007065C5"/>
    <w:rsid w:val="007068E1"/>
    <w:rsid w:val="00706AA0"/>
    <w:rsid w:val="00706AD4"/>
    <w:rsid w:val="00707150"/>
    <w:rsid w:val="00711A82"/>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1A6"/>
    <w:rsid w:val="00720310"/>
    <w:rsid w:val="00720D7A"/>
    <w:rsid w:val="007211F5"/>
    <w:rsid w:val="007213C3"/>
    <w:rsid w:val="00721601"/>
    <w:rsid w:val="00722777"/>
    <w:rsid w:val="0072294F"/>
    <w:rsid w:val="00723435"/>
    <w:rsid w:val="00723436"/>
    <w:rsid w:val="007240E2"/>
    <w:rsid w:val="0072454C"/>
    <w:rsid w:val="0072583E"/>
    <w:rsid w:val="00725BB5"/>
    <w:rsid w:val="00727C02"/>
    <w:rsid w:val="0073008E"/>
    <w:rsid w:val="00730A8B"/>
    <w:rsid w:val="00730AE8"/>
    <w:rsid w:val="00730F1B"/>
    <w:rsid w:val="0073186D"/>
    <w:rsid w:val="007324A6"/>
    <w:rsid w:val="0073261D"/>
    <w:rsid w:val="0073333D"/>
    <w:rsid w:val="007343D9"/>
    <w:rsid w:val="00734F71"/>
    <w:rsid w:val="00735448"/>
    <w:rsid w:val="00736F07"/>
    <w:rsid w:val="007377BD"/>
    <w:rsid w:val="00737DEC"/>
    <w:rsid w:val="0074004D"/>
    <w:rsid w:val="00741493"/>
    <w:rsid w:val="00741F2A"/>
    <w:rsid w:val="007434E5"/>
    <w:rsid w:val="00743884"/>
    <w:rsid w:val="0074499B"/>
    <w:rsid w:val="007449D6"/>
    <w:rsid w:val="0074501E"/>
    <w:rsid w:val="007450BF"/>
    <w:rsid w:val="0074599A"/>
    <w:rsid w:val="00746EE5"/>
    <w:rsid w:val="00746F45"/>
    <w:rsid w:val="007471A1"/>
    <w:rsid w:val="007477BD"/>
    <w:rsid w:val="007477DA"/>
    <w:rsid w:val="00747EE9"/>
    <w:rsid w:val="007520B6"/>
    <w:rsid w:val="00752180"/>
    <w:rsid w:val="00752323"/>
    <w:rsid w:val="007532B7"/>
    <w:rsid w:val="00753CAB"/>
    <w:rsid w:val="00754A70"/>
    <w:rsid w:val="00754BC9"/>
    <w:rsid w:val="00754FB0"/>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A88"/>
    <w:rsid w:val="00763B23"/>
    <w:rsid w:val="00763B85"/>
    <w:rsid w:val="007644A2"/>
    <w:rsid w:val="00764974"/>
    <w:rsid w:val="00764D18"/>
    <w:rsid w:val="0076521E"/>
    <w:rsid w:val="0076579C"/>
    <w:rsid w:val="00765928"/>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BF0"/>
    <w:rsid w:val="00780EF1"/>
    <w:rsid w:val="00781A91"/>
    <w:rsid w:val="00781AD3"/>
    <w:rsid w:val="00781F36"/>
    <w:rsid w:val="00783576"/>
    <w:rsid w:val="00783810"/>
    <w:rsid w:val="00784980"/>
    <w:rsid w:val="007853FD"/>
    <w:rsid w:val="00785778"/>
    <w:rsid w:val="00786C87"/>
    <w:rsid w:val="0078755E"/>
    <w:rsid w:val="007877C9"/>
    <w:rsid w:val="00790764"/>
    <w:rsid w:val="0079085F"/>
    <w:rsid w:val="00790E96"/>
    <w:rsid w:val="00791005"/>
    <w:rsid w:val="00793D78"/>
    <w:rsid w:val="0079420B"/>
    <w:rsid w:val="0079453C"/>
    <w:rsid w:val="00794677"/>
    <w:rsid w:val="00795759"/>
    <w:rsid w:val="007A0B5E"/>
    <w:rsid w:val="007A170B"/>
    <w:rsid w:val="007A20EB"/>
    <w:rsid w:val="007A282C"/>
    <w:rsid w:val="007A293C"/>
    <w:rsid w:val="007A2A3A"/>
    <w:rsid w:val="007A33E2"/>
    <w:rsid w:val="007A3CAF"/>
    <w:rsid w:val="007A4551"/>
    <w:rsid w:val="007A4664"/>
    <w:rsid w:val="007A4782"/>
    <w:rsid w:val="007A516D"/>
    <w:rsid w:val="007A5E65"/>
    <w:rsid w:val="007A65E1"/>
    <w:rsid w:val="007A6A6E"/>
    <w:rsid w:val="007A6AAA"/>
    <w:rsid w:val="007A7033"/>
    <w:rsid w:val="007A775D"/>
    <w:rsid w:val="007B04B0"/>
    <w:rsid w:val="007B0834"/>
    <w:rsid w:val="007B0E83"/>
    <w:rsid w:val="007B11FA"/>
    <w:rsid w:val="007B1396"/>
    <w:rsid w:val="007B16D6"/>
    <w:rsid w:val="007B1D1B"/>
    <w:rsid w:val="007B1E3F"/>
    <w:rsid w:val="007B2011"/>
    <w:rsid w:val="007B2CFE"/>
    <w:rsid w:val="007B309B"/>
    <w:rsid w:val="007B3457"/>
    <w:rsid w:val="007B37AB"/>
    <w:rsid w:val="007B3D5E"/>
    <w:rsid w:val="007B3DCB"/>
    <w:rsid w:val="007B54AE"/>
    <w:rsid w:val="007B5725"/>
    <w:rsid w:val="007B5C1F"/>
    <w:rsid w:val="007B6689"/>
    <w:rsid w:val="007B6747"/>
    <w:rsid w:val="007B6F72"/>
    <w:rsid w:val="007B74AA"/>
    <w:rsid w:val="007C10BD"/>
    <w:rsid w:val="007C162D"/>
    <w:rsid w:val="007C1A03"/>
    <w:rsid w:val="007C1F0C"/>
    <w:rsid w:val="007C1FFB"/>
    <w:rsid w:val="007C2D94"/>
    <w:rsid w:val="007C3842"/>
    <w:rsid w:val="007C4A6B"/>
    <w:rsid w:val="007C5F92"/>
    <w:rsid w:val="007C6227"/>
    <w:rsid w:val="007C64F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D7F4F"/>
    <w:rsid w:val="007E0535"/>
    <w:rsid w:val="007E07F2"/>
    <w:rsid w:val="007E0D4A"/>
    <w:rsid w:val="007E1788"/>
    <w:rsid w:val="007E1EE3"/>
    <w:rsid w:val="007E29B4"/>
    <w:rsid w:val="007E2F12"/>
    <w:rsid w:val="007E3627"/>
    <w:rsid w:val="007E435A"/>
    <w:rsid w:val="007E445C"/>
    <w:rsid w:val="007E49F7"/>
    <w:rsid w:val="007E4C70"/>
    <w:rsid w:val="007E5149"/>
    <w:rsid w:val="007E5B5F"/>
    <w:rsid w:val="007E69C6"/>
    <w:rsid w:val="007E78B6"/>
    <w:rsid w:val="007E7E61"/>
    <w:rsid w:val="007F0845"/>
    <w:rsid w:val="007F0873"/>
    <w:rsid w:val="007F20F3"/>
    <w:rsid w:val="007F2353"/>
    <w:rsid w:val="007F2390"/>
    <w:rsid w:val="007F2CAC"/>
    <w:rsid w:val="007F3CB6"/>
    <w:rsid w:val="007F4740"/>
    <w:rsid w:val="007F595A"/>
    <w:rsid w:val="007F5C38"/>
    <w:rsid w:val="007F708D"/>
    <w:rsid w:val="007F7E3F"/>
    <w:rsid w:val="008006B3"/>
    <w:rsid w:val="00800B63"/>
    <w:rsid w:val="0080158A"/>
    <w:rsid w:val="00801E13"/>
    <w:rsid w:val="00803008"/>
    <w:rsid w:val="00803069"/>
    <w:rsid w:val="0080346B"/>
    <w:rsid w:val="00803E08"/>
    <w:rsid w:val="00804155"/>
    <w:rsid w:val="00804C9F"/>
    <w:rsid w:val="0080559E"/>
    <w:rsid w:val="00805AF3"/>
    <w:rsid w:val="00806C9C"/>
    <w:rsid w:val="008071B1"/>
    <w:rsid w:val="0080734C"/>
    <w:rsid w:val="00807C82"/>
    <w:rsid w:val="008107EE"/>
    <w:rsid w:val="008117CC"/>
    <w:rsid w:val="00811FF8"/>
    <w:rsid w:val="0081249F"/>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007"/>
    <w:rsid w:val="00825120"/>
    <w:rsid w:val="00825C4D"/>
    <w:rsid w:val="00826A08"/>
    <w:rsid w:val="00826AC0"/>
    <w:rsid w:val="00826D45"/>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3CE"/>
    <w:rsid w:val="0083471A"/>
    <w:rsid w:val="00834FAA"/>
    <w:rsid w:val="00835495"/>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AA1"/>
    <w:rsid w:val="00856D65"/>
    <w:rsid w:val="00856FA4"/>
    <w:rsid w:val="00860D79"/>
    <w:rsid w:val="0086150F"/>
    <w:rsid w:val="00861B41"/>
    <w:rsid w:val="00861B9F"/>
    <w:rsid w:val="00861BE3"/>
    <w:rsid w:val="00861EB6"/>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2C"/>
    <w:rsid w:val="008772BC"/>
    <w:rsid w:val="00880A0E"/>
    <w:rsid w:val="008817FE"/>
    <w:rsid w:val="00881CD7"/>
    <w:rsid w:val="00882911"/>
    <w:rsid w:val="00882F6E"/>
    <w:rsid w:val="00883202"/>
    <w:rsid w:val="00884E02"/>
    <w:rsid w:val="0088502B"/>
    <w:rsid w:val="00885D40"/>
    <w:rsid w:val="008873D4"/>
    <w:rsid w:val="008902A5"/>
    <w:rsid w:val="00890CB1"/>
    <w:rsid w:val="00891EDF"/>
    <w:rsid w:val="00892872"/>
    <w:rsid w:val="0089296D"/>
    <w:rsid w:val="00893E85"/>
    <w:rsid w:val="00893EBE"/>
    <w:rsid w:val="00894031"/>
    <w:rsid w:val="00894C5D"/>
    <w:rsid w:val="00895508"/>
    <w:rsid w:val="00895797"/>
    <w:rsid w:val="008967E9"/>
    <w:rsid w:val="00896A5C"/>
    <w:rsid w:val="00897155"/>
    <w:rsid w:val="008972D2"/>
    <w:rsid w:val="0089754C"/>
    <w:rsid w:val="00897CFA"/>
    <w:rsid w:val="008A0659"/>
    <w:rsid w:val="008A0ADD"/>
    <w:rsid w:val="008A0D27"/>
    <w:rsid w:val="008A1C59"/>
    <w:rsid w:val="008A2254"/>
    <w:rsid w:val="008A37E2"/>
    <w:rsid w:val="008A388E"/>
    <w:rsid w:val="008A394E"/>
    <w:rsid w:val="008A3CBA"/>
    <w:rsid w:val="008A4B59"/>
    <w:rsid w:val="008A63E1"/>
    <w:rsid w:val="008A66B7"/>
    <w:rsid w:val="008A68BB"/>
    <w:rsid w:val="008A6AA5"/>
    <w:rsid w:val="008A7127"/>
    <w:rsid w:val="008A7E04"/>
    <w:rsid w:val="008B02E7"/>
    <w:rsid w:val="008B0CBA"/>
    <w:rsid w:val="008B1850"/>
    <w:rsid w:val="008B2639"/>
    <w:rsid w:val="008B3537"/>
    <w:rsid w:val="008B35C1"/>
    <w:rsid w:val="008B3690"/>
    <w:rsid w:val="008B3A80"/>
    <w:rsid w:val="008B3AEC"/>
    <w:rsid w:val="008B3C07"/>
    <w:rsid w:val="008B3C6E"/>
    <w:rsid w:val="008B3F7B"/>
    <w:rsid w:val="008B43CA"/>
    <w:rsid w:val="008B5324"/>
    <w:rsid w:val="008B5C99"/>
    <w:rsid w:val="008B6106"/>
    <w:rsid w:val="008B7C02"/>
    <w:rsid w:val="008B7D2B"/>
    <w:rsid w:val="008B7EF9"/>
    <w:rsid w:val="008C0049"/>
    <w:rsid w:val="008C025A"/>
    <w:rsid w:val="008C0314"/>
    <w:rsid w:val="008C0E88"/>
    <w:rsid w:val="008C0EBE"/>
    <w:rsid w:val="008C1717"/>
    <w:rsid w:val="008C17F0"/>
    <w:rsid w:val="008C3A32"/>
    <w:rsid w:val="008C3B05"/>
    <w:rsid w:val="008C4B50"/>
    <w:rsid w:val="008C5A37"/>
    <w:rsid w:val="008C7569"/>
    <w:rsid w:val="008C79C3"/>
    <w:rsid w:val="008D006F"/>
    <w:rsid w:val="008D033D"/>
    <w:rsid w:val="008D06A2"/>
    <w:rsid w:val="008D0DBD"/>
    <w:rsid w:val="008D117E"/>
    <w:rsid w:val="008D127E"/>
    <w:rsid w:val="008D1CA8"/>
    <w:rsid w:val="008D1E0A"/>
    <w:rsid w:val="008D1E6A"/>
    <w:rsid w:val="008D2407"/>
    <w:rsid w:val="008D2A16"/>
    <w:rsid w:val="008D2AEC"/>
    <w:rsid w:val="008D3295"/>
    <w:rsid w:val="008D33F5"/>
    <w:rsid w:val="008D35E4"/>
    <w:rsid w:val="008D3ACD"/>
    <w:rsid w:val="008D3D21"/>
    <w:rsid w:val="008D6C3A"/>
    <w:rsid w:val="008D70E2"/>
    <w:rsid w:val="008D7F47"/>
    <w:rsid w:val="008E0001"/>
    <w:rsid w:val="008E039E"/>
    <w:rsid w:val="008E292B"/>
    <w:rsid w:val="008E2C57"/>
    <w:rsid w:val="008E31FF"/>
    <w:rsid w:val="008E3287"/>
    <w:rsid w:val="008E38E4"/>
    <w:rsid w:val="008E3DFA"/>
    <w:rsid w:val="008E419B"/>
    <w:rsid w:val="008E51EB"/>
    <w:rsid w:val="008E5746"/>
    <w:rsid w:val="008E64D7"/>
    <w:rsid w:val="008E6DCB"/>
    <w:rsid w:val="008E6E5D"/>
    <w:rsid w:val="008E6F06"/>
    <w:rsid w:val="008E7000"/>
    <w:rsid w:val="008E723E"/>
    <w:rsid w:val="008E7B8E"/>
    <w:rsid w:val="008E7FC9"/>
    <w:rsid w:val="008F0107"/>
    <w:rsid w:val="008F029B"/>
    <w:rsid w:val="008F0589"/>
    <w:rsid w:val="008F130B"/>
    <w:rsid w:val="008F2A5D"/>
    <w:rsid w:val="008F2BC7"/>
    <w:rsid w:val="008F2E83"/>
    <w:rsid w:val="008F3636"/>
    <w:rsid w:val="008F3FC9"/>
    <w:rsid w:val="008F418F"/>
    <w:rsid w:val="008F509F"/>
    <w:rsid w:val="008F525A"/>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B2B"/>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0FA"/>
    <w:rsid w:val="0093648B"/>
    <w:rsid w:val="00937017"/>
    <w:rsid w:val="009373B2"/>
    <w:rsid w:val="00937AE2"/>
    <w:rsid w:val="0094061F"/>
    <w:rsid w:val="00940F0F"/>
    <w:rsid w:val="00941912"/>
    <w:rsid w:val="0094416B"/>
    <w:rsid w:val="0094427A"/>
    <w:rsid w:val="009449C6"/>
    <w:rsid w:val="00944C7C"/>
    <w:rsid w:val="00945245"/>
    <w:rsid w:val="00945523"/>
    <w:rsid w:val="00945636"/>
    <w:rsid w:val="00946C43"/>
    <w:rsid w:val="00946FE0"/>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6B8B"/>
    <w:rsid w:val="00957140"/>
    <w:rsid w:val="00957445"/>
    <w:rsid w:val="0095759C"/>
    <w:rsid w:val="009617EB"/>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3"/>
    <w:rsid w:val="00977C3D"/>
    <w:rsid w:val="00980D3D"/>
    <w:rsid w:val="0098103E"/>
    <w:rsid w:val="0098157D"/>
    <w:rsid w:val="00983101"/>
    <w:rsid w:val="00983E41"/>
    <w:rsid w:val="009845E1"/>
    <w:rsid w:val="00984CE5"/>
    <w:rsid w:val="00984D1B"/>
    <w:rsid w:val="00986246"/>
    <w:rsid w:val="00987A30"/>
    <w:rsid w:val="00990312"/>
    <w:rsid w:val="009908AF"/>
    <w:rsid w:val="0099182E"/>
    <w:rsid w:val="00991D45"/>
    <w:rsid w:val="00992B49"/>
    <w:rsid w:val="00992BB3"/>
    <w:rsid w:val="00992CF3"/>
    <w:rsid w:val="00993194"/>
    <w:rsid w:val="0099321E"/>
    <w:rsid w:val="00993ECA"/>
    <w:rsid w:val="00994171"/>
    <w:rsid w:val="00994868"/>
    <w:rsid w:val="00994976"/>
    <w:rsid w:val="00994D28"/>
    <w:rsid w:val="00994F2C"/>
    <w:rsid w:val="00995720"/>
    <w:rsid w:val="009957CC"/>
    <w:rsid w:val="009968D6"/>
    <w:rsid w:val="00997953"/>
    <w:rsid w:val="00997D55"/>
    <w:rsid w:val="009A0BFF"/>
    <w:rsid w:val="009A10A0"/>
    <w:rsid w:val="009A12B7"/>
    <w:rsid w:val="009A1CAB"/>
    <w:rsid w:val="009A2359"/>
    <w:rsid w:val="009A24F1"/>
    <w:rsid w:val="009A27E0"/>
    <w:rsid w:val="009A4D57"/>
    <w:rsid w:val="009A51A5"/>
    <w:rsid w:val="009A5309"/>
    <w:rsid w:val="009A5759"/>
    <w:rsid w:val="009A60D1"/>
    <w:rsid w:val="009A6225"/>
    <w:rsid w:val="009A64F5"/>
    <w:rsid w:val="009B00D2"/>
    <w:rsid w:val="009B05B3"/>
    <w:rsid w:val="009B07C8"/>
    <w:rsid w:val="009B0CAF"/>
    <w:rsid w:val="009B1324"/>
    <w:rsid w:val="009B2558"/>
    <w:rsid w:val="009B284F"/>
    <w:rsid w:val="009B3742"/>
    <w:rsid w:val="009B3764"/>
    <w:rsid w:val="009B3840"/>
    <w:rsid w:val="009B52AC"/>
    <w:rsid w:val="009B553D"/>
    <w:rsid w:val="009B59EA"/>
    <w:rsid w:val="009B5B6E"/>
    <w:rsid w:val="009B66CE"/>
    <w:rsid w:val="009B6FD3"/>
    <w:rsid w:val="009B72BE"/>
    <w:rsid w:val="009B78A4"/>
    <w:rsid w:val="009B7DB2"/>
    <w:rsid w:val="009C03DB"/>
    <w:rsid w:val="009C15AF"/>
    <w:rsid w:val="009C1750"/>
    <w:rsid w:val="009C2E29"/>
    <w:rsid w:val="009C3E8F"/>
    <w:rsid w:val="009C554B"/>
    <w:rsid w:val="009C5E83"/>
    <w:rsid w:val="009C66F8"/>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D78C3"/>
    <w:rsid w:val="009E1120"/>
    <w:rsid w:val="009E1393"/>
    <w:rsid w:val="009E1922"/>
    <w:rsid w:val="009E1A3D"/>
    <w:rsid w:val="009E4715"/>
    <w:rsid w:val="009E4A58"/>
    <w:rsid w:val="009E5273"/>
    <w:rsid w:val="009E57A8"/>
    <w:rsid w:val="009E5B85"/>
    <w:rsid w:val="009E5BF4"/>
    <w:rsid w:val="009E5DDB"/>
    <w:rsid w:val="009F032E"/>
    <w:rsid w:val="009F1CA6"/>
    <w:rsid w:val="009F2921"/>
    <w:rsid w:val="009F2D61"/>
    <w:rsid w:val="009F3063"/>
    <w:rsid w:val="009F42CF"/>
    <w:rsid w:val="009F4982"/>
    <w:rsid w:val="009F4CA7"/>
    <w:rsid w:val="009F4F6A"/>
    <w:rsid w:val="009F55BA"/>
    <w:rsid w:val="009F7D36"/>
    <w:rsid w:val="009F7D61"/>
    <w:rsid w:val="00A00470"/>
    <w:rsid w:val="00A00E71"/>
    <w:rsid w:val="00A016B3"/>
    <w:rsid w:val="00A0187B"/>
    <w:rsid w:val="00A02E8B"/>
    <w:rsid w:val="00A0306F"/>
    <w:rsid w:val="00A03511"/>
    <w:rsid w:val="00A03B10"/>
    <w:rsid w:val="00A03E2E"/>
    <w:rsid w:val="00A04616"/>
    <w:rsid w:val="00A04717"/>
    <w:rsid w:val="00A05D8F"/>
    <w:rsid w:val="00A05EB1"/>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28B"/>
    <w:rsid w:val="00A20FE1"/>
    <w:rsid w:val="00A2102F"/>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5FC3"/>
    <w:rsid w:val="00A2628E"/>
    <w:rsid w:val="00A266BF"/>
    <w:rsid w:val="00A26777"/>
    <w:rsid w:val="00A269AB"/>
    <w:rsid w:val="00A2731E"/>
    <w:rsid w:val="00A309AC"/>
    <w:rsid w:val="00A30EA4"/>
    <w:rsid w:val="00A30F65"/>
    <w:rsid w:val="00A315D0"/>
    <w:rsid w:val="00A3279E"/>
    <w:rsid w:val="00A32A91"/>
    <w:rsid w:val="00A33DB1"/>
    <w:rsid w:val="00A33EEB"/>
    <w:rsid w:val="00A351C8"/>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240"/>
    <w:rsid w:val="00A478BA"/>
    <w:rsid w:val="00A50D73"/>
    <w:rsid w:val="00A518BB"/>
    <w:rsid w:val="00A51A9B"/>
    <w:rsid w:val="00A52A88"/>
    <w:rsid w:val="00A52CAD"/>
    <w:rsid w:val="00A53340"/>
    <w:rsid w:val="00A53FC7"/>
    <w:rsid w:val="00A55569"/>
    <w:rsid w:val="00A55C36"/>
    <w:rsid w:val="00A5661B"/>
    <w:rsid w:val="00A566A0"/>
    <w:rsid w:val="00A601E7"/>
    <w:rsid w:val="00A60AC1"/>
    <w:rsid w:val="00A62162"/>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09AD"/>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1EAD"/>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49E1"/>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C7B96"/>
    <w:rsid w:val="00AD0B22"/>
    <w:rsid w:val="00AD0EE7"/>
    <w:rsid w:val="00AD168E"/>
    <w:rsid w:val="00AD306C"/>
    <w:rsid w:val="00AD44CD"/>
    <w:rsid w:val="00AD47A7"/>
    <w:rsid w:val="00AD5AD2"/>
    <w:rsid w:val="00AD6462"/>
    <w:rsid w:val="00AD66C5"/>
    <w:rsid w:val="00AD68C4"/>
    <w:rsid w:val="00AD71F9"/>
    <w:rsid w:val="00AE09B3"/>
    <w:rsid w:val="00AE1A83"/>
    <w:rsid w:val="00AE2A78"/>
    <w:rsid w:val="00AE30BE"/>
    <w:rsid w:val="00AE3E6A"/>
    <w:rsid w:val="00AE417E"/>
    <w:rsid w:val="00AE56EE"/>
    <w:rsid w:val="00AE6414"/>
    <w:rsid w:val="00AE7269"/>
    <w:rsid w:val="00AE797C"/>
    <w:rsid w:val="00AE7CE7"/>
    <w:rsid w:val="00AE7FAB"/>
    <w:rsid w:val="00AF0DE4"/>
    <w:rsid w:val="00AF12A0"/>
    <w:rsid w:val="00AF1E87"/>
    <w:rsid w:val="00AF422A"/>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27EC6"/>
    <w:rsid w:val="00B3108D"/>
    <w:rsid w:val="00B32DDB"/>
    <w:rsid w:val="00B32F57"/>
    <w:rsid w:val="00B3345C"/>
    <w:rsid w:val="00B343C4"/>
    <w:rsid w:val="00B34528"/>
    <w:rsid w:val="00B34750"/>
    <w:rsid w:val="00B34CC9"/>
    <w:rsid w:val="00B34CDA"/>
    <w:rsid w:val="00B35160"/>
    <w:rsid w:val="00B3563B"/>
    <w:rsid w:val="00B36BDC"/>
    <w:rsid w:val="00B37D3A"/>
    <w:rsid w:val="00B37D96"/>
    <w:rsid w:val="00B402FC"/>
    <w:rsid w:val="00B422E2"/>
    <w:rsid w:val="00B42517"/>
    <w:rsid w:val="00B4290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274C"/>
    <w:rsid w:val="00B63A11"/>
    <w:rsid w:val="00B64425"/>
    <w:rsid w:val="00B6445A"/>
    <w:rsid w:val="00B64C24"/>
    <w:rsid w:val="00B64E72"/>
    <w:rsid w:val="00B65CEF"/>
    <w:rsid w:val="00B6608F"/>
    <w:rsid w:val="00B674C7"/>
    <w:rsid w:val="00B67749"/>
    <w:rsid w:val="00B679FB"/>
    <w:rsid w:val="00B71FBF"/>
    <w:rsid w:val="00B734A0"/>
    <w:rsid w:val="00B73A14"/>
    <w:rsid w:val="00B73FE8"/>
    <w:rsid w:val="00B748BD"/>
    <w:rsid w:val="00B74964"/>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07A"/>
    <w:rsid w:val="00B8561A"/>
    <w:rsid w:val="00B86628"/>
    <w:rsid w:val="00B86643"/>
    <w:rsid w:val="00B868F7"/>
    <w:rsid w:val="00B86EB1"/>
    <w:rsid w:val="00B871A7"/>
    <w:rsid w:val="00B90131"/>
    <w:rsid w:val="00B92951"/>
    <w:rsid w:val="00B92D1D"/>
    <w:rsid w:val="00B92D7E"/>
    <w:rsid w:val="00B92E1D"/>
    <w:rsid w:val="00B930CE"/>
    <w:rsid w:val="00B938C5"/>
    <w:rsid w:val="00B940A8"/>
    <w:rsid w:val="00B9554A"/>
    <w:rsid w:val="00B95940"/>
    <w:rsid w:val="00B95ACA"/>
    <w:rsid w:val="00B95C12"/>
    <w:rsid w:val="00B96D74"/>
    <w:rsid w:val="00B9720E"/>
    <w:rsid w:val="00B97ACC"/>
    <w:rsid w:val="00B97F3A"/>
    <w:rsid w:val="00B97FE2"/>
    <w:rsid w:val="00BA0E0B"/>
    <w:rsid w:val="00BA201A"/>
    <w:rsid w:val="00BA21DF"/>
    <w:rsid w:val="00BA361D"/>
    <w:rsid w:val="00BA3787"/>
    <w:rsid w:val="00BA403A"/>
    <w:rsid w:val="00BA46E8"/>
    <w:rsid w:val="00BA49DB"/>
    <w:rsid w:val="00BA4AE9"/>
    <w:rsid w:val="00BA4E19"/>
    <w:rsid w:val="00BA5125"/>
    <w:rsid w:val="00BA6436"/>
    <w:rsid w:val="00BA64F2"/>
    <w:rsid w:val="00BA684E"/>
    <w:rsid w:val="00BA6C2B"/>
    <w:rsid w:val="00BA7B64"/>
    <w:rsid w:val="00BB02A3"/>
    <w:rsid w:val="00BB0351"/>
    <w:rsid w:val="00BB15C3"/>
    <w:rsid w:val="00BB1AF4"/>
    <w:rsid w:val="00BB2202"/>
    <w:rsid w:val="00BB286B"/>
    <w:rsid w:val="00BB3C6B"/>
    <w:rsid w:val="00BB3FD6"/>
    <w:rsid w:val="00BB453F"/>
    <w:rsid w:val="00BB46F3"/>
    <w:rsid w:val="00BB4A71"/>
    <w:rsid w:val="00BB4CB1"/>
    <w:rsid w:val="00BB4E47"/>
    <w:rsid w:val="00BB4F98"/>
    <w:rsid w:val="00BB50C0"/>
    <w:rsid w:val="00BB5AB2"/>
    <w:rsid w:val="00BB5ABF"/>
    <w:rsid w:val="00BB5F94"/>
    <w:rsid w:val="00BB6EA2"/>
    <w:rsid w:val="00BB7142"/>
    <w:rsid w:val="00BB76F3"/>
    <w:rsid w:val="00BB7B5B"/>
    <w:rsid w:val="00BB7EB1"/>
    <w:rsid w:val="00BC003F"/>
    <w:rsid w:val="00BC06AA"/>
    <w:rsid w:val="00BC0930"/>
    <w:rsid w:val="00BC223A"/>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55EF"/>
    <w:rsid w:val="00BE652B"/>
    <w:rsid w:val="00BE7F5F"/>
    <w:rsid w:val="00BF02C8"/>
    <w:rsid w:val="00BF1578"/>
    <w:rsid w:val="00BF15CA"/>
    <w:rsid w:val="00BF1D12"/>
    <w:rsid w:val="00BF1D3A"/>
    <w:rsid w:val="00BF2B5B"/>
    <w:rsid w:val="00BF2D41"/>
    <w:rsid w:val="00BF3274"/>
    <w:rsid w:val="00BF32DC"/>
    <w:rsid w:val="00BF35C9"/>
    <w:rsid w:val="00BF40A9"/>
    <w:rsid w:val="00BF4329"/>
    <w:rsid w:val="00BF4E43"/>
    <w:rsid w:val="00BF5C4C"/>
    <w:rsid w:val="00BF765C"/>
    <w:rsid w:val="00BF77FC"/>
    <w:rsid w:val="00C006D6"/>
    <w:rsid w:val="00C00BD7"/>
    <w:rsid w:val="00C01410"/>
    <w:rsid w:val="00C024BB"/>
    <w:rsid w:val="00C02D23"/>
    <w:rsid w:val="00C03D4D"/>
    <w:rsid w:val="00C044F4"/>
    <w:rsid w:val="00C04B78"/>
    <w:rsid w:val="00C052AA"/>
    <w:rsid w:val="00C06EE3"/>
    <w:rsid w:val="00C07279"/>
    <w:rsid w:val="00C07749"/>
    <w:rsid w:val="00C07C2F"/>
    <w:rsid w:val="00C07C67"/>
    <w:rsid w:val="00C10805"/>
    <w:rsid w:val="00C11244"/>
    <w:rsid w:val="00C118A9"/>
    <w:rsid w:val="00C11D48"/>
    <w:rsid w:val="00C12304"/>
    <w:rsid w:val="00C12316"/>
    <w:rsid w:val="00C1246C"/>
    <w:rsid w:val="00C1493E"/>
    <w:rsid w:val="00C15537"/>
    <w:rsid w:val="00C15DBD"/>
    <w:rsid w:val="00C161C5"/>
    <w:rsid w:val="00C172F7"/>
    <w:rsid w:val="00C2010D"/>
    <w:rsid w:val="00C20CB5"/>
    <w:rsid w:val="00C21430"/>
    <w:rsid w:val="00C216DF"/>
    <w:rsid w:val="00C21E61"/>
    <w:rsid w:val="00C21F94"/>
    <w:rsid w:val="00C223E8"/>
    <w:rsid w:val="00C224BD"/>
    <w:rsid w:val="00C2272B"/>
    <w:rsid w:val="00C234DB"/>
    <w:rsid w:val="00C23C5C"/>
    <w:rsid w:val="00C2479A"/>
    <w:rsid w:val="00C24903"/>
    <w:rsid w:val="00C2590D"/>
    <w:rsid w:val="00C25D9C"/>
    <w:rsid w:val="00C26086"/>
    <w:rsid w:val="00C27913"/>
    <w:rsid w:val="00C27FA7"/>
    <w:rsid w:val="00C300E2"/>
    <w:rsid w:val="00C31F21"/>
    <w:rsid w:val="00C32631"/>
    <w:rsid w:val="00C33301"/>
    <w:rsid w:val="00C33311"/>
    <w:rsid w:val="00C33B68"/>
    <w:rsid w:val="00C34AD4"/>
    <w:rsid w:val="00C35570"/>
    <w:rsid w:val="00C3579B"/>
    <w:rsid w:val="00C35A2A"/>
    <w:rsid w:val="00C36A79"/>
    <w:rsid w:val="00C401A9"/>
    <w:rsid w:val="00C401D2"/>
    <w:rsid w:val="00C4031A"/>
    <w:rsid w:val="00C405D4"/>
    <w:rsid w:val="00C419D5"/>
    <w:rsid w:val="00C41D54"/>
    <w:rsid w:val="00C42EBB"/>
    <w:rsid w:val="00C435E8"/>
    <w:rsid w:val="00C4513B"/>
    <w:rsid w:val="00C475E8"/>
    <w:rsid w:val="00C50E79"/>
    <w:rsid w:val="00C5197D"/>
    <w:rsid w:val="00C525FB"/>
    <w:rsid w:val="00C527AD"/>
    <w:rsid w:val="00C5390B"/>
    <w:rsid w:val="00C540D3"/>
    <w:rsid w:val="00C54257"/>
    <w:rsid w:val="00C54697"/>
    <w:rsid w:val="00C550CE"/>
    <w:rsid w:val="00C553A5"/>
    <w:rsid w:val="00C55402"/>
    <w:rsid w:val="00C5603B"/>
    <w:rsid w:val="00C6020C"/>
    <w:rsid w:val="00C60AE3"/>
    <w:rsid w:val="00C61F47"/>
    <w:rsid w:val="00C62828"/>
    <w:rsid w:val="00C63132"/>
    <w:rsid w:val="00C655DA"/>
    <w:rsid w:val="00C672C1"/>
    <w:rsid w:val="00C706D2"/>
    <w:rsid w:val="00C715CC"/>
    <w:rsid w:val="00C719A3"/>
    <w:rsid w:val="00C71D2F"/>
    <w:rsid w:val="00C72984"/>
    <w:rsid w:val="00C72BC7"/>
    <w:rsid w:val="00C73885"/>
    <w:rsid w:val="00C73C93"/>
    <w:rsid w:val="00C7435A"/>
    <w:rsid w:val="00C747B1"/>
    <w:rsid w:val="00C75510"/>
    <w:rsid w:val="00C755F9"/>
    <w:rsid w:val="00C75752"/>
    <w:rsid w:val="00C75B60"/>
    <w:rsid w:val="00C761EC"/>
    <w:rsid w:val="00C770C9"/>
    <w:rsid w:val="00C773D8"/>
    <w:rsid w:val="00C8019E"/>
    <w:rsid w:val="00C81070"/>
    <w:rsid w:val="00C8174E"/>
    <w:rsid w:val="00C82191"/>
    <w:rsid w:val="00C83134"/>
    <w:rsid w:val="00C831E7"/>
    <w:rsid w:val="00C832F3"/>
    <w:rsid w:val="00C84307"/>
    <w:rsid w:val="00C845A4"/>
    <w:rsid w:val="00C8504C"/>
    <w:rsid w:val="00C85545"/>
    <w:rsid w:val="00C855B5"/>
    <w:rsid w:val="00C85F0E"/>
    <w:rsid w:val="00C867F9"/>
    <w:rsid w:val="00C872AA"/>
    <w:rsid w:val="00C87C6B"/>
    <w:rsid w:val="00C90357"/>
    <w:rsid w:val="00C90CF4"/>
    <w:rsid w:val="00C91C20"/>
    <w:rsid w:val="00C922DE"/>
    <w:rsid w:val="00C92843"/>
    <w:rsid w:val="00C929FE"/>
    <w:rsid w:val="00C92EB6"/>
    <w:rsid w:val="00C93389"/>
    <w:rsid w:val="00C948E6"/>
    <w:rsid w:val="00C94CDD"/>
    <w:rsid w:val="00C95123"/>
    <w:rsid w:val="00C97588"/>
    <w:rsid w:val="00CA0346"/>
    <w:rsid w:val="00CA0649"/>
    <w:rsid w:val="00CA0BD5"/>
    <w:rsid w:val="00CA0DA1"/>
    <w:rsid w:val="00CA1BD6"/>
    <w:rsid w:val="00CA2D95"/>
    <w:rsid w:val="00CA37FF"/>
    <w:rsid w:val="00CA423A"/>
    <w:rsid w:val="00CA47BC"/>
    <w:rsid w:val="00CA5EAD"/>
    <w:rsid w:val="00CA6AB4"/>
    <w:rsid w:val="00CA7255"/>
    <w:rsid w:val="00CA79E2"/>
    <w:rsid w:val="00CA7E12"/>
    <w:rsid w:val="00CB111E"/>
    <w:rsid w:val="00CB18B2"/>
    <w:rsid w:val="00CB1BEE"/>
    <w:rsid w:val="00CB2351"/>
    <w:rsid w:val="00CB2BF7"/>
    <w:rsid w:val="00CB3605"/>
    <w:rsid w:val="00CB3ECE"/>
    <w:rsid w:val="00CB4022"/>
    <w:rsid w:val="00CB4257"/>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5EE0"/>
    <w:rsid w:val="00CD6331"/>
    <w:rsid w:val="00CD7E9E"/>
    <w:rsid w:val="00CE12FB"/>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0E03"/>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842"/>
    <w:rsid w:val="00D03A72"/>
    <w:rsid w:val="00D040DD"/>
    <w:rsid w:val="00D04134"/>
    <w:rsid w:val="00D05C65"/>
    <w:rsid w:val="00D06B56"/>
    <w:rsid w:val="00D06D68"/>
    <w:rsid w:val="00D075BE"/>
    <w:rsid w:val="00D07AFF"/>
    <w:rsid w:val="00D07CC2"/>
    <w:rsid w:val="00D10C15"/>
    <w:rsid w:val="00D11011"/>
    <w:rsid w:val="00D11476"/>
    <w:rsid w:val="00D12C25"/>
    <w:rsid w:val="00D133B4"/>
    <w:rsid w:val="00D13986"/>
    <w:rsid w:val="00D13F3E"/>
    <w:rsid w:val="00D14C5B"/>
    <w:rsid w:val="00D15D3A"/>
    <w:rsid w:val="00D15FED"/>
    <w:rsid w:val="00D16712"/>
    <w:rsid w:val="00D174E0"/>
    <w:rsid w:val="00D214EF"/>
    <w:rsid w:val="00D215B0"/>
    <w:rsid w:val="00D21B36"/>
    <w:rsid w:val="00D21D6D"/>
    <w:rsid w:val="00D21D83"/>
    <w:rsid w:val="00D22A47"/>
    <w:rsid w:val="00D235B7"/>
    <w:rsid w:val="00D23A99"/>
    <w:rsid w:val="00D23FAE"/>
    <w:rsid w:val="00D25F28"/>
    <w:rsid w:val="00D26071"/>
    <w:rsid w:val="00D260C7"/>
    <w:rsid w:val="00D26133"/>
    <w:rsid w:val="00D269B9"/>
    <w:rsid w:val="00D26E6B"/>
    <w:rsid w:val="00D27973"/>
    <w:rsid w:val="00D27F07"/>
    <w:rsid w:val="00D27F3A"/>
    <w:rsid w:val="00D31537"/>
    <w:rsid w:val="00D31E1E"/>
    <w:rsid w:val="00D322A0"/>
    <w:rsid w:val="00D32824"/>
    <w:rsid w:val="00D33297"/>
    <w:rsid w:val="00D334E2"/>
    <w:rsid w:val="00D335E5"/>
    <w:rsid w:val="00D350B1"/>
    <w:rsid w:val="00D35AD6"/>
    <w:rsid w:val="00D35BBB"/>
    <w:rsid w:val="00D35E1A"/>
    <w:rsid w:val="00D36B0A"/>
    <w:rsid w:val="00D36DFB"/>
    <w:rsid w:val="00D36E1C"/>
    <w:rsid w:val="00D373AF"/>
    <w:rsid w:val="00D40556"/>
    <w:rsid w:val="00D418E9"/>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DAE"/>
    <w:rsid w:val="00D60E3C"/>
    <w:rsid w:val="00D60FA7"/>
    <w:rsid w:val="00D61FAB"/>
    <w:rsid w:val="00D62C4E"/>
    <w:rsid w:val="00D63BE5"/>
    <w:rsid w:val="00D6475F"/>
    <w:rsid w:val="00D652EB"/>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2CD7"/>
    <w:rsid w:val="00D932B8"/>
    <w:rsid w:val="00D932F0"/>
    <w:rsid w:val="00D95302"/>
    <w:rsid w:val="00D95889"/>
    <w:rsid w:val="00D95C5D"/>
    <w:rsid w:val="00D95CBE"/>
    <w:rsid w:val="00D95E7F"/>
    <w:rsid w:val="00D96B03"/>
    <w:rsid w:val="00D97D00"/>
    <w:rsid w:val="00DA0121"/>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273F"/>
    <w:rsid w:val="00DE27CD"/>
    <w:rsid w:val="00DE2B97"/>
    <w:rsid w:val="00DE3231"/>
    <w:rsid w:val="00DE3E22"/>
    <w:rsid w:val="00DE3E5D"/>
    <w:rsid w:val="00DE450F"/>
    <w:rsid w:val="00DE4865"/>
    <w:rsid w:val="00DE5CA6"/>
    <w:rsid w:val="00DE5E55"/>
    <w:rsid w:val="00DE6209"/>
    <w:rsid w:val="00DE63AE"/>
    <w:rsid w:val="00DE7156"/>
    <w:rsid w:val="00DE7AC8"/>
    <w:rsid w:val="00DF0830"/>
    <w:rsid w:val="00DF1D57"/>
    <w:rsid w:val="00DF2C5D"/>
    <w:rsid w:val="00DF2CD3"/>
    <w:rsid w:val="00DF3643"/>
    <w:rsid w:val="00DF42FF"/>
    <w:rsid w:val="00DF4369"/>
    <w:rsid w:val="00DF4423"/>
    <w:rsid w:val="00DF4ADF"/>
    <w:rsid w:val="00DF57D6"/>
    <w:rsid w:val="00DF5D1E"/>
    <w:rsid w:val="00DF7489"/>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59C6"/>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31"/>
    <w:rsid w:val="00E41179"/>
    <w:rsid w:val="00E417BE"/>
    <w:rsid w:val="00E41CD5"/>
    <w:rsid w:val="00E42054"/>
    <w:rsid w:val="00E4372D"/>
    <w:rsid w:val="00E43A9E"/>
    <w:rsid w:val="00E44243"/>
    <w:rsid w:val="00E453F9"/>
    <w:rsid w:val="00E45D7D"/>
    <w:rsid w:val="00E4623F"/>
    <w:rsid w:val="00E4665D"/>
    <w:rsid w:val="00E47854"/>
    <w:rsid w:val="00E478E2"/>
    <w:rsid w:val="00E47C5D"/>
    <w:rsid w:val="00E47EBA"/>
    <w:rsid w:val="00E50156"/>
    <w:rsid w:val="00E504EB"/>
    <w:rsid w:val="00E5076C"/>
    <w:rsid w:val="00E50D2E"/>
    <w:rsid w:val="00E50D7D"/>
    <w:rsid w:val="00E51EF0"/>
    <w:rsid w:val="00E53470"/>
    <w:rsid w:val="00E5368D"/>
    <w:rsid w:val="00E539F6"/>
    <w:rsid w:val="00E54698"/>
    <w:rsid w:val="00E54BE9"/>
    <w:rsid w:val="00E54D22"/>
    <w:rsid w:val="00E54FB4"/>
    <w:rsid w:val="00E5539A"/>
    <w:rsid w:val="00E55791"/>
    <w:rsid w:val="00E55E1A"/>
    <w:rsid w:val="00E578A2"/>
    <w:rsid w:val="00E579ED"/>
    <w:rsid w:val="00E60043"/>
    <w:rsid w:val="00E61740"/>
    <w:rsid w:val="00E61EB5"/>
    <w:rsid w:val="00E6324D"/>
    <w:rsid w:val="00E647C1"/>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66E"/>
    <w:rsid w:val="00E75C94"/>
    <w:rsid w:val="00E76A08"/>
    <w:rsid w:val="00E76B9B"/>
    <w:rsid w:val="00E76E61"/>
    <w:rsid w:val="00E76EE4"/>
    <w:rsid w:val="00E77CC0"/>
    <w:rsid w:val="00E80B3D"/>
    <w:rsid w:val="00E80CA3"/>
    <w:rsid w:val="00E81AAA"/>
    <w:rsid w:val="00E82618"/>
    <w:rsid w:val="00E82A42"/>
    <w:rsid w:val="00E82AB6"/>
    <w:rsid w:val="00E84E09"/>
    <w:rsid w:val="00E87CE2"/>
    <w:rsid w:val="00E87D5B"/>
    <w:rsid w:val="00E90CA8"/>
    <w:rsid w:val="00E911C6"/>
    <w:rsid w:val="00E920DE"/>
    <w:rsid w:val="00E930A1"/>
    <w:rsid w:val="00E93820"/>
    <w:rsid w:val="00E93FD5"/>
    <w:rsid w:val="00E94A86"/>
    <w:rsid w:val="00E951AB"/>
    <w:rsid w:val="00E953F6"/>
    <w:rsid w:val="00E96143"/>
    <w:rsid w:val="00E96833"/>
    <w:rsid w:val="00E97506"/>
    <w:rsid w:val="00E97BB5"/>
    <w:rsid w:val="00E97D5B"/>
    <w:rsid w:val="00E97F14"/>
    <w:rsid w:val="00EA0B1A"/>
    <w:rsid w:val="00EA0C68"/>
    <w:rsid w:val="00EA0E39"/>
    <w:rsid w:val="00EA1D0E"/>
    <w:rsid w:val="00EA1EBB"/>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473"/>
    <w:rsid w:val="00EB6DA6"/>
    <w:rsid w:val="00EB6FAC"/>
    <w:rsid w:val="00EB7BAC"/>
    <w:rsid w:val="00EB7CC9"/>
    <w:rsid w:val="00EC03D7"/>
    <w:rsid w:val="00EC13A7"/>
    <w:rsid w:val="00EC189D"/>
    <w:rsid w:val="00EC2EB6"/>
    <w:rsid w:val="00EC434A"/>
    <w:rsid w:val="00EC4FFF"/>
    <w:rsid w:val="00EC5517"/>
    <w:rsid w:val="00EC6B23"/>
    <w:rsid w:val="00EC6E8C"/>
    <w:rsid w:val="00ED0962"/>
    <w:rsid w:val="00ED0EF0"/>
    <w:rsid w:val="00ED0F73"/>
    <w:rsid w:val="00ED12B9"/>
    <w:rsid w:val="00ED16B8"/>
    <w:rsid w:val="00ED1959"/>
    <w:rsid w:val="00ED1A00"/>
    <w:rsid w:val="00ED1DF0"/>
    <w:rsid w:val="00ED2386"/>
    <w:rsid w:val="00ED2525"/>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A09"/>
    <w:rsid w:val="00EE6E06"/>
    <w:rsid w:val="00EE7179"/>
    <w:rsid w:val="00EF0D90"/>
    <w:rsid w:val="00EF150D"/>
    <w:rsid w:val="00EF1967"/>
    <w:rsid w:val="00EF1F5A"/>
    <w:rsid w:val="00EF23B5"/>
    <w:rsid w:val="00EF326A"/>
    <w:rsid w:val="00EF3898"/>
    <w:rsid w:val="00EF47BF"/>
    <w:rsid w:val="00EF52F7"/>
    <w:rsid w:val="00EF54CF"/>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52D2"/>
    <w:rsid w:val="00F06002"/>
    <w:rsid w:val="00F067B8"/>
    <w:rsid w:val="00F0730A"/>
    <w:rsid w:val="00F073ED"/>
    <w:rsid w:val="00F07C4C"/>
    <w:rsid w:val="00F07E45"/>
    <w:rsid w:val="00F10F11"/>
    <w:rsid w:val="00F11159"/>
    <w:rsid w:val="00F1152E"/>
    <w:rsid w:val="00F115E4"/>
    <w:rsid w:val="00F11AC4"/>
    <w:rsid w:val="00F11FDC"/>
    <w:rsid w:val="00F120A5"/>
    <w:rsid w:val="00F12CFB"/>
    <w:rsid w:val="00F13E60"/>
    <w:rsid w:val="00F13FDB"/>
    <w:rsid w:val="00F15AAA"/>
    <w:rsid w:val="00F15BEF"/>
    <w:rsid w:val="00F1770C"/>
    <w:rsid w:val="00F17898"/>
    <w:rsid w:val="00F204BF"/>
    <w:rsid w:val="00F204DA"/>
    <w:rsid w:val="00F207C2"/>
    <w:rsid w:val="00F21337"/>
    <w:rsid w:val="00F219A1"/>
    <w:rsid w:val="00F23927"/>
    <w:rsid w:val="00F23E20"/>
    <w:rsid w:val="00F24407"/>
    <w:rsid w:val="00F249CE"/>
    <w:rsid w:val="00F24FAA"/>
    <w:rsid w:val="00F25040"/>
    <w:rsid w:val="00F269D7"/>
    <w:rsid w:val="00F26FB5"/>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2E7"/>
    <w:rsid w:val="00F44537"/>
    <w:rsid w:val="00F46185"/>
    <w:rsid w:val="00F46423"/>
    <w:rsid w:val="00F4696A"/>
    <w:rsid w:val="00F47067"/>
    <w:rsid w:val="00F47234"/>
    <w:rsid w:val="00F51ADD"/>
    <w:rsid w:val="00F525AB"/>
    <w:rsid w:val="00F525EB"/>
    <w:rsid w:val="00F52CB5"/>
    <w:rsid w:val="00F53378"/>
    <w:rsid w:val="00F53917"/>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35C"/>
    <w:rsid w:val="00F91B66"/>
    <w:rsid w:val="00F9354A"/>
    <w:rsid w:val="00F93688"/>
    <w:rsid w:val="00F939F3"/>
    <w:rsid w:val="00F93C6E"/>
    <w:rsid w:val="00F93F2C"/>
    <w:rsid w:val="00F947E9"/>
    <w:rsid w:val="00F962AD"/>
    <w:rsid w:val="00F9644E"/>
    <w:rsid w:val="00FA0105"/>
    <w:rsid w:val="00FA05A0"/>
    <w:rsid w:val="00FA0AEF"/>
    <w:rsid w:val="00FA17CC"/>
    <w:rsid w:val="00FA1CA9"/>
    <w:rsid w:val="00FA1CFE"/>
    <w:rsid w:val="00FA1EE7"/>
    <w:rsid w:val="00FA1F01"/>
    <w:rsid w:val="00FA26DF"/>
    <w:rsid w:val="00FA2C07"/>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1BA4"/>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372"/>
    <w:rsid w:val="00FD4916"/>
    <w:rsid w:val="00FD4D12"/>
    <w:rsid w:val="00FD4F73"/>
    <w:rsid w:val="00FD595E"/>
    <w:rsid w:val="00FD6667"/>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56A"/>
    <w:rsid w:val="00FF5B8C"/>
    <w:rsid w:val="00FF63E6"/>
    <w:rsid w:val="00FF72DC"/>
    <w:rsid w:val="00FF7B96"/>
    <w:rsid w:val="019CB78C"/>
    <w:rsid w:val="0241D284"/>
    <w:rsid w:val="04BD1937"/>
    <w:rsid w:val="0523CDF2"/>
    <w:rsid w:val="06B1A837"/>
    <w:rsid w:val="07FB41B9"/>
    <w:rsid w:val="08A648BF"/>
    <w:rsid w:val="08AB0269"/>
    <w:rsid w:val="0A844D4D"/>
    <w:rsid w:val="0BCD71E1"/>
    <w:rsid w:val="0EBE9DEC"/>
    <w:rsid w:val="0FBB85B6"/>
    <w:rsid w:val="12650F4E"/>
    <w:rsid w:val="1371242A"/>
    <w:rsid w:val="1394E51D"/>
    <w:rsid w:val="14DB2A87"/>
    <w:rsid w:val="15DD577B"/>
    <w:rsid w:val="16EC38E2"/>
    <w:rsid w:val="17178072"/>
    <w:rsid w:val="173F358F"/>
    <w:rsid w:val="17513AF8"/>
    <w:rsid w:val="1812CB49"/>
    <w:rsid w:val="1B53A8C8"/>
    <w:rsid w:val="1BEE6986"/>
    <w:rsid w:val="20D21749"/>
    <w:rsid w:val="2111A021"/>
    <w:rsid w:val="21BE069A"/>
    <w:rsid w:val="224238BC"/>
    <w:rsid w:val="224482AD"/>
    <w:rsid w:val="23E0530E"/>
    <w:rsid w:val="24FC0D77"/>
    <w:rsid w:val="2A0E9F3A"/>
    <w:rsid w:val="2A2A6298"/>
    <w:rsid w:val="2F72CB2D"/>
    <w:rsid w:val="3204B56C"/>
    <w:rsid w:val="36A6CB7D"/>
    <w:rsid w:val="37D604A5"/>
    <w:rsid w:val="38C72AFC"/>
    <w:rsid w:val="3A31F626"/>
    <w:rsid w:val="3AA0BED0"/>
    <w:rsid w:val="3C7646FC"/>
    <w:rsid w:val="3E4A9713"/>
    <w:rsid w:val="3E77F3B4"/>
    <w:rsid w:val="40C3BF09"/>
    <w:rsid w:val="4475CE70"/>
    <w:rsid w:val="47207A7B"/>
    <w:rsid w:val="48038D4B"/>
    <w:rsid w:val="49A859FB"/>
    <w:rsid w:val="49E8263C"/>
    <w:rsid w:val="4A567F3C"/>
    <w:rsid w:val="50A35788"/>
    <w:rsid w:val="52944939"/>
    <w:rsid w:val="53942896"/>
    <w:rsid w:val="5536E42E"/>
    <w:rsid w:val="55914544"/>
    <w:rsid w:val="581B14F9"/>
    <w:rsid w:val="58FD3BB8"/>
    <w:rsid w:val="5B145290"/>
    <w:rsid w:val="5CF587E8"/>
    <w:rsid w:val="5DD689BF"/>
    <w:rsid w:val="5E8D8646"/>
    <w:rsid w:val="60B2C930"/>
    <w:rsid w:val="64244C5C"/>
    <w:rsid w:val="64B5C10F"/>
    <w:rsid w:val="661E5011"/>
    <w:rsid w:val="67F8BB57"/>
    <w:rsid w:val="6AEA4E8B"/>
    <w:rsid w:val="6AEC8A78"/>
    <w:rsid w:val="6D951AA9"/>
    <w:rsid w:val="7059F910"/>
    <w:rsid w:val="74248E8F"/>
    <w:rsid w:val="74EA3077"/>
    <w:rsid w:val="754BB0AE"/>
    <w:rsid w:val="75B5B795"/>
    <w:rsid w:val="76D4E0D9"/>
    <w:rsid w:val="78058569"/>
    <w:rsid w:val="785B85D1"/>
    <w:rsid w:val="78E73CD1"/>
    <w:rsid w:val="78EC659F"/>
    <w:rsid w:val="7C941E33"/>
    <w:rsid w:val="7E2BC7B5"/>
    <w:rsid w:val="7F508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ecf4dd,#eaecee,#fcec0a,#fcecdb,#f1daf5"/>
    </o:shapedefaults>
    <o:shapelayout v:ext="edit">
      <o:idmap v:ext="edit" data="1"/>
    </o:shapelayout>
  </w:shapeDefaults>
  <w:decimalSymbol w:val=","/>
  <w:listSeparator w:val=";"/>
  <w14:docId w14:val="5D395025"/>
  <w15:docId w15:val="{56910147-D8D0-4759-AD79-65565E20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link w:val="OdstavecseseznamemChar"/>
    <w:uiPriority w:val="34"/>
    <w:qFormat/>
    <w:rsid w:val="006B0F92"/>
    <w:pPr>
      <w:ind w:left="720"/>
      <w:contextualSpacing/>
    </w:pPr>
  </w:style>
  <w:style w:type="paragraph" w:customStyle="1" w:styleId="Normalodrka">
    <w:name w:val="Normal odrážka"/>
    <w:qFormat/>
    <w:rsid w:val="006B0F92"/>
    <w:pPr>
      <w:numPr>
        <w:numId w:val="2"/>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npsmoodstavce"/>
    <w:rsid w:val="006A3CAF"/>
  </w:style>
  <w:style w:type="paragraph" w:customStyle="1" w:styleId="paragraph">
    <w:name w:val="paragraph"/>
    <w:basedOn w:val="Normln"/>
    <w:rsid w:val="006A3CA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784980"/>
  </w:style>
  <w:style w:type="character" w:customStyle="1" w:styleId="scxw9398236">
    <w:name w:val="scxw9398236"/>
    <w:basedOn w:val="Standardnpsmoodstavce"/>
    <w:rsid w:val="000D7C6F"/>
  </w:style>
  <w:style w:type="character" w:customStyle="1" w:styleId="superscript">
    <w:name w:val="superscript"/>
    <w:basedOn w:val="Standardnpsmoodstavce"/>
    <w:rsid w:val="000D7C6F"/>
  </w:style>
  <w:style w:type="character" w:customStyle="1" w:styleId="OdstavecseseznamemChar">
    <w:name w:val="Odstavec se seznamem Char"/>
    <w:basedOn w:val="Standardnpsmoodstavce"/>
    <w:link w:val="Odstavecseseznamem"/>
    <w:uiPriority w:val="34"/>
    <w:rsid w:val="00A51A9B"/>
    <w:rPr>
      <w:rFonts w:ascii="Arial" w:eastAsia="Times New Roman"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72790313">
      <w:bodyDiv w:val="1"/>
      <w:marLeft w:val="0"/>
      <w:marRight w:val="0"/>
      <w:marTop w:val="0"/>
      <w:marBottom w:val="0"/>
      <w:divBdr>
        <w:top w:val="none" w:sz="0" w:space="0" w:color="auto"/>
        <w:left w:val="none" w:sz="0" w:space="0" w:color="auto"/>
        <w:bottom w:val="none" w:sz="0" w:space="0" w:color="auto"/>
        <w:right w:val="none" w:sz="0" w:space="0" w:color="auto"/>
      </w:divBdr>
    </w:div>
    <w:div w:id="475994402">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768357224">
      <w:bodyDiv w:val="1"/>
      <w:marLeft w:val="0"/>
      <w:marRight w:val="0"/>
      <w:marTop w:val="0"/>
      <w:marBottom w:val="0"/>
      <w:divBdr>
        <w:top w:val="none" w:sz="0" w:space="0" w:color="auto"/>
        <w:left w:val="none" w:sz="0" w:space="0" w:color="auto"/>
        <w:bottom w:val="none" w:sz="0" w:space="0" w:color="auto"/>
        <w:right w:val="none" w:sz="0" w:space="0" w:color="auto"/>
      </w:divBdr>
      <w:divsChild>
        <w:div w:id="1344359446">
          <w:marLeft w:val="0"/>
          <w:marRight w:val="0"/>
          <w:marTop w:val="0"/>
          <w:marBottom w:val="0"/>
          <w:divBdr>
            <w:top w:val="none" w:sz="0" w:space="0" w:color="auto"/>
            <w:left w:val="none" w:sz="0" w:space="0" w:color="auto"/>
            <w:bottom w:val="none" w:sz="0" w:space="0" w:color="auto"/>
            <w:right w:val="none" w:sz="0" w:space="0" w:color="auto"/>
          </w:divBdr>
        </w:div>
        <w:div w:id="1716659461">
          <w:marLeft w:val="0"/>
          <w:marRight w:val="0"/>
          <w:marTop w:val="0"/>
          <w:marBottom w:val="0"/>
          <w:divBdr>
            <w:top w:val="none" w:sz="0" w:space="0" w:color="auto"/>
            <w:left w:val="none" w:sz="0" w:space="0" w:color="auto"/>
            <w:bottom w:val="none" w:sz="0" w:space="0" w:color="auto"/>
            <w:right w:val="none" w:sz="0" w:space="0" w:color="auto"/>
          </w:divBdr>
          <w:divsChild>
            <w:div w:id="908930234">
              <w:marLeft w:val="-75"/>
              <w:marRight w:val="0"/>
              <w:marTop w:val="30"/>
              <w:marBottom w:val="30"/>
              <w:divBdr>
                <w:top w:val="none" w:sz="0" w:space="0" w:color="auto"/>
                <w:left w:val="none" w:sz="0" w:space="0" w:color="auto"/>
                <w:bottom w:val="none" w:sz="0" w:space="0" w:color="auto"/>
                <w:right w:val="none" w:sz="0" w:space="0" w:color="auto"/>
              </w:divBdr>
              <w:divsChild>
                <w:div w:id="189690384">
                  <w:marLeft w:val="0"/>
                  <w:marRight w:val="0"/>
                  <w:marTop w:val="0"/>
                  <w:marBottom w:val="0"/>
                  <w:divBdr>
                    <w:top w:val="none" w:sz="0" w:space="0" w:color="auto"/>
                    <w:left w:val="none" w:sz="0" w:space="0" w:color="auto"/>
                    <w:bottom w:val="none" w:sz="0" w:space="0" w:color="auto"/>
                    <w:right w:val="none" w:sz="0" w:space="0" w:color="auto"/>
                  </w:divBdr>
                  <w:divsChild>
                    <w:div w:id="345450649">
                      <w:marLeft w:val="0"/>
                      <w:marRight w:val="0"/>
                      <w:marTop w:val="0"/>
                      <w:marBottom w:val="0"/>
                      <w:divBdr>
                        <w:top w:val="none" w:sz="0" w:space="0" w:color="auto"/>
                        <w:left w:val="none" w:sz="0" w:space="0" w:color="auto"/>
                        <w:bottom w:val="none" w:sz="0" w:space="0" w:color="auto"/>
                        <w:right w:val="none" w:sz="0" w:space="0" w:color="auto"/>
                      </w:divBdr>
                    </w:div>
                  </w:divsChild>
                </w:div>
                <w:div w:id="2130083414">
                  <w:marLeft w:val="0"/>
                  <w:marRight w:val="0"/>
                  <w:marTop w:val="0"/>
                  <w:marBottom w:val="0"/>
                  <w:divBdr>
                    <w:top w:val="none" w:sz="0" w:space="0" w:color="auto"/>
                    <w:left w:val="none" w:sz="0" w:space="0" w:color="auto"/>
                    <w:bottom w:val="none" w:sz="0" w:space="0" w:color="auto"/>
                    <w:right w:val="none" w:sz="0" w:space="0" w:color="auto"/>
                  </w:divBdr>
                  <w:divsChild>
                    <w:div w:id="1847819293">
                      <w:marLeft w:val="0"/>
                      <w:marRight w:val="0"/>
                      <w:marTop w:val="0"/>
                      <w:marBottom w:val="0"/>
                      <w:divBdr>
                        <w:top w:val="none" w:sz="0" w:space="0" w:color="auto"/>
                        <w:left w:val="none" w:sz="0" w:space="0" w:color="auto"/>
                        <w:bottom w:val="none" w:sz="0" w:space="0" w:color="auto"/>
                        <w:right w:val="none" w:sz="0" w:space="0" w:color="auto"/>
                      </w:divBdr>
                    </w:div>
                  </w:divsChild>
                </w:div>
                <w:div w:id="141698433">
                  <w:marLeft w:val="0"/>
                  <w:marRight w:val="0"/>
                  <w:marTop w:val="0"/>
                  <w:marBottom w:val="0"/>
                  <w:divBdr>
                    <w:top w:val="none" w:sz="0" w:space="0" w:color="auto"/>
                    <w:left w:val="none" w:sz="0" w:space="0" w:color="auto"/>
                    <w:bottom w:val="none" w:sz="0" w:space="0" w:color="auto"/>
                    <w:right w:val="none" w:sz="0" w:space="0" w:color="auto"/>
                  </w:divBdr>
                  <w:divsChild>
                    <w:div w:id="1561865753">
                      <w:marLeft w:val="0"/>
                      <w:marRight w:val="0"/>
                      <w:marTop w:val="0"/>
                      <w:marBottom w:val="0"/>
                      <w:divBdr>
                        <w:top w:val="none" w:sz="0" w:space="0" w:color="auto"/>
                        <w:left w:val="none" w:sz="0" w:space="0" w:color="auto"/>
                        <w:bottom w:val="none" w:sz="0" w:space="0" w:color="auto"/>
                        <w:right w:val="none" w:sz="0" w:space="0" w:color="auto"/>
                      </w:divBdr>
                    </w:div>
                  </w:divsChild>
                </w:div>
                <w:div w:id="1168449760">
                  <w:marLeft w:val="0"/>
                  <w:marRight w:val="0"/>
                  <w:marTop w:val="0"/>
                  <w:marBottom w:val="0"/>
                  <w:divBdr>
                    <w:top w:val="none" w:sz="0" w:space="0" w:color="auto"/>
                    <w:left w:val="none" w:sz="0" w:space="0" w:color="auto"/>
                    <w:bottom w:val="none" w:sz="0" w:space="0" w:color="auto"/>
                    <w:right w:val="none" w:sz="0" w:space="0" w:color="auto"/>
                  </w:divBdr>
                  <w:divsChild>
                    <w:div w:id="1407143116">
                      <w:marLeft w:val="0"/>
                      <w:marRight w:val="0"/>
                      <w:marTop w:val="0"/>
                      <w:marBottom w:val="0"/>
                      <w:divBdr>
                        <w:top w:val="none" w:sz="0" w:space="0" w:color="auto"/>
                        <w:left w:val="none" w:sz="0" w:space="0" w:color="auto"/>
                        <w:bottom w:val="none" w:sz="0" w:space="0" w:color="auto"/>
                        <w:right w:val="none" w:sz="0" w:space="0" w:color="auto"/>
                      </w:divBdr>
                    </w:div>
                  </w:divsChild>
                </w:div>
                <w:div w:id="2124761785">
                  <w:marLeft w:val="0"/>
                  <w:marRight w:val="0"/>
                  <w:marTop w:val="0"/>
                  <w:marBottom w:val="0"/>
                  <w:divBdr>
                    <w:top w:val="none" w:sz="0" w:space="0" w:color="auto"/>
                    <w:left w:val="none" w:sz="0" w:space="0" w:color="auto"/>
                    <w:bottom w:val="none" w:sz="0" w:space="0" w:color="auto"/>
                    <w:right w:val="none" w:sz="0" w:space="0" w:color="auto"/>
                  </w:divBdr>
                  <w:divsChild>
                    <w:div w:id="1111317610">
                      <w:marLeft w:val="0"/>
                      <w:marRight w:val="0"/>
                      <w:marTop w:val="0"/>
                      <w:marBottom w:val="0"/>
                      <w:divBdr>
                        <w:top w:val="none" w:sz="0" w:space="0" w:color="auto"/>
                        <w:left w:val="none" w:sz="0" w:space="0" w:color="auto"/>
                        <w:bottom w:val="none" w:sz="0" w:space="0" w:color="auto"/>
                        <w:right w:val="none" w:sz="0" w:space="0" w:color="auto"/>
                      </w:divBdr>
                    </w:div>
                  </w:divsChild>
                </w:div>
                <w:div w:id="1016151455">
                  <w:marLeft w:val="0"/>
                  <w:marRight w:val="0"/>
                  <w:marTop w:val="0"/>
                  <w:marBottom w:val="0"/>
                  <w:divBdr>
                    <w:top w:val="none" w:sz="0" w:space="0" w:color="auto"/>
                    <w:left w:val="none" w:sz="0" w:space="0" w:color="auto"/>
                    <w:bottom w:val="none" w:sz="0" w:space="0" w:color="auto"/>
                    <w:right w:val="none" w:sz="0" w:space="0" w:color="auto"/>
                  </w:divBdr>
                  <w:divsChild>
                    <w:div w:id="1179079040">
                      <w:marLeft w:val="0"/>
                      <w:marRight w:val="0"/>
                      <w:marTop w:val="0"/>
                      <w:marBottom w:val="0"/>
                      <w:divBdr>
                        <w:top w:val="none" w:sz="0" w:space="0" w:color="auto"/>
                        <w:left w:val="none" w:sz="0" w:space="0" w:color="auto"/>
                        <w:bottom w:val="none" w:sz="0" w:space="0" w:color="auto"/>
                        <w:right w:val="none" w:sz="0" w:space="0" w:color="auto"/>
                      </w:divBdr>
                    </w:div>
                  </w:divsChild>
                </w:div>
                <w:div w:id="953753815">
                  <w:marLeft w:val="0"/>
                  <w:marRight w:val="0"/>
                  <w:marTop w:val="0"/>
                  <w:marBottom w:val="0"/>
                  <w:divBdr>
                    <w:top w:val="none" w:sz="0" w:space="0" w:color="auto"/>
                    <w:left w:val="none" w:sz="0" w:space="0" w:color="auto"/>
                    <w:bottom w:val="none" w:sz="0" w:space="0" w:color="auto"/>
                    <w:right w:val="none" w:sz="0" w:space="0" w:color="auto"/>
                  </w:divBdr>
                  <w:divsChild>
                    <w:div w:id="126052794">
                      <w:marLeft w:val="0"/>
                      <w:marRight w:val="0"/>
                      <w:marTop w:val="0"/>
                      <w:marBottom w:val="0"/>
                      <w:divBdr>
                        <w:top w:val="none" w:sz="0" w:space="0" w:color="auto"/>
                        <w:left w:val="none" w:sz="0" w:space="0" w:color="auto"/>
                        <w:bottom w:val="none" w:sz="0" w:space="0" w:color="auto"/>
                        <w:right w:val="none" w:sz="0" w:space="0" w:color="auto"/>
                      </w:divBdr>
                    </w:div>
                  </w:divsChild>
                </w:div>
                <w:div w:id="864711492">
                  <w:marLeft w:val="0"/>
                  <w:marRight w:val="0"/>
                  <w:marTop w:val="0"/>
                  <w:marBottom w:val="0"/>
                  <w:divBdr>
                    <w:top w:val="none" w:sz="0" w:space="0" w:color="auto"/>
                    <w:left w:val="none" w:sz="0" w:space="0" w:color="auto"/>
                    <w:bottom w:val="none" w:sz="0" w:space="0" w:color="auto"/>
                    <w:right w:val="none" w:sz="0" w:space="0" w:color="auto"/>
                  </w:divBdr>
                  <w:divsChild>
                    <w:div w:id="1959221365">
                      <w:marLeft w:val="0"/>
                      <w:marRight w:val="0"/>
                      <w:marTop w:val="0"/>
                      <w:marBottom w:val="0"/>
                      <w:divBdr>
                        <w:top w:val="none" w:sz="0" w:space="0" w:color="auto"/>
                        <w:left w:val="none" w:sz="0" w:space="0" w:color="auto"/>
                        <w:bottom w:val="none" w:sz="0" w:space="0" w:color="auto"/>
                        <w:right w:val="none" w:sz="0" w:space="0" w:color="auto"/>
                      </w:divBdr>
                    </w:div>
                  </w:divsChild>
                </w:div>
                <w:div w:id="708652465">
                  <w:marLeft w:val="0"/>
                  <w:marRight w:val="0"/>
                  <w:marTop w:val="0"/>
                  <w:marBottom w:val="0"/>
                  <w:divBdr>
                    <w:top w:val="none" w:sz="0" w:space="0" w:color="auto"/>
                    <w:left w:val="none" w:sz="0" w:space="0" w:color="auto"/>
                    <w:bottom w:val="none" w:sz="0" w:space="0" w:color="auto"/>
                    <w:right w:val="none" w:sz="0" w:space="0" w:color="auto"/>
                  </w:divBdr>
                  <w:divsChild>
                    <w:div w:id="587033635">
                      <w:marLeft w:val="0"/>
                      <w:marRight w:val="0"/>
                      <w:marTop w:val="0"/>
                      <w:marBottom w:val="0"/>
                      <w:divBdr>
                        <w:top w:val="none" w:sz="0" w:space="0" w:color="auto"/>
                        <w:left w:val="none" w:sz="0" w:space="0" w:color="auto"/>
                        <w:bottom w:val="none" w:sz="0" w:space="0" w:color="auto"/>
                        <w:right w:val="none" w:sz="0" w:space="0" w:color="auto"/>
                      </w:divBdr>
                    </w:div>
                  </w:divsChild>
                </w:div>
                <w:div w:id="970284968">
                  <w:marLeft w:val="0"/>
                  <w:marRight w:val="0"/>
                  <w:marTop w:val="0"/>
                  <w:marBottom w:val="0"/>
                  <w:divBdr>
                    <w:top w:val="none" w:sz="0" w:space="0" w:color="auto"/>
                    <w:left w:val="none" w:sz="0" w:space="0" w:color="auto"/>
                    <w:bottom w:val="none" w:sz="0" w:space="0" w:color="auto"/>
                    <w:right w:val="none" w:sz="0" w:space="0" w:color="auto"/>
                  </w:divBdr>
                  <w:divsChild>
                    <w:div w:id="1759984152">
                      <w:marLeft w:val="0"/>
                      <w:marRight w:val="0"/>
                      <w:marTop w:val="0"/>
                      <w:marBottom w:val="0"/>
                      <w:divBdr>
                        <w:top w:val="none" w:sz="0" w:space="0" w:color="auto"/>
                        <w:left w:val="none" w:sz="0" w:space="0" w:color="auto"/>
                        <w:bottom w:val="none" w:sz="0" w:space="0" w:color="auto"/>
                        <w:right w:val="none" w:sz="0" w:space="0" w:color="auto"/>
                      </w:divBdr>
                    </w:div>
                  </w:divsChild>
                </w:div>
                <w:div w:id="1041595004">
                  <w:marLeft w:val="0"/>
                  <w:marRight w:val="0"/>
                  <w:marTop w:val="0"/>
                  <w:marBottom w:val="0"/>
                  <w:divBdr>
                    <w:top w:val="none" w:sz="0" w:space="0" w:color="auto"/>
                    <w:left w:val="none" w:sz="0" w:space="0" w:color="auto"/>
                    <w:bottom w:val="none" w:sz="0" w:space="0" w:color="auto"/>
                    <w:right w:val="none" w:sz="0" w:space="0" w:color="auto"/>
                  </w:divBdr>
                  <w:divsChild>
                    <w:div w:id="1259410822">
                      <w:marLeft w:val="0"/>
                      <w:marRight w:val="0"/>
                      <w:marTop w:val="0"/>
                      <w:marBottom w:val="0"/>
                      <w:divBdr>
                        <w:top w:val="none" w:sz="0" w:space="0" w:color="auto"/>
                        <w:left w:val="none" w:sz="0" w:space="0" w:color="auto"/>
                        <w:bottom w:val="none" w:sz="0" w:space="0" w:color="auto"/>
                        <w:right w:val="none" w:sz="0" w:space="0" w:color="auto"/>
                      </w:divBdr>
                    </w:div>
                  </w:divsChild>
                </w:div>
                <w:div w:id="1384409651">
                  <w:marLeft w:val="0"/>
                  <w:marRight w:val="0"/>
                  <w:marTop w:val="0"/>
                  <w:marBottom w:val="0"/>
                  <w:divBdr>
                    <w:top w:val="none" w:sz="0" w:space="0" w:color="auto"/>
                    <w:left w:val="none" w:sz="0" w:space="0" w:color="auto"/>
                    <w:bottom w:val="none" w:sz="0" w:space="0" w:color="auto"/>
                    <w:right w:val="none" w:sz="0" w:space="0" w:color="auto"/>
                  </w:divBdr>
                  <w:divsChild>
                    <w:div w:id="73013662">
                      <w:marLeft w:val="0"/>
                      <w:marRight w:val="0"/>
                      <w:marTop w:val="0"/>
                      <w:marBottom w:val="0"/>
                      <w:divBdr>
                        <w:top w:val="none" w:sz="0" w:space="0" w:color="auto"/>
                        <w:left w:val="none" w:sz="0" w:space="0" w:color="auto"/>
                        <w:bottom w:val="none" w:sz="0" w:space="0" w:color="auto"/>
                        <w:right w:val="none" w:sz="0" w:space="0" w:color="auto"/>
                      </w:divBdr>
                    </w:div>
                  </w:divsChild>
                </w:div>
                <w:div w:id="1396856273">
                  <w:marLeft w:val="0"/>
                  <w:marRight w:val="0"/>
                  <w:marTop w:val="0"/>
                  <w:marBottom w:val="0"/>
                  <w:divBdr>
                    <w:top w:val="none" w:sz="0" w:space="0" w:color="auto"/>
                    <w:left w:val="none" w:sz="0" w:space="0" w:color="auto"/>
                    <w:bottom w:val="none" w:sz="0" w:space="0" w:color="auto"/>
                    <w:right w:val="none" w:sz="0" w:space="0" w:color="auto"/>
                  </w:divBdr>
                  <w:divsChild>
                    <w:div w:id="1129475919">
                      <w:marLeft w:val="0"/>
                      <w:marRight w:val="0"/>
                      <w:marTop w:val="0"/>
                      <w:marBottom w:val="0"/>
                      <w:divBdr>
                        <w:top w:val="none" w:sz="0" w:space="0" w:color="auto"/>
                        <w:left w:val="none" w:sz="0" w:space="0" w:color="auto"/>
                        <w:bottom w:val="none" w:sz="0" w:space="0" w:color="auto"/>
                        <w:right w:val="none" w:sz="0" w:space="0" w:color="auto"/>
                      </w:divBdr>
                    </w:div>
                  </w:divsChild>
                </w:div>
                <w:div w:id="241991679">
                  <w:marLeft w:val="0"/>
                  <w:marRight w:val="0"/>
                  <w:marTop w:val="0"/>
                  <w:marBottom w:val="0"/>
                  <w:divBdr>
                    <w:top w:val="none" w:sz="0" w:space="0" w:color="auto"/>
                    <w:left w:val="none" w:sz="0" w:space="0" w:color="auto"/>
                    <w:bottom w:val="none" w:sz="0" w:space="0" w:color="auto"/>
                    <w:right w:val="none" w:sz="0" w:space="0" w:color="auto"/>
                  </w:divBdr>
                  <w:divsChild>
                    <w:div w:id="1142037930">
                      <w:marLeft w:val="0"/>
                      <w:marRight w:val="0"/>
                      <w:marTop w:val="0"/>
                      <w:marBottom w:val="0"/>
                      <w:divBdr>
                        <w:top w:val="none" w:sz="0" w:space="0" w:color="auto"/>
                        <w:left w:val="none" w:sz="0" w:space="0" w:color="auto"/>
                        <w:bottom w:val="none" w:sz="0" w:space="0" w:color="auto"/>
                        <w:right w:val="none" w:sz="0" w:space="0" w:color="auto"/>
                      </w:divBdr>
                    </w:div>
                  </w:divsChild>
                </w:div>
                <w:div w:id="87964264">
                  <w:marLeft w:val="0"/>
                  <w:marRight w:val="0"/>
                  <w:marTop w:val="0"/>
                  <w:marBottom w:val="0"/>
                  <w:divBdr>
                    <w:top w:val="none" w:sz="0" w:space="0" w:color="auto"/>
                    <w:left w:val="none" w:sz="0" w:space="0" w:color="auto"/>
                    <w:bottom w:val="none" w:sz="0" w:space="0" w:color="auto"/>
                    <w:right w:val="none" w:sz="0" w:space="0" w:color="auto"/>
                  </w:divBdr>
                  <w:divsChild>
                    <w:div w:id="297150500">
                      <w:marLeft w:val="0"/>
                      <w:marRight w:val="0"/>
                      <w:marTop w:val="0"/>
                      <w:marBottom w:val="0"/>
                      <w:divBdr>
                        <w:top w:val="none" w:sz="0" w:space="0" w:color="auto"/>
                        <w:left w:val="none" w:sz="0" w:space="0" w:color="auto"/>
                        <w:bottom w:val="none" w:sz="0" w:space="0" w:color="auto"/>
                        <w:right w:val="none" w:sz="0" w:space="0" w:color="auto"/>
                      </w:divBdr>
                    </w:div>
                  </w:divsChild>
                </w:div>
                <w:div w:id="368145167">
                  <w:marLeft w:val="0"/>
                  <w:marRight w:val="0"/>
                  <w:marTop w:val="0"/>
                  <w:marBottom w:val="0"/>
                  <w:divBdr>
                    <w:top w:val="none" w:sz="0" w:space="0" w:color="auto"/>
                    <w:left w:val="none" w:sz="0" w:space="0" w:color="auto"/>
                    <w:bottom w:val="none" w:sz="0" w:space="0" w:color="auto"/>
                    <w:right w:val="none" w:sz="0" w:space="0" w:color="auto"/>
                  </w:divBdr>
                  <w:divsChild>
                    <w:div w:id="1170104264">
                      <w:marLeft w:val="0"/>
                      <w:marRight w:val="0"/>
                      <w:marTop w:val="0"/>
                      <w:marBottom w:val="0"/>
                      <w:divBdr>
                        <w:top w:val="none" w:sz="0" w:space="0" w:color="auto"/>
                        <w:left w:val="none" w:sz="0" w:space="0" w:color="auto"/>
                        <w:bottom w:val="none" w:sz="0" w:space="0" w:color="auto"/>
                        <w:right w:val="none" w:sz="0" w:space="0" w:color="auto"/>
                      </w:divBdr>
                    </w:div>
                  </w:divsChild>
                </w:div>
                <w:div w:id="542448709">
                  <w:marLeft w:val="0"/>
                  <w:marRight w:val="0"/>
                  <w:marTop w:val="0"/>
                  <w:marBottom w:val="0"/>
                  <w:divBdr>
                    <w:top w:val="none" w:sz="0" w:space="0" w:color="auto"/>
                    <w:left w:val="none" w:sz="0" w:space="0" w:color="auto"/>
                    <w:bottom w:val="none" w:sz="0" w:space="0" w:color="auto"/>
                    <w:right w:val="none" w:sz="0" w:space="0" w:color="auto"/>
                  </w:divBdr>
                  <w:divsChild>
                    <w:div w:id="811479007">
                      <w:marLeft w:val="0"/>
                      <w:marRight w:val="0"/>
                      <w:marTop w:val="0"/>
                      <w:marBottom w:val="0"/>
                      <w:divBdr>
                        <w:top w:val="none" w:sz="0" w:space="0" w:color="auto"/>
                        <w:left w:val="none" w:sz="0" w:space="0" w:color="auto"/>
                        <w:bottom w:val="none" w:sz="0" w:space="0" w:color="auto"/>
                        <w:right w:val="none" w:sz="0" w:space="0" w:color="auto"/>
                      </w:divBdr>
                    </w:div>
                  </w:divsChild>
                </w:div>
                <w:div w:id="218828323">
                  <w:marLeft w:val="0"/>
                  <w:marRight w:val="0"/>
                  <w:marTop w:val="0"/>
                  <w:marBottom w:val="0"/>
                  <w:divBdr>
                    <w:top w:val="none" w:sz="0" w:space="0" w:color="auto"/>
                    <w:left w:val="none" w:sz="0" w:space="0" w:color="auto"/>
                    <w:bottom w:val="none" w:sz="0" w:space="0" w:color="auto"/>
                    <w:right w:val="none" w:sz="0" w:space="0" w:color="auto"/>
                  </w:divBdr>
                  <w:divsChild>
                    <w:div w:id="521748238">
                      <w:marLeft w:val="0"/>
                      <w:marRight w:val="0"/>
                      <w:marTop w:val="0"/>
                      <w:marBottom w:val="0"/>
                      <w:divBdr>
                        <w:top w:val="none" w:sz="0" w:space="0" w:color="auto"/>
                        <w:left w:val="none" w:sz="0" w:space="0" w:color="auto"/>
                        <w:bottom w:val="none" w:sz="0" w:space="0" w:color="auto"/>
                        <w:right w:val="none" w:sz="0" w:space="0" w:color="auto"/>
                      </w:divBdr>
                    </w:div>
                  </w:divsChild>
                </w:div>
                <w:div w:id="929586458">
                  <w:marLeft w:val="0"/>
                  <w:marRight w:val="0"/>
                  <w:marTop w:val="0"/>
                  <w:marBottom w:val="0"/>
                  <w:divBdr>
                    <w:top w:val="none" w:sz="0" w:space="0" w:color="auto"/>
                    <w:left w:val="none" w:sz="0" w:space="0" w:color="auto"/>
                    <w:bottom w:val="none" w:sz="0" w:space="0" w:color="auto"/>
                    <w:right w:val="none" w:sz="0" w:space="0" w:color="auto"/>
                  </w:divBdr>
                  <w:divsChild>
                    <w:div w:id="1428455051">
                      <w:marLeft w:val="0"/>
                      <w:marRight w:val="0"/>
                      <w:marTop w:val="0"/>
                      <w:marBottom w:val="0"/>
                      <w:divBdr>
                        <w:top w:val="none" w:sz="0" w:space="0" w:color="auto"/>
                        <w:left w:val="none" w:sz="0" w:space="0" w:color="auto"/>
                        <w:bottom w:val="none" w:sz="0" w:space="0" w:color="auto"/>
                        <w:right w:val="none" w:sz="0" w:space="0" w:color="auto"/>
                      </w:divBdr>
                    </w:div>
                  </w:divsChild>
                </w:div>
                <w:div w:id="118381659">
                  <w:marLeft w:val="0"/>
                  <w:marRight w:val="0"/>
                  <w:marTop w:val="0"/>
                  <w:marBottom w:val="0"/>
                  <w:divBdr>
                    <w:top w:val="none" w:sz="0" w:space="0" w:color="auto"/>
                    <w:left w:val="none" w:sz="0" w:space="0" w:color="auto"/>
                    <w:bottom w:val="none" w:sz="0" w:space="0" w:color="auto"/>
                    <w:right w:val="none" w:sz="0" w:space="0" w:color="auto"/>
                  </w:divBdr>
                  <w:divsChild>
                    <w:div w:id="1199583312">
                      <w:marLeft w:val="0"/>
                      <w:marRight w:val="0"/>
                      <w:marTop w:val="0"/>
                      <w:marBottom w:val="0"/>
                      <w:divBdr>
                        <w:top w:val="none" w:sz="0" w:space="0" w:color="auto"/>
                        <w:left w:val="none" w:sz="0" w:space="0" w:color="auto"/>
                        <w:bottom w:val="none" w:sz="0" w:space="0" w:color="auto"/>
                        <w:right w:val="none" w:sz="0" w:space="0" w:color="auto"/>
                      </w:divBdr>
                    </w:div>
                  </w:divsChild>
                </w:div>
                <w:div w:id="427849766">
                  <w:marLeft w:val="0"/>
                  <w:marRight w:val="0"/>
                  <w:marTop w:val="0"/>
                  <w:marBottom w:val="0"/>
                  <w:divBdr>
                    <w:top w:val="none" w:sz="0" w:space="0" w:color="auto"/>
                    <w:left w:val="none" w:sz="0" w:space="0" w:color="auto"/>
                    <w:bottom w:val="none" w:sz="0" w:space="0" w:color="auto"/>
                    <w:right w:val="none" w:sz="0" w:space="0" w:color="auto"/>
                  </w:divBdr>
                  <w:divsChild>
                    <w:div w:id="975451761">
                      <w:marLeft w:val="0"/>
                      <w:marRight w:val="0"/>
                      <w:marTop w:val="0"/>
                      <w:marBottom w:val="0"/>
                      <w:divBdr>
                        <w:top w:val="none" w:sz="0" w:space="0" w:color="auto"/>
                        <w:left w:val="none" w:sz="0" w:space="0" w:color="auto"/>
                        <w:bottom w:val="none" w:sz="0" w:space="0" w:color="auto"/>
                        <w:right w:val="none" w:sz="0" w:space="0" w:color="auto"/>
                      </w:divBdr>
                    </w:div>
                  </w:divsChild>
                </w:div>
                <w:div w:id="1316687618">
                  <w:marLeft w:val="0"/>
                  <w:marRight w:val="0"/>
                  <w:marTop w:val="0"/>
                  <w:marBottom w:val="0"/>
                  <w:divBdr>
                    <w:top w:val="none" w:sz="0" w:space="0" w:color="auto"/>
                    <w:left w:val="none" w:sz="0" w:space="0" w:color="auto"/>
                    <w:bottom w:val="none" w:sz="0" w:space="0" w:color="auto"/>
                    <w:right w:val="none" w:sz="0" w:space="0" w:color="auto"/>
                  </w:divBdr>
                  <w:divsChild>
                    <w:div w:id="1760709789">
                      <w:marLeft w:val="0"/>
                      <w:marRight w:val="0"/>
                      <w:marTop w:val="0"/>
                      <w:marBottom w:val="0"/>
                      <w:divBdr>
                        <w:top w:val="none" w:sz="0" w:space="0" w:color="auto"/>
                        <w:left w:val="none" w:sz="0" w:space="0" w:color="auto"/>
                        <w:bottom w:val="none" w:sz="0" w:space="0" w:color="auto"/>
                        <w:right w:val="none" w:sz="0" w:space="0" w:color="auto"/>
                      </w:divBdr>
                    </w:div>
                  </w:divsChild>
                </w:div>
                <w:div w:id="91436658">
                  <w:marLeft w:val="0"/>
                  <w:marRight w:val="0"/>
                  <w:marTop w:val="0"/>
                  <w:marBottom w:val="0"/>
                  <w:divBdr>
                    <w:top w:val="none" w:sz="0" w:space="0" w:color="auto"/>
                    <w:left w:val="none" w:sz="0" w:space="0" w:color="auto"/>
                    <w:bottom w:val="none" w:sz="0" w:space="0" w:color="auto"/>
                    <w:right w:val="none" w:sz="0" w:space="0" w:color="auto"/>
                  </w:divBdr>
                  <w:divsChild>
                    <w:div w:id="1271090708">
                      <w:marLeft w:val="0"/>
                      <w:marRight w:val="0"/>
                      <w:marTop w:val="0"/>
                      <w:marBottom w:val="0"/>
                      <w:divBdr>
                        <w:top w:val="none" w:sz="0" w:space="0" w:color="auto"/>
                        <w:left w:val="none" w:sz="0" w:space="0" w:color="auto"/>
                        <w:bottom w:val="none" w:sz="0" w:space="0" w:color="auto"/>
                        <w:right w:val="none" w:sz="0" w:space="0" w:color="auto"/>
                      </w:divBdr>
                    </w:div>
                  </w:divsChild>
                </w:div>
                <w:div w:id="251159376">
                  <w:marLeft w:val="0"/>
                  <w:marRight w:val="0"/>
                  <w:marTop w:val="0"/>
                  <w:marBottom w:val="0"/>
                  <w:divBdr>
                    <w:top w:val="none" w:sz="0" w:space="0" w:color="auto"/>
                    <w:left w:val="none" w:sz="0" w:space="0" w:color="auto"/>
                    <w:bottom w:val="none" w:sz="0" w:space="0" w:color="auto"/>
                    <w:right w:val="none" w:sz="0" w:space="0" w:color="auto"/>
                  </w:divBdr>
                  <w:divsChild>
                    <w:div w:id="1281374192">
                      <w:marLeft w:val="0"/>
                      <w:marRight w:val="0"/>
                      <w:marTop w:val="0"/>
                      <w:marBottom w:val="0"/>
                      <w:divBdr>
                        <w:top w:val="none" w:sz="0" w:space="0" w:color="auto"/>
                        <w:left w:val="none" w:sz="0" w:space="0" w:color="auto"/>
                        <w:bottom w:val="none" w:sz="0" w:space="0" w:color="auto"/>
                        <w:right w:val="none" w:sz="0" w:space="0" w:color="auto"/>
                      </w:divBdr>
                    </w:div>
                  </w:divsChild>
                </w:div>
                <w:div w:id="1298798031">
                  <w:marLeft w:val="0"/>
                  <w:marRight w:val="0"/>
                  <w:marTop w:val="0"/>
                  <w:marBottom w:val="0"/>
                  <w:divBdr>
                    <w:top w:val="none" w:sz="0" w:space="0" w:color="auto"/>
                    <w:left w:val="none" w:sz="0" w:space="0" w:color="auto"/>
                    <w:bottom w:val="none" w:sz="0" w:space="0" w:color="auto"/>
                    <w:right w:val="none" w:sz="0" w:space="0" w:color="auto"/>
                  </w:divBdr>
                  <w:divsChild>
                    <w:div w:id="739056931">
                      <w:marLeft w:val="0"/>
                      <w:marRight w:val="0"/>
                      <w:marTop w:val="0"/>
                      <w:marBottom w:val="0"/>
                      <w:divBdr>
                        <w:top w:val="none" w:sz="0" w:space="0" w:color="auto"/>
                        <w:left w:val="none" w:sz="0" w:space="0" w:color="auto"/>
                        <w:bottom w:val="none" w:sz="0" w:space="0" w:color="auto"/>
                        <w:right w:val="none" w:sz="0" w:space="0" w:color="auto"/>
                      </w:divBdr>
                    </w:div>
                  </w:divsChild>
                </w:div>
                <w:div w:id="1063525951">
                  <w:marLeft w:val="0"/>
                  <w:marRight w:val="0"/>
                  <w:marTop w:val="0"/>
                  <w:marBottom w:val="0"/>
                  <w:divBdr>
                    <w:top w:val="none" w:sz="0" w:space="0" w:color="auto"/>
                    <w:left w:val="none" w:sz="0" w:space="0" w:color="auto"/>
                    <w:bottom w:val="none" w:sz="0" w:space="0" w:color="auto"/>
                    <w:right w:val="none" w:sz="0" w:space="0" w:color="auto"/>
                  </w:divBdr>
                  <w:divsChild>
                    <w:div w:id="11733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08559">
          <w:marLeft w:val="0"/>
          <w:marRight w:val="0"/>
          <w:marTop w:val="0"/>
          <w:marBottom w:val="0"/>
          <w:divBdr>
            <w:top w:val="none" w:sz="0" w:space="0" w:color="auto"/>
            <w:left w:val="none" w:sz="0" w:space="0" w:color="auto"/>
            <w:bottom w:val="none" w:sz="0" w:space="0" w:color="auto"/>
            <w:right w:val="none" w:sz="0" w:space="0" w:color="auto"/>
          </w:divBdr>
        </w:div>
        <w:div w:id="1058825861">
          <w:marLeft w:val="0"/>
          <w:marRight w:val="0"/>
          <w:marTop w:val="0"/>
          <w:marBottom w:val="0"/>
          <w:divBdr>
            <w:top w:val="none" w:sz="0" w:space="0" w:color="auto"/>
            <w:left w:val="none" w:sz="0" w:space="0" w:color="auto"/>
            <w:bottom w:val="none" w:sz="0" w:space="0" w:color="auto"/>
            <w:right w:val="none" w:sz="0" w:space="0" w:color="auto"/>
          </w:divBdr>
        </w:div>
        <w:div w:id="485049849">
          <w:marLeft w:val="0"/>
          <w:marRight w:val="0"/>
          <w:marTop w:val="0"/>
          <w:marBottom w:val="0"/>
          <w:divBdr>
            <w:top w:val="none" w:sz="0" w:space="0" w:color="auto"/>
            <w:left w:val="none" w:sz="0" w:space="0" w:color="auto"/>
            <w:bottom w:val="none" w:sz="0" w:space="0" w:color="auto"/>
            <w:right w:val="none" w:sz="0" w:space="0" w:color="auto"/>
          </w:divBdr>
        </w:div>
        <w:div w:id="1856000505">
          <w:marLeft w:val="0"/>
          <w:marRight w:val="0"/>
          <w:marTop w:val="0"/>
          <w:marBottom w:val="0"/>
          <w:divBdr>
            <w:top w:val="none" w:sz="0" w:space="0" w:color="auto"/>
            <w:left w:val="none" w:sz="0" w:space="0" w:color="auto"/>
            <w:bottom w:val="none" w:sz="0" w:space="0" w:color="auto"/>
            <w:right w:val="none" w:sz="0" w:space="0" w:color="auto"/>
          </w:divBdr>
        </w:div>
        <w:div w:id="1800152014">
          <w:marLeft w:val="0"/>
          <w:marRight w:val="0"/>
          <w:marTop w:val="0"/>
          <w:marBottom w:val="0"/>
          <w:divBdr>
            <w:top w:val="none" w:sz="0" w:space="0" w:color="auto"/>
            <w:left w:val="none" w:sz="0" w:space="0" w:color="auto"/>
            <w:bottom w:val="none" w:sz="0" w:space="0" w:color="auto"/>
            <w:right w:val="none" w:sz="0" w:space="0" w:color="auto"/>
          </w:divBdr>
        </w:div>
      </w:divsChild>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6517156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6651344">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614737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Qmakro-2024\Odv&#283;tv&#237;\Odv&#283;tv&#237;_grafy_1q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Qmakro-2024\Odv&#283;tv&#237;\Odv&#283;tv&#237;_grafy_1q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Qmakro-2024\Odv&#283;tv&#237;\Odv&#283;tv&#237;_grafy_1q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Qmakro-2024\Odv&#283;tv&#237;\Odv&#283;tv&#237;_grafy_1q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Qmakro-2024\Odv&#283;tv&#237;\Odv&#283;tv&#237;_grafy_1q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610992424025109E-2"/>
          <c:y val="1.5804777005479883E-2"/>
          <c:w val="0.84419102795189604"/>
          <c:h val="0.69135712481071787"/>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IPP'!$R$27:$BB$27</c:f>
              <c:numCache>
                <c:formatCode>0.0</c:formatCode>
                <c:ptCount val="37"/>
                <c:pt idx="0">
                  <c:v>1.5407194734870255</c:v>
                </c:pt>
                <c:pt idx="1">
                  <c:v>2.1725345808437702</c:v>
                </c:pt>
                <c:pt idx="2">
                  <c:v>2.3822280390891448</c:v>
                </c:pt>
                <c:pt idx="3">
                  <c:v>2.8679001700331122</c:v>
                </c:pt>
                <c:pt idx="4">
                  <c:v>3.3256782968034493</c:v>
                </c:pt>
                <c:pt idx="5">
                  <c:v>2.7078368205204262</c:v>
                </c:pt>
                <c:pt idx="6">
                  <c:v>1.4770884945722993</c:v>
                </c:pt>
                <c:pt idx="7">
                  <c:v>1.0297006290395898</c:v>
                </c:pt>
                <c:pt idx="8">
                  <c:v>1.7408920839398758</c:v>
                </c:pt>
                <c:pt idx="9">
                  <c:v>2.1378802528812955</c:v>
                </c:pt>
                <c:pt idx="10">
                  <c:v>1.5935135243788123</c:v>
                </c:pt>
                <c:pt idx="11">
                  <c:v>1.6791873092801741</c:v>
                </c:pt>
                <c:pt idx="12">
                  <c:v>0.75268647024158208</c:v>
                </c:pt>
                <c:pt idx="13">
                  <c:v>0.54211789515047693</c:v>
                </c:pt>
                <c:pt idx="14">
                  <c:v>0.2412757664797934</c:v>
                </c:pt>
                <c:pt idx="15">
                  <c:v>0.97863378627142228</c:v>
                </c:pt>
                <c:pt idx="16">
                  <c:v>-0.22605165522344217</c:v>
                </c:pt>
                <c:pt idx="17">
                  <c:v>0.44759183220264487</c:v>
                </c:pt>
                <c:pt idx="18">
                  <c:v>0.76878503294695499</c:v>
                </c:pt>
                <c:pt idx="19">
                  <c:v>-1.0091759236462892</c:v>
                </c:pt>
                <c:pt idx="20">
                  <c:v>-1.5334709251303915</c:v>
                </c:pt>
                <c:pt idx="21">
                  <c:v>-9.3844961095672357</c:v>
                </c:pt>
                <c:pt idx="22">
                  <c:v>-0.1831246423410012</c:v>
                </c:pt>
                <c:pt idx="23">
                  <c:v>2.063311660585506</c:v>
                </c:pt>
                <c:pt idx="24">
                  <c:v>1.8975892085619599</c:v>
                </c:pt>
                <c:pt idx="25">
                  <c:v>10.942229614625036</c:v>
                </c:pt>
                <c:pt idx="26">
                  <c:v>-3.7731049892010882</c:v>
                </c:pt>
                <c:pt idx="27">
                  <c:v>-3.2535308042579607</c:v>
                </c:pt>
                <c:pt idx="28">
                  <c:v>-1.9125458057863218</c:v>
                </c:pt>
                <c:pt idx="29">
                  <c:v>9.5447744662069345E-2</c:v>
                </c:pt>
                <c:pt idx="30">
                  <c:v>5.6019908887957355</c:v>
                </c:pt>
                <c:pt idx="31">
                  <c:v>4.0134216834581737</c:v>
                </c:pt>
                <c:pt idx="32">
                  <c:v>5.2536005580152167</c:v>
                </c:pt>
                <c:pt idx="33">
                  <c:v>5.1114636387030394</c:v>
                </c:pt>
                <c:pt idx="34">
                  <c:v>1.3618952455796292</c:v>
                </c:pt>
                <c:pt idx="35">
                  <c:v>3.1901430933724066</c:v>
                </c:pt>
                <c:pt idx="36">
                  <c:v>0.47657471319902822</c:v>
                </c:pt>
              </c:numCache>
            </c:numRef>
          </c:val>
          <c:extLst>
            <c:ext xmlns:c16="http://schemas.microsoft.com/office/drawing/2014/chart" uri="{C3380CC4-5D6E-409C-BE32-E72D297353CC}">
              <c16:uniqueId val="{00000000-207E-4ED3-BFDF-E63E95A10C26}"/>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IPP'!$R$28:$BB$28</c:f>
              <c:numCache>
                <c:formatCode>0.0</c:formatCode>
                <c:ptCount val="37"/>
                <c:pt idx="0">
                  <c:v>1.032221461887816</c:v>
                </c:pt>
                <c:pt idx="1">
                  <c:v>1.2386415260436181</c:v>
                </c:pt>
                <c:pt idx="2">
                  <c:v>1.420477668288558</c:v>
                </c:pt>
                <c:pt idx="3">
                  <c:v>0.62919278136008572</c:v>
                </c:pt>
                <c:pt idx="4">
                  <c:v>0.8176750577912526</c:v>
                </c:pt>
                <c:pt idx="5">
                  <c:v>0.14129582168796428</c:v>
                </c:pt>
                <c:pt idx="6">
                  <c:v>0.27952572878212995</c:v>
                </c:pt>
                <c:pt idx="7">
                  <c:v>0.42980054252763089</c:v>
                </c:pt>
                <c:pt idx="8">
                  <c:v>0.79334952879496856</c:v>
                </c:pt>
                <c:pt idx="9">
                  <c:v>1.468356537050969</c:v>
                </c:pt>
                <c:pt idx="10">
                  <c:v>0.87390949425966191</c:v>
                </c:pt>
                <c:pt idx="11">
                  <c:v>1.6443688242107866</c:v>
                </c:pt>
                <c:pt idx="12">
                  <c:v>1.0040337375607471</c:v>
                </c:pt>
                <c:pt idx="13">
                  <c:v>0.32539256502015046</c:v>
                </c:pt>
                <c:pt idx="14">
                  <c:v>0.43133954445298106</c:v>
                </c:pt>
                <c:pt idx="15">
                  <c:v>-5.9899261699036185E-2</c:v>
                </c:pt>
                <c:pt idx="16">
                  <c:v>0.52608733581744827</c:v>
                </c:pt>
                <c:pt idx="17">
                  <c:v>0.44070570288166677</c:v>
                </c:pt>
                <c:pt idx="18">
                  <c:v>0.16703875787161093</c:v>
                </c:pt>
                <c:pt idx="19">
                  <c:v>0.41508771908448361</c:v>
                </c:pt>
                <c:pt idx="20">
                  <c:v>-0.55255281731107375</c:v>
                </c:pt>
                <c:pt idx="21">
                  <c:v>-4.0630399723550275</c:v>
                </c:pt>
                <c:pt idx="22">
                  <c:v>-0.43874587338548965</c:v>
                </c:pt>
                <c:pt idx="23">
                  <c:v>0.53060699318837923</c:v>
                </c:pt>
                <c:pt idx="24">
                  <c:v>0.71145935426482565</c:v>
                </c:pt>
                <c:pt idx="25">
                  <c:v>5.4849453443420373</c:v>
                </c:pt>
                <c:pt idx="26">
                  <c:v>0.6200954402047254</c:v>
                </c:pt>
                <c:pt idx="27">
                  <c:v>-0.42285126031126696</c:v>
                </c:pt>
                <c:pt idx="28">
                  <c:v>9.1493416828334312E-2</c:v>
                </c:pt>
                <c:pt idx="29">
                  <c:v>0.14020266448373039</c:v>
                </c:pt>
                <c:pt idx="30">
                  <c:v>0.54193889354627212</c:v>
                </c:pt>
                <c:pt idx="31">
                  <c:v>0.61065791996017993</c:v>
                </c:pt>
                <c:pt idx="32">
                  <c:v>0.25271742983599177</c:v>
                </c:pt>
                <c:pt idx="33">
                  <c:v>0.12055652014943052</c:v>
                </c:pt>
                <c:pt idx="34">
                  <c:v>-0.42571706492848188</c:v>
                </c:pt>
                <c:pt idx="35">
                  <c:v>2.1622941519747804E-2</c:v>
                </c:pt>
                <c:pt idx="36">
                  <c:v>0.16388221186793037</c:v>
                </c:pt>
              </c:numCache>
            </c:numRef>
          </c:val>
          <c:extLst>
            <c:ext xmlns:c16="http://schemas.microsoft.com/office/drawing/2014/chart" uri="{C3380CC4-5D6E-409C-BE32-E72D297353CC}">
              <c16:uniqueId val="{00000001-207E-4ED3-BFDF-E63E95A10C26}"/>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IPP'!$R$29:$BB$29</c:f>
              <c:numCache>
                <c:formatCode>0.0</c:formatCode>
                <c:ptCount val="37"/>
                <c:pt idx="0">
                  <c:v>0.27346966717109678</c:v>
                </c:pt>
                <c:pt idx="1">
                  <c:v>0.29320995735524713</c:v>
                </c:pt>
                <c:pt idx="2">
                  <c:v>0.38410423993096565</c:v>
                </c:pt>
                <c:pt idx="3">
                  <c:v>2.0725807050325215E-2</c:v>
                </c:pt>
                <c:pt idx="4">
                  <c:v>0.372528476032083</c:v>
                </c:pt>
                <c:pt idx="5">
                  <c:v>-9.2809853017947946E-2</c:v>
                </c:pt>
                <c:pt idx="6">
                  <c:v>0.20293953400612458</c:v>
                </c:pt>
                <c:pt idx="7">
                  <c:v>0.32005157357499653</c:v>
                </c:pt>
                <c:pt idx="8">
                  <c:v>0.3345178851347933</c:v>
                </c:pt>
                <c:pt idx="9">
                  <c:v>1.1003694908923236</c:v>
                </c:pt>
                <c:pt idx="10">
                  <c:v>0.85805445400541891</c:v>
                </c:pt>
                <c:pt idx="11">
                  <c:v>0.80055944660911216</c:v>
                </c:pt>
                <c:pt idx="12">
                  <c:v>0.48868169907415365</c:v>
                </c:pt>
                <c:pt idx="13">
                  <c:v>0.13868742792561017</c:v>
                </c:pt>
                <c:pt idx="14">
                  <c:v>0.18638853797251198</c:v>
                </c:pt>
                <c:pt idx="15">
                  <c:v>-0.2007167755198552</c:v>
                </c:pt>
                <c:pt idx="16">
                  <c:v>0.20262845642032357</c:v>
                </c:pt>
                <c:pt idx="17">
                  <c:v>-9.1482438382697023E-3</c:v>
                </c:pt>
                <c:pt idx="18">
                  <c:v>-0.32679366071086502</c:v>
                </c:pt>
                <c:pt idx="19">
                  <c:v>-0.14957125605699451</c:v>
                </c:pt>
                <c:pt idx="20">
                  <c:v>-0.70724520963209925</c:v>
                </c:pt>
                <c:pt idx="21">
                  <c:v>-2.1308377913469632</c:v>
                </c:pt>
                <c:pt idx="22">
                  <c:v>-0.80170960293340698</c:v>
                </c:pt>
                <c:pt idx="23">
                  <c:v>-0.54797142039304891</c:v>
                </c:pt>
                <c:pt idx="24">
                  <c:v>7.0850055204653054E-2</c:v>
                </c:pt>
                <c:pt idx="25">
                  <c:v>2.0598150661116326</c:v>
                </c:pt>
                <c:pt idx="26">
                  <c:v>0.54732740156649295</c:v>
                </c:pt>
                <c:pt idx="27">
                  <c:v>0.28187017007306125</c:v>
                </c:pt>
                <c:pt idx="28">
                  <c:v>0.35832508124582979</c:v>
                </c:pt>
                <c:pt idx="29">
                  <c:v>9.1653825182652679E-2</c:v>
                </c:pt>
                <c:pt idx="30">
                  <c:v>0.48964765301851315</c:v>
                </c:pt>
                <c:pt idx="31">
                  <c:v>0.65392427024919231</c:v>
                </c:pt>
                <c:pt idx="32">
                  <c:v>0.47439541914594863</c:v>
                </c:pt>
                <c:pt idx="33">
                  <c:v>0.39139167102075106</c:v>
                </c:pt>
                <c:pt idx="34">
                  <c:v>-0.58039125250365575</c:v>
                </c:pt>
                <c:pt idx="35">
                  <c:v>-0.75561598264437591</c:v>
                </c:pt>
                <c:pt idx="36">
                  <c:v>-1.0737197103041776</c:v>
                </c:pt>
              </c:numCache>
            </c:numRef>
          </c:val>
          <c:extLst>
            <c:ext xmlns:c16="http://schemas.microsoft.com/office/drawing/2014/chart" uri="{C3380CC4-5D6E-409C-BE32-E72D297353CC}">
              <c16:uniqueId val="{00000002-207E-4ED3-BFDF-E63E95A10C26}"/>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IPP'!$R$30:$BB$30</c:f>
              <c:numCache>
                <c:formatCode>0.0</c:formatCode>
                <c:ptCount val="37"/>
                <c:pt idx="0">
                  <c:v>0.69488451852266253</c:v>
                </c:pt>
                <c:pt idx="1">
                  <c:v>0.78494764780669868</c:v>
                </c:pt>
                <c:pt idx="2">
                  <c:v>0.99085589155838893</c:v>
                </c:pt>
                <c:pt idx="3">
                  <c:v>0.60110426817331475</c:v>
                </c:pt>
                <c:pt idx="4">
                  <c:v>0.81011316513160248</c:v>
                </c:pt>
                <c:pt idx="5">
                  <c:v>0.36137817304287084</c:v>
                </c:pt>
                <c:pt idx="6">
                  <c:v>0.23174116441034237</c:v>
                </c:pt>
                <c:pt idx="7">
                  <c:v>0.25113007311661406</c:v>
                </c:pt>
                <c:pt idx="8">
                  <c:v>0.3867636142374955</c:v>
                </c:pt>
                <c:pt idx="9">
                  <c:v>0.9516635576529936</c:v>
                </c:pt>
                <c:pt idx="10">
                  <c:v>0.86091550298549147</c:v>
                </c:pt>
                <c:pt idx="11">
                  <c:v>0.96020285266505634</c:v>
                </c:pt>
                <c:pt idx="12">
                  <c:v>0.67147421279246455</c:v>
                </c:pt>
                <c:pt idx="13">
                  <c:v>0.46338675111775551</c:v>
                </c:pt>
                <c:pt idx="14">
                  <c:v>0.40465307945227347</c:v>
                </c:pt>
                <c:pt idx="15">
                  <c:v>0.13991647838864771</c:v>
                </c:pt>
                <c:pt idx="16">
                  <c:v>0.23284119938910916</c:v>
                </c:pt>
                <c:pt idx="17">
                  <c:v>-2.3018109664658176E-3</c:v>
                </c:pt>
                <c:pt idx="18">
                  <c:v>-0.27902616348258946</c:v>
                </c:pt>
                <c:pt idx="19">
                  <c:v>-0.28921256974210474</c:v>
                </c:pt>
                <c:pt idx="20">
                  <c:v>-0.59705730498174459</c:v>
                </c:pt>
                <c:pt idx="21">
                  <c:v>-2.0768472147616701</c:v>
                </c:pt>
                <c:pt idx="22">
                  <c:v>-0.62165835195312158</c:v>
                </c:pt>
                <c:pt idx="23">
                  <c:v>4.6612538102893238E-2</c:v>
                </c:pt>
                <c:pt idx="24">
                  <c:v>0.4319844451866508</c:v>
                </c:pt>
                <c:pt idx="25">
                  <c:v>2.9892153039365739</c:v>
                </c:pt>
                <c:pt idx="26">
                  <c:v>0.80117841210531193</c:v>
                </c:pt>
                <c:pt idx="27">
                  <c:v>1.7463387937825803E-2</c:v>
                </c:pt>
                <c:pt idx="28">
                  <c:v>0.22598481032929496</c:v>
                </c:pt>
                <c:pt idx="29">
                  <c:v>-0.40391403937362497</c:v>
                </c:pt>
                <c:pt idx="30">
                  <c:v>-0.31530952555716074</c:v>
                </c:pt>
                <c:pt idx="31">
                  <c:v>-0.21505799769140807</c:v>
                </c:pt>
                <c:pt idx="32">
                  <c:v>-0.35405207260318489</c:v>
                </c:pt>
                <c:pt idx="33">
                  <c:v>-9.6885897827817993E-2</c:v>
                </c:pt>
                <c:pt idx="34">
                  <c:v>-0.20936242560906071</c:v>
                </c:pt>
                <c:pt idx="35">
                  <c:v>-0.27619740847507079</c:v>
                </c:pt>
                <c:pt idx="36">
                  <c:v>-0.12374498067741994</c:v>
                </c:pt>
              </c:numCache>
            </c:numRef>
          </c:val>
          <c:extLst>
            <c:ext xmlns:c16="http://schemas.microsoft.com/office/drawing/2014/chart" uri="{C3380CC4-5D6E-409C-BE32-E72D297353CC}">
              <c16:uniqueId val="{00000003-207E-4ED3-BFDF-E63E95A10C26}"/>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IPP'!$R$31:$BB$31</c:f>
              <c:numCache>
                <c:formatCode>0.0</c:formatCode>
                <c:ptCount val="37"/>
                <c:pt idx="0">
                  <c:v>0.10274789516452391</c:v>
                </c:pt>
                <c:pt idx="1">
                  <c:v>1.662402365188002E-2</c:v>
                </c:pt>
                <c:pt idx="2">
                  <c:v>3.1029768728409974E-2</c:v>
                </c:pt>
                <c:pt idx="3">
                  <c:v>-6.717825999350098E-2</c:v>
                </c:pt>
                <c:pt idx="4">
                  <c:v>-9.0690116406333E-3</c:v>
                </c:pt>
                <c:pt idx="5">
                  <c:v>6.8577664711048647E-2</c:v>
                </c:pt>
                <c:pt idx="6">
                  <c:v>4.7878835623817097E-2</c:v>
                </c:pt>
                <c:pt idx="7">
                  <c:v>0.16200567329703569</c:v>
                </c:pt>
                <c:pt idx="8">
                  <c:v>0.15179600191335671</c:v>
                </c:pt>
                <c:pt idx="9">
                  <c:v>0.35040742405813124</c:v>
                </c:pt>
                <c:pt idx="10">
                  <c:v>0.22701547985990303</c:v>
                </c:pt>
                <c:pt idx="11">
                  <c:v>0.2348330670563378</c:v>
                </c:pt>
                <c:pt idx="12">
                  <c:v>0.38575845909308681</c:v>
                </c:pt>
                <c:pt idx="13">
                  <c:v>0.15854795634304461</c:v>
                </c:pt>
                <c:pt idx="14">
                  <c:v>0.63604123808561286</c:v>
                </c:pt>
                <c:pt idx="15">
                  <c:v>0.31697220129361126</c:v>
                </c:pt>
                <c:pt idx="16">
                  <c:v>-0.10335857004416713</c:v>
                </c:pt>
                <c:pt idx="17">
                  <c:v>-3.5698176267711802E-2</c:v>
                </c:pt>
                <c:pt idx="18">
                  <c:v>-0.60934912550064069</c:v>
                </c:pt>
                <c:pt idx="19">
                  <c:v>-0.36411768299392072</c:v>
                </c:pt>
                <c:pt idx="20">
                  <c:v>-0.10137007799813925</c:v>
                </c:pt>
                <c:pt idx="21">
                  <c:v>-0.31920945262277456</c:v>
                </c:pt>
                <c:pt idx="22">
                  <c:v>3.1049160053994822E-2</c:v>
                </c:pt>
                <c:pt idx="23">
                  <c:v>2.2349038466741196E-2</c:v>
                </c:pt>
                <c:pt idx="24">
                  <c:v>0.12974311148891404</c:v>
                </c:pt>
                <c:pt idx="25">
                  <c:v>0.21647002151163339</c:v>
                </c:pt>
                <c:pt idx="26">
                  <c:v>0.19205806664585173</c:v>
                </c:pt>
                <c:pt idx="27">
                  <c:v>-0.23628033126313622</c:v>
                </c:pt>
                <c:pt idx="28">
                  <c:v>2.5262432705383888E-2</c:v>
                </c:pt>
                <c:pt idx="29">
                  <c:v>-1.8781509562062017E-2</c:v>
                </c:pt>
                <c:pt idx="30">
                  <c:v>5.9957016296618391E-2</c:v>
                </c:pt>
                <c:pt idx="31">
                  <c:v>0.43275534414748684</c:v>
                </c:pt>
                <c:pt idx="32">
                  <c:v>0.14797572480386773</c:v>
                </c:pt>
                <c:pt idx="33">
                  <c:v>8.3419533160410703E-2</c:v>
                </c:pt>
                <c:pt idx="34">
                  <c:v>-7.2085015188834881E-2</c:v>
                </c:pt>
                <c:pt idx="35">
                  <c:v>-6.5736974006284837E-2</c:v>
                </c:pt>
                <c:pt idx="36">
                  <c:v>-7.713948223146988E-2</c:v>
                </c:pt>
              </c:numCache>
            </c:numRef>
          </c:val>
          <c:extLst>
            <c:ext xmlns:c16="http://schemas.microsoft.com/office/drawing/2014/chart" uri="{C3380CC4-5D6E-409C-BE32-E72D297353CC}">
              <c16:uniqueId val="{00000004-207E-4ED3-BFDF-E63E95A10C26}"/>
            </c:ext>
          </c:extLst>
        </c:ser>
        <c:ser>
          <c:idx val="5"/>
          <c:order val="5"/>
          <c:tx>
            <c:strRef>
              <c:f>'GRAF příspěvky IPP'!$A$32</c:f>
              <c:strCache>
                <c:ptCount val="1"/>
                <c:pt idx="0">
                  <c:v>Chemický a farmaceutický pr. (20, 21)</c:v>
                </c:pt>
              </c:strCache>
            </c:strRef>
          </c:tx>
          <c:spPr>
            <a:solidFill>
              <a:srgbClr val="F8A124"/>
            </a:solidFill>
            <a:ln>
              <a:noFill/>
            </a:ln>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IPP'!$R$32:$BB$32</c:f>
              <c:numCache>
                <c:formatCode>0.0</c:formatCode>
                <c:ptCount val="37"/>
                <c:pt idx="0">
                  <c:v>7.7157547125760104E-2</c:v>
                </c:pt>
                <c:pt idx="1">
                  <c:v>0.23593755110737852</c:v>
                </c:pt>
                <c:pt idx="2">
                  <c:v>-0.16353071050900625</c:v>
                </c:pt>
                <c:pt idx="3">
                  <c:v>-0.33446774192767026</c:v>
                </c:pt>
                <c:pt idx="4">
                  <c:v>-0.41480189964943365</c:v>
                </c:pt>
                <c:pt idx="5">
                  <c:v>-0.43289982593467752</c:v>
                </c:pt>
                <c:pt idx="6">
                  <c:v>-0.10551739291405744</c:v>
                </c:pt>
                <c:pt idx="7">
                  <c:v>0.2371774762583484</c:v>
                </c:pt>
                <c:pt idx="8">
                  <c:v>0.51439307947726942</c:v>
                </c:pt>
                <c:pt idx="9">
                  <c:v>0.83289717197907565</c:v>
                </c:pt>
                <c:pt idx="10">
                  <c:v>0.65310318202327955</c:v>
                </c:pt>
                <c:pt idx="11">
                  <c:v>0.50440121167449603</c:v>
                </c:pt>
                <c:pt idx="12">
                  <c:v>0.40911320927322647</c:v>
                </c:pt>
                <c:pt idx="13">
                  <c:v>7.7633111380155342E-2</c:v>
                </c:pt>
                <c:pt idx="14">
                  <c:v>-5.3190732776962672E-2</c:v>
                </c:pt>
                <c:pt idx="15">
                  <c:v>-7.1103221110709894E-2</c:v>
                </c:pt>
                <c:pt idx="16">
                  <c:v>9.3101613350728946E-2</c:v>
                </c:pt>
                <c:pt idx="17">
                  <c:v>6.1474211824515332E-2</c:v>
                </c:pt>
                <c:pt idx="18">
                  <c:v>0.22296841421878966</c:v>
                </c:pt>
                <c:pt idx="19">
                  <c:v>3.2130190492489406E-2</c:v>
                </c:pt>
                <c:pt idx="20">
                  <c:v>-3.621647961695014E-2</c:v>
                </c:pt>
                <c:pt idx="21">
                  <c:v>-0.57135666895590287</c:v>
                </c:pt>
                <c:pt idx="22">
                  <c:v>-0.22076865898667292</c:v>
                </c:pt>
                <c:pt idx="23">
                  <c:v>0.42176753383241739</c:v>
                </c:pt>
                <c:pt idx="24">
                  <c:v>0.28428412011687426</c:v>
                </c:pt>
                <c:pt idx="25">
                  <c:v>0.82249631111331634</c:v>
                </c:pt>
                <c:pt idx="26">
                  <c:v>0.32027597160186988</c:v>
                </c:pt>
                <c:pt idx="27">
                  <c:v>8.7321622360171866E-2</c:v>
                </c:pt>
                <c:pt idx="28">
                  <c:v>0.24814976114220252</c:v>
                </c:pt>
                <c:pt idx="29">
                  <c:v>0.15906491022417341</c:v>
                </c:pt>
                <c:pt idx="30">
                  <c:v>-9.9156705361591671E-2</c:v>
                </c:pt>
                <c:pt idx="31">
                  <c:v>-0.29033612507975698</c:v>
                </c:pt>
                <c:pt idx="32">
                  <c:v>-0.60093194811787243</c:v>
                </c:pt>
                <c:pt idx="33">
                  <c:v>-0.17634605689268532</c:v>
                </c:pt>
                <c:pt idx="34">
                  <c:v>-7.3142262120512405E-2</c:v>
                </c:pt>
                <c:pt idx="35">
                  <c:v>-0.1259526950379603</c:v>
                </c:pt>
                <c:pt idx="36">
                  <c:v>0.29458874621208692</c:v>
                </c:pt>
              </c:numCache>
            </c:numRef>
          </c:val>
          <c:extLst>
            <c:ext xmlns:c16="http://schemas.microsoft.com/office/drawing/2014/chart" uri="{C3380CC4-5D6E-409C-BE32-E72D297353CC}">
              <c16:uniqueId val="{00000005-207E-4ED3-BFDF-E63E95A10C26}"/>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IPP'!$R$33:$BB$33</c:f>
              <c:numCache>
                <c:formatCode>0.0</c:formatCode>
                <c:ptCount val="37"/>
                <c:pt idx="0">
                  <c:v>0.98443956746970951</c:v>
                </c:pt>
                <c:pt idx="1">
                  <c:v>0.89749369767930187</c:v>
                </c:pt>
                <c:pt idx="2">
                  <c:v>1.0110169889951346</c:v>
                </c:pt>
                <c:pt idx="3">
                  <c:v>-0.20272196687510721</c:v>
                </c:pt>
                <c:pt idx="4">
                  <c:v>-0.44835386658683196</c:v>
                </c:pt>
                <c:pt idx="5">
                  <c:v>-1.152802202071034</c:v>
                </c:pt>
                <c:pt idx="6">
                  <c:v>-0.37213437720535197</c:v>
                </c:pt>
                <c:pt idx="7">
                  <c:v>0.44554477386112845</c:v>
                </c:pt>
                <c:pt idx="8">
                  <c:v>-0.13802711444318688</c:v>
                </c:pt>
                <c:pt idx="9">
                  <c:v>1.4520150527939979</c:v>
                </c:pt>
                <c:pt idx="10">
                  <c:v>0.65687676657012073</c:v>
                </c:pt>
                <c:pt idx="11">
                  <c:v>0.76186639439852788</c:v>
                </c:pt>
                <c:pt idx="12">
                  <c:v>1.176883894072402</c:v>
                </c:pt>
                <c:pt idx="13">
                  <c:v>0.73260991135089992</c:v>
                </c:pt>
                <c:pt idx="14">
                  <c:v>1.1309843102453638</c:v>
                </c:pt>
                <c:pt idx="15">
                  <c:v>0.15993804771029119</c:v>
                </c:pt>
                <c:pt idx="16">
                  <c:v>-0.32185268974320186</c:v>
                </c:pt>
                <c:pt idx="17">
                  <c:v>-0.30512916964802866</c:v>
                </c:pt>
                <c:pt idx="18">
                  <c:v>-0.97407463154620055</c:v>
                </c:pt>
                <c:pt idx="19">
                  <c:v>-3.9701171551173579E-2</c:v>
                </c:pt>
                <c:pt idx="20">
                  <c:v>0.31377104389497601</c:v>
                </c:pt>
                <c:pt idx="21">
                  <c:v>-1.6010940767108719</c:v>
                </c:pt>
                <c:pt idx="22">
                  <c:v>-5.0886354263985399E-3</c:v>
                </c:pt>
                <c:pt idx="23">
                  <c:v>-0.12175513984550239</c:v>
                </c:pt>
                <c:pt idx="24">
                  <c:v>-3.1638995156202418E-3</c:v>
                </c:pt>
                <c:pt idx="25">
                  <c:v>3.2167948172937182</c:v>
                </c:pt>
                <c:pt idx="26">
                  <c:v>1.5234912910635305</c:v>
                </c:pt>
                <c:pt idx="27">
                  <c:v>1.1688525155242717</c:v>
                </c:pt>
                <c:pt idx="28">
                  <c:v>1.6920805243412145</c:v>
                </c:pt>
                <c:pt idx="29">
                  <c:v>0.27354297809238481</c:v>
                </c:pt>
                <c:pt idx="30">
                  <c:v>-1.6648320957606075</c:v>
                </c:pt>
                <c:pt idx="31">
                  <c:v>-1.5228438332672201</c:v>
                </c:pt>
                <c:pt idx="32">
                  <c:v>-3.3940030825327261</c:v>
                </c:pt>
                <c:pt idx="33">
                  <c:v>-3.5344501144492479</c:v>
                </c:pt>
                <c:pt idx="34">
                  <c:v>-1.8218492123826791</c:v>
                </c:pt>
                <c:pt idx="35">
                  <c:v>-1.6413975162711503</c:v>
                </c:pt>
                <c:pt idx="36">
                  <c:v>0.21142498860045189</c:v>
                </c:pt>
              </c:numCache>
            </c:numRef>
          </c:val>
          <c:extLst>
            <c:ext xmlns:c16="http://schemas.microsoft.com/office/drawing/2014/chart" uri="{C3380CC4-5D6E-409C-BE32-E72D297353CC}">
              <c16:uniqueId val="{00000006-207E-4ED3-BFDF-E63E95A10C26}"/>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IPP'!$R$34:$BB$34</c:f>
              <c:numCache>
                <c:formatCode>0.0</c:formatCode>
                <c:ptCount val="37"/>
                <c:pt idx="0">
                  <c:v>0.14402037647140781</c:v>
                </c:pt>
                <c:pt idx="1">
                  <c:v>-0.33675824148789973</c:v>
                </c:pt>
                <c:pt idx="2">
                  <c:v>-0.39689357548159232</c:v>
                </c:pt>
                <c:pt idx="3">
                  <c:v>-1.1136308902205638</c:v>
                </c:pt>
                <c:pt idx="4">
                  <c:v>-0.66026658968149066</c:v>
                </c:pt>
                <c:pt idx="5">
                  <c:v>6.6763502761356674E-2</c:v>
                </c:pt>
                <c:pt idx="6">
                  <c:v>-0.46574952767530176</c:v>
                </c:pt>
                <c:pt idx="7">
                  <c:v>0.47124206252466228</c:v>
                </c:pt>
                <c:pt idx="8">
                  <c:v>0.68579685044543426</c:v>
                </c:pt>
                <c:pt idx="9">
                  <c:v>-0.21786071250878586</c:v>
                </c:pt>
                <c:pt idx="10">
                  <c:v>0.74762012671732325</c:v>
                </c:pt>
                <c:pt idx="11">
                  <c:v>0.67922569430551683</c:v>
                </c:pt>
                <c:pt idx="12">
                  <c:v>-0.54241645010765405</c:v>
                </c:pt>
                <c:pt idx="13">
                  <c:v>-1.863152788088867E-3</c:v>
                </c:pt>
                <c:pt idx="14">
                  <c:v>0.78670127678843205</c:v>
                </c:pt>
                <c:pt idx="15">
                  <c:v>0.32960713526562896</c:v>
                </c:pt>
                <c:pt idx="16">
                  <c:v>6.8904910133199104E-2</c:v>
                </c:pt>
                <c:pt idx="17">
                  <c:v>0.12170682001164364</c:v>
                </c:pt>
                <c:pt idx="18">
                  <c:v>-0.51098167239705861</c:v>
                </c:pt>
                <c:pt idx="19">
                  <c:v>-0.36784640528649576</c:v>
                </c:pt>
                <c:pt idx="20">
                  <c:v>-1.0379724863245818</c:v>
                </c:pt>
                <c:pt idx="21">
                  <c:v>-1.6383292853795699</c:v>
                </c:pt>
                <c:pt idx="22">
                  <c:v>-0.82494325172790051</c:v>
                </c:pt>
                <c:pt idx="23">
                  <c:v>-0.74239007583737793</c:v>
                </c:pt>
                <c:pt idx="24">
                  <c:v>0.59158556249174721</c:v>
                </c:pt>
                <c:pt idx="25">
                  <c:v>0.52574532126604923</c:v>
                </c:pt>
                <c:pt idx="26">
                  <c:v>0.31417492451330681</c:v>
                </c:pt>
                <c:pt idx="27">
                  <c:v>0.81673244983703652</c:v>
                </c:pt>
                <c:pt idx="28">
                  <c:v>-0.20930722480594041</c:v>
                </c:pt>
                <c:pt idx="29">
                  <c:v>0.2426199257906809</c:v>
                </c:pt>
                <c:pt idx="30">
                  <c:v>0.41437274042222205</c:v>
                </c:pt>
                <c:pt idx="31">
                  <c:v>-1.2875007654766373</c:v>
                </c:pt>
                <c:pt idx="32">
                  <c:v>-1.3048253110472499</c:v>
                </c:pt>
                <c:pt idx="33">
                  <c:v>-1.5779992607638804</c:v>
                </c:pt>
                <c:pt idx="34">
                  <c:v>-1.6272504326464061</c:v>
                </c:pt>
                <c:pt idx="35">
                  <c:v>-1.1082452978573198</c:v>
                </c:pt>
                <c:pt idx="36">
                  <c:v>-0.77433108176642651</c:v>
                </c:pt>
              </c:numCache>
            </c:numRef>
          </c:val>
          <c:extLst>
            <c:ext xmlns:c16="http://schemas.microsoft.com/office/drawing/2014/chart" uri="{C3380CC4-5D6E-409C-BE32-E72D297353CC}">
              <c16:uniqueId val="{00000007-207E-4ED3-BFDF-E63E95A10C26}"/>
            </c:ext>
          </c:extLst>
        </c:ser>
        <c:dLbls>
          <c:showLegendKey val="0"/>
          <c:showVal val="0"/>
          <c:showCatName val="0"/>
          <c:showSerName val="0"/>
          <c:showPercent val="0"/>
          <c:showBubbleSize val="0"/>
        </c:dLbls>
        <c:gapWidth val="15"/>
        <c:overlap val="100"/>
        <c:axId val="81684352"/>
        <c:axId val="81685888"/>
      </c:barChart>
      <c:lineChart>
        <c:grouping val="standard"/>
        <c:varyColors val="0"/>
        <c:ser>
          <c:idx val="8"/>
          <c:order val="8"/>
          <c:tx>
            <c:strRef>
              <c:f>'GRAF příspěvky IPP'!$A$35</c:f>
              <c:strCache>
                <c:ptCount val="1"/>
                <c:pt idx="0">
                  <c:v>Průmysl celkem (NACE B až D)</c:v>
                </c:pt>
              </c:strCache>
            </c:strRef>
          </c:tx>
          <c:spPr>
            <a:ln w="19050">
              <a:noFill/>
            </a:ln>
          </c:spPr>
          <c:marker>
            <c:symbol val="circle"/>
            <c:size val="4"/>
            <c:spPr>
              <a:solidFill>
                <a:srgbClr val="FFFF00"/>
              </a:solidFill>
              <a:ln>
                <a:solidFill>
                  <a:schemeClr val="tx1">
                    <a:lumMod val="95000"/>
                    <a:lumOff val="5000"/>
                  </a:schemeClr>
                </a:solidFill>
              </a:ln>
            </c:spPr>
          </c:marker>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IPP'!$R$35:$BB$35</c:f>
              <c:numCache>
                <c:formatCode>0.0</c:formatCode>
                <c:ptCount val="37"/>
                <c:pt idx="0">
                  <c:v>4.8496605073000012</c:v>
                </c:pt>
                <c:pt idx="1">
                  <c:v>5.3026307429999946</c:v>
                </c:pt>
                <c:pt idx="2">
                  <c:v>5.6592883106000054</c:v>
                </c:pt>
                <c:pt idx="3">
                  <c:v>2.4009241675999986</c:v>
                </c:pt>
                <c:pt idx="4">
                  <c:v>3.7935036282000012</c:v>
                </c:pt>
                <c:pt idx="5">
                  <c:v>1.6673401017000069</c:v>
                </c:pt>
                <c:pt idx="6">
                  <c:v>1.295772459600002</c:v>
                </c:pt>
                <c:pt idx="7">
                  <c:v>3.3466528042000019</c:v>
                </c:pt>
                <c:pt idx="8">
                  <c:v>4.4694819295000059</c:v>
                </c:pt>
                <c:pt idx="9">
                  <c:v>8.0757287748</c:v>
                </c:pt>
                <c:pt idx="10">
                  <c:v>6.4710085308000096</c:v>
                </c:pt>
                <c:pt idx="11">
                  <c:v>7.2646448001999993</c:v>
                </c:pt>
                <c:pt idx="12">
                  <c:v>4.3462152320000058</c:v>
                </c:pt>
                <c:pt idx="13">
                  <c:v>2.4365124654999994</c:v>
                </c:pt>
                <c:pt idx="14">
                  <c:v>3.7641930207000081</c:v>
                </c:pt>
                <c:pt idx="15">
                  <c:v>1.5933483905999983</c:v>
                </c:pt>
                <c:pt idx="16">
                  <c:v>0.47230060009999902</c:v>
                </c:pt>
                <c:pt idx="17">
                  <c:v>0.71920116619999463</c:v>
                </c:pt>
                <c:pt idx="18">
                  <c:v>-1.5414330485999972</c:v>
                </c:pt>
                <c:pt idx="19">
                  <c:v>-1.7724070997000045</c:v>
                </c:pt>
                <c:pt idx="20">
                  <c:v>-4.2521142570999944</c:v>
                </c:pt>
                <c:pt idx="21">
                  <c:v>-21.785210571699977</c:v>
                </c:pt>
                <c:pt idx="22">
                  <c:v>-3.0649898566999978</c:v>
                </c:pt>
                <c:pt idx="23">
                  <c:v>1.6725311281000055</c:v>
                </c:pt>
                <c:pt idx="24">
                  <c:v>4.1143319577999984</c:v>
                </c:pt>
                <c:pt idx="25">
                  <c:v>26.257711800199989</c:v>
                </c:pt>
                <c:pt idx="26">
                  <c:v>0.54549651850000203</c:v>
                </c:pt>
                <c:pt idx="27">
                  <c:v>-1.540422250099992</c:v>
                </c:pt>
                <c:pt idx="28">
                  <c:v>0.51944299599999466</c:v>
                </c:pt>
                <c:pt idx="29">
                  <c:v>0.5798364995000046</c:v>
                </c:pt>
                <c:pt idx="30">
                  <c:v>5.0286088654000025</c:v>
                </c:pt>
                <c:pt idx="31">
                  <c:v>2.3950204963000039</c:v>
                </c:pt>
                <c:pt idx="32">
                  <c:v>0.47487671749999594</c:v>
                </c:pt>
                <c:pt idx="33">
                  <c:v>0.32115003309999707</c:v>
                </c:pt>
                <c:pt idx="34">
                  <c:v>-3.4479024198000001</c:v>
                </c:pt>
                <c:pt idx="35">
                  <c:v>-0.76137983940000786</c:v>
                </c:pt>
                <c:pt idx="36">
                  <c:v>-0.90246459509999921</c:v>
                </c:pt>
              </c:numCache>
            </c:numRef>
          </c:val>
          <c:smooth val="0"/>
          <c:extLst>
            <c:ext xmlns:c16="http://schemas.microsoft.com/office/drawing/2014/chart" uri="{C3380CC4-5D6E-409C-BE32-E72D297353CC}">
              <c16:uniqueId val="{00000008-207E-4ED3-BFDF-E63E95A10C26}"/>
            </c:ext>
          </c:extLst>
        </c:ser>
        <c:dLbls>
          <c:showLegendKey val="0"/>
          <c:showVal val="0"/>
          <c:showCatName val="0"/>
          <c:showSerName val="0"/>
          <c:showPercent val="0"/>
          <c:showBubbleSize val="0"/>
        </c:dLbls>
        <c:marker val="1"/>
        <c:smooth val="0"/>
        <c:axId val="81684352"/>
        <c:axId val="81685888"/>
      </c:lineChart>
      <c:lineChart>
        <c:grouping val="standard"/>
        <c:varyColors val="0"/>
        <c:ser>
          <c:idx val="9"/>
          <c:order val="9"/>
          <c:tx>
            <c:strRef>
              <c:f>'GRAF příspěvky IPP'!$A$36</c:f>
              <c:strCache>
                <c:ptCount val="1"/>
              </c:strCache>
            </c:strRef>
          </c:tx>
          <c:spPr>
            <a:ln w="15875">
              <a:noFill/>
              <a:prstDash val="sysDot"/>
            </a:ln>
          </c:spPr>
          <c:marker>
            <c:symbol val="none"/>
          </c:marker>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IPP'!$R$36:$BB$36</c:f>
              <c:numCache>
                <c:formatCode>General</c:formatCode>
                <c:ptCount val="37"/>
              </c:numCache>
            </c:numRef>
          </c:val>
          <c:smooth val="0"/>
          <c:extLst>
            <c:ext xmlns:c16="http://schemas.microsoft.com/office/drawing/2014/chart" uri="{C3380CC4-5D6E-409C-BE32-E72D297353CC}">
              <c16:uniqueId val="{00000009-207E-4ED3-BFDF-E63E95A10C26}"/>
            </c:ext>
          </c:extLst>
        </c:ser>
        <c:ser>
          <c:idx val="10"/>
          <c:order val="10"/>
          <c:tx>
            <c:strRef>
              <c:f>'GRAF příspěvky IPP'!$A$37</c:f>
              <c:strCache>
                <c:ptCount val="1"/>
                <c:pt idx="0">
                  <c:v>Produkce, prům. v ČR celkem (2021=100)</c:v>
                </c:pt>
              </c:strCache>
            </c:strRef>
          </c:tx>
          <c:spPr>
            <a:ln w="15875">
              <a:solidFill>
                <a:schemeClr val="tx1">
                  <a:lumMod val="95000"/>
                  <a:lumOff val="5000"/>
                </a:schemeClr>
              </a:solidFill>
            </a:ln>
          </c:spPr>
          <c:marker>
            <c:symbol val="none"/>
          </c:marker>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IPP'!$R$37:$BB$37</c:f>
              <c:numCache>
                <c:formatCode>#\ ##0.##########</c:formatCode>
                <c:ptCount val="37"/>
                <c:pt idx="0">
                  <c:v>88.4</c:v>
                </c:pt>
                <c:pt idx="1">
                  <c:v>89.9</c:v>
                </c:pt>
                <c:pt idx="2">
                  <c:v>90.9</c:v>
                </c:pt>
                <c:pt idx="3">
                  <c:v>90.1</c:v>
                </c:pt>
                <c:pt idx="4">
                  <c:v>91.8</c:v>
                </c:pt>
                <c:pt idx="5">
                  <c:v>91.3</c:v>
                </c:pt>
                <c:pt idx="6" formatCode="#\ ##0.0">
                  <c:v>92</c:v>
                </c:pt>
                <c:pt idx="7">
                  <c:v>93.1</c:v>
                </c:pt>
                <c:pt idx="8">
                  <c:v>95.6</c:v>
                </c:pt>
                <c:pt idx="9">
                  <c:v>98.6</c:v>
                </c:pt>
                <c:pt idx="10">
                  <c:v>98.2</c:v>
                </c:pt>
                <c:pt idx="11">
                  <c:v>100.1</c:v>
                </c:pt>
                <c:pt idx="12">
                  <c:v>100.1</c:v>
                </c:pt>
                <c:pt idx="13">
                  <c:v>101.1</c:v>
                </c:pt>
                <c:pt idx="14">
                  <c:v>102</c:v>
                </c:pt>
                <c:pt idx="15">
                  <c:v>101.3</c:v>
                </c:pt>
                <c:pt idx="16">
                  <c:v>100.6</c:v>
                </c:pt>
                <c:pt idx="17" formatCode="#\ ##0.0">
                  <c:v>102.2</c:v>
                </c:pt>
                <c:pt idx="18">
                  <c:v>100.1</c:v>
                </c:pt>
                <c:pt idx="19" formatCode="#\ ##0.0">
                  <c:v>99.4</c:v>
                </c:pt>
                <c:pt idx="20">
                  <c:v>96.7</c:v>
                </c:pt>
                <c:pt idx="21">
                  <c:v>80.2</c:v>
                </c:pt>
                <c:pt idx="22">
                  <c:v>97</c:v>
                </c:pt>
                <c:pt idx="23">
                  <c:v>101.1</c:v>
                </c:pt>
                <c:pt idx="24">
                  <c:v>99.7</c:v>
                </c:pt>
                <c:pt idx="25">
                  <c:v>100.7</c:v>
                </c:pt>
                <c:pt idx="26">
                  <c:v>98.4</c:v>
                </c:pt>
                <c:pt idx="27">
                  <c:v>99</c:v>
                </c:pt>
                <c:pt idx="28">
                  <c:v>100.8</c:v>
                </c:pt>
                <c:pt idx="29">
                  <c:v>101.4</c:v>
                </c:pt>
                <c:pt idx="30">
                  <c:v>102.8</c:v>
                </c:pt>
                <c:pt idx="31">
                  <c:v>101.8</c:v>
                </c:pt>
                <c:pt idx="32" formatCode="General">
                  <c:v>101.5</c:v>
                </c:pt>
                <c:pt idx="33" formatCode="General">
                  <c:v>101.6</c:v>
                </c:pt>
                <c:pt idx="34" formatCode="General">
                  <c:v>99.2</c:v>
                </c:pt>
                <c:pt idx="35" formatCode="General">
                  <c:v>101.2</c:v>
                </c:pt>
                <c:pt idx="36" formatCode="General">
                  <c:v>100.5</c:v>
                </c:pt>
              </c:numCache>
            </c:numRef>
          </c:val>
          <c:smooth val="0"/>
          <c:extLst>
            <c:ext xmlns:c16="http://schemas.microsoft.com/office/drawing/2014/chart" uri="{C3380CC4-5D6E-409C-BE32-E72D297353CC}">
              <c16:uniqueId val="{0000000A-207E-4ED3-BFDF-E63E95A10C26}"/>
            </c:ext>
          </c:extLst>
        </c:ser>
        <c:ser>
          <c:idx val="11"/>
          <c:order val="11"/>
          <c:tx>
            <c:strRef>
              <c:f>'GRAF příspěvky IPP'!$A$38</c:f>
              <c:strCache>
                <c:ptCount val="1"/>
                <c:pt idx="0">
                  <c:v>Produkce, prům. v EU27 celkem (2021=100)</c:v>
                </c:pt>
              </c:strCache>
            </c:strRef>
          </c:tx>
          <c:spPr>
            <a:ln w="15875">
              <a:solidFill>
                <a:schemeClr val="tx1">
                  <a:lumMod val="50000"/>
                  <a:lumOff val="50000"/>
                </a:schemeClr>
              </a:solidFill>
              <a:prstDash val="sysDash"/>
            </a:ln>
          </c:spPr>
          <c:marker>
            <c:symbol val="none"/>
          </c:marker>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IPP'!$R$38:$BB$38</c:f>
              <c:numCache>
                <c:formatCode>#\ ##0.##########</c:formatCode>
                <c:ptCount val="37"/>
                <c:pt idx="0">
                  <c:v>92.9</c:v>
                </c:pt>
                <c:pt idx="1">
                  <c:v>93.8</c:v>
                </c:pt>
                <c:pt idx="2">
                  <c:v>94.1</c:v>
                </c:pt>
                <c:pt idx="3">
                  <c:v>93.9</c:v>
                </c:pt>
                <c:pt idx="4">
                  <c:v>95</c:v>
                </c:pt>
                <c:pt idx="5">
                  <c:v>94.9</c:v>
                </c:pt>
                <c:pt idx="6">
                  <c:v>95</c:v>
                </c:pt>
                <c:pt idx="7">
                  <c:v>96.1</c:v>
                </c:pt>
                <c:pt idx="8">
                  <c:v>96.3</c:v>
                </c:pt>
                <c:pt idx="9">
                  <c:v>97.5</c:v>
                </c:pt>
                <c:pt idx="10">
                  <c:v>98.8</c:v>
                </c:pt>
                <c:pt idx="11">
                  <c:v>100.6</c:v>
                </c:pt>
                <c:pt idx="12" formatCode="#\ ##0.0">
                  <c:v>99.2</c:v>
                </c:pt>
                <c:pt idx="13">
                  <c:v>99.8</c:v>
                </c:pt>
                <c:pt idx="14" formatCode="#\ ##0.0">
                  <c:v>99.5</c:v>
                </c:pt>
                <c:pt idx="15">
                  <c:v>99.2</c:v>
                </c:pt>
                <c:pt idx="16">
                  <c:v>99.6</c:v>
                </c:pt>
                <c:pt idx="17">
                  <c:v>99.4</c:v>
                </c:pt>
                <c:pt idx="18">
                  <c:v>98.7</c:v>
                </c:pt>
                <c:pt idx="19">
                  <c:v>97.9</c:v>
                </c:pt>
                <c:pt idx="20" formatCode="#\ ##0.0">
                  <c:v>95.2</c:v>
                </c:pt>
                <c:pt idx="21">
                  <c:v>80.400000000000006</c:v>
                </c:pt>
                <c:pt idx="22">
                  <c:v>93.5</c:v>
                </c:pt>
                <c:pt idx="23">
                  <c:v>98</c:v>
                </c:pt>
                <c:pt idx="24">
                  <c:v>99.6</c:v>
                </c:pt>
                <c:pt idx="25" formatCode="#\ ##0.0">
                  <c:v>99.5</c:v>
                </c:pt>
                <c:pt idx="26">
                  <c:v>99.7</c:v>
                </c:pt>
                <c:pt idx="27" formatCode="#\ ##0.0">
                  <c:v>101.1</c:v>
                </c:pt>
                <c:pt idx="28">
                  <c:v>102</c:v>
                </c:pt>
                <c:pt idx="29">
                  <c:v>102.1</c:v>
                </c:pt>
                <c:pt idx="30">
                  <c:v>104</c:v>
                </c:pt>
                <c:pt idx="31" formatCode="#\ ##0.0">
                  <c:v>102.7</c:v>
                </c:pt>
                <c:pt idx="32" formatCode="General">
                  <c:v>102.8</c:v>
                </c:pt>
                <c:pt idx="33" formatCode="General">
                  <c:v>101</c:v>
                </c:pt>
                <c:pt idx="34" formatCode="General">
                  <c:v>99.7</c:v>
                </c:pt>
                <c:pt idx="35" formatCode="General">
                  <c:v>99.9</c:v>
                </c:pt>
                <c:pt idx="36" formatCode="General">
                  <c:v>98.9</c:v>
                </c:pt>
              </c:numCache>
            </c:numRef>
          </c:val>
          <c:smooth val="0"/>
          <c:extLst>
            <c:ext xmlns:c16="http://schemas.microsoft.com/office/drawing/2014/chart" uri="{C3380CC4-5D6E-409C-BE32-E72D297353CC}">
              <c16:uniqueId val="{0000000B-207E-4ED3-BFDF-E63E95A10C26}"/>
            </c:ext>
          </c:extLst>
        </c:ser>
        <c:ser>
          <c:idx val="12"/>
          <c:order val="12"/>
          <c:tx>
            <c:strRef>
              <c:f>'GRAF příspěvky IPP'!$A$39</c:f>
              <c:strCache>
                <c:ptCount val="1"/>
                <c:pt idx="0">
                  <c:v>Produkce, prům. v Německu (2021=100)</c:v>
                </c:pt>
              </c:strCache>
            </c:strRef>
          </c:tx>
          <c:spPr>
            <a:ln w="15875">
              <a:solidFill>
                <a:srgbClr val="996633"/>
              </a:solidFill>
              <a:prstDash val="dash"/>
            </a:ln>
          </c:spPr>
          <c:marker>
            <c:symbol val="none"/>
          </c:marker>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IPP'!$R$39:$BB$39</c:f>
              <c:numCache>
                <c:formatCode>#\ ##0.##########</c:formatCode>
                <c:ptCount val="37"/>
                <c:pt idx="0">
                  <c:v>102.7</c:v>
                </c:pt>
                <c:pt idx="1">
                  <c:v>104</c:v>
                </c:pt>
                <c:pt idx="2">
                  <c:v>103.8</c:v>
                </c:pt>
                <c:pt idx="3">
                  <c:v>103.3</c:v>
                </c:pt>
                <c:pt idx="4">
                  <c:v>104.4</c:v>
                </c:pt>
                <c:pt idx="5">
                  <c:v>104</c:v>
                </c:pt>
                <c:pt idx="6">
                  <c:v>104.4</c:v>
                </c:pt>
                <c:pt idx="7">
                  <c:v>104.5</c:v>
                </c:pt>
                <c:pt idx="8" formatCode="#\ ##0.0">
                  <c:v>105</c:v>
                </c:pt>
                <c:pt idx="9">
                  <c:v>107</c:v>
                </c:pt>
                <c:pt idx="10">
                  <c:v>108.8</c:v>
                </c:pt>
                <c:pt idx="11">
                  <c:v>109.6</c:v>
                </c:pt>
                <c:pt idx="12">
                  <c:v>109</c:v>
                </c:pt>
                <c:pt idx="13" formatCode="#\ ##0.0">
                  <c:v>109.8</c:v>
                </c:pt>
                <c:pt idx="14">
                  <c:v>108.8</c:v>
                </c:pt>
                <c:pt idx="15">
                  <c:v>107.2</c:v>
                </c:pt>
                <c:pt idx="16">
                  <c:v>107</c:v>
                </c:pt>
                <c:pt idx="17" formatCode="#\ ##0.0">
                  <c:v>105.8</c:v>
                </c:pt>
                <c:pt idx="18">
                  <c:v>104.6</c:v>
                </c:pt>
                <c:pt idx="19">
                  <c:v>102.9</c:v>
                </c:pt>
                <c:pt idx="20" formatCode="#\ ##0.0">
                  <c:v>101.3</c:v>
                </c:pt>
                <c:pt idx="21">
                  <c:v>82.9</c:v>
                </c:pt>
                <c:pt idx="22">
                  <c:v>94.8</c:v>
                </c:pt>
                <c:pt idx="23">
                  <c:v>100.9</c:v>
                </c:pt>
                <c:pt idx="24">
                  <c:v>100.8</c:v>
                </c:pt>
                <c:pt idx="25">
                  <c:v>99.9</c:v>
                </c:pt>
                <c:pt idx="26">
                  <c:v>96.9</c:v>
                </c:pt>
                <c:pt idx="27">
                  <c:v>99.9</c:v>
                </c:pt>
                <c:pt idx="28">
                  <c:v>99.4</c:v>
                </c:pt>
                <c:pt idx="29" formatCode="#\ ##0.0">
                  <c:v>98.8</c:v>
                </c:pt>
                <c:pt idx="30">
                  <c:v>99.2</c:v>
                </c:pt>
                <c:pt idx="31">
                  <c:v>99</c:v>
                </c:pt>
                <c:pt idx="32" formatCode="General">
                  <c:v>100.1</c:v>
                </c:pt>
                <c:pt idx="33" formatCode="General">
                  <c:v>98.3</c:v>
                </c:pt>
                <c:pt idx="34" formatCode="General">
                  <c:v>95.8</c:v>
                </c:pt>
                <c:pt idx="35" formatCode="General">
                  <c:v>94.5</c:v>
                </c:pt>
                <c:pt idx="36" formatCode="General">
                  <c:v>94.6</c:v>
                </c:pt>
              </c:numCache>
            </c:numRef>
          </c:val>
          <c:smooth val="0"/>
          <c:extLst>
            <c:ext xmlns:c16="http://schemas.microsoft.com/office/drawing/2014/chart" uri="{C3380CC4-5D6E-409C-BE32-E72D297353CC}">
              <c16:uniqueId val="{0000000C-207E-4ED3-BFDF-E63E95A10C26}"/>
            </c:ext>
          </c:extLst>
        </c:ser>
        <c:dLbls>
          <c:showLegendKey val="0"/>
          <c:showVal val="0"/>
          <c:showCatName val="0"/>
          <c:showSerName val="0"/>
          <c:showPercent val="0"/>
          <c:showBubbleSize val="0"/>
        </c:dLbls>
        <c:marker val="1"/>
        <c:smooth val="0"/>
        <c:axId val="82184832"/>
        <c:axId val="82182912"/>
      </c:lineChart>
      <c:catAx>
        <c:axId val="81684352"/>
        <c:scaling>
          <c:orientation val="minMax"/>
        </c:scaling>
        <c:delete val="0"/>
        <c:axPos val="b"/>
        <c:numFmt formatCode="General" sourceLinked="1"/>
        <c:majorTickMark val="none"/>
        <c:minorTickMark val="none"/>
        <c:tickLblPos val="low"/>
        <c:txPr>
          <a:bodyPr/>
          <a:lstStyle/>
          <a:p>
            <a:pPr>
              <a:defRPr sz="800">
                <a:latin typeface="Arial" pitchFamily="34" charset="0"/>
                <a:cs typeface="Arial" pitchFamily="34" charset="0"/>
              </a:defRPr>
            </a:pPr>
            <a:endParaRPr lang="cs-CZ"/>
          </a:p>
        </c:txPr>
        <c:crossAx val="81685888"/>
        <c:crosses val="autoZero"/>
        <c:auto val="1"/>
        <c:lblAlgn val="ctr"/>
        <c:lblOffset val="0"/>
        <c:noMultiLvlLbl val="0"/>
      </c:catAx>
      <c:valAx>
        <c:axId val="81685888"/>
        <c:scaling>
          <c:orientation val="minMax"/>
          <c:max val="30"/>
          <c:min val="-25"/>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u="none" strike="noStrike" baseline="0">
                    <a:effectLst/>
                  </a:rPr>
                  <a:t>Prům. produkce (příspěvky  k meziroč. změně)</a:t>
                </a:r>
                <a:endParaRPr lang="cs-CZ" sz="700" b="0" i="1">
                  <a:latin typeface="Arial" panose="020B0604020202020204" pitchFamily="34" charset="0"/>
                  <a:cs typeface="Arial" panose="020B0604020202020204" pitchFamily="34" charset="0"/>
                </a:endParaRPr>
              </a:p>
            </c:rich>
          </c:tx>
          <c:layout>
            <c:manualLayout>
              <c:xMode val="edge"/>
              <c:yMode val="edge"/>
              <c:x val="0"/>
              <c:y val="0.11651980043186923"/>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81684352"/>
        <c:crosses val="autoZero"/>
        <c:crossBetween val="between"/>
        <c:majorUnit val="5"/>
      </c:valAx>
      <c:valAx>
        <c:axId val="82182912"/>
        <c:scaling>
          <c:orientation val="minMax"/>
          <c:max val="118"/>
          <c:min val="52"/>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Produkce</a:t>
                </a:r>
                <a:r>
                  <a:rPr lang="cs-CZ" sz="700" b="0" i="1" baseline="0">
                    <a:latin typeface="Arial" panose="020B0604020202020204" pitchFamily="34" charset="0"/>
                    <a:cs typeface="Arial" panose="020B0604020202020204" pitchFamily="34" charset="0"/>
                  </a:rPr>
                  <a:t> </a:t>
                </a:r>
                <a:r>
                  <a:rPr lang="cs-CZ" sz="700" b="0" i="1">
                    <a:latin typeface="Arial" panose="020B0604020202020204" pitchFamily="34" charset="0"/>
                    <a:cs typeface="Arial" panose="020B0604020202020204" pitchFamily="34" charset="0"/>
                  </a:rPr>
                  <a:t>v průmyslu (báze 2015=100)</a:t>
                </a:r>
              </a:p>
            </c:rich>
          </c:tx>
          <c:layout>
            <c:manualLayout>
              <c:xMode val="edge"/>
              <c:yMode val="edge"/>
              <c:x val="0.97040158454025238"/>
              <c:y val="0.16649922312229445"/>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82184832"/>
        <c:crosses val="max"/>
        <c:crossBetween val="between"/>
        <c:majorUnit val="6"/>
      </c:valAx>
      <c:catAx>
        <c:axId val="82184832"/>
        <c:scaling>
          <c:orientation val="minMax"/>
        </c:scaling>
        <c:delete val="1"/>
        <c:axPos val="b"/>
        <c:numFmt formatCode="General" sourceLinked="1"/>
        <c:majorTickMark val="out"/>
        <c:minorTickMark val="none"/>
        <c:tickLblPos val="none"/>
        <c:crossAx val="82182912"/>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2576650680252295E-3"/>
          <c:y val="0.78956533796177808"/>
          <c:w val="0.9886658953822488"/>
          <c:h val="0.20327688625655532"/>
        </c:manualLayout>
      </c:layout>
      <c:overlay val="0"/>
      <c:spPr>
        <a:ln w="6350">
          <a:solidFill>
            <a:prstClr val="black">
              <a:lumMod val="95000"/>
              <a:lumOff val="5000"/>
            </a:prstClr>
          </a:solidFill>
        </a:ln>
      </c:spPr>
      <c:txPr>
        <a:bodyPr/>
        <a:lstStyle/>
        <a:p>
          <a:pPr>
            <a:defRPr sz="72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5647041011259362E-2"/>
          <c:w val="0.84974974879787546"/>
          <c:h val="0.75063602214308589"/>
        </c:manualLayout>
      </c:layout>
      <c:barChart>
        <c:barDir val="col"/>
        <c:grouping val="clustered"/>
        <c:varyColors val="0"/>
        <c:ser>
          <c:idx val="0"/>
          <c:order val="0"/>
          <c:tx>
            <c:strRef>
              <c:f>'výkonnost odvětví 2'!$A$36</c:f>
              <c:strCache>
                <c:ptCount val="1"/>
                <c:pt idx="0">
                  <c:v>Průmyslové zakázky celkem</c:v>
                </c:pt>
              </c:strCache>
            </c:strRef>
          </c:tx>
          <c:spPr>
            <a:solidFill>
              <a:schemeClr val="bg1">
                <a:lumMod val="75000"/>
              </a:schemeClr>
            </a:solidFill>
            <a:ln>
              <a:noFill/>
            </a:ln>
          </c:spPr>
          <c:invertIfNegative val="0"/>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2'!$R$36:$BC$36</c:f>
              <c:numCache>
                <c:formatCode>##0.0</c:formatCode>
                <c:ptCount val="38"/>
                <c:pt idx="0">
                  <c:v>8.5341163004000009</c:v>
                </c:pt>
                <c:pt idx="1">
                  <c:v>6.3710040105000019</c:v>
                </c:pt>
                <c:pt idx="2">
                  <c:v>6.0473469386000005</c:v>
                </c:pt>
                <c:pt idx="3">
                  <c:v>5.2688430824999983</c:v>
                </c:pt>
                <c:pt idx="4">
                  <c:v>2.4833916857000009</c:v>
                </c:pt>
                <c:pt idx="5">
                  <c:v>7.1316561812000039</c:v>
                </c:pt>
                <c:pt idx="6">
                  <c:v>1.9491446858999939</c:v>
                </c:pt>
                <c:pt idx="7">
                  <c:v>6.4416747929000078</c:v>
                </c:pt>
                <c:pt idx="8">
                  <c:v>7.34419555489999</c:v>
                </c:pt>
                <c:pt idx="9">
                  <c:v>8.3762247843000051</c:v>
                </c:pt>
                <c:pt idx="10">
                  <c:v>8.1209134774999949</c:v>
                </c:pt>
                <c:pt idx="11">
                  <c:v>7.2572871451999958</c:v>
                </c:pt>
                <c:pt idx="12">
                  <c:v>3.2993551214999997</c:v>
                </c:pt>
                <c:pt idx="13">
                  <c:v>2.9773571834000023</c:v>
                </c:pt>
                <c:pt idx="14">
                  <c:v>3.5300064828000037</c:v>
                </c:pt>
                <c:pt idx="15">
                  <c:v>2.4324207204000028</c:v>
                </c:pt>
                <c:pt idx="16">
                  <c:v>3.2234606388999953</c:v>
                </c:pt>
                <c:pt idx="17">
                  <c:v>2.1291359181000051</c:v>
                </c:pt>
                <c:pt idx="18">
                  <c:v>-1.149624227000003</c:v>
                </c:pt>
                <c:pt idx="19">
                  <c:v>-2.8233445845000062</c:v>
                </c:pt>
                <c:pt idx="20">
                  <c:v>-4.1421474552000035</c:v>
                </c:pt>
                <c:pt idx="21">
                  <c:v>-27.261303375299985</c:v>
                </c:pt>
                <c:pt idx="22">
                  <c:v>-0.61408028729999864</c:v>
                </c:pt>
                <c:pt idx="23">
                  <c:v>6.5219093458999975</c:v>
                </c:pt>
                <c:pt idx="24">
                  <c:v>10.321733701400007</c:v>
                </c:pt>
                <c:pt idx="25">
                  <c:v>46.912637157599974</c:v>
                </c:pt>
                <c:pt idx="26">
                  <c:v>7.4975011299000016</c:v>
                </c:pt>
                <c:pt idx="27">
                  <c:v>4.1099155708999913</c:v>
                </c:pt>
                <c:pt idx="28">
                  <c:v>6.79189157019999</c:v>
                </c:pt>
                <c:pt idx="29">
                  <c:v>10.070500372600003</c:v>
                </c:pt>
                <c:pt idx="30">
                  <c:v>15.293514770300007</c:v>
                </c:pt>
                <c:pt idx="31">
                  <c:v>12.520125284100001</c:v>
                </c:pt>
                <c:pt idx="32">
                  <c:v>2.8254892014000035</c:v>
                </c:pt>
                <c:pt idx="33">
                  <c:v>-2.2489452181000051</c:v>
                </c:pt>
                <c:pt idx="34">
                  <c:v>-4.7806997394000099</c:v>
                </c:pt>
                <c:pt idx="35">
                  <c:v>-1.0469720180000053</c:v>
                </c:pt>
                <c:pt idx="36">
                  <c:v>4.121089730299996</c:v>
                </c:pt>
              </c:numCache>
            </c:numRef>
          </c:val>
          <c:extLst>
            <c:ext xmlns:c16="http://schemas.microsoft.com/office/drawing/2014/chart" uri="{C3380CC4-5D6E-409C-BE32-E72D297353CC}">
              <c16:uniqueId val="{00000000-7D66-47AE-A710-51EF9E521606}"/>
            </c:ext>
          </c:extLst>
        </c:ser>
        <c:dLbls>
          <c:showLegendKey val="0"/>
          <c:showVal val="0"/>
          <c:showCatName val="0"/>
          <c:showSerName val="0"/>
          <c:showPercent val="0"/>
          <c:showBubbleSize val="0"/>
        </c:dLbls>
        <c:gapWidth val="30"/>
        <c:axId val="51253248"/>
        <c:axId val="51255168"/>
      </c:barChart>
      <c:lineChart>
        <c:grouping val="standard"/>
        <c:varyColors val="0"/>
        <c:ser>
          <c:idx val="1"/>
          <c:order val="1"/>
          <c:tx>
            <c:strRef>
              <c:f>'výkonnost odvětví 2'!$A$37</c:f>
              <c:strCache>
                <c:ptCount val="1"/>
                <c:pt idx="0">
                  <c:v>z toho: zakázky z tuzemska</c:v>
                </c:pt>
              </c:strCache>
            </c:strRef>
          </c:tx>
          <c:spPr>
            <a:ln w="15875">
              <a:noFill/>
              <a:prstDash val="sysDot"/>
            </a:ln>
          </c:spPr>
          <c:marker>
            <c:symbol val="diamond"/>
            <c:size val="5"/>
            <c:spPr>
              <a:solidFill>
                <a:srgbClr val="984807"/>
              </a:solidFill>
              <a:ln>
                <a:noFill/>
              </a:ln>
            </c:spPr>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2'!$R$37:$BC$37</c:f>
              <c:numCache>
                <c:formatCode>#\ ##0.0</c:formatCode>
                <c:ptCount val="38"/>
                <c:pt idx="0">
                  <c:v>4.363250875399995</c:v>
                </c:pt>
                <c:pt idx="1">
                  <c:v>9.9207675197000036</c:v>
                </c:pt>
                <c:pt idx="2">
                  <c:v>-2.8142131774000063</c:v>
                </c:pt>
                <c:pt idx="3">
                  <c:v>-0.26578169440000465</c:v>
                </c:pt>
                <c:pt idx="4">
                  <c:v>1.7666970267000019</c:v>
                </c:pt>
                <c:pt idx="5">
                  <c:v>1.7586378578999975</c:v>
                </c:pt>
                <c:pt idx="6">
                  <c:v>0.20173230330000541</c:v>
                </c:pt>
                <c:pt idx="7">
                  <c:v>2.9064722939999967</c:v>
                </c:pt>
                <c:pt idx="8">
                  <c:v>12.341459895900009</c:v>
                </c:pt>
                <c:pt idx="9">
                  <c:v>15.691073458799998</c:v>
                </c:pt>
                <c:pt idx="10">
                  <c:v>15.834685004400002</c:v>
                </c:pt>
                <c:pt idx="11">
                  <c:v>15.4452270577</c:v>
                </c:pt>
                <c:pt idx="12">
                  <c:v>2.1530605192999985</c:v>
                </c:pt>
                <c:pt idx="13">
                  <c:v>2.4403062317999957</c:v>
                </c:pt>
                <c:pt idx="14">
                  <c:v>4.7510172912000002</c:v>
                </c:pt>
                <c:pt idx="15">
                  <c:v>3.3084884759999937</c:v>
                </c:pt>
                <c:pt idx="16">
                  <c:v>7.6964313707999938</c:v>
                </c:pt>
                <c:pt idx="17">
                  <c:v>5.96561260759999</c:v>
                </c:pt>
                <c:pt idx="18">
                  <c:v>0.28507150430000672</c:v>
                </c:pt>
                <c:pt idx="19">
                  <c:v>-0.8467415363000026</c:v>
                </c:pt>
                <c:pt idx="20">
                  <c:v>0.84542569580000304</c:v>
                </c:pt>
                <c:pt idx="21">
                  <c:v>-25.680778364399988</c:v>
                </c:pt>
                <c:pt idx="22">
                  <c:v>-3.3799831941999927</c:v>
                </c:pt>
                <c:pt idx="23">
                  <c:v>5.5662240000999894</c:v>
                </c:pt>
                <c:pt idx="24">
                  <c:v>2.1967372043999962</c:v>
                </c:pt>
                <c:pt idx="25">
                  <c:v>42.216758304400038</c:v>
                </c:pt>
                <c:pt idx="26">
                  <c:v>9.2728430040999967</c:v>
                </c:pt>
                <c:pt idx="27">
                  <c:v>5.7562043806999981</c:v>
                </c:pt>
                <c:pt idx="28">
                  <c:v>8.7466987816999957</c:v>
                </c:pt>
                <c:pt idx="29">
                  <c:v>15.459663343500004</c:v>
                </c:pt>
                <c:pt idx="30">
                  <c:v>26.23165552670001</c:v>
                </c:pt>
                <c:pt idx="31">
                  <c:v>19.27590338169999</c:v>
                </c:pt>
                <c:pt idx="32">
                  <c:v>11.99925725420001</c:v>
                </c:pt>
                <c:pt idx="33">
                  <c:v>2.3244422682000021</c:v>
                </c:pt>
                <c:pt idx="34">
                  <c:v>-6.792992597299996</c:v>
                </c:pt>
                <c:pt idx="35">
                  <c:v>-0.66720078020000562</c:v>
                </c:pt>
                <c:pt idx="36">
                  <c:v>3.3819679486000087</c:v>
                </c:pt>
              </c:numCache>
            </c:numRef>
          </c:val>
          <c:smooth val="0"/>
          <c:extLst>
            <c:ext xmlns:c16="http://schemas.microsoft.com/office/drawing/2014/chart" uri="{C3380CC4-5D6E-409C-BE32-E72D297353CC}">
              <c16:uniqueId val="{00000001-7D66-47AE-A710-51EF9E521606}"/>
            </c:ext>
          </c:extLst>
        </c:ser>
        <c:dLbls>
          <c:showLegendKey val="0"/>
          <c:showVal val="0"/>
          <c:showCatName val="0"/>
          <c:showSerName val="0"/>
          <c:showPercent val="0"/>
          <c:showBubbleSize val="0"/>
        </c:dLbls>
        <c:marker val="1"/>
        <c:smooth val="0"/>
        <c:axId val="51253248"/>
        <c:axId val="51255168"/>
      </c:lineChart>
      <c:lineChart>
        <c:grouping val="standard"/>
        <c:varyColors val="0"/>
        <c:ser>
          <c:idx val="2"/>
          <c:order val="2"/>
          <c:tx>
            <c:strRef>
              <c:f>'výkonnost odvětví 2'!$A$38</c:f>
              <c:strCache>
                <c:ptCount val="1"/>
                <c:pt idx="0">
                  <c:v>Využití výrob. kapacit v průmyslu celkem</c:v>
                </c:pt>
              </c:strCache>
            </c:strRef>
          </c:tx>
          <c:spPr>
            <a:ln w="15875">
              <a:solidFill>
                <a:schemeClr val="accent6">
                  <a:lumMod val="75000"/>
                </a:schemeClr>
              </a:solidFill>
            </a:ln>
          </c:spPr>
          <c:marker>
            <c:symbol val="none"/>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2'!$R$38:$BC$38</c:f>
              <c:numCache>
                <c:formatCode>##0.0</c:formatCode>
                <c:ptCount val="38"/>
                <c:pt idx="0">
                  <c:v>85.6</c:v>
                </c:pt>
                <c:pt idx="1">
                  <c:v>85.1</c:v>
                </c:pt>
                <c:pt idx="2">
                  <c:v>84.9</c:v>
                </c:pt>
                <c:pt idx="3">
                  <c:v>84.3</c:v>
                </c:pt>
                <c:pt idx="4">
                  <c:v>84</c:v>
                </c:pt>
                <c:pt idx="5">
                  <c:v>85.2</c:v>
                </c:pt>
                <c:pt idx="6">
                  <c:v>84</c:v>
                </c:pt>
                <c:pt idx="7">
                  <c:v>84.8</c:v>
                </c:pt>
                <c:pt idx="8">
                  <c:v>84.7</c:v>
                </c:pt>
                <c:pt idx="9">
                  <c:v>83.7</c:v>
                </c:pt>
                <c:pt idx="10">
                  <c:v>83.8</c:v>
                </c:pt>
                <c:pt idx="11">
                  <c:v>84.4</c:v>
                </c:pt>
                <c:pt idx="12">
                  <c:v>85.33</c:v>
                </c:pt>
                <c:pt idx="13">
                  <c:v>84.89</c:v>
                </c:pt>
                <c:pt idx="14">
                  <c:v>85.13</c:v>
                </c:pt>
                <c:pt idx="15">
                  <c:v>84.76</c:v>
                </c:pt>
                <c:pt idx="16">
                  <c:v>84.93</c:v>
                </c:pt>
                <c:pt idx="17">
                  <c:v>85.19</c:v>
                </c:pt>
                <c:pt idx="18">
                  <c:v>83.6</c:v>
                </c:pt>
                <c:pt idx="19">
                  <c:v>83.7</c:v>
                </c:pt>
                <c:pt idx="20">
                  <c:v>84.2</c:v>
                </c:pt>
                <c:pt idx="21">
                  <c:v>70.400000000000006</c:v>
                </c:pt>
                <c:pt idx="22">
                  <c:v>76.3</c:v>
                </c:pt>
                <c:pt idx="23">
                  <c:v>82.7</c:v>
                </c:pt>
                <c:pt idx="24">
                  <c:v>85.8</c:v>
                </c:pt>
                <c:pt idx="25">
                  <c:v>84.4</c:v>
                </c:pt>
                <c:pt idx="26">
                  <c:v>86.410000000000025</c:v>
                </c:pt>
                <c:pt idx="27">
                  <c:v>77.599999999999994</c:v>
                </c:pt>
                <c:pt idx="28">
                  <c:v>83.6</c:v>
                </c:pt>
                <c:pt idx="29">
                  <c:v>82.169999999999987</c:v>
                </c:pt>
                <c:pt idx="30">
                  <c:v>83.5</c:v>
                </c:pt>
                <c:pt idx="31">
                  <c:v>81.099999999999994</c:v>
                </c:pt>
                <c:pt idx="32">
                  <c:v>81.400000000000006</c:v>
                </c:pt>
                <c:pt idx="33">
                  <c:v>83.7</c:v>
                </c:pt>
                <c:pt idx="34">
                  <c:v>83.5</c:v>
                </c:pt>
                <c:pt idx="35">
                  <c:v>83.6</c:v>
                </c:pt>
                <c:pt idx="36">
                  <c:v>83.1</c:v>
                </c:pt>
                <c:pt idx="37">
                  <c:v>83</c:v>
                </c:pt>
              </c:numCache>
            </c:numRef>
          </c:val>
          <c:smooth val="0"/>
          <c:extLst>
            <c:ext xmlns:c16="http://schemas.microsoft.com/office/drawing/2014/chart" uri="{C3380CC4-5D6E-409C-BE32-E72D297353CC}">
              <c16:uniqueId val="{00000002-7D66-47AE-A710-51EF9E521606}"/>
            </c:ext>
          </c:extLst>
        </c:ser>
        <c:ser>
          <c:idx val="3"/>
          <c:order val="3"/>
          <c:tx>
            <c:strRef>
              <c:f>'výkonnost odvětví 2'!$A$39</c:f>
              <c:strCache>
                <c:ptCount val="1"/>
                <c:pt idx="0">
                  <c:v>Využití výrob. kapacit v automobil. prům.</c:v>
                </c:pt>
              </c:strCache>
            </c:strRef>
          </c:tx>
          <c:spPr>
            <a:ln w="15875">
              <a:solidFill>
                <a:schemeClr val="accent6">
                  <a:lumMod val="75000"/>
                </a:schemeClr>
              </a:solidFill>
              <a:prstDash val="sysDash"/>
            </a:ln>
          </c:spPr>
          <c:marker>
            <c:symbol val="none"/>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2'!$R$39:$BC$39</c:f>
              <c:numCache>
                <c:formatCode>##0.0</c:formatCode>
                <c:ptCount val="38"/>
                <c:pt idx="0">
                  <c:v>91.4</c:v>
                </c:pt>
                <c:pt idx="1">
                  <c:v>91.4</c:v>
                </c:pt>
                <c:pt idx="2">
                  <c:v>91.5</c:v>
                </c:pt>
                <c:pt idx="3">
                  <c:v>88.8</c:v>
                </c:pt>
                <c:pt idx="4">
                  <c:v>90.2</c:v>
                </c:pt>
                <c:pt idx="5">
                  <c:v>91.8</c:v>
                </c:pt>
                <c:pt idx="6">
                  <c:v>92.2</c:v>
                </c:pt>
                <c:pt idx="7">
                  <c:v>91.5</c:v>
                </c:pt>
                <c:pt idx="8">
                  <c:v>92.4</c:v>
                </c:pt>
                <c:pt idx="9">
                  <c:v>87.9</c:v>
                </c:pt>
                <c:pt idx="10">
                  <c:v>90.8</c:v>
                </c:pt>
                <c:pt idx="11">
                  <c:v>90.5</c:v>
                </c:pt>
                <c:pt idx="12">
                  <c:v>91.4</c:v>
                </c:pt>
                <c:pt idx="13">
                  <c:v>91.3</c:v>
                </c:pt>
                <c:pt idx="14">
                  <c:v>92.9</c:v>
                </c:pt>
                <c:pt idx="15">
                  <c:v>92.5</c:v>
                </c:pt>
                <c:pt idx="16">
                  <c:v>92.9</c:v>
                </c:pt>
                <c:pt idx="17">
                  <c:v>92.7</c:v>
                </c:pt>
                <c:pt idx="18">
                  <c:v>92.8</c:v>
                </c:pt>
                <c:pt idx="19">
                  <c:v>93</c:v>
                </c:pt>
                <c:pt idx="20">
                  <c:v>90.6</c:v>
                </c:pt>
                <c:pt idx="21">
                  <c:v>45</c:v>
                </c:pt>
                <c:pt idx="22">
                  <c:v>79.099999999999994</c:v>
                </c:pt>
                <c:pt idx="23">
                  <c:v>96.9</c:v>
                </c:pt>
                <c:pt idx="24">
                  <c:v>94.9</c:v>
                </c:pt>
                <c:pt idx="25">
                  <c:v>89.6</c:v>
                </c:pt>
                <c:pt idx="26">
                  <c:v>95.3</c:v>
                </c:pt>
                <c:pt idx="27">
                  <c:v>55.8</c:v>
                </c:pt>
                <c:pt idx="28">
                  <c:v>84.5</c:v>
                </c:pt>
                <c:pt idx="29">
                  <c:v>76.7</c:v>
                </c:pt>
                <c:pt idx="30">
                  <c:v>79</c:v>
                </c:pt>
                <c:pt idx="31">
                  <c:v>74.099999999999994</c:v>
                </c:pt>
                <c:pt idx="32">
                  <c:v>79.400000000000006</c:v>
                </c:pt>
                <c:pt idx="33">
                  <c:v>92.7</c:v>
                </c:pt>
                <c:pt idx="34">
                  <c:v>92.2</c:v>
                </c:pt>
                <c:pt idx="35">
                  <c:v>92.2</c:v>
                </c:pt>
                <c:pt idx="36">
                  <c:v>92.7</c:v>
                </c:pt>
                <c:pt idx="37">
                  <c:v>93.5</c:v>
                </c:pt>
              </c:numCache>
            </c:numRef>
          </c:val>
          <c:smooth val="0"/>
          <c:extLst>
            <c:ext xmlns:c16="http://schemas.microsoft.com/office/drawing/2014/chart" uri="{C3380CC4-5D6E-409C-BE32-E72D297353CC}">
              <c16:uniqueId val="{00000003-7D66-47AE-A710-51EF9E521606}"/>
            </c:ext>
          </c:extLst>
        </c:ser>
        <c:ser>
          <c:idx val="4"/>
          <c:order val="4"/>
          <c:tx>
            <c:strRef>
              <c:f>'výkonnost odvětví 2'!$A$40</c:f>
              <c:strCache>
                <c:ptCount val="1"/>
                <c:pt idx="0">
                  <c:v>Bariéra růstu: nedostatečná poptávka</c:v>
                </c:pt>
              </c:strCache>
            </c:strRef>
          </c:tx>
          <c:spPr>
            <a:ln w="15875">
              <a:solidFill>
                <a:srgbClr val="00B050"/>
              </a:solidFill>
              <a:prstDash val="solid"/>
            </a:ln>
          </c:spPr>
          <c:marker>
            <c:symbol val="none"/>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2'!$R$40:$BC$40</c:f>
              <c:numCache>
                <c:formatCode>#\ ##0.0</c:formatCode>
                <c:ptCount val="38"/>
                <c:pt idx="0">
                  <c:v>45.3</c:v>
                </c:pt>
                <c:pt idx="1">
                  <c:v>49.6</c:v>
                </c:pt>
                <c:pt idx="2">
                  <c:v>49.7</c:v>
                </c:pt>
                <c:pt idx="3">
                  <c:v>46.4</c:v>
                </c:pt>
                <c:pt idx="4">
                  <c:v>45.9</c:v>
                </c:pt>
                <c:pt idx="5">
                  <c:v>44.6</c:v>
                </c:pt>
                <c:pt idx="6">
                  <c:v>43.8</c:v>
                </c:pt>
                <c:pt idx="7">
                  <c:v>42.9</c:v>
                </c:pt>
                <c:pt idx="8">
                  <c:v>42.7</c:v>
                </c:pt>
                <c:pt idx="9">
                  <c:v>41</c:v>
                </c:pt>
                <c:pt idx="10">
                  <c:v>41.2</c:v>
                </c:pt>
                <c:pt idx="11">
                  <c:v>35.800000000000004</c:v>
                </c:pt>
                <c:pt idx="12">
                  <c:v>35.4</c:v>
                </c:pt>
                <c:pt idx="13">
                  <c:v>36.300000000000004</c:v>
                </c:pt>
                <c:pt idx="14">
                  <c:v>32.4</c:v>
                </c:pt>
                <c:pt idx="15">
                  <c:v>32.9</c:v>
                </c:pt>
                <c:pt idx="16">
                  <c:v>33.800000000000004</c:v>
                </c:pt>
                <c:pt idx="17">
                  <c:v>36.200000000000003</c:v>
                </c:pt>
                <c:pt idx="18">
                  <c:v>41</c:v>
                </c:pt>
                <c:pt idx="19">
                  <c:v>47.1</c:v>
                </c:pt>
                <c:pt idx="20">
                  <c:v>49.8</c:v>
                </c:pt>
                <c:pt idx="21">
                  <c:v>58.8</c:v>
                </c:pt>
                <c:pt idx="22">
                  <c:v>63</c:v>
                </c:pt>
                <c:pt idx="23">
                  <c:v>44.4</c:v>
                </c:pt>
                <c:pt idx="24">
                  <c:v>46.9</c:v>
                </c:pt>
                <c:pt idx="25">
                  <c:v>38.700000000000003</c:v>
                </c:pt>
                <c:pt idx="26">
                  <c:v>25.4</c:v>
                </c:pt>
                <c:pt idx="27">
                  <c:v>27.9</c:v>
                </c:pt>
                <c:pt idx="28">
                  <c:v>29.9</c:v>
                </c:pt>
                <c:pt idx="29">
                  <c:v>21.3</c:v>
                </c:pt>
                <c:pt idx="30">
                  <c:v>18.7</c:v>
                </c:pt>
                <c:pt idx="31">
                  <c:v>29.4</c:v>
                </c:pt>
                <c:pt idx="32">
                  <c:v>42.5</c:v>
                </c:pt>
                <c:pt idx="33">
                  <c:v>42</c:v>
                </c:pt>
                <c:pt idx="34">
                  <c:v>44.3</c:v>
                </c:pt>
                <c:pt idx="35">
                  <c:v>46.2</c:v>
                </c:pt>
                <c:pt idx="36">
                  <c:v>47.5</c:v>
                </c:pt>
                <c:pt idx="37">
                  <c:v>49.8</c:v>
                </c:pt>
              </c:numCache>
            </c:numRef>
          </c:val>
          <c:smooth val="0"/>
          <c:extLst>
            <c:ext xmlns:c16="http://schemas.microsoft.com/office/drawing/2014/chart" uri="{C3380CC4-5D6E-409C-BE32-E72D297353CC}">
              <c16:uniqueId val="{00000004-7D66-47AE-A710-51EF9E521606}"/>
            </c:ext>
          </c:extLst>
        </c:ser>
        <c:ser>
          <c:idx val="5"/>
          <c:order val="5"/>
          <c:tx>
            <c:strRef>
              <c:f>'výkonnost odvětví 2'!$A$41</c:f>
              <c:strCache>
                <c:ptCount val="1"/>
                <c:pt idx="0">
                  <c:v>Bariéra růstu: nedostatek pracovníků</c:v>
                </c:pt>
              </c:strCache>
            </c:strRef>
          </c:tx>
          <c:spPr>
            <a:ln w="15875">
              <a:solidFill>
                <a:srgbClr val="6FE772"/>
              </a:solidFill>
              <a:prstDash val="solid"/>
            </a:ln>
          </c:spPr>
          <c:marker>
            <c:symbol val="none"/>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2'!$R$41:$BC$41</c:f>
              <c:numCache>
                <c:formatCode>#\ ##0.0</c:formatCode>
                <c:ptCount val="38"/>
                <c:pt idx="0">
                  <c:v>6.1</c:v>
                </c:pt>
                <c:pt idx="1">
                  <c:v>6.9</c:v>
                </c:pt>
                <c:pt idx="2">
                  <c:v>8.7000000000000011</c:v>
                </c:pt>
                <c:pt idx="3">
                  <c:v>14</c:v>
                </c:pt>
                <c:pt idx="4">
                  <c:v>14.8</c:v>
                </c:pt>
                <c:pt idx="5">
                  <c:v>16.5</c:v>
                </c:pt>
                <c:pt idx="6">
                  <c:v>18.899999999999999</c:v>
                </c:pt>
                <c:pt idx="7">
                  <c:v>30.1</c:v>
                </c:pt>
                <c:pt idx="8">
                  <c:v>32.700000000000003</c:v>
                </c:pt>
                <c:pt idx="9">
                  <c:v>33.5</c:v>
                </c:pt>
                <c:pt idx="10">
                  <c:v>40.5</c:v>
                </c:pt>
                <c:pt idx="11">
                  <c:v>38.700000000000003</c:v>
                </c:pt>
                <c:pt idx="12">
                  <c:v>43.5</c:v>
                </c:pt>
                <c:pt idx="13">
                  <c:v>42.3</c:v>
                </c:pt>
                <c:pt idx="14">
                  <c:v>43.2</c:v>
                </c:pt>
                <c:pt idx="15">
                  <c:v>46.3</c:v>
                </c:pt>
                <c:pt idx="16">
                  <c:v>39</c:v>
                </c:pt>
                <c:pt idx="17">
                  <c:v>35.1</c:v>
                </c:pt>
                <c:pt idx="18">
                  <c:v>40.200000000000003</c:v>
                </c:pt>
                <c:pt idx="19">
                  <c:v>39.200000000000003</c:v>
                </c:pt>
                <c:pt idx="20">
                  <c:v>27.7</c:v>
                </c:pt>
                <c:pt idx="21">
                  <c:v>13.5</c:v>
                </c:pt>
                <c:pt idx="22">
                  <c:v>16.7</c:v>
                </c:pt>
                <c:pt idx="23">
                  <c:v>17.600000000000001</c:v>
                </c:pt>
                <c:pt idx="24">
                  <c:v>22</c:v>
                </c:pt>
                <c:pt idx="25">
                  <c:v>18.399999999999999</c:v>
                </c:pt>
                <c:pt idx="26">
                  <c:v>27.6</c:v>
                </c:pt>
                <c:pt idx="27">
                  <c:v>22.6</c:v>
                </c:pt>
                <c:pt idx="28">
                  <c:v>24.9</c:v>
                </c:pt>
                <c:pt idx="29">
                  <c:v>18.600000000000001</c:v>
                </c:pt>
                <c:pt idx="30">
                  <c:v>26.1</c:v>
                </c:pt>
                <c:pt idx="31">
                  <c:v>24.9</c:v>
                </c:pt>
                <c:pt idx="32">
                  <c:v>16.600000000000001</c:v>
                </c:pt>
                <c:pt idx="33">
                  <c:v>20.6</c:v>
                </c:pt>
                <c:pt idx="34">
                  <c:v>18.899999999999999</c:v>
                </c:pt>
                <c:pt idx="35">
                  <c:v>22.5</c:v>
                </c:pt>
                <c:pt idx="36">
                  <c:v>14.6</c:v>
                </c:pt>
                <c:pt idx="37">
                  <c:v>11.8</c:v>
                </c:pt>
              </c:numCache>
            </c:numRef>
          </c:val>
          <c:smooth val="0"/>
          <c:extLst>
            <c:ext xmlns:c16="http://schemas.microsoft.com/office/drawing/2014/chart" uri="{C3380CC4-5D6E-409C-BE32-E72D297353CC}">
              <c16:uniqueId val="{00000005-7D66-47AE-A710-51EF9E521606}"/>
            </c:ext>
          </c:extLst>
        </c:ser>
        <c:ser>
          <c:idx val="6"/>
          <c:order val="6"/>
          <c:tx>
            <c:strRef>
              <c:f>'výkonnost odvětví 2'!$A$42</c:f>
              <c:strCache>
                <c:ptCount val="1"/>
                <c:pt idx="0">
                  <c:v>Bariéra růstu: nedost. materiálu a zařízení</c:v>
                </c:pt>
              </c:strCache>
            </c:strRef>
          </c:tx>
          <c:spPr>
            <a:ln w="15875">
              <a:solidFill>
                <a:schemeClr val="accent3">
                  <a:lumMod val="75000"/>
                </a:schemeClr>
              </a:solidFill>
              <a:prstDash val="dash"/>
            </a:ln>
          </c:spPr>
          <c:marker>
            <c:symbol val="none"/>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2'!$R$42:$BC$42</c:f>
              <c:numCache>
                <c:formatCode>#\ ##0.0</c:formatCode>
                <c:ptCount val="38"/>
                <c:pt idx="0">
                  <c:v>5.9</c:v>
                </c:pt>
                <c:pt idx="1">
                  <c:v>11.3</c:v>
                </c:pt>
                <c:pt idx="2">
                  <c:v>10</c:v>
                </c:pt>
                <c:pt idx="3">
                  <c:v>9.9</c:v>
                </c:pt>
                <c:pt idx="4">
                  <c:v>8.9</c:v>
                </c:pt>
                <c:pt idx="5">
                  <c:v>7.7</c:v>
                </c:pt>
                <c:pt idx="6">
                  <c:v>8.9</c:v>
                </c:pt>
                <c:pt idx="7">
                  <c:v>8.5</c:v>
                </c:pt>
                <c:pt idx="8">
                  <c:v>8.8000000000000007</c:v>
                </c:pt>
                <c:pt idx="9">
                  <c:v>8.3000000000000007</c:v>
                </c:pt>
                <c:pt idx="10">
                  <c:v>10.9</c:v>
                </c:pt>
                <c:pt idx="11">
                  <c:v>22.7</c:v>
                </c:pt>
                <c:pt idx="12">
                  <c:v>11.9</c:v>
                </c:pt>
                <c:pt idx="13">
                  <c:v>11.7</c:v>
                </c:pt>
                <c:pt idx="14">
                  <c:v>13.9</c:v>
                </c:pt>
                <c:pt idx="15">
                  <c:v>23.5</c:v>
                </c:pt>
                <c:pt idx="16">
                  <c:v>26.4</c:v>
                </c:pt>
                <c:pt idx="17">
                  <c:v>24.7</c:v>
                </c:pt>
                <c:pt idx="18">
                  <c:v>22</c:v>
                </c:pt>
                <c:pt idx="19">
                  <c:v>10.5</c:v>
                </c:pt>
                <c:pt idx="20">
                  <c:v>17.899999999999999</c:v>
                </c:pt>
                <c:pt idx="21">
                  <c:v>10.200000000000001</c:v>
                </c:pt>
                <c:pt idx="22">
                  <c:v>6.7</c:v>
                </c:pt>
                <c:pt idx="23">
                  <c:v>10.9</c:v>
                </c:pt>
                <c:pt idx="24">
                  <c:v>23.1</c:v>
                </c:pt>
                <c:pt idx="25">
                  <c:v>32.1</c:v>
                </c:pt>
                <c:pt idx="26">
                  <c:v>45.9</c:v>
                </c:pt>
                <c:pt idx="27">
                  <c:v>41.2</c:v>
                </c:pt>
                <c:pt idx="28">
                  <c:v>39.300000000000004</c:v>
                </c:pt>
                <c:pt idx="29">
                  <c:v>47.8</c:v>
                </c:pt>
                <c:pt idx="30">
                  <c:v>53.4</c:v>
                </c:pt>
                <c:pt idx="31">
                  <c:v>46.4</c:v>
                </c:pt>
                <c:pt idx="32">
                  <c:v>37.4</c:v>
                </c:pt>
                <c:pt idx="33">
                  <c:v>32.5</c:v>
                </c:pt>
                <c:pt idx="34">
                  <c:v>20.6</c:v>
                </c:pt>
                <c:pt idx="35">
                  <c:v>17.100000000000001</c:v>
                </c:pt>
                <c:pt idx="36">
                  <c:v>32.700000000000003</c:v>
                </c:pt>
                <c:pt idx="37">
                  <c:v>28.1</c:v>
                </c:pt>
              </c:numCache>
            </c:numRef>
          </c:val>
          <c:smooth val="0"/>
          <c:extLst>
            <c:ext xmlns:c16="http://schemas.microsoft.com/office/drawing/2014/chart" uri="{C3380CC4-5D6E-409C-BE32-E72D297353CC}">
              <c16:uniqueId val="{00000006-7D66-47AE-A710-51EF9E521606}"/>
            </c:ext>
          </c:extLst>
        </c:ser>
        <c:ser>
          <c:idx val="7"/>
          <c:order val="7"/>
          <c:tx>
            <c:strRef>
              <c:f>'výkonnost odvětví 2'!$A$43</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2'!$R$43:$BC$43</c:f>
              <c:numCache>
                <c:formatCode>#\ ##0.0</c:formatCode>
                <c:ptCount val="38"/>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0.30000000000000021</c:v>
                </c:pt>
                <c:pt idx="17">
                  <c:v>-2</c:v>
                </c:pt>
                <c:pt idx="18">
                  <c:v>-3</c:v>
                </c:pt>
                <c:pt idx="19">
                  <c:v>-6.7</c:v>
                </c:pt>
                <c:pt idx="20">
                  <c:v>-5</c:v>
                </c:pt>
                <c:pt idx="21">
                  <c:v>-25</c:v>
                </c:pt>
                <c:pt idx="22">
                  <c:v>-6.3</c:v>
                </c:pt>
                <c:pt idx="23">
                  <c:v>-10</c:v>
                </c:pt>
                <c:pt idx="24">
                  <c:v>-1.3</c:v>
                </c:pt>
                <c:pt idx="25">
                  <c:v>5.3</c:v>
                </c:pt>
                <c:pt idx="26">
                  <c:v>-1.3</c:v>
                </c:pt>
                <c:pt idx="27">
                  <c:v>-5.3</c:v>
                </c:pt>
                <c:pt idx="28">
                  <c:v>-0.30000000000000021</c:v>
                </c:pt>
                <c:pt idx="29">
                  <c:v>8.3000000000000007</c:v>
                </c:pt>
                <c:pt idx="30">
                  <c:v>-1.7</c:v>
                </c:pt>
                <c:pt idx="31">
                  <c:v>-8.3000000000000007</c:v>
                </c:pt>
                <c:pt idx="32">
                  <c:v>-10.1</c:v>
                </c:pt>
                <c:pt idx="33">
                  <c:v>-7</c:v>
                </c:pt>
                <c:pt idx="34">
                  <c:v>-7</c:v>
                </c:pt>
                <c:pt idx="35">
                  <c:v>-6</c:v>
                </c:pt>
                <c:pt idx="36">
                  <c:v>-14</c:v>
                </c:pt>
                <c:pt idx="37">
                  <c:v>-8.7000000000000011</c:v>
                </c:pt>
              </c:numCache>
            </c:numRef>
          </c:val>
          <c:smooth val="0"/>
          <c:extLst>
            <c:ext xmlns:c16="http://schemas.microsoft.com/office/drawing/2014/chart" uri="{C3380CC4-5D6E-409C-BE32-E72D297353CC}">
              <c16:uniqueId val="{00000007-7D66-47AE-A710-51EF9E521606}"/>
            </c:ext>
          </c:extLst>
        </c:ser>
        <c:dLbls>
          <c:showLegendKey val="0"/>
          <c:showVal val="0"/>
          <c:showCatName val="0"/>
          <c:showSerName val="0"/>
          <c:showPercent val="0"/>
          <c:showBubbleSize val="0"/>
        </c:dLbls>
        <c:marker val="1"/>
        <c:smooth val="0"/>
        <c:axId val="51263360"/>
        <c:axId val="51261440"/>
      </c:lineChart>
      <c:catAx>
        <c:axId val="51253248"/>
        <c:scaling>
          <c:orientation val="minMax"/>
        </c:scaling>
        <c:delete val="0"/>
        <c:axPos val="b"/>
        <c:numFmt formatCode="General" sourceLinked="1"/>
        <c:majorTickMark val="out"/>
        <c:minorTickMark val="none"/>
        <c:tickLblPos val="low"/>
        <c:crossAx val="51255168"/>
        <c:crosses val="autoZero"/>
        <c:auto val="1"/>
        <c:lblAlgn val="ctr"/>
        <c:lblOffset val="0"/>
        <c:noMultiLvlLbl val="0"/>
      </c:catAx>
      <c:valAx>
        <c:axId val="51255168"/>
        <c:scaling>
          <c:orientation val="minMax"/>
          <c:max val="90"/>
          <c:min val="-40"/>
        </c:scaling>
        <c:delete val="0"/>
        <c:axPos val="l"/>
        <c:majorGridlines>
          <c:spPr>
            <a:ln>
              <a:solidFill>
                <a:srgbClr val="BEBEBE"/>
              </a:solidFill>
            </a:ln>
          </c:spPr>
        </c:majorGridlines>
        <c:title>
          <c:tx>
            <c:rich>
              <a:bodyPr/>
              <a:lstStyle/>
              <a:p>
                <a:pPr>
                  <a:defRPr sz="700" b="0" i="1"/>
                </a:pPr>
                <a:r>
                  <a:rPr lang="cs-CZ" sz="700" b="0" i="1"/>
                  <a:t>Zakázky</a:t>
                </a:r>
              </a:p>
            </c:rich>
          </c:tx>
          <c:layout/>
          <c:overlay val="0"/>
        </c:title>
        <c:numFmt formatCode="0" sourceLinked="0"/>
        <c:majorTickMark val="out"/>
        <c:minorTickMark val="none"/>
        <c:tickLblPos val="nextTo"/>
        <c:crossAx val="51253248"/>
        <c:crosses val="autoZero"/>
        <c:crossBetween val="between"/>
        <c:majorUnit val="10"/>
      </c:valAx>
      <c:valAx>
        <c:axId val="51261440"/>
        <c:scaling>
          <c:orientation val="minMax"/>
          <c:max val="10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a:t>Využití výrob.</a:t>
                </a:r>
                <a:r>
                  <a:rPr lang="cs-CZ" sz="700" b="0" i="1" baseline="0"/>
                  <a:t> </a:t>
                </a:r>
                <a:r>
                  <a:rPr lang="cs-CZ" sz="700" b="0" i="1"/>
                  <a:t>kapacit, bariéry růstu, </a:t>
                </a:r>
                <a:r>
                  <a:rPr lang="cs-CZ" sz="700" b="0" i="1" baseline="0">
                    <a:effectLst/>
                  </a:rPr>
                  <a:t>saldo důvěry</a:t>
                </a:r>
                <a:endParaRPr lang="cs-CZ" sz="700" i="1">
                  <a:effectLst/>
                </a:endParaRPr>
              </a:p>
            </c:rich>
          </c:tx>
          <c:layout/>
          <c:overlay val="0"/>
        </c:title>
        <c:numFmt formatCode="#,##0" sourceLinked="0"/>
        <c:majorTickMark val="out"/>
        <c:minorTickMark val="none"/>
        <c:tickLblPos val="nextTo"/>
        <c:crossAx val="51263360"/>
        <c:crosses val="max"/>
        <c:crossBetween val="between"/>
        <c:majorUnit val="10"/>
      </c:valAx>
      <c:catAx>
        <c:axId val="51263360"/>
        <c:scaling>
          <c:orientation val="minMax"/>
        </c:scaling>
        <c:delete val="1"/>
        <c:axPos val="b"/>
        <c:numFmt formatCode="General" sourceLinked="1"/>
        <c:majorTickMark val="out"/>
        <c:minorTickMark val="none"/>
        <c:tickLblPos val="none"/>
        <c:crossAx val="51261440"/>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0624233317307999E-3"/>
          <c:y val="0.85586448957034"/>
          <c:w val="0.98943298357870757"/>
          <c:h val="0.14063307954958187"/>
        </c:manualLayout>
      </c:layout>
      <c:overlay val="0"/>
      <c:spPr>
        <a:ln w="6350">
          <a:solidFill>
            <a:prstClr val="black">
              <a:lumMod val="95000"/>
              <a:lumOff val="5000"/>
            </a:prstClr>
          </a:solidFill>
        </a:ln>
      </c:spPr>
      <c:txPr>
        <a:bodyPr/>
        <a:lstStyle/>
        <a:p>
          <a:pPr>
            <a:defRPr sz="78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95346289980299E-2"/>
          <c:y val="1.5663550999370293E-2"/>
          <c:w val="0.85237839893753009"/>
          <c:h val="0.75413191483370401"/>
        </c:manualLayout>
      </c:layout>
      <c:barChart>
        <c:barDir val="col"/>
        <c:grouping val="stacked"/>
        <c:varyColors val="0"/>
        <c:ser>
          <c:idx val="1"/>
          <c:order val="1"/>
          <c:tx>
            <c:strRef>
              <c:f>'výkonnost odvětví 3'!$Y$10</c:f>
              <c:strCache>
                <c:ptCount val="1"/>
                <c:pt idx="0">
                  <c:v>Pozemní stavitelství (příspěvek v p. b.)</c:v>
                </c:pt>
              </c:strCache>
            </c:strRef>
          </c:tx>
          <c:spPr>
            <a:solidFill>
              <a:schemeClr val="accent5">
                <a:lumMod val="60000"/>
                <a:lumOff val="40000"/>
              </a:schemeClr>
            </a:solidFill>
            <a:ln>
              <a:noFill/>
            </a:ln>
          </c:spPr>
          <c:invertIfNegative val="0"/>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3'!$Y$31:$Y$68</c:f>
              <c:numCache>
                <c:formatCode>0.0</c:formatCode>
                <c:ptCount val="38"/>
                <c:pt idx="0">
                  <c:v>5.7487165794114397</c:v>
                </c:pt>
                <c:pt idx="1">
                  <c:v>4.7489923277143404</c:v>
                </c:pt>
                <c:pt idx="2">
                  <c:v>0.72860376801438365</c:v>
                </c:pt>
                <c:pt idx="3">
                  <c:v>-1.5997494872130953</c:v>
                </c:pt>
                <c:pt idx="4">
                  <c:v>-4.5800585311347017</c:v>
                </c:pt>
                <c:pt idx="5">
                  <c:v>-4.8364432126044239</c:v>
                </c:pt>
                <c:pt idx="6">
                  <c:v>0.76734536322152425</c:v>
                </c:pt>
                <c:pt idx="7">
                  <c:v>3.5913890122868475</c:v>
                </c:pt>
                <c:pt idx="8">
                  <c:v>1.8184391409963199</c:v>
                </c:pt>
                <c:pt idx="9">
                  <c:v>9.5161866462127662</c:v>
                </c:pt>
                <c:pt idx="10">
                  <c:v>3.2650480956647066</c:v>
                </c:pt>
                <c:pt idx="11">
                  <c:v>2.30805126241866</c:v>
                </c:pt>
                <c:pt idx="12">
                  <c:v>13.039459362857244</c:v>
                </c:pt>
                <c:pt idx="13">
                  <c:v>5.6850806062932717</c:v>
                </c:pt>
                <c:pt idx="14">
                  <c:v>7.0360284655916923</c:v>
                </c:pt>
                <c:pt idx="15">
                  <c:v>2.3869078764089542</c:v>
                </c:pt>
                <c:pt idx="16">
                  <c:v>2.4727635166988842</c:v>
                </c:pt>
                <c:pt idx="17">
                  <c:v>2.9341574628565152</c:v>
                </c:pt>
                <c:pt idx="18">
                  <c:v>-0.6753550303781074</c:v>
                </c:pt>
                <c:pt idx="19">
                  <c:v>1.7116954805541662</c:v>
                </c:pt>
                <c:pt idx="20">
                  <c:v>-0.69584807703082363</c:v>
                </c:pt>
                <c:pt idx="21">
                  <c:v>-7.7523651483361782</c:v>
                </c:pt>
                <c:pt idx="22">
                  <c:v>-7.074621981571819</c:v>
                </c:pt>
                <c:pt idx="23">
                  <c:v>-7.741231463634846</c:v>
                </c:pt>
                <c:pt idx="24">
                  <c:v>-5.0608468514412257</c:v>
                </c:pt>
                <c:pt idx="25">
                  <c:v>2.4768230363731649</c:v>
                </c:pt>
                <c:pt idx="26">
                  <c:v>2.6990968150530947</c:v>
                </c:pt>
                <c:pt idx="27">
                  <c:v>5.3969249017667451</c:v>
                </c:pt>
                <c:pt idx="28">
                  <c:v>7.2737310053510891</c:v>
                </c:pt>
                <c:pt idx="29">
                  <c:v>3.5237961194829945</c:v>
                </c:pt>
                <c:pt idx="30">
                  <c:v>-0.75999685147790641</c:v>
                </c:pt>
                <c:pt idx="31">
                  <c:v>-1.4553574090888401</c:v>
                </c:pt>
                <c:pt idx="32">
                  <c:v>2.0915814833108701</c:v>
                </c:pt>
                <c:pt idx="33">
                  <c:v>-1.8181576741136856</c:v>
                </c:pt>
                <c:pt idx="34">
                  <c:v>-0.45758129589428354</c:v>
                </c:pt>
                <c:pt idx="35">
                  <c:v>-2.3431263743753616</c:v>
                </c:pt>
                <c:pt idx="36">
                  <c:v>-5.6136225493462417</c:v>
                </c:pt>
              </c:numCache>
            </c:numRef>
          </c:val>
          <c:extLst>
            <c:ext xmlns:c16="http://schemas.microsoft.com/office/drawing/2014/chart" uri="{C3380CC4-5D6E-409C-BE32-E72D297353CC}">
              <c16:uniqueId val="{00000000-AB72-456C-9B3B-EF831BC714C4}"/>
            </c:ext>
          </c:extLst>
        </c:ser>
        <c:ser>
          <c:idx val="2"/>
          <c:order val="2"/>
          <c:tx>
            <c:strRef>
              <c:f>'výkonnost odvětví 3'!$Z$10</c:f>
              <c:strCache>
                <c:ptCount val="1"/>
                <c:pt idx="0">
                  <c:v>Inženýrské stavitelství (příspěvek v p. b.)</c:v>
                </c:pt>
              </c:strCache>
            </c:strRef>
          </c:tx>
          <c:spPr>
            <a:solidFill>
              <a:schemeClr val="accent2">
                <a:lumMod val="60000"/>
                <a:lumOff val="40000"/>
              </a:schemeClr>
            </a:solidFill>
            <a:ln>
              <a:noFill/>
            </a:ln>
          </c:spPr>
          <c:invertIfNegative val="0"/>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3'!$Z$31:$Z$68</c:f>
              <c:numCache>
                <c:formatCode>0.0</c:formatCode>
                <c:ptCount val="38"/>
                <c:pt idx="0">
                  <c:v>3.8654453061663481</c:v>
                </c:pt>
                <c:pt idx="1">
                  <c:v>8.4074328223660544</c:v>
                </c:pt>
                <c:pt idx="2">
                  <c:v>8.536513170572011</c:v>
                </c:pt>
                <c:pt idx="3">
                  <c:v>3.3830353457973699</c:v>
                </c:pt>
                <c:pt idx="4">
                  <c:v>-1.4655710356774874</c:v>
                </c:pt>
                <c:pt idx="5">
                  <c:v>-6.4494987337786842</c:v>
                </c:pt>
                <c:pt idx="6">
                  <c:v>-8.0288007564184181</c:v>
                </c:pt>
                <c:pt idx="7">
                  <c:v>-6.8710829128275535</c:v>
                </c:pt>
                <c:pt idx="8">
                  <c:v>-4.1473356084740605</c:v>
                </c:pt>
                <c:pt idx="9">
                  <c:v>-1.1362269417632556</c:v>
                </c:pt>
                <c:pt idx="10">
                  <c:v>-1.699769491744973</c:v>
                </c:pt>
                <c:pt idx="11">
                  <c:v>0.18912136047288941</c:v>
                </c:pt>
                <c:pt idx="12">
                  <c:v>2.3138551611840659</c:v>
                </c:pt>
                <c:pt idx="13">
                  <c:v>1.4433818342413161</c:v>
                </c:pt>
                <c:pt idx="14">
                  <c:v>5.805340800033207</c:v>
                </c:pt>
                <c:pt idx="15">
                  <c:v>2.0257219814852485</c:v>
                </c:pt>
                <c:pt idx="16">
                  <c:v>2.8832113797347176</c:v>
                </c:pt>
                <c:pt idx="17">
                  <c:v>2.2916559515195787</c:v>
                </c:pt>
                <c:pt idx="18">
                  <c:v>0.12751036500530571</c:v>
                </c:pt>
                <c:pt idx="19">
                  <c:v>0.80716183036284461</c:v>
                </c:pt>
                <c:pt idx="20">
                  <c:v>2.6239699221333552</c:v>
                </c:pt>
                <c:pt idx="21">
                  <c:v>0.26317252359280224</c:v>
                </c:pt>
                <c:pt idx="22">
                  <c:v>-3.3347591135837229</c:v>
                </c:pt>
                <c:pt idx="23">
                  <c:v>-0.42839192125115338</c:v>
                </c:pt>
                <c:pt idx="24">
                  <c:v>-0.4019516923439973</c:v>
                </c:pt>
                <c:pt idx="25">
                  <c:v>1.8460547318025109</c:v>
                </c:pt>
                <c:pt idx="26">
                  <c:v>0.52867626749141472</c:v>
                </c:pt>
                <c:pt idx="27">
                  <c:v>-1.0607060377737123</c:v>
                </c:pt>
                <c:pt idx="28">
                  <c:v>5.3445506219243502</c:v>
                </c:pt>
                <c:pt idx="29">
                  <c:v>1.3465758507403545</c:v>
                </c:pt>
                <c:pt idx="30">
                  <c:v>0.66633125241468127</c:v>
                </c:pt>
                <c:pt idx="31">
                  <c:v>1.4288913609261344</c:v>
                </c:pt>
                <c:pt idx="32">
                  <c:v>-3.8469190303451586</c:v>
                </c:pt>
                <c:pt idx="33">
                  <c:v>-2.3406735163185726</c:v>
                </c:pt>
                <c:pt idx="34">
                  <c:v>-0.11725795568868536</c:v>
                </c:pt>
                <c:pt idx="35">
                  <c:v>-0.57306872896483141</c:v>
                </c:pt>
                <c:pt idx="36">
                  <c:v>1.2680052606833481</c:v>
                </c:pt>
              </c:numCache>
            </c:numRef>
          </c:val>
          <c:extLst>
            <c:ext xmlns:c16="http://schemas.microsoft.com/office/drawing/2014/chart" uri="{C3380CC4-5D6E-409C-BE32-E72D297353CC}">
              <c16:uniqueId val="{00000001-AB72-456C-9B3B-EF831BC714C4}"/>
            </c:ext>
          </c:extLst>
        </c:ser>
        <c:dLbls>
          <c:showLegendKey val="0"/>
          <c:showVal val="0"/>
          <c:showCatName val="0"/>
          <c:showSerName val="0"/>
          <c:showPercent val="0"/>
          <c:showBubbleSize val="0"/>
        </c:dLbls>
        <c:gapWidth val="30"/>
        <c:overlap val="100"/>
        <c:axId val="51301376"/>
        <c:axId val="51315840"/>
      </c:barChart>
      <c:lineChart>
        <c:grouping val="standard"/>
        <c:varyColors val="0"/>
        <c:ser>
          <c:idx val="0"/>
          <c:order val="0"/>
          <c:tx>
            <c:strRef>
              <c:f>'výkonnost odvětví 3'!$X$10</c:f>
              <c:strCache>
                <c:ptCount val="1"/>
                <c:pt idx="0">
                  <c:v>Celková stavební produkce</c:v>
                </c:pt>
              </c:strCache>
            </c:strRef>
          </c:tx>
          <c:spPr>
            <a:ln>
              <a:noFill/>
            </a:ln>
          </c:spPr>
          <c:marker>
            <c:symbol val="dash"/>
            <c:size val="5"/>
            <c:spPr>
              <a:solidFill>
                <a:schemeClr val="bg1"/>
              </a:solidFill>
              <a:ln>
                <a:solidFill>
                  <a:schemeClr val="tx1">
                    <a:lumMod val="95000"/>
                    <a:lumOff val="5000"/>
                  </a:schemeClr>
                </a:solidFill>
              </a:ln>
            </c:spPr>
          </c:marker>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3'!$X$31:$X$68</c:f>
              <c:numCache>
                <c:formatCode>0.0</c:formatCode>
                <c:ptCount val="38"/>
                <c:pt idx="0">
                  <c:v>9.6141618855777917</c:v>
                </c:pt>
                <c:pt idx="1">
                  <c:v>13.156425150080382</c:v>
                </c:pt>
                <c:pt idx="2">
                  <c:v>9.2651169385864094</c:v>
                </c:pt>
                <c:pt idx="3">
                  <c:v>1.7832858585842644</c:v>
                </c:pt>
                <c:pt idx="4">
                  <c:v>-6.0456295668121705</c:v>
                </c:pt>
                <c:pt idx="5">
                  <c:v>-11.28594194638309</c:v>
                </c:pt>
                <c:pt idx="6">
                  <c:v>-7.2614553931968828</c:v>
                </c:pt>
                <c:pt idx="7">
                  <c:v>-3.2796939005406931</c:v>
                </c:pt>
                <c:pt idx="8">
                  <c:v>-2.3288964674777475</c:v>
                </c:pt>
                <c:pt idx="9">
                  <c:v>8.3799597044495204</c:v>
                </c:pt>
                <c:pt idx="10">
                  <c:v>1.5652786039197224</c:v>
                </c:pt>
                <c:pt idx="11">
                  <c:v>2.4971726228915552</c:v>
                </c:pt>
                <c:pt idx="12">
                  <c:v>15.353314524041306</c:v>
                </c:pt>
                <c:pt idx="13">
                  <c:v>7.1284624405345784</c:v>
                </c:pt>
                <c:pt idx="14">
                  <c:v>12.84136926562492</c:v>
                </c:pt>
                <c:pt idx="15">
                  <c:v>4.4126298578941894</c:v>
                </c:pt>
                <c:pt idx="16">
                  <c:v>5.3559748964336045</c:v>
                </c:pt>
                <c:pt idx="17">
                  <c:v>5.2258134143760895</c:v>
                </c:pt>
                <c:pt idx="18">
                  <c:v>-0.5478446653727933</c:v>
                </c:pt>
                <c:pt idx="19">
                  <c:v>2.5188573109170278</c:v>
                </c:pt>
                <c:pt idx="20">
                  <c:v>1.9281218451025097</c:v>
                </c:pt>
                <c:pt idx="21">
                  <c:v>-7.4891926247433593</c:v>
                </c:pt>
                <c:pt idx="22">
                  <c:v>-10.409381095155553</c:v>
                </c:pt>
                <c:pt idx="23">
                  <c:v>-8.1696233848860107</c:v>
                </c:pt>
                <c:pt idx="24">
                  <c:v>-5.462798543785226</c:v>
                </c:pt>
                <c:pt idx="25">
                  <c:v>4.3228777681756831</c:v>
                </c:pt>
                <c:pt idx="26">
                  <c:v>3.2277730825444899</c:v>
                </c:pt>
                <c:pt idx="27">
                  <c:v>4.3362188639930537</c:v>
                </c:pt>
                <c:pt idx="28">
                  <c:v>12.618281627275413</c:v>
                </c:pt>
                <c:pt idx="29">
                  <c:v>4.8703719702233474</c:v>
                </c:pt>
                <c:pt idx="30">
                  <c:v>-9.3665599063214797E-2</c:v>
                </c:pt>
                <c:pt idx="31">
                  <c:v>-2.6466048162703284E-2</c:v>
                </c:pt>
                <c:pt idx="32">
                  <c:v>-1.755337547034272</c:v>
                </c:pt>
                <c:pt idx="33">
                  <c:v>-4.1588311904322808</c:v>
                </c:pt>
                <c:pt idx="34">
                  <c:v>-0.57483925158297255</c:v>
                </c:pt>
                <c:pt idx="35">
                  <c:v>-2.9161951033402129</c:v>
                </c:pt>
                <c:pt idx="36">
                  <c:v>-4.3456172886628925</c:v>
                </c:pt>
              </c:numCache>
            </c:numRef>
          </c:val>
          <c:smooth val="0"/>
          <c:extLst>
            <c:ext xmlns:c16="http://schemas.microsoft.com/office/drawing/2014/chart" uri="{C3380CC4-5D6E-409C-BE32-E72D297353CC}">
              <c16:uniqueId val="{00000002-AB72-456C-9B3B-EF831BC714C4}"/>
            </c:ext>
          </c:extLst>
        </c:ser>
        <c:ser>
          <c:idx val="3"/>
          <c:order val="3"/>
          <c:tx>
            <c:strRef>
              <c:f>'výkonnost odvětví 3'!$AA$10</c:f>
              <c:strCache>
                <c:ptCount val="1"/>
                <c:pt idx="0">
                  <c:v>Nové stavební zakázky v tuzemsku</c:v>
                </c:pt>
              </c:strCache>
            </c:strRef>
          </c:tx>
          <c:spPr>
            <a:ln w="9525">
              <a:solidFill>
                <a:srgbClr val="984807"/>
              </a:solidFill>
              <a:prstDash val="sysDot"/>
            </a:ln>
          </c:spPr>
          <c:marker>
            <c:symbol val="diamond"/>
            <c:size val="4"/>
            <c:spPr>
              <a:solidFill>
                <a:srgbClr val="996633"/>
              </a:solidFill>
              <a:ln>
                <a:solidFill>
                  <a:srgbClr val="984807"/>
                </a:solidFill>
              </a:ln>
            </c:spPr>
          </c:marker>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3'!$AA$31:$AA$68</c:f>
              <c:numCache>
                <c:formatCode>0.0</c:formatCode>
                <c:ptCount val="38"/>
                <c:pt idx="0">
                  <c:v>-3.1547956675580053</c:v>
                </c:pt>
                <c:pt idx="1">
                  <c:v>9.7504961091663276</c:v>
                </c:pt>
                <c:pt idx="2">
                  <c:v>-1.0976060227612559</c:v>
                </c:pt>
                <c:pt idx="3">
                  <c:v>-2.3987783410040464</c:v>
                </c:pt>
                <c:pt idx="4">
                  <c:v>-6.6406358945753805</c:v>
                </c:pt>
                <c:pt idx="5">
                  <c:v>-0.49977652269311085</c:v>
                </c:pt>
                <c:pt idx="6">
                  <c:v>-7.0322087253454839</c:v>
                </c:pt>
                <c:pt idx="7">
                  <c:v>10.122126124559955</c:v>
                </c:pt>
                <c:pt idx="8">
                  <c:v>16.177217458847451</c:v>
                </c:pt>
                <c:pt idx="9">
                  <c:v>9.5350878984013079</c:v>
                </c:pt>
                <c:pt idx="10">
                  <c:v>-1.2817324431350698</c:v>
                </c:pt>
                <c:pt idx="11">
                  <c:v>15.620806693503823</c:v>
                </c:pt>
                <c:pt idx="12">
                  <c:v>30.106973873688574</c:v>
                </c:pt>
                <c:pt idx="13">
                  <c:v>32.836878110611956</c:v>
                </c:pt>
                <c:pt idx="14">
                  <c:v>5.2768249907951237</c:v>
                </c:pt>
                <c:pt idx="15">
                  <c:v>1.894456581103229</c:v>
                </c:pt>
                <c:pt idx="16">
                  <c:v>14.157245632065782</c:v>
                </c:pt>
                <c:pt idx="17">
                  <c:v>-9.3849543241233224</c:v>
                </c:pt>
                <c:pt idx="18">
                  <c:v>17.407871000993993</c:v>
                </c:pt>
                <c:pt idx="19">
                  <c:v>5.8323004254463804</c:v>
                </c:pt>
                <c:pt idx="20">
                  <c:v>-12.441635069859252</c:v>
                </c:pt>
                <c:pt idx="21">
                  <c:v>7.4973457220286726</c:v>
                </c:pt>
                <c:pt idx="22">
                  <c:v>2.0599736606932861</c:v>
                </c:pt>
                <c:pt idx="23">
                  <c:v>7.5507850088630155</c:v>
                </c:pt>
                <c:pt idx="24">
                  <c:v>28.856340981154403</c:v>
                </c:pt>
                <c:pt idx="25">
                  <c:v>22.047871359987191</c:v>
                </c:pt>
                <c:pt idx="26">
                  <c:v>10.015015612184266</c:v>
                </c:pt>
                <c:pt idx="27">
                  <c:v>1.0053213537781134</c:v>
                </c:pt>
                <c:pt idx="28">
                  <c:v>13.067478460417863</c:v>
                </c:pt>
                <c:pt idx="29">
                  <c:v>17.619163607261132</c:v>
                </c:pt>
                <c:pt idx="30">
                  <c:v>12.421954480552532</c:v>
                </c:pt>
                <c:pt idx="31">
                  <c:v>13.031852753748723</c:v>
                </c:pt>
                <c:pt idx="32">
                  <c:v>-10.144501025957545</c:v>
                </c:pt>
                <c:pt idx="33">
                  <c:v>-18.697561390531927</c:v>
                </c:pt>
                <c:pt idx="34">
                  <c:v>27.51481685466289</c:v>
                </c:pt>
                <c:pt idx="35">
                  <c:v>9.3063425617587541</c:v>
                </c:pt>
                <c:pt idx="36">
                  <c:v>30.591327492018308</c:v>
                </c:pt>
              </c:numCache>
            </c:numRef>
          </c:val>
          <c:smooth val="0"/>
          <c:extLst>
            <c:ext xmlns:c16="http://schemas.microsoft.com/office/drawing/2014/chart" uri="{C3380CC4-5D6E-409C-BE32-E72D297353CC}">
              <c16:uniqueId val="{00000003-AB72-456C-9B3B-EF831BC714C4}"/>
            </c:ext>
          </c:extLst>
        </c:ser>
        <c:dLbls>
          <c:showLegendKey val="0"/>
          <c:showVal val="0"/>
          <c:showCatName val="0"/>
          <c:showSerName val="0"/>
          <c:showPercent val="0"/>
          <c:showBubbleSize val="0"/>
        </c:dLbls>
        <c:marker val="1"/>
        <c:smooth val="0"/>
        <c:axId val="51301376"/>
        <c:axId val="51315840"/>
      </c:lineChart>
      <c:lineChart>
        <c:grouping val="standard"/>
        <c:varyColors val="0"/>
        <c:ser>
          <c:idx val="4"/>
          <c:order val="4"/>
          <c:tx>
            <c:strRef>
              <c:f>'výkonnost odvětví 3'!$AB$10</c:f>
              <c:strCache>
                <c:ptCount val="1"/>
                <c:pt idx="0">
                  <c:v>Bariéra růstu: nedostatečná poptávka</c:v>
                </c:pt>
              </c:strCache>
            </c:strRef>
          </c:tx>
          <c:spPr>
            <a:ln w="15875">
              <a:solidFill>
                <a:srgbClr val="00B050"/>
              </a:solidFill>
              <a:prstDash val="solid"/>
            </a:ln>
          </c:spPr>
          <c:marker>
            <c:symbol val="none"/>
          </c:marker>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3'!$AB$31:$AB$68</c:f>
              <c:numCache>
                <c:formatCode>#\ ##0.0</c:formatCode>
                <c:ptCount val="38"/>
                <c:pt idx="0">
                  <c:v>67.3</c:v>
                </c:pt>
                <c:pt idx="1">
                  <c:v>60.7</c:v>
                </c:pt>
                <c:pt idx="2">
                  <c:v>58.6</c:v>
                </c:pt>
                <c:pt idx="3">
                  <c:v>58.2</c:v>
                </c:pt>
                <c:pt idx="4">
                  <c:v>58.5</c:v>
                </c:pt>
                <c:pt idx="5">
                  <c:v>62.6</c:v>
                </c:pt>
                <c:pt idx="6">
                  <c:v>60.3</c:v>
                </c:pt>
                <c:pt idx="7">
                  <c:v>55.7</c:v>
                </c:pt>
                <c:pt idx="8">
                  <c:v>55.7</c:v>
                </c:pt>
                <c:pt idx="9">
                  <c:v>54.8</c:v>
                </c:pt>
                <c:pt idx="10">
                  <c:v>49.1</c:v>
                </c:pt>
                <c:pt idx="11">
                  <c:v>47.1</c:v>
                </c:pt>
                <c:pt idx="12">
                  <c:v>40.1</c:v>
                </c:pt>
                <c:pt idx="13">
                  <c:v>39.4</c:v>
                </c:pt>
                <c:pt idx="14">
                  <c:v>33</c:v>
                </c:pt>
                <c:pt idx="15">
                  <c:v>23.3</c:v>
                </c:pt>
                <c:pt idx="16">
                  <c:v>26.5</c:v>
                </c:pt>
                <c:pt idx="17">
                  <c:v>26.7</c:v>
                </c:pt>
                <c:pt idx="18">
                  <c:v>18.899999999999999</c:v>
                </c:pt>
                <c:pt idx="19">
                  <c:v>19.600000000000001</c:v>
                </c:pt>
                <c:pt idx="20">
                  <c:v>31.6</c:v>
                </c:pt>
                <c:pt idx="21">
                  <c:v>31.3</c:v>
                </c:pt>
                <c:pt idx="22">
                  <c:v>38.6</c:v>
                </c:pt>
                <c:pt idx="23" formatCode="General">
                  <c:v>39.200000000000003</c:v>
                </c:pt>
                <c:pt idx="24">
                  <c:v>30.8</c:v>
                </c:pt>
                <c:pt idx="25">
                  <c:v>35.9</c:v>
                </c:pt>
                <c:pt idx="26">
                  <c:v>23.2</c:v>
                </c:pt>
                <c:pt idx="27">
                  <c:v>19.5</c:v>
                </c:pt>
                <c:pt idx="28">
                  <c:v>21.3</c:v>
                </c:pt>
                <c:pt idx="29">
                  <c:v>21.1</c:v>
                </c:pt>
                <c:pt idx="30">
                  <c:v>19.3</c:v>
                </c:pt>
                <c:pt idx="31">
                  <c:v>20.6</c:v>
                </c:pt>
                <c:pt idx="32">
                  <c:v>31.9</c:v>
                </c:pt>
                <c:pt idx="33">
                  <c:v>32.300000000000004</c:v>
                </c:pt>
                <c:pt idx="34">
                  <c:v>36.300000000000004</c:v>
                </c:pt>
                <c:pt idx="35">
                  <c:v>29.2</c:v>
                </c:pt>
                <c:pt idx="36">
                  <c:v>20.5</c:v>
                </c:pt>
                <c:pt idx="37">
                  <c:v>22.3</c:v>
                </c:pt>
              </c:numCache>
            </c:numRef>
          </c:val>
          <c:smooth val="0"/>
          <c:extLst>
            <c:ext xmlns:c16="http://schemas.microsoft.com/office/drawing/2014/chart" uri="{C3380CC4-5D6E-409C-BE32-E72D297353CC}">
              <c16:uniqueId val="{00000004-AB72-456C-9B3B-EF831BC714C4}"/>
            </c:ext>
          </c:extLst>
        </c:ser>
        <c:ser>
          <c:idx val="5"/>
          <c:order val="5"/>
          <c:tx>
            <c:strRef>
              <c:f>'výkonnost odvětví 3'!$AC$10</c:f>
              <c:strCache>
                <c:ptCount val="1"/>
                <c:pt idx="0">
                  <c:v>Bariéra růstu: nedostatek pracovníků</c:v>
                </c:pt>
              </c:strCache>
            </c:strRef>
          </c:tx>
          <c:spPr>
            <a:ln w="15875">
              <a:solidFill>
                <a:schemeClr val="accent3">
                  <a:lumMod val="75000"/>
                </a:schemeClr>
              </a:solidFill>
              <a:prstDash val="dash"/>
            </a:ln>
          </c:spPr>
          <c:marker>
            <c:symbol val="none"/>
          </c:marker>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3'!$AC$31:$AC$68</c:f>
              <c:numCache>
                <c:formatCode>#\ ##0.0</c:formatCode>
                <c:ptCount val="38"/>
                <c:pt idx="0">
                  <c:v>8.3000000000000007</c:v>
                </c:pt>
                <c:pt idx="1">
                  <c:v>8.1</c:v>
                </c:pt>
                <c:pt idx="2">
                  <c:v>6.1</c:v>
                </c:pt>
                <c:pt idx="3">
                  <c:v>6</c:v>
                </c:pt>
                <c:pt idx="4">
                  <c:v>6.5</c:v>
                </c:pt>
                <c:pt idx="5">
                  <c:v>7.2</c:v>
                </c:pt>
                <c:pt idx="6">
                  <c:v>7.1</c:v>
                </c:pt>
                <c:pt idx="7">
                  <c:v>10.4</c:v>
                </c:pt>
                <c:pt idx="8">
                  <c:v>13.9</c:v>
                </c:pt>
                <c:pt idx="9">
                  <c:v>14.9</c:v>
                </c:pt>
                <c:pt idx="10">
                  <c:v>21.7</c:v>
                </c:pt>
                <c:pt idx="11">
                  <c:v>21.3</c:v>
                </c:pt>
                <c:pt idx="12">
                  <c:v>27</c:v>
                </c:pt>
                <c:pt idx="13">
                  <c:v>30.1</c:v>
                </c:pt>
                <c:pt idx="14">
                  <c:v>28.5</c:v>
                </c:pt>
                <c:pt idx="15">
                  <c:v>38.4</c:v>
                </c:pt>
                <c:pt idx="16">
                  <c:v>36.4</c:v>
                </c:pt>
                <c:pt idx="17">
                  <c:v>43.4</c:v>
                </c:pt>
                <c:pt idx="18">
                  <c:v>50.4</c:v>
                </c:pt>
                <c:pt idx="19">
                  <c:v>46.4</c:v>
                </c:pt>
                <c:pt idx="20">
                  <c:v>51.8</c:v>
                </c:pt>
                <c:pt idx="21">
                  <c:v>46</c:v>
                </c:pt>
                <c:pt idx="22">
                  <c:v>35.9</c:v>
                </c:pt>
                <c:pt idx="23" formatCode="0.0">
                  <c:v>32.1</c:v>
                </c:pt>
                <c:pt idx="24">
                  <c:v>47.9</c:v>
                </c:pt>
                <c:pt idx="25">
                  <c:v>31.7</c:v>
                </c:pt>
                <c:pt idx="26">
                  <c:v>41.4</c:v>
                </c:pt>
                <c:pt idx="27">
                  <c:v>42.5</c:v>
                </c:pt>
                <c:pt idx="28">
                  <c:v>57.2</c:v>
                </c:pt>
                <c:pt idx="29">
                  <c:v>44.3</c:v>
                </c:pt>
                <c:pt idx="30">
                  <c:v>39.4</c:v>
                </c:pt>
                <c:pt idx="31">
                  <c:v>47.3</c:v>
                </c:pt>
                <c:pt idx="32">
                  <c:v>39.5</c:v>
                </c:pt>
                <c:pt idx="33">
                  <c:v>35.5</c:v>
                </c:pt>
                <c:pt idx="34">
                  <c:v>30.3</c:v>
                </c:pt>
                <c:pt idx="35">
                  <c:v>30.9</c:v>
                </c:pt>
                <c:pt idx="36">
                  <c:v>54.4</c:v>
                </c:pt>
                <c:pt idx="37">
                  <c:v>46.8</c:v>
                </c:pt>
              </c:numCache>
            </c:numRef>
          </c:val>
          <c:smooth val="0"/>
          <c:extLst>
            <c:ext xmlns:c16="http://schemas.microsoft.com/office/drawing/2014/chart" uri="{C3380CC4-5D6E-409C-BE32-E72D297353CC}">
              <c16:uniqueId val="{00000005-AB72-456C-9B3B-EF831BC714C4}"/>
            </c:ext>
          </c:extLst>
        </c:ser>
        <c:ser>
          <c:idx val="6"/>
          <c:order val="6"/>
          <c:tx>
            <c:strRef>
              <c:f>'výkonnost odvětví 3'!$AD$10</c:f>
              <c:strCache>
                <c:ptCount val="1"/>
                <c:pt idx="0">
                  <c:v>Bariéra růstu: nedost. materiálu a vybavení</c:v>
                </c:pt>
              </c:strCache>
            </c:strRef>
          </c:tx>
          <c:spPr>
            <a:ln w="15875">
              <a:solidFill>
                <a:srgbClr val="37DD3B"/>
              </a:solidFill>
              <a:prstDash val="sysDash"/>
            </a:ln>
          </c:spPr>
          <c:marker>
            <c:symbol val="none"/>
          </c:marker>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3'!$AD$31:$AD$68</c:f>
              <c:numCache>
                <c:formatCode>#\ ##0.0</c:formatCode>
                <c:ptCount val="38"/>
                <c:pt idx="0">
                  <c:v>0.1</c:v>
                </c:pt>
                <c:pt idx="1">
                  <c:v>0.4</c:v>
                </c:pt>
                <c:pt idx="2">
                  <c:v>4</c:v>
                </c:pt>
                <c:pt idx="3">
                  <c:v>0.5</c:v>
                </c:pt>
                <c:pt idx="4">
                  <c:v>0.4</c:v>
                </c:pt>
                <c:pt idx="5">
                  <c:v>0.5</c:v>
                </c:pt>
                <c:pt idx="6">
                  <c:v>0.5</c:v>
                </c:pt>
                <c:pt idx="7">
                  <c:v>1.5</c:v>
                </c:pt>
                <c:pt idx="8">
                  <c:v>0.30000000000000021</c:v>
                </c:pt>
                <c:pt idx="9">
                  <c:v>0.30000000000000021</c:v>
                </c:pt>
                <c:pt idx="10">
                  <c:v>3.3</c:v>
                </c:pt>
                <c:pt idx="11">
                  <c:v>4.2</c:v>
                </c:pt>
                <c:pt idx="12">
                  <c:v>5.5</c:v>
                </c:pt>
                <c:pt idx="13">
                  <c:v>1.2</c:v>
                </c:pt>
                <c:pt idx="14">
                  <c:v>6.8</c:v>
                </c:pt>
                <c:pt idx="15">
                  <c:v>3.5</c:v>
                </c:pt>
                <c:pt idx="16">
                  <c:v>4.3</c:v>
                </c:pt>
                <c:pt idx="17">
                  <c:v>5.7</c:v>
                </c:pt>
                <c:pt idx="18">
                  <c:v>5.3</c:v>
                </c:pt>
                <c:pt idx="19">
                  <c:v>4</c:v>
                </c:pt>
                <c:pt idx="20">
                  <c:v>1.9000000000000001</c:v>
                </c:pt>
                <c:pt idx="21">
                  <c:v>3.4</c:v>
                </c:pt>
                <c:pt idx="22">
                  <c:v>1.3</c:v>
                </c:pt>
                <c:pt idx="23">
                  <c:v>0.8</c:v>
                </c:pt>
                <c:pt idx="24">
                  <c:v>1.3</c:v>
                </c:pt>
                <c:pt idx="25">
                  <c:v>4.3</c:v>
                </c:pt>
                <c:pt idx="26">
                  <c:v>16.3</c:v>
                </c:pt>
                <c:pt idx="27">
                  <c:v>22.8</c:v>
                </c:pt>
                <c:pt idx="28">
                  <c:v>24.7</c:v>
                </c:pt>
                <c:pt idx="29">
                  <c:v>41.3</c:v>
                </c:pt>
                <c:pt idx="30">
                  <c:v>38.6</c:v>
                </c:pt>
                <c:pt idx="31">
                  <c:v>23.4</c:v>
                </c:pt>
                <c:pt idx="32">
                  <c:v>19.5</c:v>
                </c:pt>
                <c:pt idx="33">
                  <c:v>17</c:v>
                </c:pt>
                <c:pt idx="34">
                  <c:v>13</c:v>
                </c:pt>
                <c:pt idx="35">
                  <c:v>13.9</c:v>
                </c:pt>
                <c:pt idx="36">
                  <c:v>22.5</c:v>
                </c:pt>
                <c:pt idx="37">
                  <c:v>22.2</c:v>
                </c:pt>
              </c:numCache>
            </c:numRef>
          </c:val>
          <c:smooth val="0"/>
          <c:extLst>
            <c:ext xmlns:c16="http://schemas.microsoft.com/office/drawing/2014/chart" uri="{C3380CC4-5D6E-409C-BE32-E72D297353CC}">
              <c16:uniqueId val="{00000006-AB72-456C-9B3B-EF831BC714C4}"/>
            </c:ext>
          </c:extLst>
        </c:ser>
        <c:ser>
          <c:idx val="7"/>
          <c:order val="7"/>
          <c:tx>
            <c:strRef>
              <c:f>'výkonnost odvětví 3'!$AE$10</c:f>
              <c:strCache>
                <c:ptCount val="1"/>
                <c:pt idx="0">
                  <c:v>Saldo indikátoru důvěry ve stavebnictví</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3'!$AE$31:$AE$68</c:f>
              <c:numCache>
                <c:formatCode>0.0</c:formatCode>
                <c:ptCount val="38"/>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pt idx="27">
                  <c:v>-6.5</c:v>
                </c:pt>
                <c:pt idx="28">
                  <c:v>6.5</c:v>
                </c:pt>
                <c:pt idx="29">
                  <c:v>-2</c:v>
                </c:pt>
                <c:pt idx="30">
                  <c:v>-9</c:v>
                </c:pt>
                <c:pt idx="31">
                  <c:v>-4.5</c:v>
                </c:pt>
                <c:pt idx="32">
                  <c:v>-11.5</c:v>
                </c:pt>
                <c:pt idx="33">
                  <c:v>-15.5</c:v>
                </c:pt>
                <c:pt idx="34">
                  <c:v>-16.5</c:v>
                </c:pt>
                <c:pt idx="35">
                  <c:v>-11</c:v>
                </c:pt>
                <c:pt idx="36">
                  <c:v>-7</c:v>
                </c:pt>
                <c:pt idx="37">
                  <c:v>-14</c:v>
                </c:pt>
              </c:numCache>
            </c:numRef>
          </c:val>
          <c:smooth val="0"/>
          <c:extLst>
            <c:ext xmlns:c16="http://schemas.microsoft.com/office/drawing/2014/chart" uri="{C3380CC4-5D6E-409C-BE32-E72D297353CC}">
              <c16:uniqueId val="{00000007-AB72-456C-9B3B-EF831BC714C4}"/>
            </c:ext>
          </c:extLst>
        </c:ser>
        <c:dLbls>
          <c:showLegendKey val="0"/>
          <c:showVal val="0"/>
          <c:showCatName val="0"/>
          <c:showSerName val="0"/>
          <c:showPercent val="0"/>
          <c:showBubbleSize val="0"/>
        </c:dLbls>
        <c:marker val="1"/>
        <c:smooth val="0"/>
        <c:axId val="51319936"/>
        <c:axId val="51317760"/>
      </c:lineChart>
      <c:catAx>
        <c:axId val="51301376"/>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51315840"/>
        <c:crosses val="autoZero"/>
        <c:auto val="1"/>
        <c:lblAlgn val="ctr"/>
        <c:lblOffset val="0"/>
        <c:noMultiLvlLbl val="0"/>
      </c:catAx>
      <c:valAx>
        <c:axId val="51315840"/>
        <c:scaling>
          <c:orientation val="minMax"/>
          <c:max val="80"/>
          <c:min val="-20"/>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Zakázky, příspěvky k změně stavební produkce</a:t>
                </a:r>
              </a:p>
            </c:rich>
          </c:tx>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51301376"/>
        <c:crosses val="autoZero"/>
        <c:crossBetween val="between"/>
        <c:majorUnit val="10"/>
      </c:valAx>
      <c:valAx>
        <c:axId val="51317760"/>
        <c:scaling>
          <c:orientation val="minMax"/>
          <c:max val="100"/>
          <c:min val="-10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 důvěry, bariéry růstu</a:t>
                </a:r>
              </a:p>
            </c:rich>
          </c:tx>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51319936"/>
        <c:crosses val="max"/>
        <c:crossBetween val="between"/>
        <c:majorUnit val="20"/>
      </c:valAx>
      <c:catAx>
        <c:axId val="51319936"/>
        <c:scaling>
          <c:orientation val="minMax"/>
        </c:scaling>
        <c:delete val="1"/>
        <c:axPos val="b"/>
        <c:numFmt formatCode="General" sourceLinked="1"/>
        <c:majorTickMark val="out"/>
        <c:minorTickMark val="none"/>
        <c:tickLblPos val="none"/>
        <c:crossAx val="51317760"/>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8499319708759499E-2"/>
          <c:y val="0.85936703322638652"/>
          <c:w val="0.96925714241885441"/>
          <c:h val="0.13362821778942569"/>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85677352723435E-2"/>
          <c:y val="1.5803328678987455E-2"/>
          <c:w val="0.83979584077702996"/>
          <c:h val="0.69902590308489432"/>
        </c:manualLayout>
      </c:layout>
      <c:barChart>
        <c:barDir val="col"/>
        <c:grouping val="stacked"/>
        <c:varyColors val="0"/>
        <c:ser>
          <c:idx val="0"/>
          <c:order val="1"/>
          <c:tx>
            <c:strRef>
              <c:f>'Služby-příspěvkyk růstu-4'!$D$33</c:f>
              <c:strCache>
                <c:ptCount val="1"/>
                <c:pt idx="0">
                  <c:v>Doprava a skladování (p. b.)</c:v>
                </c:pt>
              </c:strCache>
            </c:strRef>
          </c:tx>
          <c:spPr>
            <a:solidFill>
              <a:srgbClr val="92D050"/>
            </a:solidFill>
            <a:ln>
              <a:noFill/>
            </a:ln>
          </c:spPr>
          <c:invertIfNegative val="0"/>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růstu-4'!$D$46:$D$83</c:f>
              <c:numCache>
                <c:formatCode>0.0</c:formatCode>
                <c:ptCount val="38"/>
                <c:pt idx="0">
                  <c:v>0.28583707131499864</c:v>
                </c:pt>
                <c:pt idx="1">
                  <c:v>9.9073319502600551E-2</c:v>
                </c:pt>
                <c:pt idx="2">
                  <c:v>0.31769782750540138</c:v>
                </c:pt>
                <c:pt idx="3">
                  <c:v>0.12210619116400009</c:v>
                </c:pt>
                <c:pt idx="4">
                  <c:v>0.28220883268199926</c:v>
                </c:pt>
                <c:pt idx="5">
                  <c:v>6.1181950046598127E-2</c:v>
                </c:pt>
                <c:pt idx="6">
                  <c:v>0.16591602609100148</c:v>
                </c:pt>
                <c:pt idx="7">
                  <c:v>0.78068825847900136</c:v>
                </c:pt>
                <c:pt idx="8">
                  <c:v>1.5613141921709988</c:v>
                </c:pt>
                <c:pt idx="9">
                  <c:v>1.122930781783998</c:v>
                </c:pt>
                <c:pt idx="10">
                  <c:v>1.0641446548009998</c:v>
                </c:pt>
                <c:pt idx="11">
                  <c:v>0.59189353382399879</c:v>
                </c:pt>
                <c:pt idx="12">
                  <c:v>1.6915596254819993</c:v>
                </c:pt>
                <c:pt idx="13">
                  <c:v>1.8149616493690008</c:v>
                </c:pt>
                <c:pt idx="14">
                  <c:v>1.4972066301569984</c:v>
                </c:pt>
                <c:pt idx="15">
                  <c:v>0.48435757114800193</c:v>
                </c:pt>
                <c:pt idx="16">
                  <c:v>8.7680447270998052E-2</c:v>
                </c:pt>
                <c:pt idx="17">
                  <c:v>-0.13218522120399967</c:v>
                </c:pt>
                <c:pt idx="18">
                  <c:v>-0.30882816758200105</c:v>
                </c:pt>
                <c:pt idx="19">
                  <c:v>-7.2429796977600117E-2</c:v>
                </c:pt>
                <c:pt idx="20">
                  <c:v>-1.5388901719333996</c:v>
                </c:pt>
                <c:pt idx="21">
                  <c:v>-6.3630415493666987</c:v>
                </c:pt>
                <c:pt idx="22">
                  <c:v>-3.9404740003479741</c:v>
                </c:pt>
                <c:pt idx="23">
                  <c:v>-1.3606128435167992</c:v>
                </c:pt>
                <c:pt idx="24">
                  <c:v>0.40899428206630034</c:v>
                </c:pt>
                <c:pt idx="25">
                  <c:v>6.4857042983519992</c:v>
                </c:pt>
                <c:pt idx="26">
                  <c:v>3.6844418834935992</c:v>
                </c:pt>
                <c:pt idx="27">
                  <c:v>3.3217790689831346</c:v>
                </c:pt>
                <c:pt idx="28">
                  <c:v>3.9514408665104899</c:v>
                </c:pt>
                <c:pt idx="29">
                  <c:v>4.0151538723392397</c:v>
                </c:pt>
                <c:pt idx="30">
                  <c:v>3.2323731249468759</c:v>
                </c:pt>
                <c:pt idx="31">
                  <c:v>0.68736316295880218</c:v>
                </c:pt>
                <c:pt idx="32">
                  <c:v>-1.2129729416320014</c:v>
                </c:pt>
                <c:pt idx="33">
                  <c:v>-3.099026668853849</c:v>
                </c:pt>
                <c:pt idx="34">
                  <c:v>-3.4692285655333293</c:v>
                </c:pt>
                <c:pt idx="35">
                  <c:v>-2.6080977613502347</c:v>
                </c:pt>
                <c:pt idx="36">
                  <c:v>0.12301447772012634</c:v>
                </c:pt>
              </c:numCache>
            </c:numRef>
          </c:val>
          <c:extLst>
            <c:ext xmlns:c16="http://schemas.microsoft.com/office/drawing/2014/chart" uri="{C3380CC4-5D6E-409C-BE32-E72D297353CC}">
              <c16:uniqueId val="{00000000-D41C-4E7E-8BB2-805FE0CE34D4}"/>
            </c:ext>
          </c:extLst>
        </c:ser>
        <c:ser>
          <c:idx val="1"/>
          <c:order val="2"/>
          <c:tx>
            <c:strRef>
              <c:f>'Služby-příspěvkyk růstu-4'!$E$33</c:f>
              <c:strCache>
                <c:ptCount val="1"/>
                <c:pt idx="0">
                  <c:v>Ubytování, stravování a pohostinství (p. b.)</c:v>
                </c:pt>
              </c:strCache>
            </c:strRef>
          </c:tx>
          <c:spPr>
            <a:solidFill>
              <a:srgbClr val="00B0F0"/>
            </a:solidFill>
            <a:ln>
              <a:noFill/>
            </a:ln>
          </c:spPr>
          <c:invertIfNegative val="0"/>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růstu-4'!$E$46:$E$83</c:f>
              <c:numCache>
                <c:formatCode>0.0</c:formatCode>
                <c:ptCount val="38"/>
                <c:pt idx="0">
                  <c:v>0.22716240604080018</c:v>
                </c:pt>
                <c:pt idx="1">
                  <c:v>0.65001523589900034</c:v>
                </c:pt>
                <c:pt idx="2">
                  <c:v>0.65043885271950042</c:v>
                </c:pt>
                <c:pt idx="3">
                  <c:v>0.40286531384040036</c:v>
                </c:pt>
                <c:pt idx="4">
                  <c:v>0.47082926396040031</c:v>
                </c:pt>
                <c:pt idx="5">
                  <c:v>0.17677577920749962</c:v>
                </c:pt>
                <c:pt idx="6">
                  <c:v>0.57113528170200001</c:v>
                </c:pt>
                <c:pt idx="7">
                  <c:v>0.60157631975219972</c:v>
                </c:pt>
                <c:pt idx="8">
                  <c:v>0.9154231899449996</c:v>
                </c:pt>
                <c:pt idx="9">
                  <c:v>1.2344281014258005</c:v>
                </c:pt>
                <c:pt idx="10">
                  <c:v>0.55621615324820017</c:v>
                </c:pt>
                <c:pt idx="11">
                  <c:v>0.45646654612940007</c:v>
                </c:pt>
                <c:pt idx="12">
                  <c:v>0.20372087178279991</c:v>
                </c:pt>
                <c:pt idx="13">
                  <c:v>5.3418687620000245E-2</c:v>
                </c:pt>
                <c:pt idx="14">
                  <c:v>6.3072083089999523E-2</c:v>
                </c:pt>
                <c:pt idx="15">
                  <c:v>-3.690856285000052E-2</c:v>
                </c:pt>
                <c:pt idx="16">
                  <c:v>-0.36352759744700047</c:v>
                </c:pt>
                <c:pt idx="17">
                  <c:v>-0.66972254409340026</c:v>
                </c:pt>
                <c:pt idx="18">
                  <c:v>0.55939150605359955</c:v>
                </c:pt>
                <c:pt idx="19">
                  <c:v>0.81136645955399955</c:v>
                </c:pt>
                <c:pt idx="20">
                  <c:v>-1.02121923221554</c:v>
                </c:pt>
                <c:pt idx="21">
                  <c:v>-4.7572576440565006</c:v>
                </c:pt>
                <c:pt idx="22">
                  <c:v>-1.8794605145432095</c:v>
                </c:pt>
                <c:pt idx="23">
                  <c:v>-4.4951618716172961</c:v>
                </c:pt>
                <c:pt idx="24">
                  <c:v>-3.6369333050125001</c:v>
                </c:pt>
                <c:pt idx="25">
                  <c:v>1.4031540944905208</c:v>
                </c:pt>
                <c:pt idx="26">
                  <c:v>0.65992665946500029</c:v>
                </c:pt>
                <c:pt idx="27">
                  <c:v>2.8955262444650116</c:v>
                </c:pt>
                <c:pt idx="28">
                  <c:v>2.8318183263071997</c:v>
                </c:pt>
                <c:pt idx="29">
                  <c:v>2.4351378857488077</c:v>
                </c:pt>
                <c:pt idx="30">
                  <c:v>-0.45787271333559287</c:v>
                </c:pt>
                <c:pt idx="31">
                  <c:v>0.56724882175460012</c:v>
                </c:pt>
                <c:pt idx="32">
                  <c:v>0.47232775791700016</c:v>
                </c:pt>
                <c:pt idx="33">
                  <c:v>-2.9380545797294239E-2</c:v>
                </c:pt>
                <c:pt idx="34">
                  <c:v>0.13034872931637551</c:v>
                </c:pt>
                <c:pt idx="35">
                  <c:v>7.6431753799216448E-2</c:v>
                </c:pt>
                <c:pt idx="36">
                  <c:v>0.15978861624508284</c:v>
                </c:pt>
              </c:numCache>
            </c:numRef>
          </c:val>
          <c:extLst>
            <c:ext xmlns:c16="http://schemas.microsoft.com/office/drawing/2014/chart" uri="{C3380CC4-5D6E-409C-BE32-E72D297353CC}">
              <c16:uniqueId val="{00000001-D41C-4E7E-8BB2-805FE0CE34D4}"/>
            </c:ext>
          </c:extLst>
        </c:ser>
        <c:ser>
          <c:idx val="2"/>
          <c:order val="3"/>
          <c:tx>
            <c:strRef>
              <c:f>'Služby-příspěvkyk růstu-4'!$F$33</c:f>
              <c:strCache>
                <c:ptCount val="1"/>
                <c:pt idx="0">
                  <c:v>Informační a komunikační činnosti (p. b.)</c:v>
                </c:pt>
              </c:strCache>
            </c:strRef>
          </c:tx>
          <c:spPr>
            <a:solidFill>
              <a:srgbClr val="E6E100"/>
            </a:solidFill>
            <a:ln>
              <a:noFill/>
            </a:ln>
          </c:spPr>
          <c:invertIfNegative val="0"/>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růstu-4'!$F$46:$F$83</c:f>
              <c:numCache>
                <c:formatCode>0.0</c:formatCode>
                <c:ptCount val="38"/>
                <c:pt idx="0">
                  <c:v>1.3475600006119992</c:v>
                </c:pt>
                <c:pt idx="1">
                  <c:v>0.66866302459200067</c:v>
                </c:pt>
                <c:pt idx="2">
                  <c:v>0.76957802431699907</c:v>
                </c:pt>
                <c:pt idx="3">
                  <c:v>1.4886414789369995</c:v>
                </c:pt>
                <c:pt idx="4">
                  <c:v>0.31877743705500039</c:v>
                </c:pt>
                <c:pt idx="5">
                  <c:v>0.20661529177999968</c:v>
                </c:pt>
                <c:pt idx="6">
                  <c:v>0.33414735394100048</c:v>
                </c:pt>
                <c:pt idx="7">
                  <c:v>-1.5907952160003447E-3</c:v>
                </c:pt>
                <c:pt idx="8">
                  <c:v>0.81368973776000075</c:v>
                </c:pt>
                <c:pt idx="9">
                  <c:v>0.85417546131300082</c:v>
                </c:pt>
                <c:pt idx="10">
                  <c:v>0.70502890964199894</c:v>
                </c:pt>
                <c:pt idx="11">
                  <c:v>0.57956639880599936</c:v>
                </c:pt>
                <c:pt idx="12">
                  <c:v>1.4478889516160005</c:v>
                </c:pt>
                <c:pt idx="13">
                  <c:v>0.80994689822300014</c:v>
                </c:pt>
                <c:pt idx="14">
                  <c:v>1.4688126825399994</c:v>
                </c:pt>
                <c:pt idx="15">
                  <c:v>1.086122449493</c:v>
                </c:pt>
                <c:pt idx="16">
                  <c:v>0.58941772132699954</c:v>
                </c:pt>
                <c:pt idx="17">
                  <c:v>1.4226829106699992</c:v>
                </c:pt>
                <c:pt idx="18">
                  <c:v>1.6743952337219994</c:v>
                </c:pt>
                <c:pt idx="19">
                  <c:v>0.80346819102189926</c:v>
                </c:pt>
                <c:pt idx="20">
                  <c:v>0.70778641415200061</c:v>
                </c:pt>
                <c:pt idx="21">
                  <c:v>-0.1282918788954005</c:v>
                </c:pt>
                <c:pt idx="22">
                  <c:v>-0.45078576191000025</c:v>
                </c:pt>
                <c:pt idx="23">
                  <c:v>-0.76558883395124844</c:v>
                </c:pt>
                <c:pt idx="24">
                  <c:v>0.73366723394700006</c:v>
                </c:pt>
                <c:pt idx="25">
                  <c:v>1.7207045513606583</c:v>
                </c:pt>
                <c:pt idx="26">
                  <c:v>1.7361457132958011</c:v>
                </c:pt>
                <c:pt idx="27">
                  <c:v>2.1189808181123286</c:v>
                </c:pt>
                <c:pt idx="28">
                  <c:v>1.7513568138013991</c:v>
                </c:pt>
                <c:pt idx="29">
                  <c:v>0.98399950600799913</c:v>
                </c:pt>
                <c:pt idx="30">
                  <c:v>0.77268922490967784</c:v>
                </c:pt>
                <c:pt idx="31">
                  <c:v>0.37460811931764648</c:v>
                </c:pt>
                <c:pt idx="32">
                  <c:v>0.58485544392239908</c:v>
                </c:pt>
                <c:pt idx="33">
                  <c:v>-1.1415645740895557E-2</c:v>
                </c:pt>
                <c:pt idx="34">
                  <c:v>-0.79502750900049046</c:v>
                </c:pt>
                <c:pt idx="35">
                  <c:v>-0.7938046823104834</c:v>
                </c:pt>
                <c:pt idx="36">
                  <c:v>0.10083125511494737</c:v>
                </c:pt>
              </c:numCache>
            </c:numRef>
          </c:val>
          <c:extLst>
            <c:ext xmlns:c16="http://schemas.microsoft.com/office/drawing/2014/chart" uri="{C3380CC4-5D6E-409C-BE32-E72D297353CC}">
              <c16:uniqueId val="{00000002-D41C-4E7E-8BB2-805FE0CE34D4}"/>
            </c:ext>
          </c:extLst>
        </c:ser>
        <c:ser>
          <c:idx val="4"/>
          <c:order val="4"/>
          <c:tx>
            <c:strRef>
              <c:f>'Služby-příspěvkyk růstu-4'!$G$33</c:f>
              <c:strCache>
                <c:ptCount val="1"/>
                <c:pt idx="0">
                  <c:v>Činnosti v oblasti nemovitostí (p. b.)</c:v>
                </c:pt>
              </c:strCache>
            </c:strRef>
          </c:tx>
          <c:spPr>
            <a:solidFill>
              <a:schemeClr val="accent5">
                <a:lumMod val="60000"/>
                <a:lumOff val="40000"/>
              </a:schemeClr>
            </a:solidFill>
            <a:ln>
              <a:noFill/>
              <a:prstDash val="sysDash"/>
            </a:ln>
          </c:spPr>
          <c:invertIfNegative val="0"/>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růstu-4'!$G$46:$G$83</c:f>
              <c:numCache>
                <c:formatCode>0.0</c:formatCode>
                <c:ptCount val="38"/>
                <c:pt idx="0">
                  <c:v>4.746770298419966E-2</c:v>
                </c:pt>
                <c:pt idx="1">
                  <c:v>-7.1736494634002381E-3</c:v>
                </c:pt>
                <c:pt idx="2">
                  <c:v>0.12594742008660062</c:v>
                </c:pt>
                <c:pt idx="3">
                  <c:v>2.5503553016999546E-2</c:v>
                </c:pt>
                <c:pt idx="4">
                  <c:v>0.25581412202700016</c:v>
                </c:pt>
                <c:pt idx="5">
                  <c:v>-5.8871280300053285E-4</c:v>
                </c:pt>
                <c:pt idx="6">
                  <c:v>0.14820611830979977</c:v>
                </c:pt>
                <c:pt idx="7">
                  <c:v>-6.673245353100031E-2</c:v>
                </c:pt>
                <c:pt idx="8">
                  <c:v>0.21337518275449996</c:v>
                </c:pt>
                <c:pt idx="9">
                  <c:v>0.44510148149939993</c:v>
                </c:pt>
                <c:pt idx="10">
                  <c:v>-2.3161044655499695E-2</c:v>
                </c:pt>
                <c:pt idx="11">
                  <c:v>0.13973557355700003</c:v>
                </c:pt>
                <c:pt idx="12">
                  <c:v>2.4776891451000493E-2</c:v>
                </c:pt>
                <c:pt idx="13">
                  <c:v>-0.24771466350479987</c:v>
                </c:pt>
                <c:pt idx="14">
                  <c:v>-0.12634060942140016</c:v>
                </c:pt>
                <c:pt idx="15">
                  <c:v>-0.22296155792339972</c:v>
                </c:pt>
                <c:pt idx="16">
                  <c:v>-0.59230274151539974</c:v>
                </c:pt>
                <c:pt idx="17">
                  <c:v>-0.14941666489739952</c:v>
                </c:pt>
                <c:pt idx="18">
                  <c:v>0.15857003378880019</c:v>
                </c:pt>
                <c:pt idx="19">
                  <c:v>0.41231320665960003</c:v>
                </c:pt>
                <c:pt idx="20">
                  <c:v>0.43752910629419994</c:v>
                </c:pt>
                <c:pt idx="21">
                  <c:v>-0.31303453713669938</c:v>
                </c:pt>
                <c:pt idx="22">
                  <c:v>-0.26031344919999999</c:v>
                </c:pt>
                <c:pt idx="23">
                  <c:v>-0.23208025015669992</c:v>
                </c:pt>
                <c:pt idx="24">
                  <c:v>-0.20717928801940017</c:v>
                </c:pt>
                <c:pt idx="25">
                  <c:v>0.47457604296674993</c:v>
                </c:pt>
                <c:pt idx="26">
                  <c:v>-4.0996780129997036E-3</c:v>
                </c:pt>
                <c:pt idx="27">
                  <c:v>0.24096930540479963</c:v>
                </c:pt>
                <c:pt idx="28">
                  <c:v>0.94475021021679939</c:v>
                </c:pt>
                <c:pt idx="29">
                  <c:v>0.4723015234319996</c:v>
                </c:pt>
                <c:pt idx="30">
                  <c:v>0.21987990588947368</c:v>
                </c:pt>
                <c:pt idx="31">
                  <c:v>0.34935607946666636</c:v>
                </c:pt>
                <c:pt idx="32">
                  <c:v>0.14370495810719947</c:v>
                </c:pt>
                <c:pt idx="33">
                  <c:v>-0.15312531256454071</c:v>
                </c:pt>
                <c:pt idx="34">
                  <c:v>-0.26269128038412337</c:v>
                </c:pt>
                <c:pt idx="35">
                  <c:v>-0.20581433335534355</c:v>
                </c:pt>
                <c:pt idx="36">
                  <c:v>-7.6998825414431121E-2</c:v>
                </c:pt>
              </c:numCache>
            </c:numRef>
          </c:val>
          <c:extLst>
            <c:ext xmlns:c16="http://schemas.microsoft.com/office/drawing/2014/chart" uri="{C3380CC4-5D6E-409C-BE32-E72D297353CC}">
              <c16:uniqueId val="{00000003-D41C-4E7E-8BB2-805FE0CE34D4}"/>
            </c:ext>
          </c:extLst>
        </c:ser>
        <c:ser>
          <c:idx val="5"/>
          <c:order val="5"/>
          <c:tx>
            <c:strRef>
              <c:f>'Služby-příspěvkyk růstu-4'!$H$33</c:f>
              <c:strCache>
                <c:ptCount val="1"/>
                <c:pt idx="0">
                  <c:v>Profesní, vědecké a technické činnosti (p. b.)</c:v>
                </c:pt>
              </c:strCache>
            </c:strRef>
          </c:tx>
          <c:spPr>
            <a:solidFill>
              <a:schemeClr val="accent6">
                <a:lumMod val="60000"/>
                <a:lumOff val="40000"/>
              </a:schemeClr>
            </a:solidFill>
            <a:ln>
              <a:noFill/>
            </a:ln>
          </c:spPr>
          <c:invertIfNegative val="0"/>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růstu-4'!$H$46:$H$83</c:f>
              <c:numCache>
                <c:formatCode>0.0</c:formatCode>
                <c:ptCount val="38"/>
                <c:pt idx="0">
                  <c:v>1.0880520996029996</c:v>
                </c:pt>
                <c:pt idx="1">
                  <c:v>0.74361697973999985</c:v>
                </c:pt>
                <c:pt idx="2">
                  <c:v>1.1124163133600007</c:v>
                </c:pt>
                <c:pt idx="3">
                  <c:v>-4.565689538760101E-2</c:v>
                </c:pt>
                <c:pt idx="4">
                  <c:v>-0.42777544952319951</c:v>
                </c:pt>
                <c:pt idx="5">
                  <c:v>-1.3881659651599989</c:v>
                </c:pt>
                <c:pt idx="6">
                  <c:v>3.2450629870800683E-2</c:v>
                </c:pt>
                <c:pt idx="7">
                  <c:v>-0.31316142237530059</c:v>
                </c:pt>
                <c:pt idx="8">
                  <c:v>0.97301367041999931</c:v>
                </c:pt>
                <c:pt idx="9">
                  <c:v>0.61036630698759931</c:v>
                </c:pt>
                <c:pt idx="10">
                  <c:v>0.29822562376110068</c:v>
                </c:pt>
                <c:pt idx="11">
                  <c:v>0.39661775964799895</c:v>
                </c:pt>
                <c:pt idx="12">
                  <c:v>1.0432277278803002</c:v>
                </c:pt>
                <c:pt idx="13">
                  <c:v>0.5277616084097011</c:v>
                </c:pt>
                <c:pt idx="14">
                  <c:v>0.33063617776669868</c:v>
                </c:pt>
                <c:pt idx="15">
                  <c:v>-0.3275368981885991</c:v>
                </c:pt>
                <c:pt idx="16">
                  <c:v>-0.22084952351709861</c:v>
                </c:pt>
                <c:pt idx="17">
                  <c:v>0.93052352491439916</c:v>
                </c:pt>
                <c:pt idx="18">
                  <c:v>-1.1995249704883002</c:v>
                </c:pt>
                <c:pt idx="19">
                  <c:v>0.1316248734900006</c:v>
                </c:pt>
                <c:pt idx="20">
                  <c:v>-1.2601566612770994</c:v>
                </c:pt>
                <c:pt idx="21">
                  <c:v>-3.4366386991859987</c:v>
                </c:pt>
                <c:pt idx="22">
                  <c:v>-1.7291196666688515</c:v>
                </c:pt>
                <c:pt idx="23">
                  <c:v>-1.6772597720676004</c:v>
                </c:pt>
                <c:pt idx="24">
                  <c:v>-1.8346424682827585</c:v>
                </c:pt>
                <c:pt idx="25">
                  <c:v>2.6510046263427998</c:v>
                </c:pt>
                <c:pt idx="26">
                  <c:v>1.7508962010128015</c:v>
                </c:pt>
                <c:pt idx="27">
                  <c:v>2.2400850079907202</c:v>
                </c:pt>
                <c:pt idx="28">
                  <c:v>2.2876079414759998</c:v>
                </c:pt>
                <c:pt idx="29">
                  <c:v>1.3872455323777775</c:v>
                </c:pt>
                <c:pt idx="30">
                  <c:v>0.99227591104347768</c:v>
                </c:pt>
                <c:pt idx="31">
                  <c:v>0.14393939496428487</c:v>
                </c:pt>
                <c:pt idx="32">
                  <c:v>0.81900948593429967</c:v>
                </c:pt>
                <c:pt idx="33">
                  <c:v>0.78508139570585855</c:v>
                </c:pt>
                <c:pt idx="34">
                  <c:v>0.13004879090092139</c:v>
                </c:pt>
                <c:pt idx="35">
                  <c:v>0.82734148939788288</c:v>
                </c:pt>
                <c:pt idx="36">
                  <c:v>0.36102471036532224</c:v>
                </c:pt>
              </c:numCache>
            </c:numRef>
          </c:val>
          <c:extLst>
            <c:ext xmlns:c16="http://schemas.microsoft.com/office/drawing/2014/chart" uri="{C3380CC4-5D6E-409C-BE32-E72D297353CC}">
              <c16:uniqueId val="{00000004-D41C-4E7E-8BB2-805FE0CE34D4}"/>
            </c:ext>
          </c:extLst>
        </c:ser>
        <c:ser>
          <c:idx val="6"/>
          <c:order val="6"/>
          <c:tx>
            <c:strRef>
              <c:f>'Služby-příspěvkyk růstu-4'!$I$33</c:f>
              <c:strCache>
                <c:ptCount val="1"/>
                <c:pt idx="0">
                  <c:v>Administr. a podpůrné čin. (příspěvek v p. b.)</c:v>
                </c:pt>
              </c:strCache>
            </c:strRef>
          </c:tx>
          <c:spPr>
            <a:solidFill>
              <a:schemeClr val="accent1">
                <a:lumMod val="20000"/>
                <a:lumOff val="80000"/>
              </a:schemeClr>
            </a:solidFill>
            <a:ln>
              <a:noFill/>
            </a:ln>
          </c:spPr>
          <c:invertIfNegative val="0"/>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růstu-4'!$I$46:$I$83</c:f>
              <c:numCache>
                <c:formatCode>0.0</c:formatCode>
                <c:ptCount val="38"/>
                <c:pt idx="0">
                  <c:v>0.43712925900860061</c:v>
                </c:pt>
                <c:pt idx="1">
                  <c:v>0.52715289377499985</c:v>
                </c:pt>
                <c:pt idx="2">
                  <c:v>0.30410241097500013</c:v>
                </c:pt>
                <c:pt idx="3">
                  <c:v>0.36652377459450047</c:v>
                </c:pt>
                <c:pt idx="4">
                  <c:v>0.38200556495039989</c:v>
                </c:pt>
                <c:pt idx="5">
                  <c:v>5.5683904032899467E-2</c:v>
                </c:pt>
                <c:pt idx="6">
                  <c:v>0.25322776738810082</c:v>
                </c:pt>
                <c:pt idx="7">
                  <c:v>0.50752865690419957</c:v>
                </c:pt>
                <c:pt idx="8">
                  <c:v>1.2867283782210006</c:v>
                </c:pt>
                <c:pt idx="9">
                  <c:v>1.1106873038032994</c:v>
                </c:pt>
                <c:pt idx="10">
                  <c:v>0.67802933227800077</c:v>
                </c:pt>
                <c:pt idx="11">
                  <c:v>0.27967830350980011</c:v>
                </c:pt>
                <c:pt idx="12">
                  <c:v>0.54732406709499937</c:v>
                </c:pt>
                <c:pt idx="13">
                  <c:v>0.38206091352559962</c:v>
                </c:pt>
                <c:pt idx="14">
                  <c:v>0.39483194314119968</c:v>
                </c:pt>
                <c:pt idx="15">
                  <c:v>-3.3562302980400686E-2</c:v>
                </c:pt>
                <c:pt idx="16">
                  <c:v>-1.2004885543983994</c:v>
                </c:pt>
                <c:pt idx="17">
                  <c:v>0.45312965092039981</c:v>
                </c:pt>
                <c:pt idx="18">
                  <c:v>-0.39654158277710005</c:v>
                </c:pt>
                <c:pt idx="19">
                  <c:v>1.3094816479706997</c:v>
                </c:pt>
                <c:pt idx="20">
                  <c:v>-1.1435941660679998</c:v>
                </c:pt>
                <c:pt idx="21">
                  <c:v>-5.2829127749359994</c:v>
                </c:pt>
                <c:pt idx="22">
                  <c:v>-4.9399258629473684</c:v>
                </c:pt>
                <c:pt idx="23">
                  <c:v>-2.9775292557339998</c:v>
                </c:pt>
                <c:pt idx="24">
                  <c:v>-1.3823007427793008</c:v>
                </c:pt>
                <c:pt idx="25">
                  <c:v>2.2520526033025252</c:v>
                </c:pt>
                <c:pt idx="26">
                  <c:v>2.1161672980700006</c:v>
                </c:pt>
                <c:pt idx="27">
                  <c:v>1.4333424903022896</c:v>
                </c:pt>
                <c:pt idx="28">
                  <c:v>1.7137920826735484</c:v>
                </c:pt>
                <c:pt idx="29">
                  <c:v>3.1129083870827094</c:v>
                </c:pt>
                <c:pt idx="30">
                  <c:v>2.2148815412970997</c:v>
                </c:pt>
                <c:pt idx="31">
                  <c:v>0.75709334776319981</c:v>
                </c:pt>
                <c:pt idx="32">
                  <c:v>0.44529605054279975</c:v>
                </c:pt>
                <c:pt idx="33">
                  <c:v>0.17025495003951477</c:v>
                </c:pt>
                <c:pt idx="34">
                  <c:v>-0.14281883952654037</c:v>
                </c:pt>
                <c:pt idx="35">
                  <c:v>-4.456522643089033E-2</c:v>
                </c:pt>
                <c:pt idx="36">
                  <c:v>0.31595667469514804</c:v>
                </c:pt>
              </c:numCache>
            </c:numRef>
          </c:val>
          <c:extLst>
            <c:ext xmlns:c16="http://schemas.microsoft.com/office/drawing/2014/chart" uri="{C3380CC4-5D6E-409C-BE32-E72D297353CC}">
              <c16:uniqueId val="{00000005-D41C-4E7E-8BB2-805FE0CE34D4}"/>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růstu-4'!$C$33</c:f>
              <c:strCache>
                <c:ptCount val="1"/>
                <c:pt idx="0">
                  <c:v>Služby celkem (meziroční růst v %)</c:v>
                </c:pt>
              </c:strCache>
            </c:strRef>
          </c:tx>
          <c:spPr>
            <a:ln>
              <a:noFill/>
            </a:ln>
          </c:spPr>
          <c:marker>
            <c:symbol val="dot"/>
            <c:size val="7"/>
            <c:spPr>
              <a:solidFill>
                <a:schemeClr val="tx1">
                  <a:lumMod val="95000"/>
                  <a:lumOff val="5000"/>
                </a:schemeClr>
              </a:solidFill>
              <a:ln>
                <a:noFill/>
              </a:ln>
            </c:spPr>
          </c:marker>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růstu-4'!$C$46:$C$83</c:f>
              <c:numCache>
                <c:formatCode>0.0</c:formatCode>
                <c:ptCount val="38"/>
                <c:pt idx="0">
                  <c:v>3.4824690008999966</c:v>
                </c:pt>
                <c:pt idx="1">
                  <c:v>2.7934385740000067</c:v>
                </c:pt>
                <c:pt idx="2">
                  <c:v>3.3397363911000042</c:v>
                </c:pt>
                <c:pt idx="3">
                  <c:v>2.4240605071999966</c:v>
                </c:pt>
                <c:pt idx="4">
                  <c:v>1.3060861837000033</c:v>
                </c:pt>
                <c:pt idx="5">
                  <c:v>-1.1913006246000037</c:v>
                </c:pt>
                <c:pt idx="6">
                  <c:v>1.5541405019999956</c:v>
                </c:pt>
                <c:pt idx="7">
                  <c:v>1.2878413721000044</c:v>
                </c:pt>
                <c:pt idx="8">
                  <c:v>5.6991785797000034</c:v>
                </c:pt>
                <c:pt idx="9">
                  <c:v>5.5722364333000058</c:v>
                </c:pt>
                <c:pt idx="10">
                  <c:v>3.3112064832999977</c:v>
                </c:pt>
                <c:pt idx="11">
                  <c:v>2.4385054390999983</c:v>
                </c:pt>
                <c:pt idx="12">
                  <c:v>4.8776432854999996</c:v>
                </c:pt>
                <c:pt idx="13">
                  <c:v>3.1428894752999952</c:v>
                </c:pt>
                <c:pt idx="14">
                  <c:v>3.5062767616000059</c:v>
                </c:pt>
                <c:pt idx="15">
                  <c:v>0.9447540274999966</c:v>
                </c:pt>
                <c:pt idx="16">
                  <c:v>-2.0638978244000015</c:v>
                </c:pt>
                <c:pt idx="17">
                  <c:v>2.0119271263999963</c:v>
                </c:pt>
                <c:pt idx="18">
                  <c:v>0.46201626920000649</c:v>
                </c:pt>
                <c:pt idx="19">
                  <c:v>3.6792793010999958</c:v>
                </c:pt>
                <c:pt idx="20">
                  <c:v>-3.7161332750000042</c:v>
                </c:pt>
                <c:pt idx="21">
                  <c:v>-20.482789201800003</c:v>
                </c:pt>
                <c:pt idx="22">
                  <c:v>-13.818107271499997</c:v>
                </c:pt>
                <c:pt idx="23">
                  <c:v>-12.693117899800001</c:v>
                </c:pt>
                <c:pt idx="24">
                  <c:v>-6.3677912030999977</c:v>
                </c:pt>
                <c:pt idx="25">
                  <c:v>14.475301331099999</c:v>
                </c:pt>
                <c:pt idx="26">
                  <c:v>9.8368982478999953</c:v>
                </c:pt>
                <c:pt idx="27">
                  <c:v>12.467820546200002</c:v>
                </c:pt>
                <c:pt idx="28">
                  <c:v>13.604038667400005</c:v>
                </c:pt>
                <c:pt idx="29">
                  <c:v>12.575268646699996</c:v>
                </c:pt>
                <c:pt idx="30">
                  <c:v>6.8787438821999984</c:v>
                </c:pt>
                <c:pt idx="31">
                  <c:v>3.1436581667999945</c:v>
                </c:pt>
                <c:pt idx="32">
                  <c:v>1.5945393015000064</c:v>
                </c:pt>
                <c:pt idx="33">
                  <c:v>-1.6640251329999955</c:v>
                </c:pt>
                <c:pt idx="34">
                  <c:v>-3.8422928604999953</c:v>
                </c:pt>
                <c:pt idx="35">
                  <c:v>-2.196745511900005</c:v>
                </c:pt>
                <c:pt idx="36">
                  <c:v>0.98371253290000027</c:v>
                </c:pt>
              </c:numCache>
            </c:numRef>
          </c:val>
          <c:smooth val="0"/>
          <c:extLst>
            <c:ext xmlns:c16="http://schemas.microsoft.com/office/drawing/2014/chart" uri="{C3380CC4-5D6E-409C-BE32-E72D297353CC}">
              <c16:uniqueId val="{00000006-D41C-4E7E-8BB2-805FE0CE34D4}"/>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růstu-4'!$J$33</c:f>
              <c:strCache>
                <c:ptCount val="1"/>
                <c:pt idx="0">
                  <c:v>Saldo indikátoru důvěry ve službách</c:v>
                </c:pt>
              </c:strCache>
            </c:strRef>
          </c:tx>
          <c:spPr>
            <a:ln w="3175">
              <a:solidFill>
                <a:schemeClr val="bg1">
                  <a:lumMod val="50000"/>
                </a:schemeClr>
              </a:solidFill>
              <a:prstDash val="sysDash"/>
            </a:ln>
          </c:spPr>
          <c:marker>
            <c:symbol val="diamond"/>
            <c:size val="5"/>
            <c:spPr>
              <a:solidFill>
                <a:srgbClr val="FFFF00"/>
              </a:solidFill>
              <a:ln w="6350">
                <a:solidFill>
                  <a:schemeClr val="tx1">
                    <a:lumMod val="85000"/>
                    <a:lumOff val="15000"/>
                  </a:schemeClr>
                </a:solidFill>
              </a:ln>
            </c:spPr>
          </c:marker>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růstu-4'!$J$46:$J$83</c:f>
              <c:numCache>
                <c:formatCode>#\ ##0.0</c:formatCode>
                <c:ptCount val="38"/>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pt idx="26">
                  <c:v>24.3</c:v>
                </c:pt>
                <c:pt idx="27">
                  <c:v>27</c:v>
                </c:pt>
                <c:pt idx="28">
                  <c:v>31</c:v>
                </c:pt>
                <c:pt idx="29">
                  <c:v>40</c:v>
                </c:pt>
                <c:pt idx="30">
                  <c:v>27.7</c:v>
                </c:pt>
                <c:pt idx="31">
                  <c:v>21.3</c:v>
                </c:pt>
                <c:pt idx="32">
                  <c:v>24</c:v>
                </c:pt>
                <c:pt idx="33" formatCode="0.0">
                  <c:v>28</c:v>
                </c:pt>
                <c:pt idx="34" formatCode="0.0">
                  <c:v>25.7</c:v>
                </c:pt>
                <c:pt idx="35" formatCode="0.0">
                  <c:v>22.7</c:v>
                </c:pt>
                <c:pt idx="36" formatCode="0.0">
                  <c:v>21.3</c:v>
                </c:pt>
                <c:pt idx="37" formatCode="0.0">
                  <c:v>30.1</c:v>
                </c:pt>
              </c:numCache>
            </c:numRef>
          </c:val>
          <c:smooth val="0"/>
          <c:extLst>
            <c:ext xmlns:c16="http://schemas.microsoft.com/office/drawing/2014/chart" uri="{C3380CC4-5D6E-409C-BE32-E72D297353CC}">
              <c16:uniqueId val="{00000007-D41C-4E7E-8BB2-805FE0CE34D4}"/>
            </c:ext>
          </c:extLst>
        </c:ser>
        <c:ser>
          <c:idx val="8"/>
          <c:order val="8"/>
          <c:tx>
            <c:strRef>
              <c:f>'Služby-příspěvkyk růstu-4'!$K$33</c:f>
              <c:strCache>
                <c:ptCount val="1"/>
                <c:pt idx="0">
                  <c:v>Bariéra růstu: nedostatečná poptávka</c:v>
                </c:pt>
              </c:strCache>
            </c:strRef>
          </c:tx>
          <c:spPr>
            <a:ln w="15875">
              <a:solidFill>
                <a:srgbClr val="CA945E"/>
              </a:solidFill>
              <a:prstDash val="solid"/>
            </a:ln>
          </c:spPr>
          <c:marker>
            <c:symbol val="none"/>
          </c:marker>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růstu-4'!$K$46:$K$83</c:f>
              <c:numCache>
                <c:formatCode>#\ ##0.0</c:formatCode>
                <c:ptCount val="38"/>
                <c:pt idx="0">
                  <c:v>26</c:v>
                </c:pt>
                <c:pt idx="1">
                  <c:v>29.3</c:v>
                </c:pt>
                <c:pt idx="2">
                  <c:v>26.1</c:v>
                </c:pt>
                <c:pt idx="3">
                  <c:v>24.7</c:v>
                </c:pt>
                <c:pt idx="4">
                  <c:v>23.3</c:v>
                </c:pt>
                <c:pt idx="5">
                  <c:v>25.1</c:v>
                </c:pt>
                <c:pt idx="6">
                  <c:v>20.2</c:v>
                </c:pt>
                <c:pt idx="7">
                  <c:v>24.4</c:v>
                </c:pt>
                <c:pt idx="8">
                  <c:v>25.8</c:v>
                </c:pt>
                <c:pt idx="9">
                  <c:v>20.5</c:v>
                </c:pt>
                <c:pt idx="10">
                  <c:v>18.399999999999999</c:v>
                </c:pt>
                <c:pt idx="11">
                  <c:v>21.6</c:v>
                </c:pt>
                <c:pt idx="12">
                  <c:v>16.899999999999999</c:v>
                </c:pt>
                <c:pt idx="13">
                  <c:v>19.399999999999999</c:v>
                </c:pt>
                <c:pt idx="14">
                  <c:v>17.899999999999999</c:v>
                </c:pt>
                <c:pt idx="15">
                  <c:v>20.7</c:v>
                </c:pt>
                <c:pt idx="16">
                  <c:v>20.6</c:v>
                </c:pt>
                <c:pt idx="17">
                  <c:v>16.899999999999999</c:v>
                </c:pt>
                <c:pt idx="18">
                  <c:v>20.5</c:v>
                </c:pt>
                <c:pt idx="19">
                  <c:v>14.4</c:v>
                </c:pt>
                <c:pt idx="20">
                  <c:v>21.3</c:v>
                </c:pt>
                <c:pt idx="21">
                  <c:v>30.2</c:v>
                </c:pt>
                <c:pt idx="22">
                  <c:v>30.4</c:v>
                </c:pt>
                <c:pt idx="23">
                  <c:v>39.200000000000003</c:v>
                </c:pt>
                <c:pt idx="24">
                  <c:v>34.799999999999997</c:v>
                </c:pt>
                <c:pt idx="25">
                  <c:v>36.799999999999997</c:v>
                </c:pt>
                <c:pt idx="26">
                  <c:v>28.9</c:v>
                </c:pt>
                <c:pt idx="27">
                  <c:v>26.3</c:v>
                </c:pt>
                <c:pt idx="28">
                  <c:v>31.6</c:v>
                </c:pt>
                <c:pt idx="29">
                  <c:v>15</c:v>
                </c:pt>
                <c:pt idx="30">
                  <c:v>30.2</c:v>
                </c:pt>
                <c:pt idx="31">
                  <c:v>17.600000000000001</c:v>
                </c:pt>
                <c:pt idx="32">
                  <c:v>25.4</c:v>
                </c:pt>
                <c:pt idx="33">
                  <c:v>19.100000000000001</c:v>
                </c:pt>
                <c:pt idx="34">
                  <c:v>26</c:v>
                </c:pt>
                <c:pt idx="35">
                  <c:v>23</c:v>
                </c:pt>
                <c:pt idx="36">
                  <c:v>18.5</c:v>
                </c:pt>
                <c:pt idx="37">
                  <c:v>19.2</c:v>
                </c:pt>
              </c:numCache>
            </c:numRef>
          </c:val>
          <c:smooth val="0"/>
          <c:extLst>
            <c:ext xmlns:c16="http://schemas.microsoft.com/office/drawing/2014/chart" uri="{C3380CC4-5D6E-409C-BE32-E72D297353CC}">
              <c16:uniqueId val="{00000008-D41C-4E7E-8BB2-805FE0CE34D4}"/>
            </c:ext>
          </c:extLst>
        </c:ser>
        <c:ser>
          <c:idx val="9"/>
          <c:order val="9"/>
          <c:tx>
            <c:strRef>
              <c:f>'Služby-příspěvkyk růstu-4'!$L$33</c:f>
              <c:strCache>
                <c:ptCount val="1"/>
                <c:pt idx="0">
                  <c:v>Bariéra růstu: nedostatek pracovníků</c:v>
                </c:pt>
              </c:strCache>
            </c:strRef>
          </c:tx>
          <c:spPr>
            <a:ln w="15875">
              <a:solidFill>
                <a:srgbClr val="CA945E"/>
              </a:solidFill>
              <a:prstDash val="sysDash"/>
            </a:ln>
          </c:spPr>
          <c:marker>
            <c:symbol val="none"/>
          </c:marker>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růstu-4'!$L$46:$L$83</c:f>
              <c:numCache>
                <c:formatCode>#\ ##0.0</c:formatCode>
                <c:ptCount val="38"/>
                <c:pt idx="0">
                  <c:v>1.3</c:v>
                </c:pt>
                <c:pt idx="1">
                  <c:v>6</c:v>
                </c:pt>
                <c:pt idx="2">
                  <c:v>7.2</c:v>
                </c:pt>
                <c:pt idx="3">
                  <c:v>5.6</c:v>
                </c:pt>
                <c:pt idx="4">
                  <c:v>7.5</c:v>
                </c:pt>
                <c:pt idx="5">
                  <c:v>4.5</c:v>
                </c:pt>
                <c:pt idx="6">
                  <c:v>7.9</c:v>
                </c:pt>
                <c:pt idx="7">
                  <c:v>9.5</c:v>
                </c:pt>
                <c:pt idx="8">
                  <c:v>9.4</c:v>
                </c:pt>
                <c:pt idx="9">
                  <c:v>9.6999999999999993</c:v>
                </c:pt>
                <c:pt idx="10">
                  <c:v>9.8000000000000007</c:v>
                </c:pt>
                <c:pt idx="11">
                  <c:v>12.8</c:v>
                </c:pt>
                <c:pt idx="12">
                  <c:v>13.9</c:v>
                </c:pt>
                <c:pt idx="13">
                  <c:v>16.3</c:v>
                </c:pt>
                <c:pt idx="14">
                  <c:v>17.5</c:v>
                </c:pt>
                <c:pt idx="15">
                  <c:v>18.899999999999999</c:v>
                </c:pt>
                <c:pt idx="16">
                  <c:v>19.3</c:v>
                </c:pt>
                <c:pt idx="17">
                  <c:v>15</c:v>
                </c:pt>
                <c:pt idx="18">
                  <c:v>21.5</c:v>
                </c:pt>
                <c:pt idx="19">
                  <c:v>19.8</c:v>
                </c:pt>
                <c:pt idx="20">
                  <c:v>19.5</c:v>
                </c:pt>
                <c:pt idx="21">
                  <c:v>10</c:v>
                </c:pt>
                <c:pt idx="22">
                  <c:v>10</c:v>
                </c:pt>
                <c:pt idx="23">
                  <c:v>12.6</c:v>
                </c:pt>
                <c:pt idx="24">
                  <c:v>12.7</c:v>
                </c:pt>
                <c:pt idx="25">
                  <c:v>8.5</c:v>
                </c:pt>
                <c:pt idx="26">
                  <c:v>17.399999999999999</c:v>
                </c:pt>
                <c:pt idx="27">
                  <c:v>20.6</c:v>
                </c:pt>
                <c:pt idx="28">
                  <c:v>20.2</c:v>
                </c:pt>
                <c:pt idx="29">
                  <c:v>10.9</c:v>
                </c:pt>
                <c:pt idx="30">
                  <c:v>17.899999999999999</c:v>
                </c:pt>
                <c:pt idx="31">
                  <c:v>6.6</c:v>
                </c:pt>
                <c:pt idx="32">
                  <c:v>9.3000000000000007</c:v>
                </c:pt>
                <c:pt idx="33">
                  <c:v>9.6999999999999993</c:v>
                </c:pt>
                <c:pt idx="34">
                  <c:v>9.1999999999999993</c:v>
                </c:pt>
                <c:pt idx="35">
                  <c:v>12.3</c:v>
                </c:pt>
                <c:pt idx="36">
                  <c:v>8.3000000000000007</c:v>
                </c:pt>
                <c:pt idx="37">
                  <c:v>8.1</c:v>
                </c:pt>
              </c:numCache>
            </c:numRef>
          </c:val>
          <c:smooth val="0"/>
          <c:extLst>
            <c:ext xmlns:c16="http://schemas.microsoft.com/office/drawing/2014/chart" uri="{C3380CC4-5D6E-409C-BE32-E72D297353CC}">
              <c16:uniqueId val="{00000009-D41C-4E7E-8BB2-805FE0CE34D4}"/>
            </c:ext>
          </c:extLst>
        </c:ser>
        <c:ser>
          <c:idx val="10"/>
          <c:order val="10"/>
          <c:tx>
            <c:strRef>
              <c:f>'Služby-příspěvkyk růstu-4'!$M$33</c:f>
              <c:strCache>
                <c:ptCount val="1"/>
                <c:pt idx="0">
                  <c:v>Tržby celkem (báze 2021=100, stálé ceny)</c:v>
                </c:pt>
              </c:strCache>
            </c:strRef>
          </c:tx>
          <c:spPr>
            <a:ln w="15875">
              <a:solidFill>
                <a:schemeClr val="tx1"/>
              </a:solidFill>
            </a:ln>
          </c:spPr>
          <c:marker>
            <c:symbol val="none"/>
          </c:marker>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růstu-4'!$M$46:$M$83</c:f>
              <c:numCache>
                <c:formatCode>0.0</c:formatCode>
                <c:ptCount val="38"/>
                <c:pt idx="0">
                  <c:v>96.573148776699995</c:v>
                </c:pt>
                <c:pt idx="1">
                  <c:v>97.567742240000001</c:v>
                </c:pt>
                <c:pt idx="2">
                  <c:v>97.872994153299999</c:v>
                </c:pt>
                <c:pt idx="3">
                  <c:v>98.145121336700001</c:v>
                </c:pt>
                <c:pt idx="4">
                  <c:v>97.141074036700005</c:v>
                </c:pt>
                <c:pt idx="5">
                  <c:v>97.220842383299996</c:v>
                </c:pt>
                <c:pt idx="6">
                  <c:v>99.043083436700002</c:v>
                </c:pt>
                <c:pt idx="7">
                  <c:v>100.26520352</c:v>
                </c:pt>
                <c:pt idx="8">
                  <c:v>101.4620500267</c:v>
                </c:pt>
                <c:pt idx="9">
                  <c:v>102.45930216329999</c:v>
                </c:pt>
                <c:pt idx="10">
                  <c:v>102.1784036567</c:v>
                </c:pt>
                <c:pt idx="11">
                  <c:v>103.2635152233</c:v>
                </c:pt>
                <c:pt idx="12">
                  <c:v>106.70430386</c:v>
                </c:pt>
                <c:pt idx="13">
                  <c:v>105.25291280330001</c:v>
                </c:pt>
                <c:pt idx="14">
                  <c:v>105.36498890670001</c:v>
                </c:pt>
                <c:pt idx="15">
                  <c:v>103.79346463</c:v>
                </c:pt>
                <c:pt idx="16">
                  <c:v>104.82319352330001</c:v>
                </c:pt>
                <c:pt idx="17">
                  <c:v>107.08876361</c:v>
                </c:pt>
                <c:pt idx="18">
                  <c:v>106.1526654733</c:v>
                </c:pt>
                <c:pt idx="19">
                  <c:v>106.10865794670001</c:v>
                </c:pt>
                <c:pt idx="20">
                  <c:v>100.92295789329999</c:v>
                </c:pt>
                <c:pt idx="21">
                  <c:v>86.568180609999999</c:v>
                </c:pt>
                <c:pt idx="22">
                  <c:v>93.956559496699995</c:v>
                </c:pt>
                <c:pt idx="23">
                  <c:v>92.2317662767</c:v>
                </c:pt>
                <c:pt idx="24">
                  <c:v>92.965516813299999</c:v>
                </c:pt>
                <c:pt idx="25">
                  <c:v>97.901801783300002</c:v>
                </c:pt>
                <c:pt idx="26">
                  <c:v>102.3585583033</c:v>
                </c:pt>
                <c:pt idx="27">
                  <c:v>104.46537254330001</c:v>
                </c:pt>
                <c:pt idx="28">
                  <c:v>106.45325914</c:v>
                </c:pt>
                <c:pt idx="29">
                  <c:v>108.90396645</c:v>
                </c:pt>
                <c:pt idx="30">
                  <c:v>109.44214839670001</c:v>
                </c:pt>
                <c:pt idx="31">
                  <c:v>108.8630989567</c:v>
                </c:pt>
                <c:pt idx="32">
                  <c:v>108.12874866670001</c:v>
                </c:pt>
                <c:pt idx="33">
                  <c:v>106.6843638</c:v>
                </c:pt>
                <c:pt idx="34">
                  <c:v>105.7650493733</c:v>
                </c:pt>
                <c:pt idx="35">
                  <c:v>106.41110612670001</c:v>
                </c:pt>
                <c:pt idx="36">
                  <c:v>108.78868739329999</c:v>
                </c:pt>
              </c:numCache>
            </c:numRef>
          </c:val>
          <c:smooth val="0"/>
          <c:extLst>
            <c:ext xmlns:c16="http://schemas.microsoft.com/office/drawing/2014/chart" uri="{C3380CC4-5D6E-409C-BE32-E72D297353CC}">
              <c16:uniqueId val="{0000000A-D41C-4E7E-8BB2-805FE0CE34D4}"/>
            </c:ext>
          </c:extLst>
        </c:ser>
        <c:ser>
          <c:idx val="11"/>
          <c:order val="11"/>
          <c:tx>
            <c:strRef>
              <c:f>'Služby-příspěvkyk růstu-4'!$N$33</c:f>
              <c:strCache>
                <c:ptCount val="1"/>
                <c:pt idx="0">
                  <c:v>Tržby celkem (báze 2021=100, běžné ceny)</c:v>
                </c:pt>
              </c:strCache>
            </c:strRef>
          </c:tx>
          <c:spPr>
            <a:ln w="15875">
              <a:solidFill>
                <a:schemeClr val="bg2">
                  <a:lumMod val="25000"/>
                </a:schemeClr>
              </a:solidFill>
              <a:prstDash val="sysDash"/>
            </a:ln>
          </c:spPr>
          <c:marker>
            <c:symbol val="none"/>
          </c:marker>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růstu-4'!$N$46:$N$83</c:f>
              <c:numCache>
                <c:formatCode>0.0</c:formatCode>
                <c:ptCount val="38"/>
                <c:pt idx="0">
                  <c:v>87.052195600000005</c:v>
                </c:pt>
                <c:pt idx="1">
                  <c:v>87.976303153299995</c:v>
                </c:pt>
                <c:pt idx="2">
                  <c:v>88.373010003299996</c:v>
                </c:pt>
                <c:pt idx="3">
                  <c:v>88.620892873299994</c:v>
                </c:pt>
                <c:pt idx="4">
                  <c:v>87.738386106700005</c:v>
                </c:pt>
                <c:pt idx="5">
                  <c:v>88.030049489999996</c:v>
                </c:pt>
                <c:pt idx="6">
                  <c:v>89.823697393299994</c:v>
                </c:pt>
                <c:pt idx="7">
                  <c:v>91.207866260000003</c:v>
                </c:pt>
                <c:pt idx="8">
                  <c:v>92.834550640000003</c:v>
                </c:pt>
                <c:pt idx="9">
                  <c:v>94.103815076700002</c:v>
                </c:pt>
                <c:pt idx="10">
                  <c:v>94.369418403300003</c:v>
                </c:pt>
                <c:pt idx="11">
                  <c:v>95.836186386700007</c:v>
                </c:pt>
                <c:pt idx="12">
                  <c:v>99.311500843299996</c:v>
                </c:pt>
                <c:pt idx="13">
                  <c:v>98.708597956700004</c:v>
                </c:pt>
                <c:pt idx="14">
                  <c:v>99.642436860000004</c:v>
                </c:pt>
                <c:pt idx="15">
                  <c:v>98.769212440000004</c:v>
                </c:pt>
                <c:pt idx="16">
                  <c:v>99.79161551</c:v>
                </c:pt>
                <c:pt idx="17">
                  <c:v>103.22613569329999</c:v>
                </c:pt>
                <c:pt idx="18">
                  <c:v>102.99220393</c:v>
                </c:pt>
                <c:pt idx="19">
                  <c:v>103.49625471</c:v>
                </c:pt>
                <c:pt idx="20">
                  <c:v>98.534612966699996</c:v>
                </c:pt>
                <c:pt idx="21">
                  <c:v>84.950969126700002</c:v>
                </c:pt>
                <c:pt idx="22">
                  <c:v>92.709010469999996</c:v>
                </c:pt>
                <c:pt idx="23">
                  <c:v>91.428986266699994</c:v>
                </c:pt>
                <c:pt idx="24">
                  <c:v>92.179819323299995</c:v>
                </c:pt>
                <c:pt idx="25">
                  <c:v>97.209715376700004</c:v>
                </c:pt>
                <c:pt idx="26">
                  <c:v>102.40711671</c:v>
                </c:pt>
                <c:pt idx="27">
                  <c:v>105.9785980667</c:v>
                </c:pt>
                <c:pt idx="28">
                  <c:v>109.98012144</c:v>
                </c:pt>
                <c:pt idx="29">
                  <c:v>115.0236642533</c:v>
                </c:pt>
                <c:pt idx="30">
                  <c:v>118.0350817133</c:v>
                </c:pt>
                <c:pt idx="31">
                  <c:v>119.4196692133</c:v>
                </c:pt>
                <c:pt idx="32">
                  <c:v>120.91119458670001</c:v>
                </c:pt>
                <c:pt idx="33">
                  <c:v>121.2804678633</c:v>
                </c:pt>
                <c:pt idx="34">
                  <c:v>121.58539103</c:v>
                </c:pt>
                <c:pt idx="35">
                  <c:v>123.72364791</c:v>
                </c:pt>
                <c:pt idx="36">
                  <c:v>127.27845815000001</c:v>
                </c:pt>
              </c:numCache>
            </c:numRef>
          </c:val>
          <c:smooth val="0"/>
          <c:extLst>
            <c:ext xmlns:c16="http://schemas.microsoft.com/office/drawing/2014/chart" uri="{C3380CC4-5D6E-409C-BE32-E72D297353CC}">
              <c16:uniqueId val="{0000000B-D41C-4E7E-8BB2-805FE0CE34D4}"/>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5"/>
          <c:min val="-30"/>
        </c:scaling>
        <c:delete val="0"/>
        <c:axPos val="l"/>
        <c:majorGridlines>
          <c:spPr>
            <a:ln w="6350">
              <a:solidFill>
                <a:schemeClr val="bg1">
                  <a:lumMod val="75000"/>
                </a:schemeClr>
              </a:solidFill>
            </a:ln>
          </c:spPr>
        </c:majorGridlines>
        <c:title>
          <c:tx>
            <c:rich>
              <a:bodyPr/>
              <a:lstStyle/>
              <a:p>
                <a:pPr>
                  <a:defRPr sz="700" b="0" i="1"/>
                </a:pPr>
                <a:r>
                  <a:rPr lang="cs-CZ" sz="700" b="0" i="1"/>
                  <a:t>Tržby (příspěvky k</a:t>
                </a:r>
                <a:r>
                  <a:rPr lang="cs-CZ" sz="700" b="0" i="1" baseline="0"/>
                  <a:t> meziroční změně)</a:t>
                </a:r>
                <a:endParaRPr lang="cs-CZ" sz="700" b="0" i="1"/>
              </a:p>
            </c:rich>
          </c:tx>
          <c:layout>
            <c:manualLayout>
              <c:xMode val="edge"/>
              <c:yMode val="edge"/>
              <c:x val="0"/>
              <c:y val="0.1364926551121953"/>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5"/>
      </c:valAx>
      <c:valAx>
        <c:axId val="156575232"/>
        <c:scaling>
          <c:orientation val="minMax"/>
          <c:max val="15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cs-CZ" sz="700" b="0" i="1" baseline="0">
                    <a:effectLst/>
                  </a:rPr>
                  <a:t>Tržby (báze 2015=100)</a:t>
                </a:r>
                <a:r>
                  <a:rPr lang="cs-CZ" sz="700" b="0" i="1"/>
                  <a:t>, Saldo důvěry, bariéry růstu</a:t>
                </a:r>
              </a:p>
            </c:rich>
          </c:tx>
          <c:layout>
            <c:manualLayout>
              <c:xMode val="edge"/>
              <c:yMode val="edge"/>
              <c:x val="0.97059962406015032"/>
              <c:y val="7.2968499427262329E-2"/>
            </c:manualLayout>
          </c:layout>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2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lumMod val="75000"/>
              <a:lumOff val="25000"/>
            </a:schemeClr>
          </a:solidFill>
        </a:ln>
      </c:spPr>
    </c:plotArea>
    <c:legend>
      <c:legendPos val="r"/>
      <c:layout>
        <c:manualLayout>
          <c:xMode val="edge"/>
          <c:yMode val="edge"/>
          <c:x val="2.7894149438737266E-3"/>
          <c:y val="0.80683901693256121"/>
          <c:w val="0.99229354112783008"/>
          <c:h val="0.18952404020147029"/>
        </c:manualLayout>
      </c:layout>
      <c:overlay val="0"/>
      <c:spPr>
        <a:ln w="6350">
          <a:solidFill>
            <a:schemeClr val="tx1"/>
          </a:solidFill>
        </a:ln>
      </c:spPr>
      <c:txPr>
        <a:bodyPr/>
        <a:lstStyle/>
        <a:p>
          <a:pPr>
            <a:defRPr sz="72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61666861125732E-2"/>
          <c:y val="1.5803328678987455E-2"/>
          <c:w val="0.85082109029523101"/>
          <c:h val="0.73450542783153383"/>
        </c:manualLayout>
      </c:layout>
      <c:barChart>
        <c:barDir val="col"/>
        <c:grouping val="stacked"/>
        <c:varyColors val="0"/>
        <c:ser>
          <c:idx val="0"/>
          <c:order val="1"/>
          <c:tx>
            <c:strRef>
              <c:f>'výkonnost odvětví 5a'!$E$66</c:f>
              <c:strCache>
                <c:ptCount val="1"/>
                <c:pt idx="0">
                  <c:v>Maloobchod s potravinami (příspěvek)</c:v>
                </c:pt>
              </c:strCache>
            </c:strRef>
          </c:tx>
          <c:spPr>
            <a:solidFill>
              <a:srgbClr val="92D050"/>
            </a:solidFill>
            <a:ln w="15875">
              <a:noFill/>
            </a:ln>
          </c:spPr>
          <c:invertIfNegative val="0"/>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5a'!$E$67:$E$104</c:f>
              <c:numCache>
                <c:formatCode>#\ ##0.0</c:formatCode>
                <c:ptCount val="38"/>
                <c:pt idx="0">
                  <c:v>1.7523817972228575</c:v>
                </c:pt>
                <c:pt idx="1">
                  <c:v>1.1495538604575486</c:v>
                </c:pt>
                <c:pt idx="2">
                  <c:v>1.851654245012579</c:v>
                </c:pt>
                <c:pt idx="3">
                  <c:v>1.4230053336458297</c:v>
                </c:pt>
                <c:pt idx="4">
                  <c:v>1.7335386338403211</c:v>
                </c:pt>
                <c:pt idx="5">
                  <c:v>1.4057978539692639</c:v>
                </c:pt>
                <c:pt idx="6">
                  <c:v>1.0226992305466713</c:v>
                </c:pt>
                <c:pt idx="7">
                  <c:v>-4.5727948098357493E-2</c:v>
                </c:pt>
                <c:pt idx="8">
                  <c:v>0.76530947894932633</c:v>
                </c:pt>
                <c:pt idx="9">
                  <c:v>1.3628557482991555</c:v>
                </c:pt>
                <c:pt idx="10">
                  <c:v>1.1031113273196382</c:v>
                </c:pt>
                <c:pt idx="11">
                  <c:v>0.92620191285996878</c:v>
                </c:pt>
                <c:pt idx="12">
                  <c:v>1.4716867951941146</c:v>
                </c:pt>
                <c:pt idx="13">
                  <c:v>0.53065594307662001</c:v>
                </c:pt>
                <c:pt idx="14">
                  <c:v>0.93178458575098189</c:v>
                </c:pt>
                <c:pt idx="15">
                  <c:v>0.38805043936963324</c:v>
                </c:pt>
                <c:pt idx="16">
                  <c:v>-0.29388750825225862</c:v>
                </c:pt>
                <c:pt idx="17">
                  <c:v>1.4252855332899248</c:v>
                </c:pt>
                <c:pt idx="18">
                  <c:v>0.13007735319413302</c:v>
                </c:pt>
                <c:pt idx="19">
                  <c:v>1.4154025710079869</c:v>
                </c:pt>
                <c:pt idx="20">
                  <c:v>0.68707923703683382</c:v>
                </c:pt>
                <c:pt idx="21">
                  <c:v>-1.8614966729136802</c:v>
                </c:pt>
                <c:pt idx="22">
                  <c:v>-0.64766112448952962</c:v>
                </c:pt>
                <c:pt idx="23">
                  <c:v>-0.28286695735560252</c:v>
                </c:pt>
                <c:pt idx="24">
                  <c:v>-0.59945776684894103</c:v>
                </c:pt>
                <c:pt idx="25">
                  <c:v>0.49925741114778438</c:v>
                </c:pt>
                <c:pt idx="26">
                  <c:v>-0.28684739324213138</c:v>
                </c:pt>
                <c:pt idx="27">
                  <c:v>3.3890766152356569E-4</c:v>
                </c:pt>
                <c:pt idx="28">
                  <c:v>-5.5003462314557681E-2</c:v>
                </c:pt>
                <c:pt idx="29">
                  <c:v>-1.116425585335286</c:v>
                </c:pt>
                <c:pt idx="30">
                  <c:v>-2.2894596242379706</c:v>
                </c:pt>
                <c:pt idx="31">
                  <c:v>-3.2452244496380844</c:v>
                </c:pt>
                <c:pt idx="32">
                  <c:v>-3.1064671268122637</c:v>
                </c:pt>
                <c:pt idx="33">
                  <c:v>-2.8489038239817259</c:v>
                </c:pt>
                <c:pt idx="34">
                  <c:v>-1.6942722868569733</c:v>
                </c:pt>
                <c:pt idx="35">
                  <c:v>-0.73091498083813977</c:v>
                </c:pt>
                <c:pt idx="36">
                  <c:v>0.90476481936768205</c:v>
                </c:pt>
              </c:numCache>
            </c:numRef>
          </c:val>
          <c:extLst>
            <c:ext xmlns:c16="http://schemas.microsoft.com/office/drawing/2014/chart" uri="{C3380CC4-5D6E-409C-BE32-E72D297353CC}">
              <c16:uniqueId val="{00000000-4731-4577-B0BC-FB9D123D86ED}"/>
            </c:ext>
          </c:extLst>
        </c:ser>
        <c:ser>
          <c:idx val="1"/>
          <c:order val="2"/>
          <c:tx>
            <c:strRef>
              <c:f>'výkonnost odvětví 5a'!$F$66</c:f>
              <c:strCache>
                <c:ptCount val="1"/>
                <c:pt idx="0">
                  <c:v>Mal. s nepotravinářským zbož. (příspěvek)</c:v>
                </c:pt>
              </c:strCache>
            </c:strRef>
          </c:tx>
          <c:spPr>
            <a:solidFill>
              <a:schemeClr val="accent1">
                <a:lumMod val="40000"/>
                <a:lumOff val="60000"/>
              </a:schemeClr>
            </a:solidFill>
            <a:ln w="15875">
              <a:noFill/>
            </a:ln>
          </c:spPr>
          <c:invertIfNegative val="0"/>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5a'!$F$67:$F$104</c:f>
              <c:numCache>
                <c:formatCode>#\ ##0.0</c:formatCode>
                <c:ptCount val="38"/>
                <c:pt idx="0">
                  <c:v>3.196375922725744</c:v>
                </c:pt>
                <c:pt idx="1">
                  <c:v>3.8741896087490026</c:v>
                </c:pt>
                <c:pt idx="2">
                  <c:v>2.6728850705219784</c:v>
                </c:pt>
                <c:pt idx="3">
                  <c:v>3.6626826182851304</c:v>
                </c:pt>
                <c:pt idx="4">
                  <c:v>2.7862532923580798</c:v>
                </c:pt>
                <c:pt idx="5">
                  <c:v>2.5540667218407971</c:v>
                </c:pt>
                <c:pt idx="6">
                  <c:v>3.2508787600372759</c:v>
                </c:pt>
                <c:pt idx="7">
                  <c:v>3.4435667776451586</c:v>
                </c:pt>
                <c:pt idx="8">
                  <c:v>4.1783561564843161</c:v>
                </c:pt>
                <c:pt idx="9">
                  <c:v>4.4153226755500015</c:v>
                </c:pt>
                <c:pt idx="10">
                  <c:v>4.0607561596078439</c:v>
                </c:pt>
                <c:pt idx="11">
                  <c:v>4.5695527698288956</c:v>
                </c:pt>
                <c:pt idx="12">
                  <c:v>3.963036260303999</c:v>
                </c:pt>
                <c:pt idx="13">
                  <c:v>3.3542121185564358</c:v>
                </c:pt>
                <c:pt idx="14">
                  <c:v>2.577047135089233</c:v>
                </c:pt>
                <c:pt idx="15">
                  <c:v>3.7162196737466258</c:v>
                </c:pt>
                <c:pt idx="16">
                  <c:v>1.303288764236783</c:v>
                </c:pt>
                <c:pt idx="17">
                  <c:v>2.4531469805048736</c:v>
                </c:pt>
                <c:pt idx="18">
                  <c:v>4.2934983663490245</c:v>
                </c:pt>
                <c:pt idx="19">
                  <c:v>5.6709230985066315</c:v>
                </c:pt>
                <c:pt idx="20">
                  <c:v>-5.7511622856734265E-2</c:v>
                </c:pt>
                <c:pt idx="21">
                  <c:v>-0.33300612932107432</c:v>
                </c:pt>
                <c:pt idx="22">
                  <c:v>1.4198268570219985</c:v>
                </c:pt>
                <c:pt idx="23">
                  <c:v>-1.8469460892868841</c:v>
                </c:pt>
                <c:pt idx="24">
                  <c:v>0.2146176354562036</c:v>
                </c:pt>
                <c:pt idx="25">
                  <c:v>5.5786519962374692</c:v>
                </c:pt>
                <c:pt idx="26">
                  <c:v>3.6251923460234301</c:v>
                </c:pt>
                <c:pt idx="27">
                  <c:v>5.6711329572658684</c:v>
                </c:pt>
                <c:pt idx="28">
                  <c:v>5.9928697694660826</c:v>
                </c:pt>
                <c:pt idx="29">
                  <c:v>-0.95182988043777472</c:v>
                </c:pt>
                <c:pt idx="30">
                  <c:v>-3.9413217379342238</c:v>
                </c:pt>
                <c:pt idx="31">
                  <c:v>-5.6405125530778859</c:v>
                </c:pt>
                <c:pt idx="32">
                  <c:v>-4.7806870874709402</c:v>
                </c:pt>
                <c:pt idx="33">
                  <c:v>-4.4945139551000004</c:v>
                </c:pt>
                <c:pt idx="34">
                  <c:v>-2.4599463056921138</c:v>
                </c:pt>
                <c:pt idx="35">
                  <c:v>0.45421290321217583</c:v>
                </c:pt>
                <c:pt idx="36">
                  <c:v>2.5302484619571892</c:v>
                </c:pt>
              </c:numCache>
            </c:numRef>
          </c:val>
          <c:extLst>
            <c:ext xmlns:c16="http://schemas.microsoft.com/office/drawing/2014/chart" uri="{C3380CC4-5D6E-409C-BE32-E72D297353CC}">
              <c16:uniqueId val="{00000001-4731-4577-B0BC-FB9D123D86ED}"/>
            </c:ext>
          </c:extLst>
        </c:ser>
        <c:ser>
          <c:idx val="4"/>
          <c:order val="3"/>
          <c:tx>
            <c:strRef>
              <c:f>'výkonnost odvětví 5a'!$G$66</c:f>
              <c:strCache>
                <c:ptCount val="1"/>
                <c:pt idx="0">
                  <c:v>Maloobchodní prodej PHM (příspěvek)</c:v>
                </c:pt>
              </c:strCache>
            </c:strRef>
          </c:tx>
          <c:spPr>
            <a:solidFill>
              <a:schemeClr val="accent6">
                <a:lumMod val="40000"/>
                <a:lumOff val="60000"/>
              </a:schemeClr>
            </a:solidFill>
            <a:ln w="15875">
              <a:noFill/>
            </a:ln>
          </c:spPr>
          <c:invertIfNegative val="0"/>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5a'!$G$67:$G$104</c:f>
              <c:numCache>
                <c:formatCode>#\ ##0.0</c:formatCode>
                <c:ptCount val="38"/>
                <c:pt idx="0">
                  <c:v>0.75440023430656378</c:v>
                </c:pt>
                <c:pt idx="1">
                  <c:v>0.588112843666875</c:v>
                </c:pt>
                <c:pt idx="2">
                  <c:v>0.78402402568450724</c:v>
                </c:pt>
                <c:pt idx="3">
                  <c:v>0.94331728244946667</c:v>
                </c:pt>
                <c:pt idx="4">
                  <c:v>0.6744248436917698</c:v>
                </c:pt>
                <c:pt idx="5">
                  <c:v>0.72348584188138532</c:v>
                </c:pt>
                <c:pt idx="6">
                  <c:v>0.62302098548854723</c:v>
                </c:pt>
                <c:pt idx="7">
                  <c:v>0.62533415443375595</c:v>
                </c:pt>
                <c:pt idx="8">
                  <c:v>0.54805568528260806</c:v>
                </c:pt>
                <c:pt idx="9">
                  <c:v>0.75356148860252614</c:v>
                </c:pt>
                <c:pt idx="10">
                  <c:v>0.84316485479481218</c:v>
                </c:pt>
                <c:pt idx="11">
                  <c:v>0.68534345825768528</c:v>
                </c:pt>
                <c:pt idx="12">
                  <c:v>0.66536323714663226</c:v>
                </c:pt>
                <c:pt idx="13">
                  <c:v>0.59516252422904425</c:v>
                </c:pt>
                <c:pt idx="14">
                  <c:v>0.3739332000264744</c:v>
                </c:pt>
                <c:pt idx="15">
                  <c:v>0.43257407692417521</c:v>
                </c:pt>
                <c:pt idx="16">
                  <c:v>0.17809135629917194</c:v>
                </c:pt>
                <c:pt idx="17">
                  <c:v>0.36908315571938399</c:v>
                </c:pt>
                <c:pt idx="18">
                  <c:v>0.27107333589466731</c:v>
                </c:pt>
                <c:pt idx="19">
                  <c:v>0.19660561540526125</c:v>
                </c:pt>
                <c:pt idx="20">
                  <c:v>-0.75718611502805722</c:v>
                </c:pt>
                <c:pt idx="21">
                  <c:v>-1.9736345702533769</c:v>
                </c:pt>
                <c:pt idx="22">
                  <c:v>8.4968496843834063E-2</c:v>
                </c:pt>
                <c:pt idx="23">
                  <c:v>-1.074545645994486</c:v>
                </c:pt>
                <c:pt idx="24">
                  <c:v>-0.67687282723007414</c:v>
                </c:pt>
                <c:pt idx="25">
                  <c:v>1.0678330249398988</c:v>
                </c:pt>
                <c:pt idx="26">
                  <c:v>0.3697522229450006</c:v>
                </c:pt>
                <c:pt idx="27">
                  <c:v>0.92363853266310525</c:v>
                </c:pt>
                <c:pt idx="28">
                  <c:v>1.2441898033622012</c:v>
                </c:pt>
                <c:pt idx="29">
                  <c:v>-0.71068466577624623</c:v>
                </c:pt>
                <c:pt idx="30">
                  <c:v>-1.4490112919395852</c:v>
                </c:pt>
                <c:pt idx="31">
                  <c:v>-0.43088561144311688</c:v>
                </c:pt>
                <c:pt idx="32">
                  <c:v>9.5306477727004887E-2</c:v>
                </c:pt>
                <c:pt idx="33">
                  <c:v>1.0462666694705238</c:v>
                </c:pt>
                <c:pt idx="34">
                  <c:v>1.0244863666798656</c:v>
                </c:pt>
                <c:pt idx="35">
                  <c:v>0.21076859333444284</c:v>
                </c:pt>
                <c:pt idx="36">
                  <c:v>0.48425973078510315</c:v>
                </c:pt>
              </c:numCache>
            </c:numRef>
          </c:val>
          <c:extLst>
            <c:ext xmlns:c16="http://schemas.microsoft.com/office/drawing/2014/chart" uri="{C3380CC4-5D6E-409C-BE32-E72D297353CC}">
              <c16:uniqueId val="{00000002-4731-4577-B0BC-FB9D123D86ED}"/>
            </c:ext>
          </c:extLst>
        </c:ser>
        <c:dLbls>
          <c:showLegendKey val="0"/>
          <c:showVal val="0"/>
          <c:showCatName val="0"/>
          <c:showSerName val="0"/>
          <c:showPercent val="0"/>
          <c:showBubbleSize val="0"/>
        </c:dLbls>
        <c:gapWidth val="31"/>
        <c:overlap val="100"/>
        <c:axId val="156100864"/>
        <c:axId val="156573696"/>
      </c:barChart>
      <c:lineChart>
        <c:grouping val="standard"/>
        <c:varyColors val="0"/>
        <c:ser>
          <c:idx val="3"/>
          <c:order val="0"/>
          <c:tx>
            <c:strRef>
              <c:f>'výkonnost odvětví 5a'!$D$66</c:f>
              <c:strCache>
                <c:ptCount val="1"/>
                <c:pt idx="0">
                  <c:v>Maloobchod celkem (meziroční růst)</c:v>
                </c:pt>
              </c:strCache>
            </c:strRef>
          </c:tx>
          <c:spPr>
            <a:ln>
              <a:noFill/>
            </a:ln>
          </c:spPr>
          <c:marker>
            <c:symbol val="dash"/>
            <c:size val="7"/>
            <c:spPr>
              <a:solidFill>
                <a:schemeClr val="tx1">
                  <a:lumMod val="85000"/>
                  <a:lumOff val="15000"/>
                </a:schemeClr>
              </a:solidFill>
              <a:ln w="6350">
                <a:noFill/>
              </a:ln>
            </c:spPr>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5a'!$D$67:$D$104</c:f>
              <c:numCache>
                <c:formatCode>#\ ##0.0</c:formatCode>
                <c:ptCount val="38"/>
                <c:pt idx="0">
                  <c:v>5.5650157121000063</c:v>
                </c:pt>
                <c:pt idx="1">
                  <c:v>5.3140316102000043</c:v>
                </c:pt>
                <c:pt idx="2">
                  <c:v>5.261668949500006</c:v>
                </c:pt>
                <c:pt idx="3">
                  <c:v>5.8260167462999988</c:v>
                </c:pt>
                <c:pt idx="4">
                  <c:v>5.1163484119999936</c:v>
                </c:pt>
                <c:pt idx="5">
                  <c:v>4.584747701699996</c:v>
                </c:pt>
                <c:pt idx="6">
                  <c:v>4.6478731618999944</c:v>
                </c:pt>
                <c:pt idx="7">
                  <c:v>3.5966109598000031</c:v>
                </c:pt>
                <c:pt idx="8">
                  <c:v>5.068305469799995</c:v>
                </c:pt>
                <c:pt idx="9">
                  <c:v>6.2034114922000043</c:v>
                </c:pt>
                <c:pt idx="10">
                  <c:v>5.6856724027999945</c:v>
                </c:pt>
                <c:pt idx="11">
                  <c:v>5.8244576314999961</c:v>
                </c:pt>
                <c:pt idx="12">
                  <c:v>5.9658330699000004</c:v>
                </c:pt>
                <c:pt idx="13">
                  <c:v>4.3854129643000022</c:v>
                </c:pt>
                <c:pt idx="14">
                  <c:v>3.8380531616000013</c:v>
                </c:pt>
                <c:pt idx="15">
                  <c:v>4.3570454750999943</c:v>
                </c:pt>
                <c:pt idx="16">
                  <c:v>1.1052891966999994</c:v>
                </c:pt>
                <c:pt idx="17">
                  <c:v>4.2167027101999963</c:v>
                </c:pt>
                <c:pt idx="18">
                  <c:v>4.5117376484000005</c:v>
                </c:pt>
                <c:pt idx="19">
                  <c:v>7.2113533302999997</c:v>
                </c:pt>
                <c:pt idx="20">
                  <c:v>-0.15887647600000321</c:v>
                </c:pt>
                <c:pt idx="21">
                  <c:v>-4.2817243594000018</c:v>
                </c:pt>
                <c:pt idx="22">
                  <c:v>0.81643935670000189</c:v>
                </c:pt>
                <c:pt idx="23">
                  <c:v>-3.1393056612999999</c:v>
                </c:pt>
                <c:pt idx="24">
                  <c:v>-1.1339262445000031</c:v>
                </c:pt>
                <c:pt idx="25">
                  <c:v>6.9765334139000004</c:v>
                </c:pt>
                <c:pt idx="26">
                  <c:v>3.5929001594000027</c:v>
                </c:pt>
                <c:pt idx="27">
                  <c:v>6.495331760900001</c:v>
                </c:pt>
                <c:pt idx="28">
                  <c:v>6.7858739243999935</c:v>
                </c:pt>
                <c:pt idx="29">
                  <c:v>-2.8204491440999959</c:v>
                </c:pt>
                <c:pt idx="30">
                  <c:v>-7.6590317472000038</c:v>
                </c:pt>
                <c:pt idx="31">
                  <c:v>-9.3175796111000011</c:v>
                </c:pt>
                <c:pt idx="32">
                  <c:v>-7.7721477110000023</c:v>
                </c:pt>
                <c:pt idx="33">
                  <c:v>-6.2830403553000025</c:v>
                </c:pt>
                <c:pt idx="34">
                  <c:v>-3.1476536481000039</c:v>
                </c:pt>
                <c:pt idx="35">
                  <c:v>-0.12905701249999879</c:v>
                </c:pt>
                <c:pt idx="36">
                  <c:v>3.9186090920999987</c:v>
                </c:pt>
              </c:numCache>
            </c:numRef>
          </c:val>
          <c:smooth val="0"/>
          <c:extLst>
            <c:ext xmlns:c16="http://schemas.microsoft.com/office/drawing/2014/chart" uri="{C3380CC4-5D6E-409C-BE32-E72D297353CC}">
              <c16:uniqueId val="{00000003-4731-4577-B0BC-FB9D123D86ED}"/>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5"/>
          <c:order val="4"/>
          <c:tx>
            <c:strRef>
              <c:f>'výkonnost odvětví 5a'!$H$66</c:f>
              <c:strCache>
                <c:ptCount val="1"/>
                <c:pt idx="0">
                  <c:v>Maloobchod, bez motor. segm. (2021=100)</c:v>
                </c:pt>
              </c:strCache>
            </c:strRef>
          </c:tx>
          <c:spPr>
            <a:ln w="15875">
              <a:solidFill>
                <a:schemeClr val="tx1">
                  <a:lumMod val="95000"/>
                  <a:lumOff val="5000"/>
                </a:schemeClr>
              </a:solidFill>
              <a:prstDash val="solid"/>
            </a:ln>
          </c:spPr>
          <c:marker>
            <c:symbol val="none"/>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5a'!$H$67:$H$104</c:f>
              <c:numCache>
                <c:formatCode>#\ ##0.0</c:formatCode>
                <c:ptCount val="38"/>
                <c:pt idx="0">
                  <c:v>79.387619700000002</c:v>
                </c:pt>
                <c:pt idx="1">
                  <c:v>80.3062253433</c:v>
                </c:pt>
                <c:pt idx="2">
                  <c:v>81.199263806700003</c:v>
                </c:pt>
                <c:pt idx="3">
                  <c:v>82.829916143299997</c:v>
                </c:pt>
                <c:pt idx="4">
                  <c:v>83.359185409999995</c:v>
                </c:pt>
                <c:pt idx="5">
                  <c:v>84.084432476700002</c:v>
                </c:pt>
                <c:pt idx="6">
                  <c:v>85.181352770000004</c:v>
                </c:pt>
                <c:pt idx="7">
                  <c:v>85.88258064</c:v>
                </c:pt>
                <c:pt idx="8">
                  <c:v>87.4984558867</c:v>
                </c:pt>
                <c:pt idx="9">
                  <c:v>89.139402750000002</c:v>
                </c:pt>
                <c:pt idx="10">
                  <c:v>90.153519266700002</c:v>
                </c:pt>
                <c:pt idx="11">
                  <c:v>90.503926663300007</c:v>
                </c:pt>
                <c:pt idx="12">
                  <c:v>93.105140056699994</c:v>
                </c:pt>
                <c:pt idx="13">
                  <c:v>93.1742804167</c:v>
                </c:pt>
                <c:pt idx="14">
                  <c:v>93.514300739999996</c:v>
                </c:pt>
                <c:pt idx="15">
                  <c:v>93.457195813300004</c:v>
                </c:pt>
                <c:pt idx="16">
                  <c:v>95.080488453300006</c:v>
                </c:pt>
                <c:pt idx="17">
                  <c:v>97.775211506700003</c:v>
                </c:pt>
                <c:pt idx="18">
                  <c:v>97.432309173299998</c:v>
                </c:pt>
                <c:pt idx="19">
                  <c:v>98.591741543300003</c:v>
                </c:pt>
                <c:pt idx="20">
                  <c:v>95.1745252467</c:v>
                </c:pt>
                <c:pt idx="21">
                  <c:v>94.2238113433</c:v>
                </c:pt>
                <c:pt idx="22">
                  <c:v>98.2489351567</c:v>
                </c:pt>
                <c:pt idx="23">
                  <c:v>95.276546670000002</c:v>
                </c:pt>
                <c:pt idx="24">
                  <c:v>93.078117289999994</c:v>
                </c:pt>
                <c:pt idx="25">
                  <c:v>100.65937383000001</c:v>
                </c:pt>
                <c:pt idx="26">
                  <c:v>102.0859871167</c:v>
                </c:pt>
                <c:pt idx="27">
                  <c:v>101.6194483533</c:v>
                </c:pt>
                <c:pt idx="28">
                  <c:v>99.634230506700007</c:v>
                </c:pt>
                <c:pt idx="29">
                  <c:v>97.767691463299997</c:v>
                </c:pt>
                <c:pt idx="30">
                  <c:v>94.968120616700006</c:v>
                </c:pt>
                <c:pt idx="31">
                  <c:v>92.894128953299997</c:v>
                </c:pt>
                <c:pt idx="32">
                  <c:v>91.684236766699996</c:v>
                </c:pt>
                <c:pt idx="33">
                  <c:v>91.275800286700004</c:v>
                </c:pt>
                <c:pt idx="34">
                  <c:v>91.951664473299999</c:v>
                </c:pt>
                <c:pt idx="35">
                  <c:v>92.958103829999999</c:v>
                </c:pt>
                <c:pt idx="36">
                  <c:v>94.801145559999995</c:v>
                </c:pt>
              </c:numCache>
            </c:numRef>
          </c:val>
          <c:smooth val="0"/>
          <c:extLst>
            <c:ext xmlns:c16="http://schemas.microsoft.com/office/drawing/2014/chart" uri="{C3380CC4-5D6E-409C-BE32-E72D297353CC}">
              <c16:uniqueId val="{00000004-4731-4577-B0BC-FB9D123D86ED}"/>
            </c:ext>
          </c:extLst>
        </c:ser>
        <c:ser>
          <c:idx val="2"/>
          <c:order val="5"/>
          <c:tx>
            <c:strRef>
              <c:f>'výkonnost odvětví 5a'!$I$66</c:f>
              <c:strCache>
                <c:ptCount val="1"/>
                <c:pt idx="0">
                  <c:v>z toho: maloobchod.prodej PHM (2021=100)</c:v>
                </c:pt>
              </c:strCache>
            </c:strRef>
          </c:tx>
          <c:spPr>
            <a:ln w="15875">
              <a:solidFill>
                <a:schemeClr val="bg2">
                  <a:lumMod val="50000"/>
                </a:schemeClr>
              </a:solidFill>
              <a:prstDash val="sysDash"/>
            </a:ln>
          </c:spPr>
          <c:marker>
            <c:symbol val="none"/>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5a'!$I$67:$I$104</c:f>
              <c:numCache>
                <c:formatCode>#\ ##0.0</c:formatCode>
                <c:ptCount val="38"/>
                <c:pt idx="0">
                  <c:v>86.524761636700006</c:v>
                </c:pt>
                <c:pt idx="1">
                  <c:v>87.411957833299994</c:v>
                </c:pt>
                <c:pt idx="2">
                  <c:v>89.056815003300002</c:v>
                </c:pt>
                <c:pt idx="3">
                  <c:v>90.635829810000004</c:v>
                </c:pt>
                <c:pt idx="4">
                  <c:v>91.354174043300006</c:v>
                </c:pt>
                <c:pt idx="5">
                  <c:v>92.452717846699997</c:v>
                </c:pt>
                <c:pt idx="6">
                  <c:v>93.451031206699994</c:v>
                </c:pt>
                <c:pt idx="7">
                  <c:v>94.790568546700001</c:v>
                </c:pt>
                <c:pt idx="8">
                  <c:v>96.066324203299999</c:v>
                </c:pt>
                <c:pt idx="9">
                  <c:v>97.673183713300006</c:v>
                </c:pt>
                <c:pt idx="10">
                  <c:v>99.237647573299995</c:v>
                </c:pt>
                <c:pt idx="11">
                  <c:v>100.2896053067</c:v>
                </c:pt>
                <c:pt idx="12">
                  <c:v>101.9259088133</c:v>
                </c:pt>
                <c:pt idx="13">
                  <c:v>102.3498273733</c:v>
                </c:pt>
                <c:pt idx="14">
                  <c:v>102.00124114330001</c:v>
                </c:pt>
                <c:pt idx="15">
                  <c:v>101.92222832669999</c:v>
                </c:pt>
                <c:pt idx="16">
                  <c:v>105.52141971330001</c:v>
                </c:pt>
                <c:pt idx="17">
                  <c:v>106.7492027433</c:v>
                </c:pt>
                <c:pt idx="18">
                  <c:v>102.2677534367</c:v>
                </c:pt>
                <c:pt idx="19">
                  <c:v>102.38734820329999</c:v>
                </c:pt>
                <c:pt idx="20">
                  <c:v>101.74032914999999</c:v>
                </c:pt>
                <c:pt idx="21">
                  <c:v>89.521872973300006</c:v>
                </c:pt>
                <c:pt idx="22">
                  <c:v>98.536132409999993</c:v>
                </c:pt>
                <c:pt idx="23">
                  <c:v>92.227044199999995</c:v>
                </c:pt>
                <c:pt idx="24">
                  <c:v>96.291948540000007</c:v>
                </c:pt>
                <c:pt idx="25">
                  <c:v>101.0403542367</c:v>
                </c:pt>
                <c:pt idx="26">
                  <c:v>102.22383717</c:v>
                </c:pt>
                <c:pt idx="27">
                  <c:v>100.14874372</c:v>
                </c:pt>
                <c:pt idx="28">
                  <c:v>100.5907196533</c:v>
                </c:pt>
                <c:pt idx="29">
                  <c:v>95.990315050000007</c:v>
                </c:pt>
                <c:pt idx="30">
                  <c:v>95.306460000000001</c:v>
                </c:pt>
                <c:pt idx="31">
                  <c:v>98.045303706699997</c:v>
                </c:pt>
                <c:pt idx="32">
                  <c:v>99.152312223300001</c:v>
                </c:pt>
                <c:pt idx="33">
                  <c:v>101.7100422133</c:v>
                </c:pt>
                <c:pt idx="34">
                  <c:v>102.7160497433</c:v>
                </c:pt>
                <c:pt idx="35">
                  <c:v>102.71945150000001</c:v>
                </c:pt>
                <c:pt idx="36">
                  <c:v>104.1724694933</c:v>
                </c:pt>
              </c:numCache>
            </c:numRef>
          </c:val>
          <c:smooth val="0"/>
          <c:extLst>
            <c:ext xmlns:c16="http://schemas.microsoft.com/office/drawing/2014/chart" uri="{C3380CC4-5D6E-409C-BE32-E72D297353CC}">
              <c16:uniqueId val="{00000005-4731-4577-B0BC-FB9D123D86ED}"/>
            </c:ext>
          </c:extLst>
        </c:ser>
        <c:ser>
          <c:idx val="6"/>
          <c:order val="6"/>
          <c:tx>
            <c:strRef>
              <c:f>'výkonnost odvětví 5a'!$J$66</c:f>
              <c:strCache>
                <c:ptCount val="1"/>
                <c:pt idx="0">
                  <c:v>Obchod a opravy motor. vozidel (2021=100)</c:v>
                </c:pt>
              </c:strCache>
            </c:strRef>
          </c:tx>
          <c:spPr>
            <a:ln w="15875">
              <a:solidFill>
                <a:srgbClr val="984807"/>
              </a:solidFill>
              <a:prstDash val="solid"/>
            </a:ln>
          </c:spPr>
          <c:marker>
            <c:symbol val="none"/>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5a'!$J$67:$J$104</c:f>
              <c:numCache>
                <c:formatCode>#\ ##0.0</c:formatCode>
                <c:ptCount val="38"/>
                <c:pt idx="0">
                  <c:v>94.876410473299998</c:v>
                </c:pt>
                <c:pt idx="1">
                  <c:v>97.695799643300006</c:v>
                </c:pt>
                <c:pt idx="2">
                  <c:v>100.06974644669999</c:v>
                </c:pt>
                <c:pt idx="3">
                  <c:v>102.95079615</c:v>
                </c:pt>
                <c:pt idx="4">
                  <c:v>104.2505530033</c:v>
                </c:pt>
                <c:pt idx="5">
                  <c:v>105.7391903267</c:v>
                </c:pt>
                <c:pt idx="6">
                  <c:v>107.83085998670001</c:v>
                </c:pt>
                <c:pt idx="7">
                  <c:v>108.3916669833</c:v>
                </c:pt>
                <c:pt idx="8">
                  <c:v>109.6607583333</c:v>
                </c:pt>
                <c:pt idx="9">
                  <c:v>110.11505321999999</c:v>
                </c:pt>
                <c:pt idx="10">
                  <c:v>109.31164355999999</c:v>
                </c:pt>
                <c:pt idx="11">
                  <c:v>110.27179532</c:v>
                </c:pt>
                <c:pt idx="12">
                  <c:v>108.78251946669999</c:v>
                </c:pt>
                <c:pt idx="13">
                  <c:v>108.49123695</c:v>
                </c:pt>
                <c:pt idx="14">
                  <c:v>108.3772654867</c:v>
                </c:pt>
                <c:pt idx="15">
                  <c:v>106.77434101</c:v>
                </c:pt>
                <c:pt idx="16">
                  <c:v>108.7007365533</c:v>
                </c:pt>
                <c:pt idx="17">
                  <c:v>109.26996463</c:v>
                </c:pt>
                <c:pt idx="18">
                  <c:v>107.48895487670001</c:v>
                </c:pt>
                <c:pt idx="19">
                  <c:v>107.35668517000001</c:v>
                </c:pt>
                <c:pt idx="20">
                  <c:v>95.100964756699994</c:v>
                </c:pt>
                <c:pt idx="21">
                  <c:v>78.817161313300005</c:v>
                </c:pt>
                <c:pt idx="22">
                  <c:v>99.582288770000005</c:v>
                </c:pt>
                <c:pt idx="23">
                  <c:v>99.444996476699998</c:v>
                </c:pt>
                <c:pt idx="24">
                  <c:v>101.45432369</c:v>
                </c:pt>
                <c:pt idx="25">
                  <c:v>101.19891653329999</c:v>
                </c:pt>
                <c:pt idx="26">
                  <c:v>98.559322496700005</c:v>
                </c:pt>
                <c:pt idx="27">
                  <c:v>97.3288163733</c:v>
                </c:pt>
                <c:pt idx="28">
                  <c:v>96.620149133300004</c:v>
                </c:pt>
                <c:pt idx="29">
                  <c:v>95.515683080000002</c:v>
                </c:pt>
                <c:pt idx="30">
                  <c:v>95.5204723433</c:v>
                </c:pt>
                <c:pt idx="31">
                  <c:v>96.048567383299996</c:v>
                </c:pt>
                <c:pt idx="32">
                  <c:v>98.8085311233</c:v>
                </c:pt>
                <c:pt idx="33">
                  <c:v>99.602834843300002</c:v>
                </c:pt>
                <c:pt idx="34">
                  <c:v>100.6889673167</c:v>
                </c:pt>
                <c:pt idx="35">
                  <c:v>101.7250949667</c:v>
                </c:pt>
                <c:pt idx="36">
                  <c:v>101.8176305433</c:v>
                </c:pt>
              </c:numCache>
            </c:numRef>
          </c:val>
          <c:smooth val="0"/>
          <c:extLst>
            <c:ext xmlns:c16="http://schemas.microsoft.com/office/drawing/2014/chart" uri="{C3380CC4-5D6E-409C-BE32-E72D297353CC}">
              <c16:uniqueId val="{00000006-4731-4577-B0BC-FB9D123D86ED}"/>
            </c:ext>
          </c:extLst>
        </c:ser>
        <c:ser>
          <c:idx val="7"/>
          <c:order val="7"/>
          <c:tx>
            <c:strRef>
              <c:f>'výkonnost odvětví 5a'!$K$66</c:f>
              <c:strCache>
                <c:ptCount val="1"/>
              </c:strCache>
            </c:strRef>
          </c:tx>
          <c:spPr>
            <a:ln w="3175">
              <a:noFill/>
              <a:prstDash val="sysDash"/>
            </a:ln>
          </c:spPr>
          <c:marker>
            <c:symbol val="none"/>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5a'!$K$67:$K$104</c:f>
              <c:numCache>
                <c:formatCode>General</c:formatCode>
                <c:ptCount val="38"/>
              </c:numCache>
            </c:numRef>
          </c:val>
          <c:smooth val="0"/>
          <c:extLst>
            <c:ext xmlns:c16="http://schemas.microsoft.com/office/drawing/2014/chart" uri="{C3380CC4-5D6E-409C-BE32-E72D297353CC}">
              <c16:uniqueId val="{00000007-4731-4577-B0BC-FB9D123D86ED}"/>
            </c:ext>
          </c:extLst>
        </c:ser>
        <c:ser>
          <c:idx val="8"/>
          <c:order val="8"/>
          <c:tx>
            <c:strRef>
              <c:f>'výkonnost odvětví 5a'!$L$66</c:f>
              <c:strCache>
                <c:ptCount val="1"/>
                <c:pt idx="0">
                  <c:v>Saldo indikátoru důvěry spotřebitelů</c:v>
                </c:pt>
              </c:strCache>
            </c:strRef>
          </c:tx>
          <c:spPr>
            <a:ln w="12700">
              <a:solidFill>
                <a:schemeClr val="bg1">
                  <a:lumMod val="50000"/>
                </a:schemeClr>
              </a:solidFill>
              <a:prstDash val="sysDot"/>
            </a:ln>
          </c:spPr>
          <c:marker>
            <c:symbol val="circle"/>
            <c:size val="5"/>
            <c:spPr>
              <a:solidFill>
                <a:srgbClr val="FFFF00"/>
              </a:solidFill>
              <a:ln>
                <a:solidFill>
                  <a:schemeClr val="bg1">
                    <a:lumMod val="50000"/>
                  </a:schemeClr>
                </a:solidFill>
              </a:ln>
            </c:spPr>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5a'!$L$67:$L$104</c:f>
              <c:numCache>
                <c:formatCode>0.0</c:formatCode>
                <c:ptCount val="38"/>
                <c:pt idx="0">
                  <c:v>-1.75</c:v>
                </c:pt>
                <c:pt idx="1">
                  <c:v>0.25</c:v>
                </c:pt>
                <c:pt idx="2">
                  <c:v>-3.75</c:v>
                </c:pt>
                <c:pt idx="3">
                  <c:v>-0.25</c:v>
                </c:pt>
                <c:pt idx="4">
                  <c:v>-1.5</c:v>
                </c:pt>
                <c:pt idx="5">
                  <c:v>0</c:v>
                </c:pt>
                <c:pt idx="6">
                  <c:v>-2.25</c:v>
                </c:pt>
                <c:pt idx="7">
                  <c:v>0.75</c:v>
                </c:pt>
                <c:pt idx="8">
                  <c:v>1.25</c:v>
                </c:pt>
                <c:pt idx="9">
                  <c:v>-0.5</c:v>
                </c:pt>
                <c:pt idx="10">
                  <c:v>0.5</c:v>
                </c:pt>
                <c:pt idx="11">
                  <c:v>5</c:v>
                </c:pt>
                <c:pt idx="12">
                  <c:v>3.75</c:v>
                </c:pt>
                <c:pt idx="13">
                  <c:v>6</c:v>
                </c:pt>
                <c:pt idx="14">
                  <c:v>4</c:v>
                </c:pt>
                <c:pt idx="15">
                  <c:v>1</c:v>
                </c:pt>
                <c:pt idx="16">
                  <c:v>3.25</c:v>
                </c:pt>
                <c:pt idx="17">
                  <c:v>0</c:v>
                </c:pt>
                <c:pt idx="18">
                  <c:v>2.25</c:v>
                </c:pt>
                <c:pt idx="19">
                  <c:v>-0.5</c:v>
                </c:pt>
                <c:pt idx="20">
                  <c:v>-1.75</c:v>
                </c:pt>
                <c:pt idx="21">
                  <c:v>-9.25</c:v>
                </c:pt>
                <c:pt idx="22">
                  <c:v>-8.75</c:v>
                </c:pt>
                <c:pt idx="23">
                  <c:v>-18.5</c:v>
                </c:pt>
                <c:pt idx="24">
                  <c:v>-16.25</c:v>
                </c:pt>
                <c:pt idx="25">
                  <c:v>-6.75</c:v>
                </c:pt>
                <c:pt idx="26">
                  <c:v>-4.5</c:v>
                </c:pt>
                <c:pt idx="27">
                  <c:v>-17</c:v>
                </c:pt>
                <c:pt idx="28">
                  <c:v>-16.5</c:v>
                </c:pt>
                <c:pt idx="29">
                  <c:v>-31</c:v>
                </c:pt>
                <c:pt idx="30">
                  <c:v>-29.8</c:v>
                </c:pt>
                <c:pt idx="31">
                  <c:v>-30.8</c:v>
                </c:pt>
                <c:pt idx="32">
                  <c:v>-21</c:v>
                </c:pt>
                <c:pt idx="33">
                  <c:v>-20.3</c:v>
                </c:pt>
                <c:pt idx="34">
                  <c:v>-18</c:v>
                </c:pt>
                <c:pt idx="35">
                  <c:v>-18.3</c:v>
                </c:pt>
                <c:pt idx="36">
                  <c:v>-15.8</c:v>
                </c:pt>
                <c:pt idx="37">
                  <c:v>-9</c:v>
                </c:pt>
              </c:numCache>
            </c:numRef>
          </c:val>
          <c:smooth val="0"/>
          <c:extLst>
            <c:ext xmlns:c16="http://schemas.microsoft.com/office/drawing/2014/chart" uri="{C3380CC4-5D6E-409C-BE32-E72D297353CC}">
              <c16:uniqueId val="{00000008-4731-4577-B0BC-FB9D123D86ED}"/>
            </c:ext>
          </c:extLst>
        </c:ser>
        <c:ser>
          <c:idx val="9"/>
          <c:order val="9"/>
          <c:tx>
            <c:strRef>
              <c:f>'výkonnost odvětví 5a'!$M$66</c:f>
              <c:strCache>
                <c:ptCount val="1"/>
                <c:pt idx="0">
                  <c:v>Saldo indikátoru důvěry obchodníků</c:v>
                </c:pt>
              </c:strCache>
            </c:strRef>
          </c:tx>
          <c:spPr>
            <a:ln w="6350">
              <a:solidFill>
                <a:schemeClr val="bg1">
                  <a:lumMod val="50000"/>
                </a:schemeClr>
              </a:solidFill>
              <a:prstDash val="sysDash"/>
            </a:ln>
          </c:spPr>
          <c:marker>
            <c:symbol val="triangle"/>
            <c:size val="5"/>
            <c:spPr>
              <a:solidFill>
                <a:schemeClr val="accent6">
                  <a:lumMod val="40000"/>
                  <a:lumOff val="60000"/>
                </a:schemeClr>
              </a:solidFill>
              <a:ln>
                <a:solidFill>
                  <a:schemeClr val="bg1">
                    <a:lumMod val="50000"/>
                  </a:schemeClr>
                </a:solidFill>
              </a:ln>
            </c:spPr>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5a'!$M$67:$M$104</c:f>
              <c:numCache>
                <c:formatCode>0.0</c:formatCode>
                <c:ptCount val="38"/>
                <c:pt idx="0">
                  <c:v>20</c:v>
                </c:pt>
                <c:pt idx="1">
                  <c:v>20.7</c:v>
                </c:pt>
                <c:pt idx="2">
                  <c:v>17.600000000000001</c:v>
                </c:pt>
                <c:pt idx="3">
                  <c:v>19.7</c:v>
                </c:pt>
                <c:pt idx="4">
                  <c:v>22.7</c:v>
                </c:pt>
                <c:pt idx="5">
                  <c:v>17.7</c:v>
                </c:pt>
                <c:pt idx="6">
                  <c:v>17.7</c:v>
                </c:pt>
                <c:pt idx="7">
                  <c:v>21</c:v>
                </c:pt>
                <c:pt idx="8">
                  <c:v>24.3</c:v>
                </c:pt>
                <c:pt idx="9">
                  <c:v>17.3</c:v>
                </c:pt>
                <c:pt idx="10">
                  <c:v>22.7</c:v>
                </c:pt>
                <c:pt idx="11">
                  <c:v>21.7</c:v>
                </c:pt>
                <c:pt idx="12">
                  <c:v>23.3</c:v>
                </c:pt>
                <c:pt idx="13">
                  <c:v>17.3</c:v>
                </c:pt>
                <c:pt idx="14">
                  <c:v>15.6</c:v>
                </c:pt>
                <c:pt idx="15">
                  <c:v>15</c:v>
                </c:pt>
                <c:pt idx="16">
                  <c:v>12.7</c:v>
                </c:pt>
                <c:pt idx="17">
                  <c:v>12.3</c:v>
                </c:pt>
                <c:pt idx="18">
                  <c:v>14.7</c:v>
                </c:pt>
                <c:pt idx="19">
                  <c:v>14.7</c:v>
                </c:pt>
                <c:pt idx="20">
                  <c:v>18.7</c:v>
                </c:pt>
                <c:pt idx="21">
                  <c:v>-1</c:v>
                </c:pt>
                <c:pt idx="22">
                  <c:v>12</c:v>
                </c:pt>
                <c:pt idx="23">
                  <c:v>7</c:v>
                </c:pt>
                <c:pt idx="24">
                  <c:v>1.3</c:v>
                </c:pt>
                <c:pt idx="25">
                  <c:v>15</c:v>
                </c:pt>
                <c:pt idx="26">
                  <c:v>18.3</c:v>
                </c:pt>
                <c:pt idx="27">
                  <c:v>21.3</c:v>
                </c:pt>
                <c:pt idx="28">
                  <c:v>19.7</c:v>
                </c:pt>
                <c:pt idx="29">
                  <c:v>19.600000000000001</c:v>
                </c:pt>
                <c:pt idx="30">
                  <c:v>10.3</c:v>
                </c:pt>
                <c:pt idx="31">
                  <c:v>14.7</c:v>
                </c:pt>
                <c:pt idx="32">
                  <c:v>9.3000000000000007</c:v>
                </c:pt>
                <c:pt idx="33">
                  <c:v>13.3</c:v>
                </c:pt>
                <c:pt idx="34">
                  <c:v>5.7</c:v>
                </c:pt>
                <c:pt idx="35">
                  <c:v>3.3</c:v>
                </c:pt>
                <c:pt idx="36">
                  <c:v>1.7</c:v>
                </c:pt>
                <c:pt idx="37">
                  <c:v>11.3</c:v>
                </c:pt>
              </c:numCache>
            </c:numRef>
          </c:val>
          <c:smooth val="0"/>
          <c:extLst>
            <c:ext xmlns:c16="http://schemas.microsoft.com/office/drawing/2014/chart" uri="{C3380CC4-5D6E-409C-BE32-E72D297353CC}">
              <c16:uniqueId val="{00000009-4731-4577-B0BC-FB9D123D86ED}"/>
            </c:ext>
          </c:extLst>
        </c:ser>
        <c:dLbls>
          <c:showLegendKey val="0"/>
          <c:showVal val="0"/>
          <c:showCatName val="0"/>
          <c:showSerName val="0"/>
          <c:showPercent val="0"/>
          <c:showBubbleSize val="0"/>
        </c:dLbls>
        <c:marker val="1"/>
        <c:smooth val="0"/>
        <c:axId val="1875570767"/>
        <c:axId val="1875563695"/>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2"/>
          <c:min val="-10"/>
        </c:scaling>
        <c:delete val="0"/>
        <c:axPos val="l"/>
        <c:majorGridlines>
          <c:spPr>
            <a:ln w="6350">
              <a:solidFill>
                <a:schemeClr val="bg1">
                  <a:lumMod val="75000"/>
                </a:schemeClr>
              </a:solidFill>
            </a:ln>
          </c:spPr>
        </c:majorGridlines>
        <c:title>
          <c:tx>
            <c:rich>
              <a:bodyPr/>
              <a:lstStyle/>
              <a:p>
                <a:pPr>
                  <a:defRPr sz="750" b="0" i="1"/>
                </a:pPr>
                <a:r>
                  <a:rPr lang="cs-CZ" sz="750" b="0" i="1"/>
                  <a:t>Tržby</a:t>
                </a:r>
                <a:r>
                  <a:rPr lang="cs-CZ" sz="750" b="0" i="1" baseline="0"/>
                  <a:t> (příspěvky k meziroč. změně)</a:t>
                </a:r>
                <a:endParaRPr lang="cs-CZ" sz="750" b="0" i="1"/>
              </a:p>
            </c:rich>
          </c:tx>
          <c:layout>
            <c:manualLayout>
              <c:xMode val="edge"/>
              <c:yMode val="edge"/>
              <c:x val="2.6086947381477195E-3"/>
              <c:y val="0.16393316671713359"/>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2"/>
      </c:valAx>
      <c:valAx>
        <c:axId val="1875563695"/>
        <c:scaling>
          <c:orientation val="minMax"/>
          <c:max val="125"/>
          <c:min val="-40"/>
        </c:scaling>
        <c:delete val="0"/>
        <c:axPos val="r"/>
        <c:title>
          <c:tx>
            <c:rich>
              <a:bodyPr/>
              <a:lstStyle/>
              <a:p>
                <a:pPr>
                  <a:defRPr sz="750" b="0" i="1"/>
                </a:pPr>
                <a:r>
                  <a:rPr lang="cs-CZ" sz="750" b="0" i="1">
                    <a:latin typeface="Arial" panose="020B0604020202020204" pitchFamily="34" charset="0"/>
                    <a:cs typeface="Arial" panose="020B0604020202020204" pitchFamily="34" charset="0"/>
                  </a:rPr>
                  <a:t>Tržby</a:t>
                </a:r>
                <a:r>
                  <a:rPr lang="cs-CZ" sz="750" b="0" i="1" baseline="0">
                    <a:latin typeface="Arial" panose="020B0604020202020204" pitchFamily="34" charset="0"/>
                    <a:cs typeface="Arial" panose="020B0604020202020204" pitchFamily="34" charset="0"/>
                  </a:rPr>
                  <a:t> (rok 2015=100), </a:t>
                </a:r>
                <a:r>
                  <a:rPr lang="cs-CZ" sz="750" b="0" i="1" u="none" strike="noStrike" baseline="0">
                    <a:effectLst/>
                    <a:latin typeface="Arial" panose="020B0604020202020204" pitchFamily="34" charset="0"/>
                    <a:cs typeface="Arial" panose="020B0604020202020204" pitchFamily="34" charset="0"/>
                  </a:rPr>
                  <a:t>Saldo důvěry</a:t>
                </a:r>
                <a:endParaRPr lang="cs-CZ" sz="750" b="0" i="1">
                  <a:latin typeface="Arial" panose="020B0604020202020204" pitchFamily="34" charset="0"/>
                  <a:cs typeface="Arial" panose="020B0604020202020204" pitchFamily="34" charset="0"/>
                </a:endParaRPr>
              </a:p>
            </c:rich>
          </c:tx>
          <c:layout>
            <c:manualLayout>
              <c:xMode val="edge"/>
              <c:yMode val="edge"/>
              <c:x val="0.96896265019335537"/>
              <c:y val="0.1743397117509615"/>
            </c:manualLayout>
          </c:layout>
          <c:overlay val="0"/>
        </c:title>
        <c:numFmt formatCode="#,##0" sourceLinked="0"/>
        <c:majorTickMark val="out"/>
        <c:minorTickMark val="none"/>
        <c:tickLblPos val="nextTo"/>
        <c:txPr>
          <a:bodyPr/>
          <a:lstStyle/>
          <a:p>
            <a:pPr>
              <a:defRPr sz="800"/>
            </a:pPr>
            <a:endParaRPr lang="cs-CZ"/>
          </a:p>
        </c:txPr>
        <c:crossAx val="1875570767"/>
        <c:crosses val="max"/>
        <c:crossBetween val="between"/>
        <c:majorUnit val="15"/>
      </c:valAx>
      <c:catAx>
        <c:axId val="1875570767"/>
        <c:scaling>
          <c:orientation val="minMax"/>
        </c:scaling>
        <c:delete val="1"/>
        <c:axPos val="b"/>
        <c:numFmt formatCode="General" sourceLinked="1"/>
        <c:majorTickMark val="out"/>
        <c:minorTickMark val="none"/>
        <c:tickLblPos val="nextTo"/>
        <c:crossAx val="1875563695"/>
        <c:crosses val="autoZero"/>
        <c:auto val="1"/>
        <c:lblAlgn val="ctr"/>
        <c:lblOffset val="100"/>
        <c:noMultiLvlLbl val="0"/>
      </c:catAx>
      <c:spPr>
        <a:ln>
          <a:solidFill>
            <a:schemeClr val="tx1"/>
          </a:solidFill>
        </a:ln>
      </c:spPr>
    </c:plotArea>
    <c:legend>
      <c:legendPos val="r"/>
      <c:layout>
        <c:manualLayout>
          <c:xMode val="edge"/>
          <c:yMode val="edge"/>
          <c:x val="5.1385534144624996E-3"/>
          <c:y val="0.837216076019483"/>
          <c:w val="0.98691543107779145"/>
          <c:h val="0.15565653623547093"/>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9a58d24f60b264923fe9c7150327a53c">
  <xsd:schema xmlns:xsd="http://www.w3.org/2001/XMLSchema" xmlns:xs="http://www.w3.org/2001/XMLSchema" xmlns:p="http://schemas.microsoft.com/office/2006/metadata/properties" xmlns:ns3="b8c0c86d-151e-4fca-b0d5-747e6692fa1d" targetNamespace="http://schemas.microsoft.com/office/2006/metadata/properties" ma:root="true" ma:fieldsID="91c8efd7c542b57fe84d8bfb95d003d1"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2.xml><?xml version="1.0" encoding="utf-8"?>
<ds:datastoreItem xmlns:ds="http://schemas.openxmlformats.org/officeDocument/2006/customXml" ds:itemID="{1E238702-393C-4E0B-95FC-639749005827}">
  <ds:schemaRefs>
    <ds:schemaRef ds:uri="http://www.w3.org/XML/1998/namespace"/>
    <ds:schemaRef ds:uri="http://schemas.openxmlformats.org/package/2006/metadata/core-properties"/>
    <ds:schemaRef ds:uri="b8c0c86d-151e-4fca-b0d5-747e6692fa1d"/>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CB628BEE-D3B6-471C-BFAD-E9D2E34E1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55E90-85E8-4FDB-A400-1CC944C424D5}">
  <ds:schemaRefs>
    <ds:schemaRef ds:uri="http://schemas.openxmlformats.org/officeDocument/2006/bibliography"/>
  </ds:schemaRefs>
</ds:datastoreItem>
</file>

<file path=customXml/itemProps5.xml><?xml version="1.0" encoding="utf-8"?>
<ds:datastoreItem xmlns:ds="http://schemas.openxmlformats.org/officeDocument/2006/customXml" ds:itemID="{4F088D99-19D6-49F2-825A-781ED686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10</Pages>
  <Words>4207</Words>
  <Characters>24827</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Karolína Súkupová</dc:creator>
  <cp:keywords/>
  <dc:description/>
  <cp:lastModifiedBy>Zábojníková Karolína</cp:lastModifiedBy>
  <cp:revision>3</cp:revision>
  <cp:lastPrinted>2023-06-09T17:23:00Z</cp:lastPrinted>
  <dcterms:created xsi:type="dcterms:W3CDTF">2024-06-14T09:49:00Z</dcterms:created>
  <dcterms:modified xsi:type="dcterms:W3CDTF">2024-06-14T10:01:00Z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ies>
</file>