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DDDF55" w14:textId="77777777" w:rsidR="000D7C6F" w:rsidRPr="00134FFF" w:rsidRDefault="000D7C6F" w:rsidP="000D7C6F">
      <w:pPr>
        <w:pStyle w:val="Nadpis11"/>
        <w:rPr>
          <w:sz w:val="2"/>
          <w:szCs w:val="2"/>
        </w:rPr>
      </w:pPr>
      <w:bookmarkStart w:id="0" w:name="_Toc121993822"/>
      <w:bookmarkStart w:id="1" w:name="_Toc145318534"/>
      <w:bookmarkStart w:id="2" w:name="_Toc153531176"/>
      <w:r>
        <w:t>4</w:t>
      </w:r>
      <w:bookmarkStart w:id="3" w:name="_Toc511215218"/>
      <w:bookmarkStart w:id="4" w:name="_Toc19090679"/>
      <w:bookmarkStart w:id="5" w:name="_Toc74643856"/>
      <w:bookmarkStart w:id="6" w:name="_Toc42852411"/>
      <w:bookmarkStart w:id="7" w:name="_Toc74643857"/>
      <w:bookmarkEnd w:id="3"/>
      <w:bookmarkEnd w:id="4"/>
      <w:r w:rsidRPr="009110F7">
        <w:t>.</w:t>
      </w:r>
      <w:r>
        <w:t> </w:t>
      </w:r>
      <w:r w:rsidRPr="009110F7">
        <w:t>Vnější vztahy</w:t>
      </w:r>
      <w:bookmarkEnd w:id="2"/>
    </w:p>
    <w:tbl>
      <w:tblPr>
        <w:tblW w:w="9639" w:type="dxa"/>
        <w:tblInd w:w="-15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748"/>
        <w:gridCol w:w="221"/>
        <w:gridCol w:w="7670"/>
      </w:tblGrid>
      <w:tr w:rsidR="000D7C6F" w:rsidRPr="009110F7" w14:paraId="15C11AD5" w14:textId="77777777" w:rsidTr="000D7C6F">
        <w:trPr>
          <w:trHeight w:val="145"/>
        </w:trPr>
        <w:tc>
          <w:tcPr>
            <w:tcW w:w="1748" w:type="dxa"/>
            <w:shd w:val="clear" w:color="auto" w:fill="auto"/>
            <w:tcMar>
              <w:left w:w="0" w:type="dxa"/>
            </w:tcMar>
          </w:tcPr>
          <w:p w14:paraId="4DCD69EA" w14:textId="77777777" w:rsidR="000D7C6F" w:rsidRDefault="000D7C6F" w:rsidP="000D7C6F">
            <w:pPr>
              <w:pStyle w:val="Marginlie"/>
            </w:pPr>
            <w:r>
              <w:t xml:space="preserve">Hodnota vývozu zboží se ve 3. čtvrtletí meziročně </w:t>
            </w:r>
            <w:r>
              <w:br/>
              <w:t>i mezičtvrtletně snižovala.</w:t>
            </w:r>
          </w:p>
        </w:tc>
        <w:tc>
          <w:tcPr>
            <w:tcW w:w="221" w:type="dxa"/>
            <w:shd w:val="clear" w:color="auto" w:fill="auto"/>
            <w:tcMar>
              <w:left w:w="0" w:type="dxa"/>
            </w:tcMar>
          </w:tcPr>
          <w:p w14:paraId="5C650C06" w14:textId="77777777" w:rsidR="000D7C6F" w:rsidRDefault="000D7C6F" w:rsidP="000D7C6F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670" w:type="dxa"/>
            <w:shd w:val="clear" w:color="auto" w:fill="auto"/>
            <w:tcMar>
              <w:left w:w="0" w:type="dxa"/>
            </w:tcMar>
          </w:tcPr>
          <w:p w14:paraId="2B8B301A" w14:textId="77777777" w:rsidR="000D7C6F" w:rsidRPr="00AF6F98" w:rsidRDefault="000D7C6F" w:rsidP="000D7C6F">
            <w:pPr>
              <w:spacing w:after="180"/>
              <w:rPr>
                <w:spacing w:val="-4"/>
              </w:rPr>
            </w:pPr>
            <w:r>
              <w:rPr>
                <w:spacing w:val="-4"/>
              </w:rPr>
              <w:t>V kumulaci za 1. až 3. čtvrtletí 2023 hodnota vývozu zboží</w:t>
            </w:r>
            <w:r>
              <w:rPr>
                <w:rStyle w:val="Znakapoznpodarou"/>
                <w:spacing w:val="-4"/>
              </w:rPr>
              <w:footnoteReference w:id="1"/>
            </w:r>
            <w:r>
              <w:rPr>
                <w:spacing w:val="-4"/>
              </w:rPr>
              <w:t xml:space="preserve"> dosáhla 3 296,0 mld. korun. To představuje meziroční nárůst o 34,7 mld. korun (1,1 %). Mírný přírůstek za celé období od začátku roku je výsledkem složitějšího vývoje v rámci jednotlivých čtvrtletí. Zatímco v 1. kvartálu vývoz výrazně meziročně narostl, ve 2. čtvrtletí jeho dynamika prudce oslabila. Ve 3. čtvrtletí již hodnota exportu zboží meziročně klesla o 78,3 mld. korun (−7,2 %) na 1 015,2 mld. Významnou roli na meziročním poklesu hodnoty vývozu měl i cenový vývoj, především propad cen minerálních paliv a dalších surovin</w:t>
            </w:r>
            <w:r>
              <w:rPr>
                <w:rStyle w:val="Znakapoznpodarou"/>
                <w:spacing w:val="-4"/>
              </w:rPr>
              <w:footnoteReference w:id="2"/>
            </w:r>
            <w:r>
              <w:rPr>
                <w:spacing w:val="-4"/>
              </w:rPr>
              <w:t xml:space="preserve">. Sezónně očištěné údaje ukazují, že mezičtvrtletně došlo k výraznému poklesu hodnoty exportu zboží o 3,3 %. </w:t>
            </w:r>
          </w:p>
        </w:tc>
      </w:tr>
      <w:tr w:rsidR="000D7C6F" w:rsidRPr="009110F7" w14:paraId="712C9C8F" w14:textId="77777777" w:rsidTr="000D7C6F">
        <w:trPr>
          <w:trHeight w:val="145"/>
        </w:trPr>
        <w:tc>
          <w:tcPr>
            <w:tcW w:w="1748" w:type="dxa"/>
            <w:shd w:val="clear" w:color="auto" w:fill="auto"/>
            <w:tcMar>
              <w:left w:w="0" w:type="dxa"/>
            </w:tcMar>
          </w:tcPr>
          <w:p w14:paraId="2C2F1880" w14:textId="77777777" w:rsidR="000D7C6F" w:rsidRDefault="000D7C6F" w:rsidP="000D7C6F">
            <w:pPr>
              <w:pStyle w:val="Marginlie"/>
            </w:pPr>
            <w:r>
              <w:t xml:space="preserve">Pokles vývozu do zemí EU byl ve 3. čtvrtletí výraznější než v případě mimounijních států. </w:t>
            </w:r>
          </w:p>
        </w:tc>
        <w:tc>
          <w:tcPr>
            <w:tcW w:w="221" w:type="dxa"/>
            <w:shd w:val="clear" w:color="auto" w:fill="auto"/>
            <w:tcMar>
              <w:left w:w="0" w:type="dxa"/>
            </w:tcMar>
          </w:tcPr>
          <w:p w14:paraId="25CBA60B" w14:textId="77777777" w:rsidR="000D7C6F" w:rsidRDefault="000D7C6F" w:rsidP="000D7C6F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670" w:type="dxa"/>
            <w:shd w:val="clear" w:color="auto" w:fill="auto"/>
            <w:tcMar>
              <w:left w:w="0" w:type="dxa"/>
            </w:tcMar>
          </w:tcPr>
          <w:p w14:paraId="10ADA8AD" w14:textId="77777777" w:rsidR="000D7C6F" w:rsidRPr="00CA4428" w:rsidRDefault="000D7C6F" w:rsidP="000D7C6F">
            <w:pPr>
              <w:spacing w:after="180"/>
              <w:rPr>
                <w:spacing w:val="-4"/>
              </w:rPr>
            </w:pPr>
            <w:r>
              <w:rPr>
                <w:spacing w:val="-4"/>
              </w:rPr>
              <w:t>Vývoz zboží do Evropské unie v kumulaci od začátku roku mírně meziročně vzrostl (+20,1 mld. korun, 0,8 %), podobně jako export mimo EU (+14,4 mld., 2,3 %). V samotném 3. čtvrtletí se silně meziročně propadl export do EU (−71,7 mld. korun, −8,2 %), zatímco pokles u mimounijních zemí byl méně výrazný (−6,7 mld., −3,1 %). Ve 3. čtvrtletí se meziročně propadl vývoz do většiny sledovaných zemí, nejvíce do Německa (−29,7 mld. korun, −8,8 %), na Slovensko (−13,2 mld., −12,2 %) a do Rakouska (−10,8 mld., −20,7 %)</w:t>
            </w:r>
            <w:r>
              <w:rPr>
                <w:rStyle w:val="Znakapoznpodarou"/>
                <w:spacing w:val="-4"/>
              </w:rPr>
              <w:footnoteReference w:id="3"/>
            </w:r>
            <w:r>
              <w:rPr>
                <w:spacing w:val="-4"/>
              </w:rPr>
              <w:t xml:space="preserve">. Výrazně meziročně klesal také export do Francie (−4,3 mld. korun, −8,1 %), do Nizozemska (−3,2 mld., −8,7 %), do Spojených států (−3,2 mld., −10,8 %), do Itálie (−3,0 mld., −6,9 %), do Švédska (−2,4 mld., −14,0 %), do Ruska (−2,3 mld., −41,1 %) nebo do Číny (−2,3 mld., −19,4 %). Výraznější meziroční přírůstky byly ve 3. čtvrtletí zaznamenány jen v případě vývozu na Ukrajinu (+2,7 mld. korun, 41,4 %) a do Turecka (+2,5 mld., 18,0 %). </w:t>
            </w:r>
          </w:p>
        </w:tc>
      </w:tr>
      <w:tr w:rsidR="000D7C6F" w:rsidRPr="009110F7" w14:paraId="5705746B" w14:textId="77777777" w:rsidTr="000D7C6F">
        <w:trPr>
          <w:trHeight w:val="170"/>
        </w:trPr>
        <w:tc>
          <w:tcPr>
            <w:tcW w:w="1748" w:type="dxa"/>
            <w:shd w:val="clear" w:color="auto" w:fill="auto"/>
            <w:tcMar>
              <w:left w:w="0" w:type="dxa"/>
            </w:tcMar>
          </w:tcPr>
          <w:p w14:paraId="577EFE21" w14:textId="77777777" w:rsidR="000D7C6F" w:rsidRDefault="000D7C6F" w:rsidP="000D7C6F">
            <w:pPr>
              <w:pStyle w:val="Marginlie"/>
            </w:pPr>
            <w:r>
              <w:t>Ve 3. čtvrtletí klesal vývoz většiny zboží. Jednou z mála výjimek byl export motorových vozidel.</w:t>
            </w:r>
          </w:p>
        </w:tc>
        <w:tc>
          <w:tcPr>
            <w:tcW w:w="221" w:type="dxa"/>
            <w:shd w:val="clear" w:color="auto" w:fill="auto"/>
            <w:tcMar>
              <w:left w:w="0" w:type="dxa"/>
            </w:tcMar>
          </w:tcPr>
          <w:p w14:paraId="3DE80C48" w14:textId="77777777" w:rsidR="000D7C6F" w:rsidRDefault="000D7C6F" w:rsidP="000D7C6F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670" w:type="dxa"/>
            <w:shd w:val="clear" w:color="auto" w:fill="auto"/>
            <w:tcMar>
              <w:left w:w="0" w:type="dxa"/>
            </w:tcMar>
          </w:tcPr>
          <w:p w14:paraId="0A2C0D43" w14:textId="2DF2E3F4" w:rsidR="000D7C6F" w:rsidRPr="00AF6F98" w:rsidRDefault="000D7C6F" w:rsidP="000D7C6F">
            <w:pPr>
              <w:spacing w:after="180"/>
              <w:rPr>
                <w:spacing w:val="-4"/>
              </w:rPr>
            </w:pPr>
            <w:r>
              <w:rPr>
                <w:spacing w:val="-4"/>
              </w:rPr>
              <w:t xml:space="preserve">Celkově od začátku roku nejvíce rostl vývoz motorových vozidel (+134,3 mld. korun, 17,5 %), elektrických zařízení (+43,8 mld., 14,6 %), strojů a zařízení (+27,2 mld., 7,5 %) a potravinářských výrobků (+14,4 mld., 13,6 %). Naopak propad byl zaznamenán zejména u vývozu elektřiny, plynu, páry a klimatizovaného vzduchu (−52,1 mld. korun, −58,1 %), základních kovů (−29,9 mld., −19,5 %), chemických látek a přípravků (−27,6 mld., </w:t>
            </w:r>
            <w:r>
              <w:rPr>
                <w:spacing w:val="-4"/>
              </w:rPr>
              <w:br/>
              <w:t xml:space="preserve">−15,4 %), počítačů, elektronických a optických přístrojů (−16,7 mld., −5,6 %) a dřeva </w:t>
            </w:r>
            <w:r>
              <w:rPr>
                <w:spacing w:val="-4"/>
              </w:rPr>
              <w:br/>
              <w:t>a výrobků z něj (−13,3 mld., −27,9 %). V samotném 3. čtvrtletí meziročně klesl vývoz většiny produktů. Nejvíce se propadl export elektřiny, plynu, páry a klimatizovaného vzduchu (−31,5 mld. korun, −74,9 %), počítačů, elektronických a optických přístrojů (−15,3 mld., −14,5 %), základních kovů (−9,9 mld., −21,8 %) a chemických látek a přípravků (−10,0 mld., −17,7 %). Klesal také export kovodělných výrobků (−3,8 mld. korun, −5,8 %), dřeva a výrobků z něj (−3,8 mld., −27,6 %), ropy a zemního plynu (−3,6 mld., −98,9 %), koksu a rafinovaných ropných výrobků (−3,0 mld., −18,3 %), pryžových a plastových výrobků (−2,7 mld., −5,2 %), papíru a výrobků z něj (−2,6 mld., −11,8 %), textilií (−2,1 mld., −13,5 %) nebo produktů zemědělství a myslivosti (−2,0 mld., −13,7 %). Nejvíce se meziročně zvýšil vývoz motorových vozidel (+12,4 mld. korun, 4,9 %). Přírůstek ale výrazně oslabil, a to zejména kvůli silné srovnávací základně loňského roku a mírně rostl také vývoz elektrických zařízení (+3,2 mld., 3,1 %) a potravinářských výrobků (+2,4 mld., 6,3 %).</w:t>
            </w:r>
          </w:p>
        </w:tc>
      </w:tr>
      <w:tr w:rsidR="000D7C6F" w:rsidRPr="009110F7" w14:paraId="651D7A84" w14:textId="77777777" w:rsidTr="000D7C6F">
        <w:trPr>
          <w:trHeight w:val="145"/>
        </w:trPr>
        <w:tc>
          <w:tcPr>
            <w:tcW w:w="1748" w:type="dxa"/>
            <w:shd w:val="clear" w:color="auto" w:fill="auto"/>
            <w:tcMar>
              <w:left w:w="0" w:type="dxa"/>
            </w:tcMar>
          </w:tcPr>
          <w:p w14:paraId="075005BD" w14:textId="77777777" w:rsidR="000D7C6F" w:rsidRDefault="000D7C6F" w:rsidP="000D7C6F">
            <w:pPr>
              <w:pStyle w:val="Marginlie"/>
            </w:pPr>
            <w:r>
              <w:t>Dovoz zboží se propadal.</w:t>
            </w:r>
          </w:p>
        </w:tc>
        <w:tc>
          <w:tcPr>
            <w:tcW w:w="221" w:type="dxa"/>
            <w:shd w:val="clear" w:color="auto" w:fill="auto"/>
            <w:tcMar>
              <w:left w:w="0" w:type="dxa"/>
            </w:tcMar>
          </w:tcPr>
          <w:p w14:paraId="23F8E779" w14:textId="77777777" w:rsidR="000D7C6F" w:rsidRDefault="000D7C6F" w:rsidP="000D7C6F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670" w:type="dxa"/>
            <w:shd w:val="clear" w:color="auto" w:fill="auto"/>
            <w:tcMar>
              <w:left w:w="0" w:type="dxa"/>
            </w:tcMar>
          </w:tcPr>
          <w:p w14:paraId="1ED4CF32" w14:textId="77777777" w:rsidR="000D7C6F" w:rsidRDefault="000D7C6F" w:rsidP="000D7C6F">
            <w:pPr>
              <w:spacing w:after="180"/>
              <w:rPr>
                <w:spacing w:val="-4"/>
              </w:rPr>
            </w:pPr>
            <w:r>
              <w:rPr>
                <w:spacing w:val="-4"/>
              </w:rPr>
              <w:t xml:space="preserve">Hodnota dovozu zboží od počátku roku do září dosáhla 3 219,8 mld. korun a meziročně tak klesla o 191,6 mld. (−5,6 %). Také v případě importu se vývoj ve 2. a 3. čtvrtletí výrazně lišil od pozitivnějšího počátku roku. V samotném 3. čtvrtletí hodnota dovozu meziročně klesla </w:t>
            </w:r>
            <w:r>
              <w:rPr>
                <w:spacing w:val="-4"/>
              </w:rPr>
              <w:lastRenderedPageBreak/>
              <w:t>o 142,5 mld. korun (−12,3 %) na 1 015,4 mld. a cenový vývoj hrál výraznou roli</w:t>
            </w:r>
            <w:r>
              <w:rPr>
                <w:rStyle w:val="Znakapoznpodarou"/>
                <w:spacing w:val="-4"/>
              </w:rPr>
              <w:footnoteReference w:id="4"/>
            </w:r>
            <w:r>
              <w:rPr>
                <w:spacing w:val="-4"/>
              </w:rPr>
              <w:t>. Podle sezónně očištěných údajů se dovoz ve 3. kvartálu mezičtvrtletně snížil o 2,5 %. Propad cen surovin byl patrný i na teritoriálním rozkladu vývoje dovozu. V kumulaci od počátku roku se dovoz z EU meziročně snížil o 66,2 mld. korun (−3,2 %), zatímco import ze zemí mimo EU, kde suroviny převažují, klesl o 128,3 mld. (−9,7 %). V samotném 3. čtvrtletí se hodnota dovozu zboží z EU meziročně propadla o 49,4 mld. korun (−7,3 %) a mimo EU o 92,9 mld. (−19,5 %). Nejvíce meziročně klesl dovoz z Ruska (−69,1 mld. korun, −77,0 %) a Číny (−25,4 mld., −16,8 %). U Číny šlo o první pokles importu od 1. čtvrtletí 2020 a nejhlubší zaznamenaný propad v celé časové řadě. Výrazně nižší byl také dovoz z Polska (−15,3 mld. korun, −15,0 %) a  Německa (−14,6 mld., −5,8 %). Meziročně klesla také hodnota dovozu z Rakouska (−4,0 mld. korun, −12,7 %), Francie (−3,8 mld., −10,8 %), Belgie (−3,0 mld., −16,1 %), Nizozemska (−2,5 mld., −9,2 %), Spojených států (−2,5 mld., −7,1 %) nebo ze Slovenska (−2,1 mld., −3,9 %). Podobně jako v předchozích několika čtvrtletích silně rostl dovoz z Norska (+13,1 mld. korun, 397,1 %)</w:t>
            </w:r>
            <w:r w:rsidRPr="00FA2C07">
              <w:rPr>
                <w:rStyle w:val="Znakapoznpodarou"/>
                <w:spacing w:val="-5"/>
              </w:rPr>
              <w:footnoteReference w:id="5"/>
            </w:r>
            <w:r>
              <w:rPr>
                <w:spacing w:val="-4"/>
              </w:rPr>
              <w:t xml:space="preserve"> a vyšší byl také v případě Kazachstánu (+2,5 mld., 274,9 %).</w:t>
            </w:r>
            <w:r w:rsidRPr="00FA2C07">
              <w:rPr>
                <w:spacing w:val="-5"/>
              </w:rPr>
              <w:t xml:space="preserve"> </w:t>
            </w:r>
          </w:p>
        </w:tc>
      </w:tr>
      <w:tr w:rsidR="000D7C6F" w:rsidRPr="009110F7" w14:paraId="56C71C56" w14:textId="77777777" w:rsidTr="000D7C6F">
        <w:trPr>
          <w:trHeight w:val="145"/>
        </w:trPr>
        <w:tc>
          <w:tcPr>
            <w:tcW w:w="1748" w:type="dxa"/>
            <w:shd w:val="clear" w:color="auto" w:fill="auto"/>
            <w:tcMar>
              <w:left w:w="0" w:type="dxa"/>
            </w:tcMar>
          </w:tcPr>
          <w:p w14:paraId="36F2137D" w14:textId="77777777" w:rsidR="000D7C6F" w:rsidRDefault="000D7C6F" w:rsidP="000D7C6F">
            <w:pPr>
              <w:pStyle w:val="Marginlie"/>
            </w:pPr>
            <w:r>
              <w:t>Ve 3. čtvrtletí klesal dovoz většiny druhů zboží.</w:t>
            </w:r>
          </w:p>
        </w:tc>
        <w:tc>
          <w:tcPr>
            <w:tcW w:w="221" w:type="dxa"/>
            <w:shd w:val="clear" w:color="auto" w:fill="auto"/>
            <w:tcMar>
              <w:left w:w="0" w:type="dxa"/>
            </w:tcMar>
          </w:tcPr>
          <w:p w14:paraId="7FE26DB6" w14:textId="77777777" w:rsidR="000D7C6F" w:rsidRDefault="000D7C6F" w:rsidP="000D7C6F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670" w:type="dxa"/>
            <w:shd w:val="clear" w:color="auto" w:fill="auto"/>
            <w:tcMar>
              <w:left w:w="0" w:type="dxa"/>
            </w:tcMar>
          </w:tcPr>
          <w:p w14:paraId="2C97CE03" w14:textId="77777777" w:rsidR="000D7C6F" w:rsidRDefault="000D7C6F" w:rsidP="000D7C6F">
            <w:pPr>
              <w:spacing w:after="180"/>
              <w:rPr>
                <w:spacing w:val="-4"/>
              </w:rPr>
            </w:pPr>
            <w:r>
              <w:rPr>
                <w:spacing w:val="-4"/>
              </w:rPr>
              <w:t xml:space="preserve">V kumulaci od začátku roku se nejvíce propadla hodnota dovozu ropy a zemního plynu (−130,7 mld. korun, −50,1 %), základních kovů (−57,7 mld., −19,4 %) a chemických látek a přípravků (−40,1 mld., −13,4 %), ale import klesl u většiny druhů zboží. Zmíněný propad vyvažovala motorová vozidla (+55,3 mld. korun, 13,0 %), elektrická zařízení (+44,8 mld., 14,8 %) a stroje a zařízení (+11,2 mld., 3,8 %). V samotném 3. čtvrtletí meziročně klesal dovoz téměř všech druhů zboží a výjimečné nárůsty dosahovaly jen řádu stovek milionů korun, jako byl případ motorových vozidel (+1,5 mld. korun, 1,0 %) a ostatních dopravních prostředků a zařízení (+1,1 mld., 9,1 %). Nejvíce se ve 3. čtvrtletí meziročně propadl dovoz ropy a zemního plynu (−59,6 mld. korun, −58,7 %), základních kovů (−19,0 mld., −21,3 %) a chemických látek a přípravků (−16,1 mld., −16,4 %). Významný byl také pokles u počítačů, elektronických a optických přístrojů a zařízení (−8,8 mld. korun, −7,2 %), elektřiny, plynu, páry a klimatizovaného vzduchu (−5,1 mld., −54,4 %), ostatních výrobků zpracovatelského průmyslu (−4,7 mld., −17,7 %), černého a hnědého uhlí a lignitu (−4,3 mld., −49,4 %), papíru a výrobků z něj (−4,2 mld., −22,2 %), elektrických zařízení (−3,8 mld., −3,4 %), pryžových a plastových výrobků (−3,5 mld., −6,9 %) nebo strojů a zařízení (−2,3 mld., −2,4 %).   </w:t>
            </w:r>
          </w:p>
        </w:tc>
      </w:tr>
      <w:tr w:rsidR="000D7C6F" w:rsidRPr="009110F7" w14:paraId="756B8C87" w14:textId="77777777" w:rsidTr="000D7C6F">
        <w:trPr>
          <w:trHeight w:val="145"/>
        </w:trPr>
        <w:tc>
          <w:tcPr>
            <w:tcW w:w="1748" w:type="dxa"/>
            <w:shd w:val="clear" w:color="auto" w:fill="auto"/>
            <w:tcMar>
              <w:left w:w="0" w:type="dxa"/>
            </w:tcMar>
          </w:tcPr>
          <w:p w14:paraId="2F96E184" w14:textId="77777777" w:rsidR="000D7C6F" w:rsidRDefault="000D7C6F" w:rsidP="000D7C6F">
            <w:pPr>
              <w:pStyle w:val="Marginlie"/>
            </w:pPr>
            <w:r>
              <w:t>Bilance obchodu se zbožím se meziročně výrazně zlepšovala.</w:t>
            </w:r>
          </w:p>
        </w:tc>
        <w:tc>
          <w:tcPr>
            <w:tcW w:w="221" w:type="dxa"/>
            <w:shd w:val="clear" w:color="auto" w:fill="auto"/>
            <w:tcMar>
              <w:left w:w="0" w:type="dxa"/>
            </w:tcMar>
          </w:tcPr>
          <w:p w14:paraId="4A56495D" w14:textId="77777777" w:rsidR="000D7C6F" w:rsidRDefault="000D7C6F" w:rsidP="000D7C6F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670" w:type="dxa"/>
            <w:shd w:val="clear" w:color="auto" w:fill="auto"/>
            <w:tcMar>
              <w:left w:w="0" w:type="dxa"/>
            </w:tcMar>
          </w:tcPr>
          <w:p w14:paraId="6B494867" w14:textId="0019080F" w:rsidR="000D7C6F" w:rsidRDefault="000D7C6F" w:rsidP="000D7C6F">
            <w:pPr>
              <w:spacing w:after="180"/>
              <w:rPr>
                <w:spacing w:val="-4"/>
              </w:rPr>
            </w:pPr>
            <w:r>
              <w:t xml:space="preserve">Bilance zahraničního obchodu se zbožím dosáhla v kumulaci od začátku roku </w:t>
            </w:r>
            <w:r>
              <w:br/>
              <w:t>76,2 mld. korun a oproti rekordně hlubokému schodku ze stejného období loňského roku se zlepšila o 226,3 mld. Celkový přebytek je výsledkem zejména prvních dvou čtvrtletí. Ve 3. čtvrtletí byla bilance téměř vyrovnaná, když dosáhla jen drobného deficitu ve výši −0,2 mld. korun. I tak šlo meziročně o 64,1 mld. korun lepší výsledek. Mezičtvrtletně se sezónně očištěná bilance zahraničního obchodu se zbožím zhoršila. V kumulaci od začátku roku se přebytek bilance zahraničního obchodu se zeměmi EU meziročně zlepšil o 86,4 mld. korun a deficit se zeměmi mimo EU se zmírnil o 142,7 mld. V samotném 3. čtvrtletí došlo k meziročnímu zhoršení bilance obchodu s EU o 22,3 mld. korun, ale deficit s mimounijními zeměmi se zmírnil o 86,2 mld. Meziročně se nejvíce zlepšila bilance obchodu s Ruskem (+66,7 mld. korun), Čínou (+23,0 mld.) a s Polskem (+13,7 mld.). Zlepšila se také bilance zahraničního obchodu s Ukrajinou (+3,8 mld. korun), Tureckem (+3,3 mld.), Velkou Británií (+2,3 mld.) nebo Ázerbájdžánem (+2,0 mld.). Výrazné meziroční zhoršení bilance bylo zaznamenáno u obchodu s Německem (−15,0 mld. korun), s Norskem (−14,4 mld.) a se Slovenskem (−11,1 mld.). Horší byl také výsledek v případě Rakouska (−6,8 mld.), Kazachstánu (−3,4 mld.), Švédska (−2,3 mld.) nebo Izraele (−2,1 mld.).</w:t>
            </w:r>
          </w:p>
        </w:tc>
      </w:tr>
      <w:tr w:rsidR="000D7C6F" w:rsidRPr="009110F7" w14:paraId="0F224824" w14:textId="77777777" w:rsidTr="000D7C6F">
        <w:trPr>
          <w:trHeight w:val="150"/>
        </w:trPr>
        <w:tc>
          <w:tcPr>
            <w:tcW w:w="1748" w:type="dxa"/>
            <w:vMerge w:val="restart"/>
            <w:shd w:val="clear" w:color="auto" w:fill="auto"/>
            <w:tcMar>
              <w:left w:w="0" w:type="dxa"/>
            </w:tcMar>
          </w:tcPr>
          <w:p w14:paraId="39FB13A6" w14:textId="77777777" w:rsidR="000D7C6F" w:rsidRDefault="000D7C6F" w:rsidP="000D7C6F">
            <w:pPr>
              <w:pStyle w:val="Marginlie"/>
            </w:pPr>
          </w:p>
        </w:tc>
        <w:tc>
          <w:tcPr>
            <w:tcW w:w="221" w:type="dxa"/>
            <w:vMerge w:val="restart"/>
            <w:shd w:val="clear" w:color="auto" w:fill="auto"/>
            <w:tcMar>
              <w:left w:w="0" w:type="dxa"/>
            </w:tcMar>
          </w:tcPr>
          <w:p w14:paraId="702DA3D7" w14:textId="77777777" w:rsidR="000D7C6F" w:rsidRDefault="000D7C6F" w:rsidP="000D7C6F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670" w:type="dxa"/>
            <w:shd w:val="clear" w:color="auto" w:fill="auto"/>
            <w:tcMar>
              <w:left w:w="0" w:type="dxa"/>
            </w:tcMar>
          </w:tcPr>
          <w:p w14:paraId="21F35576" w14:textId="77777777" w:rsidR="000D7C6F" w:rsidRDefault="000D7C6F" w:rsidP="000D7C6F">
            <w:pPr>
              <w:spacing w:after="0"/>
              <w:rPr>
                <w:spacing w:val="-4"/>
              </w:rPr>
            </w:pPr>
            <w:r w:rsidRPr="00D75AC1">
              <w:rPr>
                <w:rFonts w:cs="Arial"/>
                <w:b/>
                <w:bCs/>
                <w:color w:val="000000"/>
                <w:szCs w:val="20"/>
              </w:rPr>
              <w:t>Graf č.</w:t>
            </w:r>
            <w:r>
              <w:rPr>
                <w:rFonts w:cs="Arial"/>
                <w:b/>
                <w:bCs/>
                <w:color w:val="000000"/>
                <w:szCs w:val="20"/>
              </w:rPr>
              <w:t xml:space="preserve"> 9 </w:t>
            </w:r>
            <w:r w:rsidRPr="00D75AC1">
              <w:rPr>
                <w:b/>
                <w:spacing w:val="-4"/>
                <w:szCs w:val="20"/>
              </w:rPr>
              <w:t xml:space="preserve">Bilance zahraničního obchodu </w:t>
            </w:r>
            <w:r>
              <w:rPr>
                <w:b/>
                <w:spacing w:val="-4"/>
                <w:szCs w:val="20"/>
              </w:rPr>
              <w:t xml:space="preserve">se zbožím </w:t>
            </w:r>
            <w:r w:rsidRPr="00D75AC1">
              <w:rPr>
                <w:b/>
                <w:spacing w:val="-4"/>
                <w:szCs w:val="20"/>
              </w:rPr>
              <w:t xml:space="preserve">ve statistice zahraničního obchodu </w:t>
            </w:r>
            <w:r w:rsidRPr="00D75AC1">
              <w:rPr>
                <w:spacing w:val="-4"/>
                <w:szCs w:val="20"/>
              </w:rPr>
              <w:t xml:space="preserve">(kumulace </w:t>
            </w:r>
            <w:r>
              <w:rPr>
                <w:spacing w:val="-4"/>
                <w:szCs w:val="20"/>
              </w:rPr>
              <w:t>1. až 3. čtvrtletí</w:t>
            </w:r>
            <w:r w:rsidRPr="00D75AC1">
              <w:rPr>
                <w:spacing w:val="-4"/>
                <w:szCs w:val="20"/>
              </w:rPr>
              <w:t>, v mld.</w:t>
            </w:r>
            <w:r>
              <w:rPr>
                <w:spacing w:val="-4"/>
                <w:szCs w:val="20"/>
              </w:rPr>
              <w:t xml:space="preserve"> </w:t>
            </w:r>
            <w:r w:rsidRPr="00D75AC1">
              <w:rPr>
                <w:spacing w:val="-4"/>
                <w:szCs w:val="20"/>
              </w:rPr>
              <w:t>korun, vybrané oddíly klasifikace CPA)</w:t>
            </w:r>
          </w:p>
        </w:tc>
      </w:tr>
      <w:tr w:rsidR="000D7C6F" w:rsidRPr="009110F7" w14:paraId="439B8928" w14:textId="77777777" w:rsidTr="000D7C6F">
        <w:tblPrEx>
          <w:tblCellMar>
            <w:left w:w="70" w:type="dxa"/>
            <w:right w:w="70" w:type="dxa"/>
          </w:tblCellMar>
        </w:tblPrEx>
        <w:trPr>
          <w:trHeight w:val="150"/>
        </w:trPr>
        <w:tc>
          <w:tcPr>
            <w:tcW w:w="1748" w:type="dxa"/>
            <w:vMerge/>
          </w:tcPr>
          <w:p w14:paraId="3136505D" w14:textId="77777777" w:rsidR="000D7C6F" w:rsidRDefault="000D7C6F" w:rsidP="000D7C6F">
            <w:pPr>
              <w:pStyle w:val="Marginlie"/>
            </w:pPr>
          </w:p>
        </w:tc>
        <w:tc>
          <w:tcPr>
            <w:tcW w:w="221" w:type="dxa"/>
            <w:vMerge/>
          </w:tcPr>
          <w:p w14:paraId="0BB5DDF9" w14:textId="77777777" w:rsidR="000D7C6F" w:rsidRDefault="000D7C6F" w:rsidP="000D7C6F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670" w:type="dxa"/>
            <w:shd w:val="clear" w:color="auto" w:fill="auto"/>
          </w:tcPr>
          <w:p w14:paraId="5B11594B" w14:textId="77777777" w:rsidR="000D7C6F" w:rsidRDefault="000D7C6F" w:rsidP="000D7C6F">
            <w:pPr>
              <w:spacing w:after="0"/>
              <w:rPr>
                <w:spacing w:val="-4"/>
              </w:rPr>
            </w:pPr>
            <w:r>
              <w:rPr>
                <w:noProof/>
              </w:rPr>
              <w:drawing>
                <wp:inline distT="0" distB="0" distL="0" distR="0" wp14:anchorId="4502340D" wp14:editId="00939F2F">
                  <wp:extent cx="4771467" cy="3492000"/>
                  <wp:effectExtent l="0" t="0" r="0" b="0"/>
                  <wp:docPr id="16" name="Graf 16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00000000-0008-0000-0400-000003000000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2"/>
                    </a:graphicData>
                  </a:graphic>
                </wp:inline>
              </w:drawing>
            </w:r>
          </w:p>
        </w:tc>
      </w:tr>
      <w:tr w:rsidR="000D7C6F" w:rsidRPr="009110F7" w14:paraId="043AD1D5" w14:textId="77777777" w:rsidTr="000D7C6F">
        <w:trPr>
          <w:trHeight w:val="150"/>
        </w:trPr>
        <w:tc>
          <w:tcPr>
            <w:tcW w:w="1748" w:type="dxa"/>
            <w:vMerge/>
            <w:tcMar>
              <w:left w:w="0" w:type="dxa"/>
            </w:tcMar>
          </w:tcPr>
          <w:p w14:paraId="40E9A77C" w14:textId="77777777" w:rsidR="000D7C6F" w:rsidRDefault="000D7C6F" w:rsidP="000D7C6F">
            <w:pPr>
              <w:pStyle w:val="Marginlie"/>
            </w:pPr>
          </w:p>
        </w:tc>
        <w:tc>
          <w:tcPr>
            <w:tcW w:w="221" w:type="dxa"/>
            <w:vMerge/>
            <w:tcMar>
              <w:left w:w="0" w:type="dxa"/>
            </w:tcMar>
          </w:tcPr>
          <w:p w14:paraId="5ECB25B9" w14:textId="77777777" w:rsidR="000D7C6F" w:rsidRDefault="000D7C6F" w:rsidP="000D7C6F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670" w:type="dxa"/>
            <w:shd w:val="clear" w:color="auto" w:fill="auto"/>
            <w:tcMar>
              <w:left w:w="0" w:type="dxa"/>
            </w:tcMar>
          </w:tcPr>
          <w:p w14:paraId="327316B4" w14:textId="77777777" w:rsidR="000D7C6F" w:rsidRDefault="000D7C6F" w:rsidP="000D7C6F">
            <w:pPr>
              <w:rPr>
                <w:spacing w:val="-4"/>
              </w:rPr>
            </w:pPr>
            <w:r>
              <w:rPr>
                <w:sz w:val="14"/>
                <w:szCs w:val="14"/>
              </w:rPr>
              <w:t>Zdroj: ČSÚ</w:t>
            </w:r>
          </w:p>
        </w:tc>
      </w:tr>
      <w:tr w:rsidR="000D7C6F" w:rsidRPr="009110F7" w14:paraId="406E97D1" w14:textId="77777777" w:rsidTr="000D7C6F">
        <w:trPr>
          <w:trHeight w:val="477"/>
        </w:trPr>
        <w:tc>
          <w:tcPr>
            <w:tcW w:w="1748" w:type="dxa"/>
            <w:shd w:val="clear" w:color="auto" w:fill="auto"/>
            <w:tcMar>
              <w:left w:w="0" w:type="dxa"/>
            </w:tcMar>
          </w:tcPr>
          <w:p w14:paraId="5F909512" w14:textId="77777777" w:rsidR="000D7C6F" w:rsidRDefault="000D7C6F" w:rsidP="000D7C6F">
            <w:pPr>
              <w:pStyle w:val="Marginlie"/>
            </w:pPr>
            <w:r>
              <w:t xml:space="preserve">Za zlepšením salda </w:t>
            </w:r>
            <w:r>
              <w:br/>
              <w:t xml:space="preserve">stál většinou </w:t>
            </w:r>
            <w:r>
              <w:br/>
              <w:t xml:space="preserve">obchod s ropou </w:t>
            </w:r>
            <w:r>
              <w:br/>
              <w:t>a zemním plynem.</w:t>
            </w:r>
          </w:p>
        </w:tc>
        <w:tc>
          <w:tcPr>
            <w:tcW w:w="221" w:type="dxa"/>
            <w:shd w:val="clear" w:color="auto" w:fill="auto"/>
            <w:tcMar>
              <w:left w:w="0" w:type="dxa"/>
            </w:tcMar>
          </w:tcPr>
          <w:p w14:paraId="48B3B253" w14:textId="77777777" w:rsidR="000D7C6F" w:rsidRDefault="000D7C6F" w:rsidP="000D7C6F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670" w:type="dxa"/>
            <w:shd w:val="clear" w:color="auto" w:fill="auto"/>
            <w:tcMar>
              <w:left w:w="0" w:type="dxa"/>
            </w:tcMar>
          </w:tcPr>
          <w:p w14:paraId="30CCEB60" w14:textId="77777777" w:rsidR="000D7C6F" w:rsidRDefault="000D7C6F" w:rsidP="000D7C6F">
            <w:pPr>
              <w:spacing w:after="180"/>
              <w:rPr>
                <w:spacing w:val="-4"/>
              </w:rPr>
            </w:pPr>
            <w:r>
              <w:rPr>
                <w:spacing w:val="-4"/>
              </w:rPr>
              <w:t>Na meziročním zlepšení bilance zahraničního obchodu se zbožím v kumulaci za 1. až 3. čtvrtletí se nejvíce podílel obchod s ropou a zemním plynem (+121,7 mld. korun), motorovými vozidly (+79,1 mld.) a základními kovy (+27,8 mld.). V kumulaci od začátku roku se výrazně zhoršila zejména bilance obchodu s elektřinou, plynem, párou a klimatizovaným vzduchem (−39,7 mld. korun). V samotném 3. čtvrtletí ve směru zlepšení bilance působil zejména obchod s ropou a zemním plynem (+56,0 mld. korun). Zlepšení salda u ostatních druhů zboží bylo méně výrazné. Bilance obchodu s motorovými vozidly se zlepšila o 11,0 mld. korun, se základními kovy o 9,1 mld., s elektrickými zařízeními o 7,0 mld., s chemickými látkami a přípravky o 6,1 mld., s černým uhlím a lignitem o 3,9 mld., s ostatními výrobky zpracovatelského průmyslu o 3,9 mld., se stroji a zařízeními o 2,4 mld. a s oděvy o 2,3 mld. Na druhé straně největší meziroční zhoršení bilance měl ve 3. kvartálu obchod s elektřinou, plynem, párou a klimatizovaným vzduchem (−26,4 mld. korun). S odstupem následovaly počítače, elektronické a optické přístroje (−6,5 mld. korun), produkty lesnictví a těžby dřeva (−3,1 mld.), produkty zemědělství a myslivosti (−2,9 mld.), dřevo a dřevěné výrobky (−2,2 mld.) nebo kovodělné výrobky (−2,1 mld.).</w:t>
            </w:r>
          </w:p>
        </w:tc>
      </w:tr>
      <w:bookmarkEnd w:id="5"/>
      <w:bookmarkEnd w:id="6"/>
      <w:bookmarkEnd w:id="7"/>
    </w:tbl>
    <w:p w14:paraId="4443EB77" w14:textId="77777777" w:rsidR="008B02E7" w:rsidRDefault="008B02E7" w:rsidP="001E1AF1">
      <w:pPr>
        <w:pStyle w:val="Nadpis11"/>
        <w:rPr>
          <w:b w:val="0"/>
          <w:sz w:val="2"/>
          <w:szCs w:val="2"/>
        </w:rPr>
      </w:pPr>
    </w:p>
    <w:p w14:paraId="15973F00" w14:textId="49ECABD4" w:rsidR="008B02E7" w:rsidRDefault="008B02E7">
      <w:pPr>
        <w:spacing w:after="0" w:line="240" w:lineRule="auto"/>
        <w:jc w:val="left"/>
        <w:rPr>
          <w:rFonts w:eastAsia="MS Gothic"/>
          <w:bCs/>
          <w:color w:val="71818C"/>
          <w:sz w:val="2"/>
          <w:szCs w:val="2"/>
        </w:rPr>
      </w:pPr>
      <w:bookmarkStart w:id="8" w:name="_GoBack"/>
      <w:bookmarkEnd w:id="0"/>
      <w:bookmarkEnd w:id="1"/>
      <w:bookmarkEnd w:id="8"/>
    </w:p>
    <w:sectPr w:rsidR="008B02E7" w:rsidSect="00437BF4">
      <w:headerReference w:type="even" r:id="rId13"/>
      <w:headerReference w:type="default" r:id="rId14"/>
      <w:footerReference w:type="even" r:id="rId15"/>
      <w:footerReference w:type="default" r:id="rId16"/>
      <w:pgSz w:w="11906" w:h="16838" w:code="9"/>
      <w:pgMar w:top="1134" w:right="1134" w:bottom="1418" w:left="1134" w:header="680" w:footer="737" w:gutter="0"/>
      <w:pgNumType w:start="2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BD5884" w14:textId="77777777" w:rsidR="007E7E2D" w:rsidRDefault="007E7E2D" w:rsidP="00E71A58">
      <w:r>
        <w:separator/>
      </w:r>
    </w:p>
  </w:endnote>
  <w:endnote w:type="continuationSeparator" w:id="0">
    <w:p w14:paraId="6B209754" w14:textId="77777777" w:rsidR="007E7E2D" w:rsidRDefault="007E7E2D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C4B6C8" w14:textId="18DA39C5" w:rsidR="000D7C6F" w:rsidRPr="00932443" w:rsidRDefault="000D7C6F" w:rsidP="00A418BC">
    <w:pPr>
      <w:pStyle w:val="Zpat"/>
      <w:rPr>
        <w:szCs w:val="16"/>
      </w:rPr>
    </w:pPr>
    <w:r>
      <w:rPr>
        <w:szCs w:val="16"/>
        <w:lang w:eastAsia="cs-CZ"/>
      </w:rPr>
      <w:drawing>
        <wp:anchor distT="0" distB="0" distL="114300" distR="114300" simplePos="0" relativeHeight="251667968" behindDoc="0" locked="0" layoutInCell="1" allowOverlap="1" wp14:anchorId="5009AFEB" wp14:editId="1EAEA9AF">
          <wp:simplePos x="0" y="0"/>
          <wp:positionH relativeFrom="column">
            <wp:align>right</wp:align>
          </wp:positionH>
          <wp:positionV relativeFrom="paragraph">
            <wp:posOffset>-64770</wp:posOffset>
          </wp:positionV>
          <wp:extent cx="428625" cy="201295"/>
          <wp:effectExtent l="0" t="0" r="3175" b="1905"/>
          <wp:wrapNone/>
          <wp:docPr id="22" name="Picture 15" descr="CSU RGB CZ logo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CSU RGB CZ logo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201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932443">
      <w:rPr>
        <w:szCs w:val="16"/>
      </w:rPr>
      <w:fldChar w:fldCharType="begin"/>
    </w:r>
    <w:r w:rsidRPr="00932443">
      <w:rPr>
        <w:szCs w:val="16"/>
      </w:rPr>
      <w:instrText>PAGE   \* MERGEFORMAT</w:instrText>
    </w:r>
    <w:r w:rsidRPr="00932443">
      <w:rPr>
        <w:szCs w:val="16"/>
      </w:rPr>
      <w:fldChar w:fldCharType="separate"/>
    </w:r>
    <w:r w:rsidR="00437BF4">
      <w:rPr>
        <w:szCs w:val="16"/>
      </w:rPr>
      <w:t>22</w:t>
    </w:r>
    <w:r w:rsidRPr="00932443">
      <w:rPr>
        <w:szCs w:val="16"/>
      </w:rPr>
      <w:fldChar w:fldCharType="end"/>
    </w:r>
    <w:r w:rsidRPr="00932443">
      <w:rPr>
        <w:szCs w:val="16"/>
      </w:rPr>
      <w:tab/>
    </w:r>
    <w:r>
      <w:rPr>
        <w:szCs w:val="16"/>
      </w:rPr>
      <w:t>1. až 3. čtvrtletí 2023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EFAFAF" w14:textId="0FEDB5E4" w:rsidR="000D7C6F" w:rsidRPr="00932443" w:rsidRDefault="000D7C6F" w:rsidP="00FA6CB6">
    <w:pPr>
      <w:pStyle w:val="Zpat"/>
      <w:rPr>
        <w:szCs w:val="16"/>
      </w:rPr>
    </w:pPr>
    <w:r w:rsidRPr="00FA6CB6">
      <w:rPr>
        <w:szCs w:val="16"/>
      </w:rPr>
      <w:tab/>
    </w:r>
    <w:r>
      <w:rPr>
        <w:szCs w:val="16"/>
      </w:rPr>
      <w:t>1. až 3. čtvrtletí 202</w:t>
    </w:r>
    <w:r>
      <w:rPr>
        <w:szCs w:val="16"/>
        <w:lang w:eastAsia="cs-CZ"/>
      </w:rPr>
      <w:drawing>
        <wp:anchor distT="0" distB="0" distL="114300" distR="114300" simplePos="0" relativeHeight="251658752" behindDoc="0" locked="0" layoutInCell="1" allowOverlap="1" wp14:anchorId="2DB053DA" wp14:editId="608D8B4A">
          <wp:simplePos x="0" y="0"/>
          <wp:positionH relativeFrom="column">
            <wp:align>left</wp:align>
          </wp:positionH>
          <wp:positionV relativeFrom="paragraph">
            <wp:posOffset>-122555</wp:posOffset>
          </wp:positionV>
          <wp:extent cx="510540" cy="272415"/>
          <wp:effectExtent l="0" t="0" r="0" b="6985"/>
          <wp:wrapNone/>
          <wp:docPr id="24" name="Picture 16" descr="CSU RGB CZ logo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CSU RGB CZ logo-0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0540" cy="272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szCs w:val="16"/>
      </w:rPr>
      <w:t>3</w:t>
    </w:r>
    <w:r w:rsidRPr="00932443">
      <w:rPr>
        <w:szCs w:val="16"/>
      </w:rPr>
      <w:tab/>
    </w:r>
    <w:r w:rsidRPr="00932443">
      <w:rPr>
        <w:rStyle w:val="ZpatChar"/>
        <w:szCs w:val="16"/>
      </w:rPr>
      <w:fldChar w:fldCharType="begin"/>
    </w:r>
    <w:r w:rsidRPr="00932443">
      <w:rPr>
        <w:rStyle w:val="ZpatChar"/>
        <w:szCs w:val="16"/>
      </w:rPr>
      <w:instrText>PAGE   \* MERGEFORMAT</w:instrText>
    </w:r>
    <w:r w:rsidRPr="00932443">
      <w:rPr>
        <w:rStyle w:val="ZpatChar"/>
        <w:szCs w:val="16"/>
      </w:rPr>
      <w:fldChar w:fldCharType="separate"/>
    </w:r>
    <w:r w:rsidR="00437BF4">
      <w:rPr>
        <w:rStyle w:val="ZpatChar"/>
        <w:szCs w:val="16"/>
      </w:rPr>
      <w:t>23</w:t>
    </w:r>
    <w:r w:rsidRPr="00932443">
      <w:rPr>
        <w:rStyle w:val="ZpatChar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AAC5AE3" w14:textId="77777777" w:rsidR="007E7E2D" w:rsidRDefault="007E7E2D" w:rsidP="00A21B4D">
      <w:pPr>
        <w:spacing w:after="0"/>
      </w:pPr>
      <w:r>
        <w:separator/>
      </w:r>
    </w:p>
  </w:footnote>
  <w:footnote w:type="continuationSeparator" w:id="0">
    <w:p w14:paraId="1AEB178E" w14:textId="77777777" w:rsidR="007E7E2D" w:rsidRDefault="007E7E2D" w:rsidP="00E71A58">
      <w:r>
        <w:continuationSeparator/>
      </w:r>
    </w:p>
  </w:footnote>
  <w:footnote w:id="1">
    <w:p w14:paraId="3A4E73FD" w14:textId="77777777" w:rsidR="000D7C6F" w:rsidRPr="00441515" w:rsidRDefault="000D7C6F" w:rsidP="000D7C6F">
      <w:pPr>
        <w:pStyle w:val="Textpoznpodarou"/>
        <w:rPr>
          <w:rFonts w:cs="Arial"/>
          <w:i/>
          <w:iCs/>
          <w:sz w:val="16"/>
          <w:szCs w:val="16"/>
        </w:rPr>
      </w:pPr>
      <w:r w:rsidRPr="00441515">
        <w:rPr>
          <w:rStyle w:val="Znakapoznpodarou"/>
          <w:rFonts w:cs="Arial"/>
          <w:sz w:val="16"/>
          <w:szCs w:val="16"/>
        </w:rPr>
        <w:footnoteRef/>
      </w:r>
      <w:r w:rsidRPr="00441515">
        <w:rPr>
          <w:rFonts w:cs="Arial"/>
          <w:i/>
          <w:iCs/>
          <w:sz w:val="16"/>
          <w:szCs w:val="16"/>
        </w:rPr>
        <w:t xml:space="preserve"> </w:t>
      </w:r>
      <w:r w:rsidRPr="00441515">
        <w:rPr>
          <w:rStyle w:val="Zdraznn"/>
          <w:rFonts w:cs="Arial"/>
          <w:i w:val="0"/>
          <w:iCs w:val="0"/>
          <w:color w:val="333333"/>
          <w:sz w:val="16"/>
          <w:szCs w:val="16"/>
          <w:bdr w:val="none" w:sz="0" w:space="0" w:color="auto" w:frame="1"/>
          <w:shd w:val="clear" w:color="auto" w:fill="FFFFFF"/>
        </w:rPr>
        <w:t>Údaje za zahraniční obchod se zbožím od roku 2020 jsou přepočítávány aktualizovanou metodou založenou na vyšší míře detailu, viz </w:t>
      </w:r>
      <w:hyperlink r:id="rId1" w:history="1">
        <w:r w:rsidRPr="00C80FF3">
          <w:rPr>
            <w:rStyle w:val="Hypertextovodkaz"/>
            <w:rFonts w:cs="Arial"/>
            <w:sz w:val="16"/>
            <w:szCs w:val="16"/>
            <w:bdr w:val="none" w:sz="0" w:space="0" w:color="auto" w:frame="1"/>
            <w:shd w:val="clear" w:color="auto" w:fill="FFFFFF"/>
          </w:rPr>
          <w:t>https://www.czso.cz/csu/czso/aktualizace-metody-propoctu-zahranicni-obchod-se-zbozim</w:t>
        </w:r>
      </w:hyperlink>
      <w:r>
        <w:rPr>
          <w:rStyle w:val="Hypertextovodkaz"/>
          <w:rFonts w:cs="Arial"/>
          <w:sz w:val="16"/>
          <w:szCs w:val="16"/>
          <w:bdr w:val="none" w:sz="0" w:space="0" w:color="auto" w:frame="1"/>
          <w:shd w:val="clear" w:color="auto" w:fill="FFFFFF"/>
        </w:rPr>
        <w:t xml:space="preserve">. </w:t>
      </w:r>
      <w:r w:rsidRPr="004E0CF8">
        <w:rPr>
          <w:sz w:val="16"/>
          <w:szCs w:val="16"/>
        </w:rPr>
        <w:t>Není-li uvedeno jinak, jsou všechny údaje sezónně neočištěné a v běžných cenách.</w:t>
      </w:r>
    </w:p>
  </w:footnote>
  <w:footnote w:id="2">
    <w:p w14:paraId="6EC4874D" w14:textId="77777777" w:rsidR="000D7C6F" w:rsidRPr="00FC5C85" w:rsidRDefault="000D7C6F" w:rsidP="000D7C6F">
      <w:pPr>
        <w:pStyle w:val="Textpoznpodarou"/>
        <w:rPr>
          <w:sz w:val="16"/>
          <w:szCs w:val="16"/>
        </w:rPr>
      </w:pPr>
      <w:r w:rsidRPr="00FC5C85">
        <w:rPr>
          <w:rStyle w:val="Znakapoznpodarou"/>
          <w:sz w:val="16"/>
          <w:szCs w:val="16"/>
        </w:rPr>
        <w:footnoteRef/>
      </w:r>
      <w:r w:rsidRPr="00FC5C85">
        <w:rPr>
          <w:sz w:val="16"/>
          <w:szCs w:val="16"/>
        </w:rPr>
        <w:t xml:space="preserve"> </w:t>
      </w:r>
      <w:r w:rsidRPr="002F0E99">
        <w:rPr>
          <w:sz w:val="16"/>
          <w:szCs w:val="16"/>
        </w:rPr>
        <w:t>Ceny vývozu zboží se ve </w:t>
      </w:r>
      <w:r>
        <w:rPr>
          <w:sz w:val="16"/>
          <w:szCs w:val="16"/>
        </w:rPr>
        <w:t>3</w:t>
      </w:r>
      <w:r w:rsidRPr="002F0E99">
        <w:rPr>
          <w:sz w:val="16"/>
          <w:szCs w:val="16"/>
        </w:rPr>
        <w:t xml:space="preserve">. čtvrtletí 2023 meziročně </w:t>
      </w:r>
      <w:r>
        <w:rPr>
          <w:sz w:val="16"/>
          <w:szCs w:val="16"/>
        </w:rPr>
        <w:t>snížily</w:t>
      </w:r>
      <w:r w:rsidRPr="002F0E99">
        <w:rPr>
          <w:sz w:val="16"/>
          <w:szCs w:val="16"/>
        </w:rPr>
        <w:t xml:space="preserve"> o </w:t>
      </w:r>
      <w:r>
        <w:rPr>
          <w:sz w:val="16"/>
          <w:szCs w:val="16"/>
        </w:rPr>
        <w:t>4,4</w:t>
      </w:r>
      <w:r w:rsidRPr="002F0E99">
        <w:rPr>
          <w:sz w:val="16"/>
          <w:szCs w:val="16"/>
        </w:rPr>
        <w:t xml:space="preserve"> % a mezičtvrtletně </w:t>
      </w:r>
      <w:r>
        <w:rPr>
          <w:sz w:val="16"/>
          <w:szCs w:val="16"/>
        </w:rPr>
        <w:t>vzrostly o 0,7</w:t>
      </w:r>
      <w:r w:rsidRPr="002F0E99">
        <w:rPr>
          <w:sz w:val="16"/>
          <w:szCs w:val="16"/>
        </w:rPr>
        <w:t xml:space="preserve"> %.</w:t>
      </w:r>
      <w:r w:rsidRPr="00FC5C85">
        <w:rPr>
          <w:sz w:val="16"/>
          <w:szCs w:val="16"/>
        </w:rPr>
        <w:t xml:space="preserve"> </w:t>
      </w:r>
      <w:r>
        <w:rPr>
          <w:sz w:val="16"/>
          <w:szCs w:val="16"/>
        </w:rPr>
        <w:t>C</w:t>
      </w:r>
      <w:r w:rsidRPr="002F40C5">
        <w:rPr>
          <w:sz w:val="16"/>
          <w:szCs w:val="16"/>
        </w:rPr>
        <w:t>eny ostatních surovin</w:t>
      </w:r>
      <w:r>
        <w:rPr>
          <w:sz w:val="16"/>
          <w:szCs w:val="16"/>
        </w:rPr>
        <w:t xml:space="preserve"> meziročně klesly</w:t>
      </w:r>
      <w:r w:rsidRPr="002F40C5">
        <w:rPr>
          <w:sz w:val="16"/>
          <w:szCs w:val="16"/>
        </w:rPr>
        <w:t xml:space="preserve"> o 23,0 % (především korku a dřeva), minerálních paliv o 18,8 % (elektřiny, ropných výrobků a uhlí) a chemikálií o</w:t>
      </w:r>
      <w:r>
        <w:rPr>
          <w:sz w:val="16"/>
          <w:szCs w:val="16"/>
        </w:rPr>
        <w:t> </w:t>
      </w:r>
      <w:r w:rsidRPr="002F40C5">
        <w:rPr>
          <w:sz w:val="16"/>
          <w:szCs w:val="16"/>
        </w:rPr>
        <w:t>13,4</w:t>
      </w:r>
      <w:r>
        <w:rPr>
          <w:sz w:val="16"/>
          <w:szCs w:val="16"/>
        </w:rPr>
        <w:t> </w:t>
      </w:r>
      <w:r w:rsidRPr="002F40C5">
        <w:rPr>
          <w:sz w:val="16"/>
          <w:szCs w:val="16"/>
        </w:rPr>
        <w:t>% (zvláště organických chemikálií a plastů).</w:t>
      </w:r>
    </w:p>
  </w:footnote>
  <w:footnote w:id="3">
    <w:p w14:paraId="04878AD7" w14:textId="77777777" w:rsidR="000D7C6F" w:rsidRPr="00DE472F" w:rsidRDefault="000D7C6F" w:rsidP="000D7C6F">
      <w:pPr>
        <w:pStyle w:val="Textpoznpodarou"/>
        <w:rPr>
          <w:sz w:val="16"/>
          <w:szCs w:val="16"/>
        </w:rPr>
      </w:pPr>
      <w:r w:rsidRPr="00DE472F">
        <w:rPr>
          <w:rStyle w:val="Znakapoznpodarou"/>
          <w:sz w:val="16"/>
          <w:szCs w:val="16"/>
        </w:rPr>
        <w:footnoteRef/>
      </w:r>
      <w:r w:rsidRPr="00DE472F">
        <w:rPr>
          <w:sz w:val="16"/>
          <w:szCs w:val="16"/>
        </w:rPr>
        <w:t xml:space="preserve"> </w:t>
      </w:r>
      <w:r>
        <w:rPr>
          <w:sz w:val="16"/>
          <w:szCs w:val="16"/>
        </w:rPr>
        <w:t>U všech tří zemí byl vývoz ovlivněn propadem cen elektřiny. V případě Německa se ve 3. čtvrtletí meziročně snížila hodnota vývozu elektřiny, plynu, páry a klimatizovaného vzduchu o 16,4 mld. korun, export elektřiny na Slovensko se propadl o 9,0 mld. korun a do Rakouska o 5,4 mld.</w:t>
      </w:r>
    </w:p>
  </w:footnote>
  <w:footnote w:id="4">
    <w:p w14:paraId="5EE602F1" w14:textId="77777777" w:rsidR="000D7C6F" w:rsidRPr="00063A81" w:rsidRDefault="000D7C6F" w:rsidP="000D7C6F">
      <w:pPr>
        <w:pStyle w:val="Textpoznpodarou"/>
        <w:rPr>
          <w:sz w:val="16"/>
          <w:szCs w:val="16"/>
        </w:rPr>
      </w:pPr>
      <w:r w:rsidRPr="00063A81">
        <w:rPr>
          <w:rStyle w:val="Znakapoznpodarou"/>
          <w:sz w:val="16"/>
          <w:szCs w:val="16"/>
        </w:rPr>
        <w:footnoteRef/>
      </w:r>
      <w:r w:rsidRPr="00063A81">
        <w:rPr>
          <w:sz w:val="16"/>
          <w:szCs w:val="16"/>
        </w:rPr>
        <w:t xml:space="preserve"> </w:t>
      </w:r>
      <w:r w:rsidRPr="002F0E99">
        <w:rPr>
          <w:sz w:val="16"/>
          <w:szCs w:val="16"/>
        </w:rPr>
        <w:t>Ceny dovozu zboží ve </w:t>
      </w:r>
      <w:r>
        <w:rPr>
          <w:sz w:val="16"/>
          <w:szCs w:val="16"/>
        </w:rPr>
        <w:t>3</w:t>
      </w:r>
      <w:r w:rsidRPr="002F0E99">
        <w:rPr>
          <w:sz w:val="16"/>
          <w:szCs w:val="16"/>
        </w:rPr>
        <w:t xml:space="preserve">. čtvrtletí meziročně klesly o </w:t>
      </w:r>
      <w:r>
        <w:rPr>
          <w:sz w:val="16"/>
          <w:szCs w:val="16"/>
        </w:rPr>
        <w:t>11,2</w:t>
      </w:r>
      <w:r w:rsidRPr="002F0E99">
        <w:rPr>
          <w:sz w:val="16"/>
          <w:szCs w:val="16"/>
        </w:rPr>
        <w:t xml:space="preserve"> % a mezičtvrtletně </w:t>
      </w:r>
      <w:r>
        <w:rPr>
          <w:sz w:val="16"/>
          <w:szCs w:val="16"/>
        </w:rPr>
        <w:t>vzrostly</w:t>
      </w:r>
      <w:r w:rsidRPr="002F0E99">
        <w:rPr>
          <w:sz w:val="16"/>
          <w:szCs w:val="16"/>
        </w:rPr>
        <w:t xml:space="preserve"> o </w:t>
      </w:r>
      <w:r>
        <w:rPr>
          <w:sz w:val="16"/>
          <w:szCs w:val="16"/>
        </w:rPr>
        <w:t>1,3</w:t>
      </w:r>
      <w:r w:rsidRPr="002F0E99">
        <w:rPr>
          <w:sz w:val="16"/>
          <w:szCs w:val="16"/>
        </w:rPr>
        <w:t xml:space="preserve"> %. Ceny minerálních paliv byly </w:t>
      </w:r>
      <w:r>
        <w:rPr>
          <w:sz w:val="16"/>
          <w:szCs w:val="16"/>
        </w:rPr>
        <w:t xml:space="preserve">meziročně </w:t>
      </w:r>
      <w:r w:rsidRPr="002F0E99">
        <w:rPr>
          <w:sz w:val="16"/>
          <w:szCs w:val="16"/>
        </w:rPr>
        <w:t>nižší o </w:t>
      </w:r>
      <w:r>
        <w:rPr>
          <w:sz w:val="16"/>
          <w:szCs w:val="16"/>
        </w:rPr>
        <w:t>44,7</w:t>
      </w:r>
      <w:r w:rsidRPr="002F0E99">
        <w:rPr>
          <w:sz w:val="16"/>
          <w:szCs w:val="16"/>
        </w:rPr>
        <w:t xml:space="preserve"> % (hlavně </w:t>
      </w:r>
      <w:r>
        <w:rPr>
          <w:sz w:val="16"/>
          <w:szCs w:val="16"/>
        </w:rPr>
        <w:t>p</w:t>
      </w:r>
      <w:r w:rsidRPr="002F0E99">
        <w:rPr>
          <w:sz w:val="16"/>
          <w:szCs w:val="16"/>
        </w:rPr>
        <w:t>lynu a elektřiny), ostatních surovin o 1</w:t>
      </w:r>
      <w:r>
        <w:rPr>
          <w:sz w:val="16"/>
          <w:szCs w:val="16"/>
        </w:rPr>
        <w:t>7</w:t>
      </w:r>
      <w:r w:rsidRPr="002F0E99">
        <w:rPr>
          <w:sz w:val="16"/>
          <w:szCs w:val="16"/>
        </w:rPr>
        <w:t>,</w:t>
      </w:r>
      <w:r>
        <w:rPr>
          <w:sz w:val="16"/>
          <w:szCs w:val="16"/>
        </w:rPr>
        <w:t>2</w:t>
      </w:r>
      <w:r w:rsidRPr="002F0E99">
        <w:rPr>
          <w:sz w:val="16"/>
          <w:szCs w:val="16"/>
        </w:rPr>
        <w:t> % (především rud kovů a kovového odpadu)</w:t>
      </w:r>
      <w:r>
        <w:rPr>
          <w:sz w:val="16"/>
          <w:szCs w:val="16"/>
        </w:rPr>
        <w:t xml:space="preserve"> </w:t>
      </w:r>
      <w:r w:rsidRPr="002F0E99">
        <w:rPr>
          <w:sz w:val="16"/>
          <w:szCs w:val="16"/>
        </w:rPr>
        <w:t>a chemikálií o 1</w:t>
      </w:r>
      <w:r>
        <w:rPr>
          <w:sz w:val="16"/>
          <w:szCs w:val="16"/>
        </w:rPr>
        <w:t>2,0</w:t>
      </w:r>
      <w:r w:rsidRPr="002F0E99">
        <w:rPr>
          <w:sz w:val="16"/>
          <w:szCs w:val="16"/>
        </w:rPr>
        <w:t> % (zvláště plastů).</w:t>
      </w:r>
    </w:p>
  </w:footnote>
  <w:footnote w:id="5">
    <w:p w14:paraId="390BB12A" w14:textId="77777777" w:rsidR="000D7C6F" w:rsidRPr="009424B8" w:rsidRDefault="000D7C6F" w:rsidP="000D7C6F">
      <w:pPr>
        <w:pStyle w:val="Textpoznpodarou"/>
        <w:rPr>
          <w:sz w:val="16"/>
          <w:szCs w:val="16"/>
        </w:rPr>
      </w:pPr>
      <w:r w:rsidRPr="009424B8">
        <w:rPr>
          <w:rStyle w:val="Znakapoznpodarou"/>
          <w:sz w:val="16"/>
          <w:szCs w:val="16"/>
        </w:rPr>
        <w:footnoteRef/>
      </w:r>
      <w:r w:rsidRPr="009424B8">
        <w:rPr>
          <w:sz w:val="16"/>
          <w:szCs w:val="16"/>
        </w:rPr>
        <w:t xml:space="preserve"> Norsko představuje „nový“ zdroj zemního plynu a náhradu za výpadek u dovozu</w:t>
      </w:r>
      <w:r>
        <w:rPr>
          <w:sz w:val="16"/>
          <w:szCs w:val="16"/>
        </w:rPr>
        <w:t xml:space="preserve"> této komodity</w:t>
      </w:r>
      <w:r w:rsidRPr="009424B8">
        <w:rPr>
          <w:sz w:val="16"/>
          <w:szCs w:val="16"/>
        </w:rPr>
        <w:t xml:space="preserve"> z Ruska.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594A67" w14:textId="77777777" w:rsidR="000D7C6F" w:rsidRDefault="000D7C6F" w:rsidP="00937AE2">
    <w:pPr>
      <w:pStyle w:val="Zhlav"/>
    </w:pPr>
    <w:r>
      <w:t>Vývoj ekonomiky České republiky</w:t>
    </w:r>
  </w:p>
  <w:p w14:paraId="3E881AB3" w14:textId="77777777" w:rsidR="000D7C6F" w:rsidRPr="006F5416" w:rsidRDefault="000D7C6F" w:rsidP="00937AE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22D3DB" w14:textId="77777777" w:rsidR="000D7C6F" w:rsidRDefault="000D7C6F" w:rsidP="00937AE2">
    <w:pPr>
      <w:pStyle w:val="Zhlav"/>
    </w:pPr>
    <w:r>
      <w:t>Vývoj ekonomiky České republiky</w:t>
    </w:r>
  </w:p>
  <w:p w14:paraId="57266714" w14:textId="77777777" w:rsidR="000D7C6F" w:rsidRPr="006F5416" w:rsidRDefault="000D7C6F" w:rsidP="00937AE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5" type="#_x0000_t75" style="width:11.55pt;height:11.55pt" o:bullet="t">
        <v:imagedata r:id="rId1" o:title="msoFAAF"/>
      </v:shape>
    </w:pict>
  </w:numPicBullet>
  <w:abstractNum w:abstractNumId="0" w15:restartNumberingAfterBreak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AC5946"/>
    <w:multiLevelType w:val="hybridMultilevel"/>
    <w:tmpl w:val="4C1C2D78"/>
    <w:lvl w:ilvl="0" w:tplc="B01A563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895764B"/>
    <w:multiLevelType w:val="hybridMultilevel"/>
    <w:tmpl w:val="84788BC8"/>
    <w:lvl w:ilvl="0" w:tplc="1B96A2C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9D55121"/>
    <w:multiLevelType w:val="hybridMultilevel"/>
    <w:tmpl w:val="338E27C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0D361065"/>
    <w:multiLevelType w:val="hybridMultilevel"/>
    <w:tmpl w:val="991072CE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18B35353"/>
    <w:multiLevelType w:val="multilevel"/>
    <w:tmpl w:val="1C0E9EAE"/>
    <w:name w:val="Analyza"/>
    <w:lvl w:ilvl="0">
      <w:start w:val="1"/>
      <w:numFmt w:val="decimal"/>
      <w:suff w:val="space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576" w:hanging="576"/>
      </w:pPr>
      <w:rPr>
        <w:rFonts w:hint="default"/>
        <w:i w:val="0"/>
      </w:rPr>
    </w:lvl>
    <w:lvl w:ilvl="2">
      <w:start w:val="1"/>
      <w:numFmt w:val="decimal"/>
      <w:suff w:val="space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suff w:val="space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suff w:val="space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suff w:val="space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suff w:val="space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suff w:val="space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5" w15:restartNumberingAfterBreak="0">
    <w:nsid w:val="1B2A5724"/>
    <w:multiLevelType w:val="hybridMultilevel"/>
    <w:tmpl w:val="0EA8A78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8352333"/>
    <w:multiLevelType w:val="multilevel"/>
    <w:tmpl w:val="D0ACFA48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8" w15:restartNumberingAfterBreak="0">
    <w:nsid w:val="2A5A7A8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 w15:restartNumberingAfterBreak="0">
    <w:nsid w:val="2C24203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 w15:restartNumberingAfterBreak="0">
    <w:nsid w:val="2D106EA9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311355C0"/>
    <w:multiLevelType w:val="multilevel"/>
    <w:tmpl w:val="697E8BEA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2" w15:restartNumberingAfterBreak="0">
    <w:nsid w:val="35280B15"/>
    <w:multiLevelType w:val="hybridMultilevel"/>
    <w:tmpl w:val="5156AAF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6841503"/>
    <w:multiLevelType w:val="hybridMultilevel"/>
    <w:tmpl w:val="322E8B4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7D23EC3"/>
    <w:multiLevelType w:val="hybridMultilevel"/>
    <w:tmpl w:val="B65A486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95236EE"/>
    <w:multiLevelType w:val="hybridMultilevel"/>
    <w:tmpl w:val="CC2A159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9914012"/>
    <w:multiLevelType w:val="multilevel"/>
    <w:tmpl w:val="F380FB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C7C1667"/>
    <w:multiLevelType w:val="hybridMultilevel"/>
    <w:tmpl w:val="735E7570"/>
    <w:lvl w:ilvl="0" w:tplc="5588AF8E">
      <w:start w:val="1"/>
      <w:numFmt w:val="decimal"/>
      <w:lvlText w:val="%1."/>
      <w:lvlJc w:val="left"/>
      <w:pPr>
        <w:ind w:left="48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5520" w:hanging="360"/>
      </w:pPr>
    </w:lvl>
    <w:lvl w:ilvl="2" w:tplc="0405001B" w:tentative="1">
      <w:start w:val="1"/>
      <w:numFmt w:val="lowerRoman"/>
      <w:lvlText w:val="%3."/>
      <w:lvlJc w:val="right"/>
      <w:pPr>
        <w:ind w:left="6240" w:hanging="180"/>
      </w:pPr>
    </w:lvl>
    <w:lvl w:ilvl="3" w:tplc="0405000F" w:tentative="1">
      <w:start w:val="1"/>
      <w:numFmt w:val="decimal"/>
      <w:lvlText w:val="%4."/>
      <w:lvlJc w:val="left"/>
      <w:pPr>
        <w:ind w:left="6960" w:hanging="360"/>
      </w:pPr>
    </w:lvl>
    <w:lvl w:ilvl="4" w:tplc="04050019" w:tentative="1">
      <w:start w:val="1"/>
      <w:numFmt w:val="lowerLetter"/>
      <w:lvlText w:val="%5."/>
      <w:lvlJc w:val="left"/>
      <w:pPr>
        <w:ind w:left="7680" w:hanging="360"/>
      </w:pPr>
    </w:lvl>
    <w:lvl w:ilvl="5" w:tplc="0405001B" w:tentative="1">
      <w:start w:val="1"/>
      <w:numFmt w:val="lowerRoman"/>
      <w:lvlText w:val="%6."/>
      <w:lvlJc w:val="right"/>
      <w:pPr>
        <w:ind w:left="8400" w:hanging="180"/>
      </w:pPr>
    </w:lvl>
    <w:lvl w:ilvl="6" w:tplc="0405000F" w:tentative="1">
      <w:start w:val="1"/>
      <w:numFmt w:val="decimal"/>
      <w:lvlText w:val="%7."/>
      <w:lvlJc w:val="left"/>
      <w:pPr>
        <w:ind w:left="9120" w:hanging="360"/>
      </w:pPr>
    </w:lvl>
    <w:lvl w:ilvl="7" w:tplc="04050019" w:tentative="1">
      <w:start w:val="1"/>
      <w:numFmt w:val="lowerLetter"/>
      <w:lvlText w:val="%8."/>
      <w:lvlJc w:val="left"/>
      <w:pPr>
        <w:ind w:left="9840" w:hanging="360"/>
      </w:pPr>
    </w:lvl>
    <w:lvl w:ilvl="8" w:tplc="0405001B" w:tentative="1">
      <w:start w:val="1"/>
      <w:numFmt w:val="lowerRoman"/>
      <w:lvlText w:val="%9."/>
      <w:lvlJc w:val="right"/>
      <w:pPr>
        <w:ind w:left="10560" w:hanging="180"/>
      </w:pPr>
    </w:lvl>
  </w:abstractNum>
  <w:abstractNum w:abstractNumId="28" w15:restartNumberingAfterBreak="0">
    <w:nsid w:val="3D4D0562"/>
    <w:multiLevelType w:val="hybridMultilevel"/>
    <w:tmpl w:val="E8A8F28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3BB1D16"/>
    <w:multiLevelType w:val="hybridMultilevel"/>
    <w:tmpl w:val="CA44090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79678F7"/>
    <w:multiLevelType w:val="hybridMultilevel"/>
    <w:tmpl w:val="A4DE713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ADA4287"/>
    <w:multiLevelType w:val="multilevel"/>
    <w:tmpl w:val="1C0E9EAE"/>
    <w:lvl w:ilvl="0">
      <w:start w:val="1"/>
      <w:numFmt w:val="decimal"/>
      <w:suff w:val="space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576" w:hanging="576"/>
      </w:pPr>
      <w:rPr>
        <w:rFonts w:hint="default"/>
        <w:i w:val="0"/>
      </w:rPr>
    </w:lvl>
    <w:lvl w:ilvl="2">
      <w:start w:val="1"/>
      <w:numFmt w:val="decimal"/>
      <w:suff w:val="space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suff w:val="space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suff w:val="space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suff w:val="space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suff w:val="space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suff w:val="space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3" w15:restartNumberingAfterBreak="0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E490F3B"/>
    <w:multiLevelType w:val="hybridMultilevel"/>
    <w:tmpl w:val="D64CB604"/>
    <w:lvl w:ilvl="0" w:tplc="67AC8A1C">
      <w:start w:val="1"/>
      <w:numFmt w:val="bullet"/>
      <w:lvlText w:val=""/>
      <w:lvlJc w:val="left"/>
      <w:pPr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38567A6"/>
    <w:multiLevelType w:val="hybridMultilevel"/>
    <w:tmpl w:val="50E0FCA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8CB210F"/>
    <w:multiLevelType w:val="multilevel"/>
    <w:tmpl w:val="D64CB604"/>
    <w:lvl w:ilvl="0">
      <w:start w:val="1"/>
      <w:numFmt w:val="bullet"/>
      <w:lvlText w:val=""/>
      <w:lvlJc w:val="left"/>
      <w:pPr>
        <w:ind w:left="357" w:hanging="35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B651B2D"/>
    <w:multiLevelType w:val="hybridMultilevel"/>
    <w:tmpl w:val="4C1C2D78"/>
    <w:lvl w:ilvl="0" w:tplc="B01A5632">
      <w:start w:val="1"/>
      <w:numFmt w:val="bullet"/>
      <w:pStyle w:val="Normalodrka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F8E301A"/>
    <w:multiLevelType w:val="hybridMultilevel"/>
    <w:tmpl w:val="1A92D79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6"/>
  </w:num>
  <w:num w:numId="13">
    <w:abstractNumId w:val="33"/>
  </w:num>
  <w:num w:numId="14">
    <w:abstractNumId w:val="14"/>
  </w:num>
  <w:num w:numId="15">
    <w:abstractNumId w:val="21"/>
  </w:num>
  <w:num w:numId="16">
    <w:abstractNumId w:val="17"/>
  </w:num>
  <w:num w:numId="17">
    <w:abstractNumId w:val="34"/>
  </w:num>
  <w:num w:numId="18">
    <w:abstractNumId w:val="26"/>
  </w:num>
  <w:num w:numId="19">
    <w:abstractNumId w:val="36"/>
  </w:num>
  <w:num w:numId="20">
    <w:abstractNumId w:val="37"/>
  </w:num>
  <w:num w:numId="21">
    <w:abstractNumId w:val="32"/>
  </w:num>
  <w:num w:numId="22">
    <w:abstractNumId w:val="20"/>
  </w:num>
  <w:num w:numId="23">
    <w:abstractNumId w:val="18"/>
  </w:num>
  <w:num w:numId="24">
    <w:abstractNumId w:val="19"/>
  </w:num>
  <w:num w:numId="25">
    <w:abstractNumId w:val="13"/>
  </w:num>
  <w:num w:numId="26">
    <w:abstractNumId w:val="28"/>
  </w:num>
  <w:num w:numId="27">
    <w:abstractNumId w:val="27"/>
  </w:num>
  <w:num w:numId="28">
    <w:abstractNumId w:val="10"/>
  </w:num>
  <w:num w:numId="29">
    <w:abstractNumId w:val="37"/>
  </w:num>
  <w:num w:numId="30">
    <w:abstractNumId w:val="29"/>
  </w:num>
  <w:num w:numId="31">
    <w:abstractNumId w:val="12"/>
  </w:num>
  <w:num w:numId="32">
    <w:abstractNumId w:val="38"/>
  </w:num>
  <w:num w:numId="33">
    <w:abstractNumId w:val="37"/>
  </w:num>
  <w:num w:numId="34">
    <w:abstractNumId w:val="11"/>
  </w:num>
  <w:num w:numId="35">
    <w:abstractNumId w:val="35"/>
  </w:num>
  <w:num w:numId="36">
    <w:abstractNumId w:val="30"/>
  </w:num>
  <w:num w:numId="37">
    <w:abstractNumId w:val="22"/>
  </w:num>
  <w:num w:numId="38">
    <w:abstractNumId w:val="25"/>
  </w:num>
  <w:num w:numId="39">
    <w:abstractNumId w:val="15"/>
  </w:num>
  <w:num w:numId="40">
    <w:abstractNumId w:val="23"/>
  </w:num>
  <w:num w:numId="4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evenAndOddHeaders/>
  <w:drawingGridHorizontalSpacing w:val="10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2828"/>
    <w:rsid w:val="000005AF"/>
    <w:rsid w:val="00000994"/>
    <w:rsid w:val="00000B55"/>
    <w:rsid w:val="0000209D"/>
    <w:rsid w:val="00002566"/>
    <w:rsid w:val="0000370A"/>
    <w:rsid w:val="00003849"/>
    <w:rsid w:val="00003F5C"/>
    <w:rsid w:val="00004D5A"/>
    <w:rsid w:val="00005219"/>
    <w:rsid w:val="000056D5"/>
    <w:rsid w:val="00005D9E"/>
    <w:rsid w:val="000063D5"/>
    <w:rsid w:val="00006625"/>
    <w:rsid w:val="00006ABD"/>
    <w:rsid w:val="00006B67"/>
    <w:rsid w:val="00006C0B"/>
    <w:rsid w:val="000073A0"/>
    <w:rsid w:val="0000767A"/>
    <w:rsid w:val="00007ABE"/>
    <w:rsid w:val="00010107"/>
    <w:rsid w:val="00010256"/>
    <w:rsid w:val="00010702"/>
    <w:rsid w:val="00010A2C"/>
    <w:rsid w:val="0001128E"/>
    <w:rsid w:val="00011912"/>
    <w:rsid w:val="000129B7"/>
    <w:rsid w:val="0001387D"/>
    <w:rsid w:val="00014ED0"/>
    <w:rsid w:val="00016420"/>
    <w:rsid w:val="00016BDB"/>
    <w:rsid w:val="00017B01"/>
    <w:rsid w:val="000200BE"/>
    <w:rsid w:val="000205D1"/>
    <w:rsid w:val="00020F22"/>
    <w:rsid w:val="0002195D"/>
    <w:rsid w:val="00021F9B"/>
    <w:rsid w:val="000228AE"/>
    <w:rsid w:val="000233D1"/>
    <w:rsid w:val="000234D6"/>
    <w:rsid w:val="00023D29"/>
    <w:rsid w:val="00024348"/>
    <w:rsid w:val="00026109"/>
    <w:rsid w:val="0002622B"/>
    <w:rsid w:val="00026389"/>
    <w:rsid w:val="0002669F"/>
    <w:rsid w:val="000279E5"/>
    <w:rsid w:val="000305E0"/>
    <w:rsid w:val="00031AE0"/>
    <w:rsid w:val="00031BB2"/>
    <w:rsid w:val="000322EF"/>
    <w:rsid w:val="00032C3C"/>
    <w:rsid w:val="00033FCD"/>
    <w:rsid w:val="000348AF"/>
    <w:rsid w:val="00034B70"/>
    <w:rsid w:val="00034DF7"/>
    <w:rsid w:val="00034E68"/>
    <w:rsid w:val="000350C8"/>
    <w:rsid w:val="00036195"/>
    <w:rsid w:val="000374B2"/>
    <w:rsid w:val="000376C0"/>
    <w:rsid w:val="000403A7"/>
    <w:rsid w:val="00040632"/>
    <w:rsid w:val="00041AFC"/>
    <w:rsid w:val="00041CEC"/>
    <w:rsid w:val="00041D02"/>
    <w:rsid w:val="00042596"/>
    <w:rsid w:val="00042A4A"/>
    <w:rsid w:val="00044183"/>
    <w:rsid w:val="0004431D"/>
    <w:rsid w:val="00044AAC"/>
    <w:rsid w:val="0004694F"/>
    <w:rsid w:val="00046F2F"/>
    <w:rsid w:val="00047AD4"/>
    <w:rsid w:val="00047D54"/>
    <w:rsid w:val="00050541"/>
    <w:rsid w:val="0005054A"/>
    <w:rsid w:val="00050A87"/>
    <w:rsid w:val="00051506"/>
    <w:rsid w:val="000522E4"/>
    <w:rsid w:val="00053713"/>
    <w:rsid w:val="0005434E"/>
    <w:rsid w:val="00055CB6"/>
    <w:rsid w:val="000572DD"/>
    <w:rsid w:val="00057B1E"/>
    <w:rsid w:val="0006033F"/>
    <w:rsid w:val="000610E1"/>
    <w:rsid w:val="000616AD"/>
    <w:rsid w:val="000622A6"/>
    <w:rsid w:val="00062D70"/>
    <w:rsid w:val="00062EC5"/>
    <w:rsid w:val="00062F22"/>
    <w:rsid w:val="00063975"/>
    <w:rsid w:val="00063CEA"/>
    <w:rsid w:val="0006444D"/>
    <w:rsid w:val="000645FC"/>
    <w:rsid w:val="00065296"/>
    <w:rsid w:val="0006533F"/>
    <w:rsid w:val="00065348"/>
    <w:rsid w:val="0006551C"/>
    <w:rsid w:val="0006558D"/>
    <w:rsid w:val="00065A75"/>
    <w:rsid w:val="000663F0"/>
    <w:rsid w:val="00066558"/>
    <w:rsid w:val="000671DB"/>
    <w:rsid w:val="00067982"/>
    <w:rsid w:val="00070A87"/>
    <w:rsid w:val="000712B3"/>
    <w:rsid w:val="00071A7C"/>
    <w:rsid w:val="00071E38"/>
    <w:rsid w:val="00072FF5"/>
    <w:rsid w:val="00073A5A"/>
    <w:rsid w:val="0007474E"/>
    <w:rsid w:val="00074988"/>
    <w:rsid w:val="0007512B"/>
    <w:rsid w:val="00075551"/>
    <w:rsid w:val="000767F5"/>
    <w:rsid w:val="00076D90"/>
    <w:rsid w:val="00077FF0"/>
    <w:rsid w:val="00081A55"/>
    <w:rsid w:val="0008263E"/>
    <w:rsid w:val="00082C19"/>
    <w:rsid w:val="00082F89"/>
    <w:rsid w:val="00083457"/>
    <w:rsid w:val="000834ED"/>
    <w:rsid w:val="000837CD"/>
    <w:rsid w:val="00083B7F"/>
    <w:rsid w:val="00084BFF"/>
    <w:rsid w:val="00085395"/>
    <w:rsid w:val="00086896"/>
    <w:rsid w:val="00086AC1"/>
    <w:rsid w:val="00086D19"/>
    <w:rsid w:val="00087634"/>
    <w:rsid w:val="00087F2B"/>
    <w:rsid w:val="00090694"/>
    <w:rsid w:val="00090EE2"/>
    <w:rsid w:val="00090FC6"/>
    <w:rsid w:val="0009122C"/>
    <w:rsid w:val="000913B1"/>
    <w:rsid w:val="0009290F"/>
    <w:rsid w:val="00093241"/>
    <w:rsid w:val="00093868"/>
    <w:rsid w:val="00094A84"/>
    <w:rsid w:val="00095025"/>
    <w:rsid w:val="00095135"/>
    <w:rsid w:val="00095152"/>
    <w:rsid w:val="0009626E"/>
    <w:rsid w:val="0009644D"/>
    <w:rsid w:val="00097191"/>
    <w:rsid w:val="000974D1"/>
    <w:rsid w:val="00097784"/>
    <w:rsid w:val="0009799E"/>
    <w:rsid w:val="000A07CB"/>
    <w:rsid w:val="000A0BC0"/>
    <w:rsid w:val="000A1183"/>
    <w:rsid w:val="000A12ED"/>
    <w:rsid w:val="000A1D49"/>
    <w:rsid w:val="000A212B"/>
    <w:rsid w:val="000A242D"/>
    <w:rsid w:val="000A256D"/>
    <w:rsid w:val="000A2643"/>
    <w:rsid w:val="000A2E5F"/>
    <w:rsid w:val="000A385C"/>
    <w:rsid w:val="000A3A2C"/>
    <w:rsid w:val="000A3D9E"/>
    <w:rsid w:val="000A4A54"/>
    <w:rsid w:val="000A4ED9"/>
    <w:rsid w:val="000A5DB7"/>
    <w:rsid w:val="000A6753"/>
    <w:rsid w:val="000A6D94"/>
    <w:rsid w:val="000A72BC"/>
    <w:rsid w:val="000A7377"/>
    <w:rsid w:val="000A74A4"/>
    <w:rsid w:val="000A775A"/>
    <w:rsid w:val="000A7D63"/>
    <w:rsid w:val="000A7FF4"/>
    <w:rsid w:val="000B03CC"/>
    <w:rsid w:val="000B4212"/>
    <w:rsid w:val="000B67B7"/>
    <w:rsid w:val="000B6A0A"/>
    <w:rsid w:val="000C0127"/>
    <w:rsid w:val="000C0CA6"/>
    <w:rsid w:val="000C0EA8"/>
    <w:rsid w:val="000C13A2"/>
    <w:rsid w:val="000C21E7"/>
    <w:rsid w:val="000C23EC"/>
    <w:rsid w:val="000C26A2"/>
    <w:rsid w:val="000C290E"/>
    <w:rsid w:val="000C30C3"/>
    <w:rsid w:val="000C3408"/>
    <w:rsid w:val="000C35AB"/>
    <w:rsid w:val="000C3F7B"/>
    <w:rsid w:val="000C4769"/>
    <w:rsid w:val="000C4D56"/>
    <w:rsid w:val="000C5DFA"/>
    <w:rsid w:val="000C6AFD"/>
    <w:rsid w:val="000C6C90"/>
    <w:rsid w:val="000C72B7"/>
    <w:rsid w:val="000C7A79"/>
    <w:rsid w:val="000D0A26"/>
    <w:rsid w:val="000D13CB"/>
    <w:rsid w:val="000D2196"/>
    <w:rsid w:val="000D2C2E"/>
    <w:rsid w:val="000D3058"/>
    <w:rsid w:val="000D310A"/>
    <w:rsid w:val="000D3EF4"/>
    <w:rsid w:val="000D4761"/>
    <w:rsid w:val="000D4DC0"/>
    <w:rsid w:val="000D55BA"/>
    <w:rsid w:val="000D5637"/>
    <w:rsid w:val="000D5A03"/>
    <w:rsid w:val="000D5ED3"/>
    <w:rsid w:val="000D6F4E"/>
    <w:rsid w:val="000D6FDA"/>
    <w:rsid w:val="000D73BB"/>
    <w:rsid w:val="000D7AC7"/>
    <w:rsid w:val="000D7C6F"/>
    <w:rsid w:val="000E04FD"/>
    <w:rsid w:val="000E0E96"/>
    <w:rsid w:val="000E298B"/>
    <w:rsid w:val="000E2C7D"/>
    <w:rsid w:val="000E3E56"/>
    <w:rsid w:val="000E440D"/>
    <w:rsid w:val="000E4AC5"/>
    <w:rsid w:val="000E6253"/>
    <w:rsid w:val="000E6AC4"/>
    <w:rsid w:val="000E6E4D"/>
    <w:rsid w:val="000E6FBD"/>
    <w:rsid w:val="000E6FCB"/>
    <w:rsid w:val="000F090B"/>
    <w:rsid w:val="000F0E42"/>
    <w:rsid w:val="000F15F7"/>
    <w:rsid w:val="000F1AA2"/>
    <w:rsid w:val="000F378E"/>
    <w:rsid w:val="000F3F3B"/>
    <w:rsid w:val="000F4721"/>
    <w:rsid w:val="000F47E8"/>
    <w:rsid w:val="000F70E4"/>
    <w:rsid w:val="000F76EA"/>
    <w:rsid w:val="00100A8B"/>
    <w:rsid w:val="00100F5C"/>
    <w:rsid w:val="00101B15"/>
    <w:rsid w:val="00101CDA"/>
    <w:rsid w:val="00102037"/>
    <w:rsid w:val="00103DCB"/>
    <w:rsid w:val="00104C4C"/>
    <w:rsid w:val="00105015"/>
    <w:rsid w:val="001055D2"/>
    <w:rsid w:val="001057C2"/>
    <w:rsid w:val="00106BCC"/>
    <w:rsid w:val="00107124"/>
    <w:rsid w:val="0011038E"/>
    <w:rsid w:val="00111573"/>
    <w:rsid w:val="00112370"/>
    <w:rsid w:val="0011239B"/>
    <w:rsid w:val="001125EF"/>
    <w:rsid w:val="00112CAB"/>
    <w:rsid w:val="0011440C"/>
    <w:rsid w:val="00114C33"/>
    <w:rsid w:val="00114D5B"/>
    <w:rsid w:val="00116D3F"/>
    <w:rsid w:val="00117474"/>
    <w:rsid w:val="00117623"/>
    <w:rsid w:val="00117FEA"/>
    <w:rsid w:val="001200CF"/>
    <w:rsid w:val="001208E3"/>
    <w:rsid w:val="00121609"/>
    <w:rsid w:val="0012192F"/>
    <w:rsid w:val="00122994"/>
    <w:rsid w:val="00123204"/>
    <w:rsid w:val="00124B46"/>
    <w:rsid w:val="001257BE"/>
    <w:rsid w:val="001257E0"/>
    <w:rsid w:val="00125D69"/>
    <w:rsid w:val="0012799C"/>
    <w:rsid w:val="00127BC2"/>
    <w:rsid w:val="00127E15"/>
    <w:rsid w:val="001308F1"/>
    <w:rsid w:val="00130ADC"/>
    <w:rsid w:val="00130D9F"/>
    <w:rsid w:val="00132C4D"/>
    <w:rsid w:val="00133FC1"/>
    <w:rsid w:val="00134659"/>
    <w:rsid w:val="00135111"/>
    <w:rsid w:val="00135376"/>
    <w:rsid w:val="00136A6F"/>
    <w:rsid w:val="00136C1A"/>
    <w:rsid w:val="00137812"/>
    <w:rsid w:val="001405FA"/>
    <w:rsid w:val="00140D1A"/>
    <w:rsid w:val="00141184"/>
    <w:rsid w:val="00141315"/>
    <w:rsid w:val="0014152B"/>
    <w:rsid w:val="00141AA0"/>
    <w:rsid w:val="001425C3"/>
    <w:rsid w:val="0014262D"/>
    <w:rsid w:val="00142B29"/>
    <w:rsid w:val="00143EED"/>
    <w:rsid w:val="00144108"/>
    <w:rsid w:val="00144588"/>
    <w:rsid w:val="001447DD"/>
    <w:rsid w:val="00145358"/>
    <w:rsid w:val="001459BC"/>
    <w:rsid w:val="0014779E"/>
    <w:rsid w:val="00147B13"/>
    <w:rsid w:val="00150ECA"/>
    <w:rsid w:val="0015108F"/>
    <w:rsid w:val="00151707"/>
    <w:rsid w:val="00152C86"/>
    <w:rsid w:val="00152EBC"/>
    <w:rsid w:val="00152F4F"/>
    <w:rsid w:val="00153264"/>
    <w:rsid w:val="0015329F"/>
    <w:rsid w:val="001544A1"/>
    <w:rsid w:val="001553B8"/>
    <w:rsid w:val="001554C2"/>
    <w:rsid w:val="00156D04"/>
    <w:rsid w:val="001571C0"/>
    <w:rsid w:val="001574FE"/>
    <w:rsid w:val="0015753D"/>
    <w:rsid w:val="00157984"/>
    <w:rsid w:val="00157CC9"/>
    <w:rsid w:val="00160C21"/>
    <w:rsid w:val="001612F4"/>
    <w:rsid w:val="00161553"/>
    <w:rsid w:val="0016216F"/>
    <w:rsid w:val="0016256B"/>
    <w:rsid w:val="00162F81"/>
    <w:rsid w:val="00163793"/>
    <w:rsid w:val="00163868"/>
    <w:rsid w:val="00164CA1"/>
    <w:rsid w:val="00165313"/>
    <w:rsid w:val="001659C3"/>
    <w:rsid w:val="001665AB"/>
    <w:rsid w:val="00167485"/>
    <w:rsid w:val="001679F5"/>
    <w:rsid w:val="00167B92"/>
    <w:rsid w:val="00167CB9"/>
    <w:rsid w:val="00167DD8"/>
    <w:rsid w:val="001705AD"/>
    <w:rsid w:val="001706D6"/>
    <w:rsid w:val="001714F2"/>
    <w:rsid w:val="00171FEA"/>
    <w:rsid w:val="00173622"/>
    <w:rsid w:val="00175B9F"/>
    <w:rsid w:val="001762F4"/>
    <w:rsid w:val="001777BA"/>
    <w:rsid w:val="00181029"/>
    <w:rsid w:val="00181BBC"/>
    <w:rsid w:val="0018385F"/>
    <w:rsid w:val="00183BCF"/>
    <w:rsid w:val="00184017"/>
    <w:rsid w:val="001847BB"/>
    <w:rsid w:val="00184B08"/>
    <w:rsid w:val="00185010"/>
    <w:rsid w:val="001854F2"/>
    <w:rsid w:val="00185C22"/>
    <w:rsid w:val="00186BA9"/>
    <w:rsid w:val="00187D50"/>
    <w:rsid w:val="00190B4D"/>
    <w:rsid w:val="0019123D"/>
    <w:rsid w:val="0019196C"/>
    <w:rsid w:val="001926A9"/>
    <w:rsid w:val="00192F05"/>
    <w:rsid w:val="00194729"/>
    <w:rsid w:val="00194850"/>
    <w:rsid w:val="00195234"/>
    <w:rsid w:val="00195EA6"/>
    <w:rsid w:val="00196016"/>
    <w:rsid w:val="00196117"/>
    <w:rsid w:val="00197A70"/>
    <w:rsid w:val="00197C0F"/>
    <w:rsid w:val="00197D0E"/>
    <w:rsid w:val="001A0487"/>
    <w:rsid w:val="001A0675"/>
    <w:rsid w:val="001A0A37"/>
    <w:rsid w:val="001A164B"/>
    <w:rsid w:val="001A1F68"/>
    <w:rsid w:val="001A21FA"/>
    <w:rsid w:val="001A4D7C"/>
    <w:rsid w:val="001A4EF0"/>
    <w:rsid w:val="001A552F"/>
    <w:rsid w:val="001A70B1"/>
    <w:rsid w:val="001A7672"/>
    <w:rsid w:val="001B0738"/>
    <w:rsid w:val="001B1235"/>
    <w:rsid w:val="001B158D"/>
    <w:rsid w:val="001B1BBB"/>
    <w:rsid w:val="001B2CA9"/>
    <w:rsid w:val="001B3110"/>
    <w:rsid w:val="001B3E38"/>
    <w:rsid w:val="001B40F5"/>
    <w:rsid w:val="001B4729"/>
    <w:rsid w:val="001B4F0E"/>
    <w:rsid w:val="001B5F40"/>
    <w:rsid w:val="001B6310"/>
    <w:rsid w:val="001B6C09"/>
    <w:rsid w:val="001B6E12"/>
    <w:rsid w:val="001C05CD"/>
    <w:rsid w:val="001C082B"/>
    <w:rsid w:val="001C0F17"/>
    <w:rsid w:val="001C11A6"/>
    <w:rsid w:val="001C1B24"/>
    <w:rsid w:val="001C1B66"/>
    <w:rsid w:val="001C1BB5"/>
    <w:rsid w:val="001C2732"/>
    <w:rsid w:val="001C31A2"/>
    <w:rsid w:val="001C351D"/>
    <w:rsid w:val="001C3794"/>
    <w:rsid w:val="001C3855"/>
    <w:rsid w:val="001C4B8F"/>
    <w:rsid w:val="001C4BB8"/>
    <w:rsid w:val="001C4D8C"/>
    <w:rsid w:val="001C4FD0"/>
    <w:rsid w:val="001C544D"/>
    <w:rsid w:val="001C5E46"/>
    <w:rsid w:val="001C6B3B"/>
    <w:rsid w:val="001C7A26"/>
    <w:rsid w:val="001C7E3F"/>
    <w:rsid w:val="001D0EF1"/>
    <w:rsid w:val="001D1A44"/>
    <w:rsid w:val="001D22C2"/>
    <w:rsid w:val="001D2C99"/>
    <w:rsid w:val="001D3B75"/>
    <w:rsid w:val="001D452E"/>
    <w:rsid w:val="001D54C1"/>
    <w:rsid w:val="001D556E"/>
    <w:rsid w:val="001D5DF2"/>
    <w:rsid w:val="001D6175"/>
    <w:rsid w:val="001D68B2"/>
    <w:rsid w:val="001D6B3F"/>
    <w:rsid w:val="001D7EFD"/>
    <w:rsid w:val="001D7F60"/>
    <w:rsid w:val="001E085B"/>
    <w:rsid w:val="001E149B"/>
    <w:rsid w:val="001E15CB"/>
    <w:rsid w:val="001E1AF1"/>
    <w:rsid w:val="001E3306"/>
    <w:rsid w:val="001E504C"/>
    <w:rsid w:val="001E56AC"/>
    <w:rsid w:val="001E5A17"/>
    <w:rsid w:val="001E6441"/>
    <w:rsid w:val="001E74C5"/>
    <w:rsid w:val="001F1236"/>
    <w:rsid w:val="001F2F90"/>
    <w:rsid w:val="001F4597"/>
    <w:rsid w:val="001F4826"/>
    <w:rsid w:val="001F4933"/>
    <w:rsid w:val="001F59C8"/>
    <w:rsid w:val="001F6483"/>
    <w:rsid w:val="001F6CD3"/>
    <w:rsid w:val="001F75DA"/>
    <w:rsid w:val="001F7931"/>
    <w:rsid w:val="001F7CE0"/>
    <w:rsid w:val="00200085"/>
    <w:rsid w:val="00201633"/>
    <w:rsid w:val="00203332"/>
    <w:rsid w:val="002036E6"/>
    <w:rsid w:val="00203CD5"/>
    <w:rsid w:val="00203D8F"/>
    <w:rsid w:val="00203DA4"/>
    <w:rsid w:val="00204EA6"/>
    <w:rsid w:val="00205186"/>
    <w:rsid w:val="00206516"/>
    <w:rsid w:val="002070CF"/>
    <w:rsid w:val="002071D5"/>
    <w:rsid w:val="002073FD"/>
    <w:rsid w:val="002111E5"/>
    <w:rsid w:val="0021149E"/>
    <w:rsid w:val="002118B9"/>
    <w:rsid w:val="00213691"/>
    <w:rsid w:val="002142C0"/>
    <w:rsid w:val="00217BED"/>
    <w:rsid w:val="00217C5B"/>
    <w:rsid w:val="00220A43"/>
    <w:rsid w:val="0022139E"/>
    <w:rsid w:val="00222729"/>
    <w:rsid w:val="0022287B"/>
    <w:rsid w:val="002228DB"/>
    <w:rsid w:val="00223185"/>
    <w:rsid w:val="00223264"/>
    <w:rsid w:val="002233D6"/>
    <w:rsid w:val="0022441D"/>
    <w:rsid w:val="00224574"/>
    <w:rsid w:val="00224E3F"/>
    <w:rsid w:val="00225000"/>
    <w:rsid w:val="0022521D"/>
    <w:rsid w:val="002252E0"/>
    <w:rsid w:val="002255F6"/>
    <w:rsid w:val="00226032"/>
    <w:rsid w:val="0022738D"/>
    <w:rsid w:val="00227605"/>
    <w:rsid w:val="00227850"/>
    <w:rsid w:val="00227A53"/>
    <w:rsid w:val="00227C6C"/>
    <w:rsid w:val="00227E2E"/>
    <w:rsid w:val="00227F53"/>
    <w:rsid w:val="00230C6E"/>
    <w:rsid w:val="00230E21"/>
    <w:rsid w:val="00231066"/>
    <w:rsid w:val="002316A8"/>
    <w:rsid w:val="00231859"/>
    <w:rsid w:val="002320C9"/>
    <w:rsid w:val="0023288F"/>
    <w:rsid w:val="0023359B"/>
    <w:rsid w:val="00233603"/>
    <w:rsid w:val="002340EF"/>
    <w:rsid w:val="00234B82"/>
    <w:rsid w:val="00236443"/>
    <w:rsid w:val="00236700"/>
    <w:rsid w:val="00237C8B"/>
    <w:rsid w:val="00240391"/>
    <w:rsid w:val="00240AF3"/>
    <w:rsid w:val="002418D5"/>
    <w:rsid w:val="00241A9F"/>
    <w:rsid w:val="00241B06"/>
    <w:rsid w:val="0024343A"/>
    <w:rsid w:val="002436BA"/>
    <w:rsid w:val="002438DC"/>
    <w:rsid w:val="00244652"/>
    <w:rsid w:val="00244A15"/>
    <w:rsid w:val="002452D9"/>
    <w:rsid w:val="00247319"/>
    <w:rsid w:val="0024799E"/>
    <w:rsid w:val="00247E60"/>
    <w:rsid w:val="002512B7"/>
    <w:rsid w:val="00251496"/>
    <w:rsid w:val="00251B08"/>
    <w:rsid w:val="00251C53"/>
    <w:rsid w:val="00252AB9"/>
    <w:rsid w:val="002532B1"/>
    <w:rsid w:val="00253C0F"/>
    <w:rsid w:val="00253F48"/>
    <w:rsid w:val="00254FC3"/>
    <w:rsid w:val="002558C1"/>
    <w:rsid w:val="00256207"/>
    <w:rsid w:val="002575F3"/>
    <w:rsid w:val="002601B4"/>
    <w:rsid w:val="002603E1"/>
    <w:rsid w:val="002605FE"/>
    <w:rsid w:val="0026120E"/>
    <w:rsid w:val="002617EE"/>
    <w:rsid w:val="00262582"/>
    <w:rsid w:val="0026291D"/>
    <w:rsid w:val="00262CF3"/>
    <w:rsid w:val="00264309"/>
    <w:rsid w:val="00264992"/>
    <w:rsid w:val="00264B4F"/>
    <w:rsid w:val="00264B85"/>
    <w:rsid w:val="0026564B"/>
    <w:rsid w:val="00265C83"/>
    <w:rsid w:val="00265E85"/>
    <w:rsid w:val="00267B49"/>
    <w:rsid w:val="00267C51"/>
    <w:rsid w:val="002700D9"/>
    <w:rsid w:val="0027025F"/>
    <w:rsid w:val="002709CC"/>
    <w:rsid w:val="00270D25"/>
    <w:rsid w:val="00271022"/>
    <w:rsid w:val="00271465"/>
    <w:rsid w:val="00271A07"/>
    <w:rsid w:val="00271E47"/>
    <w:rsid w:val="002721F5"/>
    <w:rsid w:val="00272DF4"/>
    <w:rsid w:val="00275062"/>
    <w:rsid w:val="00275758"/>
    <w:rsid w:val="0027583D"/>
    <w:rsid w:val="002759C7"/>
    <w:rsid w:val="00275DEF"/>
    <w:rsid w:val="00275E43"/>
    <w:rsid w:val="002763A2"/>
    <w:rsid w:val="00276B33"/>
    <w:rsid w:val="00277669"/>
    <w:rsid w:val="002803A5"/>
    <w:rsid w:val="00280ACB"/>
    <w:rsid w:val="002812E3"/>
    <w:rsid w:val="00281576"/>
    <w:rsid w:val="00282AD4"/>
    <w:rsid w:val="0028341F"/>
    <w:rsid w:val="002837AE"/>
    <w:rsid w:val="00283C13"/>
    <w:rsid w:val="00283F7B"/>
    <w:rsid w:val="0028431A"/>
    <w:rsid w:val="002853FA"/>
    <w:rsid w:val="00285412"/>
    <w:rsid w:val="00286220"/>
    <w:rsid w:val="0029110B"/>
    <w:rsid w:val="00291640"/>
    <w:rsid w:val="0029237E"/>
    <w:rsid w:val="00292997"/>
    <w:rsid w:val="00293D24"/>
    <w:rsid w:val="0029461A"/>
    <w:rsid w:val="0029509B"/>
    <w:rsid w:val="0029588F"/>
    <w:rsid w:val="00295E96"/>
    <w:rsid w:val="00297256"/>
    <w:rsid w:val="00297A5C"/>
    <w:rsid w:val="00297D51"/>
    <w:rsid w:val="002A0122"/>
    <w:rsid w:val="002A016B"/>
    <w:rsid w:val="002A103E"/>
    <w:rsid w:val="002A16D4"/>
    <w:rsid w:val="002A1E4F"/>
    <w:rsid w:val="002A230C"/>
    <w:rsid w:val="002A2AF7"/>
    <w:rsid w:val="002A30ED"/>
    <w:rsid w:val="002A3209"/>
    <w:rsid w:val="002A34B5"/>
    <w:rsid w:val="002A38F3"/>
    <w:rsid w:val="002A3EA2"/>
    <w:rsid w:val="002A51AC"/>
    <w:rsid w:val="002A532A"/>
    <w:rsid w:val="002A5846"/>
    <w:rsid w:val="002A5D97"/>
    <w:rsid w:val="002A603E"/>
    <w:rsid w:val="002A63B9"/>
    <w:rsid w:val="002A7089"/>
    <w:rsid w:val="002B0692"/>
    <w:rsid w:val="002B1619"/>
    <w:rsid w:val="002B3EF4"/>
    <w:rsid w:val="002B4845"/>
    <w:rsid w:val="002B5567"/>
    <w:rsid w:val="002B5812"/>
    <w:rsid w:val="002B72AA"/>
    <w:rsid w:val="002B75C0"/>
    <w:rsid w:val="002C1110"/>
    <w:rsid w:val="002C1BC2"/>
    <w:rsid w:val="002C1F09"/>
    <w:rsid w:val="002C22A4"/>
    <w:rsid w:val="002C260B"/>
    <w:rsid w:val="002C27A6"/>
    <w:rsid w:val="002C31E4"/>
    <w:rsid w:val="002C398D"/>
    <w:rsid w:val="002C40D2"/>
    <w:rsid w:val="002C43BD"/>
    <w:rsid w:val="002C5245"/>
    <w:rsid w:val="002C564A"/>
    <w:rsid w:val="002C59D8"/>
    <w:rsid w:val="002C5FEB"/>
    <w:rsid w:val="002C6494"/>
    <w:rsid w:val="002D05CB"/>
    <w:rsid w:val="002D0E59"/>
    <w:rsid w:val="002D2C4F"/>
    <w:rsid w:val="002D3EBB"/>
    <w:rsid w:val="002D455C"/>
    <w:rsid w:val="002D6066"/>
    <w:rsid w:val="002D6A4C"/>
    <w:rsid w:val="002E02A1"/>
    <w:rsid w:val="002E196A"/>
    <w:rsid w:val="002E1F8A"/>
    <w:rsid w:val="002E20C7"/>
    <w:rsid w:val="002E20CD"/>
    <w:rsid w:val="002E222E"/>
    <w:rsid w:val="002E28D8"/>
    <w:rsid w:val="002E3638"/>
    <w:rsid w:val="002E37D1"/>
    <w:rsid w:val="002E3BEE"/>
    <w:rsid w:val="002E4DCE"/>
    <w:rsid w:val="002E4E4C"/>
    <w:rsid w:val="002E4EA7"/>
    <w:rsid w:val="002E5846"/>
    <w:rsid w:val="002E631B"/>
    <w:rsid w:val="002E792B"/>
    <w:rsid w:val="002E7AEB"/>
    <w:rsid w:val="002E7B79"/>
    <w:rsid w:val="002F1B09"/>
    <w:rsid w:val="002F1D56"/>
    <w:rsid w:val="002F1DCB"/>
    <w:rsid w:val="002F1DE4"/>
    <w:rsid w:val="002F333D"/>
    <w:rsid w:val="002F351A"/>
    <w:rsid w:val="002F357F"/>
    <w:rsid w:val="002F46D6"/>
    <w:rsid w:val="002F498A"/>
    <w:rsid w:val="002F4AD8"/>
    <w:rsid w:val="002F5285"/>
    <w:rsid w:val="002F5820"/>
    <w:rsid w:val="002F64BB"/>
    <w:rsid w:val="002F7D9B"/>
    <w:rsid w:val="00300C31"/>
    <w:rsid w:val="00300D42"/>
    <w:rsid w:val="00301294"/>
    <w:rsid w:val="003017EC"/>
    <w:rsid w:val="00302165"/>
    <w:rsid w:val="00303BB4"/>
    <w:rsid w:val="00304771"/>
    <w:rsid w:val="00304F9C"/>
    <w:rsid w:val="003052D4"/>
    <w:rsid w:val="00305863"/>
    <w:rsid w:val="003060D6"/>
    <w:rsid w:val="003060E9"/>
    <w:rsid w:val="00306C5B"/>
    <w:rsid w:val="00307529"/>
    <w:rsid w:val="00307DB3"/>
    <w:rsid w:val="00307ED2"/>
    <w:rsid w:val="0031076D"/>
    <w:rsid w:val="0031169A"/>
    <w:rsid w:val="00311AA6"/>
    <w:rsid w:val="00311C4D"/>
    <w:rsid w:val="003121AB"/>
    <w:rsid w:val="00312A85"/>
    <w:rsid w:val="00315169"/>
    <w:rsid w:val="003153C8"/>
    <w:rsid w:val="00315524"/>
    <w:rsid w:val="00315561"/>
    <w:rsid w:val="00316A8B"/>
    <w:rsid w:val="00316B3D"/>
    <w:rsid w:val="0032058C"/>
    <w:rsid w:val="003208D0"/>
    <w:rsid w:val="003209D6"/>
    <w:rsid w:val="003217B9"/>
    <w:rsid w:val="00321924"/>
    <w:rsid w:val="00321AF1"/>
    <w:rsid w:val="00321EB6"/>
    <w:rsid w:val="003220A5"/>
    <w:rsid w:val="003238E0"/>
    <w:rsid w:val="00323A1C"/>
    <w:rsid w:val="00323A2F"/>
    <w:rsid w:val="00323A8E"/>
    <w:rsid w:val="003247E1"/>
    <w:rsid w:val="00324B59"/>
    <w:rsid w:val="00325E46"/>
    <w:rsid w:val="0032656E"/>
    <w:rsid w:val="0032788F"/>
    <w:rsid w:val="00332190"/>
    <w:rsid w:val="00332A98"/>
    <w:rsid w:val="003334BD"/>
    <w:rsid w:val="00333973"/>
    <w:rsid w:val="00333CD0"/>
    <w:rsid w:val="0033448D"/>
    <w:rsid w:val="00334AD2"/>
    <w:rsid w:val="00334CB6"/>
    <w:rsid w:val="0033709C"/>
    <w:rsid w:val="003370C5"/>
    <w:rsid w:val="003373C6"/>
    <w:rsid w:val="0033753A"/>
    <w:rsid w:val="003375E0"/>
    <w:rsid w:val="00340BF3"/>
    <w:rsid w:val="00341C6C"/>
    <w:rsid w:val="00341D26"/>
    <w:rsid w:val="00341F05"/>
    <w:rsid w:val="0034335E"/>
    <w:rsid w:val="00344668"/>
    <w:rsid w:val="00344940"/>
    <w:rsid w:val="0034506D"/>
    <w:rsid w:val="00346234"/>
    <w:rsid w:val="003462D9"/>
    <w:rsid w:val="0034723F"/>
    <w:rsid w:val="00347247"/>
    <w:rsid w:val="003474B6"/>
    <w:rsid w:val="00347DD4"/>
    <w:rsid w:val="00352B43"/>
    <w:rsid w:val="00352C28"/>
    <w:rsid w:val="003541BB"/>
    <w:rsid w:val="00354502"/>
    <w:rsid w:val="00354F89"/>
    <w:rsid w:val="0035506D"/>
    <w:rsid w:val="003579A1"/>
    <w:rsid w:val="0036077F"/>
    <w:rsid w:val="00360A35"/>
    <w:rsid w:val="00360C86"/>
    <w:rsid w:val="00360F7A"/>
    <w:rsid w:val="00360FBC"/>
    <w:rsid w:val="00361537"/>
    <w:rsid w:val="00361B2D"/>
    <w:rsid w:val="00361FB7"/>
    <w:rsid w:val="0036242A"/>
    <w:rsid w:val="00362C23"/>
    <w:rsid w:val="00362DCA"/>
    <w:rsid w:val="00362E90"/>
    <w:rsid w:val="00364FA0"/>
    <w:rsid w:val="003657F3"/>
    <w:rsid w:val="00365844"/>
    <w:rsid w:val="00365F61"/>
    <w:rsid w:val="0036624C"/>
    <w:rsid w:val="00367F84"/>
    <w:rsid w:val="003712BC"/>
    <w:rsid w:val="00372164"/>
    <w:rsid w:val="003738BD"/>
    <w:rsid w:val="00374263"/>
    <w:rsid w:val="003746F0"/>
    <w:rsid w:val="00374A20"/>
    <w:rsid w:val="00374B96"/>
    <w:rsid w:val="00374E21"/>
    <w:rsid w:val="0037537A"/>
    <w:rsid w:val="00377B2E"/>
    <w:rsid w:val="00380C9B"/>
    <w:rsid w:val="003810F0"/>
    <w:rsid w:val="003815D4"/>
    <w:rsid w:val="003818DC"/>
    <w:rsid w:val="00382513"/>
    <w:rsid w:val="00383388"/>
    <w:rsid w:val="003834F8"/>
    <w:rsid w:val="003838D0"/>
    <w:rsid w:val="003840C2"/>
    <w:rsid w:val="00384327"/>
    <w:rsid w:val="00384A89"/>
    <w:rsid w:val="00385086"/>
    <w:rsid w:val="00385D98"/>
    <w:rsid w:val="00390306"/>
    <w:rsid w:val="003908A6"/>
    <w:rsid w:val="0039109D"/>
    <w:rsid w:val="00391989"/>
    <w:rsid w:val="00391A6C"/>
    <w:rsid w:val="003927F6"/>
    <w:rsid w:val="0039398D"/>
    <w:rsid w:val="00393B3F"/>
    <w:rsid w:val="0039402D"/>
    <w:rsid w:val="00396739"/>
    <w:rsid w:val="003978B1"/>
    <w:rsid w:val="003A04F6"/>
    <w:rsid w:val="003A0837"/>
    <w:rsid w:val="003A2B4D"/>
    <w:rsid w:val="003A2D12"/>
    <w:rsid w:val="003A2EBA"/>
    <w:rsid w:val="003A32DB"/>
    <w:rsid w:val="003A45E3"/>
    <w:rsid w:val="003A46B8"/>
    <w:rsid w:val="003A478C"/>
    <w:rsid w:val="003A4A38"/>
    <w:rsid w:val="003A5295"/>
    <w:rsid w:val="003A5525"/>
    <w:rsid w:val="003A5889"/>
    <w:rsid w:val="003A5C8C"/>
    <w:rsid w:val="003A6B38"/>
    <w:rsid w:val="003A6B83"/>
    <w:rsid w:val="003A6C97"/>
    <w:rsid w:val="003A722F"/>
    <w:rsid w:val="003A7373"/>
    <w:rsid w:val="003A7D09"/>
    <w:rsid w:val="003B039F"/>
    <w:rsid w:val="003B0DF4"/>
    <w:rsid w:val="003B1F9D"/>
    <w:rsid w:val="003B2A8D"/>
    <w:rsid w:val="003B2AD1"/>
    <w:rsid w:val="003B2D2E"/>
    <w:rsid w:val="003B376A"/>
    <w:rsid w:val="003B461F"/>
    <w:rsid w:val="003B483F"/>
    <w:rsid w:val="003B4998"/>
    <w:rsid w:val="003B5A32"/>
    <w:rsid w:val="003B5B59"/>
    <w:rsid w:val="003B709D"/>
    <w:rsid w:val="003B7B50"/>
    <w:rsid w:val="003C0B07"/>
    <w:rsid w:val="003C2CE7"/>
    <w:rsid w:val="003C2DB8"/>
    <w:rsid w:val="003C3490"/>
    <w:rsid w:val="003C3608"/>
    <w:rsid w:val="003C3A87"/>
    <w:rsid w:val="003C3AE8"/>
    <w:rsid w:val="003C3D2C"/>
    <w:rsid w:val="003C4058"/>
    <w:rsid w:val="003C4E13"/>
    <w:rsid w:val="003C58A5"/>
    <w:rsid w:val="003C6221"/>
    <w:rsid w:val="003C63D7"/>
    <w:rsid w:val="003C68CC"/>
    <w:rsid w:val="003C7E62"/>
    <w:rsid w:val="003D12B9"/>
    <w:rsid w:val="003D1E7A"/>
    <w:rsid w:val="003D242B"/>
    <w:rsid w:val="003D2492"/>
    <w:rsid w:val="003D29AA"/>
    <w:rsid w:val="003D2A99"/>
    <w:rsid w:val="003D5EBF"/>
    <w:rsid w:val="003D6920"/>
    <w:rsid w:val="003D6982"/>
    <w:rsid w:val="003E0249"/>
    <w:rsid w:val="003E08A4"/>
    <w:rsid w:val="003E105C"/>
    <w:rsid w:val="003E1EF8"/>
    <w:rsid w:val="003E2DFB"/>
    <w:rsid w:val="003E4466"/>
    <w:rsid w:val="003E4C91"/>
    <w:rsid w:val="003E52D8"/>
    <w:rsid w:val="003E62F1"/>
    <w:rsid w:val="003E6ED5"/>
    <w:rsid w:val="003E6F84"/>
    <w:rsid w:val="003F0148"/>
    <w:rsid w:val="003F313C"/>
    <w:rsid w:val="003F33B1"/>
    <w:rsid w:val="003F33B9"/>
    <w:rsid w:val="003F37FC"/>
    <w:rsid w:val="003F3E76"/>
    <w:rsid w:val="003F4318"/>
    <w:rsid w:val="003F4B2C"/>
    <w:rsid w:val="003F551C"/>
    <w:rsid w:val="003F626D"/>
    <w:rsid w:val="003F72ED"/>
    <w:rsid w:val="003F7D23"/>
    <w:rsid w:val="00400050"/>
    <w:rsid w:val="004002C8"/>
    <w:rsid w:val="00400468"/>
    <w:rsid w:val="0040099D"/>
    <w:rsid w:val="004016CB"/>
    <w:rsid w:val="00401B23"/>
    <w:rsid w:val="00402ADB"/>
    <w:rsid w:val="0040368D"/>
    <w:rsid w:val="00403D1D"/>
    <w:rsid w:val="00403F57"/>
    <w:rsid w:val="004046BD"/>
    <w:rsid w:val="00404BAB"/>
    <w:rsid w:val="00405318"/>
    <w:rsid w:val="004059D2"/>
    <w:rsid w:val="004060C9"/>
    <w:rsid w:val="004066D0"/>
    <w:rsid w:val="00406C2E"/>
    <w:rsid w:val="00406CDA"/>
    <w:rsid w:val="00406EB0"/>
    <w:rsid w:val="00407711"/>
    <w:rsid w:val="00407C13"/>
    <w:rsid w:val="004103F6"/>
    <w:rsid w:val="00410638"/>
    <w:rsid w:val="00412511"/>
    <w:rsid w:val="004125C2"/>
    <w:rsid w:val="00412DFA"/>
    <w:rsid w:val="00413465"/>
    <w:rsid w:val="004149AC"/>
    <w:rsid w:val="0041501E"/>
    <w:rsid w:val="00415452"/>
    <w:rsid w:val="004159C3"/>
    <w:rsid w:val="00415A57"/>
    <w:rsid w:val="00416DAC"/>
    <w:rsid w:val="00417106"/>
    <w:rsid w:val="00420880"/>
    <w:rsid w:val="00421179"/>
    <w:rsid w:val="004225D7"/>
    <w:rsid w:val="00423623"/>
    <w:rsid w:val="0042470E"/>
    <w:rsid w:val="0042507B"/>
    <w:rsid w:val="00425352"/>
    <w:rsid w:val="00426C99"/>
    <w:rsid w:val="004272BE"/>
    <w:rsid w:val="00430C96"/>
    <w:rsid w:val="0043174F"/>
    <w:rsid w:val="00431BFF"/>
    <w:rsid w:val="00432199"/>
    <w:rsid w:val="00432A58"/>
    <w:rsid w:val="004331C3"/>
    <w:rsid w:val="00433C17"/>
    <w:rsid w:val="00434617"/>
    <w:rsid w:val="00434DE9"/>
    <w:rsid w:val="00435051"/>
    <w:rsid w:val="00435C69"/>
    <w:rsid w:val="004360FB"/>
    <w:rsid w:val="00437BF4"/>
    <w:rsid w:val="00437CED"/>
    <w:rsid w:val="004407BF"/>
    <w:rsid w:val="00440900"/>
    <w:rsid w:val="00440D2A"/>
    <w:rsid w:val="0044121D"/>
    <w:rsid w:val="00441BF6"/>
    <w:rsid w:val="00441D2B"/>
    <w:rsid w:val="00441F8B"/>
    <w:rsid w:val="00442085"/>
    <w:rsid w:val="0044279E"/>
    <w:rsid w:val="004441A0"/>
    <w:rsid w:val="00445861"/>
    <w:rsid w:val="00445A8E"/>
    <w:rsid w:val="00446D44"/>
    <w:rsid w:val="0045078A"/>
    <w:rsid w:val="0045086D"/>
    <w:rsid w:val="00450DAB"/>
    <w:rsid w:val="0045125B"/>
    <w:rsid w:val="00451E25"/>
    <w:rsid w:val="00451EF1"/>
    <w:rsid w:val="00452E60"/>
    <w:rsid w:val="0045321B"/>
    <w:rsid w:val="00455833"/>
    <w:rsid w:val="00456FB5"/>
    <w:rsid w:val="00456FE5"/>
    <w:rsid w:val="00457490"/>
    <w:rsid w:val="0045778B"/>
    <w:rsid w:val="0045786C"/>
    <w:rsid w:val="00457953"/>
    <w:rsid w:val="004604D8"/>
    <w:rsid w:val="00460656"/>
    <w:rsid w:val="00460FB3"/>
    <w:rsid w:val="00463D3C"/>
    <w:rsid w:val="00464851"/>
    <w:rsid w:val="00464BF5"/>
    <w:rsid w:val="00466595"/>
    <w:rsid w:val="00466B3E"/>
    <w:rsid w:val="0046746A"/>
    <w:rsid w:val="00467B14"/>
    <w:rsid w:val="004707FE"/>
    <w:rsid w:val="00470EDC"/>
    <w:rsid w:val="00472418"/>
    <w:rsid w:val="0047276D"/>
    <w:rsid w:val="00472AF6"/>
    <w:rsid w:val="00473482"/>
    <w:rsid w:val="00474646"/>
    <w:rsid w:val="00474A04"/>
    <w:rsid w:val="00476240"/>
    <w:rsid w:val="00476439"/>
    <w:rsid w:val="00476450"/>
    <w:rsid w:val="004769BF"/>
    <w:rsid w:val="004769E1"/>
    <w:rsid w:val="00476AEE"/>
    <w:rsid w:val="0047735C"/>
    <w:rsid w:val="004776BC"/>
    <w:rsid w:val="00477820"/>
    <w:rsid w:val="00477B96"/>
    <w:rsid w:val="00480802"/>
    <w:rsid w:val="00480BAE"/>
    <w:rsid w:val="00480D7F"/>
    <w:rsid w:val="0048139F"/>
    <w:rsid w:val="00481E40"/>
    <w:rsid w:val="00482405"/>
    <w:rsid w:val="004826A7"/>
    <w:rsid w:val="004828DA"/>
    <w:rsid w:val="0048368C"/>
    <w:rsid w:val="0048372F"/>
    <w:rsid w:val="0048399F"/>
    <w:rsid w:val="00483A0C"/>
    <w:rsid w:val="004841CC"/>
    <w:rsid w:val="00484ECE"/>
    <w:rsid w:val="00485E82"/>
    <w:rsid w:val="00486132"/>
    <w:rsid w:val="0048686D"/>
    <w:rsid w:val="00486A4D"/>
    <w:rsid w:val="004915CB"/>
    <w:rsid w:val="00491A2B"/>
    <w:rsid w:val="004924DC"/>
    <w:rsid w:val="00492879"/>
    <w:rsid w:val="00493E85"/>
    <w:rsid w:val="00495145"/>
    <w:rsid w:val="0049531F"/>
    <w:rsid w:val="004979A5"/>
    <w:rsid w:val="004A0144"/>
    <w:rsid w:val="004A036E"/>
    <w:rsid w:val="004A0389"/>
    <w:rsid w:val="004A0498"/>
    <w:rsid w:val="004A06B0"/>
    <w:rsid w:val="004A0D0E"/>
    <w:rsid w:val="004A14E4"/>
    <w:rsid w:val="004A204E"/>
    <w:rsid w:val="004A26A5"/>
    <w:rsid w:val="004A27F0"/>
    <w:rsid w:val="004A3212"/>
    <w:rsid w:val="004A37CD"/>
    <w:rsid w:val="004A3BE4"/>
    <w:rsid w:val="004A40D9"/>
    <w:rsid w:val="004A49A5"/>
    <w:rsid w:val="004A4F8A"/>
    <w:rsid w:val="004A52AB"/>
    <w:rsid w:val="004A5494"/>
    <w:rsid w:val="004A5D4E"/>
    <w:rsid w:val="004A61C5"/>
    <w:rsid w:val="004A62A0"/>
    <w:rsid w:val="004A77DF"/>
    <w:rsid w:val="004A7DC0"/>
    <w:rsid w:val="004B1417"/>
    <w:rsid w:val="004B1627"/>
    <w:rsid w:val="004B305C"/>
    <w:rsid w:val="004B31B8"/>
    <w:rsid w:val="004B339A"/>
    <w:rsid w:val="004B4C83"/>
    <w:rsid w:val="004B55B7"/>
    <w:rsid w:val="004B591D"/>
    <w:rsid w:val="004B5BFA"/>
    <w:rsid w:val="004B619E"/>
    <w:rsid w:val="004B6468"/>
    <w:rsid w:val="004B6EF8"/>
    <w:rsid w:val="004B7125"/>
    <w:rsid w:val="004B756A"/>
    <w:rsid w:val="004B7FB1"/>
    <w:rsid w:val="004C0970"/>
    <w:rsid w:val="004C0B3F"/>
    <w:rsid w:val="004C0F87"/>
    <w:rsid w:val="004C25F9"/>
    <w:rsid w:val="004C2794"/>
    <w:rsid w:val="004C2BB6"/>
    <w:rsid w:val="004C2C2D"/>
    <w:rsid w:val="004C3027"/>
    <w:rsid w:val="004C384C"/>
    <w:rsid w:val="004C3867"/>
    <w:rsid w:val="004C3CE4"/>
    <w:rsid w:val="004C3DB0"/>
    <w:rsid w:val="004C439A"/>
    <w:rsid w:val="004C4720"/>
    <w:rsid w:val="004C4CD0"/>
    <w:rsid w:val="004C5060"/>
    <w:rsid w:val="004C5165"/>
    <w:rsid w:val="004C589C"/>
    <w:rsid w:val="004C5AE8"/>
    <w:rsid w:val="004C6E0E"/>
    <w:rsid w:val="004C70DC"/>
    <w:rsid w:val="004D0211"/>
    <w:rsid w:val="004D0794"/>
    <w:rsid w:val="004D17A6"/>
    <w:rsid w:val="004D2D31"/>
    <w:rsid w:val="004D2E03"/>
    <w:rsid w:val="004D3296"/>
    <w:rsid w:val="004D4056"/>
    <w:rsid w:val="004D4CB0"/>
    <w:rsid w:val="004D5B0F"/>
    <w:rsid w:val="004D7626"/>
    <w:rsid w:val="004E085C"/>
    <w:rsid w:val="004E12DF"/>
    <w:rsid w:val="004E186A"/>
    <w:rsid w:val="004E1A40"/>
    <w:rsid w:val="004E1DB2"/>
    <w:rsid w:val="004E200A"/>
    <w:rsid w:val="004E23FC"/>
    <w:rsid w:val="004E2409"/>
    <w:rsid w:val="004E261D"/>
    <w:rsid w:val="004E3927"/>
    <w:rsid w:val="004E3B7F"/>
    <w:rsid w:val="004E57BF"/>
    <w:rsid w:val="004E5F41"/>
    <w:rsid w:val="004E6011"/>
    <w:rsid w:val="004E6DE6"/>
    <w:rsid w:val="004E765E"/>
    <w:rsid w:val="004E7815"/>
    <w:rsid w:val="004F06F5"/>
    <w:rsid w:val="004F12A4"/>
    <w:rsid w:val="004F253F"/>
    <w:rsid w:val="004F33A0"/>
    <w:rsid w:val="004F3873"/>
    <w:rsid w:val="004F3BD2"/>
    <w:rsid w:val="004F46ED"/>
    <w:rsid w:val="004F49A3"/>
    <w:rsid w:val="004F4C99"/>
    <w:rsid w:val="004F5358"/>
    <w:rsid w:val="004F601B"/>
    <w:rsid w:val="004F6484"/>
    <w:rsid w:val="004F6539"/>
    <w:rsid w:val="00503D54"/>
    <w:rsid w:val="005048E2"/>
    <w:rsid w:val="00505FC8"/>
    <w:rsid w:val="00506603"/>
    <w:rsid w:val="0050689D"/>
    <w:rsid w:val="005077F5"/>
    <w:rsid w:val="005108C0"/>
    <w:rsid w:val="0051094F"/>
    <w:rsid w:val="00511217"/>
    <w:rsid w:val="00511873"/>
    <w:rsid w:val="00511BAF"/>
    <w:rsid w:val="00512461"/>
    <w:rsid w:val="00512585"/>
    <w:rsid w:val="00512A2F"/>
    <w:rsid w:val="00513B7E"/>
    <w:rsid w:val="00513E9D"/>
    <w:rsid w:val="0051475D"/>
    <w:rsid w:val="00514B11"/>
    <w:rsid w:val="00514DED"/>
    <w:rsid w:val="00515485"/>
    <w:rsid w:val="00515BE9"/>
    <w:rsid w:val="00515C74"/>
    <w:rsid w:val="00515CEB"/>
    <w:rsid w:val="0051630F"/>
    <w:rsid w:val="00517113"/>
    <w:rsid w:val="0052007E"/>
    <w:rsid w:val="0052032E"/>
    <w:rsid w:val="00521CAD"/>
    <w:rsid w:val="0052200D"/>
    <w:rsid w:val="00522425"/>
    <w:rsid w:val="00522A1B"/>
    <w:rsid w:val="00522E01"/>
    <w:rsid w:val="0052337A"/>
    <w:rsid w:val="00524385"/>
    <w:rsid w:val="005246BE"/>
    <w:rsid w:val="00525137"/>
    <w:rsid w:val="005251DD"/>
    <w:rsid w:val="0052762C"/>
    <w:rsid w:val="0052792D"/>
    <w:rsid w:val="0053012B"/>
    <w:rsid w:val="005301A6"/>
    <w:rsid w:val="00530A68"/>
    <w:rsid w:val="00530AD4"/>
    <w:rsid w:val="0053129F"/>
    <w:rsid w:val="00531C5A"/>
    <w:rsid w:val="00532CE7"/>
    <w:rsid w:val="00532D8B"/>
    <w:rsid w:val="0053324C"/>
    <w:rsid w:val="00533A8D"/>
    <w:rsid w:val="00534A28"/>
    <w:rsid w:val="00535018"/>
    <w:rsid w:val="00535782"/>
    <w:rsid w:val="0053595E"/>
    <w:rsid w:val="00537571"/>
    <w:rsid w:val="00540056"/>
    <w:rsid w:val="005410E2"/>
    <w:rsid w:val="00541508"/>
    <w:rsid w:val="00541AE3"/>
    <w:rsid w:val="00543498"/>
    <w:rsid w:val="00544011"/>
    <w:rsid w:val="00544BE5"/>
    <w:rsid w:val="005453A3"/>
    <w:rsid w:val="005455F6"/>
    <w:rsid w:val="0054582F"/>
    <w:rsid w:val="0054632B"/>
    <w:rsid w:val="00546FC7"/>
    <w:rsid w:val="005500F9"/>
    <w:rsid w:val="00550160"/>
    <w:rsid w:val="00550249"/>
    <w:rsid w:val="00550540"/>
    <w:rsid w:val="005519E2"/>
    <w:rsid w:val="00551E16"/>
    <w:rsid w:val="005523A8"/>
    <w:rsid w:val="00552F2C"/>
    <w:rsid w:val="00553A25"/>
    <w:rsid w:val="005547EB"/>
    <w:rsid w:val="00554863"/>
    <w:rsid w:val="005555E0"/>
    <w:rsid w:val="0055599F"/>
    <w:rsid w:val="00556D68"/>
    <w:rsid w:val="0055707B"/>
    <w:rsid w:val="005570D6"/>
    <w:rsid w:val="00557E0E"/>
    <w:rsid w:val="00557E45"/>
    <w:rsid w:val="005605F3"/>
    <w:rsid w:val="00560C41"/>
    <w:rsid w:val="00560C68"/>
    <w:rsid w:val="00560CAC"/>
    <w:rsid w:val="00561F44"/>
    <w:rsid w:val="00562B4D"/>
    <w:rsid w:val="00562DB1"/>
    <w:rsid w:val="00563EB8"/>
    <w:rsid w:val="005647BF"/>
    <w:rsid w:val="00564AF1"/>
    <w:rsid w:val="005655DB"/>
    <w:rsid w:val="00565E88"/>
    <w:rsid w:val="00567339"/>
    <w:rsid w:val="005678EE"/>
    <w:rsid w:val="00567910"/>
    <w:rsid w:val="00570270"/>
    <w:rsid w:val="00570464"/>
    <w:rsid w:val="00570601"/>
    <w:rsid w:val="00570BC3"/>
    <w:rsid w:val="00571766"/>
    <w:rsid w:val="0057182A"/>
    <w:rsid w:val="00571E59"/>
    <w:rsid w:val="00572079"/>
    <w:rsid w:val="00572900"/>
    <w:rsid w:val="00573602"/>
    <w:rsid w:val="0057364B"/>
    <w:rsid w:val="00574773"/>
    <w:rsid w:val="005761EC"/>
    <w:rsid w:val="00576E34"/>
    <w:rsid w:val="00577C07"/>
    <w:rsid w:val="00577DB1"/>
    <w:rsid w:val="00580AD3"/>
    <w:rsid w:val="00580DE7"/>
    <w:rsid w:val="005810E1"/>
    <w:rsid w:val="005820CD"/>
    <w:rsid w:val="00583BDD"/>
    <w:rsid w:val="00583E52"/>
    <w:rsid w:val="00583FFD"/>
    <w:rsid w:val="00584252"/>
    <w:rsid w:val="005848DD"/>
    <w:rsid w:val="0058519A"/>
    <w:rsid w:val="005856BD"/>
    <w:rsid w:val="00585983"/>
    <w:rsid w:val="00586BCA"/>
    <w:rsid w:val="00587038"/>
    <w:rsid w:val="00590608"/>
    <w:rsid w:val="00590B28"/>
    <w:rsid w:val="005911BE"/>
    <w:rsid w:val="00591273"/>
    <w:rsid w:val="00591E9E"/>
    <w:rsid w:val="005927A4"/>
    <w:rsid w:val="00593152"/>
    <w:rsid w:val="00593389"/>
    <w:rsid w:val="00593FE6"/>
    <w:rsid w:val="005956A3"/>
    <w:rsid w:val="00595958"/>
    <w:rsid w:val="00595CAB"/>
    <w:rsid w:val="0059622E"/>
    <w:rsid w:val="0059684D"/>
    <w:rsid w:val="00597671"/>
    <w:rsid w:val="00597BBF"/>
    <w:rsid w:val="005A040C"/>
    <w:rsid w:val="005A0463"/>
    <w:rsid w:val="005A05DF"/>
    <w:rsid w:val="005A0948"/>
    <w:rsid w:val="005A0A03"/>
    <w:rsid w:val="005A10F2"/>
    <w:rsid w:val="005A16C0"/>
    <w:rsid w:val="005A2156"/>
    <w:rsid w:val="005A21E0"/>
    <w:rsid w:val="005A2401"/>
    <w:rsid w:val="005A28FF"/>
    <w:rsid w:val="005A2C09"/>
    <w:rsid w:val="005A3778"/>
    <w:rsid w:val="005A37B0"/>
    <w:rsid w:val="005A3DF8"/>
    <w:rsid w:val="005A5549"/>
    <w:rsid w:val="005A566A"/>
    <w:rsid w:val="005A56E0"/>
    <w:rsid w:val="005A70CA"/>
    <w:rsid w:val="005A7ABD"/>
    <w:rsid w:val="005A7CF8"/>
    <w:rsid w:val="005B0EDA"/>
    <w:rsid w:val="005B121D"/>
    <w:rsid w:val="005B1705"/>
    <w:rsid w:val="005B26B0"/>
    <w:rsid w:val="005B41C9"/>
    <w:rsid w:val="005B44E6"/>
    <w:rsid w:val="005B4853"/>
    <w:rsid w:val="005B591B"/>
    <w:rsid w:val="005B6CA1"/>
    <w:rsid w:val="005B770C"/>
    <w:rsid w:val="005C06ED"/>
    <w:rsid w:val="005C0CE1"/>
    <w:rsid w:val="005C11B8"/>
    <w:rsid w:val="005C1B24"/>
    <w:rsid w:val="005C216C"/>
    <w:rsid w:val="005C2609"/>
    <w:rsid w:val="005C2B30"/>
    <w:rsid w:val="005C412B"/>
    <w:rsid w:val="005C43EC"/>
    <w:rsid w:val="005C45DD"/>
    <w:rsid w:val="005C4704"/>
    <w:rsid w:val="005C4CB1"/>
    <w:rsid w:val="005C70AB"/>
    <w:rsid w:val="005D015C"/>
    <w:rsid w:val="005D3F06"/>
    <w:rsid w:val="005D4608"/>
    <w:rsid w:val="005D4B73"/>
    <w:rsid w:val="005D533D"/>
    <w:rsid w:val="005D5645"/>
    <w:rsid w:val="005D5802"/>
    <w:rsid w:val="005D5AA9"/>
    <w:rsid w:val="005D5B60"/>
    <w:rsid w:val="005D66E6"/>
    <w:rsid w:val="005D7119"/>
    <w:rsid w:val="005D76C8"/>
    <w:rsid w:val="005D7890"/>
    <w:rsid w:val="005D7AAF"/>
    <w:rsid w:val="005E19C1"/>
    <w:rsid w:val="005E2194"/>
    <w:rsid w:val="005E24F0"/>
    <w:rsid w:val="005E3113"/>
    <w:rsid w:val="005E36FE"/>
    <w:rsid w:val="005E3F66"/>
    <w:rsid w:val="005E490F"/>
    <w:rsid w:val="005E4BC9"/>
    <w:rsid w:val="005E5314"/>
    <w:rsid w:val="005E53DC"/>
    <w:rsid w:val="005E764D"/>
    <w:rsid w:val="005E7724"/>
    <w:rsid w:val="005E7C78"/>
    <w:rsid w:val="005F04A7"/>
    <w:rsid w:val="005F114F"/>
    <w:rsid w:val="005F18C5"/>
    <w:rsid w:val="005F247B"/>
    <w:rsid w:val="005F2A08"/>
    <w:rsid w:val="005F36CC"/>
    <w:rsid w:val="005F3EB1"/>
    <w:rsid w:val="005F413E"/>
    <w:rsid w:val="005F466B"/>
    <w:rsid w:val="005F46D8"/>
    <w:rsid w:val="005F480F"/>
    <w:rsid w:val="005F5271"/>
    <w:rsid w:val="005F5469"/>
    <w:rsid w:val="005F63F3"/>
    <w:rsid w:val="005F66F0"/>
    <w:rsid w:val="005F6D7F"/>
    <w:rsid w:val="005F6DFE"/>
    <w:rsid w:val="005F7174"/>
    <w:rsid w:val="005F7B79"/>
    <w:rsid w:val="0060120D"/>
    <w:rsid w:val="006017C1"/>
    <w:rsid w:val="00601ADE"/>
    <w:rsid w:val="00601EEF"/>
    <w:rsid w:val="0060255A"/>
    <w:rsid w:val="00602998"/>
    <w:rsid w:val="00602EB3"/>
    <w:rsid w:val="00604307"/>
    <w:rsid w:val="0060487F"/>
    <w:rsid w:val="00604EAD"/>
    <w:rsid w:val="0060513F"/>
    <w:rsid w:val="006065E2"/>
    <w:rsid w:val="0060694B"/>
    <w:rsid w:val="00607E1D"/>
    <w:rsid w:val="006104FB"/>
    <w:rsid w:val="006116FF"/>
    <w:rsid w:val="0061176D"/>
    <w:rsid w:val="0061200F"/>
    <w:rsid w:val="00612756"/>
    <w:rsid w:val="00612A2F"/>
    <w:rsid w:val="00612AAE"/>
    <w:rsid w:val="00612B07"/>
    <w:rsid w:val="00612FD9"/>
    <w:rsid w:val="006139E0"/>
    <w:rsid w:val="00614D35"/>
    <w:rsid w:val="006156B4"/>
    <w:rsid w:val="00615DAF"/>
    <w:rsid w:val="00616254"/>
    <w:rsid w:val="0061672A"/>
    <w:rsid w:val="00616E05"/>
    <w:rsid w:val="00617985"/>
    <w:rsid w:val="00620641"/>
    <w:rsid w:val="00620B77"/>
    <w:rsid w:val="00621190"/>
    <w:rsid w:val="0062131B"/>
    <w:rsid w:val="00621E26"/>
    <w:rsid w:val="006224EA"/>
    <w:rsid w:val="0062263A"/>
    <w:rsid w:val="006227DF"/>
    <w:rsid w:val="006234A0"/>
    <w:rsid w:val="006236C8"/>
    <w:rsid w:val="00624093"/>
    <w:rsid w:val="0062415E"/>
    <w:rsid w:val="00625A84"/>
    <w:rsid w:val="00626079"/>
    <w:rsid w:val="006275B5"/>
    <w:rsid w:val="00631698"/>
    <w:rsid w:val="00631E44"/>
    <w:rsid w:val="00634C57"/>
    <w:rsid w:val="00634CE7"/>
    <w:rsid w:val="006350D5"/>
    <w:rsid w:val="00635EBE"/>
    <w:rsid w:val="0063642C"/>
    <w:rsid w:val="006376B3"/>
    <w:rsid w:val="00637858"/>
    <w:rsid w:val="006404A7"/>
    <w:rsid w:val="00640A38"/>
    <w:rsid w:val="00640E6B"/>
    <w:rsid w:val="00641787"/>
    <w:rsid w:val="0064179B"/>
    <w:rsid w:val="00642338"/>
    <w:rsid w:val="00642489"/>
    <w:rsid w:val="00644055"/>
    <w:rsid w:val="00644137"/>
    <w:rsid w:val="0064478C"/>
    <w:rsid w:val="00644938"/>
    <w:rsid w:val="00645160"/>
    <w:rsid w:val="006451E4"/>
    <w:rsid w:val="0064574B"/>
    <w:rsid w:val="00645B33"/>
    <w:rsid w:val="00650FFC"/>
    <w:rsid w:val="0065153D"/>
    <w:rsid w:val="006516CB"/>
    <w:rsid w:val="00652444"/>
    <w:rsid w:val="00652E30"/>
    <w:rsid w:val="00653BD0"/>
    <w:rsid w:val="00654110"/>
    <w:rsid w:val="00656C5D"/>
    <w:rsid w:val="00656CFB"/>
    <w:rsid w:val="00656D25"/>
    <w:rsid w:val="00657E87"/>
    <w:rsid w:val="00660D2D"/>
    <w:rsid w:val="0066110B"/>
    <w:rsid w:val="00661C41"/>
    <w:rsid w:val="00661EC9"/>
    <w:rsid w:val="00662469"/>
    <w:rsid w:val="0066411C"/>
    <w:rsid w:val="00664205"/>
    <w:rsid w:val="00664647"/>
    <w:rsid w:val="00664803"/>
    <w:rsid w:val="0066502F"/>
    <w:rsid w:val="006653CC"/>
    <w:rsid w:val="00665501"/>
    <w:rsid w:val="00665982"/>
    <w:rsid w:val="00665BA4"/>
    <w:rsid w:val="00666BF3"/>
    <w:rsid w:val="00667748"/>
    <w:rsid w:val="00667856"/>
    <w:rsid w:val="00667AF2"/>
    <w:rsid w:val="00670489"/>
    <w:rsid w:val="006710C9"/>
    <w:rsid w:val="00671D85"/>
    <w:rsid w:val="00672586"/>
    <w:rsid w:val="006727BC"/>
    <w:rsid w:val="006741CD"/>
    <w:rsid w:val="006745DF"/>
    <w:rsid w:val="00674BAC"/>
    <w:rsid w:val="00674D89"/>
    <w:rsid w:val="0067514E"/>
    <w:rsid w:val="00675E37"/>
    <w:rsid w:val="0067635D"/>
    <w:rsid w:val="00676736"/>
    <w:rsid w:val="006769A4"/>
    <w:rsid w:val="006769C6"/>
    <w:rsid w:val="00676D76"/>
    <w:rsid w:val="00676F9F"/>
    <w:rsid w:val="00677519"/>
    <w:rsid w:val="00677591"/>
    <w:rsid w:val="00677594"/>
    <w:rsid w:val="00677FA3"/>
    <w:rsid w:val="0068032F"/>
    <w:rsid w:val="00680D37"/>
    <w:rsid w:val="0068174E"/>
    <w:rsid w:val="00681DCE"/>
    <w:rsid w:val="00682110"/>
    <w:rsid w:val="0068260E"/>
    <w:rsid w:val="006846B3"/>
    <w:rsid w:val="006849F8"/>
    <w:rsid w:val="00684B9B"/>
    <w:rsid w:val="00684D59"/>
    <w:rsid w:val="00684E25"/>
    <w:rsid w:val="006858A4"/>
    <w:rsid w:val="00685C08"/>
    <w:rsid w:val="00685C8C"/>
    <w:rsid w:val="00686718"/>
    <w:rsid w:val="00686BFA"/>
    <w:rsid w:val="00686DED"/>
    <w:rsid w:val="006875A0"/>
    <w:rsid w:val="006878C6"/>
    <w:rsid w:val="00687D27"/>
    <w:rsid w:val="00691943"/>
    <w:rsid w:val="00693550"/>
    <w:rsid w:val="00694622"/>
    <w:rsid w:val="00695065"/>
    <w:rsid w:val="00695BEF"/>
    <w:rsid w:val="00696251"/>
    <w:rsid w:val="006966C7"/>
    <w:rsid w:val="006968C1"/>
    <w:rsid w:val="006977F6"/>
    <w:rsid w:val="00697A13"/>
    <w:rsid w:val="006A0DD4"/>
    <w:rsid w:val="006A109C"/>
    <w:rsid w:val="006A3CAF"/>
    <w:rsid w:val="006A4E91"/>
    <w:rsid w:val="006A5F4B"/>
    <w:rsid w:val="006A6114"/>
    <w:rsid w:val="006A6565"/>
    <w:rsid w:val="006A7665"/>
    <w:rsid w:val="006A7691"/>
    <w:rsid w:val="006A7EE2"/>
    <w:rsid w:val="006B0514"/>
    <w:rsid w:val="006B0F92"/>
    <w:rsid w:val="006B2785"/>
    <w:rsid w:val="006B27C7"/>
    <w:rsid w:val="006B344A"/>
    <w:rsid w:val="006B58C9"/>
    <w:rsid w:val="006B60ED"/>
    <w:rsid w:val="006B6CC5"/>
    <w:rsid w:val="006B74AC"/>
    <w:rsid w:val="006B78D8"/>
    <w:rsid w:val="006B79EA"/>
    <w:rsid w:val="006C0C5D"/>
    <w:rsid w:val="006C113F"/>
    <w:rsid w:val="006C123E"/>
    <w:rsid w:val="006C15A1"/>
    <w:rsid w:val="006C1752"/>
    <w:rsid w:val="006C1DDC"/>
    <w:rsid w:val="006C28CA"/>
    <w:rsid w:val="006C2BBF"/>
    <w:rsid w:val="006C2FBD"/>
    <w:rsid w:val="006C3336"/>
    <w:rsid w:val="006C3495"/>
    <w:rsid w:val="006C4355"/>
    <w:rsid w:val="006C4587"/>
    <w:rsid w:val="006C469D"/>
    <w:rsid w:val="006C46B5"/>
    <w:rsid w:val="006C484F"/>
    <w:rsid w:val="006C52EC"/>
    <w:rsid w:val="006C5506"/>
    <w:rsid w:val="006C56D4"/>
    <w:rsid w:val="006C6681"/>
    <w:rsid w:val="006C683C"/>
    <w:rsid w:val="006C6924"/>
    <w:rsid w:val="006C6C1E"/>
    <w:rsid w:val="006C7076"/>
    <w:rsid w:val="006C7981"/>
    <w:rsid w:val="006C7AEC"/>
    <w:rsid w:val="006C7CA6"/>
    <w:rsid w:val="006D15D3"/>
    <w:rsid w:val="006D18B3"/>
    <w:rsid w:val="006D1E89"/>
    <w:rsid w:val="006D26CE"/>
    <w:rsid w:val="006D317E"/>
    <w:rsid w:val="006D3E8A"/>
    <w:rsid w:val="006D47D9"/>
    <w:rsid w:val="006D61F6"/>
    <w:rsid w:val="006E1081"/>
    <w:rsid w:val="006E1332"/>
    <w:rsid w:val="006E19CB"/>
    <w:rsid w:val="006E279A"/>
    <w:rsid w:val="006E313B"/>
    <w:rsid w:val="006E34B2"/>
    <w:rsid w:val="006E3A45"/>
    <w:rsid w:val="006E4078"/>
    <w:rsid w:val="006E51C4"/>
    <w:rsid w:val="006E53AD"/>
    <w:rsid w:val="006E58CB"/>
    <w:rsid w:val="006E6A93"/>
    <w:rsid w:val="006E7227"/>
    <w:rsid w:val="006E761A"/>
    <w:rsid w:val="006F0646"/>
    <w:rsid w:val="006F0741"/>
    <w:rsid w:val="006F1C27"/>
    <w:rsid w:val="006F2A65"/>
    <w:rsid w:val="006F3DD6"/>
    <w:rsid w:val="006F40DF"/>
    <w:rsid w:val="006F42BB"/>
    <w:rsid w:val="006F438E"/>
    <w:rsid w:val="006F440B"/>
    <w:rsid w:val="006F48A3"/>
    <w:rsid w:val="006F4DA4"/>
    <w:rsid w:val="006F5416"/>
    <w:rsid w:val="006F624B"/>
    <w:rsid w:val="006F6D87"/>
    <w:rsid w:val="006F6FF2"/>
    <w:rsid w:val="006F79FB"/>
    <w:rsid w:val="007008A9"/>
    <w:rsid w:val="00700E8A"/>
    <w:rsid w:val="007018A4"/>
    <w:rsid w:val="0070398A"/>
    <w:rsid w:val="00705242"/>
    <w:rsid w:val="007055E0"/>
    <w:rsid w:val="007056ED"/>
    <w:rsid w:val="00705F4E"/>
    <w:rsid w:val="0070658E"/>
    <w:rsid w:val="007065C5"/>
    <w:rsid w:val="007068E1"/>
    <w:rsid w:val="00706AA0"/>
    <w:rsid w:val="00706AD4"/>
    <w:rsid w:val="00707150"/>
    <w:rsid w:val="007124D7"/>
    <w:rsid w:val="00712C20"/>
    <w:rsid w:val="00713549"/>
    <w:rsid w:val="007140BE"/>
    <w:rsid w:val="007147AB"/>
    <w:rsid w:val="00715502"/>
    <w:rsid w:val="00715D01"/>
    <w:rsid w:val="00715E4D"/>
    <w:rsid w:val="00715F12"/>
    <w:rsid w:val="0071677A"/>
    <w:rsid w:val="00716F48"/>
    <w:rsid w:val="007170FB"/>
    <w:rsid w:val="00717114"/>
    <w:rsid w:val="0071779F"/>
    <w:rsid w:val="007201A6"/>
    <w:rsid w:val="00720310"/>
    <w:rsid w:val="00720D7A"/>
    <w:rsid w:val="007211F5"/>
    <w:rsid w:val="007213C3"/>
    <w:rsid w:val="00721601"/>
    <w:rsid w:val="00722777"/>
    <w:rsid w:val="00723435"/>
    <w:rsid w:val="00723436"/>
    <w:rsid w:val="007240E2"/>
    <w:rsid w:val="0072454C"/>
    <w:rsid w:val="0072583E"/>
    <w:rsid w:val="00725BB5"/>
    <w:rsid w:val="00727C02"/>
    <w:rsid w:val="0073008E"/>
    <w:rsid w:val="00730A8B"/>
    <w:rsid w:val="00730AE8"/>
    <w:rsid w:val="00730F1B"/>
    <w:rsid w:val="0073186D"/>
    <w:rsid w:val="007324A6"/>
    <w:rsid w:val="0073261D"/>
    <w:rsid w:val="0073333D"/>
    <w:rsid w:val="007343D9"/>
    <w:rsid w:val="00734F71"/>
    <w:rsid w:val="00735448"/>
    <w:rsid w:val="00736F07"/>
    <w:rsid w:val="007377BD"/>
    <w:rsid w:val="00737DEC"/>
    <w:rsid w:val="0074004D"/>
    <w:rsid w:val="00741493"/>
    <w:rsid w:val="00741F2A"/>
    <w:rsid w:val="007434E5"/>
    <w:rsid w:val="00743884"/>
    <w:rsid w:val="0074499B"/>
    <w:rsid w:val="007449D6"/>
    <w:rsid w:val="0074501E"/>
    <w:rsid w:val="007450BF"/>
    <w:rsid w:val="0074599A"/>
    <w:rsid w:val="00746EE5"/>
    <w:rsid w:val="00746F45"/>
    <w:rsid w:val="007471A1"/>
    <w:rsid w:val="007477BD"/>
    <w:rsid w:val="007477DA"/>
    <w:rsid w:val="00747EE9"/>
    <w:rsid w:val="007520B6"/>
    <w:rsid w:val="00752180"/>
    <w:rsid w:val="00752323"/>
    <w:rsid w:val="007532B7"/>
    <w:rsid w:val="00753CAB"/>
    <w:rsid w:val="00754A70"/>
    <w:rsid w:val="00754BC9"/>
    <w:rsid w:val="00754FB0"/>
    <w:rsid w:val="00755202"/>
    <w:rsid w:val="00755D3A"/>
    <w:rsid w:val="00757241"/>
    <w:rsid w:val="0075751D"/>
    <w:rsid w:val="0075763E"/>
    <w:rsid w:val="007578D3"/>
    <w:rsid w:val="007602CF"/>
    <w:rsid w:val="00760391"/>
    <w:rsid w:val="007609C6"/>
    <w:rsid w:val="007615F3"/>
    <w:rsid w:val="0076175D"/>
    <w:rsid w:val="00761CB5"/>
    <w:rsid w:val="007629D5"/>
    <w:rsid w:val="007635F8"/>
    <w:rsid w:val="00763A88"/>
    <w:rsid w:val="00763B23"/>
    <w:rsid w:val="00763B85"/>
    <w:rsid w:val="007644A2"/>
    <w:rsid w:val="00764974"/>
    <w:rsid w:val="00764D18"/>
    <w:rsid w:val="0076521E"/>
    <w:rsid w:val="0076579C"/>
    <w:rsid w:val="00765928"/>
    <w:rsid w:val="00765BCC"/>
    <w:rsid w:val="0076600D"/>
    <w:rsid w:val="007661E9"/>
    <w:rsid w:val="00766460"/>
    <w:rsid w:val="00767062"/>
    <w:rsid w:val="00767601"/>
    <w:rsid w:val="00767777"/>
    <w:rsid w:val="00767933"/>
    <w:rsid w:val="00770AB9"/>
    <w:rsid w:val="00770CFC"/>
    <w:rsid w:val="0077130E"/>
    <w:rsid w:val="007715EE"/>
    <w:rsid w:val="00771972"/>
    <w:rsid w:val="00772279"/>
    <w:rsid w:val="00772DAB"/>
    <w:rsid w:val="00772FF9"/>
    <w:rsid w:val="0077348B"/>
    <w:rsid w:val="007743DB"/>
    <w:rsid w:val="00774D2C"/>
    <w:rsid w:val="00775E00"/>
    <w:rsid w:val="0077605B"/>
    <w:rsid w:val="00776169"/>
    <w:rsid w:val="00776527"/>
    <w:rsid w:val="00777040"/>
    <w:rsid w:val="00777CE6"/>
    <w:rsid w:val="00777D57"/>
    <w:rsid w:val="00780BF0"/>
    <w:rsid w:val="00780EF1"/>
    <w:rsid w:val="00781A91"/>
    <w:rsid w:val="00781AD3"/>
    <w:rsid w:val="00781F36"/>
    <w:rsid w:val="00783576"/>
    <w:rsid w:val="00784980"/>
    <w:rsid w:val="007853FD"/>
    <w:rsid w:val="00785778"/>
    <w:rsid w:val="00786C87"/>
    <w:rsid w:val="0078755E"/>
    <w:rsid w:val="007877C9"/>
    <w:rsid w:val="00790764"/>
    <w:rsid w:val="0079085F"/>
    <w:rsid w:val="00790E96"/>
    <w:rsid w:val="00791005"/>
    <w:rsid w:val="00793D78"/>
    <w:rsid w:val="0079420B"/>
    <w:rsid w:val="0079453C"/>
    <w:rsid w:val="00794677"/>
    <w:rsid w:val="00795759"/>
    <w:rsid w:val="007A0B5E"/>
    <w:rsid w:val="007A170B"/>
    <w:rsid w:val="007A20EB"/>
    <w:rsid w:val="007A282C"/>
    <w:rsid w:val="007A293C"/>
    <w:rsid w:val="007A2A3A"/>
    <w:rsid w:val="007A33E2"/>
    <w:rsid w:val="007A3CAF"/>
    <w:rsid w:val="007A4551"/>
    <w:rsid w:val="007A4664"/>
    <w:rsid w:val="007A4782"/>
    <w:rsid w:val="007A516D"/>
    <w:rsid w:val="007A5E65"/>
    <w:rsid w:val="007A65E1"/>
    <w:rsid w:val="007A6A6E"/>
    <w:rsid w:val="007A6AAA"/>
    <w:rsid w:val="007A7033"/>
    <w:rsid w:val="007A775D"/>
    <w:rsid w:val="007B04B0"/>
    <w:rsid w:val="007B0834"/>
    <w:rsid w:val="007B0E83"/>
    <w:rsid w:val="007B11FA"/>
    <w:rsid w:val="007B1396"/>
    <w:rsid w:val="007B16D6"/>
    <w:rsid w:val="007B1D1B"/>
    <w:rsid w:val="007B1E3F"/>
    <w:rsid w:val="007B2011"/>
    <w:rsid w:val="007B2CFE"/>
    <w:rsid w:val="007B309B"/>
    <w:rsid w:val="007B3D5E"/>
    <w:rsid w:val="007B3DCB"/>
    <w:rsid w:val="007B54AE"/>
    <w:rsid w:val="007B5725"/>
    <w:rsid w:val="007B5C1F"/>
    <w:rsid w:val="007B6689"/>
    <w:rsid w:val="007B6747"/>
    <w:rsid w:val="007B6F72"/>
    <w:rsid w:val="007B74AA"/>
    <w:rsid w:val="007C10BD"/>
    <w:rsid w:val="007C162D"/>
    <w:rsid w:val="007C1A03"/>
    <w:rsid w:val="007C1F0C"/>
    <w:rsid w:val="007C1FFB"/>
    <w:rsid w:val="007C2D94"/>
    <w:rsid w:val="007C4A6B"/>
    <w:rsid w:val="007C5F92"/>
    <w:rsid w:val="007C6227"/>
    <w:rsid w:val="007C64F7"/>
    <w:rsid w:val="007C6BBD"/>
    <w:rsid w:val="007C6D89"/>
    <w:rsid w:val="007C6F5E"/>
    <w:rsid w:val="007D0382"/>
    <w:rsid w:val="007D0F6B"/>
    <w:rsid w:val="007D14FE"/>
    <w:rsid w:val="007D1A1F"/>
    <w:rsid w:val="007D213B"/>
    <w:rsid w:val="007D2783"/>
    <w:rsid w:val="007D2E18"/>
    <w:rsid w:val="007D3EF3"/>
    <w:rsid w:val="007D40DF"/>
    <w:rsid w:val="007D42E5"/>
    <w:rsid w:val="007D4458"/>
    <w:rsid w:val="007D6AF9"/>
    <w:rsid w:val="007D7763"/>
    <w:rsid w:val="007D7F4F"/>
    <w:rsid w:val="007E0535"/>
    <w:rsid w:val="007E07F2"/>
    <w:rsid w:val="007E0D4A"/>
    <w:rsid w:val="007E1788"/>
    <w:rsid w:val="007E1EE3"/>
    <w:rsid w:val="007E29B4"/>
    <w:rsid w:val="007E2F12"/>
    <w:rsid w:val="007E3627"/>
    <w:rsid w:val="007E435A"/>
    <w:rsid w:val="007E445C"/>
    <w:rsid w:val="007E49F7"/>
    <w:rsid w:val="007E4C70"/>
    <w:rsid w:val="007E5149"/>
    <w:rsid w:val="007E5B5F"/>
    <w:rsid w:val="007E69C6"/>
    <w:rsid w:val="007E78B6"/>
    <w:rsid w:val="007E7E2D"/>
    <w:rsid w:val="007E7E61"/>
    <w:rsid w:val="007F0845"/>
    <w:rsid w:val="007F0873"/>
    <w:rsid w:val="007F20F3"/>
    <w:rsid w:val="007F2353"/>
    <w:rsid w:val="007F2390"/>
    <w:rsid w:val="007F2CAC"/>
    <w:rsid w:val="007F3CB6"/>
    <w:rsid w:val="007F4740"/>
    <w:rsid w:val="007F595A"/>
    <w:rsid w:val="007F5C38"/>
    <w:rsid w:val="007F708D"/>
    <w:rsid w:val="007F7E3F"/>
    <w:rsid w:val="008006B3"/>
    <w:rsid w:val="00800B63"/>
    <w:rsid w:val="0080158A"/>
    <w:rsid w:val="00801E13"/>
    <w:rsid w:val="00803008"/>
    <w:rsid w:val="00803069"/>
    <w:rsid w:val="0080346B"/>
    <w:rsid w:val="00803E08"/>
    <w:rsid w:val="00804155"/>
    <w:rsid w:val="00804C9F"/>
    <w:rsid w:val="0080559E"/>
    <w:rsid w:val="00805AF3"/>
    <w:rsid w:val="00806C9C"/>
    <w:rsid w:val="008071B1"/>
    <w:rsid w:val="0080734C"/>
    <w:rsid w:val="00807C82"/>
    <w:rsid w:val="008107EE"/>
    <w:rsid w:val="008117CC"/>
    <w:rsid w:val="00811FF8"/>
    <w:rsid w:val="0081249F"/>
    <w:rsid w:val="00813D58"/>
    <w:rsid w:val="00813DCA"/>
    <w:rsid w:val="008161A6"/>
    <w:rsid w:val="008165B8"/>
    <w:rsid w:val="00816905"/>
    <w:rsid w:val="00816D98"/>
    <w:rsid w:val="00816E42"/>
    <w:rsid w:val="00817040"/>
    <w:rsid w:val="00817A17"/>
    <w:rsid w:val="00817EC1"/>
    <w:rsid w:val="0082112D"/>
    <w:rsid w:val="00821624"/>
    <w:rsid w:val="00821FF6"/>
    <w:rsid w:val="00822574"/>
    <w:rsid w:val="00822980"/>
    <w:rsid w:val="00822F08"/>
    <w:rsid w:val="00824BA6"/>
    <w:rsid w:val="00825007"/>
    <w:rsid w:val="00825120"/>
    <w:rsid w:val="00825C4D"/>
    <w:rsid w:val="00826A08"/>
    <w:rsid w:val="00826AC0"/>
    <w:rsid w:val="00826D45"/>
    <w:rsid w:val="00827186"/>
    <w:rsid w:val="00827C8E"/>
    <w:rsid w:val="00830569"/>
    <w:rsid w:val="00830AEA"/>
    <w:rsid w:val="00830E86"/>
    <w:rsid w:val="0083143E"/>
    <w:rsid w:val="008315B8"/>
    <w:rsid w:val="008315D5"/>
    <w:rsid w:val="00831CDE"/>
    <w:rsid w:val="00831F2B"/>
    <w:rsid w:val="008320CF"/>
    <w:rsid w:val="008324A3"/>
    <w:rsid w:val="00832F77"/>
    <w:rsid w:val="00834304"/>
    <w:rsid w:val="008343CE"/>
    <w:rsid w:val="0083471A"/>
    <w:rsid w:val="00834FAA"/>
    <w:rsid w:val="00835495"/>
    <w:rsid w:val="008354FB"/>
    <w:rsid w:val="00835FF1"/>
    <w:rsid w:val="00836086"/>
    <w:rsid w:val="0083630F"/>
    <w:rsid w:val="00836A06"/>
    <w:rsid w:val="008374BC"/>
    <w:rsid w:val="008379D6"/>
    <w:rsid w:val="00837E48"/>
    <w:rsid w:val="00840293"/>
    <w:rsid w:val="008402AD"/>
    <w:rsid w:val="008408D4"/>
    <w:rsid w:val="008417B5"/>
    <w:rsid w:val="00841901"/>
    <w:rsid w:val="008458BD"/>
    <w:rsid w:val="00846121"/>
    <w:rsid w:val="008461C2"/>
    <w:rsid w:val="008462F1"/>
    <w:rsid w:val="008466C6"/>
    <w:rsid w:val="0084708F"/>
    <w:rsid w:val="008477C8"/>
    <w:rsid w:val="008478A6"/>
    <w:rsid w:val="008502F6"/>
    <w:rsid w:val="0085036C"/>
    <w:rsid w:val="00850E83"/>
    <w:rsid w:val="0085114D"/>
    <w:rsid w:val="00851163"/>
    <w:rsid w:val="008520A8"/>
    <w:rsid w:val="00852217"/>
    <w:rsid w:val="00853282"/>
    <w:rsid w:val="0085334C"/>
    <w:rsid w:val="00854291"/>
    <w:rsid w:val="00855408"/>
    <w:rsid w:val="00855D03"/>
    <w:rsid w:val="00856AA1"/>
    <w:rsid w:val="00856D65"/>
    <w:rsid w:val="00856FA4"/>
    <w:rsid w:val="00860D79"/>
    <w:rsid w:val="00861B41"/>
    <w:rsid w:val="00861B9F"/>
    <w:rsid w:val="00861BE3"/>
    <w:rsid w:val="00861EB6"/>
    <w:rsid w:val="008625D3"/>
    <w:rsid w:val="00862C0A"/>
    <w:rsid w:val="00863434"/>
    <w:rsid w:val="0086344F"/>
    <w:rsid w:val="008641AC"/>
    <w:rsid w:val="00865E4C"/>
    <w:rsid w:val="00866074"/>
    <w:rsid w:val="00867546"/>
    <w:rsid w:val="0086796D"/>
    <w:rsid w:val="00867DAB"/>
    <w:rsid w:val="0087000B"/>
    <w:rsid w:val="008701E4"/>
    <w:rsid w:val="008704E9"/>
    <w:rsid w:val="008705FB"/>
    <w:rsid w:val="00870ECD"/>
    <w:rsid w:val="0087347C"/>
    <w:rsid w:val="008734E7"/>
    <w:rsid w:val="0087368D"/>
    <w:rsid w:val="008740CC"/>
    <w:rsid w:val="0087442A"/>
    <w:rsid w:val="00874578"/>
    <w:rsid w:val="00874FE8"/>
    <w:rsid w:val="00875A32"/>
    <w:rsid w:val="00875CC1"/>
    <w:rsid w:val="00876086"/>
    <w:rsid w:val="00876651"/>
    <w:rsid w:val="00876E83"/>
    <w:rsid w:val="0087722C"/>
    <w:rsid w:val="008772BC"/>
    <w:rsid w:val="00880A0E"/>
    <w:rsid w:val="008817FE"/>
    <w:rsid w:val="00881CD7"/>
    <w:rsid w:val="00882911"/>
    <w:rsid w:val="00882F6E"/>
    <w:rsid w:val="00883202"/>
    <w:rsid w:val="00884E02"/>
    <w:rsid w:val="0088502B"/>
    <w:rsid w:val="00885D40"/>
    <w:rsid w:val="008873D4"/>
    <w:rsid w:val="008902A5"/>
    <w:rsid w:val="00890CB1"/>
    <w:rsid w:val="00891EDF"/>
    <w:rsid w:val="00892872"/>
    <w:rsid w:val="0089296D"/>
    <w:rsid w:val="00893E85"/>
    <w:rsid w:val="00893EBE"/>
    <w:rsid w:val="00894031"/>
    <w:rsid w:val="00894C5D"/>
    <w:rsid w:val="00895508"/>
    <w:rsid w:val="00895797"/>
    <w:rsid w:val="008967E9"/>
    <w:rsid w:val="00896A5C"/>
    <w:rsid w:val="00897155"/>
    <w:rsid w:val="008972D2"/>
    <w:rsid w:val="0089754C"/>
    <w:rsid w:val="00897CFA"/>
    <w:rsid w:val="008A0659"/>
    <w:rsid w:val="008A0ADD"/>
    <w:rsid w:val="008A0D27"/>
    <w:rsid w:val="008A1C59"/>
    <w:rsid w:val="008A2254"/>
    <w:rsid w:val="008A37E2"/>
    <w:rsid w:val="008A388E"/>
    <w:rsid w:val="008A394E"/>
    <w:rsid w:val="008A3CBA"/>
    <w:rsid w:val="008A4B59"/>
    <w:rsid w:val="008A63E1"/>
    <w:rsid w:val="008A66B7"/>
    <w:rsid w:val="008A68BB"/>
    <w:rsid w:val="008A6AA5"/>
    <w:rsid w:val="008A7127"/>
    <w:rsid w:val="008B02E7"/>
    <w:rsid w:val="008B0CBA"/>
    <w:rsid w:val="008B1850"/>
    <w:rsid w:val="008B2639"/>
    <w:rsid w:val="008B3537"/>
    <w:rsid w:val="008B35C1"/>
    <w:rsid w:val="008B3690"/>
    <w:rsid w:val="008B3A80"/>
    <w:rsid w:val="008B3AEC"/>
    <w:rsid w:val="008B3C07"/>
    <w:rsid w:val="008B3C6E"/>
    <w:rsid w:val="008B3F7B"/>
    <w:rsid w:val="008B43CA"/>
    <w:rsid w:val="008B5324"/>
    <w:rsid w:val="008B5C99"/>
    <w:rsid w:val="008B6106"/>
    <w:rsid w:val="008B7C02"/>
    <w:rsid w:val="008B7D2B"/>
    <w:rsid w:val="008B7EF9"/>
    <w:rsid w:val="008C0049"/>
    <w:rsid w:val="008C025A"/>
    <w:rsid w:val="008C0314"/>
    <w:rsid w:val="008C0E88"/>
    <w:rsid w:val="008C0EBE"/>
    <w:rsid w:val="008C1717"/>
    <w:rsid w:val="008C17F0"/>
    <w:rsid w:val="008C3A32"/>
    <w:rsid w:val="008C3B05"/>
    <w:rsid w:val="008C4B50"/>
    <w:rsid w:val="008C5A37"/>
    <w:rsid w:val="008C7569"/>
    <w:rsid w:val="008C79C3"/>
    <w:rsid w:val="008D006F"/>
    <w:rsid w:val="008D033D"/>
    <w:rsid w:val="008D06A2"/>
    <w:rsid w:val="008D0DBD"/>
    <w:rsid w:val="008D117E"/>
    <w:rsid w:val="008D127E"/>
    <w:rsid w:val="008D1CA8"/>
    <w:rsid w:val="008D1E0A"/>
    <w:rsid w:val="008D1E6A"/>
    <w:rsid w:val="008D2407"/>
    <w:rsid w:val="008D2A16"/>
    <w:rsid w:val="008D2AEC"/>
    <w:rsid w:val="008D3295"/>
    <w:rsid w:val="008D33F5"/>
    <w:rsid w:val="008D35E4"/>
    <w:rsid w:val="008D3ACD"/>
    <w:rsid w:val="008D3D21"/>
    <w:rsid w:val="008D6C3A"/>
    <w:rsid w:val="008D70E2"/>
    <w:rsid w:val="008D7F47"/>
    <w:rsid w:val="008E0001"/>
    <w:rsid w:val="008E039E"/>
    <w:rsid w:val="008E292B"/>
    <w:rsid w:val="008E2C57"/>
    <w:rsid w:val="008E31FF"/>
    <w:rsid w:val="008E3287"/>
    <w:rsid w:val="008E38E4"/>
    <w:rsid w:val="008E3DFA"/>
    <w:rsid w:val="008E419B"/>
    <w:rsid w:val="008E51EB"/>
    <w:rsid w:val="008E5746"/>
    <w:rsid w:val="008E64D7"/>
    <w:rsid w:val="008E6DCB"/>
    <w:rsid w:val="008E6E5D"/>
    <w:rsid w:val="008E6F06"/>
    <w:rsid w:val="008E7000"/>
    <w:rsid w:val="008E723E"/>
    <w:rsid w:val="008E7B8E"/>
    <w:rsid w:val="008E7FC9"/>
    <w:rsid w:val="008F0107"/>
    <w:rsid w:val="008F029B"/>
    <w:rsid w:val="008F0589"/>
    <w:rsid w:val="008F130B"/>
    <w:rsid w:val="008F2A5D"/>
    <w:rsid w:val="008F2BC7"/>
    <w:rsid w:val="008F2E83"/>
    <w:rsid w:val="008F3636"/>
    <w:rsid w:val="008F3FC9"/>
    <w:rsid w:val="008F418F"/>
    <w:rsid w:val="008F509F"/>
    <w:rsid w:val="008F525A"/>
    <w:rsid w:val="008F5383"/>
    <w:rsid w:val="008F585B"/>
    <w:rsid w:val="008F7FB0"/>
    <w:rsid w:val="009003A8"/>
    <w:rsid w:val="009005E4"/>
    <w:rsid w:val="00900977"/>
    <w:rsid w:val="009021DA"/>
    <w:rsid w:val="00902500"/>
    <w:rsid w:val="00902EFF"/>
    <w:rsid w:val="00903A8E"/>
    <w:rsid w:val="0090432C"/>
    <w:rsid w:val="00904F96"/>
    <w:rsid w:val="009052A3"/>
    <w:rsid w:val="00905314"/>
    <w:rsid w:val="009056D7"/>
    <w:rsid w:val="00905B8D"/>
    <w:rsid w:val="00906401"/>
    <w:rsid w:val="009065CB"/>
    <w:rsid w:val="009067EA"/>
    <w:rsid w:val="00906B79"/>
    <w:rsid w:val="0090786F"/>
    <w:rsid w:val="0091001E"/>
    <w:rsid w:val="00910C18"/>
    <w:rsid w:val="009110F7"/>
    <w:rsid w:val="009112E3"/>
    <w:rsid w:val="0091155E"/>
    <w:rsid w:val="00912437"/>
    <w:rsid w:val="00912A92"/>
    <w:rsid w:val="00913237"/>
    <w:rsid w:val="00913B36"/>
    <w:rsid w:val="0091476D"/>
    <w:rsid w:val="00915D07"/>
    <w:rsid w:val="009162AE"/>
    <w:rsid w:val="00917154"/>
    <w:rsid w:val="00917251"/>
    <w:rsid w:val="0091728D"/>
    <w:rsid w:val="0092036B"/>
    <w:rsid w:val="009203CC"/>
    <w:rsid w:val="00920EC4"/>
    <w:rsid w:val="0092180B"/>
    <w:rsid w:val="00921F14"/>
    <w:rsid w:val="0092292F"/>
    <w:rsid w:val="00922D28"/>
    <w:rsid w:val="00923CB0"/>
    <w:rsid w:val="00923D8C"/>
    <w:rsid w:val="00924871"/>
    <w:rsid w:val="00924AC8"/>
    <w:rsid w:val="00925429"/>
    <w:rsid w:val="00925615"/>
    <w:rsid w:val="0092597A"/>
    <w:rsid w:val="00926520"/>
    <w:rsid w:val="00926CF0"/>
    <w:rsid w:val="009273A9"/>
    <w:rsid w:val="00930251"/>
    <w:rsid w:val="0093033E"/>
    <w:rsid w:val="009305FC"/>
    <w:rsid w:val="00930FB1"/>
    <w:rsid w:val="0093139F"/>
    <w:rsid w:val="00932239"/>
    <w:rsid w:val="00932443"/>
    <w:rsid w:val="00932B32"/>
    <w:rsid w:val="0093305E"/>
    <w:rsid w:val="00933F4A"/>
    <w:rsid w:val="009341F1"/>
    <w:rsid w:val="00934FF2"/>
    <w:rsid w:val="009358D7"/>
    <w:rsid w:val="00935BD4"/>
    <w:rsid w:val="00935DFE"/>
    <w:rsid w:val="00935F70"/>
    <w:rsid w:val="009360FA"/>
    <w:rsid w:val="0093648B"/>
    <w:rsid w:val="00937017"/>
    <w:rsid w:val="009373B2"/>
    <w:rsid w:val="00937AE2"/>
    <w:rsid w:val="0094061F"/>
    <w:rsid w:val="00940F0F"/>
    <w:rsid w:val="00941912"/>
    <w:rsid w:val="0094416B"/>
    <w:rsid w:val="0094427A"/>
    <w:rsid w:val="009449C6"/>
    <w:rsid w:val="00944C7C"/>
    <w:rsid w:val="00945245"/>
    <w:rsid w:val="00945523"/>
    <w:rsid w:val="00946C43"/>
    <w:rsid w:val="00950921"/>
    <w:rsid w:val="00951D68"/>
    <w:rsid w:val="00951E5B"/>
    <w:rsid w:val="00952050"/>
    <w:rsid w:val="00952315"/>
    <w:rsid w:val="009523D9"/>
    <w:rsid w:val="00952B7B"/>
    <w:rsid w:val="0095357B"/>
    <w:rsid w:val="009538B3"/>
    <w:rsid w:val="00954F39"/>
    <w:rsid w:val="009555FD"/>
    <w:rsid w:val="00955BAD"/>
    <w:rsid w:val="0095664B"/>
    <w:rsid w:val="009568DC"/>
    <w:rsid w:val="00956B8B"/>
    <w:rsid w:val="00957140"/>
    <w:rsid w:val="00957445"/>
    <w:rsid w:val="0095759C"/>
    <w:rsid w:val="009618EE"/>
    <w:rsid w:val="00961DDD"/>
    <w:rsid w:val="009624D2"/>
    <w:rsid w:val="009628D9"/>
    <w:rsid w:val="009637AE"/>
    <w:rsid w:val="00963A06"/>
    <w:rsid w:val="00964068"/>
    <w:rsid w:val="009640F6"/>
    <w:rsid w:val="0096469D"/>
    <w:rsid w:val="00964776"/>
    <w:rsid w:val="00964A4E"/>
    <w:rsid w:val="00964B35"/>
    <w:rsid w:val="009651C7"/>
    <w:rsid w:val="00965797"/>
    <w:rsid w:val="00965A10"/>
    <w:rsid w:val="00965AD0"/>
    <w:rsid w:val="009670A3"/>
    <w:rsid w:val="009674BE"/>
    <w:rsid w:val="00970FB5"/>
    <w:rsid w:val="00971710"/>
    <w:rsid w:val="00971B87"/>
    <w:rsid w:val="00971C77"/>
    <w:rsid w:val="0097203A"/>
    <w:rsid w:val="00972FCD"/>
    <w:rsid w:val="00973324"/>
    <w:rsid w:val="009736DF"/>
    <w:rsid w:val="009741AE"/>
    <w:rsid w:val="009741FC"/>
    <w:rsid w:val="00974782"/>
    <w:rsid w:val="00974923"/>
    <w:rsid w:val="00975909"/>
    <w:rsid w:val="00977C33"/>
    <w:rsid w:val="00977C3D"/>
    <w:rsid w:val="00980D3D"/>
    <w:rsid w:val="0098103E"/>
    <w:rsid w:val="0098157D"/>
    <w:rsid w:val="00983101"/>
    <w:rsid w:val="00983E41"/>
    <w:rsid w:val="009845E1"/>
    <w:rsid w:val="00984CE5"/>
    <w:rsid w:val="00984D1B"/>
    <w:rsid w:val="00986246"/>
    <w:rsid w:val="00987A30"/>
    <w:rsid w:val="00990312"/>
    <w:rsid w:val="009908AF"/>
    <w:rsid w:val="0099182E"/>
    <w:rsid w:val="00991D45"/>
    <w:rsid w:val="00992B49"/>
    <w:rsid w:val="00992BB3"/>
    <w:rsid w:val="00992CF3"/>
    <w:rsid w:val="00993194"/>
    <w:rsid w:val="0099321E"/>
    <w:rsid w:val="00993ECA"/>
    <w:rsid w:val="00994171"/>
    <w:rsid w:val="00994868"/>
    <w:rsid w:val="00994976"/>
    <w:rsid w:val="00994D28"/>
    <w:rsid w:val="00994F2C"/>
    <w:rsid w:val="00995720"/>
    <w:rsid w:val="009957CC"/>
    <w:rsid w:val="009968D6"/>
    <w:rsid w:val="00997953"/>
    <w:rsid w:val="00997D55"/>
    <w:rsid w:val="009A0BFF"/>
    <w:rsid w:val="009A10A0"/>
    <w:rsid w:val="009A12B7"/>
    <w:rsid w:val="009A1CAB"/>
    <w:rsid w:val="009A2359"/>
    <w:rsid w:val="009A24F1"/>
    <w:rsid w:val="009A27E0"/>
    <w:rsid w:val="009A4D57"/>
    <w:rsid w:val="009A51A5"/>
    <w:rsid w:val="009A5309"/>
    <w:rsid w:val="009A5759"/>
    <w:rsid w:val="009A60D1"/>
    <w:rsid w:val="009A6225"/>
    <w:rsid w:val="009A64F5"/>
    <w:rsid w:val="009B00D2"/>
    <w:rsid w:val="009B05B3"/>
    <w:rsid w:val="009B07C8"/>
    <w:rsid w:val="009B0CAF"/>
    <w:rsid w:val="009B1324"/>
    <w:rsid w:val="009B2558"/>
    <w:rsid w:val="009B284F"/>
    <w:rsid w:val="009B3764"/>
    <w:rsid w:val="009B3840"/>
    <w:rsid w:val="009B52AC"/>
    <w:rsid w:val="009B553D"/>
    <w:rsid w:val="009B59EA"/>
    <w:rsid w:val="009B5B6E"/>
    <w:rsid w:val="009B66CE"/>
    <w:rsid w:val="009B6FD3"/>
    <w:rsid w:val="009B72BE"/>
    <w:rsid w:val="009B78A4"/>
    <w:rsid w:val="009B7DB2"/>
    <w:rsid w:val="009C03DB"/>
    <w:rsid w:val="009C15AF"/>
    <w:rsid w:val="009C1750"/>
    <w:rsid w:val="009C2E29"/>
    <w:rsid w:val="009C3E8F"/>
    <w:rsid w:val="009C554B"/>
    <w:rsid w:val="009C5E83"/>
    <w:rsid w:val="009C66F8"/>
    <w:rsid w:val="009C7126"/>
    <w:rsid w:val="009C719E"/>
    <w:rsid w:val="009C7799"/>
    <w:rsid w:val="009D07A9"/>
    <w:rsid w:val="009D0AE2"/>
    <w:rsid w:val="009D0D9F"/>
    <w:rsid w:val="009D0EBB"/>
    <w:rsid w:val="009D2C46"/>
    <w:rsid w:val="009D3ACD"/>
    <w:rsid w:val="009D4254"/>
    <w:rsid w:val="009D4F21"/>
    <w:rsid w:val="009D587D"/>
    <w:rsid w:val="009D6EA6"/>
    <w:rsid w:val="009D7731"/>
    <w:rsid w:val="009D78C3"/>
    <w:rsid w:val="009E1120"/>
    <w:rsid w:val="009E1393"/>
    <w:rsid w:val="009E1922"/>
    <w:rsid w:val="009E1A3D"/>
    <w:rsid w:val="009E4715"/>
    <w:rsid w:val="009E4A58"/>
    <w:rsid w:val="009E5273"/>
    <w:rsid w:val="009E57A8"/>
    <w:rsid w:val="009E5B85"/>
    <w:rsid w:val="009E5DDB"/>
    <w:rsid w:val="009F032E"/>
    <w:rsid w:val="009F1CA6"/>
    <w:rsid w:val="009F2921"/>
    <w:rsid w:val="009F3063"/>
    <w:rsid w:val="009F42CF"/>
    <w:rsid w:val="009F4982"/>
    <w:rsid w:val="009F4CA7"/>
    <w:rsid w:val="009F4F6A"/>
    <w:rsid w:val="009F55BA"/>
    <w:rsid w:val="009F7D36"/>
    <w:rsid w:val="009F7D61"/>
    <w:rsid w:val="00A00470"/>
    <w:rsid w:val="00A00E71"/>
    <w:rsid w:val="00A0187B"/>
    <w:rsid w:val="00A02E8B"/>
    <w:rsid w:val="00A0306F"/>
    <w:rsid w:val="00A03511"/>
    <w:rsid w:val="00A03B10"/>
    <w:rsid w:val="00A03E2E"/>
    <w:rsid w:val="00A04616"/>
    <w:rsid w:val="00A04717"/>
    <w:rsid w:val="00A05D8F"/>
    <w:rsid w:val="00A05EB1"/>
    <w:rsid w:val="00A05EE4"/>
    <w:rsid w:val="00A06F99"/>
    <w:rsid w:val="00A1053B"/>
    <w:rsid w:val="00A10D66"/>
    <w:rsid w:val="00A113A4"/>
    <w:rsid w:val="00A12A8E"/>
    <w:rsid w:val="00A133F9"/>
    <w:rsid w:val="00A14114"/>
    <w:rsid w:val="00A16413"/>
    <w:rsid w:val="00A16545"/>
    <w:rsid w:val="00A16A1A"/>
    <w:rsid w:val="00A16A9F"/>
    <w:rsid w:val="00A16AED"/>
    <w:rsid w:val="00A16BD3"/>
    <w:rsid w:val="00A16C37"/>
    <w:rsid w:val="00A16E1D"/>
    <w:rsid w:val="00A171D5"/>
    <w:rsid w:val="00A17A15"/>
    <w:rsid w:val="00A17A37"/>
    <w:rsid w:val="00A17D5B"/>
    <w:rsid w:val="00A2016A"/>
    <w:rsid w:val="00A201E1"/>
    <w:rsid w:val="00A2028B"/>
    <w:rsid w:val="00A20FE1"/>
    <w:rsid w:val="00A2102F"/>
    <w:rsid w:val="00A21B4D"/>
    <w:rsid w:val="00A22073"/>
    <w:rsid w:val="00A223E0"/>
    <w:rsid w:val="00A22959"/>
    <w:rsid w:val="00A23158"/>
    <w:rsid w:val="00A232D7"/>
    <w:rsid w:val="00A23847"/>
    <w:rsid w:val="00A23E43"/>
    <w:rsid w:val="00A24726"/>
    <w:rsid w:val="00A24DEB"/>
    <w:rsid w:val="00A24ED9"/>
    <w:rsid w:val="00A251DB"/>
    <w:rsid w:val="00A25216"/>
    <w:rsid w:val="00A2597D"/>
    <w:rsid w:val="00A25FC3"/>
    <w:rsid w:val="00A2628E"/>
    <w:rsid w:val="00A266BF"/>
    <w:rsid w:val="00A26777"/>
    <w:rsid w:val="00A269AB"/>
    <w:rsid w:val="00A2731E"/>
    <w:rsid w:val="00A309AC"/>
    <w:rsid w:val="00A30EA4"/>
    <w:rsid w:val="00A30F65"/>
    <w:rsid w:val="00A315D0"/>
    <w:rsid w:val="00A3279E"/>
    <w:rsid w:val="00A33DB1"/>
    <w:rsid w:val="00A33EEB"/>
    <w:rsid w:val="00A351C8"/>
    <w:rsid w:val="00A35900"/>
    <w:rsid w:val="00A35F33"/>
    <w:rsid w:val="00A401A3"/>
    <w:rsid w:val="00A40EAC"/>
    <w:rsid w:val="00A418BC"/>
    <w:rsid w:val="00A419FF"/>
    <w:rsid w:val="00A41FCF"/>
    <w:rsid w:val="00A42936"/>
    <w:rsid w:val="00A43CF8"/>
    <w:rsid w:val="00A43DF2"/>
    <w:rsid w:val="00A445A8"/>
    <w:rsid w:val="00A44B0D"/>
    <w:rsid w:val="00A44D21"/>
    <w:rsid w:val="00A45087"/>
    <w:rsid w:val="00A45489"/>
    <w:rsid w:val="00A45858"/>
    <w:rsid w:val="00A45CED"/>
    <w:rsid w:val="00A465E9"/>
    <w:rsid w:val="00A468E7"/>
    <w:rsid w:val="00A46DE0"/>
    <w:rsid w:val="00A47240"/>
    <w:rsid w:val="00A478BA"/>
    <w:rsid w:val="00A50D73"/>
    <w:rsid w:val="00A518BB"/>
    <w:rsid w:val="00A52A88"/>
    <w:rsid w:val="00A52CAD"/>
    <w:rsid w:val="00A53340"/>
    <w:rsid w:val="00A53FC7"/>
    <w:rsid w:val="00A55569"/>
    <w:rsid w:val="00A55C36"/>
    <w:rsid w:val="00A5661B"/>
    <w:rsid w:val="00A566A0"/>
    <w:rsid w:val="00A601E7"/>
    <w:rsid w:val="00A60AC1"/>
    <w:rsid w:val="00A62162"/>
    <w:rsid w:val="00A626FF"/>
    <w:rsid w:val="00A62CE1"/>
    <w:rsid w:val="00A65469"/>
    <w:rsid w:val="00A65528"/>
    <w:rsid w:val="00A655D3"/>
    <w:rsid w:val="00A662D9"/>
    <w:rsid w:val="00A6630C"/>
    <w:rsid w:val="00A6741E"/>
    <w:rsid w:val="00A67E29"/>
    <w:rsid w:val="00A7016A"/>
    <w:rsid w:val="00A7018D"/>
    <w:rsid w:val="00A7191D"/>
    <w:rsid w:val="00A722F9"/>
    <w:rsid w:val="00A72D42"/>
    <w:rsid w:val="00A746C9"/>
    <w:rsid w:val="00A74C2A"/>
    <w:rsid w:val="00A75E40"/>
    <w:rsid w:val="00A76818"/>
    <w:rsid w:val="00A77D1D"/>
    <w:rsid w:val="00A77E6B"/>
    <w:rsid w:val="00A809AD"/>
    <w:rsid w:val="00A81652"/>
    <w:rsid w:val="00A82BF0"/>
    <w:rsid w:val="00A82C91"/>
    <w:rsid w:val="00A83150"/>
    <w:rsid w:val="00A83398"/>
    <w:rsid w:val="00A83D6E"/>
    <w:rsid w:val="00A83FD5"/>
    <w:rsid w:val="00A8521A"/>
    <w:rsid w:val="00A857C0"/>
    <w:rsid w:val="00A85ACB"/>
    <w:rsid w:val="00A9036F"/>
    <w:rsid w:val="00A9092B"/>
    <w:rsid w:val="00A90F2C"/>
    <w:rsid w:val="00A90FED"/>
    <w:rsid w:val="00A91482"/>
    <w:rsid w:val="00A9189D"/>
    <w:rsid w:val="00A91E71"/>
    <w:rsid w:val="00A91EAD"/>
    <w:rsid w:val="00A925B1"/>
    <w:rsid w:val="00A92A3E"/>
    <w:rsid w:val="00A934F9"/>
    <w:rsid w:val="00A940E3"/>
    <w:rsid w:val="00A94983"/>
    <w:rsid w:val="00A9532C"/>
    <w:rsid w:val="00A95F1A"/>
    <w:rsid w:val="00A96116"/>
    <w:rsid w:val="00A9614E"/>
    <w:rsid w:val="00A96422"/>
    <w:rsid w:val="00A96C0F"/>
    <w:rsid w:val="00A97075"/>
    <w:rsid w:val="00AA0E80"/>
    <w:rsid w:val="00AA16F4"/>
    <w:rsid w:val="00AA17CD"/>
    <w:rsid w:val="00AA1D85"/>
    <w:rsid w:val="00AA212B"/>
    <w:rsid w:val="00AA212F"/>
    <w:rsid w:val="00AA26A9"/>
    <w:rsid w:val="00AA2996"/>
    <w:rsid w:val="00AA2AF4"/>
    <w:rsid w:val="00AA4282"/>
    <w:rsid w:val="00AA43F2"/>
    <w:rsid w:val="00AA4790"/>
    <w:rsid w:val="00AA49E1"/>
    <w:rsid w:val="00AA52BF"/>
    <w:rsid w:val="00AA559A"/>
    <w:rsid w:val="00AA6C31"/>
    <w:rsid w:val="00AA7752"/>
    <w:rsid w:val="00AA7CE8"/>
    <w:rsid w:val="00AB1457"/>
    <w:rsid w:val="00AB2AF1"/>
    <w:rsid w:val="00AB32CB"/>
    <w:rsid w:val="00AB3AD7"/>
    <w:rsid w:val="00AB3BA7"/>
    <w:rsid w:val="00AB3EC7"/>
    <w:rsid w:val="00AB5A64"/>
    <w:rsid w:val="00AB5CA1"/>
    <w:rsid w:val="00AB6456"/>
    <w:rsid w:val="00AB75C5"/>
    <w:rsid w:val="00AC044E"/>
    <w:rsid w:val="00AC2118"/>
    <w:rsid w:val="00AC2395"/>
    <w:rsid w:val="00AC2960"/>
    <w:rsid w:val="00AC2AC4"/>
    <w:rsid w:val="00AC4284"/>
    <w:rsid w:val="00AC45BD"/>
    <w:rsid w:val="00AC50BB"/>
    <w:rsid w:val="00AC5256"/>
    <w:rsid w:val="00AC78F1"/>
    <w:rsid w:val="00AC7B96"/>
    <w:rsid w:val="00AD0B22"/>
    <w:rsid w:val="00AD0EE7"/>
    <w:rsid w:val="00AD168E"/>
    <w:rsid w:val="00AD306C"/>
    <w:rsid w:val="00AD44CD"/>
    <w:rsid w:val="00AD47A7"/>
    <w:rsid w:val="00AD5AD2"/>
    <w:rsid w:val="00AD6462"/>
    <w:rsid w:val="00AD66C5"/>
    <w:rsid w:val="00AD68C4"/>
    <w:rsid w:val="00AD71F9"/>
    <w:rsid w:val="00AE09B3"/>
    <w:rsid w:val="00AE1A83"/>
    <w:rsid w:val="00AE2A78"/>
    <w:rsid w:val="00AE30BE"/>
    <w:rsid w:val="00AE3E6A"/>
    <w:rsid w:val="00AE417E"/>
    <w:rsid w:val="00AE56EE"/>
    <w:rsid w:val="00AE6414"/>
    <w:rsid w:val="00AE7269"/>
    <w:rsid w:val="00AE797C"/>
    <w:rsid w:val="00AE7CE7"/>
    <w:rsid w:val="00AE7FAB"/>
    <w:rsid w:val="00AF0DE4"/>
    <w:rsid w:val="00AF12A0"/>
    <w:rsid w:val="00AF1E87"/>
    <w:rsid w:val="00AF422A"/>
    <w:rsid w:val="00AF436B"/>
    <w:rsid w:val="00AF5179"/>
    <w:rsid w:val="00AF5CC2"/>
    <w:rsid w:val="00AF660D"/>
    <w:rsid w:val="00AF6776"/>
    <w:rsid w:val="00AF6F98"/>
    <w:rsid w:val="00AF7277"/>
    <w:rsid w:val="00B00550"/>
    <w:rsid w:val="00B00913"/>
    <w:rsid w:val="00B00D4D"/>
    <w:rsid w:val="00B01593"/>
    <w:rsid w:val="00B01D0F"/>
    <w:rsid w:val="00B01FF9"/>
    <w:rsid w:val="00B023F2"/>
    <w:rsid w:val="00B026FE"/>
    <w:rsid w:val="00B0271F"/>
    <w:rsid w:val="00B038CA"/>
    <w:rsid w:val="00B05F00"/>
    <w:rsid w:val="00B06DB4"/>
    <w:rsid w:val="00B0750D"/>
    <w:rsid w:val="00B07850"/>
    <w:rsid w:val="00B0799C"/>
    <w:rsid w:val="00B102CE"/>
    <w:rsid w:val="00B10A4D"/>
    <w:rsid w:val="00B10C90"/>
    <w:rsid w:val="00B11002"/>
    <w:rsid w:val="00B1114F"/>
    <w:rsid w:val="00B121B2"/>
    <w:rsid w:val="00B131B1"/>
    <w:rsid w:val="00B141B6"/>
    <w:rsid w:val="00B14BC1"/>
    <w:rsid w:val="00B154DE"/>
    <w:rsid w:val="00B162C3"/>
    <w:rsid w:val="00B16DD1"/>
    <w:rsid w:val="00B16EB8"/>
    <w:rsid w:val="00B1700A"/>
    <w:rsid w:val="00B17E71"/>
    <w:rsid w:val="00B17FDE"/>
    <w:rsid w:val="00B20632"/>
    <w:rsid w:val="00B2379C"/>
    <w:rsid w:val="00B23D5D"/>
    <w:rsid w:val="00B23E6E"/>
    <w:rsid w:val="00B2450C"/>
    <w:rsid w:val="00B2687D"/>
    <w:rsid w:val="00B27EC6"/>
    <w:rsid w:val="00B3108D"/>
    <w:rsid w:val="00B32DDB"/>
    <w:rsid w:val="00B32F57"/>
    <w:rsid w:val="00B3345C"/>
    <w:rsid w:val="00B343C4"/>
    <w:rsid w:val="00B34528"/>
    <w:rsid w:val="00B34750"/>
    <w:rsid w:val="00B34CC9"/>
    <w:rsid w:val="00B34CDA"/>
    <w:rsid w:val="00B35160"/>
    <w:rsid w:val="00B3563B"/>
    <w:rsid w:val="00B36BDC"/>
    <w:rsid w:val="00B37D3A"/>
    <w:rsid w:val="00B37D96"/>
    <w:rsid w:val="00B402FC"/>
    <w:rsid w:val="00B422E2"/>
    <w:rsid w:val="00B42517"/>
    <w:rsid w:val="00B42902"/>
    <w:rsid w:val="00B42D5F"/>
    <w:rsid w:val="00B43216"/>
    <w:rsid w:val="00B439DA"/>
    <w:rsid w:val="00B4411A"/>
    <w:rsid w:val="00B45FE8"/>
    <w:rsid w:val="00B46604"/>
    <w:rsid w:val="00B47089"/>
    <w:rsid w:val="00B47587"/>
    <w:rsid w:val="00B5150A"/>
    <w:rsid w:val="00B52151"/>
    <w:rsid w:val="00B530CD"/>
    <w:rsid w:val="00B53639"/>
    <w:rsid w:val="00B53C7D"/>
    <w:rsid w:val="00B53E56"/>
    <w:rsid w:val="00B55311"/>
    <w:rsid w:val="00B55A97"/>
    <w:rsid w:val="00B55F5E"/>
    <w:rsid w:val="00B5601B"/>
    <w:rsid w:val="00B5642C"/>
    <w:rsid w:val="00B5658D"/>
    <w:rsid w:val="00B56B6F"/>
    <w:rsid w:val="00B5752E"/>
    <w:rsid w:val="00B60AC1"/>
    <w:rsid w:val="00B61FF6"/>
    <w:rsid w:val="00B62316"/>
    <w:rsid w:val="00B6274C"/>
    <w:rsid w:val="00B63A11"/>
    <w:rsid w:val="00B64425"/>
    <w:rsid w:val="00B64C24"/>
    <w:rsid w:val="00B64E72"/>
    <w:rsid w:val="00B65CEF"/>
    <w:rsid w:val="00B6608F"/>
    <w:rsid w:val="00B674C7"/>
    <w:rsid w:val="00B67749"/>
    <w:rsid w:val="00B679FB"/>
    <w:rsid w:val="00B71FBF"/>
    <w:rsid w:val="00B734A0"/>
    <w:rsid w:val="00B73A14"/>
    <w:rsid w:val="00B73FE8"/>
    <w:rsid w:val="00B748BD"/>
    <w:rsid w:val="00B74964"/>
    <w:rsid w:val="00B76100"/>
    <w:rsid w:val="00B7680F"/>
    <w:rsid w:val="00B76B48"/>
    <w:rsid w:val="00B76D1E"/>
    <w:rsid w:val="00B77543"/>
    <w:rsid w:val="00B77584"/>
    <w:rsid w:val="00B77E34"/>
    <w:rsid w:val="00B80D44"/>
    <w:rsid w:val="00B80D89"/>
    <w:rsid w:val="00B80EC6"/>
    <w:rsid w:val="00B81288"/>
    <w:rsid w:val="00B81D70"/>
    <w:rsid w:val="00B833B9"/>
    <w:rsid w:val="00B83AAF"/>
    <w:rsid w:val="00B83E07"/>
    <w:rsid w:val="00B84CF6"/>
    <w:rsid w:val="00B85016"/>
    <w:rsid w:val="00B8561A"/>
    <w:rsid w:val="00B86628"/>
    <w:rsid w:val="00B86643"/>
    <w:rsid w:val="00B868F7"/>
    <w:rsid w:val="00B86EB1"/>
    <w:rsid w:val="00B871A7"/>
    <w:rsid w:val="00B90131"/>
    <w:rsid w:val="00B92951"/>
    <w:rsid w:val="00B92D1D"/>
    <w:rsid w:val="00B92D7E"/>
    <w:rsid w:val="00B930CE"/>
    <w:rsid w:val="00B938C5"/>
    <w:rsid w:val="00B940A8"/>
    <w:rsid w:val="00B9554A"/>
    <w:rsid w:val="00B95940"/>
    <w:rsid w:val="00B95ACA"/>
    <w:rsid w:val="00B95C12"/>
    <w:rsid w:val="00B96D74"/>
    <w:rsid w:val="00B9720E"/>
    <w:rsid w:val="00B97ACC"/>
    <w:rsid w:val="00B97F3A"/>
    <w:rsid w:val="00B97FE2"/>
    <w:rsid w:val="00BA0E0B"/>
    <w:rsid w:val="00BA201A"/>
    <w:rsid w:val="00BA21DF"/>
    <w:rsid w:val="00BA361D"/>
    <w:rsid w:val="00BA3787"/>
    <w:rsid w:val="00BA403A"/>
    <w:rsid w:val="00BA46E8"/>
    <w:rsid w:val="00BA49DB"/>
    <w:rsid w:val="00BA4AE9"/>
    <w:rsid w:val="00BA4E19"/>
    <w:rsid w:val="00BA6436"/>
    <w:rsid w:val="00BA64F2"/>
    <w:rsid w:val="00BA684E"/>
    <w:rsid w:val="00BA6C2B"/>
    <w:rsid w:val="00BA7B64"/>
    <w:rsid w:val="00BB02A3"/>
    <w:rsid w:val="00BB0351"/>
    <w:rsid w:val="00BB15C3"/>
    <w:rsid w:val="00BB1AF4"/>
    <w:rsid w:val="00BB2202"/>
    <w:rsid w:val="00BB3C6B"/>
    <w:rsid w:val="00BB3FD6"/>
    <w:rsid w:val="00BB453F"/>
    <w:rsid w:val="00BB46F3"/>
    <w:rsid w:val="00BB4A71"/>
    <w:rsid w:val="00BB4CB1"/>
    <w:rsid w:val="00BB4E47"/>
    <w:rsid w:val="00BB4F98"/>
    <w:rsid w:val="00BB50C0"/>
    <w:rsid w:val="00BB5AB2"/>
    <w:rsid w:val="00BB5ABF"/>
    <w:rsid w:val="00BB5F94"/>
    <w:rsid w:val="00BB6EA2"/>
    <w:rsid w:val="00BB7142"/>
    <w:rsid w:val="00BB76F3"/>
    <w:rsid w:val="00BB7B5B"/>
    <w:rsid w:val="00BB7EB1"/>
    <w:rsid w:val="00BC003F"/>
    <w:rsid w:val="00BC0930"/>
    <w:rsid w:val="00BC223A"/>
    <w:rsid w:val="00BC327F"/>
    <w:rsid w:val="00BC3512"/>
    <w:rsid w:val="00BC4B35"/>
    <w:rsid w:val="00BC50BE"/>
    <w:rsid w:val="00BC5332"/>
    <w:rsid w:val="00BC5715"/>
    <w:rsid w:val="00BC5C12"/>
    <w:rsid w:val="00BC641B"/>
    <w:rsid w:val="00BC7154"/>
    <w:rsid w:val="00BC731E"/>
    <w:rsid w:val="00BC7614"/>
    <w:rsid w:val="00BC7EFA"/>
    <w:rsid w:val="00BD041B"/>
    <w:rsid w:val="00BD25BB"/>
    <w:rsid w:val="00BD2AF8"/>
    <w:rsid w:val="00BD366B"/>
    <w:rsid w:val="00BD3C09"/>
    <w:rsid w:val="00BD410B"/>
    <w:rsid w:val="00BD4A73"/>
    <w:rsid w:val="00BD4EDD"/>
    <w:rsid w:val="00BD4EF4"/>
    <w:rsid w:val="00BD6659"/>
    <w:rsid w:val="00BD6C75"/>
    <w:rsid w:val="00BD6D50"/>
    <w:rsid w:val="00BD7105"/>
    <w:rsid w:val="00BD73D2"/>
    <w:rsid w:val="00BE0AD1"/>
    <w:rsid w:val="00BE0EF9"/>
    <w:rsid w:val="00BE10A1"/>
    <w:rsid w:val="00BE18B9"/>
    <w:rsid w:val="00BE190A"/>
    <w:rsid w:val="00BE2495"/>
    <w:rsid w:val="00BE24DD"/>
    <w:rsid w:val="00BE34BB"/>
    <w:rsid w:val="00BE386D"/>
    <w:rsid w:val="00BE4DA9"/>
    <w:rsid w:val="00BE54BF"/>
    <w:rsid w:val="00BE557B"/>
    <w:rsid w:val="00BE55EF"/>
    <w:rsid w:val="00BE652B"/>
    <w:rsid w:val="00BE7F5F"/>
    <w:rsid w:val="00BF02C8"/>
    <w:rsid w:val="00BF1578"/>
    <w:rsid w:val="00BF15CA"/>
    <w:rsid w:val="00BF1D12"/>
    <w:rsid w:val="00BF1D3A"/>
    <w:rsid w:val="00BF2B5B"/>
    <w:rsid w:val="00BF2D41"/>
    <w:rsid w:val="00BF3274"/>
    <w:rsid w:val="00BF32DC"/>
    <w:rsid w:val="00BF35C9"/>
    <w:rsid w:val="00BF4329"/>
    <w:rsid w:val="00BF4E43"/>
    <w:rsid w:val="00BF5C4C"/>
    <w:rsid w:val="00BF765C"/>
    <w:rsid w:val="00BF77FC"/>
    <w:rsid w:val="00C006D6"/>
    <w:rsid w:val="00C00BD7"/>
    <w:rsid w:val="00C01410"/>
    <w:rsid w:val="00C024BB"/>
    <w:rsid w:val="00C02D23"/>
    <w:rsid w:val="00C03D4D"/>
    <w:rsid w:val="00C044F4"/>
    <w:rsid w:val="00C04B78"/>
    <w:rsid w:val="00C052AA"/>
    <w:rsid w:val="00C06EE3"/>
    <w:rsid w:val="00C07279"/>
    <w:rsid w:val="00C07749"/>
    <w:rsid w:val="00C07C67"/>
    <w:rsid w:val="00C10805"/>
    <w:rsid w:val="00C11244"/>
    <w:rsid w:val="00C118A9"/>
    <w:rsid w:val="00C11D48"/>
    <w:rsid w:val="00C12304"/>
    <w:rsid w:val="00C12316"/>
    <w:rsid w:val="00C1246C"/>
    <w:rsid w:val="00C1493E"/>
    <w:rsid w:val="00C15537"/>
    <w:rsid w:val="00C15DBD"/>
    <w:rsid w:val="00C161C5"/>
    <w:rsid w:val="00C172F7"/>
    <w:rsid w:val="00C2010D"/>
    <w:rsid w:val="00C20CB5"/>
    <w:rsid w:val="00C21430"/>
    <w:rsid w:val="00C216DF"/>
    <w:rsid w:val="00C21E61"/>
    <w:rsid w:val="00C21F94"/>
    <w:rsid w:val="00C224BD"/>
    <w:rsid w:val="00C2272B"/>
    <w:rsid w:val="00C234DB"/>
    <w:rsid w:val="00C23C5C"/>
    <w:rsid w:val="00C2479A"/>
    <w:rsid w:val="00C24903"/>
    <w:rsid w:val="00C2590D"/>
    <w:rsid w:val="00C25D9C"/>
    <w:rsid w:val="00C26086"/>
    <w:rsid w:val="00C27913"/>
    <w:rsid w:val="00C27FA7"/>
    <w:rsid w:val="00C300E2"/>
    <w:rsid w:val="00C31F21"/>
    <w:rsid w:val="00C32631"/>
    <w:rsid w:val="00C33301"/>
    <w:rsid w:val="00C33311"/>
    <w:rsid w:val="00C33B68"/>
    <w:rsid w:val="00C34AD4"/>
    <w:rsid w:val="00C35570"/>
    <w:rsid w:val="00C35A2A"/>
    <w:rsid w:val="00C36A79"/>
    <w:rsid w:val="00C401A9"/>
    <w:rsid w:val="00C401D2"/>
    <w:rsid w:val="00C4031A"/>
    <w:rsid w:val="00C405D4"/>
    <w:rsid w:val="00C419D5"/>
    <w:rsid w:val="00C41D54"/>
    <w:rsid w:val="00C42EBB"/>
    <w:rsid w:val="00C435E8"/>
    <w:rsid w:val="00C4513B"/>
    <w:rsid w:val="00C475E8"/>
    <w:rsid w:val="00C50E79"/>
    <w:rsid w:val="00C5197D"/>
    <w:rsid w:val="00C525FB"/>
    <w:rsid w:val="00C527AD"/>
    <w:rsid w:val="00C5390B"/>
    <w:rsid w:val="00C54257"/>
    <w:rsid w:val="00C54697"/>
    <w:rsid w:val="00C550CE"/>
    <w:rsid w:val="00C553A5"/>
    <w:rsid w:val="00C55402"/>
    <w:rsid w:val="00C5603B"/>
    <w:rsid w:val="00C6020C"/>
    <w:rsid w:val="00C60AE3"/>
    <w:rsid w:val="00C61F47"/>
    <w:rsid w:val="00C62828"/>
    <w:rsid w:val="00C63132"/>
    <w:rsid w:val="00C655DA"/>
    <w:rsid w:val="00C672C1"/>
    <w:rsid w:val="00C706D2"/>
    <w:rsid w:val="00C715CC"/>
    <w:rsid w:val="00C719A3"/>
    <w:rsid w:val="00C71D2F"/>
    <w:rsid w:val="00C72984"/>
    <w:rsid w:val="00C73885"/>
    <w:rsid w:val="00C73C93"/>
    <w:rsid w:val="00C7435A"/>
    <w:rsid w:val="00C747B1"/>
    <w:rsid w:val="00C75510"/>
    <w:rsid w:val="00C755F9"/>
    <w:rsid w:val="00C75752"/>
    <w:rsid w:val="00C75B60"/>
    <w:rsid w:val="00C761EC"/>
    <w:rsid w:val="00C770C9"/>
    <w:rsid w:val="00C8019E"/>
    <w:rsid w:val="00C81070"/>
    <w:rsid w:val="00C8174E"/>
    <w:rsid w:val="00C82191"/>
    <w:rsid w:val="00C83134"/>
    <w:rsid w:val="00C831E7"/>
    <w:rsid w:val="00C832F3"/>
    <w:rsid w:val="00C84307"/>
    <w:rsid w:val="00C845A4"/>
    <w:rsid w:val="00C8504C"/>
    <w:rsid w:val="00C85545"/>
    <w:rsid w:val="00C855B5"/>
    <w:rsid w:val="00C85F0E"/>
    <w:rsid w:val="00C867F9"/>
    <w:rsid w:val="00C872AA"/>
    <w:rsid w:val="00C87C6B"/>
    <w:rsid w:val="00C90357"/>
    <w:rsid w:val="00C90CF4"/>
    <w:rsid w:val="00C91C20"/>
    <w:rsid w:val="00C922DE"/>
    <w:rsid w:val="00C92843"/>
    <w:rsid w:val="00C929FE"/>
    <w:rsid w:val="00C92EB6"/>
    <w:rsid w:val="00C93389"/>
    <w:rsid w:val="00C948E6"/>
    <w:rsid w:val="00C94CDD"/>
    <w:rsid w:val="00C95123"/>
    <w:rsid w:val="00C97588"/>
    <w:rsid w:val="00CA0346"/>
    <w:rsid w:val="00CA0649"/>
    <w:rsid w:val="00CA0BD5"/>
    <w:rsid w:val="00CA0DA1"/>
    <w:rsid w:val="00CA1BD6"/>
    <w:rsid w:val="00CA2D95"/>
    <w:rsid w:val="00CA37FF"/>
    <w:rsid w:val="00CA423A"/>
    <w:rsid w:val="00CA47BC"/>
    <w:rsid w:val="00CA5EAD"/>
    <w:rsid w:val="00CA6AB4"/>
    <w:rsid w:val="00CA7255"/>
    <w:rsid w:val="00CA79E2"/>
    <w:rsid w:val="00CA7E12"/>
    <w:rsid w:val="00CB111E"/>
    <w:rsid w:val="00CB1BEE"/>
    <w:rsid w:val="00CB2351"/>
    <w:rsid w:val="00CB3605"/>
    <w:rsid w:val="00CB4022"/>
    <w:rsid w:val="00CB4257"/>
    <w:rsid w:val="00CB4930"/>
    <w:rsid w:val="00CB4BA9"/>
    <w:rsid w:val="00CB4C48"/>
    <w:rsid w:val="00CB4C63"/>
    <w:rsid w:val="00CB5A48"/>
    <w:rsid w:val="00CB5E10"/>
    <w:rsid w:val="00CB613B"/>
    <w:rsid w:val="00CB6152"/>
    <w:rsid w:val="00CB64E1"/>
    <w:rsid w:val="00CB6C6F"/>
    <w:rsid w:val="00CB6E4D"/>
    <w:rsid w:val="00CC009B"/>
    <w:rsid w:val="00CC0834"/>
    <w:rsid w:val="00CC0AEA"/>
    <w:rsid w:val="00CC20FE"/>
    <w:rsid w:val="00CC225C"/>
    <w:rsid w:val="00CC2E7D"/>
    <w:rsid w:val="00CC469E"/>
    <w:rsid w:val="00CC5BE8"/>
    <w:rsid w:val="00CC612B"/>
    <w:rsid w:val="00CC655F"/>
    <w:rsid w:val="00CC66F9"/>
    <w:rsid w:val="00CC6C2A"/>
    <w:rsid w:val="00CC6FE5"/>
    <w:rsid w:val="00CC7458"/>
    <w:rsid w:val="00CC76BD"/>
    <w:rsid w:val="00CC7A87"/>
    <w:rsid w:val="00CD08BF"/>
    <w:rsid w:val="00CD0D6B"/>
    <w:rsid w:val="00CD1060"/>
    <w:rsid w:val="00CD10A5"/>
    <w:rsid w:val="00CD1129"/>
    <w:rsid w:val="00CD1A80"/>
    <w:rsid w:val="00CD1CB5"/>
    <w:rsid w:val="00CD2076"/>
    <w:rsid w:val="00CD24CE"/>
    <w:rsid w:val="00CD29B5"/>
    <w:rsid w:val="00CD2B78"/>
    <w:rsid w:val="00CD3866"/>
    <w:rsid w:val="00CD3FAB"/>
    <w:rsid w:val="00CD5456"/>
    <w:rsid w:val="00CD5C3E"/>
    <w:rsid w:val="00CD5C57"/>
    <w:rsid w:val="00CD5EE0"/>
    <w:rsid w:val="00CD6331"/>
    <w:rsid w:val="00CD7E9E"/>
    <w:rsid w:val="00CE12FB"/>
    <w:rsid w:val="00CE14BE"/>
    <w:rsid w:val="00CE17A4"/>
    <w:rsid w:val="00CE1BA9"/>
    <w:rsid w:val="00CE2D8F"/>
    <w:rsid w:val="00CE3532"/>
    <w:rsid w:val="00CE3E48"/>
    <w:rsid w:val="00CE46C0"/>
    <w:rsid w:val="00CE47B8"/>
    <w:rsid w:val="00CE54FD"/>
    <w:rsid w:val="00CE5C92"/>
    <w:rsid w:val="00CE5E12"/>
    <w:rsid w:val="00CE62FA"/>
    <w:rsid w:val="00CE670B"/>
    <w:rsid w:val="00CE6833"/>
    <w:rsid w:val="00CE7562"/>
    <w:rsid w:val="00CF020B"/>
    <w:rsid w:val="00CF0E03"/>
    <w:rsid w:val="00CF15BF"/>
    <w:rsid w:val="00CF2E4D"/>
    <w:rsid w:val="00CF35A7"/>
    <w:rsid w:val="00CF4205"/>
    <w:rsid w:val="00CF4908"/>
    <w:rsid w:val="00CF51EC"/>
    <w:rsid w:val="00CF545D"/>
    <w:rsid w:val="00CF5873"/>
    <w:rsid w:val="00CF6AB7"/>
    <w:rsid w:val="00CF73AE"/>
    <w:rsid w:val="00CF7777"/>
    <w:rsid w:val="00D0085A"/>
    <w:rsid w:val="00D0197F"/>
    <w:rsid w:val="00D01B31"/>
    <w:rsid w:val="00D0242D"/>
    <w:rsid w:val="00D02716"/>
    <w:rsid w:val="00D03A72"/>
    <w:rsid w:val="00D040DD"/>
    <w:rsid w:val="00D04134"/>
    <w:rsid w:val="00D05C65"/>
    <w:rsid w:val="00D06B56"/>
    <w:rsid w:val="00D06D68"/>
    <w:rsid w:val="00D075BE"/>
    <w:rsid w:val="00D07AFF"/>
    <w:rsid w:val="00D07CC2"/>
    <w:rsid w:val="00D10C15"/>
    <w:rsid w:val="00D11011"/>
    <w:rsid w:val="00D11476"/>
    <w:rsid w:val="00D12C25"/>
    <w:rsid w:val="00D133B4"/>
    <w:rsid w:val="00D13986"/>
    <w:rsid w:val="00D13F3E"/>
    <w:rsid w:val="00D14C5B"/>
    <w:rsid w:val="00D15D3A"/>
    <w:rsid w:val="00D15FED"/>
    <w:rsid w:val="00D16712"/>
    <w:rsid w:val="00D174E0"/>
    <w:rsid w:val="00D214EF"/>
    <w:rsid w:val="00D215B0"/>
    <w:rsid w:val="00D21B36"/>
    <w:rsid w:val="00D21D6D"/>
    <w:rsid w:val="00D21D83"/>
    <w:rsid w:val="00D22A47"/>
    <w:rsid w:val="00D235B7"/>
    <w:rsid w:val="00D23A99"/>
    <w:rsid w:val="00D23FAE"/>
    <w:rsid w:val="00D25F28"/>
    <w:rsid w:val="00D26071"/>
    <w:rsid w:val="00D260C7"/>
    <w:rsid w:val="00D26133"/>
    <w:rsid w:val="00D269B9"/>
    <w:rsid w:val="00D26E6B"/>
    <w:rsid w:val="00D27973"/>
    <w:rsid w:val="00D27F07"/>
    <w:rsid w:val="00D27F3A"/>
    <w:rsid w:val="00D31537"/>
    <w:rsid w:val="00D31E1E"/>
    <w:rsid w:val="00D322A0"/>
    <w:rsid w:val="00D32824"/>
    <w:rsid w:val="00D33297"/>
    <w:rsid w:val="00D334E2"/>
    <w:rsid w:val="00D335E5"/>
    <w:rsid w:val="00D350B1"/>
    <w:rsid w:val="00D35AD6"/>
    <w:rsid w:val="00D35BBB"/>
    <w:rsid w:val="00D35E1A"/>
    <w:rsid w:val="00D36B0A"/>
    <w:rsid w:val="00D36DFB"/>
    <w:rsid w:val="00D36E1C"/>
    <w:rsid w:val="00D373AF"/>
    <w:rsid w:val="00D40556"/>
    <w:rsid w:val="00D418E9"/>
    <w:rsid w:val="00D41F74"/>
    <w:rsid w:val="00D428C8"/>
    <w:rsid w:val="00D43034"/>
    <w:rsid w:val="00D43ED2"/>
    <w:rsid w:val="00D50F46"/>
    <w:rsid w:val="00D5302A"/>
    <w:rsid w:val="00D533C4"/>
    <w:rsid w:val="00D5384E"/>
    <w:rsid w:val="00D544E7"/>
    <w:rsid w:val="00D5499F"/>
    <w:rsid w:val="00D5560A"/>
    <w:rsid w:val="00D56FBF"/>
    <w:rsid w:val="00D57677"/>
    <w:rsid w:val="00D5781F"/>
    <w:rsid w:val="00D60415"/>
    <w:rsid w:val="00D60DAE"/>
    <w:rsid w:val="00D60E3C"/>
    <w:rsid w:val="00D60FA7"/>
    <w:rsid w:val="00D61FAB"/>
    <w:rsid w:val="00D62C4E"/>
    <w:rsid w:val="00D63BE5"/>
    <w:rsid w:val="00D6475F"/>
    <w:rsid w:val="00D652EB"/>
    <w:rsid w:val="00D655D4"/>
    <w:rsid w:val="00D66223"/>
    <w:rsid w:val="00D667B8"/>
    <w:rsid w:val="00D67D55"/>
    <w:rsid w:val="00D70289"/>
    <w:rsid w:val="00D7041F"/>
    <w:rsid w:val="00D70822"/>
    <w:rsid w:val="00D72076"/>
    <w:rsid w:val="00D721B4"/>
    <w:rsid w:val="00D726A9"/>
    <w:rsid w:val="00D72DBA"/>
    <w:rsid w:val="00D743E0"/>
    <w:rsid w:val="00D7469D"/>
    <w:rsid w:val="00D7490C"/>
    <w:rsid w:val="00D75AC1"/>
    <w:rsid w:val="00D77252"/>
    <w:rsid w:val="00D8084C"/>
    <w:rsid w:val="00D81809"/>
    <w:rsid w:val="00D82EF1"/>
    <w:rsid w:val="00D84CC9"/>
    <w:rsid w:val="00D84F43"/>
    <w:rsid w:val="00D85114"/>
    <w:rsid w:val="00D85821"/>
    <w:rsid w:val="00D8598C"/>
    <w:rsid w:val="00D87C06"/>
    <w:rsid w:val="00D915EA"/>
    <w:rsid w:val="00D919ED"/>
    <w:rsid w:val="00D922A1"/>
    <w:rsid w:val="00D928BE"/>
    <w:rsid w:val="00D92CD7"/>
    <w:rsid w:val="00D932B8"/>
    <w:rsid w:val="00D932F0"/>
    <w:rsid w:val="00D95302"/>
    <w:rsid w:val="00D95889"/>
    <w:rsid w:val="00D95C5D"/>
    <w:rsid w:val="00D95CBE"/>
    <w:rsid w:val="00D95E7F"/>
    <w:rsid w:val="00D97D00"/>
    <w:rsid w:val="00DA0121"/>
    <w:rsid w:val="00DA096C"/>
    <w:rsid w:val="00DA1AB6"/>
    <w:rsid w:val="00DA2E65"/>
    <w:rsid w:val="00DA37DE"/>
    <w:rsid w:val="00DA3ADF"/>
    <w:rsid w:val="00DA4174"/>
    <w:rsid w:val="00DA544C"/>
    <w:rsid w:val="00DA5F8E"/>
    <w:rsid w:val="00DA6364"/>
    <w:rsid w:val="00DA7114"/>
    <w:rsid w:val="00DA7C0C"/>
    <w:rsid w:val="00DA7E2F"/>
    <w:rsid w:val="00DB03DD"/>
    <w:rsid w:val="00DB08A9"/>
    <w:rsid w:val="00DB0B33"/>
    <w:rsid w:val="00DB0FD9"/>
    <w:rsid w:val="00DB13EF"/>
    <w:rsid w:val="00DB2DFA"/>
    <w:rsid w:val="00DB2EC8"/>
    <w:rsid w:val="00DB321D"/>
    <w:rsid w:val="00DB459B"/>
    <w:rsid w:val="00DB47FD"/>
    <w:rsid w:val="00DB5E3A"/>
    <w:rsid w:val="00DB5E9A"/>
    <w:rsid w:val="00DB613B"/>
    <w:rsid w:val="00DB657E"/>
    <w:rsid w:val="00DB7342"/>
    <w:rsid w:val="00DB7489"/>
    <w:rsid w:val="00DC0B4D"/>
    <w:rsid w:val="00DC0CBB"/>
    <w:rsid w:val="00DC17D0"/>
    <w:rsid w:val="00DC1E5D"/>
    <w:rsid w:val="00DC2B41"/>
    <w:rsid w:val="00DC2EA7"/>
    <w:rsid w:val="00DC3128"/>
    <w:rsid w:val="00DC435B"/>
    <w:rsid w:val="00DC4AC4"/>
    <w:rsid w:val="00DC53D8"/>
    <w:rsid w:val="00DC56FE"/>
    <w:rsid w:val="00DC5B3B"/>
    <w:rsid w:val="00DC5F11"/>
    <w:rsid w:val="00DC6C2D"/>
    <w:rsid w:val="00DC7B1A"/>
    <w:rsid w:val="00DD04B0"/>
    <w:rsid w:val="00DD129F"/>
    <w:rsid w:val="00DD13FC"/>
    <w:rsid w:val="00DD1A3F"/>
    <w:rsid w:val="00DD29B5"/>
    <w:rsid w:val="00DD32DD"/>
    <w:rsid w:val="00DD33E8"/>
    <w:rsid w:val="00DD5287"/>
    <w:rsid w:val="00DD5B36"/>
    <w:rsid w:val="00DD7849"/>
    <w:rsid w:val="00DE03DE"/>
    <w:rsid w:val="00DE0D8B"/>
    <w:rsid w:val="00DE1237"/>
    <w:rsid w:val="00DE140F"/>
    <w:rsid w:val="00DE17E9"/>
    <w:rsid w:val="00DE2491"/>
    <w:rsid w:val="00DE273F"/>
    <w:rsid w:val="00DE27CD"/>
    <w:rsid w:val="00DE3231"/>
    <w:rsid w:val="00DE3E22"/>
    <w:rsid w:val="00DE3E5D"/>
    <w:rsid w:val="00DE450F"/>
    <w:rsid w:val="00DE4865"/>
    <w:rsid w:val="00DE5CA6"/>
    <w:rsid w:val="00DE5E55"/>
    <w:rsid w:val="00DE6209"/>
    <w:rsid w:val="00DE63AE"/>
    <w:rsid w:val="00DE7156"/>
    <w:rsid w:val="00DE7AC8"/>
    <w:rsid w:val="00DF0830"/>
    <w:rsid w:val="00DF1D57"/>
    <w:rsid w:val="00DF2C5D"/>
    <w:rsid w:val="00DF2CD3"/>
    <w:rsid w:val="00DF3643"/>
    <w:rsid w:val="00DF42FF"/>
    <w:rsid w:val="00DF4369"/>
    <w:rsid w:val="00DF4423"/>
    <w:rsid w:val="00DF4ADF"/>
    <w:rsid w:val="00DF57D6"/>
    <w:rsid w:val="00DF5D1E"/>
    <w:rsid w:val="00DF77E4"/>
    <w:rsid w:val="00DF7F88"/>
    <w:rsid w:val="00E00B88"/>
    <w:rsid w:val="00E01C0E"/>
    <w:rsid w:val="00E0368F"/>
    <w:rsid w:val="00E03D73"/>
    <w:rsid w:val="00E03F9A"/>
    <w:rsid w:val="00E040DA"/>
    <w:rsid w:val="00E04694"/>
    <w:rsid w:val="00E05333"/>
    <w:rsid w:val="00E1168B"/>
    <w:rsid w:val="00E12191"/>
    <w:rsid w:val="00E129E7"/>
    <w:rsid w:val="00E12ABE"/>
    <w:rsid w:val="00E12B1E"/>
    <w:rsid w:val="00E135EB"/>
    <w:rsid w:val="00E13995"/>
    <w:rsid w:val="00E1444C"/>
    <w:rsid w:val="00E159C6"/>
    <w:rsid w:val="00E17262"/>
    <w:rsid w:val="00E17F36"/>
    <w:rsid w:val="00E20016"/>
    <w:rsid w:val="00E2009B"/>
    <w:rsid w:val="00E20BB9"/>
    <w:rsid w:val="00E20BCC"/>
    <w:rsid w:val="00E2251C"/>
    <w:rsid w:val="00E2363D"/>
    <w:rsid w:val="00E23C6A"/>
    <w:rsid w:val="00E2484B"/>
    <w:rsid w:val="00E253A2"/>
    <w:rsid w:val="00E260F6"/>
    <w:rsid w:val="00E27127"/>
    <w:rsid w:val="00E27233"/>
    <w:rsid w:val="00E274BB"/>
    <w:rsid w:val="00E30F15"/>
    <w:rsid w:val="00E31771"/>
    <w:rsid w:val="00E3186D"/>
    <w:rsid w:val="00E31A3E"/>
    <w:rsid w:val="00E32080"/>
    <w:rsid w:val="00E32778"/>
    <w:rsid w:val="00E3309D"/>
    <w:rsid w:val="00E34E3F"/>
    <w:rsid w:val="00E350B1"/>
    <w:rsid w:val="00E35A53"/>
    <w:rsid w:val="00E3634A"/>
    <w:rsid w:val="00E3656B"/>
    <w:rsid w:val="00E3712B"/>
    <w:rsid w:val="00E3724A"/>
    <w:rsid w:val="00E378B1"/>
    <w:rsid w:val="00E41131"/>
    <w:rsid w:val="00E41179"/>
    <w:rsid w:val="00E417BE"/>
    <w:rsid w:val="00E41CD5"/>
    <w:rsid w:val="00E42054"/>
    <w:rsid w:val="00E4372D"/>
    <w:rsid w:val="00E43A9E"/>
    <w:rsid w:val="00E44243"/>
    <w:rsid w:val="00E453F9"/>
    <w:rsid w:val="00E45D7D"/>
    <w:rsid w:val="00E4623F"/>
    <w:rsid w:val="00E4665D"/>
    <w:rsid w:val="00E47854"/>
    <w:rsid w:val="00E478E2"/>
    <w:rsid w:val="00E47C5D"/>
    <w:rsid w:val="00E47EBA"/>
    <w:rsid w:val="00E50156"/>
    <w:rsid w:val="00E504EB"/>
    <w:rsid w:val="00E5076C"/>
    <w:rsid w:val="00E50D2E"/>
    <w:rsid w:val="00E50D7D"/>
    <w:rsid w:val="00E51EF0"/>
    <w:rsid w:val="00E53470"/>
    <w:rsid w:val="00E5368D"/>
    <w:rsid w:val="00E539F6"/>
    <w:rsid w:val="00E54698"/>
    <w:rsid w:val="00E54BE9"/>
    <w:rsid w:val="00E54D22"/>
    <w:rsid w:val="00E54FB4"/>
    <w:rsid w:val="00E5539A"/>
    <w:rsid w:val="00E55791"/>
    <w:rsid w:val="00E55E1A"/>
    <w:rsid w:val="00E578A2"/>
    <w:rsid w:val="00E579ED"/>
    <w:rsid w:val="00E60043"/>
    <w:rsid w:val="00E61740"/>
    <w:rsid w:val="00E61EB5"/>
    <w:rsid w:val="00E6324D"/>
    <w:rsid w:val="00E647C1"/>
    <w:rsid w:val="00E65084"/>
    <w:rsid w:val="00E6519D"/>
    <w:rsid w:val="00E66062"/>
    <w:rsid w:val="00E6660E"/>
    <w:rsid w:val="00E66768"/>
    <w:rsid w:val="00E67305"/>
    <w:rsid w:val="00E67696"/>
    <w:rsid w:val="00E709AF"/>
    <w:rsid w:val="00E70C5F"/>
    <w:rsid w:val="00E71A58"/>
    <w:rsid w:val="00E728D7"/>
    <w:rsid w:val="00E72A26"/>
    <w:rsid w:val="00E72A7A"/>
    <w:rsid w:val="00E7335A"/>
    <w:rsid w:val="00E73986"/>
    <w:rsid w:val="00E7467D"/>
    <w:rsid w:val="00E747DC"/>
    <w:rsid w:val="00E74A2D"/>
    <w:rsid w:val="00E75C94"/>
    <w:rsid w:val="00E76A08"/>
    <w:rsid w:val="00E76B9B"/>
    <w:rsid w:val="00E76E61"/>
    <w:rsid w:val="00E76EE4"/>
    <w:rsid w:val="00E77CC0"/>
    <w:rsid w:val="00E80B3D"/>
    <w:rsid w:val="00E80CA3"/>
    <w:rsid w:val="00E81AAA"/>
    <w:rsid w:val="00E82618"/>
    <w:rsid w:val="00E82A42"/>
    <w:rsid w:val="00E84E09"/>
    <w:rsid w:val="00E87CE2"/>
    <w:rsid w:val="00E87D5B"/>
    <w:rsid w:val="00E90CA8"/>
    <w:rsid w:val="00E911C6"/>
    <w:rsid w:val="00E920DE"/>
    <w:rsid w:val="00E930A1"/>
    <w:rsid w:val="00E93820"/>
    <w:rsid w:val="00E94A86"/>
    <w:rsid w:val="00E951AB"/>
    <w:rsid w:val="00E953F6"/>
    <w:rsid w:val="00E96143"/>
    <w:rsid w:val="00E96833"/>
    <w:rsid w:val="00E97506"/>
    <w:rsid w:val="00E97BB5"/>
    <w:rsid w:val="00E97D5B"/>
    <w:rsid w:val="00E97F14"/>
    <w:rsid w:val="00EA0B1A"/>
    <w:rsid w:val="00EA0C68"/>
    <w:rsid w:val="00EA0E39"/>
    <w:rsid w:val="00EA1D0E"/>
    <w:rsid w:val="00EA2072"/>
    <w:rsid w:val="00EA2841"/>
    <w:rsid w:val="00EA32BC"/>
    <w:rsid w:val="00EA35A7"/>
    <w:rsid w:val="00EA3B32"/>
    <w:rsid w:val="00EA3CEB"/>
    <w:rsid w:val="00EA3D05"/>
    <w:rsid w:val="00EA4222"/>
    <w:rsid w:val="00EA4402"/>
    <w:rsid w:val="00EA4B8D"/>
    <w:rsid w:val="00EA513E"/>
    <w:rsid w:val="00EA7419"/>
    <w:rsid w:val="00EB0E32"/>
    <w:rsid w:val="00EB1CDC"/>
    <w:rsid w:val="00EB1D89"/>
    <w:rsid w:val="00EB3E60"/>
    <w:rsid w:val="00EB4511"/>
    <w:rsid w:val="00EB48D7"/>
    <w:rsid w:val="00EB49F1"/>
    <w:rsid w:val="00EB4A8E"/>
    <w:rsid w:val="00EB4BC5"/>
    <w:rsid w:val="00EB5BF7"/>
    <w:rsid w:val="00EB5E79"/>
    <w:rsid w:val="00EB6473"/>
    <w:rsid w:val="00EB6DA6"/>
    <w:rsid w:val="00EB6FAC"/>
    <w:rsid w:val="00EB7BAC"/>
    <w:rsid w:val="00EB7CC9"/>
    <w:rsid w:val="00EC03D7"/>
    <w:rsid w:val="00EC13A7"/>
    <w:rsid w:val="00EC189D"/>
    <w:rsid w:val="00EC2EB6"/>
    <w:rsid w:val="00EC4FFF"/>
    <w:rsid w:val="00EC5517"/>
    <w:rsid w:val="00EC6E8C"/>
    <w:rsid w:val="00ED0962"/>
    <w:rsid w:val="00ED0EF0"/>
    <w:rsid w:val="00ED0F73"/>
    <w:rsid w:val="00ED12B9"/>
    <w:rsid w:val="00ED16B8"/>
    <w:rsid w:val="00ED1959"/>
    <w:rsid w:val="00ED1A00"/>
    <w:rsid w:val="00ED1DF0"/>
    <w:rsid w:val="00ED2386"/>
    <w:rsid w:val="00ED2525"/>
    <w:rsid w:val="00ED2EA1"/>
    <w:rsid w:val="00ED3851"/>
    <w:rsid w:val="00ED3E51"/>
    <w:rsid w:val="00ED3F10"/>
    <w:rsid w:val="00ED3F9B"/>
    <w:rsid w:val="00ED3FB3"/>
    <w:rsid w:val="00ED4D04"/>
    <w:rsid w:val="00ED566D"/>
    <w:rsid w:val="00ED5907"/>
    <w:rsid w:val="00ED5F5B"/>
    <w:rsid w:val="00ED62C6"/>
    <w:rsid w:val="00ED64C1"/>
    <w:rsid w:val="00ED781F"/>
    <w:rsid w:val="00EE0E7E"/>
    <w:rsid w:val="00EE249F"/>
    <w:rsid w:val="00EE2EB4"/>
    <w:rsid w:val="00EE3446"/>
    <w:rsid w:val="00EE3E78"/>
    <w:rsid w:val="00EE41FD"/>
    <w:rsid w:val="00EE460E"/>
    <w:rsid w:val="00EE4B1B"/>
    <w:rsid w:val="00EE5FBA"/>
    <w:rsid w:val="00EE601C"/>
    <w:rsid w:val="00EE6A09"/>
    <w:rsid w:val="00EE6E06"/>
    <w:rsid w:val="00EE7179"/>
    <w:rsid w:val="00EF0D90"/>
    <w:rsid w:val="00EF150D"/>
    <w:rsid w:val="00EF1967"/>
    <w:rsid w:val="00EF1F5A"/>
    <w:rsid w:val="00EF23B5"/>
    <w:rsid w:val="00EF326A"/>
    <w:rsid w:val="00EF3898"/>
    <w:rsid w:val="00EF47BF"/>
    <w:rsid w:val="00EF52F7"/>
    <w:rsid w:val="00EF54CF"/>
    <w:rsid w:val="00EF59B1"/>
    <w:rsid w:val="00EF5A13"/>
    <w:rsid w:val="00EF5FF9"/>
    <w:rsid w:val="00EF77D4"/>
    <w:rsid w:val="00EF7CC7"/>
    <w:rsid w:val="00F00535"/>
    <w:rsid w:val="00F00853"/>
    <w:rsid w:val="00F00866"/>
    <w:rsid w:val="00F00EC8"/>
    <w:rsid w:val="00F0160B"/>
    <w:rsid w:val="00F0193E"/>
    <w:rsid w:val="00F03E2F"/>
    <w:rsid w:val="00F03F8D"/>
    <w:rsid w:val="00F04811"/>
    <w:rsid w:val="00F0488C"/>
    <w:rsid w:val="00F04955"/>
    <w:rsid w:val="00F052D2"/>
    <w:rsid w:val="00F06002"/>
    <w:rsid w:val="00F067B8"/>
    <w:rsid w:val="00F0730A"/>
    <w:rsid w:val="00F073ED"/>
    <w:rsid w:val="00F07C4C"/>
    <w:rsid w:val="00F07E45"/>
    <w:rsid w:val="00F10F11"/>
    <w:rsid w:val="00F11159"/>
    <w:rsid w:val="00F1152E"/>
    <w:rsid w:val="00F115E4"/>
    <w:rsid w:val="00F11AC4"/>
    <w:rsid w:val="00F11FDC"/>
    <w:rsid w:val="00F120A5"/>
    <w:rsid w:val="00F12CFB"/>
    <w:rsid w:val="00F13E60"/>
    <w:rsid w:val="00F13FDB"/>
    <w:rsid w:val="00F15AAA"/>
    <w:rsid w:val="00F15BEF"/>
    <w:rsid w:val="00F1770C"/>
    <w:rsid w:val="00F17898"/>
    <w:rsid w:val="00F204BF"/>
    <w:rsid w:val="00F207C2"/>
    <w:rsid w:val="00F21337"/>
    <w:rsid w:val="00F219A1"/>
    <w:rsid w:val="00F23927"/>
    <w:rsid w:val="00F23E20"/>
    <w:rsid w:val="00F24407"/>
    <w:rsid w:val="00F249CE"/>
    <w:rsid w:val="00F24FAA"/>
    <w:rsid w:val="00F25040"/>
    <w:rsid w:val="00F269D7"/>
    <w:rsid w:val="00F26FB5"/>
    <w:rsid w:val="00F27071"/>
    <w:rsid w:val="00F27331"/>
    <w:rsid w:val="00F276D3"/>
    <w:rsid w:val="00F27EE5"/>
    <w:rsid w:val="00F27FB1"/>
    <w:rsid w:val="00F27FD6"/>
    <w:rsid w:val="00F307CB"/>
    <w:rsid w:val="00F30C0C"/>
    <w:rsid w:val="00F30C65"/>
    <w:rsid w:val="00F321D2"/>
    <w:rsid w:val="00F32649"/>
    <w:rsid w:val="00F33523"/>
    <w:rsid w:val="00F3364D"/>
    <w:rsid w:val="00F33914"/>
    <w:rsid w:val="00F349BF"/>
    <w:rsid w:val="00F34DDC"/>
    <w:rsid w:val="00F36191"/>
    <w:rsid w:val="00F3629F"/>
    <w:rsid w:val="00F36DF3"/>
    <w:rsid w:val="00F37362"/>
    <w:rsid w:val="00F37EDC"/>
    <w:rsid w:val="00F437CC"/>
    <w:rsid w:val="00F442E7"/>
    <w:rsid w:val="00F44537"/>
    <w:rsid w:val="00F46185"/>
    <w:rsid w:val="00F46423"/>
    <w:rsid w:val="00F4696A"/>
    <w:rsid w:val="00F47067"/>
    <w:rsid w:val="00F47234"/>
    <w:rsid w:val="00F51ADD"/>
    <w:rsid w:val="00F525AB"/>
    <w:rsid w:val="00F525EB"/>
    <w:rsid w:val="00F52CB5"/>
    <w:rsid w:val="00F53378"/>
    <w:rsid w:val="00F53917"/>
    <w:rsid w:val="00F53A68"/>
    <w:rsid w:val="00F54934"/>
    <w:rsid w:val="00F55A92"/>
    <w:rsid w:val="00F5615B"/>
    <w:rsid w:val="00F575D3"/>
    <w:rsid w:val="00F57983"/>
    <w:rsid w:val="00F57A76"/>
    <w:rsid w:val="00F57D57"/>
    <w:rsid w:val="00F6178B"/>
    <w:rsid w:val="00F62BFF"/>
    <w:rsid w:val="00F62CCE"/>
    <w:rsid w:val="00F63092"/>
    <w:rsid w:val="00F63AAE"/>
    <w:rsid w:val="00F63DDE"/>
    <w:rsid w:val="00F63FB7"/>
    <w:rsid w:val="00F6421B"/>
    <w:rsid w:val="00F647F1"/>
    <w:rsid w:val="00F649D2"/>
    <w:rsid w:val="00F64D5A"/>
    <w:rsid w:val="00F6602B"/>
    <w:rsid w:val="00F6799D"/>
    <w:rsid w:val="00F7150B"/>
    <w:rsid w:val="00F717E4"/>
    <w:rsid w:val="00F71DE6"/>
    <w:rsid w:val="00F72D71"/>
    <w:rsid w:val="00F7381C"/>
    <w:rsid w:val="00F73A0C"/>
    <w:rsid w:val="00F752DC"/>
    <w:rsid w:val="00F7549F"/>
    <w:rsid w:val="00F756DB"/>
    <w:rsid w:val="00F766BE"/>
    <w:rsid w:val="00F767A8"/>
    <w:rsid w:val="00F77590"/>
    <w:rsid w:val="00F77A50"/>
    <w:rsid w:val="00F82D14"/>
    <w:rsid w:val="00F84E7D"/>
    <w:rsid w:val="00F85066"/>
    <w:rsid w:val="00F874F8"/>
    <w:rsid w:val="00F87A4D"/>
    <w:rsid w:val="00F90EEB"/>
    <w:rsid w:val="00F9135C"/>
    <w:rsid w:val="00F91B66"/>
    <w:rsid w:val="00F9354A"/>
    <w:rsid w:val="00F93688"/>
    <w:rsid w:val="00F939F3"/>
    <w:rsid w:val="00F93C6E"/>
    <w:rsid w:val="00F93F2C"/>
    <w:rsid w:val="00F947E9"/>
    <w:rsid w:val="00F962AD"/>
    <w:rsid w:val="00F9644E"/>
    <w:rsid w:val="00FA0105"/>
    <w:rsid w:val="00FA05A0"/>
    <w:rsid w:val="00FA0AEF"/>
    <w:rsid w:val="00FA17CC"/>
    <w:rsid w:val="00FA1CFE"/>
    <w:rsid w:val="00FA1EE7"/>
    <w:rsid w:val="00FA1F01"/>
    <w:rsid w:val="00FA26DF"/>
    <w:rsid w:val="00FA2C07"/>
    <w:rsid w:val="00FA32BC"/>
    <w:rsid w:val="00FA3FA8"/>
    <w:rsid w:val="00FA4059"/>
    <w:rsid w:val="00FA4574"/>
    <w:rsid w:val="00FA48A4"/>
    <w:rsid w:val="00FA4CB7"/>
    <w:rsid w:val="00FA5112"/>
    <w:rsid w:val="00FA5526"/>
    <w:rsid w:val="00FA5D4D"/>
    <w:rsid w:val="00FA6CB6"/>
    <w:rsid w:val="00FA70D3"/>
    <w:rsid w:val="00FA7AEC"/>
    <w:rsid w:val="00FB0AEA"/>
    <w:rsid w:val="00FB0EE2"/>
    <w:rsid w:val="00FB1A79"/>
    <w:rsid w:val="00FB1BA4"/>
    <w:rsid w:val="00FB208B"/>
    <w:rsid w:val="00FB2B2D"/>
    <w:rsid w:val="00FB542E"/>
    <w:rsid w:val="00FB5580"/>
    <w:rsid w:val="00FB564F"/>
    <w:rsid w:val="00FB7DBB"/>
    <w:rsid w:val="00FC05F8"/>
    <w:rsid w:val="00FC077B"/>
    <w:rsid w:val="00FC0E5F"/>
    <w:rsid w:val="00FC1070"/>
    <w:rsid w:val="00FC1266"/>
    <w:rsid w:val="00FC1A95"/>
    <w:rsid w:val="00FC1ED4"/>
    <w:rsid w:val="00FC3BEC"/>
    <w:rsid w:val="00FC42C5"/>
    <w:rsid w:val="00FC440B"/>
    <w:rsid w:val="00FC56DE"/>
    <w:rsid w:val="00FC63D9"/>
    <w:rsid w:val="00FC64DE"/>
    <w:rsid w:val="00FC6785"/>
    <w:rsid w:val="00FC684B"/>
    <w:rsid w:val="00FC7D98"/>
    <w:rsid w:val="00FD1135"/>
    <w:rsid w:val="00FD3265"/>
    <w:rsid w:val="00FD3CF7"/>
    <w:rsid w:val="00FD4124"/>
    <w:rsid w:val="00FD4372"/>
    <w:rsid w:val="00FD4916"/>
    <w:rsid w:val="00FD4D12"/>
    <w:rsid w:val="00FD4F73"/>
    <w:rsid w:val="00FD595E"/>
    <w:rsid w:val="00FD6667"/>
    <w:rsid w:val="00FD7802"/>
    <w:rsid w:val="00FD7D3B"/>
    <w:rsid w:val="00FD7FBE"/>
    <w:rsid w:val="00FE27C7"/>
    <w:rsid w:val="00FE2C7E"/>
    <w:rsid w:val="00FE2F78"/>
    <w:rsid w:val="00FE3137"/>
    <w:rsid w:val="00FE346B"/>
    <w:rsid w:val="00FE346F"/>
    <w:rsid w:val="00FE431E"/>
    <w:rsid w:val="00FE460E"/>
    <w:rsid w:val="00FE48E4"/>
    <w:rsid w:val="00FE5466"/>
    <w:rsid w:val="00FE634C"/>
    <w:rsid w:val="00FE6E69"/>
    <w:rsid w:val="00FE6F59"/>
    <w:rsid w:val="00FF01B6"/>
    <w:rsid w:val="00FF0989"/>
    <w:rsid w:val="00FF0F79"/>
    <w:rsid w:val="00FF1136"/>
    <w:rsid w:val="00FF3D76"/>
    <w:rsid w:val="00FF556A"/>
    <w:rsid w:val="00FF5B8C"/>
    <w:rsid w:val="00FF63E6"/>
    <w:rsid w:val="00FF72DC"/>
    <w:rsid w:val="00FF7B96"/>
    <w:rsid w:val="019CB78C"/>
    <w:rsid w:val="0241D284"/>
    <w:rsid w:val="04BD1937"/>
    <w:rsid w:val="0523CDF2"/>
    <w:rsid w:val="06B1A837"/>
    <w:rsid w:val="07FB41B9"/>
    <w:rsid w:val="08A648BF"/>
    <w:rsid w:val="08AB0269"/>
    <w:rsid w:val="0A844D4D"/>
    <w:rsid w:val="0BCD71E1"/>
    <w:rsid w:val="0EBE9DEC"/>
    <w:rsid w:val="0FBB85B6"/>
    <w:rsid w:val="12650F4E"/>
    <w:rsid w:val="1371242A"/>
    <w:rsid w:val="1394E51D"/>
    <w:rsid w:val="14DB2A87"/>
    <w:rsid w:val="15DD577B"/>
    <w:rsid w:val="16EC38E2"/>
    <w:rsid w:val="17178072"/>
    <w:rsid w:val="173F358F"/>
    <w:rsid w:val="17513AF8"/>
    <w:rsid w:val="1812CB49"/>
    <w:rsid w:val="1B53A8C8"/>
    <w:rsid w:val="1BEE6986"/>
    <w:rsid w:val="20D21749"/>
    <w:rsid w:val="2111A021"/>
    <w:rsid w:val="21BE069A"/>
    <w:rsid w:val="224238BC"/>
    <w:rsid w:val="224482AD"/>
    <w:rsid w:val="23E0530E"/>
    <w:rsid w:val="24FC0D77"/>
    <w:rsid w:val="2A0E9F3A"/>
    <w:rsid w:val="2A2A6298"/>
    <w:rsid w:val="2F72CB2D"/>
    <w:rsid w:val="3204B56C"/>
    <w:rsid w:val="36A6CB7D"/>
    <w:rsid w:val="37D604A5"/>
    <w:rsid w:val="38C72AFC"/>
    <w:rsid w:val="3A31F626"/>
    <w:rsid w:val="3AA0BED0"/>
    <w:rsid w:val="3C7646FC"/>
    <w:rsid w:val="3E4A9713"/>
    <w:rsid w:val="3E77F3B4"/>
    <w:rsid w:val="40C3BF09"/>
    <w:rsid w:val="47207A7B"/>
    <w:rsid w:val="48038D4B"/>
    <w:rsid w:val="49E8263C"/>
    <w:rsid w:val="4A567F3C"/>
    <w:rsid w:val="50A35788"/>
    <w:rsid w:val="52944939"/>
    <w:rsid w:val="53942896"/>
    <w:rsid w:val="5536E42E"/>
    <w:rsid w:val="55914544"/>
    <w:rsid w:val="581B14F9"/>
    <w:rsid w:val="58FD3BB8"/>
    <w:rsid w:val="5B145290"/>
    <w:rsid w:val="5CF587E8"/>
    <w:rsid w:val="5DD689BF"/>
    <w:rsid w:val="5E8D8646"/>
    <w:rsid w:val="60B2C930"/>
    <w:rsid w:val="64244C5C"/>
    <w:rsid w:val="64B5C10F"/>
    <w:rsid w:val="661E5011"/>
    <w:rsid w:val="67F8BB57"/>
    <w:rsid w:val="6AEA4E8B"/>
    <w:rsid w:val="6AEC8A78"/>
    <w:rsid w:val="6D951AA9"/>
    <w:rsid w:val="7059F910"/>
    <w:rsid w:val="74248E8F"/>
    <w:rsid w:val="74EA3077"/>
    <w:rsid w:val="754BB0AE"/>
    <w:rsid w:val="75B5B795"/>
    <w:rsid w:val="76D4E0D9"/>
    <w:rsid w:val="78058569"/>
    <w:rsid w:val="785B85D1"/>
    <w:rsid w:val="78E73CD1"/>
    <w:rsid w:val="78EC659F"/>
    <w:rsid w:val="7C941E33"/>
    <w:rsid w:val="7E2BC7B5"/>
    <w:rsid w:val="7F5087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4:docId w14:val="5D395025"/>
  <w15:docId w15:val="{56910147-D8D0-4759-AD79-65565E2081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64FA0"/>
    <w:pPr>
      <w:spacing w:after="240" w:line="276" w:lineRule="auto"/>
      <w:jc w:val="both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A25216"/>
    <w:pPr>
      <w:keepNext/>
      <w:keepLines/>
      <w:spacing w:after="100" w:line="276" w:lineRule="auto"/>
      <w:contextualSpacing/>
      <w:outlineLvl w:val="0"/>
    </w:pPr>
    <w:rPr>
      <w:rFonts w:ascii="Arial" w:eastAsia="MS Gothic" w:hAnsi="Arial"/>
      <w:b/>
      <w:bCs/>
      <w:color w:val="71818C"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A25216"/>
    <w:pPr>
      <w:keepNext/>
      <w:keepLines/>
      <w:spacing w:line="276" w:lineRule="auto"/>
      <w:outlineLvl w:val="1"/>
    </w:pPr>
    <w:rPr>
      <w:rFonts w:ascii="Arial" w:eastAsia="MS Gothic" w:hAnsi="Arial"/>
      <w:b/>
      <w:bCs/>
      <w:color w:val="71818C"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A25216"/>
    <w:pPr>
      <w:keepNext/>
      <w:keepLines/>
      <w:spacing w:line="276" w:lineRule="auto"/>
      <w:outlineLvl w:val="2"/>
    </w:pPr>
    <w:rPr>
      <w:rFonts w:ascii="Arial" w:eastAsia="MS Gothic" w:hAnsi="Arial"/>
      <w:b/>
      <w:bCs/>
      <w:color w:val="71818C"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A25216"/>
    <w:pPr>
      <w:keepNext/>
      <w:keepLines/>
      <w:spacing w:line="276" w:lineRule="auto"/>
      <w:outlineLvl w:val="3"/>
    </w:pPr>
    <w:rPr>
      <w:rFonts w:ascii="Arial" w:eastAsia="MS Gothic" w:hAnsi="Arial"/>
      <w:b/>
      <w:bCs/>
      <w:iCs/>
      <w:color w:val="71818C"/>
      <w:szCs w:val="24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7A516D"/>
    <w:pPr>
      <w:keepNext/>
      <w:keepLines/>
      <w:numPr>
        <w:ilvl w:val="4"/>
        <w:numId w:val="14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7A516D"/>
    <w:pPr>
      <w:keepNext/>
      <w:keepLines/>
      <w:numPr>
        <w:ilvl w:val="5"/>
        <w:numId w:val="14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A516D"/>
    <w:pPr>
      <w:keepNext/>
      <w:keepLines/>
      <w:numPr>
        <w:ilvl w:val="6"/>
        <w:numId w:val="14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A516D"/>
    <w:pPr>
      <w:keepNext/>
      <w:keepLines/>
      <w:numPr>
        <w:ilvl w:val="7"/>
        <w:numId w:val="14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A516D"/>
    <w:pPr>
      <w:numPr>
        <w:ilvl w:val="8"/>
        <w:numId w:val="14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qFormat/>
    <w:rsid w:val="00364FA0"/>
    <w:rPr>
      <w:rFonts w:ascii="Arial" w:eastAsia="MS Gothic" w:hAnsi="Arial"/>
      <w:b/>
      <w:bCs/>
      <w:color w:val="71818C"/>
      <w:sz w:val="32"/>
      <w:szCs w:val="28"/>
      <w:lang w:eastAsia="cs-CZ"/>
    </w:rPr>
  </w:style>
  <w:style w:type="character" w:customStyle="1" w:styleId="Nadpis2Char">
    <w:name w:val="Nadpis 2 Char"/>
    <w:link w:val="Nadpis2"/>
    <w:uiPriority w:val="9"/>
    <w:rsid w:val="00364FA0"/>
    <w:rPr>
      <w:rFonts w:ascii="Arial" w:eastAsia="MS Gothic" w:hAnsi="Arial"/>
      <w:b/>
      <w:bCs/>
      <w:color w:val="71818C"/>
      <w:sz w:val="28"/>
      <w:szCs w:val="26"/>
      <w:lang w:eastAsia="cs-CZ"/>
    </w:rPr>
  </w:style>
  <w:style w:type="character" w:customStyle="1" w:styleId="Nadpis3Char">
    <w:name w:val="Nadpis 3 Char"/>
    <w:link w:val="Nadpis3"/>
    <w:uiPriority w:val="9"/>
    <w:rsid w:val="00364FA0"/>
    <w:rPr>
      <w:rFonts w:ascii="Arial" w:eastAsia="MS Gothic" w:hAnsi="Arial"/>
      <w:b/>
      <w:bCs/>
      <w:color w:val="71818C"/>
      <w:sz w:val="24"/>
      <w:szCs w:val="24"/>
      <w:lang w:eastAsia="cs-CZ"/>
    </w:rPr>
  </w:style>
  <w:style w:type="character" w:customStyle="1" w:styleId="Nadpis4Char">
    <w:name w:val="Nadpis 4 Char"/>
    <w:link w:val="Nadpis4"/>
    <w:uiPriority w:val="9"/>
    <w:rsid w:val="00364FA0"/>
    <w:rPr>
      <w:rFonts w:ascii="Arial" w:eastAsia="MS Gothic" w:hAnsi="Arial"/>
      <w:b/>
      <w:bCs/>
      <w:iCs/>
      <w:color w:val="71818C"/>
      <w:szCs w:val="24"/>
      <w:lang w:eastAsia="cs-CZ"/>
    </w:rPr>
  </w:style>
  <w:style w:type="character" w:customStyle="1" w:styleId="Nadpis9Char">
    <w:name w:val="Nadpis 9 Char"/>
    <w:link w:val="Nadpis9"/>
    <w:uiPriority w:val="9"/>
    <w:semiHidden/>
    <w:rsid w:val="007A516D"/>
    <w:rPr>
      <w:rFonts w:ascii="Cambria" w:eastAsia="Times New Roman" w:hAnsi="Cambria"/>
      <w:sz w:val="22"/>
      <w:szCs w:val="22"/>
      <w:lang w:eastAsia="cs-CZ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846121"/>
    <w:pPr>
      <w:spacing w:after="80" w:line="288" w:lineRule="auto"/>
    </w:pPr>
    <w:rPr>
      <w:rFonts w:ascii="Arial" w:eastAsia="Times New Roman" w:hAnsi="Arial"/>
      <w:b/>
      <w:color w:val="71818C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A-Box1">
    <w:name w:val="A-Box 1"/>
    <w:next w:val="Normln"/>
    <w:qFormat/>
    <w:rsid w:val="00F84E7D"/>
    <w:pPr>
      <w:shd w:val="clear" w:color="auto" w:fill="EAECEE"/>
      <w:spacing w:before="240" w:after="240" w:line="276" w:lineRule="auto"/>
      <w:contextualSpacing/>
      <w:jc w:val="both"/>
    </w:pPr>
    <w:rPr>
      <w:rFonts w:ascii="Arial" w:hAnsi="Arial" w:cs="Arial"/>
      <w:lang w:eastAsia="cs-CZ"/>
    </w:rPr>
  </w:style>
  <w:style w:type="paragraph" w:customStyle="1" w:styleId="A-Box2">
    <w:name w:val="A-Box 2"/>
    <w:next w:val="Normln"/>
    <w:qFormat/>
    <w:rsid w:val="00D075BE"/>
    <w:pPr>
      <w:spacing w:before="240" w:after="240" w:line="276" w:lineRule="auto"/>
      <w:contextualSpacing/>
      <w:jc w:val="both"/>
    </w:pPr>
    <w:rPr>
      <w:rFonts w:ascii="Arial" w:hAnsi="Arial" w:cs="Arial"/>
      <w:color w:val="71818C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104C4C"/>
    <w:pPr>
      <w:spacing w:after="40"/>
      <w:contextualSpacing/>
    </w:pPr>
    <w:rPr>
      <w:b/>
      <w:caps/>
      <w:color w:val="BD1B21"/>
      <w:sz w:val="24"/>
    </w:rPr>
  </w:style>
  <w:style w:type="paragraph" w:customStyle="1" w:styleId="TLKontakty">
    <w:name w:val="TL Kontakty"/>
    <w:qFormat/>
    <w:rsid w:val="008E6F06"/>
    <w:pPr>
      <w:spacing w:after="160" w:line="259" w:lineRule="auto"/>
      <w:contextualSpacing/>
    </w:pPr>
    <w:rPr>
      <w:rFonts w:ascii="Arial" w:eastAsia="Times New Roman" w:hAnsi="Arial"/>
      <w:b/>
      <w:color w:val="0071BC"/>
      <w:lang w:eastAsia="cs-CZ"/>
    </w:rPr>
  </w:style>
  <w:style w:type="paragraph" w:styleId="Nzev">
    <w:name w:val="Title"/>
    <w:link w:val="NzevChar"/>
    <w:uiPriority w:val="10"/>
    <w:qFormat/>
    <w:rsid w:val="00846121"/>
    <w:pPr>
      <w:spacing w:line="288" w:lineRule="auto"/>
    </w:pPr>
    <w:rPr>
      <w:rFonts w:ascii="Arial" w:eastAsia="Times New Roman" w:hAnsi="Arial"/>
      <w:b/>
      <w:bCs/>
      <w:caps/>
      <w:color w:val="71818C"/>
      <w:kern w:val="28"/>
      <w:sz w:val="56"/>
      <w:szCs w:val="32"/>
      <w:lang w:eastAsia="cs-CZ"/>
    </w:rPr>
  </w:style>
  <w:style w:type="character" w:customStyle="1" w:styleId="NzevChar">
    <w:name w:val="Název Char"/>
    <w:link w:val="Nzev"/>
    <w:uiPriority w:val="10"/>
    <w:rsid w:val="00846121"/>
    <w:rPr>
      <w:rFonts w:ascii="Arial" w:eastAsia="Times New Roman" w:hAnsi="Arial"/>
      <w:b/>
      <w:bCs/>
      <w:caps/>
      <w:color w:val="71818C"/>
      <w:kern w:val="28"/>
      <w:sz w:val="56"/>
      <w:szCs w:val="32"/>
    </w:rPr>
  </w:style>
  <w:style w:type="paragraph" w:styleId="Podnadpis">
    <w:name w:val="Subtitle"/>
    <w:link w:val="PodnadpisChar"/>
    <w:uiPriority w:val="11"/>
    <w:qFormat/>
    <w:rsid w:val="00846121"/>
    <w:pPr>
      <w:spacing w:line="288" w:lineRule="auto"/>
    </w:pPr>
    <w:rPr>
      <w:rFonts w:ascii="Arial" w:eastAsia="Times New Roman" w:hAnsi="Arial" w:cs="Arial"/>
      <w:b/>
      <w:color w:val="71818C"/>
      <w:sz w:val="28"/>
      <w:szCs w:val="24"/>
      <w:lang w:eastAsia="cs-CZ"/>
    </w:rPr>
  </w:style>
  <w:style w:type="character" w:customStyle="1" w:styleId="PodnadpisChar">
    <w:name w:val="Podnadpis Char"/>
    <w:link w:val="Podnadpis"/>
    <w:uiPriority w:val="11"/>
    <w:rsid w:val="00846121"/>
    <w:rPr>
      <w:rFonts w:ascii="Arial" w:eastAsia="Times New Roman" w:hAnsi="Arial" w:cs="Arial"/>
      <w:b/>
      <w:color w:val="71818C"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customStyle="1" w:styleId="Nadpis5Char">
    <w:name w:val="Nadpis 5 Char"/>
    <w:basedOn w:val="Standardnpsmoodstavce"/>
    <w:link w:val="Nadpis5"/>
    <w:uiPriority w:val="9"/>
    <w:semiHidden/>
    <w:rsid w:val="007A516D"/>
    <w:rPr>
      <w:rFonts w:asciiTheme="majorHAnsi" w:eastAsiaTheme="majorEastAsia" w:hAnsiTheme="majorHAnsi" w:cstheme="majorBidi"/>
      <w:color w:val="243F60" w:themeColor="accent1" w:themeShade="7F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7A516D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A516D"/>
    <w:rPr>
      <w:rFonts w:asciiTheme="majorHAnsi" w:eastAsiaTheme="majorEastAsia" w:hAnsiTheme="majorHAnsi" w:cstheme="majorBidi"/>
      <w:i/>
      <w:iCs/>
      <w:color w:val="404040" w:themeColor="text1" w:themeTint="BF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A516D"/>
    <w:rPr>
      <w:rFonts w:asciiTheme="majorHAnsi" w:eastAsiaTheme="majorEastAsia" w:hAnsiTheme="majorHAnsi" w:cstheme="majorBidi"/>
      <w:color w:val="404040" w:themeColor="text1" w:themeTint="BF"/>
      <w:lang w:eastAsia="cs-CZ"/>
    </w:rPr>
  </w:style>
  <w:style w:type="paragraph" w:styleId="Textpoznpodarou">
    <w:name w:val="footnote text"/>
    <w:aliases w:val="Text pozn. pod čarou_martin_ang"/>
    <w:basedOn w:val="Normln"/>
    <w:link w:val="TextpoznpodarouChar"/>
    <w:qFormat/>
    <w:rsid w:val="008E7FC9"/>
    <w:pPr>
      <w:spacing w:after="0" w:line="240" w:lineRule="auto"/>
      <w:jc w:val="left"/>
    </w:pPr>
    <w:rPr>
      <w:rFonts w:eastAsia="Calibri"/>
      <w:szCs w:val="20"/>
    </w:rPr>
  </w:style>
  <w:style w:type="character" w:customStyle="1" w:styleId="TextpoznpodarouChar">
    <w:name w:val="Text pozn. pod čarou Char"/>
    <w:aliases w:val="Text pozn. pod čarou_martin_ang Char"/>
    <w:basedOn w:val="Standardnpsmoodstavce"/>
    <w:link w:val="Textpoznpodarou"/>
    <w:qFormat/>
    <w:rsid w:val="008E7FC9"/>
    <w:rPr>
      <w:rFonts w:ascii="Arial" w:hAnsi="Arial"/>
      <w:lang w:eastAsia="cs-CZ"/>
    </w:rPr>
  </w:style>
  <w:style w:type="paragraph" w:styleId="Bezmezer">
    <w:name w:val="No Spacing"/>
    <w:uiPriority w:val="1"/>
    <w:qFormat/>
    <w:rsid w:val="00AD68C4"/>
    <w:pPr>
      <w:jc w:val="both"/>
    </w:pPr>
    <w:rPr>
      <w:rFonts w:ascii="Arial" w:eastAsia="Times New Roman" w:hAnsi="Arial"/>
      <w:szCs w:val="24"/>
      <w:lang w:eastAsia="cs-CZ"/>
    </w:rPr>
  </w:style>
  <w:style w:type="paragraph" w:customStyle="1" w:styleId="Marginlie">
    <w:name w:val="Marginálie"/>
    <w:basedOn w:val="Normln"/>
    <w:qFormat/>
    <w:rsid w:val="0089296D"/>
    <w:pPr>
      <w:spacing w:after="0"/>
      <w:jc w:val="left"/>
    </w:pPr>
    <w:rPr>
      <w:spacing w:val="-2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6B0F92"/>
    <w:pPr>
      <w:ind w:left="720"/>
      <w:contextualSpacing/>
    </w:pPr>
  </w:style>
  <w:style w:type="paragraph" w:customStyle="1" w:styleId="Normalodrka">
    <w:name w:val="Normal odrážka"/>
    <w:qFormat/>
    <w:rsid w:val="006B0F92"/>
    <w:pPr>
      <w:numPr>
        <w:numId w:val="20"/>
      </w:numPr>
      <w:spacing w:after="240" w:line="276" w:lineRule="auto"/>
      <w:ind w:left="357" w:hanging="357"/>
      <w:jc w:val="both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A17D5B"/>
    <w:pPr>
      <w:shd w:val="clear" w:color="auto" w:fill="EBEBEB"/>
      <w:spacing w:before="240" w:after="240" w:line="276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next w:val="Normln"/>
    <w:qFormat/>
    <w:rsid w:val="00A17D5B"/>
    <w:pPr>
      <w:spacing w:before="240" w:after="240" w:line="276" w:lineRule="auto"/>
      <w:ind w:left="709"/>
      <w:contextualSpacing/>
    </w:pPr>
    <w:rPr>
      <w:rFonts w:ascii="Arial" w:hAnsi="Arial" w:cs="Arial"/>
      <w:b/>
      <w:color w:val="71818C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E76E6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76E61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76E61"/>
    <w:rPr>
      <w:rFonts w:ascii="Arial" w:eastAsia="Times New Roman" w:hAnsi="Arial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6E6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6E61"/>
    <w:rPr>
      <w:rFonts w:ascii="Arial" w:eastAsia="Times New Roman" w:hAnsi="Arial"/>
      <w:b/>
      <w:bCs/>
      <w:lang w:eastAsia="cs-CZ"/>
    </w:rPr>
  </w:style>
  <w:style w:type="paragraph" w:customStyle="1" w:styleId="Nadpis11">
    <w:name w:val="Nadpis 11"/>
    <w:basedOn w:val="Normln"/>
    <w:uiPriority w:val="9"/>
    <w:qFormat/>
    <w:rsid w:val="00C62828"/>
    <w:pPr>
      <w:keepNext/>
      <w:keepLines/>
      <w:spacing w:after="100"/>
      <w:contextualSpacing/>
      <w:jc w:val="left"/>
      <w:outlineLvl w:val="0"/>
    </w:pPr>
    <w:rPr>
      <w:rFonts w:eastAsia="MS Gothic"/>
      <w:b/>
      <w:bCs/>
      <w:color w:val="71818C"/>
      <w:sz w:val="32"/>
      <w:szCs w:val="28"/>
    </w:rPr>
  </w:style>
  <w:style w:type="character" w:styleId="Znakapoznpodarou">
    <w:name w:val="footnote reference"/>
    <w:basedOn w:val="Standardnpsmoodstavce"/>
    <w:rsid w:val="00C62828"/>
    <w:rPr>
      <w:rFonts w:cs="Times New Roman"/>
      <w:vertAlign w:val="superscript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1554C2"/>
    <w:pPr>
      <w:spacing w:before="480" w:after="0"/>
      <w:contextualSpacing w:val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eastAsia="en-US"/>
    </w:rPr>
  </w:style>
  <w:style w:type="character" w:styleId="Zdraznn">
    <w:name w:val="Emphasis"/>
    <w:basedOn w:val="Standardnpsmoodstavce"/>
    <w:uiPriority w:val="20"/>
    <w:qFormat/>
    <w:rsid w:val="00965797"/>
    <w:rPr>
      <w:i/>
      <w:iCs/>
    </w:rPr>
  </w:style>
  <w:style w:type="paragraph" w:styleId="Rozloendokumentu">
    <w:name w:val="Document Map"/>
    <w:basedOn w:val="Normln"/>
    <w:link w:val="RozloendokumentuChar"/>
    <w:uiPriority w:val="99"/>
    <w:semiHidden/>
    <w:rsid w:val="00AD5AD2"/>
    <w:pPr>
      <w:spacing w:after="0" w:line="288" w:lineRule="auto"/>
      <w:jc w:val="left"/>
    </w:pPr>
    <w:rPr>
      <w:rFonts w:ascii="Tahoma" w:eastAsia="Calibri" w:hAnsi="Tahoma" w:cs="Tahoma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AD5AD2"/>
    <w:rPr>
      <w:rFonts w:ascii="Tahoma" w:hAnsi="Tahoma" w:cs="Tahoma"/>
      <w:sz w:val="16"/>
      <w:szCs w:val="16"/>
      <w:lang w:eastAsia="cs-CZ"/>
    </w:rPr>
  </w:style>
  <w:style w:type="paragraph" w:customStyle="1" w:styleId="Nadpis12">
    <w:name w:val="Nadpis 12"/>
    <w:basedOn w:val="Normln"/>
    <w:uiPriority w:val="9"/>
    <w:qFormat/>
    <w:rsid w:val="00E747DC"/>
    <w:pPr>
      <w:keepNext/>
      <w:keepLines/>
      <w:spacing w:after="100"/>
      <w:contextualSpacing/>
      <w:jc w:val="left"/>
      <w:outlineLvl w:val="0"/>
    </w:pPr>
    <w:rPr>
      <w:rFonts w:eastAsia="MS Gothic"/>
      <w:b/>
      <w:bCs/>
      <w:color w:val="71818C"/>
      <w:sz w:val="32"/>
      <w:szCs w:val="28"/>
    </w:rPr>
  </w:style>
  <w:style w:type="paragraph" w:customStyle="1" w:styleId="Textpoznpodarou1">
    <w:name w:val="Text pozn. pod čarou1"/>
    <w:basedOn w:val="Normln"/>
    <w:qFormat/>
    <w:rsid w:val="002F4AD8"/>
    <w:pPr>
      <w:spacing w:after="0" w:line="240" w:lineRule="auto"/>
      <w:jc w:val="left"/>
    </w:pPr>
    <w:rPr>
      <w:rFonts w:eastAsia="Calibri"/>
      <w:szCs w:val="20"/>
    </w:rPr>
  </w:style>
  <w:style w:type="character" w:customStyle="1" w:styleId="spelle">
    <w:name w:val="spelle"/>
    <w:basedOn w:val="Standardnpsmoodstavce"/>
    <w:rsid w:val="00830AEA"/>
  </w:style>
  <w:style w:type="paragraph" w:styleId="Revize">
    <w:name w:val="Revision"/>
    <w:hidden/>
    <w:uiPriority w:val="99"/>
    <w:semiHidden/>
    <w:rsid w:val="005D66E6"/>
    <w:rPr>
      <w:rFonts w:ascii="Arial" w:eastAsia="Times New Roman" w:hAnsi="Arial"/>
      <w:szCs w:val="24"/>
      <w:lang w:eastAsia="cs-CZ"/>
    </w:rPr>
  </w:style>
  <w:style w:type="character" w:customStyle="1" w:styleId="odkaz-style-wrapper">
    <w:name w:val="odkaz-style-wrapper"/>
    <w:basedOn w:val="Standardnpsmoodstavce"/>
    <w:rsid w:val="00524385"/>
  </w:style>
  <w:style w:type="character" w:customStyle="1" w:styleId="tabulka">
    <w:name w:val="tabulka"/>
    <w:basedOn w:val="Standardnpsmoodstavce"/>
    <w:rsid w:val="0074499B"/>
  </w:style>
  <w:style w:type="paragraph" w:customStyle="1" w:styleId="Default">
    <w:name w:val="Default"/>
    <w:rsid w:val="00100A8B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styleId="Normlnweb">
    <w:name w:val="Normal (Web)"/>
    <w:basedOn w:val="Normln"/>
    <w:uiPriority w:val="99"/>
    <w:semiHidden/>
    <w:unhideWhenUsed/>
    <w:rsid w:val="00F77A50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</w:rPr>
  </w:style>
  <w:style w:type="table" w:styleId="Mkatabulky">
    <w:name w:val="Table Grid"/>
    <w:basedOn w:val="Normlntabulka"/>
    <w:uiPriority w:val="59"/>
    <w:rsid w:val="00FB412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normaltextrun">
    <w:name w:val="normaltextrun"/>
    <w:basedOn w:val="Standardnpsmoodstavce"/>
    <w:rsid w:val="006A3CAF"/>
  </w:style>
  <w:style w:type="paragraph" w:customStyle="1" w:styleId="paragraph">
    <w:name w:val="paragraph"/>
    <w:basedOn w:val="Normln"/>
    <w:rsid w:val="006A3CAF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</w:rPr>
  </w:style>
  <w:style w:type="character" w:customStyle="1" w:styleId="eop">
    <w:name w:val="eop"/>
    <w:basedOn w:val="Standardnpsmoodstavce"/>
    <w:rsid w:val="00784980"/>
  </w:style>
  <w:style w:type="character" w:customStyle="1" w:styleId="scxw9398236">
    <w:name w:val="scxw9398236"/>
    <w:basedOn w:val="Standardnpsmoodstavce"/>
    <w:rsid w:val="000D7C6F"/>
  </w:style>
  <w:style w:type="character" w:customStyle="1" w:styleId="superscript">
    <w:name w:val="superscript"/>
    <w:basedOn w:val="Standardnpsmoodstavce"/>
    <w:rsid w:val="000D7C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96633">
      <w:bodyDiv w:val="1"/>
      <w:marLeft w:val="40"/>
      <w:marRight w:val="40"/>
      <w:marTop w:val="40"/>
      <w:marBottom w:val="1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16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64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96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5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359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659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8930234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690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5450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0083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7819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698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1865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8449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7143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4761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1317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6151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9079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3753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052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4711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9221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8652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7033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0284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9984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1595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9410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4409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013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6856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9475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1991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2037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964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7150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8145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0104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2448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1479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8828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1748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9586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8455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381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9583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7849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5451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6687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09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436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1090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1159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1374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8798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9056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3525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3377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4970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825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049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000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152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231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9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8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94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43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67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26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80669">
      <w:bodyDiv w:val="1"/>
      <w:marLeft w:val="40"/>
      <w:marRight w:val="40"/>
      <w:marTop w:val="40"/>
      <w:marBottom w:val="1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7263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251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chart" Target="charts/chart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zso.cz/csu/czso/aktualizace-metody-propoctu-zahranicni-obchod-se-zbozim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kumenty\Anal&#253;za\Q\2018Q1\Publikace\Q_analyza_Q12018.dotx" TargetMode="Externa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zabojnikova31519.CZSO\Documents\Anal&#253;za\Q\2023Q3\Makroanal&#253;za%20grafy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6.5511717884667392E-2"/>
          <c:y val="2.3304908251716782E-2"/>
          <c:w val="0.92378402700888496"/>
          <c:h val="0.69508533791523508"/>
        </c:manualLayout>
      </c:layout>
      <c:barChart>
        <c:barDir val="col"/>
        <c:grouping val="clustered"/>
        <c:varyColors val="0"/>
        <c:ser>
          <c:idx val="1"/>
          <c:order val="1"/>
          <c:tx>
            <c:strRef>
              <c:f>'Vnější vztahy 2'!$A$7</c:f>
              <c:strCache>
                <c:ptCount val="1"/>
                <c:pt idx="0">
                  <c:v>2022</c:v>
                </c:pt>
              </c:strCache>
            </c:strRef>
          </c:tx>
          <c:spPr>
            <a:solidFill>
              <a:schemeClr val="bg1">
                <a:lumMod val="65000"/>
              </a:schemeClr>
            </a:solidFill>
          </c:spPr>
          <c:invertIfNegative val="0"/>
          <c:cat>
            <c:strRef>
              <c:f>'Vnější vztahy 2'!$B$5:$O$5</c:f>
              <c:strCache>
                <c:ptCount val="14"/>
                <c:pt idx="0">
                  <c:v>Ropa a zemní plyn</c:v>
                </c:pt>
                <c:pt idx="1">
                  <c:v>Potravinářské výrobky</c:v>
                </c:pt>
                <c:pt idx="2">
                  <c:v>Oděvy</c:v>
                </c:pt>
                <c:pt idx="3">
                  <c:v>Koks a rafinované                                                                                  ropné produkty</c:v>
                </c:pt>
                <c:pt idx="4">
                  <c:v>Chemické látky                                                                       a přípravky</c:v>
                </c:pt>
                <c:pt idx="5">
                  <c:v>Základní farmaceutické                                                                                            výrobky a přípravky</c:v>
                </c:pt>
                <c:pt idx="6">
                  <c:v>Ostatní nekovové                                                                                   minerální výrobky</c:v>
                </c:pt>
                <c:pt idx="7">
                  <c:v>Základní kovy</c:v>
                </c:pt>
                <c:pt idx="8">
                  <c:v>Kovodělné výrobky</c:v>
                </c:pt>
                <c:pt idx="9">
                  <c:v>Počítače, elektron.                                                                                   a opt. přístroje a zařízení</c:v>
                </c:pt>
                <c:pt idx="10">
                  <c:v>Stroje a zařízení j. n.</c:v>
                </c:pt>
                <c:pt idx="11">
                  <c:v>Motorová vozidla</c:v>
                </c:pt>
                <c:pt idx="12">
                  <c:v>Elektřina, plyn,                                                                                                  pára a klim. vzduch</c:v>
                </c:pt>
                <c:pt idx="13">
                  <c:v>Služby související                                                                                    s odpady (CPA 38)</c:v>
                </c:pt>
              </c:strCache>
            </c:strRef>
          </c:cat>
          <c:val>
            <c:numRef>
              <c:f>'Vnější vztahy 2'!$B$7:$O$7</c:f>
              <c:numCache>
                <c:formatCode>General</c:formatCode>
                <c:ptCount val="14"/>
                <c:pt idx="0">
                  <c:v>-251.68538707700012</c:v>
                </c:pt>
                <c:pt idx="1">
                  <c:v>-44.629506995000028</c:v>
                </c:pt>
                <c:pt idx="2">
                  <c:v>-32.073255110000012</c:v>
                </c:pt>
                <c:pt idx="3">
                  <c:v>-37.432356117000012</c:v>
                </c:pt>
                <c:pt idx="4">
                  <c:v>-119.837534198</c:v>
                </c:pt>
                <c:pt idx="5">
                  <c:v>-52.516837150999997</c:v>
                </c:pt>
                <c:pt idx="6">
                  <c:v>22.454945151000015</c:v>
                </c:pt>
                <c:pt idx="7">
                  <c:v>-144.18972572999988</c:v>
                </c:pt>
                <c:pt idx="8">
                  <c:v>59.572274304000011</c:v>
                </c:pt>
                <c:pt idx="9">
                  <c:v>-57.553488521999995</c:v>
                </c:pt>
                <c:pt idx="10">
                  <c:v>69.787420724000057</c:v>
                </c:pt>
                <c:pt idx="11">
                  <c:v>340.74929593200005</c:v>
                </c:pt>
                <c:pt idx="12">
                  <c:v>61.389279852999998</c:v>
                </c:pt>
                <c:pt idx="13">
                  <c:v>23.756856279000001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2752-424C-AAF7-A4CA33CB1B5D}"/>
            </c:ext>
          </c:extLst>
        </c:ser>
        <c:ser>
          <c:idx val="2"/>
          <c:order val="2"/>
          <c:tx>
            <c:strRef>
              <c:f>'Vnější vztahy 2'!$A$8</c:f>
              <c:strCache>
                <c:ptCount val="1"/>
                <c:pt idx="0">
                  <c:v>2023</c:v>
                </c:pt>
              </c:strCache>
            </c:strRef>
          </c:tx>
          <c:spPr>
            <a:solidFill>
              <a:srgbClr val="C00000"/>
            </a:solidFill>
          </c:spPr>
          <c:invertIfNegative val="0"/>
          <c:cat>
            <c:strRef>
              <c:f>'Vnější vztahy 2'!$B$5:$O$5</c:f>
              <c:strCache>
                <c:ptCount val="14"/>
                <c:pt idx="0">
                  <c:v>Ropa a zemní plyn</c:v>
                </c:pt>
                <c:pt idx="1">
                  <c:v>Potravinářské výrobky</c:v>
                </c:pt>
                <c:pt idx="2">
                  <c:v>Oděvy</c:v>
                </c:pt>
                <c:pt idx="3">
                  <c:v>Koks a rafinované                                                                                  ropné produkty</c:v>
                </c:pt>
                <c:pt idx="4">
                  <c:v>Chemické látky                                                                       a přípravky</c:v>
                </c:pt>
                <c:pt idx="5">
                  <c:v>Základní farmaceutické                                                                                            výrobky a přípravky</c:v>
                </c:pt>
                <c:pt idx="6">
                  <c:v>Ostatní nekovové                                                                                   minerální výrobky</c:v>
                </c:pt>
                <c:pt idx="7">
                  <c:v>Základní kovy</c:v>
                </c:pt>
                <c:pt idx="8">
                  <c:v>Kovodělné výrobky</c:v>
                </c:pt>
                <c:pt idx="9">
                  <c:v>Počítače, elektron.                                                                                   a opt. přístroje a zařízení</c:v>
                </c:pt>
                <c:pt idx="10">
                  <c:v>Stroje a zařízení j. n.</c:v>
                </c:pt>
                <c:pt idx="11">
                  <c:v>Motorová vozidla</c:v>
                </c:pt>
                <c:pt idx="12">
                  <c:v>Elektřina, plyn,                                                                                                  pára a klim. vzduch</c:v>
                </c:pt>
                <c:pt idx="13">
                  <c:v>Služby související                                                                                    s odpady (CPA 38)</c:v>
                </c:pt>
              </c:strCache>
            </c:strRef>
          </c:cat>
          <c:val>
            <c:numRef>
              <c:f>'Vnější vztahy 2'!$B$8:$O$8</c:f>
              <c:numCache>
                <c:formatCode>General</c:formatCode>
                <c:ptCount val="14"/>
                <c:pt idx="0">
                  <c:v>-129.93843548200022</c:v>
                </c:pt>
                <c:pt idx="1">
                  <c:v>-39.586523468999999</c:v>
                </c:pt>
                <c:pt idx="2">
                  <c:v>-29.070311498000017</c:v>
                </c:pt>
                <c:pt idx="3">
                  <c:v>-29.444593404999985</c:v>
                </c:pt>
                <c:pt idx="4">
                  <c:v>-107.36596441100002</c:v>
                </c:pt>
                <c:pt idx="5">
                  <c:v>-48.695487485000001</c:v>
                </c:pt>
                <c:pt idx="6">
                  <c:v>23.069668609000001</c:v>
                </c:pt>
                <c:pt idx="7">
                  <c:v>-116.36623394500008</c:v>
                </c:pt>
                <c:pt idx="8">
                  <c:v>52.750454689999998</c:v>
                </c:pt>
                <c:pt idx="9">
                  <c:v>-60.772454057000004</c:v>
                </c:pt>
                <c:pt idx="10">
                  <c:v>85.776093686999999</c:v>
                </c:pt>
                <c:pt idx="11">
                  <c:v>419.83168776599979</c:v>
                </c:pt>
                <c:pt idx="12">
                  <c:v>21.709649802999969</c:v>
                </c:pt>
                <c:pt idx="13">
                  <c:v>19.0524284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2752-424C-AAF7-A4CA33CB1B5D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97"/>
        <c:axId val="113699840"/>
        <c:axId val="113719552"/>
        <c:extLst>
          <c:ext xmlns:c15="http://schemas.microsoft.com/office/drawing/2012/chart" uri="{02D57815-91ED-43cb-92C2-25804820EDAC}">
            <c15:filteredBarSeries>
              <c15:ser>
                <c:idx val="0"/>
                <c:order val="0"/>
                <c:tx>
                  <c:strRef>
                    <c:extLst>
                      <c:ext uri="{02D57815-91ED-43cb-92C2-25804820EDAC}">
                        <c15:formulaRef>
                          <c15:sqref>'Vnější vztahy 2'!$A$6</c15:sqref>
                        </c15:formulaRef>
                      </c:ext>
                    </c:extLst>
                    <c:strCache>
                      <c:ptCount val="1"/>
                      <c:pt idx="0">
                        <c:v>2021</c:v>
                      </c:pt>
                    </c:strCache>
                  </c:strRef>
                </c:tx>
                <c:spPr>
                  <a:solidFill>
                    <a:schemeClr val="tx1">
                      <a:lumMod val="50000"/>
                      <a:lumOff val="50000"/>
                    </a:schemeClr>
                  </a:solidFill>
                  <a:ln>
                    <a:noFill/>
                  </a:ln>
                </c:spPr>
                <c:invertIfNegative val="0"/>
                <c:cat>
                  <c:strRef>
                    <c:extLst>
                      <c:ext uri="{02D57815-91ED-43cb-92C2-25804820EDAC}">
                        <c15:formulaRef>
                          <c15:sqref>'Vnější vztahy 2'!$B$5:$O$5</c15:sqref>
                        </c15:formulaRef>
                      </c:ext>
                    </c:extLst>
                    <c:strCache>
                      <c:ptCount val="14"/>
                      <c:pt idx="0">
                        <c:v>Ropa a zemní plyn</c:v>
                      </c:pt>
                      <c:pt idx="1">
                        <c:v>Potravinářské výrobky</c:v>
                      </c:pt>
                      <c:pt idx="2">
                        <c:v>Oděvy</c:v>
                      </c:pt>
                      <c:pt idx="3">
                        <c:v>Koks a rafinované                                                                                  ropné produkty</c:v>
                      </c:pt>
                      <c:pt idx="4">
                        <c:v>Chemické látky                                                                       a přípravky</c:v>
                      </c:pt>
                      <c:pt idx="5">
                        <c:v>Základní farmaceutické                                                                                            výrobky a přípravky</c:v>
                      </c:pt>
                      <c:pt idx="6">
                        <c:v>Ostatní nekovové                                                                                   minerální výrobky</c:v>
                      </c:pt>
                      <c:pt idx="7">
                        <c:v>Základní kovy</c:v>
                      </c:pt>
                      <c:pt idx="8">
                        <c:v>Kovodělné výrobky</c:v>
                      </c:pt>
                      <c:pt idx="9">
                        <c:v>Počítače, elektron.                                                                                   a opt. přístroje a zařízení</c:v>
                      </c:pt>
                      <c:pt idx="10">
                        <c:v>Stroje a zařízení j. n.</c:v>
                      </c:pt>
                      <c:pt idx="11">
                        <c:v>Motorová vozidla</c:v>
                      </c:pt>
                      <c:pt idx="12">
                        <c:v>Elektřina, plyn,                                                                                                  pára a klim. vzduch</c:v>
                      </c:pt>
                      <c:pt idx="13">
                        <c:v>Služby související                                                                                    s odpady (CPA 38)</c:v>
                      </c:pt>
                    </c:strCache>
                  </c:strRef>
                </c:cat>
                <c:val>
                  <c:numRef>
                    <c:extLst>
                      <c:ext uri="{02D57815-91ED-43cb-92C2-25804820EDAC}">
                        <c15:formulaRef>
                          <c15:sqref>'Vnější vztahy 2'!$B$6:$O$6</c15:sqref>
                        </c15:formulaRef>
                      </c:ext>
                    </c:extLst>
                    <c:numCache>
                      <c:formatCode>General</c:formatCode>
                      <c:ptCount val="14"/>
                      <c:pt idx="0">
                        <c:v>-99.297163006999995</c:v>
                      </c:pt>
                      <c:pt idx="1">
                        <c:v>-38.366158949999999</c:v>
                      </c:pt>
                      <c:pt idx="2">
                        <c:v>-24.487024361</c:v>
                      </c:pt>
                      <c:pt idx="3">
                        <c:v>-18.527939442000001</c:v>
                      </c:pt>
                      <c:pt idx="4">
                        <c:v>-105.82094543199999</c:v>
                      </c:pt>
                      <c:pt idx="5">
                        <c:v>-55.976044516000002</c:v>
                      </c:pt>
                      <c:pt idx="6">
                        <c:v>19.749765879999998</c:v>
                      </c:pt>
                      <c:pt idx="7">
                        <c:v>-112.17262740300001</c:v>
                      </c:pt>
                      <c:pt idx="8">
                        <c:v>48.831151310999992</c:v>
                      </c:pt>
                      <c:pt idx="9">
                        <c:v>-38.894889063000001</c:v>
                      </c:pt>
                      <c:pt idx="10">
                        <c:v>73.073658284000004</c:v>
                      </c:pt>
                      <c:pt idx="11">
                        <c:v>317.68322245799999</c:v>
                      </c:pt>
                      <c:pt idx="12">
                        <c:v>12.225155367999999</c:v>
                      </c:pt>
                      <c:pt idx="13">
                        <c:v>23.450014836999998</c:v>
                      </c:pt>
                    </c:numCache>
                  </c:numRef>
                </c:val>
                <c:extLst>
                  <c:ext xmlns:c16="http://schemas.microsoft.com/office/drawing/2014/chart" uri="{C3380CC4-5D6E-409C-BE32-E72D297353CC}">
                    <c16:uniqueId val="{00000002-2752-424C-AAF7-A4CA33CB1B5D}"/>
                  </c:ext>
                </c:extLst>
              </c15:ser>
            </c15:filteredBarSeries>
          </c:ext>
        </c:extLst>
      </c:barChart>
      <c:catAx>
        <c:axId val="113699840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low"/>
        <c:spPr>
          <a:ln>
            <a:solidFill>
              <a:schemeClr val="tx1"/>
            </a:solidFill>
          </a:ln>
        </c:spPr>
        <c:txPr>
          <a:bodyPr rot="-5400000" vert="horz"/>
          <a:lstStyle/>
          <a:p>
            <a:pPr>
              <a:defRPr/>
            </a:pPr>
            <a:endParaRPr lang="cs-CZ"/>
          </a:p>
        </c:txPr>
        <c:crossAx val="113719552"/>
        <c:crosses val="autoZero"/>
        <c:auto val="1"/>
        <c:lblAlgn val="ctr"/>
        <c:lblOffset val="100"/>
        <c:noMultiLvlLbl val="0"/>
      </c:catAx>
      <c:valAx>
        <c:axId val="113719552"/>
        <c:scaling>
          <c:orientation val="minMax"/>
          <c:max val="450"/>
          <c:min val="-270"/>
        </c:scaling>
        <c:delete val="0"/>
        <c:axPos val="l"/>
        <c:majorGridlines>
          <c:spPr>
            <a:ln w="6350">
              <a:solidFill>
                <a:schemeClr val="bg1">
                  <a:lumMod val="75000"/>
                </a:schemeClr>
              </a:solidFill>
            </a:ln>
          </c:spPr>
        </c:majorGridlines>
        <c:numFmt formatCode="General" sourceLinked="1"/>
        <c:majorTickMark val="out"/>
        <c:minorTickMark val="none"/>
        <c:tickLblPos val="nextTo"/>
        <c:crossAx val="113699840"/>
        <c:crosses val="autoZero"/>
        <c:crossBetween val="between"/>
        <c:majorUnit val="90"/>
      </c:valAx>
      <c:spPr>
        <a:ln>
          <a:solidFill>
            <a:schemeClr val="tx1"/>
          </a:solidFill>
        </a:ln>
      </c:spPr>
    </c:plotArea>
    <c:legend>
      <c:legendPos val="t"/>
      <c:layout>
        <c:manualLayout>
          <c:xMode val="edge"/>
          <c:yMode val="edge"/>
          <c:x val="0.13000383320266073"/>
          <c:y val="3.6368843069874028E-2"/>
          <c:w val="0.26887915184156158"/>
          <c:h val="5.3991695303550982E-2"/>
        </c:manualLayout>
      </c:layout>
      <c:overlay val="0"/>
      <c:spPr>
        <a:ln w="6350">
          <a:noFill/>
        </a:ln>
      </c:spPr>
    </c:legend>
    <c:plotVisOnly val="1"/>
    <c:dispBlanksAs val="gap"/>
    <c:showDLblsOverMax val="0"/>
  </c:chart>
  <c:spPr>
    <a:ln>
      <a:noFill/>
    </a:ln>
  </c:spPr>
  <c:txPr>
    <a:bodyPr/>
    <a:lstStyle/>
    <a:p>
      <a:pPr>
        <a:defRPr sz="800" baseline="0">
          <a:latin typeface="Arial" panose="020B0604020202020204" pitchFamily="34" charset="0"/>
          <a:cs typeface="Arial" panose="020B0604020202020204" pitchFamily="34" charset="0"/>
        </a:defRPr>
      </a:pPr>
      <a:endParaRPr lang="cs-CZ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31BBA9E39CFCF469C5C18733081B222" ma:contentTypeVersion="5" ma:contentTypeDescription="Vytvoří nový dokument" ma:contentTypeScope="" ma:versionID="ba9ac22ffeb23664e7e881489bfb3a01">
  <xsd:schema xmlns:xsd="http://www.w3.org/2001/XMLSchema" xmlns:xs="http://www.w3.org/2001/XMLSchema" xmlns:p="http://schemas.microsoft.com/office/2006/metadata/properties" xmlns:ns2="eabc42bd-08fe-4a27-9645-04f6ad96d74a" xmlns:ns3="ea86e659-3cf4-4ff9-8d76-72c2490bfb13" targetNamespace="http://schemas.microsoft.com/office/2006/metadata/properties" ma:root="true" ma:fieldsID="452515690196c05a9ccc85c20d106231" ns2:_="" ns3:_="">
    <xsd:import namespace="eabc42bd-08fe-4a27-9645-04f6ad96d74a"/>
    <xsd:import namespace="ea86e659-3cf4-4ff9-8d76-72c2490bfb1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bc42bd-08fe-4a27-9645-04f6ad96d74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86e659-3cf4-4ff9-8d76-72c2490bfb13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2D7845-9EC0-4146-9549-159178297E0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abc42bd-08fe-4a27-9645-04f6ad96d74a"/>
    <ds:schemaRef ds:uri="ea86e659-3cf4-4ff9-8d76-72c2490bfb1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A87926D-EFC2-4F8B-B71C-495191F4934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E238702-393C-4E0B-95FC-63974900582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E71A0CD-7591-40BD-ACF7-DFD885AB28A6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C8063C84-DDAA-4DEE-86A6-741A48CF6B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Q_analyza_Q12018.dotx</Template>
  <TotalTime>5</TotalTime>
  <Pages>1</Pages>
  <Words>1364</Words>
  <Characters>8049</Characters>
  <Application>Microsoft Office Word</Application>
  <DocSecurity>0</DocSecurity>
  <Lines>67</Lines>
  <Paragraphs>18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CSU</Company>
  <LinksUpToDate>false</LinksUpToDate>
  <CharactersWithSpaces>9395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Mgr. Karolína Súkupová</dc:creator>
  <cp:keywords/>
  <dc:description/>
  <cp:lastModifiedBy>Zábojníková Karolína</cp:lastModifiedBy>
  <cp:revision>6</cp:revision>
  <cp:lastPrinted>2023-06-09T17:23:00Z</cp:lastPrinted>
  <dcterms:created xsi:type="dcterms:W3CDTF">2023-12-15T10:09:00Z</dcterms:created>
  <dcterms:modified xsi:type="dcterms:W3CDTF">2023-12-15T10:25:00Z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0x010100331BBA9E39CFCF469C5C18733081B222</vt:lpwstr>
  </property>
</Properties>
</file>