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5895" w14:textId="77777777" w:rsidR="00477325" w:rsidRPr="00C032A9" w:rsidRDefault="00733870" w:rsidP="00601DE9">
      <w:pPr>
        <w:pStyle w:val="Nadpis2"/>
        <w:spacing w:after="120"/>
        <w:rPr>
          <w:i/>
          <w:lang w:val="en-GB"/>
        </w:rPr>
      </w:pPr>
      <w:r w:rsidRPr="00C032A9">
        <w:rPr>
          <w:i/>
          <w:lang w:val="en-GB"/>
        </w:rPr>
        <w:t>Methodological notes</w:t>
      </w:r>
    </w:p>
    <w:p w14:paraId="46605699" w14:textId="03F4A566" w:rsidR="00601DE9" w:rsidRPr="00C032A9" w:rsidRDefault="00601DE9" w:rsidP="00601DE9">
      <w:pPr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 xml:space="preserve">The </w:t>
      </w:r>
      <w:r w:rsidR="00FD0A44">
        <w:rPr>
          <w:rFonts w:cs="Arial"/>
          <w:i/>
          <w:lang w:val="en-GB"/>
        </w:rPr>
        <w:t>designation of the</w:t>
      </w:r>
      <w:r w:rsidRPr="00C032A9">
        <w:rPr>
          <w:rFonts w:cs="Arial"/>
          <w:i/>
          <w:lang w:val="en-GB"/>
        </w:rPr>
        <w:t xml:space="preserve"> municipality </w:t>
      </w:r>
      <w:r w:rsidR="00FD0A44">
        <w:rPr>
          <w:rFonts w:cs="Arial"/>
          <w:i/>
          <w:lang w:val="en-GB"/>
        </w:rPr>
        <w:t xml:space="preserve">as </w:t>
      </w:r>
      <w:r w:rsidRPr="00C032A9">
        <w:rPr>
          <w:rFonts w:cs="Arial"/>
          <w:i/>
          <w:lang w:val="en-GB"/>
        </w:rPr>
        <w:t>the</w:t>
      </w:r>
      <w:r w:rsidR="00757F03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>town, ha</w:t>
      </w:r>
      <w:r w:rsidR="00FD0A44">
        <w:rPr>
          <w:rFonts w:cs="Arial"/>
          <w:i/>
          <w:lang w:val="en-GB"/>
        </w:rPr>
        <w:t>s</w:t>
      </w:r>
      <w:r w:rsidRPr="00C032A9">
        <w:rPr>
          <w:rFonts w:cs="Arial"/>
          <w:i/>
          <w:lang w:val="en-GB"/>
        </w:rPr>
        <w:t xml:space="preserve"> </w:t>
      </w:r>
      <w:r w:rsidR="00FD0A44">
        <w:rPr>
          <w:rFonts w:cs="Arial"/>
          <w:i/>
          <w:lang w:val="en-GB"/>
        </w:rPr>
        <w:t>undergone</w:t>
      </w:r>
      <w:r w:rsidR="00FD0A44" w:rsidRPr="00C032A9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 xml:space="preserve">a long-term historical </w:t>
      </w:r>
      <w:r w:rsidR="00FD0A44">
        <w:rPr>
          <w:rFonts w:cs="Arial"/>
          <w:i/>
          <w:lang w:val="en-GB"/>
        </w:rPr>
        <w:t>development</w:t>
      </w:r>
      <w:r w:rsidRPr="00C032A9">
        <w:rPr>
          <w:rFonts w:cs="Arial"/>
          <w:i/>
          <w:lang w:val="en-GB"/>
        </w:rPr>
        <w:t xml:space="preserve">. It was </w:t>
      </w:r>
      <w:r w:rsidR="00356853">
        <w:rPr>
          <w:rFonts w:cs="Arial"/>
          <w:i/>
          <w:lang w:val="en-GB"/>
        </w:rPr>
        <w:t>designated</w:t>
      </w:r>
      <w:r w:rsidR="00481B68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 xml:space="preserve">by </w:t>
      </w:r>
      <w:r w:rsidR="00356853">
        <w:rPr>
          <w:rFonts w:cs="Arial"/>
          <w:i/>
          <w:lang w:val="en-GB"/>
        </w:rPr>
        <w:t>the elevation of the municipality</w:t>
      </w:r>
      <w:r w:rsidR="00356853" w:rsidRPr="00C032A9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 xml:space="preserve">to town </w:t>
      </w:r>
      <w:r w:rsidR="00356853">
        <w:rPr>
          <w:rFonts w:cs="Arial"/>
          <w:i/>
          <w:lang w:val="en-GB"/>
        </w:rPr>
        <w:t xml:space="preserve">and </w:t>
      </w:r>
      <w:r w:rsidRPr="00C032A9">
        <w:rPr>
          <w:rFonts w:cs="Arial"/>
          <w:i/>
          <w:lang w:val="en-GB"/>
        </w:rPr>
        <w:t>later by law</w:t>
      </w:r>
      <w:r w:rsidR="00356853">
        <w:rPr>
          <w:rFonts w:cs="Arial"/>
          <w:i/>
          <w:lang w:val="en-GB"/>
        </w:rPr>
        <w:t>s</w:t>
      </w:r>
      <w:r w:rsidRPr="00C032A9">
        <w:rPr>
          <w:rFonts w:cs="Arial"/>
          <w:i/>
          <w:lang w:val="en-GB"/>
        </w:rPr>
        <w:t xml:space="preserve"> with </w:t>
      </w:r>
      <w:r w:rsidR="00136E77">
        <w:rPr>
          <w:rFonts w:cs="Arial"/>
          <w:i/>
          <w:lang w:val="en-GB"/>
        </w:rPr>
        <w:t xml:space="preserve">the </w:t>
      </w:r>
      <w:r w:rsidRPr="00C032A9">
        <w:rPr>
          <w:rFonts w:cs="Arial"/>
          <w:i/>
          <w:lang w:val="en-GB"/>
        </w:rPr>
        <w:t xml:space="preserve">list of towns or newly </w:t>
      </w:r>
      <w:r w:rsidR="00356853">
        <w:rPr>
          <w:rFonts w:cs="Arial"/>
          <w:i/>
          <w:lang w:val="en-GB"/>
        </w:rPr>
        <w:t>designated</w:t>
      </w:r>
      <w:r w:rsidR="00356853" w:rsidRPr="00C032A9">
        <w:rPr>
          <w:rFonts w:cs="Arial"/>
          <w:i/>
          <w:lang w:val="en-GB"/>
        </w:rPr>
        <w:t xml:space="preserve"> </w:t>
      </w:r>
      <w:r w:rsidRPr="00C032A9">
        <w:rPr>
          <w:rFonts w:cs="Arial"/>
          <w:i/>
          <w:lang w:val="en-GB"/>
        </w:rPr>
        <w:t xml:space="preserve">towns. </w:t>
      </w:r>
    </w:p>
    <w:p w14:paraId="78E6F8D4" w14:textId="1E59B95A" w:rsidR="00601DE9" w:rsidRDefault="0022332D" w:rsidP="00601DE9">
      <w:pPr>
        <w:rPr>
          <w:rFonts w:cs="Arial"/>
          <w:i/>
          <w:lang w:val="en-GB"/>
        </w:rPr>
      </w:pPr>
      <w:r>
        <w:rPr>
          <w:rFonts w:cs="Arial"/>
          <w:i/>
          <w:lang w:val="en-GB"/>
        </w:rPr>
        <w:t xml:space="preserve">As of 1 January </w:t>
      </w:r>
      <w:r w:rsidR="00DE6AD4">
        <w:rPr>
          <w:rFonts w:cs="Arial"/>
          <w:i/>
          <w:lang w:val="en-GB"/>
        </w:rPr>
        <w:t>202</w:t>
      </w:r>
      <w:r w:rsidR="00A70D5C">
        <w:rPr>
          <w:rFonts w:cs="Arial"/>
          <w:i/>
          <w:lang w:val="en-GB"/>
        </w:rPr>
        <w:t>5</w:t>
      </w:r>
      <w:r>
        <w:rPr>
          <w:rFonts w:cs="Arial"/>
          <w:i/>
          <w:lang w:val="en-GB"/>
        </w:rPr>
        <w:t>, t</w:t>
      </w:r>
      <w:r w:rsidR="0039261E">
        <w:rPr>
          <w:rFonts w:cs="Arial"/>
          <w:i/>
          <w:lang w:val="en-GB"/>
        </w:rPr>
        <w:t>h</w:t>
      </w:r>
      <w:r w:rsidR="00601DE9" w:rsidRPr="00C032A9">
        <w:rPr>
          <w:rFonts w:cs="Arial"/>
          <w:i/>
          <w:lang w:val="en-GB"/>
        </w:rPr>
        <w:t>ere were 6</w:t>
      </w:r>
      <w:r w:rsidR="00467E68">
        <w:rPr>
          <w:rFonts w:cs="Arial"/>
          <w:i/>
          <w:lang w:val="en-GB"/>
        </w:rPr>
        <w:t>1</w:t>
      </w:r>
      <w:r w:rsidR="00601DE9" w:rsidRPr="00C032A9">
        <w:rPr>
          <w:rFonts w:cs="Arial"/>
          <w:i/>
          <w:lang w:val="en-GB"/>
        </w:rPr>
        <w:t>0</w:t>
      </w:r>
      <w:r w:rsidR="00CD0A5F">
        <w:rPr>
          <w:rFonts w:cs="Arial"/>
          <w:i/>
          <w:lang w:val="en-GB"/>
        </w:rPr>
        <w:t xml:space="preserve"> towns in the Czechia.</w:t>
      </w:r>
    </w:p>
    <w:p w14:paraId="4FE4E7A2" w14:textId="3709661F" w:rsidR="00601DE9" w:rsidRPr="00C032A9" w:rsidRDefault="00601DE9" w:rsidP="00C032A9">
      <w:pPr>
        <w:spacing w:after="0" w:line="240" w:lineRule="auto"/>
        <w:rPr>
          <w:rFonts w:cs="Arial"/>
          <w:b/>
          <w:i/>
          <w:lang w:val="en-GB"/>
        </w:rPr>
      </w:pPr>
      <w:r w:rsidRPr="00C032A9">
        <w:rPr>
          <w:rFonts w:cs="Arial"/>
          <w:b/>
          <w:i/>
          <w:lang w:val="en-GB"/>
        </w:rPr>
        <w:t xml:space="preserve">The number of towns by regions and districts </w:t>
      </w:r>
      <w:r w:rsidR="0039261E">
        <w:rPr>
          <w:rFonts w:cs="Arial"/>
          <w:b/>
          <w:i/>
          <w:lang w:val="en-GB"/>
        </w:rPr>
        <w:t>(as of 31 December 202</w:t>
      </w:r>
      <w:r w:rsidR="00A70D5C">
        <w:rPr>
          <w:rFonts w:cs="Arial"/>
          <w:b/>
          <w:i/>
          <w:lang w:val="en-GB"/>
        </w:rPr>
        <w:t>4</w:t>
      </w:r>
      <w:r w:rsidR="0039261E">
        <w:rPr>
          <w:rFonts w:cs="Arial"/>
          <w:b/>
          <w:i/>
          <w:lang w:val="en-GB"/>
        </w:rPr>
        <w:t>)</w:t>
      </w:r>
    </w:p>
    <w:p w14:paraId="1B970D31" w14:textId="251C81E2" w:rsidR="00601DE9" w:rsidRDefault="00467E68" w:rsidP="00601DE9">
      <w:pPr>
        <w:rPr>
          <w:rFonts w:cs="Arial"/>
          <w:i/>
          <w:lang w:val="en-GB"/>
        </w:rPr>
      </w:pPr>
      <w:r w:rsidRPr="00467E68">
        <w:rPr>
          <w:noProof/>
        </w:rPr>
        <w:drawing>
          <wp:inline distT="0" distB="0" distL="0" distR="0" wp14:anchorId="6A4BAA23" wp14:editId="4E80251C">
            <wp:extent cx="5553075" cy="47625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E9" w:rsidRPr="00C032A9">
        <w:rPr>
          <w:rFonts w:cs="Arial"/>
          <w:i/>
          <w:lang w:val="en-GB"/>
        </w:rPr>
        <w:t xml:space="preserve"> </w:t>
      </w:r>
    </w:p>
    <w:p w14:paraId="6CC149B5" w14:textId="6E85F000" w:rsidR="00027631" w:rsidRDefault="000C1950" w:rsidP="00601DE9">
      <w:pPr>
        <w:rPr>
          <w:rFonts w:cs="Arial"/>
          <w:i/>
          <w:lang w:val="en-GB"/>
        </w:rPr>
      </w:pPr>
      <w:r w:rsidRPr="0039261E">
        <w:rPr>
          <w:rFonts w:cs="Arial"/>
          <w:i/>
          <w:lang w:val="en-GB"/>
        </w:rPr>
        <w:t>The publication contains data on the population and population change of the individual towns in the ten-year time series 201</w:t>
      </w:r>
      <w:r w:rsidR="005239D5">
        <w:rPr>
          <w:rFonts w:cs="Arial"/>
          <w:i/>
          <w:lang w:val="en-GB"/>
        </w:rPr>
        <w:t>5</w:t>
      </w:r>
      <w:r w:rsidR="00340106">
        <w:rPr>
          <w:rFonts w:cs="Arial"/>
          <w:i/>
          <w:lang w:val="en-GB"/>
        </w:rPr>
        <w:t>–</w:t>
      </w:r>
      <w:r w:rsidRPr="0039261E">
        <w:rPr>
          <w:rFonts w:cs="Arial"/>
          <w:i/>
          <w:lang w:val="en-GB"/>
        </w:rPr>
        <w:t>202</w:t>
      </w:r>
      <w:r w:rsidR="005239D5">
        <w:rPr>
          <w:rFonts w:cs="Arial"/>
          <w:i/>
          <w:lang w:val="en-GB"/>
        </w:rPr>
        <w:t>4</w:t>
      </w:r>
      <w:r w:rsidRPr="0039261E">
        <w:rPr>
          <w:i/>
        </w:rPr>
        <w:t xml:space="preserve"> </w:t>
      </w:r>
      <w:r w:rsidRPr="0039261E">
        <w:rPr>
          <w:rFonts w:cs="Arial"/>
          <w:i/>
          <w:lang w:val="en-GB"/>
        </w:rPr>
        <w:t xml:space="preserve">with all data referring to the territory of a given town valid as </w:t>
      </w:r>
      <w:r w:rsidR="0039261E" w:rsidRPr="0039261E">
        <w:rPr>
          <w:rFonts w:cs="Arial"/>
          <w:i/>
          <w:lang w:val="en-GB"/>
        </w:rPr>
        <w:t>at 1 January of a given year.</w:t>
      </w:r>
      <w:r w:rsidR="00027631">
        <w:rPr>
          <w:rFonts w:cs="Arial"/>
          <w:i/>
          <w:lang w:val="en-GB"/>
        </w:rPr>
        <w:t xml:space="preserve"> </w:t>
      </w:r>
      <w:r w:rsidR="00601DE9" w:rsidRPr="00C032A9">
        <w:rPr>
          <w:rFonts w:cs="Arial"/>
          <w:i/>
          <w:lang w:val="en-GB"/>
        </w:rPr>
        <w:t xml:space="preserve">Besides natural </w:t>
      </w:r>
      <w:r>
        <w:rPr>
          <w:rFonts w:cs="Arial"/>
          <w:i/>
          <w:lang w:val="en-GB"/>
        </w:rPr>
        <w:t>change</w:t>
      </w:r>
      <w:r w:rsidRPr="00C032A9">
        <w:rPr>
          <w:rFonts w:cs="Arial"/>
          <w:i/>
          <w:lang w:val="en-GB"/>
        </w:rPr>
        <w:t xml:space="preserve"> </w:t>
      </w:r>
      <w:r w:rsidR="00601DE9" w:rsidRPr="00C032A9">
        <w:rPr>
          <w:rFonts w:cs="Arial"/>
          <w:i/>
          <w:lang w:val="en-GB"/>
        </w:rPr>
        <w:t>and net migration</w:t>
      </w:r>
      <w:r w:rsidR="008D2BE0">
        <w:rPr>
          <w:rFonts w:cs="Arial"/>
          <w:i/>
          <w:lang w:val="en-GB"/>
        </w:rPr>
        <w:t>,</w:t>
      </w:r>
      <w:r w:rsidR="00601DE9" w:rsidRPr="00C032A9">
        <w:rPr>
          <w:rFonts w:cs="Arial"/>
          <w:i/>
          <w:lang w:val="en-GB"/>
        </w:rPr>
        <w:t xml:space="preserve"> changes in </w:t>
      </w:r>
      <w:r w:rsidR="008D2BE0">
        <w:rPr>
          <w:rFonts w:cs="Arial"/>
          <w:i/>
          <w:lang w:val="en-GB"/>
        </w:rPr>
        <w:t>population size</w:t>
      </w:r>
      <w:r w:rsidR="00601DE9" w:rsidRPr="00C032A9">
        <w:rPr>
          <w:rFonts w:cs="Arial"/>
          <w:i/>
          <w:lang w:val="en-GB"/>
        </w:rPr>
        <w:t xml:space="preserve"> </w:t>
      </w:r>
      <w:r w:rsidR="0084054B">
        <w:rPr>
          <w:rFonts w:cs="Arial"/>
          <w:i/>
          <w:lang w:val="en-GB"/>
        </w:rPr>
        <w:t xml:space="preserve">of towns </w:t>
      </w:r>
      <w:r w:rsidR="00027631">
        <w:rPr>
          <w:rFonts w:cs="Arial"/>
          <w:i/>
          <w:lang w:val="en-GB"/>
        </w:rPr>
        <w:t xml:space="preserve">thus can </w:t>
      </w:r>
      <w:r w:rsidR="0084054B">
        <w:rPr>
          <w:rFonts w:cs="Arial"/>
          <w:i/>
          <w:lang w:val="en-GB"/>
        </w:rPr>
        <w:t xml:space="preserve">also </w:t>
      </w:r>
      <w:r w:rsidR="008D2BE0">
        <w:rPr>
          <w:rFonts w:cs="Arial"/>
          <w:i/>
          <w:lang w:val="en-GB"/>
        </w:rPr>
        <w:t xml:space="preserve">result from </w:t>
      </w:r>
      <w:r w:rsidR="0084054B">
        <w:rPr>
          <w:rFonts w:cs="Arial"/>
          <w:i/>
          <w:lang w:val="en-GB"/>
        </w:rPr>
        <w:t>joining</w:t>
      </w:r>
      <w:r w:rsidR="00601DE9" w:rsidRPr="00C032A9">
        <w:rPr>
          <w:rFonts w:cs="Arial"/>
          <w:i/>
          <w:lang w:val="en-GB"/>
        </w:rPr>
        <w:t xml:space="preserve"> or separating of municipalities or their parts. </w:t>
      </w:r>
      <w:r w:rsidR="00027631">
        <w:rPr>
          <w:rFonts w:cs="Arial"/>
          <w:i/>
          <w:lang w:val="en-GB"/>
        </w:rPr>
        <w:t>T</w:t>
      </w:r>
      <w:r w:rsidR="00027631" w:rsidRPr="00027631">
        <w:rPr>
          <w:rFonts w:cs="Arial"/>
          <w:i/>
          <w:lang w:val="en-GB"/>
        </w:rPr>
        <w:t>he followin</w:t>
      </w:r>
      <w:r w:rsidR="00027631">
        <w:rPr>
          <w:rFonts w:cs="Arial"/>
          <w:i/>
          <w:lang w:val="en-GB"/>
        </w:rPr>
        <w:t xml:space="preserve">g territorial </w:t>
      </w:r>
      <w:r w:rsidR="00027631" w:rsidRPr="00027631">
        <w:rPr>
          <w:rFonts w:cs="Arial"/>
          <w:i/>
          <w:lang w:val="en-GB"/>
        </w:rPr>
        <w:t>administrative changes occurred in the period covered by this publication:</w:t>
      </w:r>
    </w:p>
    <w:p w14:paraId="7EF30CCC" w14:textId="4D3EE578" w:rsidR="005261F8" w:rsidRDefault="005261F8" w:rsidP="00601DE9">
      <w:pPr>
        <w:rPr>
          <w:rFonts w:cs="Arial"/>
          <w:i/>
          <w:lang w:val="en-GB"/>
        </w:rPr>
      </w:pPr>
    </w:p>
    <w:p w14:paraId="00F61413" w14:textId="77777777" w:rsidR="005261F8" w:rsidRDefault="005261F8" w:rsidP="00601DE9">
      <w:pPr>
        <w:rPr>
          <w:rFonts w:cs="Arial"/>
          <w:i/>
          <w:lang w:val="en-GB"/>
        </w:rPr>
      </w:pPr>
    </w:p>
    <w:p w14:paraId="2FACCF1C" w14:textId="77777777" w:rsidR="006C665F" w:rsidRDefault="006C665F" w:rsidP="00C032A9">
      <w:pPr>
        <w:spacing w:after="0"/>
        <w:rPr>
          <w:rFonts w:cs="Arial"/>
          <w:b/>
          <w:i/>
          <w:lang w:val="en-GB"/>
        </w:rPr>
      </w:pPr>
    </w:p>
    <w:p w14:paraId="48C330B7" w14:textId="77777777" w:rsidR="006C665F" w:rsidRDefault="006C665F" w:rsidP="00C032A9">
      <w:pPr>
        <w:spacing w:after="0"/>
        <w:rPr>
          <w:rFonts w:cs="Arial"/>
          <w:b/>
          <w:i/>
          <w:lang w:val="en-GB"/>
        </w:rPr>
      </w:pPr>
    </w:p>
    <w:p w14:paraId="62024BFE" w14:textId="77777777" w:rsidR="006C665F" w:rsidRDefault="006C665F" w:rsidP="00C032A9">
      <w:pPr>
        <w:spacing w:after="0"/>
        <w:rPr>
          <w:rFonts w:cs="Arial"/>
          <w:b/>
          <w:i/>
          <w:lang w:val="en-GB"/>
        </w:rPr>
      </w:pPr>
    </w:p>
    <w:p w14:paraId="2C5063EF" w14:textId="77777777" w:rsidR="006C665F" w:rsidRDefault="006C665F">
      <w:pPr>
        <w:spacing w:after="0" w:line="240" w:lineRule="auto"/>
        <w:rPr>
          <w:rFonts w:cs="Arial"/>
          <w:b/>
          <w:i/>
          <w:lang w:val="en-GB"/>
        </w:rPr>
      </w:pPr>
      <w:r>
        <w:rPr>
          <w:rFonts w:cs="Arial"/>
          <w:b/>
          <w:i/>
          <w:lang w:val="en-GB"/>
        </w:rPr>
        <w:br w:type="page"/>
      </w:r>
    </w:p>
    <w:p w14:paraId="53A6FF9E" w14:textId="01FEF02B" w:rsidR="00601DE9" w:rsidRPr="00C032A9" w:rsidRDefault="00601DE9" w:rsidP="00C032A9">
      <w:pPr>
        <w:spacing w:after="0"/>
        <w:rPr>
          <w:rFonts w:cs="Arial"/>
          <w:b/>
          <w:i/>
          <w:lang w:val="en-GB"/>
        </w:rPr>
      </w:pPr>
      <w:bookmarkStart w:id="0" w:name="_GoBack"/>
      <w:bookmarkEnd w:id="0"/>
      <w:r w:rsidRPr="00C032A9">
        <w:rPr>
          <w:rFonts w:cs="Arial"/>
          <w:b/>
          <w:i/>
          <w:lang w:val="en-GB"/>
        </w:rPr>
        <w:lastRenderedPageBreak/>
        <w:t xml:space="preserve">The </w:t>
      </w:r>
      <w:r w:rsidR="00852C47">
        <w:rPr>
          <w:rFonts w:cs="Arial"/>
          <w:b/>
          <w:i/>
          <w:lang w:val="en-GB"/>
        </w:rPr>
        <w:t xml:space="preserve">territorial administrative </w:t>
      </w:r>
      <w:r w:rsidRPr="00C032A9">
        <w:rPr>
          <w:rFonts w:cs="Arial"/>
          <w:b/>
          <w:i/>
          <w:lang w:val="en-GB"/>
        </w:rPr>
        <w:t>changes of towns</w:t>
      </w:r>
      <w:r w:rsidR="00852C47">
        <w:rPr>
          <w:rFonts w:cs="Arial"/>
          <w:b/>
          <w:i/>
          <w:lang w:val="en-GB"/>
        </w:rPr>
        <w:t xml:space="preserve"> concerned</w:t>
      </w:r>
      <w:r w:rsidRPr="00C032A9">
        <w:rPr>
          <w:rFonts w:cs="Arial"/>
          <w:b/>
          <w:i/>
          <w:lang w:val="en-GB"/>
        </w:rPr>
        <w:t>:</w:t>
      </w:r>
    </w:p>
    <w:p w14:paraId="48A94463" w14:textId="60C123DC" w:rsidR="00601DE9" w:rsidRPr="00C032A9" w:rsidRDefault="00C20A3A" w:rsidP="00601DE9">
      <w:pPr>
        <w:rPr>
          <w:rFonts w:cs="Arial"/>
          <w:i/>
          <w:lang w:val="en-GB"/>
        </w:rPr>
      </w:pPr>
      <w:r w:rsidRPr="00C20A3A">
        <w:rPr>
          <w:noProof/>
        </w:rPr>
        <w:drawing>
          <wp:inline distT="0" distB="0" distL="0" distR="0" wp14:anchorId="5BBB44CB" wp14:editId="04541C2C">
            <wp:extent cx="4860000" cy="16272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A139" w14:textId="77777777" w:rsidR="0097513F" w:rsidRDefault="0097513F" w:rsidP="0097513F">
      <w:pPr>
        <w:spacing w:after="0"/>
        <w:rPr>
          <w:rFonts w:cs="Arial"/>
          <w:i/>
          <w:lang w:val="en-GB"/>
        </w:rPr>
      </w:pPr>
      <w:r w:rsidRPr="001177EF">
        <w:rPr>
          <w:rFonts w:cs="Arial"/>
          <w:i/>
          <w:lang w:val="en-GB"/>
        </w:rPr>
        <w:t xml:space="preserve">All data refer to citizens of </w:t>
      </w:r>
      <w:r w:rsidRPr="001177EF">
        <w:rPr>
          <w:bCs/>
          <w:i/>
          <w:lang w:val="en-GB"/>
        </w:rPr>
        <w:t>Czechia</w:t>
      </w:r>
      <w:r w:rsidRPr="001177EF">
        <w:rPr>
          <w:rFonts w:cs="Arial"/>
          <w:i/>
          <w:lang w:val="en-GB"/>
        </w:rPr>
        <w:t xml:space="preserve"> and foreigners with permanent residence </w:t>
      </w:r>
      <w:r>
        <w:rPr>
          <w:rFonts w:cs="Arial"/>
          <w:i/>
          <w:lang w:val="en-GB"/>
        </w:rPr>
        <w:t>in Czechia</w:t>
      </w:r>
      <w:r w:rsidRPr="001177EF">
        <w:rPr>
          <w:rFonts w:cs="Arial"/>
          <w:i/>
          <w:lang w:val="en-GB"/>
        </w:rPr>
        <w:t xml:space="preserve">, third-country nationals with temporary residence in the territory of Czechia based on a long-term visa (over 90 days), nationals of the EU Member States, Norway, Switzerland, Iceland, Liechtenstein and their family members with notified temporary residence in the territory of Czechia and foreigners </w:t>
      </w:r>
      <w:r>
        <w:rPr>
          <w:rFonts w:cs="Arial"/>
          <w:i/>
          <w:lang w:val="en-GB"/>
        </w:rPr>
        <w:t>granted international protection</w:t>
      </w:r>
      <w:r w:rsidRPr="001177EF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in Czechia</w:t>
      </w:r>
      <w:r w:rsidRPr="001177EF">
        <w:rPr>
          <w:rFonts w:cs="Arial"/>
          <w:i/>
          <w:lang w:val="en-GB"/>
        </w:rPr>
        <w:t>.</w:t>
      </w:r>
      <w:r>
        <w:rPr>
          <w:rFonts w:cs="Arial"/>
          <w:i/>
          <w:lang w:val="en-GB"/>
        </w:rPr>
        <w:t xml:space="preserve"> </w:t>
      </w:r>
      <w:r w:rsidRPr="00090182">
        <w:rPr>
          <w:rFonts w:cs="Arial"/>
          <w:i/>
          <w:lang w:val="en-GB"/>
        </w:rPr>
        <w:t xml:space="preserve">Since 2022, persons granted temporary protection in </w:t>
      </w:r>
      <w:r>
        <w:rPr>
          <w:rFonts w:cs="Arial"/>
          <w:i/>
          <w:lang w:val="en-GB"/>
        </w:rPr>
        <w:t>Czechia</w:t>
      </w:r>
      <w:r w:rsidRPr="00090182">
        <w:rPr>
          <w:rFonts w:cs="Arial"/>
          <w:i/>
          <w:lang w:val="en-GB"/>
        </w:rPr>
        <w:t xml:space="preserve"> with usual residence </w:t>
      </w:r>
      <w:r>
        <w:rPr>
          <w:rFonts w:cs="Arial"/>
          <w:i/>
          <w:lang w:val="en-GB"/>
        </w:rPr>
        <w:t>in Czechia</w:t>
      </w:r>
      <w:r w:rsidRPr="00090182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 xml:space="preserve">have also been included in </w:t>
      </w:r>
      <w:r w:rsidRPr="00090182">
        <w:rPr>
          <w:rFonts w:cs="Arial"/>
          <w:i/>
          <w:lang w:val="en-GB"/>
        </w:rPr>
        <w:t>the population.</w:t>
      </w:r>
    </w:p>
    <w:p w14:paraId="2303E764" w14:textId="77777777" w:rsidR="0097513F" w:rsidRPr="001177EF" w:rsidRDefault="0097513F" w:rsidP="0097513F">
      <w:pPr>
        <w:rPr>
          <w:rFonts w:cs="Arial"/>
          <w:i/>
          <w:lang w:val="en-GB"/>
        </w:rPr>
      </w:pPr>
      <w:r w:rsidRPr="00D360C9">
        <w:rPr>
          <w:rFonts w:cs="Arial"/>
          <w:i/>
          <w:lang w:val="en-GB"/>
        </w:rPr>
        <w:t>For more detailed information see</w:t>
      </w:r>
      <w:r>
        <w:rPr>
          <w:rFonts w:cs="Arial"/>
          <w:i/>
          <w:lang w:val="en-GB"/>
        </w:rPr>
        <w:t xml:space="preserve"> </w:t>
      </w:r>
      <w:hyperlink r:id="rId10" w:history="1">
        <w:r w:rsidRPr="00DE76DC">
          <w:rPr>
            <w:rStyle w:val="Hypertextovodkaz"/>
            <w:rFonts w:cs="Arial"/>
            <w:i/>
            <w:lang w:val="en-GB"/>
          </w:rPr>
          <w:t>https://csu.gov.cz/population-methodology</w:t>
        </w:r>
      </w:hyperlink>
      <w:r>
        <w:rPr>
          <w:rFonts w:cs="Arial"/>
          <w:i/>
          <w:lang w:val="en-GB"/>
        </w:rPr>
        <w:t>.</w:t>
      </w:r>
    </w:p>
    <w:p w14:paraId="67D0BF71" w14:textId="77777777" w:rsidR="0097513F" w:rsidRPr="001177EF" w:rsidRDefault="0097513F" w:rsidP="0097513F">
      <w:pPr>
        <w:rPr>
          <w:rFonts w:cs="Arial"/>
          <w:i/>
          <w:szCs w:val="20"/>
          <w:lang w:val="en-GB"/>
        </w:rPr>
      </w:pPr>
      <w:r w:rsidRPr="001177EF">
        <w:rPr>
          <w:rFonts w:cs="Arial"/>
          <w:i/>
          <w:lang w:val="en-GB"/>
        </w:rPr>
        <w:t>For definitions of demographic events and the most commonly, used demographic indicators see</w:t>
      </w:r>
      <w:r w:rsidRPr="001177EF">
        <w:rPr>
          <w:i/>
          <w:lang w:val="en-GB"/>
        </w:rPr>
        <w:t xml:space="preserve"> </w:t>
      </w:r>
      <w:hyperlink r:id="rId11" w:history="1">
        <w:r w:rsidRPr="00DE76DC">
          <w:rPr>
            <w:rStyle w:val="Hypertextovodkaz"/>
            <w:i/>
          </w:rPr>
          <w:t>https://csu.gov.cz/population-change-methodology</w:t>
        </w:r>
      </w:hyperlink>
      <w:r>
        <w:rPr>
          <w:i/>
        </w:rPr>
        <w:t>.</w:t>
      </w:r>
      <w:r w:rsidRPr="001177EF">
        <w:rPr>
          <w:rFonts w:cs="Arial"/>
          <w:i/>
          <w:lang w:val="en-GB"/>
        </w:rPr>
        <w:t xml:space="preserve"> </w:t>
      </w:r>
    </w:p>
    <w:p w14:paraId="26D891A7" w14:textId="6A00A1E7" w:rsidR="00852C47" w:rsidRPr="00852C47" w:rsidRDefault="00852C47" w:rsidP="00852C47">
      <w:pPr>
        <w:rPr>
          <w:rFonts w:cs="Arial"/>
          <w:i/>
          <w:szCs w:val="20"/>
          <w:lang w:val="en-GB"/>
        </w:rPr>
      </w:pPr>
      <w:r w:rsidRPr="00852C47">
        <w:rPr>
          <w:rFonts w:cs="Arial"/>
          <w:i/>
          <w:lang w:val="en-GB"/>
        </w:rPr>
        <w:t>Age means completed age</w:t>
      </w:r>
      <w:r w:rsidR="00301919">
        <w:rPr>
          <w:rFonts w:cs="Arial"/>
          <w:i/>
          <w:lang w:val="en-GB"/>
        </w:rPr>
        <w:t xml:space="preserve"> </w:t>
      </w:r>
      <w:r w:rsidR="00301919" w:rsidRPr="00852C47">
        <w:rPr>
          <w:rFonts w:cs="Arial"/>
          <w:i/>
          <w:lang w:val="en-GB"/>
        </w:rPr>
        <w:t>(in years)</w:t>
      </w:r>
      <w:r w:rsidRPr="00852C47">
        <w:rPr>
          <w:rFonts w:cs="Arial"/>
          <w:i/>
          <w:lang w:val="en-GB"/>
        </w:rPr>
        <w:t xml:space="preserve">. </w:t>
      </w:r>
    </w:p>
    <w:p w14:paraId="7B425CB6" w14:textId="0998FC27" w:rsidR="00620828" w:rsidRPr="00136E77" w:rsidRDefault="00620828" w:rsidP="00620828">
      <w:pPr>
        <w:rPr>
          <w:rFonts w:cs="Arial"/>
          <w:i/>
          <w:szCs w:val="20"/>
          <w:lang w:val="en-GB"/>
        </w:rPr>
      </w:pPr>
      <w:r w:rsidRPr="00136E77">
        <w:rPr>
          <w:rFonts w:cs="Arial"/>
          <w:i/>
          <w:lang w:val="en-GB"/>
        </w:rPr>
        <w:t xml:space="preserve">Marriages are territorially classified according to the groom's place of residence (unless otherwise stated).  </w:t>
      </w:r>
    </w:p>
    <w:p w14:paraId="3BEBB731" w14:textId="62F76EA5" w:rsidR="00620828" w:rsidRPr="00136E77" w:rsidRDefault="00620828" w:rsidP="00620828">
      <w:pPr>
        <w:rPr>
          <w:rFonts w:cs="Arial"/>
          <w:i/>
          <w:szCs w:val="20"/>
          <w:lang w:val="en-GB"/>
        </w:rPr>
      </w:pPr>
      <w:r w:rsidRPr="00136E77">
        <w:rPr>
          <w:rFonts w:cs="Arial"/>
          <w:i/>
          <w:lang w:val="en-GB"/>
        </w:rPr>
        <w:t xml:space="preserve">Divorces are territorially classified </w:t>
      </w:r>
      <w:r w:rsidRPr="00136E77">
        <w:rPr>
          <w:rFonts w:cs="Arial"/>
          <w:i/>
          <w:szCs w:val="20"/>
          <w:lang w:val="en-GB"/>
        </w:rPr>
        <w:t xml:space="preserve">according to the last common residence of the married couple. </w:t>
      </w:r>
    </w:p>
    <w:p w14:paraId="6C0D91BA" w14:textId="5CDF9D0E" w:rsidR="00620828" w:rsidRPr="00136E77" w:rsidRDefault="00620828" w:rsidP="00620828">
      <w:pPr>
        <w:rPr>
          <w:rFonts w:cs="Arial"/>
          <w:i/>
          <w:lang w:val="en-GB"/>
        </w:rPr>
      </w:pPr>
      <w:r w:rsidRPr="00136E77">
        <w:rPr>
          <w:rFonts w:cs="Arial"/>
          <w:i/>
          <w:lang w:val="en-GB"/>
        </w:rPr>
        <w:t xml:space="preserve">The </w:t>
      </w:r>
      <w:r w:rsidRPr="00136E77">
        <w:rPr>
          <w:rFonts w:cs="Arial"/>
          <w:i/>
          <w:szCs w:val="20"/>
          <w:lang w:val="en-GB"/>
        </w:rPr>
        <w:t xml:space="preserve">births are </w:t>
      </w:r>
      <w:r w:rsidRPr="00136E77">
        <w:rPr>
          <w:rFonts w:cs="Arial"/>
          <w:i/>
          <w:lang w:val="en-GB"/>
        </w:rPr>
        <w:t>territorially</w:t>
      </w:r>
      <w:r w:rsidRPr="00136E77">
        <w:rPr>
          <w:rFonts w:cs="Arial"/>
          <w:i/>
          <w:szCs w:val="20"/>
          <w:lang w:val="en-GB"/>
        </w:rPr>
        <w:t xml:space="preserve"> classified according to the mother's place of residence at the time of birth.</w:t>
      </w:r>
    </w:p>
    <w:p w14:paraId="07F0A2F0" w14:textId="77777777" w:rsidR="0097513F" w:rsidRPr="00CB479E" w:rsidRDefault="002A3499" w:rsidP="0097513F">
      <w:pPr>
        <w:spacing w:before="240"/>
        <w:rPr>
          <w:rFonts w:cs="Arial"/>
          <w:i/>
          <w:lang w:val="en-GB"/>
        </w:rPr>
      </w:pPr>
      <w:r>
        <w:rPr>
          <w:rFonts w:cs="Arial"/>
          <w:i/>
          <w:lang w:val="en-GB"/>
        </w:rPr>
        <w:t>A</w:t>
      </w:r>
      <w:r w:rsidR="00620828" w:rsidRPr="00620828">
        <w:rPr>
          <w:rFonts w:cs="Arial"/>
          <w:i/>
          <w:lang w:val="en-GB"/>
        </w:rPr>
        <w:t xml:space="preserve">bortions are </w:t>
      </w:r>
      <w:r>
        <w:rPr>
          <w:rFonts w:cs="Arial"/>
          <w:i/>
          <w:lang w:val="en-GB"/>
        </w:rPr>
        <w:t xml:space="preserve">territorially </w:t>
      </w:r>
      <w:r w:rsidR="00620828" w:rsidRPr="00620828">
        <w:rPr>
          <w:rFonts w:cs="Arial"/>
          <w:i/>
          <w:lang w:val="en-GB"/>
        </w:rPr>
        <w:t>classified according to the woman</w:t>
      </w:r>
      <w:r w:rsidR="00620828" w:rsidRPr="00620828">
        <w:rPr>
          <w:rFonts w:cs="Arial"/>
          <w:i/>
          <w:szCs w:val="20"/>
          <w:lang w:val="en-GB"/>
        </w:rPr>
        <w:t>'</w:t>
      </w:r>
      <w:r w:rsidR="00620828" w:rsidRPr="00620828">
        <w:rPr>
          <w:rFonts w:cs="Arial"/>
          <w:i/>
          <w:lang w:val="en-GB"/>
        </w:rPr>
        <w:t>s place of residence at the time of the abortion.</w:t>
      </w:r>
      <w:r w:rsidR="0097513F">
        <w:rPr>
          <w:rFonts w:cs="Arial"/>
          <w:i/>
          <w:lang w:val="en-GB"/>
        </w:rPr>
        <w:t xml:space="preserve"> </w:t>
      </w:r>
      <w:r w:rsidR="0097513F" w:rsidRPr="00111354">
        <w:rPr>
          <w:rFonts w:cs="Arial"/>
          <w:i/>
          <w:lang w:val="en-GB"/>
        </w:rPr>
        <w:t>The time series ends in 2023, as from 2024, abortions are no longer included in the demographic statistics processed by the Czech Statistical Office.</w:t>
      </w:r>
    </w:p>
    <w:p w14:paraId="3F7423CC" w14:textId="447F8BAA" w:rsidR="000B21A8" w:rsidRDefault="005C0C14" w:rsidP="000B21A8">
      <w:pPr>
        <w:rPr>
          <w:rFonts w:cs="Arial"/>
          <w:i/>
          <w:lang w:val="en-GB"/>
        </w:rPr>
      </w:pPr>
      <w:r>
        <w:rPr>
          <w:rFonts w:cs="Arial"/>
          <w:i/>
          <w:lang w:val="en-GB"/>
        </w:rPr>
        <w:t xml:space="preserve">Data for migration are </w:t>
      </w:r>
      <w:r w:rsidR="002A3499">
        <w:rPr>
          <w:rFonts w:cs="Arial"/>
          <w:i/>
          <w:lang w:val="en-GB"/>
        </w:rPr>
        <w:t xml:space="preserve">given in total, </w:t>
      </w:r>
      <w:r w:rsidR="000B21A8" w:rsidRPr="000B21A8">
        <w:rPr>
          <w:rFonts w:cs="Arial"/>
          <w:i/>
          <w:lang w:val="en-GB"/>
        </w:rPr>
        <w:t xml:space="preserve">i.e. in aggregate </w:t>
      </w:r>
      <w:r w:rsidR="000B21A8">
        <w:rPr>
          <w:rFonts w:cs="Arial"/>
          <w:i/>
          <w:lang w:val="en-GB"/>
        </w:rPr>
        <w:t xml:space="preserve">of internal </w:t>
      </w:r>
      <w:r w:rsidR="002A3499">
        <w:rPr>
          <w:rFonts w:cs="Arial"/>
          <w:i/>
          <w:lang w:val="en-GB"/>
        </w:rPr>
        <w:t xml:space="preserve">(between municipalities) </w:t>
      </w:r>
      <w:r w:rsidR="000B21A8">
        <w:rPr>
          <w:rFonts w:cs="Arial"/>
          <w:i/>
          <w:lang w:val="en-GB"/>
        </w:rPr>
        <w:t xml:space="preserve">and </w:t>
      </w:r>
      <w:r w:rsidR="002A3499">
        <w:rPr>
          <w:rFonts w:cs="Arial"/>
          <w:i/>
          <w:lang w:val="en-GB"/>
        </w:rPr>
        <w:t xml:space="preserve">international </w:t>
      </w:r>
      <w:r w:rsidR="000B21A8" w:rsidRPr="000B21A8">
        <w:rPr>
          <w:rFonts w:cs="Arial"/>
          <w:i/>
          <w:lang w:val="en-GB"/>
        </w:rPr>
        <w:t>migration</w:t>
      </w:r>
      <w:r w:rsidR="000B21A8">
        <w:rPr>
          <w:rFonts w:cs="Arial"/>
          <w:i/>
          <w:lang w:val="en-GB"/>
        </w:rPr>
        <w:t>.</w:t>
      </w:r>
      <w:r w:rsidR="000B21A8" w:rsidRPr="000B21A8">
        <w:rPr>
          <w:rFonts w:cs="Arial"/>
          <w:i/>
          <w:lang w:val="en-GB"/>
        </w:rPr>
        <w:t xml:space="preserve"> </w:t>
      </w:r>
    </w:p>
    <w:p w14:paraId="29D3F148" w14:textId="77777777" w:rsidR="00601DE9" w:rsidRPr="00C032A9" w:rsidRDefault="00601DE9" w:rsidP="00601DE9">
      <w:pPr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>Symbols used in tables:</w:t>
      </w:r>
    </w:p>
    <w:p w14:paraId="42DC11D3" w14:textId="77777777" w:rsidR="00601DE9" w:rsidRPr="00C032A9" w:rsidRDefault="00601DE9" w:rsidP="00C032A9">
      <w:pPr>
        <w:ind w:left="357"/>
        <w:contextualSpacing/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>-    The symbol of dash in place of a figure indicates that the phenomenon did not occur.</w:t>
      </w:r>
    </w:p>
    <w:p w14:paraId="0FA4AE1D" w14:textId="77777777" w:rsidR="00601DE9" w:rsidRPr="00C032A9" w:rsidRDefault="00601DE9" w:rsidP="00C032A9">
      <w:pPr>
        <w:ind w:left="357"/>
        <w:contextualSpacing/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>.    The symbol of dot shows that the figure is not available or cannot be relied on.</w:t>
      </w:r>
    </w:p>
    <w:p w14:paraId="3BB83593" w14:textId="77777777" w:rsidR="00D6594D" w:rsidRPr="00C032A9" w:rsidRDefault="00601DE9" w:rsidP="00C032A9">
      <w:pPr>
        <w:ind w:left="357"/>
        <w:contextualSpacing/>
        <w:rPr>
          <w:rFonts w:cs="Arial"/>
          <w:i/>
          <w:lang w:val="en-GB"/>
        </w:rPr>
      </w:pPr>
      <w:r w:rsidRPr="00C032A9">
        <w:rPr>
          <w:rFonts w:cs="Arial"/>
          <w:i/>
          <w:lang w:val="en-GB"/>
        </w:rPr>
        <w:t>x   The symbol of small cross shows that the figure is not applicable.</w:t>
      </w:r>
    </w:p>
    <w:sectPr w:rsidR="00D6594D" w:rsidRPr="00C032A9" w:rsidSect="00545628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510" w:footer="68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24C2D" w14:textId="77777777" w:rsidR="00C27016" w:rsidRDefault="00C27016" w:rsidP="00E71A58">
      <w:r>
        <w:separator/>
      </w:r>
    </w:p>
  </w:endnote>
  <w:endnote w:type="continuationSeparator" w:id="0">
    <w:p w14:paraId="0C5B7709" w14:textId="77777777" w:rsidR="00C27016" w:rsidRDefault="00C27016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C221" w14:textId="34D7CFDC" w:rsidR="00284876" w:rsidRPr="00F1639F" w:rsidRDefault="00545628" w:rsidP="00A418BC">
    <w:pPr>
      <w:pStyle w:val="Zpat"/>
      <w:rPr>
        <w:szCs w:val="16"/>
      </w:rPr>
    </w:pPr>
    <w:r w:rsidRPr="00545628">
      <w:rPr>
        <w:szCs w:val="16"/>
      </w:rPr>
      <w:fldChar w:fldCharType="begin"/>
    </w:r>
    <w:r w:rsidRPr="00545628">
      <w:rPr>
        <w:szCs w:val="16"/>
      </w:rPr>
      <w:instrText>PAGE   \* MERGEFORMAT</w:instrText>
    </w:r>
    <w:r w:rsidRPr="00545628">
      <w:rPr>
        <w:szCs w:val="16"/>
      </w:rPr>
      <w:fldChar w:fldCharType="separate"/>
    </w:r>
    <w:r w:rsidR="006C665F">
      <w:rPr>
        <w:szCs w:val="16"/>
      </w:rPr>
      <w:t>6</w:t>
    </w:r>
    <w:r w:rsidRPr="00545628">
      <w:rPr>
        <w:szCs w:val="16"/>
      </w:rPr>
      <w:fldChar w:fldCharType="end"/>
    </w:r>
    <w:r w:rsidR="00B21224">
      <w:rPr>
        <w:lang w:eastAsia="cs-CZ"/>
      </w:rPr>
      <w:drawing>
        <wp:anchor distT="0" distB="0" distL="114300" distR="114300" simplePos="0" relativeHeight="251658240" behindDoc="0" locked="0" layoutInCell="1" allowOverlap="1" wp14:anchorId="44C0B03B" wp14:editId="2F359EF4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601DE9">
      <w:rPr>
        <w:rStyle w:val="ZpatChar"/>
        <w:szCs w:val="16"/>
      </w:rPr>
      <w:t>20</w:t>
    </w:r>
    <w:r w:rsidR="00A125D1">
      <w:rPr>
        <w:rStyle w:val="ZpatChar"/>
        <w:szCs w:val="16"/>
      </w:rPr>
      <w:t>1</w:t>
    </w:r>
    <w:r w:rsidR="005239D5">
      <w:rPr>
        <w:rStyle w:val="ZpatChar"/>
        <w:szCs w:val="16"/>
      </w:rPr>
      <w:t>5</w:t>
    </w:r>
    <w:r w:rsidR="00340106">
      <w:rPr>
        <w:rStyle w:val="ZpatChar"/>
        <w:szCs w:val="16"/>
      </w:rPr>
      <w:t>–</w:t>
    </w:r>
    <w:r w:rsidR="00601DE9">
      <w:rPr>
        <w:rStyle w:val="ZpatChar"/>
        <w:szCs w:val="16"/>
      </w:rPr>
      <w:t>20</w:t>
    </w:r>
    <w:r w:rsidR="008F65DA">
      <w:rPr>
        <w:rStyle w:val="ZpatChar"/>
        <w:szCs w:val="16"/>
      </w:rPr>
      <w:t>2</w:t>
    </w:r>
    <w:r w:rsidR="005239D5">
      <w:rPr>
        <w:rStyle w:val="ZpatChar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96445" w14:textId="74350C37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371FB01D" wp14:editId="55B40839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C96875">
      <w:rPr>
        <w:rStyle w:val="ZpatChar"/>
        <w:szCs w:val="16"/>
      </w:rPr>
      <w:t>20</w:t>
    </w:r>
    <w:r w:rsidR="00A125D1">
      <w:rPr>
        <w:rStyle w:val="ZpatChar"/>
        <w:szCs w:val="16"/>
      </w:rPr>
      <w:t>1</w:t>
    </w:r>
    <w:r w:rsidR="005239D5">
      <w:rPr>
        <w:rStyle w:val="ZpatChar"/>
        <w:szCs w:val="16"/>
      </w:rPr>
      <w:t>5</w:t>
    </w:r>
    <w:r w:rsidR="00340106">
      <w:rPr>
        <w:rStyle w:val="ZpatChar"/>
        <w:szCs w:val="16"/>
      </w:rPr>
      <w:t>–</w:t>
    </w:r>
    <w:r w:rsidR="00284876">
      <w:rPr>
        <w:rStyle w:val="ZpatChar"/>
        <w:szCs w:val="16"/>
      </w:rPr>
      <w:t>20</w:t>
    </w:r>
    <w:r w:rsidR="008F65DA">
      <w:rPr>
        <w:rStyle w:val="ZpatChar"/>
        <w:szCs w:val="16"/>
      </w:rPr>
      <w:t>2</w:t>
    </w:r>
    <w:r w:rsidR="005239D5">
      <w:rPr>
        <w:rStyle w:val="ZpatChar"/>
        <w:szCs w:val="16"/>
      </w:rPr>
      <w:t>4</w:t>
    </w:r>
    <w:r w:rsidR="00284876" w:rsidRPr="00F1639F">
      <w:rPr>
        <w:szCs w:val="16"/>
      </w:rPr>
      <w:tab/>
    </w:r>
    <w:r w:rsidR="00545628">
      <w:rPr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3D02F" w14:textId="77777777" w:rsidR="00C27016" w:rsidRDefault="00C27016" w:rsidP="00E71A58">
      <w:r>
        <w:separator/>
      </w:r>
    </w:p>
  </w:footnote>
  <w:footnote w:type="continuationSeparator" w:id="0">
    <w:p w14:paraId="085F8E8E" w14:textId="77777777" w:rsidR="00C27016" w:rsidRDefault="00C27016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E822" w14:textId="77777777" w:rsidR="00601DE9" w:rsidRDefault="00601DE9" w:rsidP="00601DE9">
    <w:pPr>
      <w:pStyle w:val="Zhlav"/>
    </w:pPr>
    <w:r w:rsidRPr="00E97C22">
      <w:t xml:space="preserve">Demografická ročenka </w:t>
    </w:r>
    <w:r>
      <w:t>měst</w:t>
    </w:r>
  </w:p>
  <w:p w14:paraId="34723193" w14:textId="77777777" w:rsidR="00284876" w:rsidRPr="00601DE9" w:rsidRDefault="00601DE9" w:rsidP="00601DE9">
    <w:pPr>
      <w:pStyle w:val="Zhlav"/>
      <w:rPr>
        <w:i/>
        <w:lang w:val="en-US"/>
      </w:rPr>
    </w:pPr>
    <w:r w:rsidRPr="003C31BE">
      <w:rPr>
        <w:i/>
        <w:lang w:val="en-US"/>
      </w:rPr>
      <w:t xml:space="preserve">Demographic Yearbook of </w:t>
    </w:r>
    <w:r>
      <w:rPr>
        <w:i/>
        <w:lang w:val="en-US"/>
      </w:rPr>
      <w:t>Towns</w:t>
    </w:r>
    <w:r w:rsidRPr="003C31BE">
      <w:rPr>
        <w:i/>
        <w:lang w:val="en-US"/>
      </w:rPr>
      <w:t xml:space="preserve"> of the Czech Republic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D8EC" w14:textId="77777777" w:rsidR="00601DE9" w:rsidRDefault="00601DE9" w:rsidP="00601DE9">
    <w:pPr>
      <w:pStyle w:val="Zhlav"/>
    </w:pPr>
    <w:r w:rsidRPr="00E97C22">
      <w:t xml:space="preserve">Demografická ročenka </w:t>
    </w:r>
    <w:r>
      <w:t>měst</w:t>
    </w:r>
  </w:p>
  <w:p w14:paraId="60F99F3D" w14:textId="77777777" w:rsidR="003C31BE" w:rsidRPr="00601DE9" w:rsidRDefault="00601DE9" w:rsidP="00601DE9">
    <w:pPr>
      <w:pStyle w:val="Zhlav"/>
      <w:rPr>
        <w:i/>
        <w:lang w:val="en-US"/>
      </w:rPr>
    </w:pPr>
    <w:r w:rsidRPr="003C31BE">
      <w:rPr>
        <w:i/>
        <w:lang w:val="en-US"/>
      </w:rPr>
      <w:t xml:space="preserve">Demographic Yearbook of </w:t>
    </w:r>
    <w:r>
      <w:rPr>
        <w:i/>
        <w:lang w:val="en-US"/>
      </w:rPr>
      <w:t>Towns</w:t>
    </w:r>
    <w:r w:rsidRPr="003C31BE">
      <w:rPr>
        <w:i/>
        <w:lang w:val="en-US"/>
      </w:rPr>
      <w:t xml:space="preserve"> of the Czech Republic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C7463"/>
    <w:multiLevelType w:val="hybridMultilevel"/>
    <w:tmpl w:val="82CEA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7"/>
  </w:num>
  <w:num w:numId="14">
    <w:abstractNumId w:val="13"/>
  </w:num>
  <w:num w:numId="15">
    <w:abstractNumId w:val="19"/>
  </w:num>
  <w:num w:numId="16">
    <w:abstractNumId w:val="15"/>
  </w:num>
  <w:num w:numId="17">
    <w:abstractNumId w:val="20"/>
  </w:num>
  <w:num w:numId="18">
    <w:abstractNumId w:val="18"/>
  </w:num>
  <w:num w:numId="19">
    <w:abstractNumId w:val="12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140E0"/>
    <w:rsid w:val="000234D6"/>
    <w:rsid w:val="00023D29"/>
    <w:rsid w:val="00026389"/>
    <w:rsid w:val="00027631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011"/>
    <w:rsid w:val="000A7ED2"/>
    <w:rsid w:val="000B21A8"/>
    <w:rsid w:val="000C1950"/>
    <w:rsid w:val="000C3408"/>
    <w:rsid w:val="000C6AFD"/>
    <w:rsid w:val="000D5637"/>
    <w:rsid w:val="000E6FBD"/>
    <w:rsid w:val="000E7857"/>
    <w:rsid w:val="00100F5C"/>
    <w:rsid w:val="0010263D"/>
    <w:rsid w:val="00104C4C"/>
    <w:rsid w:val="00111291"/>
    <w:rsid w:val="0011325A"/>
    <w:rsid w:val="0012192F"/>
    <w:rsid w:val="00125D69"/>
    <w:rsid w:val="00136E77"/>
    <w:rsid w:val="001405FA"/>
    <w:rsid w:val="001410FA"/>
    <w:rsid w:val="001425C3"/>
    <w:rsid w:val="00155321"/>
    <w:rsid w:val="001574B7"/>
    <w:rsid w:val="0016256B"/>
    <w:rsid w:val="00163793"/>
    <w:rsid w:val="00166F3F"/>
    <w:rsid w:val="001706D6"/>
    <w:rsid w:val="001714F2"/>
    <w:rsid w:val="001770D9"/>
    <w:rsid w:val="00184B08"/>
    <w:rsid w:val="00185010"/>
    <w:rsid w:val="001A552F"/>
    <w:rsid w:val="001A6BC7"/>
    <w:rsid w:val="001A6DB9"/>
    <w:rsid w:val="001B2CA9"/>
    <w:rsid w:val="001B3110"/>
    <w:rsid w:val="001B4729"/>
    <w:rsid w:val="001B6C09"/>
    <w:rsid w:val="001C05CD"/>
    <w:rsid w:val="001D231C"/>
    <w:rsid w:val="001D68B2"/>
    <w:rsid w:val="001E7E48"/>
    <w:rsid w:val="001F4597"/>
    <w:rsid w:val="001F6E5B"/>
    <w:rsid w:val="002049EE"/>
    <w:rsid w:val="0021112A"/>
    <w:rsid w:val="002118B9"/>
    <w:rsid w:val="00213C0A"/>
    <w:rsid w:val="00217C5B"/>
    <w:rsid w:val="0022139E"/>
    <w:rsid w:val="0022332D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097D"/>
    <w:rsid w:val="002A16D4"/>
    <w:rsid w:val="002A230C"/>
    <w:rsid w:val="002A3499"/>
    <w:rsid w:val="002A7622"/>
    <w:rsid w:val="002B5138"/>
    <w:rsid w:val="002C43BD"/>
    <w:rsid w:val="002D0E59"/>
    <w:rsid w:val="002E02A1"/>
    <w:rsid w:val="002E4E4C"/>
    <w:rsid w:val="002E57D3"/>
    <w:rsid w:val="002E6C66"/>
    <w:rsid w:val="00301919"/>
    <w:rsid w:val="00304771"/>
    <w:rsid w:val="003052D4"/>
    <w:rsid w:val="00306C5B"/>
    <w:rsid w:val="0030754C"/>
    <w:rsid w:val="00313BFB"/>
    <w:rsid w:val="003209D6"/>
    <w:rsid w:val="0032656E"/>
    <w:rsid w:val="00332190"/>
    <w:rsid w:val="00340106"/>
    <w:rsid w:val="00344668"/>
    <w:rsid w:val="003462D9"/>
    <w:rsid w:val="003527A3"/>
    <w:rsid w:val="00354992"/>
    <w:rsid w:val="00356853"/>
    <w:rsid w:val="003657F3"/>
    <w:rsid w:val="003719A2"/>
    <w:rsid w:val="003818DC"/>
    <w:rsid w:val="00385D98"/>
    <w:rsid w:val="0039261E"/>
    <w:rsid w:val="003A2B4D"/>
    <w:rsid w:val="003A478C"/>
    <w:rsid w:val="003A5525"/>
    <w:rsid w:val="003A6B38"/>
    <w:rsid w:val="003B5A32"/>
    <w:rsid w:val="003B7305"/>
    <w:rsid w:val="003C31BE"/>
    <w:rsid w:val="003C3490"/>
    <w:rsid w:val="003D3BEB"/>
    <w:rsid w:val="003D6920"/>
    <w:rsid w:val="003E4C91"/>
    <w:rsid w:val="003E4F5E"/>
    <w:rsid w:val="003F313C"/>
    <w:rsid w:val="003F551C"/>
    <w:rsid w:val="00407C13"/>
    <w:rsid w:val="00410638"/>
    <w:rsid w:val="00432A58"/>
    <w:rsid w:val="00434617"/>
    <w:rsid w:val="00440900"/>
    <w:rsid w:val="004441A0"/>
    <w:rsid w:val="00467E68"/>
    <w:rsid w:val="00476240"/>
    <w:rsid w:val="00476439"/>
    <w:rsid w:val="00477325"/>
    <w:rsid w:val="0047735C"/>
    <w:rsid w:val="004776BC"/>
    <w:rsid w:val="0048139F"/>
    <w:rsid w:val="00481B68"/>
    <w:rsid w:val="00481E40"/>
    <w:rsid w:val="00484ECE"/>
    <w:rsid w:val="004915CB"/>
    <w:rsid w:val="004A1719"/>
    <w:rsid w:val="004A3212"/>
    <w:rsid w:val="004A61C5"/>
    <w:rsid w:val="004A69ED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0A3A"/>
    <w:rsid w:val="004F33A0"/>
    <w:rsid w:val="004F78D0"/>
    <w:rsid w:val="00501897"/>
    <w:rsid w:val="005108C0"/>
    <w:rsid w:val="00511873"/>
    <w:rsid w:val="00512A2F"/>
    <w:rsid w:val="00513B7E"/>
    <w:rsid w:val="00515C74"/>
    <w:rsid w:val="0052007E"/>
    <w:rsid w:val="0052337A"/>
    <w:rsid w:val="005239D5"/>
    <w:rsid w:val="0052454B"/>
    <w:rsid w:val="00525137"/>
    <w:rsid w:val="005251DD"/>
    <w:rsid w:val="005261F8"/>
    <w:rsid w:val="00532CE7"/>
    <w:rsid w:val="0053324C"/>
    <w:rsid w:val="00534715"/>
    <w:rsid w:val="00534A28"/>
    <w:rsid w:val="00541508"/>
    <w:rsid w:val="00545628"/>
    <w:rsid w:val="0055599F"/>
    <w:rsid w:val="00556D68"/>
    <w:rsid w:val="005627BA"/>
    <w:rsid w:val="005647BF"/>
    <w:rsid w:val="00571330"/>
    <w:rsid w:val="00572766"/>
    <w:rsid w:val="0057364B"/>
    <w:rsid w:val="00574773"/>
    <w:rsid w:val="00580C8E"/>
    <w:rsid w:val="00583FFD"/>
    <w:rsid w:val="00587869"/>
    <w:rsid w:val="005911BE"/>
    <w:rsid w:val="00593152"/>
    <w:rsid w:val="005A10F2"/>
    <w:rsid w:val="005A21E0"/>
    <w:rsid w:val="005A28FF"/>
    <w:rsid w:val="005A3DF8"/>
    <w:rsid w:val="005A5549"/>
    <w:rsid w:val="005B121D"/>
    <w:rsid w:val="005B3BB6"/>
    <w:rsid w:val="005C06ED"/>
    <w:rsid w:val="005C0C14"/>
    <w:rsid w:val="005D08AF"/>
    <w:rsid w:val="005D5802"/>
    <w:rsid w:val="005D5E4D"/>
    <w:rsid w:val="005D7890"/>
    <w:rsid w:val="005E0E2D"/>
    <w:rsid w:val="005E34D5"/>
    <w:rsid w:val="005E7C78"/>
    <w:rsid w:val="005F3EB1"/>
    <w:rsid w:val="00601DE9"/>
    <w:rsid w:val="00604307"/>
    <w:rsid w:val="0060487F"/>
    <w:rsid w:val="00604EAD"/>
    <w:rsid w:val="006104FB"/>
    <w:rsid w:val="00612A2F"/>
    <w:rsid w:val="00616E05"/>
    <w:rsid w:val="00620828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43B"/>
    <w:rsid w:val="00664803"/>
    <w:rsid w:val="00665BA4"/>
    <w:rsid w:val="00667AF2"/>
    <w:rsid w:val="006710C9"/>
    <w:rsid w:val="00671D92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65F"/>
    <w:rsid w:val="006C6924"/>
    <w:rsid w:val="006C7CA6"/>
    <w:rsid w:val="006D3E8A"/>
    <w:rsid w:val="006D53DB"/>
    <w:rsid w:val="006D61F6"/>
    <w:rsid w:val="006E279A"/>
    <w:rsid w:val="006E313B"/>
    <w:rsid w:val="00704A5B"/>
    <w:rsid w:val="00706AD4"/>
    <w:rsid w:val="007140BE"/>
    <w:rsid w:val="007171F9"/>
    <w:rsid w:val="007211F5"/>
    <w:rsid w:val="00725BB5"/>
    <w:rsid w:val="00730AE8"/>
    <w:rsid w:val="0073379D"/>
    <w:rsid w:val="00733870"/>
    <w:rsid w:val="0073775E"/>
    <w:rsid w:val="00741493"/>
    <w:rsid w:val="007439A9"/>
    <w:rsid w:val="00752180"/>
    <w:rsid w:val="00755202"/>
    <w:rsid w:val="00755D3A"/>
    <w:rsid w:val="007578D3"/>
    <w:rsid w:val="00757F0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0647"/>
    <w:rsid w:val="007B296D"/>
    <w:rsid w:val="007B6689"/>
    <w:rsid w:val="007C01DA"/>
    <w:rsid w:val="007C30BE"/>
    <w:rsid w:val="007D40DF"/>
    <w:rsid w:val="007E7E61"/>
    <w:rsid w:val="007F0845"/>
    <w:rsid w:val="00805DEB"/>
    <w:rsid w:val="00807C82"/>
    <w:rsid w:val="0081278A"/>
    <w:rsid w:val="00816905"/>
    <w:rsid w:val="00821FF6"/>
    <w:rsid w:val="0083143E"/>
    <w:rsid w:val="00831CDE"/>
    <w:rsid w:val="00834304"/>
    <w:rsid w:val="00834FAA"/>
    <w:rsid w:val="00836086"/>
    <w:rsid w:val="008403F1"/>
    <w:rsid w:val="0084054B"/>
    <w:rsid w:val="0084708F"/>
    <w:rsid w:val="008477C8"/>
    <w:rsid w:val="0085114D"/>
    <w:rsid w:val="00852217"/>
    <w:rsid w:val="00852C47"/>
    <w:rsid w:val="00855408"/>
    <w:rsid w:val="00856B37"/>
    <w:rsid w:val="00856D65"/>
    <w:rsid w:val="00861B41"/>
    <w:rsid w:val="00863434"/>
    <w:rsid w:val="00865E4C"/>
    <w:rsid w:val="00867C0B"/>
    <w:rsid w:val="008701E4"/>
    <w:rsid w:val="00875A32"/>
    <w:rsid w:val="00876086"/>
    <w:rsid w:val="00884704"/>
    <w:rsid w:val="008873D4"/>
    <w:rsid w:val="00892F55"/>
    <w:rsid w:val="00893E85"/>
    <w:rsid w:val="00894031"/>
    <w:rsid w:val="008A06BB"/>
    <w:rsid w:val="008A32D0"/>
    <w:rsid w:val="008B7C02"/>
    <w:rsid w:val="008B7D2B"/>
    <w:rsid w:val="008C0049"/>
    <w:rsid w:val="008C0E88"/>
    <w:rsid w:val="008D040A"/>
    <w:rsid w:val="008D1507"/>
    <w:rsid w:val="008D1E6A"/>
    <w:rsid w:val="008D2A16"/>
    <w:rsid w:val="008D2BE0"/>
    <w:rsid w:val="008E2677"/>
    <w:rsid w:val="008E2C57"/>
    <w:rsid w:val="008E31FF"/>
    <w:rsid w:val="008E6F06"/>
    <w:rsid w:val="008F029B"/>
    <w:rsid w:val="008F3FC9"/>
    <w:rsid w:val="008F50C7"/>
    <w:rsid w:val="008F585B"/>
    <w:rsid w:val="008F65DA"/>
    <w:rsid w:val="009003A8"/>
    <w:rsid w:val="00902500"/>
    <w:rsid w:val="00902634"/>
    <w:rsid w:val="00902EFF"/>
    <w:rsid w:val="0091155E"/>
    <w:rsid w:val="00912A92"/>
    <w:rsid w:val="0091728D"/>
    <w:rsid w:val="00920199"/>
    <w:rsid w:val="009210BE"/>
    <w:rsid w:val="0092180B"/>
    <w:rsid w:val="00921F14"/>
    <w:rsid w:val="00924AC8"/>
    <w:rsid w:val="0092597A"/>
    <w:rsid w:val="00930CFE"/>
    <w:rsid w:val="00933606"/>
    <w:rsid w:val="00937AE2"/>
    <w:rsid w:val="0094427A"/>
    <w:rsid w:val="00956240"/>
    <w:rsid w:val="00962B9D"/>
    <w:rsid w:val="009636D8"/>
    <w:rsid w:val="00965684"/>
    <w:rsid w:val="00967E8D"/>
    <w:rsid w:val="00971FDC"/>
    <w:rsid w:val="009740AB"/>
    <w:rsid w:val="00974923"/>
    <w:rsid w:val="0097513F"/>
    <w:rsid w:val="00980D3D"/>
    <w:rsid w:val="00992CF3"/>
    <w:rsid w:val="009948C0"/>
    <w:rsid w:val="009968D6"/>
    <w:rsid w:val="009A19C9"/>
    <w:rsid w:val="009A1CAB"/>
    <w:rsid w:val="009A60D1"/>
    <w:rsid w:val="009B6FD3"/>
    <w:rsid w:val="009C1750"/>
    <w:rsid w:val="009C2E29"/>
    <w:rsid w:val="009C554B"/>
    <w:rsid w:val="009C719E"/>
    <w:rsid w:val="009D2D0A"/>
    <w:rsid w:val="009D3ACD"/>
    <w:rsid w:val="009E3739"/>
    <w:rsid w:val="009E5DDB"/>
    <w:rsid w:val="009F1C1B"/>
    <w:rsid w:val="009F4CA7"/>
    <w:rsid w:val="00A02D97"/>
    <w:rsid w:val="00A041CA"/>
    <w:rsid w:val="00A10D66"/>
    <w:rsid w:val="00A125D1"/>
    <w:rsid w:val="00A14114"/>
    <w:rsid w:val="00A23E43"/>
    <w:rsid w:val="00A26D83"/>
    <w:rsid w:val="00A30F65"/>
    <w:rsid w:val="00A418BC"/>
    <w:rsid w:val="00A46DE0"/>
    <w:rsid w:val="00A50D73"/>
    <w:rsid w:val="00A52CAD"/>
    <w:rsid w:val="00A53FC7"/>
    <w:rsid w:val="00A62CE1"/>
    <w:rsid w:val="00A6741E"/>
    <w:rsid w:val="00A70D5C"/>
    <w:rsid w:val="00A75E40"/>
    <w:rsid w:val="00A77D1D"/>
    <w:rsid w:val="00A857C0"/>
    <w:rsid w:val="00A92428"/>
    <w:rsid w:val="00AA2996"/>
    <w:rsid w:val="00AA3FE9"/>
    <w:rsid w:val="00AA52BF"/>
    <w:rsid w:val="00AA559A"/>
    <w:rsid w:val="00AB2AF1"/>
    <w:rsid w:val="00AC1083"/>
    <w:rsid w:val="00AD306C"/>
    <w:rsid w:val="00AE09B3"/>
    <w:rsid w:val="00AE1A83"/>
    <w:rsid w:val="00AF107E"/>
    <w:rsid w:val="00AF2218"/>
    <w:rsid w:val="00AF47AD"/>
    <w:rsid w:val="00B00913"/>
    <w:rsid w:val="00B01593"/>
    <w:rsid w:val="00B02790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A43"/>
    <w:rsid w:val="00B55F5E"/>
    <w:rsid w:val="00B5752E"/>
    <w:rsid w:val="00B6362E"/>
    <w:rsid w:val="00B63A11"/>
    <w:rsid w:val="00B64C24"/>
    <w:rsid w:val="00B6608F"/>
    <w:rsid w:val="00B679FB"/>
    <w:rsid w:val="00B76D1E"/>
    <w:rsid w:val="00B8097D"/>
    <w:rsid w:val="00B80EC6"/>
    <w:rsid w:val="00B85736"/>
    <w:rsid w:val="00B92D1D"/>
    <w:rsid w:val="00B938C5"/>
    <w:rsid w:val="00B95940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32A9"/>
    <w:rsid w:val="00C17C61"/>
    <w:rsid w:val="00C20A3A"/>
    <w:rsid w:val="00C21F94"/>
    <w:rsid w:val="00C26563"/>
    <w:rsid w:val="00C27016"/>
    <w:rsid w:val="00C27913"/>
    <w:rsid w:val="00C33B68"/>
    <w:rsid w:val="00C36A79"/>
    <w:rsid w:val="00C405D4"/>
    <w:rsid w:val="00C446ED"/>
    <w:rsid w:val="00C4513B"/>
    <w:rsid w:val="00C54697"/>
    <w:rsid w:val="00C55411"/>
    <w:rsid w:val="00C6752D"/>
    <w:rsid w:val="00C70493"/>
    <w:rsid w:val="00C73885"/>
    <w:rsid w:val="00C747B1"/>
    <w:rsid w:val="00C74F6E"/>
    <w:rsid w:val="00C82191"/>
    <w:rsid w:val="00C8621D"/>
    <w:rsid w:val="00C90CF4"/>
    <w:rsid w:val="00C9279C"/>
    <w:rsid w:val="00C92EB6"/>
    <w:rsid w:val="00C93389"/>
    <w:rsid w:val="00C96875"/>
    <w:rsid w:val="00C96CCE"/>
    <w:rsid w:val="00CA36DE"/>
    <w:rsid w:val="00CB2C9B"/>
    <w:rsid w:val="00CB4930"/>
    <w:rsid w:val="00CB6EAB"/>
    <w:rsid w:val="00CC2E7D"/>
    <w:rsid w:val="00CD0A5F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50E70"/>
    <w:rsid w:val="00D50F46"/>
    <w:rsid w:val="00D53AC7"/>
    <w:rsid w:val="00D6594D"/>
    <w:rsid w:val="00D66223"/>
    <w:rsid w:val="00D8084C"/>
    <w:rsid w:val="00DA7C0C"/>
    <w:rsid w:val="00DB2EC8"/>
    <w:rsid w:val="00DB5695"/>
    <w:rsid w:val="00DC274B"/>
    <w:rsid w:val="00DC5B3B"/>
    <w:rsid w:val="00DC75CB"/>
    <w:rsid w:val="00DD129F"/>
    <w:rsid w:val="00DD1FAB"/>
    <w:rsid w:val="00DD3A7B"/>
    <w:rsid w:val="00DD685B"/>
    <w:rsid w:val="00DE6AD4"/>
    <w:rsid w:val="00DF42FF"/>
    <w:rsid w:val="00E01C0E"/>
    <w:rsid w:val="00E037DD"/>
    <w:rsid w:val="00E03F9A"/>
    <w:rsid w:val="00E04694"/>
    <w:rsid w:val="00E12B1E"/>
    <w:rsid w:val="00E17262"/>
    <w:rsid w:val="00E253A2"/>
    <w:rsid w:val="00E32C03"/>
    <w:rsid w:val="00E3309D"/>
    <w:rsid w:val="00E34C73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97C22"/>
    <w:rsid w:val="00EA0C68"/>
    <w:rsid w:val="00EC03D7"/>
    <w:rsid w:val="00ED62C6"/>
    <w:rsid w:val="00ED64C1"/>
    <w:rsid w:val="00ED675E"/>
    <w:rsid w:val="00EE224F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4407"/>
    <w:rsid w:val="00F24D23"/>
    <w:rsid w:val="00F24FAA"/>
    <w:rsid w:val="00F25241"/>
    <w:rsid w:val="00F333FE"/>
    <w:rsid w:val="00F3364D"/>
    <w:rsid w:val="00F42A72"/>
    <w:rsid w:val="00F437CC"/>
    <w:rsid w:val="00F47067"/>
    <w:rsid w:val="00F50768"/>
    <w:rsid w:val="00F510D8"/>
    <w:rsid w:val="00F525EB"/>
    <w:rsid w:val="00F63DDE"/>
    <w:rsid w:val="00F63FB7"/>
    <w:rsid w:val="00F649D2"/>
    <w:rsid w:val="00F6602B"/>
    <w:rsid w:val="00F66749"/>
    <w:rsid w:val="00F72377"/>
    <w:rsid w:val="00F73A0C"/>
    <w:rsid w:val="00F75443"/>
    <w:rsid w:val="00F756DB"/>
    <w:rsid w:val="00F85066"/>
    <w:rsid w:val="00FA03C7"/>
    <w:rsid w:val="00FA262A"/>
    <w:rsid w:val="00FA5D4D"/>
    <w:rsid w:val="00FB69FE"/>
    <w:rsid w:val="00FC0E5F"/>
    <w:rsid w:val="00FC1A95"/>
    <w:rsid w:val="00FC56DE"/>
    <w:rsid w:val="00FC684B"/>
    <w:rsid w:val="00FD0A44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4D460E68"/>
  <w15:docId w15:val="{B14DEC83-2AB4-4783-BCAF-439EC7C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076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3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3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32D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32D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95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950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0C1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u.gov.cz/population-change-methodolog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su.gov.cz/population-methodolo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03C0-0866-4AF7-A1B5-C3780B22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138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Methodological notes</vt:lpstr>
      <vt:lpstr/>
    </vt:vector>
  </TitlesOfParts>
  <Company>CSU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Methodological notes</dc:title>
  <dc:creator>ČSÚ</dc:creator>
  <cp:lastModifiedBy>Štyglerová Terezie</cp:lastModifiedBy>
  <cp:revision>30</cp:revision>
  <cp:lastPrinted>2022-10-31T12:22:00Z</cp:lastPrinted>
  <dcterms:created xsi:type="dcterms:W3CDTF">2021-08-16T10:18:00Z</dcterms:created>
  <dcterms:modified xsi:type="dcterms:W3CDTF">2025-06-13T06:20:00Z</dcterms:modified>
</cp:coreProperties>
</file>