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F071F6" w:rsidP="0097104F">
      <w:pPr>
        <w:pStyle w:val="Nadpis1"/>
      </w:pPr>
      <w:bookmarkStart w:id="0" w:name="_GoBack"/>
      <w:bookmarkEnd w:id="0"/>
      <w:r w:rsidRPr="00F071F6">
        <w:t>Průměrná míra inflace v roce 2020 byla 3,2 %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F071F6">
        <w:t>prosinec</w:t>
      </w:r>
      <w:r w:rsidR="00250429">
        <w:t> 20</w:t>
      </w:r>
      <w:r w:rsidR="00D563FA">
        <w:t>20</w:t>
      </w:r>
    </w:p>
    <w:p w:rsidR="00C031B4" w:rsidRPr="0072569E" w:rsidRDefault="00F071F6" w:rsidP="00C031B4">
      <w:pPr>
        <w:pStyle w:val="Perex"/>
        <w:rPr>
          <w:b w:val="0"/>
        </w:rPr>
      </w:pPr>
      <w:r w:rsidRPr="002E7BAD">
        <w:t xml:space="preserve">Spotřebitelské ceny </w:t>
      </w:r>
      <w:r>
        <w:t>klesly</w:t>
      </w:r>
      <w:r w:rsidRPr="002E7BAD">
        <w:t xml:space="preserve"> v </w:t>
      </w:r>
      <w:r>
        <w:t>prosinci</w:t>
      </w:r>
      <w:r w:rsidRPr="002E7BAD">
        <w:t xml:space="preserve"> proti </w:t>
      </w:r>
      <w:r>
        <w:t>listopadu</w:t>
      </w:r>
      <w:r w:rsidRPr="002E7BAD">
        <w:t xml:space="preserve"> o 0,</w:t>
      </w:r>
      <w:r>
        <w:t>2</w:t>
      </w:r>
      <w:r w:rsidRPr="002E7BAD">
        <w:t> %</w:t>
      </w:r>
      <w:r>
        <w:t xml:space="preserve">. Tento vývoj byl ovlivněn zejména poklesem </w:t>
      </w:r>
      <w:r w:rsidRPr="00186648">
        <w:t>cen v</w:t>
      </w:r>
      <w:r>
        <w:t> </w:t>
      </w:r>
      <w:r w:rsidRPr="00186648">
        <w:t>oddíle</w:t>
      </w:r>
      <w:r>
        <w:t xml:space="preserve"> potraviny a nealkoholické nápoje.</w:t>
      </w:r>
      <w:r w:rsidRPr="00186648">
        <w:t xml:space="preserve"> </w:t>
      </w:r>
      <w:r w:rsidRPr="002E7BAD">
        <w:t>Meziročně vzrostly spotřebitelské ceny v </w:t>
      </w:r>
      <w:r>
        <w:t>prosinci</w:t>
      </w:r>
      <w:r w:rsidRPr="002E7BAD">
        <w:t xml:space="preserve"> o </w:t>
      </w:r>
      <w:r>
        <w:t>2,3</w:t>
      </w:r>
      <w:r w:rsidRPr="002E7BAD">
        <w:t> %</w:t>
      </w:r>
      <w:r>
        <w:t>, což bylo o 0,4</w:t>
      </w:r>
      <w:r w:rsidRPr="00895A77">
        <w:t xml:space="preserve"> procentního bodu </w:t>
      </w:r>
      <w:r>
        <w:t xml:space="preserve">méně než </w:t>
      </w:r>
      <w:r w:rsidRPr="00895A77">
        <w:t>v</w:t>
      </w:r>
      <w:r>
        <w:t> listopadu</w:t>
      </w:r>
      <w:r w:rsidRPr="00FC7031">
        <w:t>.</w:t>
      </w:r>
      <w:r>
        <w:t xml:space="preserve"> </w:t>
      </w:r>
      <w:r w:rsidRPr="00FC7031">
        <w:t>Jednalo se o nej</w:t>
      </w:r>
      <w:r>
        <w:t>nižší meziroční růst cen od prosince</w:t>
      </w:r>
      <w:r w:rsidRPr="00FC7031">
        <w:t> 201</w:t>
      </w:r>
      <w:r>
        <w:t>8</w:t>
      </w:r>
      <w:r w:rsidRPr="00FC7031">
        <w:t>.</w:t>
      </w:r>
      <w:r>
        <w:t xml:space="preserve"> </w:t>
      </w:r>
      <w:r w:rsidRPr="00635D83">
        <w:t xml:space="preserve">Průměrná míra inflace </w:t>
      </w:r>
      <w:r>
        <w:t>za celý rok </w:t>
      </w:r>
      <w:r w:rsidRPr="00635D83">
        <w:t>20</w:t>
      </w:r>
      <w:r>
        <w:t>20 byla 3,</w:t>
      </w:r>
      <w:r w:rsidRPr="00635D83">
        <w:t>2</w:t>
      </w:r>
      <w:r>
        <w:t> </w:t>
      </w:r>
      <w:r w:rsidRPr="00186648">
        <w:t>%</w:t>
      </w:r>
      <w:r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F071F6" w:rsidRDefault="00F071F6" w:rsidP="00F071F6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AD647B">
        <w:rPr>
          <w:rFonts w:cs="Arial"/>
          <w:szCs w:val="20"/>
        </w:rPr>
        <w:t>Meziměsíční pokles cen</w:t>
      </w:r>
      <w:r>
        <w:rPr>
          <w:rFonts w:cs="Arial"/>
          <w:szCs w:val="20"/>
        </w:rPr>
        <w:t xml:space="preserve"> </w:t>
      </w:r>
      <w:r w:rsidRPr="0049363E">
        <w:rPr>
          <w:rFonts w:cs="Arial"/>
          <w:szCs w:val="20"/>
        </w:rPr>
        <w:t xml:space="preserve">v oddíle </w:t>
      </w:r>
      <w:r w:rsidRPr="00136C16">
        <w:rPr>
          <w:rFonts w:cs="Arial"/>
          <w:szCs w:val="20"/>
        </w:rPr>
        <w:t>potraviny a nealkoholické nápoje</w:t>
      </w:r>
      <w:r>
        <w:rPr>
          <w:rFonts w:cs="Arial"/>
          <w:szCs w:val="20"/>
        </w:rPr>
        <w:t xml:space="preserve"> byl způsoben především nižšími cenami zeleniny o 9,4 %. Ceny jogurtů klesly o 5,8 %, vepřového masa o 1,3 %, vajec o 3,5 %, sýrů a tvarohů o 0,8 %. V oddíle odívání a obuv byly nižší ceny oděvů o 1,8 %.</w:t>
      </w:r>
    </w:p>
    <w:p w:rsidR="00F071F6" w:rsidRDefault="00F071F6" w:rsidP="00F071F6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2E7BAD">
        <w:rPr>
          <w:rFonts w:cs="Arial"/>
          <w:szCs w:val="20"/>
        </w:rPr>
        <w:t xml:space="preserve">Na </w:t>
      </w:r>
      <w:r>
        <w:rPr>
          <w:rFonts w:cs="Arial"/>
          <w:szCs w:val="20"/>
        </w:rPr>
        <w:t>zvyšování</w:t>
      </w:r>
      <w:r w:rsidRPr="002E7BAD">
        <w:rPr>
          <w:rFonts w:cs="Arial"/>
          <w:szCs w:val="20"/>
        </w:rPr>
        <w:t xml:space="preserve"> celkové hladiny spotřebitelských cen působil </w:t>
      </w:r>
      <w:r>
        <w:rPr>
          <w:rFonts w:cs="Arial"/>
          <w:szCs w:val="20"/>
        </w:rPr>
        <w:t>v prosinci růst</w:t>
      </w:r>
      <w:r w:rsidRPr="002E7BAD">
        <w:rPr>
          <w:rFonts w:cs="Arial"/>
          <w:szCs w:val="20"/>
        </w:rPr>
        <w:t xml:space="preserve"> cen v</w:t>
      </w:r>
      <w:r>
        <w:rPr>
          <w:rFonts w:cs="Arial"/>
          <w:szCs w:val="20"/>
        </w:rPr>
        <w:t> </w:t>
      </w:r>
      <w:r w:rsidRPr="002E7BAD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tabák, kde byly vyšší ceny tabákových výrobků o 1,5 % a lihovin o 0,9 %. V oddíle doprava vzrostly ceny pohonných hmot a olejů o 0,9 %. Z potravin se zvýšily především ceny brambor o 5,0 % a polotučného trvanlivého mléka o 2,5 %.</w:t>
      </w:r>
    </w:p>
    <w:p w:rsidR="00D563FA" w:rsidRPr="00D563FA" w:rsidRDefault="00F071F6" w:rsidP="00F071F6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 o 0,4 %, zatímco ceny služeb o 0,2 % vzrostly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F071F6" w:rsidRPr="00F071F6" w:rsidRDefault="00F071F6" w:rsidP="00F071F6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F071F6">
        <w:rPr>
          <w:rFonts w:cs="Arial"/>
          <w:szCs w:val="20"/>
        </w:rPr>
        <w:t>Meziročně vzrostly spotřebitelské ceny v prosinci o 2,3 %, což bylo o 0,4 procentního bodu méně než v listopadu. Toto zpomalení meziročního cenového růstu ovlivnily především ceny v oddíle potraviny a nealkoholické nápoje. Ceny zeleniny přešly z listopadového růstu o 6,8 % v pokles o 7,2 % v prosinci, ceny vepřového masa byly nižší o 6,8 % (v listopadu o 2,6 %), vajec o 5,2 % (v listopadu o 1,2 %), cukru o 1,8 % (v listopadu o 0,6 %). V oddíle odívání a obuv zmírnil meziroční růst cen oděvů na 2,4 % (v listopadu 4,3 %). Zmírnění meziročního cenového růstu nastalo také v oddíle bydlení vlivem cen elektřiny, které byly v prosinci vyšší o 2,5 % (v listopadu o 3,3 %). V oddíle alkoholické nápoje, tabák zrychlil růst cen lihovin na 5,4 % (v listopadu 3,3 %) a tabákových výrobků na 16,4 % (v listopadu 14,8 %).</w:t>
      </w:r>
    </w:p>
    <w:p w:rsidR="00F071F6" w:rsidRPr="00F071F6" w:rsidRDefault="00F071F6" w:rsidP="00F071F6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0"/>
        </w:rPr>
      </w:pPr>
      <w:r w:rsidRPr="00F071F6">
        <w:rPr>
          <w:rFonts w:cs="Arial"/>
          <w:szCs w:val="20"/>
        </w:rPr>
        <w:t>Na meziroční zvyšování cenové hladiny měly v prosinci nadále největší vliv ceny v oddíle alkoholické nápoje, tabák (nárůst o 10,7 %). Další v pořadí vlivu byly ceny v oddíle bydlení, kde byly vyšší ceny nájemného z bytu o 2,0 %, vodného o 1,7 %, stočného o 1,5 %. Ceny zemního plynu byly meziročně nižší o 3,9 %. V oddíle stravování a ubytování vzrostly ceny stravovacích služeb o 4,7 %.</w:t>
      </w:r>
      <w:r w:rsidRPr="00F071F6">
        <w:rPr>
          <w:rFonts w:eastAsia="Calibri"/>
          <w:szCs w:val="20"/>
        </w:rPr>
        <w:t xml:space="preserve"> Na meziroční snižování cenové hladiny v prosinci působily ceny v oddíle </w:t>
      </w:r>
      <w:r w:rsidRPr="00F071F6">
        <w:rPr>
          <w:rFonts w:cs="Arial"/>
          <w:szCs w:val="20"/>
        </w:rPr>
        <w:t>potraviny a nealkoholické nápoje</w:t>
      </w:r>
      <w:r w:rsidRPr="00F071F6">
        <w:rPr>
          <w:rFonts w:eastAsia="Calibri"/>
          <w:szCs w:val="20"/>
        </w:rPr>
        <w:t xml:space="preserve"> (pokles o 0,1 %) a ceny v oddíle pošty a telekomunikace (pokles o 1,2 %).</w:t>
      </w:r>
    </w:p>
    <w:p w:rsidR="00D20C94" w:rsidRPr="00F071F6" w:rsidRDefault="00F071F6" w:rsidP="00F071F6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F071F6">
        <w:rPr>
          <w:rFonts w:cs="Arial"/>
          <w:szCs w:val="20"/>
        </w:rPr>
        <w:t>Ceny zboží úhrnem vzrostly o 2,0 % a ceny služeb o 2,8 %. Úhrnný index spotřebitelských cen bez započtení imputovaného nájemného (nákladů vlastnického bydlení) byl 102,4 %.</w:t>
      </w:r>
    </w:p>
    <w:p w:rsidR="00F071F6" w:rsidRPr="00F071F6" w:rsidRDefault="00F071F6" w:rsidP="00F071F6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F071F6">
        <w:rPr>
          <w:rFonts w:cs="Arial"/>
          <w:b/>
          <w:szCs w:val="20"/>
        </w:rPr>
        <w:t>Průměrná míra inflace</w:t>
      </w:r>
      <w:r w:rsidRPr="00F071F6">
        <w:rPr>
          <w:rFonts w:cs="Arial"/>
          <w:szCs w:val="20"/>
        </w:rPr>
        <w:t xml:space="preserve"> vyjádřená přírůstkem indexu spotřebitelských cen v roce 2020 proti průměru roku 2019 byla 3,2 %, což bylo o 0,4 procentního bodu více než v roce 2019. Byla to nejvyšší průměrná roční míra inflace od roku 2012. Ceny zboží úhrnem a ceny služeb vzrostly v roce 2020 shodně o 3,2 %.</w:t>
      </w:r>
    </w:p>
    <w:p w:rsidR="00F071F6" w:rsidRPr="00F071F6" w:rsidRDefault="00F071F6" w:rsidP="00F071F6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F071F6">
        <w:rPr>
          <w:rFonts w:cs="Arial"/>
          <w:szCs w:val="20"/>
        </w:rPr>
        <w:t xml:space="preserve">(Shrnutí vývoje indexu spotřebitelských cen v roce 2020 je součástí </w:t>
      </w:r>
      <w:r w:rsidRPr="00F071F6">
        <w:rPr>
          <w:rFonts w:cs="Arial"/>
          <w:szCs w:val="20"/>
        </w:rPr>
        <w:t>souběžně vydávané analýzy za 4. </w:t>
      </w:r>
      <w:r w:rsidRPr="00F071F6">
        <w:rPr>
          <w:rFonts w:cs="Arial"/>
          <w:szCs w:val="20"/>
        </w:rPr>
        <w:t>čtvrtletí.)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lastRenderedPageBreak/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1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F071F6" w:rsidRPr="00F071F6" w:rsidRDefault="00F071F6" w:rsidP="00F071F6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F071F6">
        <w:rPr>
          <w:rFonts w:cs="Arial"/>
          <w:sz w:val="20"/>
          <w:szCs w:val="20"/>
        </w:rPr>
        <w:t xml:space="preserve">Podle předběžných výpočtů klesl </w:t>
      </w:r>
      <w:r w:rsidRPr="00F071F6">
        <w:rPr>
          <w:rFonts w:cs="Arial"/>
          <w:b/>
          <w:sz w:val="20"/>
          <w:szCs w:val="20"/>
        </w:rPr>
        <w:t xml:space="preserve">v prosinci </w:t>
      </w:r>
      <w:r w:rsidRPr="00F071F6">
        <w:rPr>
          <w:rFonts w:cs="Arial"/>
          <w:sz w:val="20"/>
          <w:szCs w:val="20"/>
        </w:rPr>
        <w:t xml:space="preserve">HICP v ČR </w:t>
      </w:r>
      <w:r w:rsidRPr="00F071F6">
        <w:rPr>
          <w:rFonts w:cs="Arial"/>
          <w:b/>
          <w:sz w:val="20"/>
          <w:szCs w:val="20"/>
        </w:rPr>
        <w:t xml:space="preserve">meziměsíčně </w:t>
      </w:r>
      <w:r w:rsidRPr="00F071F6">
        <w:rPr>
          <w:rFonts w:cs="Arial"/>
          <w:sz w:val="20"/>
          <w:szCs w:val="20"/>
        </w:rPr>
        <w:t>o 0,2 % a </w:t>
      </w:r>
      <w:r w:rsidRPr="00F071F6">
        <w:rPr>
          <w:rFonts w:cs="Arial"/>
          <w:b/>
          <w:sz w:val="20"/>
          <w:szCs w:val="20"/>
        </w:rPr>
        <w:t xml:space="preserve">meziročně </w:t>
      </w:r>
      <w:r w:rsidRPr="00F071F6">
        <w:rPr>
          <w:rFonts w:cs="Arial"/>
          <w:sz w:val="20"/>
          <w:szCs w:val="20"/>
        </w:rPr>
        <w:t>vzrostl</w:t>
      </w:r>
      <w:r w:rsidRPr="00F071F6">
        <w:rPr>
          <w:rFonts w:cs="Arial"/>
          <w:b/>
          <w:sz w:val="20"/>
          <w:szCs w:val="20"/>
        </w:rPr>
        <w:t xml:space="preserve"> </w:t>
      </w:r>
      <w:r w:rsidRPr="00F071F6">
        <w:rPr>
          <w:rFonts w:cs="Arial"/>
          <w:sz w:val="20"/>
          <w:szCs w:val="20"/>
        </w:rPr>
        <w:t xml:space="preserve">o 2,4 %. </w:t>
      </w:r>
      <w:r w:rsidRPr="00F071F6">
        <w:rPr>
          <w:rFonts w:cs="Arial"/>
          <w:b/>
          <w:sz w:val="20"/>
          <w:szCs w:val="20"/>
        </w:rPr>
        <w:t>Podle bleskových odhadů</w:t>
      </w:r>
      <w:r w:rsidRPr="00F071F6">
        <w:rPr>
          <w:rFonts w:cs="Arial"/>
          <w:sz w:val="20"/>
          <w:szCs w:val="20"/>
        </w:rPr>
        <w:t xml:space="preserve"> </w:t>
      </w:r>
      <w:proofErr w:type="spellStart"/>
      <w:r w:rsidRPr="00F071F6">
        <w:rPr>
          <w:rFonts w:cs="Arial"/>
          <w:sz w:val="20"/>
          <w:szCs w:val="20"/>
        </w:rPr>
        <w:t>Eurostatu</w:t>
      </w:r>
      <w:proofErr w:type="spellEnd"/>
      <w:r w:rsidRPr="00F071F6">
        <w:rPr>
          <w:rFonts w:cs="Arial"/>
          <w:b/>
          <w:sz w:val="20"/>
          <w:szCs w:val="20"/>
        </w:rPr>
        <w:t xml:space="preserve"> </w:t>
      </w:r>
      <w:r w:rsidRPr="00F071F6">
        <w:rPr>
          <w:rFonts w:cs="Arial"/>
          <w:sz w:val="20"/>
          <w:szCs w:val="20"/>
        </w:rPr>
        <w:t>byla</w:t>
      </w:r>
      <w:r w:rsidRPr="00F071F6">
        <w:rPr>
          <w:rFonts w:cs="Arial"/>
          <w:b/>
          <w:sz w:val="20"/>
          <w:szCs w:val="20"/>
        </w:rPr>
        <w:t xml:space="preserve"> meziroční</w:t>
      </w:r>
      <w:r w:rsidRPr="00F071F6">
        <w:rPr>
          <w:rFonts w:cs="Arial"/>
          <w:sz w:val="20"/>
          <w:szCs w:val="20"/>
        </w:rPr>
        <w:t xml:space="preserve"> změna HICP za Eurozónu v</w:t>
      </w:r>
      <w:r w:rsidRPr="00F071F6">
        <w:rPr>
          <w:rFonts w:cs="Arial"/>
          <w:b/>
          <w:bCs/>
          <w:sz w:val="20"/>
          <w:szCs w:val="20"/>
        </w:rPr>
        <w:t> prosinci 2020</w:t>
      </w:r>
      <w:r w:rsidRPr="00F071F6">
        <w:rPr>
          <w:rFonts w:cs="Arial"/>
          <w:sz w:val="20"/>
          <w:szCs w:val="20"/>
        </w:rPr>
        <w:t xml:space="preserve"> stejně jako v </w:t>
      </w:r>
      <w:proofErr w:type="gramStart"/>
      <w:r w:rsidRPr="00F071F6">
        <w:rPr>
          <w:rFonts w:cs="Arial"/>
          <w:sz w:val="20"/>
          <w:szCs w:val="20"/>
        </w:rPr>
        <w:t>listopadu</w:t>
      </w:r>
      <w:proofErr w:type="gramEnd"/>
      <w:r w:rsidRPr="00F071F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–</w:t>
      </w:r>
      <w:proofErr w:type="gramStart"/>
      <w:r w:rsidRPr="00F071F6">
        <w:rPr>
          <w:rFonts w:cs="Arial"/>
          <w:sz w:val="20"/>
          <w:szCs w:val="20"/>
        </w:rPr>
        <w:t>0,3</w:t>
      </w:r>
      <w:proofErr w:type="gramEnd"/>
      <w:r w:rsidRPr="00F071F6">
        <w:rPr>
          <w:rFonts w:cs="Arial"/>
          <w:sz w:val="20"/>
          <w:szCs w:val="20"/>
        </w:rPr>
        <w:t> %. N</w:t>
      </w:r>
      <w:r w:rsidRPr="00F071F6">
        <w:rPr>
          <w:rFonts w:cs="Arial"/>
          <w:bCs/>
          <w:sz w:val="20"/>
          <w:szCs w:val="20"/>
        </w:rPr>
        <w:t xml:space="preserve">a Slovensku byly </w:t>
      </w:r>
      <w:r w:rsidRPr="00F071F6">
        <w:rPr>
          <w:rFonts w:cs="Arial"/>
          <w:sz w:val="20"/>
          <w:szCs w:val="20"/>
        </w:rPr>
        <w:t>ceny v prosinci meziročně vyšší o 1,6 % a naopak v</w:t>
      </w:r>
      <w:r w:rsidRPr="00F071F6">
        <w:rPr>
          <w:rFonts w:cs="Arial"/>
          <w:bCs/>
          <w:sz w:val="20"/>
          <w:szCs w:val="20"/>
        </w:rPr>
        <w:t> Německu o 0,7 % nižší. P</w:t>
      </w:r>
      <w:r w:rsidRPr="00F071F6">
        <w:rPr>
          <w:rFonts w:cs="Arial"/>
          <w:sz w:val="20"/>
          <w:szCs w:val="20"/>
        </w:rPr>
        <w:t xml:space="preserve">odle předběžných údajů </w:t>
      </w:r>
      <w:proofErr w:type="spellStart"/>
      <w:r w:rsidRPr="00F071F6">
        <w:rPr>
          <w:rFonts w:cs="Arial"/>
          <w:sz w:val="20"/>
          <w:szCs w:val="20"/>
        </w:rPr>
        <w:t>Eurostatu</w:t>
      </w:r>
      <w:proofErr w:type="spellEnd"/>
      <w:r w:rsidRPr="00F071F6">
        <w:rPr>
          <w:rFonts w:cs="Arial"/>
          <w:sz w:val="20"/>
          <w:szCs w:val="20"/>
        </w:rPr>
        <w:t xml:space="preserve"> byla </w:t>
      </w:r>
      <w:r w:rsidRPr="00F071F6">
        <w:rPr>
          <w:rFonts w:cs="Arial"/>
          <w:b/>
          <w:sz w:val="20"/>
          <w:szCs w:val="20"/>
        </w:rPr>
        <w:t>meziroční</w:t>
      </w:r>
      <w:r w:rsidRPr="00F071F6">
        <w:rPr>
          <w:rFonts w:cs="Arial"/>
          <w:sz w:val="20"/>
          <w:szCs w:val="20"/>
        </w:rPr>
        <w:t xml:space="preserve"> změna HICP </w:t>
      </w:r>
      <w:r w:rsidRPr="00F071F6">
        <w:rPr>
          <w:rFonts w:cs="Arial"/>
          <w:b/>
          <w:bCs/>
          <w:sz w:val="20"/>
          <w:szCs w:val="20"/>
        </w:rPr>
        <w:t xml:space="preserve">27 členských zemí EU </w:t>
      </w:r>
      <w:r w:rsidRPr="00F071F6">
        <w:rPr>
          <w:rFonts w:cs="Arial"/>
          <w:b/>
          <w:sz w:val="20"/>
          <w:szCs w:val="20"/>
        </w:rPr>
        <w:t xml:space="preserve">v listopadu </w:t>
      </w:r>
      <w:r w:rsidRPr="00F071F6">
        <w:rPr>
          <w:rFonts w:cs="Arial"/>
          <w:sz w:val="20"/>
          <w:szCs w:val="20"/>
        </w:rPr>
        <w:t>stejně jako v říjnu</w:t>
      </w:r>
      <w:r w:rsidRPr="00F071F6">
        <w:rPr>
          <w:rFonts w:cs="Arial"/>
          <w:b/>
          <w:sz w:val="20"/>
          <w:szCs w:val="20"/>
        </w:rPr>
        <w:t xml:space="preserve"> </w:t>
      </w:r>
      <w:r w:rsidRPr="00F071F6">
        <w:rPr>
          <w:rFonts w:cs="Arial"/>
          <w:sz w:val="20"/>
          <w:szCs w:val="20"/>
        </w:rPr>
        <w:t xml:space="preserve">0,2 %. </w:t>
      </w:r>
      <w:r w:rsidRPr="00F071F6">
        <w:rPr>
          <w:rFonts w:cs="Arial"/>
          <w:bCs/>
          <w:sz w:val="20"/>
          <w:szCs w:val="20"/>
        </w:rPr>
        <w:t xml:space="preserve">Nejvíce ceny v listopadu meziročně vzrostly v Polsku (o 3,7 %) a největší pokles nastal v Řecku (o 2,1 %). Na Slovensku byly </w:t>
      </w:r>
      <w:r w:rsidRPr="00F071F6">
        <w:rPr>
          <w:rFonts w:cs="Arial"/>
          <w:sz w:val="20"/>
          <w:szCs w:val="20"/>
        </w:rPr>
        <w:t>ceny vyšší o 1,6 %</w:t>
      </w:r>
      <w:r w:rsidRPr="00F071F6">
        <w:rPr>
          <w:rFonts w:cs="Arial"/>
          <w:bCs/>
          <w:sz w:val="20"/>
          <w:szCs w:val="20"/>
        </w:rPr>
        <w:t xml:space="preserve"> </w:t>
      </w:r>
      <w:r w:rsidRPr="00F071F6">
        <w:rPr>
          <w:rFonts w:cs="Arial"/>
          <w:sz w:val="20"/>
          <w:szCs w:val="20"/>
        </w:rPr>
        <w:t>a v</w:t>
      </w:r>
      <w:r w:rsidRPr="00F071F6">
        <w:rPr>
          <w:rFonts w:cs="Arial"/>
          <w:bCs/>
          <w:sz w:val="20"/>
          <w:szCs w:val="20"/>
        </w:rPr>
        <w:t> Německu ceny klesly o 0,7 %.</w:t>
      </w:r>
    </w:p>
    <w:p w:rsidR="00F071F6" w:rsidRPr="00F071F6" w:rsidRDefault="00F071F6" w:rsidP="00F071F6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F071F6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F071F6">
        <w:rPr>
          <w:rFonts w:cs="Arial"/>
          <w:sz w:val="20"/>
          <w:szCs w:val="20"/>
        </w:rPr>
        <w:t>Eurostatu</w:t>
      </w:r>
      <w:proofErr w:type="spellEnd"/>
      <w:r w:rsidRPr="00F071F6">
        <w:rPr>
          <w:rFonts w:cs="Arial"/>
          <w:sz w:val="20"/>
          <w:szCs w:val="20"/>
        </w:rPr>
        <w:t xml:space="preserve">: </w:t>
      </w:r>
      <w:hyperlink r:id="rId8" w:history="1">
        <w:r w:rsidRPr="00F071F6">
          <w:rPr>
            <w:rStyle w:val="Hypertextovodkaz"/>
            <w:sz w:val="20"/>
            <w:szCs w:val="20"/>
          </w:rPr>
          <w:t>HICP</w:t>
        </w:r>
      </w:hyperlink>
      <w:r w:rsidRPr="00F071F6">
        <w:rPr>
          <w:sz w:val="20"/>
          <w:szCs w:val="20"/>
        </w:rPr>
        <w:t>.</w:t>
      </w:r>
      <w:r w:rsidRPr="00F071F6">
        <w:rPr>
          <w:rFonts w:cs="Arial"/>
          <w:sz w:val="20"/>
          <w:szCs w:val="20"/>
        </w:rPr>
        <w:t>)</w:t>
      </w:r>
    </w:p>
    <w:p w:rsidR="00F071F6" w:rsidRPr="00F071F6" w:rsidRDefault="00F071F6" w:rsidP="00F071F6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F071F6" w:rsidRPr="00F071F6" w:rsidRDefault="00F071F6" w:rsidP="00F071F6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hyperlink r:id="rId9" w:history="1">
        <w:r w:rsidRPr="00F071F6">
          <w:rPr>
            <w:rStyle w:val="Hypertextovodkaz"/>
            <w:rFonts w:cs="Arial"/>
            <w:bCs/>
            <w:szCs w:val="20"/>
          </w:rPr>
          <w:t>Metodická poznámka k indexu spotřebitelských cen za prosinec 2020 (COVID-19)</w:t>
        </w:r>
      </w:hyperlink>
    </w:p>
    <w:sectPr w:rsidR="00F071F6" w:rsidRPr="00F071F6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3A9" w:rsidRDefault="00D903A9" w:rsidP="00E71A58">
      <w:r>
        <w:separator/>
      </w:r>
    </w:p>
  </w:endnote>
  <w:endnote w:type="continuationSeparator" w:id="0">
    <w:p w:rsidR="00D903A9" w:rsidRDefault="00D903A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CA5EC5">
      <w:rPr>
        <w:szCs w:val="16"/>
      </w:rPr>
      <w:t>prosinec</w:t>
    </w:r>
    <w:r w:rsidR="00A16F97">
      <w:rPr>
        <w:rStyle w:val="ZpatChar"/>
        <w:szCs w:val="16"/>
      </w:rPr>
      <w:t xml:space="preserve"> 2020</w:t>
    </w:r>
    <w:r w:rsidRPr="00F1639F">
      <w:rPr>
        <w:rStyle w:val="ZpatChar"/>
        <w:szCs w:val="16"/>
      </w:rPr>
      <w:t xml:space="preserve"> / </w:t>
    </w:r>
    <w:r w:rsidR="00CA5EC5">
      <w:rPr>
        <w:rStyle w:val="ZpatChar"/>
        <w:i/>
        <w:szCs w:val="16"/>
      </w:rPr>
      <w:t>Dec</w:t>
    </w:r>
    <w:r w:rsidR="00F54FF4">
      <w:rPr>
        <w:rStyle w:val="ZpatChar"/>
        <w:i/>
        <w:szCs w:val="16"/>
      </w:rPr>
      <w:t>em</w:t>
    </w:r>
    <w:r w:rsidR="00AF7E5F">
      <w:rPr>
        <w:rStyle w:val="ZpatChar"/>
        <w:i/>
        <w:szCs w:val="16"/>
      </w:rPr>
      <w:t>ber</w:t>
    </w:r>
    <w:r>
      <w:rPr>
        <w:rStyle w:val="ZpatChar"/>
        <w:i/>
        <w:szCs w:val="16"/>
      </w:rPr>
      <w:t xml:space="preserve"> 20</w:t>
    </w:r>
    <w:r w:rsidR="00A16F97">
      <w:rPr>
        <w:rStyle w:val="ZpatChar"/>
        <w:i/>
        <w:szCs w:val="16"/>
      </w:rPr>
      <w:t>20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3A9" w:rsidRDefault="00D903A9" w:rsidP="00E71A58">
      <w:r>
        <w:separator/>
      </w:r>
    </w:p>
  </w:footnote>
  <w:footnote w:type="continuationSeparator" w:id="0">
    <w:p w:rsidR="00D903A9" w:rsidRDefault="00D903A9" w:rsidP="00E71A58">
      <w:r>
        <w:continuationSeparator/>
      </w:r>
    </w:p>
  </w:footnote>
  <w:footnote w:id="1">
    <w:p w:rsidR="00F071F6" w:rsidRDefault="00F071F6" w:rsidP="00F071F6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71612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0CF2"/>
    <w:rsid w:val="00407C13"/>
    <w:rsid w:val="00410638"/>
    <w:rsid w:val="00410DDA"/>
    <w:rsid w:val="0042164C"/>
    <w:rsid w:val="00432A58"/>
    <w:rsid w:val="00434617"/>
    <w:rsid w:val="00435DF6"/>
    <w:rsid w:val="00440900"/>
    <w:rsid w:val="004441A0"/>
    <w:rsid w:val="004472CA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A14"/>
    <w:rsid w:val="00486FFD"/>
    <w:rsid w:val="004915CB"/>
    <w:rsid w:val="00497660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7E61"/>
    <w:rsid w:val="007F0845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C04E1"/>
    <w:rsid w:val="00AC12B4"/>
    <w:rsid w:val="00AC1F42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1BB"/>
    <w:rsid w:val="00D27973"/>
    <w:rsid w:val="00D3124A"/>
    <w:rsid w:val="00D33DFB"/>
    <w:rsid w:val="00D50F46"/>
    <w:rsid w:val="00D559EE"/>
    <w:rsid w:val="00D563FA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0EA3"/>
    <w:rsid w:val="00E01C0E"/>
    <w:rsid w:val="00E03F9A"/>
    <w:rsid w:val="00E04694"/>
    <w:rsid w:val="00E061E4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F6F2863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a-poznamka-k-indexu-spotrebitelskych-cen-za-prosinec-2020-covid-19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5719-E2EA-4BBE-BEE4-D8282805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246</TotalTime>
  <Pages>2</Pages>
  <Words>601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145</cp:revision>
  <cp:lastPrinted>2017-01-18T13:33:00Z</cp:lastPrinted>
  <dcterms:created xsi:type="dcterms:W3CDTF">2017-02-09T16:27:00Z</dcterms:created>
  <dcterms:modified xsi:type="dcterms:W3CDTF">2021-01-12T11:26:00Z</dcterms:modified>
</cp:coreProperties>
</file>