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96" w:rsidRDefault="00022396" w:rsidP="00022396">
      <w:pPr>
        <w:pStyle w:val="Nadpis1"/>
        <w:rPr>
          <w:szCs w:val="24"/>
        </w:rPr>
      </w:pPr>
      <w:r>
        <w:t>HARMONIZOVANÝ INDEX SPOTŘEBITELSKÝCH CEN</w:t>
      </w:r>
    </w:p>
    <w:p w:rsidR="00022396" w:rsidRPr="009D14FA" w:rsidRDefault="00022396" w:rsidP="00022396">
      <w:pPr>
        <w:pStyle w:val="Zkladntext"/>
        <w:spacing w:after="240"/>
        <w:jc w:val="both"/>
        <w:rPr>
          <w:szCs w:val="20"/>
        </w:rPr>
      </w:pPr>
      <w:r w:rsidRPr="009D14FA">
        <w:rPr>
          <w:szCs w:val="20"/>
        </w:rPr>
        <w:t>Harmonizované indexy spotřebitelských cen (HICP) v Evropské unii vznikly jako reakce na potřebu vytvořit srovnatelné indexy spotřebitelských cen, aby bylo možné změřit trendy inflace členských států EU jako kritérium vstupu do měnové unie. Nepředpokládá se však, že by HICP nahradily národní indexy spotřebitelských cen. Mnoho technických aspektů výpočtu HICP se však používá i v národních indexech. Nebylo by například efektivní z hlediska nákladů mít jednu sadu pravidel výběru pro národní index spotřebitelských cen a druhou pro HICP. Lze předpokládat, že za určitou</w:t>
      </w:r>
      <w:r>
        <w:rPr>
          <w:szCs w:val="20"/>
        </w:rPr>
        <w:t xml:space="preserve"> dobu se budou národní indexy a </w:t>
      </w:r>
      <w:r w:rsidRPr="009D14FA">
        <w:rPr>
          <w:szCs w:val="20"/>
        </w:rPr>
        <w:t>HICP postupně stále více sbližovat.</w:t>
      </w:r>
    </w:p>
    <w:p w:rsidR="00022396" w:rsidRPr="00DD67F1" w:rsidRDefault="00022396" w:rsidP="00022396">
      <w:pPr>
        <w:jc w:val="both"/>
        <w:rPr>
          <w:szCs w:val="20"/>
        </w:rPr>
      </w:pPr>
      <w:r w:rsidRPr="009D14FA">
        <w:rPr>
          <w:szCs w:val="20"/>
        </w:rPr>
        <w:t xml:space="preserve">Mezi strukturou spotřebního koše národního indexu spotřebitelských </w:t>
      </w:r>
      <w:r w:rsidRPr="00DD67F1">
        <w:rPr>
          <w:szCs w:val="20"/>
        </w:rPr>
        <w:t>cen Česka a strukturou spotřebního koše HICP jsou určité rozdíly. Ve vahách HICP jsou zahrnuty tržby za nákupy ciz</w:t>
      </w:r>
      <w:r>
        <w:rPr>
          <w:szCs w:val="20"/>
        </w:rPr>
        <w:t>inců na území Česka, ale není v </w:t>
      </w:r>
      <w:r w:rsidRPr="00DD67F1">
        <w:rPr>
          <w:szCs w:val="20"/>
        </w:rPr>
        <w:t>něm zahrnuto imputované nájemné na rozdíl od národního indexu spotřebitelských cen, kde tržby za nákupy cizinců zahrnuty nejsou, ale je zde zahrnuto imputované nájemné.</w:t>
      </w:r>
    </w:p>
    <w:p w:rsidR="00022396" w:rsidRPr="009D14FA" w:rsidRDefault="00022396" w:rsidP="00022396">
      <w:pPr>
        <w:pStyle w:val="Zkladntext"/>
        <w:spacing w:after="240"/>
        <w:jc w:val="both"/>
        <w:rPr>
          <w:szCs w:val="20"/>
        </w:rPr>
      </w:pPr>
      <w:r w:rsidRPr="00DD67F1">
        <w:rPr>
          <w:szCs w:val="20"/>
        </w:rPr>
        <w:t xml:space="preserve">Od roku 2001 Česko v souladu s pravidly pro kandidátské země </w:t>
      </w:r>
      <w:r w:rsidRPr="009D14FA">
        <w:rPr>
          <w:szCs w:val="20"/>
        </w:rPr>
        <w:t>poskytuje Eurostatu indexy spotřebitelských cen, v jejichž výpočtu jsou zabudovány všechny metodické a výpočetní postupy harmonizace. HICP je tedy podle současných norem platných pro kandidátské země od počátku roku 2001 plně srovnatelný s HICP ostatních zemí.</w:t>
      </w:r>
    </w:p>
    <w:p w:rsidR="00022396" w:rsidRPr="009D14FA" w:rsidRDefault="00022396" w:rsidP="00022396">
      <w:pPr>
        <w:jc w:val="both"/>
        <w:rPr>
          <w:szCs w:val="20"/>
        </w:rPr>
      </w:pPr>
    </w:p>
    <w:p w:rsidR="00022396" w:rsidRPr="00482FD9" w:rsidRDefault="00022396" w:rsidP="00022396">
      <w:pPr>
        <w:spacing w:after="0"/>
        <w:jc w:val="both"/>
        <w:rPr>
          <w:i/>
          <w:iCs/>
          <w:szCs w:val="20"/>
        </w:rPr>
      </w:pPr>
      <w:r w:rsidRPr="00482FD9">
        <w:rPr>
          <w:b/>
          <w:bCs/>
          <w:szCs w:val="20"/>
        </w:rPr>
        <w:t>HICP</w:t>
      </w:r>
      <w:r w:rsidRPr="00482FD9">
        <w:rPr>
          <w:i/>
          <w:iCs/>
          <w:szCs w:val="20"/>
        </w:rPr>
        <w:t xml:space="preserve"> (stejný měsíc předchozího roku = 100)</w:t>
      </w:r>
    </w:p>
    <w:tbl>
      <w:tblPr>
        <w:tblpPr w:leftFromText="141" w:rightFromText="141" w:vertAnchor="text" w:horzAnchor="margin" w:tblpX="-97" w:tblpY="145"/>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1"/>
        <w:gridCol w:w="838"/>
        <w:gridCol w:w="839"/>
        <w:gridCol w:w="838"/>
        <w:gridCol w:w="839"/>
        <w:gridCol w:w="1414"/>
        <w:gridCol w:w="850"/>
        <w:gridCol w:w="851"/>
        <w:gridCol w:w="850"/>
        <w:gridCol w:w="851"/>
      </w:tblGrid>
      <w:tr w:rsidR="00022396" w:rsidRPr="00245E4D" w:rsidTr="00022396">
        <w:trPr>
          <w:trHeight w:val="510"/>
        </w:trPr>
        <w:tc>
          <w:tcPr>
            <w:tcW w:w="1481" w:type="dxa"/>
            <w:tcMar>
              <w:top w:w="15" w:type="dxa"/>
              <w:left w:w="15" w:type="dxa"/>
              <w:bottom w:w="0" w:type="dxa"/>
              <w:right w:w="15" w:type="dxa"/>
            </w:tcMar>
            <w:vAlign w:val="center"/>
          </w:tcPr>
          <w:p w:rsidR="00022396" w:rsidRPr="00245E4D" w:rsidRDefault="00022396" w:rsidP="00022396">
            <w:pPr>
              <w:spacing w:after="0" w:line="240" w:lineRule="auto"/>
              <w:jc w:val="center"/>
              <w:rPr>
                <w:rFonts w:cs="Arial"/>
                <w:sz w:val="16"/>
                <w:szCs w:val="16"/>
              </w:rPr>
            </w:pPr>
          </w:p>
        </w:tc>
        <w:tc>
          <w:tcPr>
            <w:tcW w:w="838"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srpen</w:t>
            </w:r>
            <w:r w:rsidRPr="00245E4D">
              <w:rPr>
                <w:rFonts w:cs="Arial"/>
                <w:b/>
                <w:bCs/>
                <w:sz w:val="16"/>
                <w:szCs w:val="16"/>
              </w:rPr>
              <w:br/>
              <w:t>20</w:t>
            </w:r>
            <w:r>
              <w:rPr>
                <w:rFonts w:cs="Arial"/>
                <w:b/>
                <w:bCs/>
                <w:sz w:val="16"/>
                <w:szCs w:val="16"/>
              </w:rPr>
              <w:t>24</w:t>
            </w:r>
          </w:p>
        </w:tc>
        <w:tc>
          <w:tcPr>
            <w:tcW w:w="839"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září</w:t>
            </w:r>
            <w:r w:rsidRPr="00245E4D">
              <w:rPr>
                <w:rFonts w:cs="Arial"/>
                <w:b/>
                <w:bCs/>
                <w:sz w:val="16"/>
                <w:szCs w:val="16"/>
              </w:rPr>
              <w:br/>
              <w:t>20</w:t>
            </w:r>
            <w:r>
              <w:rPr>
                <w:rFonts w:cs="Arial"/>
                <w:b/>
                <w:bCs/>
                <w:sz w:val="16"/>
                <w:szCs w:val="16"/>
              </w:rPr>
              <w:t>24</w:t>
            </w:r>
          </w:p>
        </w:tc>
        <w:tc>
          <w:tcPr>
            <w:tcW w:w="838"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říjen</w:t>
            </w:r>
            <w:r w:rsidRPr="00245E4D">
              <w:rPr>
                <w:rFonts w:cs="Arial"/>
                <w:b/>
                <w:bCs/>
                <w:sz w:val="16"/>
                <w:szCs w:val="16"/>
              </w:rPr>
              <w:br/>
              <w:t>20</w:t>
            </w:r>
            <w:r>
              <w:rPr>
                <w:rFonts w:cs="Arial"/>
                <w:b/>
                <w:bCs/>
                <w:sz w:val="16"/>
                <w:szCs w:val="16"/>
              </w:rPr>
              <w:t>24</w:t>
            </w:r>
          </w:p>
        </w:tc>
        <w:tc>
          <w:tcPr>
            <w:tcW w:w="839"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listopad</w:t>
            </w:r>
            <w:r w:rsidRPr="00245E4D">
              <w:rPr>
                <w:rFonts w:cs="Arial"/>
                <w:b/>
                <w:bCs/>
                <w:sz w:val="16"/>
                <w:szCs w:val="16"/>
              </w:rPr>
              <w:br/>
              <w:t>20</w:t>
            </w:r>
            <w:r>
              <w:rPr>
                <w:rFonts w:cs="Arial"/>
                <w:b/>
                <w:bCs/>
                <w:sz w:val="16"/>
                <w:szCs w:val="16"/>
              </w:rPr>
              <w:t>24</w:t>
            </w:r>
          </w:p>
        </w:tc>
        <w:tc>
          <w:tcPr>
            <w:tcW w:w="1414" w:type="dxa"/>
            <w:tcMar>
              <w:top w:w="15" w:type="dxa"/>
              <w:left w:w="15" w:type="dxa"/>
              <w:bottom w:w="0" w:type="dxa"/>
              <w:right w:w="15" w:type="dxa"/>
            </w:tcMar>
            <w:vAlign w:val="center"/>
          </w:tcPr>
          <w:p w:rsidR="00022396" w:rsidRPr="00245E4D" w:rsidRDefault="00022396" w:rsidP="00022396">
            <w:pPr>
              <w:spacing w:after="0" w:line="240" w:lineRule="auto"/>
              <w:jc w:val="center"/>
              <w:rPr>
                <w:rFonts w:cs="Arial"/>
                <w:b/>
                <w:bCs/>
                <w:sz w:val="16"/>
                <w:szCs w:val="16"/>
              </w:rPr>
            </w:pPr>
          </w:p>
        </w:tc>
        <w:tc>
          <w:tcPr>
            <w:tcW w:w="850"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srpen</w:t>
            </w:r>
            <w:r>
              <w:rPr>
                <w:rFonts w:cs="Arial"/>
                <w:b/>
                <w:bCs/>
                <w:sz w:val="16"/>
                <w:szCs w:val="16"/>
              </w:rPr>
              <w:br/>
              <w:t>2024</w:t>
            </w:r>
          </w:p>
        </w:tc>
        <w:tc>
          <w:tcPr>
            <w:tcW w:w="851"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září</w:t>
            </w:r>
            <w:r>
              <w:rPr>
                <w:rFonts w:cs="Arial"/>
                <w:b/>
                <w:bCs/>
                <w:sz w:val="16"/>
                <w:szCs w:val="16"/>
              </w:rPr>
              <w:br/>
              <w:t>2024</w:t>
            </w:r>
          </w:p>
        </w:tc>
        <w:tc>
          <w:tcPr>
            <w:tcW w:w="850" w:type="dxa"/>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říjen</w:t>
            </w:r>
            <w:r>
              <w:rPr>
                <w:rFonts w:cs="Arial"/>
                <w:b/>
                <w:bCs/>
                <w:sz w:val="16"/>
                <w:szCs w:val="16"/>
              </w:rPr>
              <w:br/>
              <w:t>2024</w:t>
            </w:r>
          </w:p>
        </w:tc>
        <w:tc>
          <w:tcPr>
            <w:tcW w:w="851" w:type="dxa"/>
            <w:tcMar>
              <w:top w:w="15" w:type="dxa"/>
              <w:left w:w="15" w:type="dxa"/>
              <w:bottom w:w="0" w:type="dxa"/>
              <w:right w:w="15" w:type="dxa"/>
            </w:tcMar>
            <w:vAlign w:val="center"/>
          </w:tcPr>
          <w:p w:rsidR="00022396" w:rsidRPr="00245E4D" w:rsidRDefault="00022396" w:rsidP="00022396">
            <w:pPr>
              <w:spacing w:after="0" w:line="240" w:lineRule="auto"/>
              <w:ind w:right="-15"/>
              <w:jc w:val="center"/>
              <w:rPr>
                <w:rFonts w:cs="Arial"/>
                <w:b/>
                <w:bCs/>
                <w:sz w:val="16"/>
                <w:szCs w:val="16"/>
              </w:rPr>
            </w:pPr>
            <w:r>
              <w:rPr>
                <w:rFonts w:cs="Arial"/>
                <w:b/>
                <w:bCs/>
                <w:sz w:val="16"/>
                <w:szCs w:val="16"/>
              </w:rPr>
              <w:t>listopad</w:t>
            </w:r>
            <w:r>
              <w:rPr>
                <w:rFonts w:cs="Arial"/>
                <w:b/>
                <w:bCs/>
                <w:sz w:val="16"/>
                <w:szCs w:val="16"/>
              </w:rPr>
              <w:br/>
              <w:t>2024</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A8789C" w:rsidRDefault="00022396" w:rsidP="00022396">
            <w:pPr>
              <w:spacing w:after="0" w:line="240" w:lineRule="auto"/>
              <w:rPr>
                <w:rFonts w:cs="Arial"/>
                <w:b/>
                <w:bCs/>
                <w:sz w:val="16"/>
                <w:szCs w:val="16"/>
              </w:rPr>
            </w:pPr>
            <w:r w:rsidRPr="00A8789C">
              <w:rPr>
                <w:rFonts w:cs="Arial"/>
                <w:b/>
                <w:bCs/>
                <w:sz w:val="16"/>
                <w:szCs w:val="16"/>
              </w:rPr>
              <w:t>EU 27</w:t>
            </w:r>
          </w:p>
        </w:tc>
        <w:tc>
          <w:tcPr>
            <w:tcW w:w="838" w:type="dxa"/>
            <w:noWrap/>
            <w:tcMar>
              <w:top w:w="15" w:type="dxa"/>
              <w:left w:w="15" w:type="dxa"/>
              <w:bottom w:w="0" w:type="dxa"/>
              <w:right w:w="15" w:type="dxa"/>
            </w:tcMar>
            <w:vAlign w:val="bottom"/>
          </w:tcPr>
          <w:p w:rsidR="00022396" w:rsidRPr="00A8789C" w:rsidRDefault="00022396" w:rsidP="00022396">
            <w:pPr>
              <w:spacing w:after="0" w:line="240" w:lineRule="auto"/>
              <w:ind w:right="85"/>
              <w:jc w:val="right"/>
              <w:rPr>
                <w:rFonts w:cs="Arial"/>
                <w:sz w:val="16"/>
                <w:szCs w:val="16"/>
              </w:rPr>
            </w:pPr>
            <w:r>
              <w:rPr>
                <w:rFonts w:cs="Arial"/>
                <w:sz w:val="16"/>
                <w:szCs w:val="16"/>
              </w:rPr>
              <w:t>102,4</w:t>
            </w:r>
          </w:p>
        </w:tc>
        <w:tc>
          <w:tcPr>
            <w:tcW w:w="839" w:type="dxa"/>
            <w:noWrap/>
            <w:tcMar>
              <w:top w:w="15" w:type="dxa"/>
              <w:left w:w="15" w:type="dxa"/>
              <w:bottom w:w="0" w:type="dxa"/>
              <w:right w:w="15" w:type="dxa"/>
            </w:tcMar>
            <w:vAlign w:val="bottom"/>
          </w:tcPr>
          <w:p w:rsidR="00022396" w:rsidRPr="00A8789C" w:rsidRDefault="00022396" w:rsidP="00022396">
            <w:pPr>
              <w:spacing w:after="0" w:line="240" w:lineRule="auto"/>
              <w:ind w:right="85"/>
              <w:jc w:val="right"/>
              <w:rPr>
                <w:rFonts w:cs="Arial"/>
                <w:sz w:val="16"/>
                <w:szCs w:val="16"/>
              </w:rPr>
            </w:pPr>
            <w:r>
              <w:rPr>
                <w:rFonts w:cs="Arial"/>
                <w:sz w:val="16"/>
                <w:szCs w:val="16"/>
              </w:rPr>
              <w:t>102,1</w:t>
            </w:r>
          </w:p>
        </w:tc>
        <w:tc>
          <w:tcPr>
            <w:tcW w:w="838" w:type="dxa"/>
            <w:noWrap/>
            <w:tcMar>
              <w:top w:w="15" w:type="dxa"/>
              <w:left w:w="15" w:type="dxa"/>
              <w:bottom w:w="0" w:type="dxa"/>
              <w:right w:w="15" w:type="dxa"/>
            </w:tcMar>
            <w:vAlign w:val="bottom"/>
          </w:tcPr>
          <w:p w:rsidR="00022396" w:rsidRPr="00A8789C" w:rsidRDefault="00022396" w:rsidP="00022396">
            <w:pPr>
              <w:spacing w:after="0" w:line="240" w:lineRule="auto"/>
              <w:ind w:right="85"/>
              <w:jc w:val="right"/>
              <w:rPr>
                <w:rFonts w:cs="Arial"/>
                <w:sz w:val="16"/>
                <w:szCs w:val="16"/>
              </w:rPr>
            </w:pPr>
            <w:r>
              <w:rPr>
                <w:rFonts w:cs="Arial"/>
                <w:sz w:val="16"/>
                <w:szCs w:val="16"/>
              </w:rPr>
              <w:t>102,3</w:t>
            </w:r>
          </w:p>
        </w:tc>
        <w:tc>
          <w:tcPr>
            <w:tcW w:w="839" w:type="dxa"/>
            <w:shd w:val="clear" w:color="auto" w:fill="FFFFFF"/>
            <w:noWrap/>
            <w:tcMar>
              <w:top w:w="15" w:type="dxa"/>
              <w:left w:w="15" w:type="dxa"/>
              <w:bottom w:w="0" w:type="dxa"/>
              <w:right w:w="15" w:type="dxa"/>
            </w:tcMar>
            <w:vAlign w:val="bottom"/>
          </w:tcPr>
          <w:p w:rsidR="00022396" w:rsidRPr="00A8789C" w:rsidRDefault="00022396" w:rsidP="00022396">
            <w:pPr>
              <w:spacing w:after="0" w:line="240" w:lineRule="auto"/>
              <w:ind w:right="85"/>
              <w:jc w:val="right"/>
              <w:rPr>
                <w:rFonts w:cs="Arial"/>
                <w:sz w:val="16"/>
                <w:szCs w:val="16"/>
              </w:rPr>
            </w:pPr>
            <w:r>
              <w:rPr>
                <w:rFonts w:cs="Arial"/>
                <w:sz w:val="16"/>
                <w:szCs w:val="16"/>
              </w:rPr>
              <w:t>102,5</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Lucembursko</w:t>
            </w:r>
          </w:p>
        </w:tc>
        <w:tc>
          <w:tcPr>
            <w:tcW w:w="850" w:type="dxa"/>
            <w:shd w:val="clear" w:color="auto" w:fill="FFFFFF"/>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101,7</w:t>
            </w:r>
          </w:p>
        </w:tc>
        <w:tc>
          <w:tcPr>
            <w:tcW w:w="851" w:type="dxa"/>
            <w:shd w:val="clear" w:color="auto" w:fill="FFFFFF"/>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100,8</w:t>
            </w:r>
          </w:p>
        </w:tc>
        <w:tc>
          <w:tcPr>
            <w:tcW w:w="850" w:type="dxa"/>
            <w:shd w:val="clear" w:color="auto" w:fill="FFFFFF"/>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100,9</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101,1</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keepNext/>
              <w:spacing w:after="0" w:line="240" w:lineRule="auto"/>
              <w:outlineLvl w:val="4"/>
              <w:rPr>
                <w:rFonts w:cs="Arial"/>
                <w:b/>
                <w:bCs/>
                <w:sz w:val="16"/>
                <w:szCs w:val="16"/>
              </w:rPr>
            </w:pPr>
            <w:r w:rsidRPr="00245E4D">
              <w:rPr>
                <w:rFonts w:cs="Arial"/>
                <w:b/>
                <w:bCs/>
                <w:sz w:val="16"/>
                <w:szCs w:val="16"/>
              </w:rPr>
              <w:t>Belgie</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104,3</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104,3</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104,5</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104,8</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sz w:val="16"/>
                <w:szCs w:val="16"/>
              </w:rPr>
            </w:pPr>
            <w:r w:rsidRPr="00245E4D">
              <w:rPr>
                <w:rFonts w:cs="Arial"/>
                <w:b/>
                <w:bCs/>
                <w:sz w:val="16"/>
                <w:szCs w:val="16"/>
              </w:rPr>
              <w:t>Maďarsko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103,0</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103,9</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Bulharsko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101,5</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102,0</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102,0</w:t>
            </w:r>
          </w:p>
        </w:tc>
        <w:tc>
          <w:tcPr>
            <w:tcW w:w="1414" w:type="dxa"/>
            <w:noWrap/>
            <w:tcMar>
              <w:top w:w="15" w:type="dxa"/>
              <w:left w:w="15" w:type="dxa"/>
              <w:bottom w:w="0" w:type="dxa"/>
              <w:right w:w="15" w:type="dxa"/>
            </w:tcMar>
            <w:vAlign w:val="bottom"/>
          </w:tcPr>
          <w:p w:rsidR="00022396" w:rsidRPr="00245E4D" w:rsidRDefault="00022396" w:rsidP="00022396">
            <w:pPr>
              <w:keepNext/>
              <w:spacing w:after="0" w:line="240" w:lineRule="auto"/>
              <w:outlineLvl w:val="5"/>
              <w:rPr>
                <w:rFonts w:cs="Arial"/>
                <w:b/>
                <w:bCs/>
                <w:sz w:val="16"/>
                <w:szCs w:val="16"/>
              </w:rPr>
            </w:pPr>
            <w:r w:rsidRPr="00245E4D">
              <w:rPr>
                <w:rFonts w:cs="Arial"/>
                <w:b/>
                <w:bCs/>
                <w:sz w:val="16"/>
                <w:szCs w:val="16"/>
              </w:rPr>
              <w:t>Malta</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102,1</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102,1</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DD67F1" w:rsidRDefault="00022396" w:rsidP="00022396">
            <w:pPr>
              <w:spacing w:after="0" w:line="240" w:lineRule="auto"/>
              <w:rPr>
                <w:rFonts w:cs="Arial"/>
                <w:b/>
                <w:bCs/>
                <w:sz w:val="16"/>
                <w:szCs w:val="16"/>
              </w:rPr>
            </w:pPr>
            <w:r w:rsidRPr="00DD67F1">
              <w:rPr>
                <w:rFonts w:cs="Arial"/>
                <w:b/>
                <w:bCs/>
                <w:sz w:val="16"/>
                <w:szCs w:val="16"/>
              </w:rPr>
              <w:t>Česko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102,8</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103,0</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103,1</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Německo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102,0</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101,8</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Dánsko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101,4</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101,2</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Nizozemsko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103,3</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103,3</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103,3</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103,8</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Estonsko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103,4</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103,2</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104,5</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103,8</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Polsko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104,0</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104,2</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104,2</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103,9</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Finsko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101,1</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101,0</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101,5</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101,7</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Portugalsko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101,8</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102,6</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102,6</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102,7</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Francie</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102,2</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101,4</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101,7</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Rakousko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101,8</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101,8</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101,9</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Chorvatsko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103,0</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103,1</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103,6</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104,0</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Rumunsko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105,3</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104,8</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105,0</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105,4</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Irsko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101,1</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100,0</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100,1</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100,5</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Řecko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103,2</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103,1</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103,1</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103,0</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Itálie</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101,2</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100,7</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101,0</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101,5</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Slovensko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103,2</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102,9</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103,5</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103,6</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Kypr</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102,2</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102,2</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Slovinsko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101,1</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100,7</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100,0</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Litva</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100,8</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100,4</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100,1</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101,1</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Španělsko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101,7</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101,8</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102,4</w:t>
            </w:r>
          </w:p>
        </w:tc>
      </w:tr>
      <w:tr w:rsidR="00022396" w:rsidRPr="00245E4D" w:rsidTr="00022396">
        <w:trPr>
          <w:trHeight w:val="341"/>
        </w:trPr>
        <w:tc>
          <w:tcPr>
            <w:tcW w:w="1481"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Lotyšsko</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100,9</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838"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102,1</w:t>
            </w:r>
          </w:p>
        </w:tc>
        <w:tc>
          <w:tcPr>
            <w:tcW w:w="839"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102,3</w:t>
            </w:r>
          </w:p>
        </w:tc>
        <w:tc>
          <w:tcPr>
            <w:tcW w:w="1414" w:type="dxa"/>
            <w:noWrap/>
            <w:tcMar>
              <w:top w:w="15" w:type="dxa"/>
              <w:left w:w="15" w:type="dxa"/>
              <w:bottom w:w="0" w:type="dxa"/>
              <w:right w:w="15" w:type="dxa"/>
            </w:tcMar>
            <w:vAlign w:val="bottom"/>
          </w:tcPr>
          <w:p w:rsidR="00022396" w:rsidRPr="00245E4D" w:rsidRDefault="00022396" w:rsidP="00022396">
            <w:pPr>
              <w:spacing w:after="0" w:line="240" w:lineRule="auto"/>
              <w:rPr>
                <w:rFonts w:cs="Arial"/>
                <w:b/>
                <w:bCs/>
                <w:sz w:val="16"/>
                <w:szCs w:val="16"/>
              </w:rPr>
            </w:pPr>
            <w:r w:rsidRPr="00245E4D">
              <w:rPr>
                <w:rFonts w:cs="Arial"/>
                <w:b/>
                <w:bCs/>
                <w:sz w:val="16"/>
                <w:szCs w:val="16"/>
              </w:rPr>
              <w:t>Švédsko</w:t>
            </w:r>
          </w:p>
        </w:tc>
        <w:tc>
          <w:tcPr>
            <w:tcW w:w="850"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101,3</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101,2</w:t>
            </w:r>
          </w:p>
        </w:tc>
        <w:tc>
          <w:tcPr>
            <w:tcW w:w="850" w:type="dxa"/>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101,6</w:t>
            </w:r>
          </w:p>
        </w:tc>
        <w:tc>
          <w:tcPr>
            <w:tcW w:w="851" w:type="dxa"/>
            <w:noWrap/>
            <w:tcMar>
              <w:top w:w="15" w:type="dxa"/>
              <w:left w:w="15" w:type="dxa"/>
              <w:bottom w:w="0" w:type="dxa"/>
              <w:right w:w="15" w:type="dxa"/>
            </w:tcMar>
            <w:vAlign w:val="bottom"/>
          </w:tcPr>
          <w:p w:rsidR="00022396" w:rsidRPr="00245E4D" w:rsidRDefault="00022396" w:rsidP="00022396">
            <w:pPr>
              <w:spacing w:after="0" w:line="240" w:lineRule="auto"/>
              <w:ind w:right="85"/>
              <w:jc w:val="right"/>
              <w:rPr>
                <w:rFonts w:cs="Arial"/>
                <w:sz w:val="16"/>
                <w:szCs w:val="16"/>
              </w:rPr>
            </w:pPr>
            <w:r>
              <w:rPr>
                <w:rFonts w:cs="Arial"/>
                <w:sz w:val="16"/>
                <w:szCs w:val="16"/>
              </w:rPr>
              <w:t>102,0</w:t>
            </w:r>
          </w:p>
        </w:tc>
      </w:tr>
    </w:tbl>
    <w:p w:rsidR="00022396" w:rsidRDefault="00022396" w:rsidP="00022396">
      <w:pPr>
        <w:spacing w:after="0"/>
        <w:jc w:val="both"/>
        <w:rPr>
          <w:i/>
          <w:iCs/>
          <w:szCs w:val="30"/>
        </w:rPr>
      </w:pPr>
    </w:p>
    <w:p w:rsidR="00022396" w:rsidRDefault="00022396" w:rsidP="00022396">
      <w:pPr>
        <w:spacing w:after="0"/>
        <w:ind w:left="284" w:hanging="284"/>
        <w:rPr>
          <w:sz w:val="18"/>
        </w:rPr>
      </w:pPr>
      <w:r>
        <w:rPr>
          <w:sz w:val="18"/>
        </w:rPr>
        <w:t xml:space="preserve">   p</w:t>
      </w:r>
      <w:r>
        <w:rPr>
          <w:sz w:val="18"/>
        </w:rPr>
        <w:tab/>
        <w:t>– předběžný údaj</w:t>
      </w:r>
    </w:p>
    <w:p w:rsidR="00022396" w:rsidRDefault="00022396" w:rsidP="00022396">
      <w:pPr>
        <w:spacing w:after="0"/>
        <w:ind w:left="284" w:hanging="284"/>
        <w:rPr>
          <w:sz w:val="18"/>
        </w:rPr>
      </w:pPr>
      <w:r>
        <w:rPr>
          <w:i/>
          <w:iCs/>
          <w:sz w:val="18"/>
        </w:rPr>
        <w:t xml:space="preserve">  </w:t>
      </w:r>
      <w:r>
        <w:rPr>
          <w:iCs/>
          <w:sz w:val="18"/>
        </w:rPr>
        <w:t xml:space="preserve"> r</w:t>
      </w:r>
      <w:r>
        <w:rPr>
          <w:iCs/>
          <w:sz w:val="18"/>
        </w:rPr>
        <w:tab/>
        <w:t>– revidováno</w:t>
      </w:r>
      <w:r>
        <w:rPr>
          <w:sz w:val="18"/>
        </w:rPr>
        <w:t xml:space="preserve"> </w:t>
      </w:r>
    </w:p>
    <w:p w:rsidR="00022396" w:rsidRPr="00904C2F" w:rsidRDefault="00022396" w:rsidP="00904C2F">
      <w:pPr>
        <w:spacing w:after="0"/>
        <w:rPr>
          <w:iCs/>
          <w:sz w:val="18"/>
        </w:rPr>
      </w:pPr>
      <w:r>
        <w:rPr>
          <w:i/>
          <w:iCs/>
          <w:sz w:val="18"/>
        </w:rPr>
        <w:t>Zdroj: Eurostat</w:t>
      </w:r>
      <w:r>
        <w:rPr>
          <w:i/>
          <w:iCs/>
          <w:sz w:val="16"/>
        </w:rPr>
        <w:t xml:space="preserve"> </w:t>
      </w:r>
      <w:r>
        <w:rPr>
          <w:i/>
          <w:iCs/>
          <w:sz w:val="18"/>
        </w:rPr>
        <w:t xml:space="preserve"> </w:t>
      </w:r>
      <w:hyperlink r:id="rId11" w:history="1">
        <w:r w:rsidRPr="00B35EFA">
          <w:rPr>
            <w:rStyle w:val="Hypertextovodkaz"/>
            <w:iCs/>
            <w:sz w:val="18"/>
          </w:rPr>
          <w:t>https://ec.europa.eu/eurostat/databrowser/view/prc_hicp_manr/default/table?lang=en</w:t>
        </w:r>
      </w:hyperlink>
      <w:bookmarkStart w:id="0" w:name="_GoBack"/>
      <w:bookmarkEnd w:id="0"/>
    </w:p>
    <w:sectPr w:rsidR="00022396" w:rsidRPr="00904C2F" w:rsidSect="00904C2F">
      <w:headerReference w:type="even" r:id="rId12"/>
      <w:headerReference w:type="default" r:id="rId13"/>
      <w:footerReference w:type="even" r:id="rId14"/>
      <w:footerReference w:type="default" r:id="rId15"/>
      <w:pgSz w:w="11906" w:h="16838" w:code="9"/>
      <w:pgMar w:top="1134" w:right="1134" w:bottom="1418" w:left="1134" w:header="510" w:footer="680"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01" w:rsidRDefault="00360201" w:rsidP="00E71A58">
      <w:r>
        <w:separator/>
      </w:r>
    </w:p>
  </w:endnote>
  <w:endnote w:type="continuationSeparator" w:id="0">
    <w:p w:rsidR="00360201" w:rsidRDefault="0036020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AB" w:rsidRPr="00F1639F" w:rsidRDefault="003222AB" w:rsidP="00A418BC">
    <w:pPr>
      <w:pStyle w:val="Zpat"/>
      <w:rPr>
        <w:szCs w:val="16"/>
      </w:rPr>
    </w:pPr>
    <w:r>
      <w:rPr>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54"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904C2F">
      <w:rPr>
        <w:szCs w:val="16"/>
      </w:rPr>
      <w:t>44</w:t>
    </w:r>
    <w:r w:rsidRPr="00F1639F">
      <w:rPr>
        <w:szCs w:val="16"/>
      </w:rPr>
      <w:fldChar w:fldCharType="end"/>
    </w:r>
    <w:r w:rsidRPr="00F1639F">
      <w:rPr>
        <w:szCs w:val="16"/>
      </w:rPr>
      <w:tab/>
    </w:r>
    <w:r>
      <w:rPr>
        <w:rStyle w:val="ZpatChar"/>
        <w:szCs w:val="16"/>
      </w:rPr>
      <w:t>leden – prosinec 2024</w:t>
    </w:r>
    <w:r w:rsidRPr="00F1639F">
      <w:rPr>
        <w:rStyle w:val="ZpatChar"/>
        <w:szCs w:val="16"/>
      </w:rPr>
      <w:t xml:space="preserve"> / </w:t>
    </w:r>
    <w:r>
      <w:rPr>
        <w:rStyle w:val="ZpatChar"/>
        <w:i/>
        <w:szCs w:val="16"/>
      </w:rPr>
      <w:t>January – December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AB" w:rsidRPr="00F1639F" w:rsidRDefault="003222AB" w:rsidP="00A418BC">
    <w:pPr>
      <w:pStyle w:val="Zpat"/>
      <w:rPr>
        <w:szCs w:val="16"/>
      </w:rPr>
    </w:pPr>
    <w:r>
      <w:rPr>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55"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2024</w:t>
    </w:r>
    <w:r w:rsidRPr="00F1639F">
      <w:rPr>
        <w:rStyle w:val="ZpatChar"/>
        <w:szCs w:val="16"/>
      </w:rPr>
      <w:t xml:space="preserve"> / </w:t>
    </w:r>
    <w:r>
      <w:rPr>
        <w:rStyle w:val="ZpatChar"/>
        <w:i/>
        <w:szCs w:val="16"/>
      </w:rPr>
      <w:t>January – December 2024</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904C2F">
      <w:rPr>
        <w:rStyle w:val="ZpatChar"/>
        <w:szCs w:val="16"/>
      </w:rPr>
      <w:t>45</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01" w:rsidRDefault="00360201" w:rsidP="00E71A58">
      <w:r>
        <w:separator/>
      </w:r>
    </w:p>
  </w:footnote>
  <w:footnote w:type="continuationSeparator" w:id="0">
    <w:p w:rsidR="00360201" w:rsidRDefault="00360201"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AB" w:rsidRPr="00937AE2" w:rsidRDefault="003222AB" w:rsidP="000A797E">
    <w:pPr>
      <w:pStyle w:val="Zhlav"/>
    </w:pPr>
    <w:r>
      <w:t>Indexy spotřebitelských cen</w:t>
    </w:r>
  </w:p>
  <w:p w:rsidR="003222AB" w:rsidRPr="00FE448C" w:rsidRDefault="003222AB" w:rsidP="000A797E">
    <w:pPr>
      <w:pStyle w:val="Zhlav"/>
      <w:rPr>
        <w:i/>
      </w:rPr>
    </w:pPr>
    <w:r>
      <w:rPr>
        <w:i/>
      </w:rPr>
      <w:t>Consumer Price Indices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AB" w:rsidRPr="00937AE2" w:rsidRDefault="003222AB" w:rsidP="000A797E">
    <w:pPr>
      <w:pStyle w:val="Zhlav"/>
    </w:pPr>
    <w:r>
      <w:t>Indexy spotřebitelských cen</w:t>
    </w:r>
  </w:p>
  <w:p w:rsidR="003222AB" w:rsidRPr="00FE448C" w:rsidRDefault="003222AB" w:rsidP="000A797E">
    <w:pPr>
      <w:pStyle w:val="Zhlav"/>
      <w:rPr>
        <w:i/>
      </w:rPr>
    </w:pPr>
    <w:r>
      <w:rPr>
        <w:i/>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B6"/>
    <w:rsid w:val="0000209D"/>
    <w:rsid w:val="00004D5A"/>
    <w:rsid w:val="000056D5"/>
    <w:rsid w:val="0000767A"/>
    <w:rsid w:val="00010702"/>
    <w:rsid w:val="00022396"/>
    <w:rsid w:val="000234D6"/>
    <w:rsid w:val="00023D29"/>
    <w:rsid w:val="00026389"/>
    <w:rsid w:val="00031AE0"/>
    <w:rsid w:val="000322EF"/>
    <w:rsid w:val="00033FCD"/>
    <w:rsid w:val="00041CEC"/>
    <w:rsid w:val="0004694F"/>
    <w:rsid w:val="000522E4"/>
    <w:rsid w:val="00052FEC"/>
    <w:rsid w:val="00060C89"/>
    <w:rsid w:val="000610E1"/>
    <w:rsid w:val="00062EC5"/>
    <w:rsid w:val="00062F22"/>
    <w:rsid w:val="000712B3"/>
    <w:rsid w:val="0008263E"/>
    <w:rsid w:val="00082C19"/>
    <w:rsid w:val="000832AE"/>
    <w:rsid w:val="00085395"/>
    <w:rsid w:val="00087634"/>
    <w:rsid w:val="00087F2B"/>
    <w:rsid w:val="000974D1"/>
    <w:rsid w:val="0009799E"/>
    <w:rsid w:val="000A1183"/>
    <w:rsid w:val="000A256D"/>
    <w:rsid w:val="000A3A2C"/>
    <w:rsid w:val="000A797E"/>
    <w:rsid w:val="000B0F34"/>
    <w:rsid w:val="000B2B94"/>
    <w:rsid w:val="000B3647"/>
    <w:rsid w:val="000C3408"/>
    <w:rsid w:val="000C6AFD"/>
    <w:rsid w:val="000D4B6A"/>
    <w:rsid w:val="000D5637"/>
    <w:rsid w:val="000E6FBD"/>
    <w:rsid w:val="000F0AB6"/>
    <w:rsid w:val="000F71E5"/>
    <w:rsid w:val="00100F5C"/>
    <w:rsid w:val="00104C4C"/>
    <w:rsid w:val="00117E08"/>
    <w:rsid w:val="0012192F"/>
    <w:rsid w:val="00125D69"/>
    <w:rsid w:val="001373C4"/>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3EC3"/>
    <w:rsid w:val="001D68B2"/>
    <w:rsid w:val="001E598F"/>
    <w:rsid w:val="001F4597"/>
    <w:rsid w:val="002036E6"/>
    <w:rsid w:val="002118B9"/>
    <w:rsid w:val="00217C5B"/>
    <w:rsid w:val="00220113"/>
    <w:rsid w:val="0022139E"/>
    <w:rsid w:val="0022200E"/>
    <w:rsid w:val="002252E0"/>
    <w:rsid w:val="002255F6"/>
    <w:rsid w:val="00227850"/>
    <w:rsid w:val="00230C6E"/>
    <w:rsid w:val="00236443"/>
    <w:rsid w:val="002436BA"/>
    <w:rsid w:val="00244A15"/>
    <w:rsid w:val="00247319"/>
    <w:rsid w:val="0024799E"/>
    <w:rsid w:val="00253C0F"/>
    <w:rsid w:val="00263AF1"/>
    <w:rsid w:val="00271465"/>
    <w:rsid w:val="00285412"/>
    <w:rsid w:val="00287433"/>
    <w:rsid w:val="002A16D4"/>
    <w:rsid w:val="002A230C"/>
    <w:rsid w:val="002C43BD"/>
    <w:rsid w:val="002D0E59"/>
    <w:rsid w:val="002E02A1"/>
    <w:rsid w:val="002E4E4C"/>
    <w:rsid w:val="002E57D3"/>
    <w:rsid w:val="00304771"/>
    <w:rsid w:val="003052D4"/>
    <w:rsid w:val="00306C5B"/>
    <w:rsid w:val="003209D6"/>
    <w:rsid w:val="003222AB"/>
    <w:rsid w:val="0032656E"/>
    <w:rsid w:val="00332190"/>
    <w:rsid w:val="00344668"/>
    <w:rsid w:val="003462D9"/>
    <w:rsid w:val="00360201"/>
    <w:rsid w:val="003611B3"/>
    <w:rsid w:val="003657F3"/>
    <w:rsid w:val="00375A67"/>
    <w:rsid w:val="003818DC"/>
    <w:rsid w:val="00385D98"/>
    <w:rsid w:val="003A2B4D"/>
    <w:rsid w:val="003A478C"/>
    <w:rsid w:val="003A5525"/>
    <w:rsid w:val="003A6B38"/>
    <w:rsid w:val="003B4B47"/>
    <w:rsid w:val="003B5A32"/>
    <w:rsid w:val="003C3490"/>
    <w:rsid w:val="003D3BEB"/>
    <w:rsid w:val="003D5476"/>
    <w:rsid w:val="003D6920"/>
    <w:rsid w:val="003E4C91"/>
    <w:rsid w:val="003F313C"/>
    <w:rsid w:val="003F551C"/>
    <w:rsid w:val="00407C13"/>
    <w:rsid w:val="00410638"/>
    <w:rsid w:val="0042625A"/>
    <w:rsid w:val="0043064F"/>
    <w:rsid w:val="00432A58"/>
    <w:rsid w:val="00434617"/>
    <w:rsid w:val="00440900"/>
    <w:rsid w:val="004441A0"/>
    <w:rsid w:val="00476240"/>
    <w:rsid w:val="00476439"/>
    <w:rsid w:val="0047735C"/>
    <w:rsid w:val="004776BC"/>
    <w:rsid w:val="0048139F"/>
    <w:rsid w:val="00481E40"/>
    <w:rsid w:val="00484ECE"/>
    <w:rsid w:val="004915CB"/>
    <w:rsid w:val="004A1719"/>
    <w:rsid w:val="004A221E"/>
    <w:rsid w:val="004A3212"/>
    <w:rsid w:val="004A61C5"/>
    <w:rsid w:val="004A77DF"/>
    <w:rsid w:val="004B1417"/>
    <w:rsid w:val="004B55B7"/>
    <w:rsid w:val="004B6468"/>
    <w:rsid w:val="004C384C"/>
    <w:rsid w:val="004C3867"/>
    <w:rsid w:val="004C4CD0"/>
    <w:rsid w:val="004C70DC"/>
    <w:rsid w:val="004D0211"/>
    <w:rsid w:val="004D0794"/>
    <w:rsid w:val="004F06F5"/>
    <w:rsid w:val="004F33A0"/>
    <w:rsid w:val="004F78D0"/>
    <w:rsid w:val="005108C0"/>
    <w:rsid w:val="00511873"/>
    <w:rsid w:val="00512A2F"/>
    <w:rsid w:val="00513B7E"/>
    <w:rsid w:val="00515C74"/>
    <w:rsid w:val="0052007E"/>
    <w:rsid w:val="0052337A"/>
    <w:rsid w:val="00525137"/>
    <w:rsid w:val="005251DD"/>
    <w:rsid w:val="00526573"/>
    <w:rsid w:val="00532CE7"/>
    <w:rsid w:val="0053324C"/>
    <w:rsid w:val="00534715"/>
    <w:rsid w:val="00534A28"/>
    <w:rsid w:val="00541508"/>
    <w:rsid w:val="005460B6"/>
    <w:rsid w:val="0055599F"/>
    <w:rsid w:val="00556D68"/>
    <w:rsid w:val="00560D8F"/>
    <w:rsid w:val="005647BF"/>
    <w:rsid w:val="0057364B"/>
    <w:rsid w:val="00574773"/>
    <w:rsid w:val="00582BDC"/>
    <w:rsid w:val="00583FFD"/>
    <w:rsid w:val="005911BE"/>
    <w:rsid w:val="00593152"/>
    <w:rsid w:val="005A10F2"/>
    <w:rsid w:val="005A21E0"/>
    <w:rsid w:val="005A28FF"/>
    <w:rsid w:val="005A3DF8"/>
    <w:rsid w:val="005A5549"/>
    <w:rsid w:val="005B121D"/>
    <w:rsid w:val="005C06ED"/>
    <w:rsid w:val="005C46B8"/>
    <w:rsid w:val="005D5802"/>
    <w:rsid w:val="005D7890"/>
    <w:rsid w:val="005D7C08"/>
    <w:rsid w:val="005E40E9"/>
    <w:rsid w:val="005E7C78"/>
    <w:rsid w:val="005F210D"/>
    <w:rsid w:val="005F3EB1"/>
    <w:rsid w:val="00604307"/>
    <w:rsid w:val="0060487F"/>
    <w:rsid w:val="00604EAD"/>
    <w:rsid w:val="006104FB"/>
    <w:rsid w:val="00612A2F"/>
    <w:rsid w:val="00616E05"/>
    <w:rsid w:val="00624093"/>
    <w:rsid w:val="006404A7"/>
    <w:rsid w:val="006451E4"/>
    <w:rsid w:val="00645B33"/>
    <w:rsid w:val="00647079"/>
    <w:rsid w:val="006516CB"/>
    <w:rsid w:val="00657E87"/>
    <w:rsid w:val="00664803"/>
    <w:rsid w:val="00665BA4"/>
    <w:rsid w:val="00667AF2"/>
    <w:rsid w:val="006710C9"/>
    <w:rsid w:val="00674D89"/>
    <w:rsid w:val="00675E37"/>
    <w:rsid w:val="0068174E"/>
    <w:rsid w:val="00681DCE"/>
    <w:rsid w:val="0068260E"/>
    <w:rsid w:val="00695BEF"/>
    <w:rsid w:val="006977F6"/>
    <w:rsid w:val="00697A13"/>
    <w:rsid w:val="006A109C"/>
    <w:rsid w:val="006A2DAB"/>
    <w:rsid w:val="006A5A8B"/>
    <w:rsid w:val="006A6488"/>
    <w:rsid w:val="006B344A"/>
    <w:rsid w:val="006B78D8"/>
    <w:rsid w:val="006C113F"/>
    <w:rsid w:val="006C56D4"/>
    <w:rsid w:val="006C6924"/>
    <w:rsid w:val="006C7CA6"/>
    <w:rsid w:val="006D3E8A"/>
    <w:rsid w:val="006D61F6"/>
    <w:rsid w:val="006E279A"/>
    <w:rsid w:val="006E313B"/>
    <w:rsid w:val="006E668C"/>
    <w:rsid w:val="00706AD4"/>
    <w:rsid w:val="007140BE"/>
    <w:rsid w:val="007211F5"/>
    <w:rsid w:val="00725BB5"/>
    <w:rsid w:val="00730AE8"/>
    <w:rsid w:val="00741493"/>
    <w:rsid w:val="007463A7"/>
    <w:rsid w:val="00752180"/>
    <w:rsid w:val="00752A16"/>
    <w:rsid w:val="00755202"/>
    <w:rsid w:val="00755D3A"/>
    <w:rsid w:val="007578D3"/>
    <w:rsid w:val="007609C6"/>
    <w:rsid w:val="0076521E"/>
    <w:rsid w:val="007661E9"/>
    <w:rsid w:val="00770E96"/>
    <w:rsid w:val="00776169"/>
    <w:rsid w:val="00776527"/>
    <w:rsid w:val="00780EF1"/>
    <w:rsid w:val="00790764"/>
    <w:rsid w:val="0079453C"/>
    <w:rsid w:val="00794677"/>
    <w:rsid w:val="007A1684"/>
    <w:rsid w:val="007B6689"/>
    <w:rsid w:val="007D0D7B"/>
    <w:rsid w:val="007D40DF"/>
    <w:rsid w:val="007E7E61"/>
    <w:rsid w:val="007F0845"/>
    <w:rsid w:val="00807C82"/>
    <w:rsid w:val="00812F96"/>
    <w:rsid w:val="00816905"/>
    <w:rsid w:val="00821FF6"/>
    <w:rsid w:val="0083143E"/>
    <w:rsid w:val="00831CDE"/>
    <w:rsid w:val="00831E09"/>
    <w:rsid w:val="00834304"/>
    <w:rsid w:val="00834FAA"/>
    <w:rsid w:val="00836086"/>
    <w:rsid w:val="0084708F"/>
    <w:rsid w:val="008477C8"/>
    <w:rsid w:val="0085114D"/>
    <w:rsid w:val="00852217"/>
    <w:rsid w:val="00855408"/>
    <w:rsid w:val="00856D65"/>
    <w:rsid w:val="0085770D"/>
    <w:rsid w:val="00861B41"/>
    <w:rsid w:val="00863434"/>
    <w:rsid w:val="00865AA6"/>
    <w:rsid w:val="00865E4C"/>
    <w:rsid w:val="008701E4"/>
    <w:rsid w:val="00875A32"/>
    <w:rsid w:val="00876086"/>
    <w:rsid w:val="00876CC5"/>
    <w:rsid w:val="00884704"/>
    <w:rsid w:val="008873D4"/>
    <w:rsid w:val="00893E85"/>
    <w:rsid w:val="00894031"/>
    <w:rsid w:val="008A0A15"/>
    <w:rsid w:val="008B7C02"/>
    <w:rsid w:val="008B7D2B"/>
    <w:rsid w:val="008C0049"/>
    <w:rsid w:val="008C0E88"/>
    <w:rsid w:val="008D03E3"/>
    <w:rsid w:val="008D1E6A"/>
    <w:rsid w:val="008D2A16"/>
    <w:rsid w:val="008E2677"/>
    <w:rsid w:val="008E2C57"/>
    <w:rsid w:val="008E31FF"/>
    <w:rsid w:val="008E6F06"/>
    <w:rsid w:val="008F029B"/>
    <w:rsid w:val="008F3FC9"/>
    <w:rsid w:val="008F585B"/>
    <w:rsid w:val="009003A8"/>
    <w:rsid w:val="00902500"/>
    <w:rsid w:val="00902EFF"/>
    <w:rsid w:val="00904C2F"/>
    <w:rsid w:val="009077D4"/>
    <w:rsid w:val="0091155E"/>
    <w:rsid w:val="00912A92"/>
    <w:rsid w:val="0091728D"/>
    <w:rsid w:val="0092180B"/>
    <w:rsid w:val="00921F14"/>
    <w:rsid w:val="00924AC8"/>
    <w:rsid w:val="0092597A"/>
    <w:rsid w:val="00930CFE"/>
    <w:rsid w:val="00937AE2"/>
    <w:rsid w:val="0094427A"/>
    <w:rsid w:val="00956240"/>
    <w:rsid w:val="00974923"/>
    <w:rsid w:val="00980D3D"/>
    <w:rsid w:val="0099287A"/>
    <w:rsid w:val="00992CF3"/>
    <w:rsid w:val="009968D6"/>
    <w:rsid w:val="009A1CAB"/>
    <w:rsid w:val="009A60D1"/>
    <w:rsid w:val="009B6FD3"/>
    <w:rsid w:val="009C1750"/>
    <w:rsid w:val="009C2E29"/>
    <w:rsid w:val="009C49AF"/>
    <w:rsid w:val="009C554B"/>
    <w:rsid w:val="009C719E"/>
    <w:rsid w:val="009D3ACD"/>
    <w:rsid w:val="009E5DDB"/>
    <w:rsid w:val="009F4CA7"/>
    <w:rsid w:val="00A064F7"/>
    <w:rsid w:val="00A10D66"/>
    <w:rsid w:val="00A14114"/>
    <w:rsid w:val="00A17A3C"/>
    <w:rsid w:val="00A23E43"/>
    <w:rsid w:val="00A30F65"/>
    <w:rsid w:val="00A418BC"/>
    <w:rsid w:val="00A46DE0"/>
    <w:rsid w:val="00A50D73"/>
    <w:rsid w:val="00A52CAD"/>
    <w:rsid w:val="00A53FC7"/>
    <w:rsid w:val="00A60530"/>
    <w:rsid w:val="00A62CE1"/>
    <w:rsid w:val="00A6741E"/>
    <w:rsid w:val="00A73E6F"/>
    <w:rsid w:val="00A75E40"/>
    <w:rsid w:val="00A76D42"/>
    <w:rsid w:val="00A77D1D"/>
    <w:rsid w:val="00A857C0"/>
    <w:rsid w:val="00AA2996"/>
    <w:rsid w:val="00AA52BF"/>
    <w:rsid w:val="00AA559A"/>
    <w:rsid w:val="00AB2AF1"/>
    <w:rsid w:val="00AD306C"/>
    <w:rsid w:val="00AE09B3"/>
    <w:rsid w:val="00AE1A83"/>
    <w:rsid w:val="00B00913"/>
    <w:rsid w:val="00B01593"/>
    <w:rsid w:val="00B10A4D"/>
    <w:rsid w:val="00B11189"/>
    <w:rsid w:val="00B17E71"/>
    <w:rsid w:val="00B17FDE"/>
    <w:rsid w:val="00B2379C"/>
    <w:rsid w:val="00B2687D"/>
    <w:rsid w:val="00B32DDB"/>
    <w:rsid w:val="00B34528"/>
    <w:rsid w:val="00B402FC"/>
    <w:rsid w:val="00B4115E"/>
    <w:rsid w:val="00B46604"/>
    <w:rsid w:val="00B55F5E"/>
    <w:rsid w:val="00B5752E"/>
    <w:rsid w:val="00B6292B"/>
    <w:rsid w:val="00B63A11"/>
    <w:rsid w:val="00B64C24"/>
    <w:rsid w:val="00B6608F"/>
    <w:rsid w:val="00B679FB"/>
    <w:rsid w:val="00B76D1E"/>
    <w:rsid w:val="00B80EC6"/>
    <w:rsid w:val="00B821B7"/>
    <w:rsid w:val="00B877B2"/>
    <w:rsid w:val="00B92D1D"/>
    <w:rsid w:val="00B938C5"/>
    <w:rsid w:val="00B95940"/>
    <w:rsid w:val="00BB46F3"/>
    <w:rsid w:val="00BB4CB1"/>
    <w:rsid w:val="00BB4F98"/>
    <w:rsid w:val="00BC7154"/>
    <w:rsid w:val="00BD366B"/>
    <w:rsid w:val="00BD6D50"/>
    <w:rsid w:val="00BE18B9"/>
    <w:rsid w:val="00BE2495"/>
    <w:rsid w:val="00BE3108"/>
    <w:rsid w:val="00BF1578"/>
    <w:rsid w:val="00C17339"/>
    <w:rsid w:val="00C21F94"/>
    <w:rsid w:val="00C23A57"/>
    <w:rsid w:val="00C27913"/>
    <w:rsid w:val="00C33B68"/>
    <w:rsid w:val="00C36A79"/>
    <w:rsid w:val="00C405D4"/>
    <w:rsid w:val="00C4513B"/>
    <w:rsid w:val="00C46631"/>
    <w:rsid w:val="00C54697"/>
    <w:rsid w:val="00C6783D"/>
    <w:rsid w:val="00C73885"/>
    <w:rsid w:val="00C747B1"/>
    <w:rsid w:val="00C82191"/>
    <w:rsid w:val="00C90CF4"/>
    <w:rsid w:val="00C92EB6"/>
    <w:rsid w:val="00C93389"/>
    <w:rsid w:val="00CB3681"/>
    <w:rsid w:val="00CB4930"/>
    <w:rsid w:val="00CC2E7D"/>
    <w:rsid w:val="00CC39FD"/>
    <w:rsid w:val="00CD10A5"/>
    <w:rsid w:val="00CD2076"/>
    <w:rsid w:val="00CE670B"/>
    <w:rsid w:val="00CF51EC"/>
    <w:rsid w:val="00CF73AE"/>
    <w:rsid w:val="00D040DD"/>
    <w:rsid w:val="00D13986"/>
    <w:rsid w:val="00D25F28"/>
    <w:rsid w:val="00D27973"/>
    <w:rsid w:val="00D50F46"/>
    <w:rsid w:val="00D66223"/>
    <w:rsid w:val="00D8084C"/>
    <w:rsid w:val="00DA7C0C"/>
    <w:rsid w:val="00DB2EC8"/>
    <w:rsid w:val="00DB5695"/>
    <w:rsid w:val="00DC5B3B"/>
    <w:rsid w:val="00DD129F"/>
    <w:rsid w:val="00DD1FAB"/>
    <w:rsid w:val="00DD5C82"/>
    <w:rsid w:val="00DD685B"/>
    <w:rsid w:val="00DF42FF"/>
    <w:rsid w:val="00E01C0E"/>
    <w:rsid w:val="00E03F9A"/>
    <w:rsid w:val="00E04694"/>
    <w:rsid w:val="00E12B1E"/>
    <w:rsid w:val="00E14911"/>
    <w:rsid w:val="00E17262"/>
    <w:rsid w:val="00E24D8B"/>
    <w:rsid w:val="00E253A2"/>
    <w:rsid w:val="00E3309D"/>
    <w:rsid w:val="00E40406"/>
    <w:rsid w:val="00E50156"/>
    <w:rsid w:val="00E53470"/>
    <w:rsid w:val="00E539F6"/>
    <w:rsid w:val="00E620E8"/>
    <w:rsid w:val="00E6519D"/>
    <w:rsid w:val="00E6569C"/>
    <w:rsid w:val="00E67696"/>
    <w:rsid w:val="00E71A58"/>
    <w:rsid w:val="00E72A7A"/>
    <w:rsid w:val="00E75C94"/>
    <w:rsid w:val="00E93007"/>
    <w:rsid w:val="00E93820"/>
    <w:rsid w:val="00E96E34"/>
    <w:rsid w:val="00EA0C68"/>
    <w:rsid w:val="00EC03D7"/>
    <w:rsid w:val="00ED62C6"/>
    <w:rsid w:val="00ED64C1"/>
    <w:rsid w:val="00EE3446"/>
    <w:rsid w:val="00EE3E78"/>
    <w:rsid w:val="00EE4B1B"/>
    <w:rsid w:val="00EF150D"/>
    <w:rsid w:val="00EF1F5A"/>
    <w:rsid w:val="00EF7B28"/>
    <w:rsid w:val="00F04811"/>
    <w:rsid w:val="00F0488C"/>
    <w:rsid w:val="00F0585C"/>
    <w:rsid w:val="00F15AAA"/>
    <w:rsid w:val="00F15BEF"/>
    <w:rsid w:val="00F1639F"/>
    <w:rsid w:val="00F24407"/>
    <w:rsid w:val="00F24FAA"/>
    <w:rsid w:val="00F3364D"/>
    <w:rsid w:val="00F40C07"/>
    <w:rsid w:val="00F437CC"/>
    <w:rsid w:val="00F47067"/>
    <w:rsid w:val="00F508E2"/>
    <w:rsid w:val="00F510D8"/>
    <w:rsid w:val="00F525EB"/>
    <w:rsid w:val="00F63DDE"/>
    <w:rsid w:val="00F63FB7"/>
    <w:rsid w:val="00F649D2"/>
    <w:rsid w:val="00F6602B"/>
    <w:rsid w:val="00F66749"/>
    <w:rsid w:val="00F73A0C"/>
    <w:rsid w:val="00F756DB"/>
    <w:rsid w:val="00F85066"/>
    <w:rsid w:val="00F85914"/>
    <w:rsid w:val="00F96EC3"/>
    <w:rsid w:val="00F97C9A"/>
    <w:rsid w:val="00FA03C7"/>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A927A18"/>
  <w15:docId w15:val="{711C039C-1ED4-45DB-AF04-E6952F7C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A76D42"/>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customStyle="1" w:styleId="TLKontaktyerven">
    <w:name w:val="TL Kontakty červené"/>
    <w:basedOn w:val="Normln"/>
    <w:qFormat/>
    <w:rsid w:val="000832AE"/>
    <w:pPr>
      <w:spacing w:after="40"/>
      <w:contextualSpacing/>
    </w:pPr>
    <w:rPr>
      <w:b/>
      <w:caps/>
      <w:color w:val="000000" w:themeColor="text1"/>
      <w:sz w:val="24"/>
    </w:rPr>
  </w:style>
  <w:style w:type="character" w:styleId="Zdraznnintenzivn">
    <w:name w:val="Intense Emphasis"/>
    <w:basedOn w:val="Standardnpsmoodstavce"/>
    <w:uiPriority w:val="21"/>
    <w:qFormat/>
    <w:rsid w:val="000832AE"/>
    <w:rPr>
      <w:i/>
      <w:iCs/>
      <w:color w:val="000000" w:themeColor="text1"/>
    </w:rPr>
  </w:style>
  <w:style w:type="character" w:styleId="Odkazintenzivn">
    <w:name w:val="Intense Reference"/>
    <w:basedOn w:val="Standardnpsmoodstavce"/>
    <w:uiPriority w:val="32"/>
    <w:qFormat/>
    <w:rsid w:val="000832AE"/>
    <w:rPr>
      <w:b/>
      <w:bCs/>
      <w:smallCaps/>
      <w:color w:val="000000" w:themeColor="text1"/>
      <w:spacing w:val="5"/>
    </w:rPr>
  </w:style>
  <w:style w:type="paragraph" w:styleId="Zkladntext3">
    <w:name w:val="Body Text 3"/>
    <w:basedOn w:val="Normln"/>
    <w:link w:val="Zkladntext3Char"/>
    <w:semiHidden/>
    <w:rsid w:val="007A1684"/>
    <w:pPr>
      <w:spacing w:before="240" w:after="0"/>
      <w:jc w:val="both"/>
    </w:pPr>
    <w:rPr>
      <w:rFonts w:cs="Arial"/>
    </w:rPr>
  </w:style>
  <w:style w:type="character" w:customStyle="1" w:styleId="Zkladntext3Char">
    <w:name w:val="Základní text 3 Char"/>
    <w:basedOn w:val="Standardnpsmoodstavce"/>
    <w:link w:val="Zkladntext3"/>
    <w:semiHidden/>
    <w:rsid w:val="007A1684"/>
    <w:rPr>
      <w:rFonts w:ascii="Arial" w:eastAsia="Times New Roman" w:hAnsi="Arial" w:cs="Arial"/>
      <w:szCs w:val="24"/>
      <w:lang w:eastAsia="cs-CZ"/>
    </w:rPr>
  </w:style>
  <w:style w:type="paragraph" w:styleId="Zkladntext">
    <w:name w:val="Body Text"/>
    <w:basedOn w:val="Normln"/>
    <w:link w:val="ZkladntextChar"/>
    <w:uiPriority w:val="99"/>
    <w:unhideWhenUsed/>
    <w:rsid w:val="007A1684"/>
    <w:pPr>
      <w:spacing w:after="120"/>
    </w:pPr>
  </w:style>
  <w:style w:type="character" w:customStyle="1" w:styleId="ZkladntextChar">
    <w:name w:val="Základní text Char"/>
    <w:basedOn w:val="Standardnpsmoodstavce"/>
    <w:link w:val="Zkladntext"/>
    <w:uiPriority w:val="99"/>
    <w:rsid w:val="007A1684"/>
    <w:rPr>
      <w:rFonts w:ascii="Arial" w:eastAsia="Times New Roman" w:hAnsi="Arial"/>
      <w:szCs w:val="24"/>
      <w:lang w:eastAsia="cs-CZ"/>
    </w:rPr>
  </w:style>
  <w:style w:type="paragraph" w:styleId="Zkladntextodsazen3">
    <w:name w:val="Body Text Indent 3"/>
    <w:basedOn w:val="Normln"/>
    <w:link w:val="Zkladntextodsazen3Char"/>
    <w:uiPriority w:val="99"/>
    <w:semiHidden/>
    <w:unhideWhenUsed/>
    <w:rsid w:val="007A16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A1684"/>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7A168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A1684"/>
    <w:rPr>
      <w:rFonts w:ascii="Arial" w:eastAsia="Times New Roman" w:hAnsi="Arial"/>
      <w:szCs w:val="24"/>
      <w:lang w:eastAsia="cs-CZ"/>
    </w:rPr>
  </w:style>
  <w:style w:type="paragraph" w:customStyle="1" w:styleId="Poznamkytexty">
    <w:name w:val="Poznamky texty"/>
    <w:basedOn w:val="Normln"/>
    <w:qFormat/>
    <w:rsid w:val="007A1684"/>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7A1684"/>
    <w:rPr>
      <w:vertAlign w:val="superscript"/>
    </w:rPr>
  </w:style>
  <w:style w:type="paragraph" w:customStyle="1" w:styleId="Perex">
    <w:name w:val="Perex_"/>
    <w:next w:val="Normln"/>
    <w:qFormat/>
    <w:rsid w:val="007A1684"/>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7A1684"/>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7A1684"/>
    <w:rPr>
      <w:rFonts w:ascii="Times New Roman" w:eastAsia="Times New Roman" w:hAnsi="Times New Roman"/>
      <w:lang w:val="en-GB" w:eastAsia="cs-CZ"/>
    </w:rPr>
  </w:style>
  <w:style w:type="paragraph" w:customStyle="1" w:styleId="Poznmkytext">
    <w:name w:val="Poznámky text"/>
    <w:basedOn w:val="Normln"/>
    <w:qFormat/>
    <w:rsid w:val="007A1684"/>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7A1684"/>
  </w:style>
  <w:style w:type="character" w:customStyle="1" w:styleId="rynqvb">
    <w:name w:val="rynqvb"/>
    <w:basedOn w:val="Standardnpsmoodstavce"/>
    <w:rsid w:val="007A1684"/>
  </w:style>
  <w:style w:type="character" w:customStyle="1" w:styleId="jlqj4b">
    <w:name w:val="jlqj4b"/>
    <w:basedOn w:val="Standardnpsmoodstavce"/>
    <w:rsid w:val="00EF7B28"/>
  </w:style>
  <w:style w:type="character" w:styleId="Sledovanodkaz">
    <w:name w:val="FollowedHyperlink"/>
    <w:basedOn w:val="Standardnpsmoodstavce"/>
    <w:uiPriority w:val="99"/>
    <w:semiHidden/>
    <w:unhideWhenUsed/>
    <w:rsid w:val="00A60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14177669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95854380">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05000988">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browser/view/prc_hicp_manr/default/table?lang=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Ostatn&#237;\PUBLIKACE\Ro&#269;n&#237;%20publikace%20012019-2024\Form_c446_Publikace%20obecna_BW%20CZ-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v1.1</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446</Form_c>
    <NazevForm xmlns="8675fb2b-b414-4bad-b4c4-d9349268b5a1">Publikace CZ-EN BW</NazevForm>
    <UcinnostOdForm xmlns="8675fb2b-b414-4bad-b4c4-d9349268b5a1">2024-10-20T22:00:00+00:00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BBDE-4639-4BEB-A4D7-9EE93F5989EC}">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047A6B4E-2632-4C0D-8CA1-C1FC0170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EC894-C22A-454D-B510-F2B9F6C9FDB7}">
  <ds:schemaRefs>
    <ds:schemaRef ds:uri="http://schemas.microsoft.com/sharepoint/v3/contenttype/forms"/>
  </ds:schemaRefs>
</ds:datastoreItem>
</file>

<file path=customXml/itemProps4.xml><?xml version="1.0" encoding="utf-8"?>
<ds:datastoreItem xmlns:ds="http://schemas.openxmlformats.org/officeDocument/2006/customXml" ds:itemID="{14ED701C-710F-4819-A6F0-F5A31CDF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Form_c446_Publikace obecna_BW CZ-EN.dotx</Template>
  <TotalTime>1</TotalTime>
  <Pages>1</Pages>
  <Words>388</Words>
  <Characters>2291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2674</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Henkrichová Jana</cp:lastModifiedBy>
  <cp:revision>3</cp:revision>
  <cp:lastPrinted>2025-01-22T16:19:00Z</cp:lastPrinted>
  <dcterms:created xsi:type="dcterms:W3CDTF">2025-01-23T13:11:00Z</dcterms:created>
  <dcterms:modified xsi:type="dcterms:W3CDTF">2025-01-23T15:47:00Z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CZ-EN BW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2020-10-25T07:00:00Z</vt:filetime>
  </property>
  <property fmtid="{D5CDD505-2E9C-101B-9397-08002B2CF9AE}" pid="8" name="Označení">
    <vt:lpwstr>Form_c446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