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14E09" w14:textId="77777777" w:rsidR="00A04CEF" w:rsidRDefault="00A04CEF" w:rsidP="00A04CEF">
      <w:pPr>
        <w:pStyle w:val="Nadpis1"/>
      </w:pPr>
      <w:bookmarkStart w:id="0" w:name="_Toc200969295"/>
      <w:bookmarkStart w:id="1" w:name="_GoBack"/>
      <w:bookmarkEnd w:id="1"/>
      <w:r w:rsidRPr="009B19D4">
        <w:t>8</w:t>
      </w:r>
      <w:r>
        <w:t>. </w:t>
      </w:r>
      <w:r w:rsidRPr="009B19D4">
        <w:t>Státní rozpočet</w:t>
      </w:r>
      <w:bookmarkEnd w:id="0"/>
    </w:p>
    <w:tbl>
      <w:tblPr>
        <w:tblW w:w="9669" w:type="dxa"/>
        <w:tblInd w:w="-2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10"/>
        <w:gridCol w:w="203"/>
        <w:gridCol w:w="7656"/>
      </w:tblGrid>
      <w:tr w:rsidR="00A04CEF" w:rsidRPr="003C07E6" w14:paraId="19DFC4FF" w14:textId="77777777" w:rsidTr="00A04CEF">
        <w:trPr>
          <w:trHeight w:val="6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00BB6539" w14:textId="77777777" w:rsidR="00A04CEF" w:rsidRDefault="00A04CEF" w:rsidP="00A04CEF">
            <w:pPr>
              <w:pStyle w:val="Marginlie"/>
            </w:pPr>
            <w:r>
              <w:t xml:space="preserve">Schodek SR se </w:t>
            </w:r>
            <w:r>
              <w:br/>
              <w:t>v 1. čtvrtletí meziročně mírně snížil. Významné deficity nicméně tížily rozpočet šestým rokem v řadě.</w:t>
            </w:r>
          </w:p>
          <w:p w14:paraId="3026E6CB" w14:textId="77777777" w:rsidR="00A04CEF" w:rsidRDefault="00A04CEF" w:rsidP="00A04CEF">
            <w:pPr>
              <w:pStyle w:val="Marginlie"/>
            </w:pP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5F70BE3B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033EC387" w14:textId="77777777" w:rsidR="00A04CEF" w:rsidRDefault="00A04CEF" w:rsidP="00A04CEF">
            <w:pPr>
              <w:spacing w:after="200"/>
              <w:rPr>
                <w:spacing w:val="-4"/>
              </w:rPr>
            </w:pPr>
            <w:r>
              <w:rPr>
                <w:spacing w:val="-4"/>
              </w:rPr>
              <w:t>Hospodaření státního rozpočtu (SR)</w:t>
            </w:r>
            <w:r w:rsidRPr="00B57210">
              <w:rPr>
                <w:rStyle w:val="Znakapoznpodarou"/>
                <w:spacing w:val="-4"/>
              </w:rPr>
              <w:footnoteReference w:id="1"/>
            </w:r>
            <w:r>
              <w:rPr>
                <w:spacing w:val="-4"/>
              </w:rPr>
              <w:t xml:space="preserve"> skončilo v 1. čtvrtletí 2025 se schodkem </w:t>
            </w:r>
            <w:r>
              <w:rPr>
                <w:spacing w:val="-4"/>
              </w:rPr>
              <w:br/>
              <w:t>91,2 mld. korun. Významný deficit tak přetrvával již šestým rokem v řadě. Meziročně se ovšem snížil, aktuálně o 13,8 mld. (byť zdaleka ne tak razantně jako na počátku roku 2024, kdy činil pokles 61,2 mld.), tento trend redukce schodku koresponduje se schváleným SR</w:t>
            </w:r>
            <w:r>
              <w:rPr>
                <w:rStyle w:val="Znakapoznpodarou"/>
                <w:spacing w:val="-4"/>
              </w:rPr>
              <w:footnoteReference w:id="2"/>
            </w:r>
            <w:r>
              <w:rPr>
                <w:spacing w:val="-4"/>
              </w:rPr>
              <w:t xml:space="preserve">. Za mírným meziročním zlepšením schodku stálo relativně solidní tempo růstu celkových příjmů SR, ve kterém se postupně projevuje dopad oživení výkonu ekonomiky. Růst výdajů SR byl navíc tlumen </w:t>
            </w:r>
            <w:r w:rsidRPr="00B72A69">
              <w:rPr>
                <w:spacing w:val="-5"/>
              </w:rPr>
              <w:t>odeznívání</w:t>
            </w:r>
            <w:r>
              <w:rPr>
                <w:spacing w:val="-5"/>
              </w:rPr>
              <w:t>m</w:t>
            </w:r>
            <w:r w:rsidRPr="00B72A69">
              <w:rPr>
                <w:spacing w:val="-5"/>
              </w:rPr>
              <w:t xml:space="preserve"> potřeby mimořádných výdajů domácnostem i firmám zasaženým dopady vysoké</w:t>
            </w:r>
            <w:r>
              <w:rPr>
                <w:spacing w:val="-4"/>
              </w:rPr>
              <w:t xml:space="preserve"> inflace. Na příjmovou i výdajovou stranu rozpočtu působí také dopady </w:t>
            </w:r>
            <w:r w:rsidRPr="009E7F3F">
              <w:rPr>
                <w:spacing w:val="-5"/>
              </w:rPr>
              <w:t xml:space="preserve">konsolidačního </w:t>
            </w:r>
            <w:r>
              <w:rPr>
                <w:spacing w:val="-5"/>
              </w:rPr>
              <w:t xml:space="preserve">ozdravného </w:t>
            </w:r>
            <w:r w:rsidRPr="009E7F3F">
              <w:rPr>
                <w:spacing w:val="-5"/>
              </w:rPr>
              <w:t>balíčku schváleného</w:t>
            </w:r>
            <w:r>
              <w:rPr>
                <w:spacing w:val="-5"/>
              </w:rPr>
              <w:t xml:space="preserve"> v roce 2023, byť se jejich efekt v plné míře patrně projeví až později v průběhu letošního roku</w:t>
            </w:r>
            <w:r>
              <w:rPr>
                <w:rStyle w:val="Znakapoznpodarou"/>
                <w:spacing w:val="-5"/>
              </w:rPr>
              <w:footnoteReference w:id="3"/>
            </w:r>
            <w:r>
              <w:rPr>
                <w:spacing w:val="-5"/>
              </w:rPr>
              <w:t xml:space="preserve">. Zřetelný dopad má zde již změna </w:t>
            </w:r>
            <w:r w:rsidRPr="009E7F3F">
              <w:rPr>
                <w:spacing w:val="-5"/>
              </w:rPr>
              <w:t>rozpočtového určení daní</w:t>
            </w:r>
            <w:r>
              <w:rPr>
                <w:spacing w:val="-5"/>
              </w:rPr>
              <w:t xml:space="preserve"> (RUD)</w:t>
            </w:r>
            <w:r w:rsidRPr="009E7F3F">
              <w:rPr>
                <w:spacing w:val="-5"/>
              </w:rPr>
              <w:t>, jež od</w:t>
            </w:r>
            <w:r>
              <w:rPr>
                <w:spacing w:val="-4"/>
              </w:rPr>
              <w:t xml:space="preserve"> ledna 2025 opět zvyšuje podíl na výnosu některých váhově významných daní ve prospěch SR.</w:t>
            </w:r>
          </w:p>
        </w:tc>
      </w:tr>
      <w:tr w:rsidR="00A04CEF" w:rsidRPr="003C07E6" w14:paraId="43A82C21" w14:textId="77777777" w:rsidTr="00A04CEF">
        <w:trPr>
          <w:trHeight w:val="6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389531E6" w14:textId="77777777" w:rsidR="00A04CEF" w:rsidRDefault="00A04CEF" w:rsidP="00A04CEF">
            <w:pPr>
              <w:pStyle w:val="Marginlie"/>
            </w:pPr>
            <w:r>
              <w:t>Celkové příjmy se meziročně zvýšily zejména vlivem vyššího výběru nepřímých daní.</w:t>
            </w: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4EA80511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1ED74614" w14:textId="77777777" w:rsidR="00A04CEF" w:rsidRPr="007D68CA" w:rsidRDefault="00A04CEF" w:rsidP="00A04CEF">
            <w:pPr>
              <w:spacing w:after="200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>Celkové příjmy SR za celý loňský rok v souladu s rozpočtovým očekáváním v 1. čtvrtletí meziročně vzrostly (+6,1 %, resp. 27,4 mld. korun). Více než z poloviny k tomu přispělo vyšší daňové inkaso, podpořené především růstem výběru nepřímých daní (alespoň mírně ovšem vzrostl výběr všech významnějších daňových položek, vyjma mimořádných sektorových daní uvalených v souvislosti s energetickou krizí). Významný vliv měl i stabilně se zvyšující výběr pojistného na sociální zabezpečení vč. aktivní politiky zaměstnanosti (+13,3 mld. korun, +7,5</w:t>
            </w:r>
            <w:r>
              <w:rPr>
                <w:spacing w:val="-4"/>
              </w:rPr>
              <w:t> </w:t>
            </w:r>
            <w:r>
              <w:rPr>
                <w:color w:val="0D0D0D" w:themeColor="text1" w:themeTint="F2"/>
                <w:spacing w:val="-4"/>
              </w:rPr>
              <w:t xml:space="preserve">%), jenž odráží </w:t>
            </w:r>
            <w:r>
              <w:rPr>
                <w:spacing w:val="-4"/>
              </w:rPr>
              <w:t>dobrou kondici na trhu práce vyznačující se vysokou zaměstnaností i svižně rostoucími průměrnými výdělky v podnikové sféře. Z ostatních položek měl největší vliv vyšší výnos zdanění hazardu (+2,2 mld., +86 %), v němž se projevilo zvýšení sazeb daně i změna RUD u některých typů her.</w:t>
            </w:r>
          </w:p>
        </w:tc>
      </w:tr>
      <w:tr w:rsidR="00A04CEF" w:rsidRPr="003C07E6" w14:paraId="38035BE7" w14:textId="77777777" w:rsidTr="00A04CEF">
        <w:trPr>
          <w:trHeight w:val="6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25B1D70A" w14:textId="77777777" w:rsidR="00A04CEF" w:rsidRDefault="00A04CEF" w:rsidP="00A04CEF">
            <w:pPr>
              <w:pStyle w:val="Marginlie"/>
            </w:pPr>
            <w:r>
              <w:t xml:space="preserve">Meziroční růst celostátního daňového inkasa letos ve srovnání s počátkem loňského roku zvolnil, a to kvůli slabšímu výběru korporátní daně, včetně mimořádných daní. </w:t>
            </w: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3293676F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5BF3EE21" w14:textId="78A4A7A4" w:rsidR="00A04CEF" w:rsidRPr="004F3AC4" w:rsidRDefault="00A04CEF" w:rsidP="00A04CEF">
            <w:pPr>
              <w:spacing w:after="200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 xml:space="preserve">Celostátní daňové inkaso bez pojistného (zohledňující příjmy na úrovni všech veřejných rozpočtů) se letos v 1. čtvrtletí meziročně zvýšilo o 5,3 %, ve stejném období v předchozích třech letech přitom rostlo dvoucifernými tempy. Jestliže na počátku 2022 táhla růst tohoto inkasa prostřednictvím oživené spotřeby domácností hlavně DPH a následující dva roky pak zejména vysoký výběr korporátní daně spolu s mimořádnými firemními daněmi, letos žádná příjmová položka zatím nedominovala (nejvíce se projevil vyšší výběr DPH – příspěvek +2,3 p. b.). Naopak negativní dopad měly </w:t>
            </w:r>
            <w:r>
              <w:rPr>
                <w:color w:val="0D0D0D" w:themeColor="text1" w:themeTint="F2"/>
                <w:spacing w:val="-2"/>
              </w:rPr>
              <w:t>mimořádné dočasně zavedené</w:t>
            </w:r>
            <w:r w:rsidRPr="00DA5BA1">
              <w:rPr>
                <w:color w:val="0D0D0D" w:themeColor="text1" w:themeTint="F2"/>
                <w:spacing w:val="-2"/>
              </w:rPr>
              <w:t xml:space="preserve"> </w:t>
            </w:r>
            <w:r w:rsidR="00C53E5D">
              <w:rPr>
                <w:color w:val="0D0D0D" w:themeColor="text1" w:themeTint="F2"/>
                <w:spacing w:val="-6"/>
              </w:rPr>
              <w:t>firemní</w:t>
            </w:r>
            <w:r>
              <w:rPr>
                <w:color w:val="0D0D0D" w:themeColor="text1" w:themeTint="F2"/>
                <w:spacing w:val="-6"/>
              </w:rPr>
              <w:t xml:space="preserve"> daně</w:t>
            </w:r>
            <w:r>
              <w:rPr>
                <w:rStyle w:val="Znakapoznpodarou"/>
                <w:color w:val="0D0D0D" w:themeColor="text1" w:themeTint="F2"/>
                <w:spacing w:val="-6"/>
              </w:rPr>
              <w:footnoteReference w:id="4"/>
            </w:r>
            <w:r>
              <w:rPr>
                <w:color w:val="0D0D0D" w:themeColor="text1" w:themeTint="F2"/>
                <w:spacing w:val="-6"/>
              </w:rPr>
              <w:t xml:space="preserve"> (−1,2</w:t>
            </w:r>
            <w:r w:rsidRPr="006D5DB6">
              <w:rPr>
                <w:color w:val="0D0D0D" w:themeColor="text1" w:themeTint="F2"/>
                <w:spacing w:val="-6"/>
              </w:rPr>
              <w:t xml:space="preserve"> p. b.).</w:t>
            </w:r>
            <w:r>
              <w:rPr>
                <w:color w:val="0D0D0D" w:themeColor="text1" w:themeTint="F2"/>
                <w:spacing w:val="-6"/>
              </w:rPr>
              <w:t xml:space="preserve"> </w:t>
            </w:r>
            <w:r w:rsidRPr="006D5DB6">
              <w:rPr>
                <w:color w:val="0D0D0D" w:themeColor="text1" w:themeTint="F2"/>
                <w:spacing w:val="-6"/>
              </w:rPr>
              <w:t xml:space="preserve">Celostátní daňové inkaso (bez </w:t>
            </w:r>
            <w:r>
              <w:rPr>
                <w:color w:val="0D0D0D" w:themeColor="text1" w:themeTint="F2"/>
                <w:spacing w:val="-6"/>
              </w:rPr>
              <w:t xml:space="preserve">pojistného a </w:t>
            </w:r>
            <w:r w:rsidRPr="006D5DB6">
              <w:rPr>
                <w:color w:val="0D0D0D" w:themeColor="text1" w:themeTint="F2"/>
                <w:spacing w:val="-6"/>
              </w:rPr>
              <w:t>mimořádných daní) se zvýšilo</w:t>
            </w:r>
            <w:r>
              <w:rPr>
                <w:color w:val="0D0D0D" w:themeColor="text1" w:themeTint="F2"/>
                <w:spacing w:val="-4"/>
              </w:rPr>
              <w:t xml:space="preserve"> o 6,8 %, což bylo slabší tempo než na počátku loňského roku (10,1 %), současně však vyšší než v úhrnu za celý rok 2024 (4,2 %).</w:t>
            </w:r>
          </w:p>
        </w:tc>
      </w:tr>
      <w:tr w:rsidR="00A04CEF" w:rsidRPr="003C07E6" w14:paraId="31A0FD0F" w14:textId="77777777" w:rsidTr="00A04CEF">
        <w:trPr>
          <w:trHeight w:val="6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73E986AE" w14:textId="77777777" w:rsidR="00A04CEF" w:rsidRPr="002F1340" w:rsidRDefault="00A04CEF" w:rsidP="00A04CEF">
            <w:pPr>
              <w:pStyle w:val="Marginlie"/>
              <w:rPr>
                <w:color w:val="0D0D0D" w:themeColor="text1" w:themeTint="F2"/>
              </w:rPr>
            </w:pPr>
            <w:r>
              <w:t>Dynamiku inkasa DPH podporovala zotavující se spotřeba domácností, opačně působily nově zavedené rozsáhlé změny a přesuny v daňových sazbách.</w:t>
            </w: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60E0B247" w14:textId="77777777" w:rsidR="00A04CEF" w:rsidRPr="002F1340" w:rsidRDefault="00A04CEF" w:rsidP="00A04CEF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27242B61" w14:textId="77777777" w:rsidR="00A04CEF" w:rsidRPr="00187778" w:rsidRDefault="00A04CEF" w:rsidP="00A04CEF">
            <w:pPr>
              <w:spacing w:after="0"/>
              <w:rPr>
                <w:spacing w:val="-6"/>
              </w:rPr>
            </w:pPr>
            <w:r w:rsidRPr="008B3F65">
              <w:rPr>
                <w:spacing w:val="-6"/>
              </w:rPr>
              <w:t xml:space="preserve">Na váhově dominantní dani – DPH – získal SR </w:t>
            </w:r>
            <w:r>
              <w:rPr>
                <w:spacing w:val="-6"/>
              </w:rPr>
              <w:t>loni</w:t>
            </w:r>
            <w:r w:rsidRPr="008B3F65">
              <w:rPr>
                <w:color w:val="0D0D0D" w:themeColor="text1" w:themeTint="F2"/>
                <w:spacing w:val="-6"/>
              </w:rPr>
              <w:t xml:space="preserve"> meziročně </w:t>
            </w:r>
            <w:r>
              <w:rPr>
                <w:spacing w:val="-6"/>
              </w:rPr>
              <w:t>o 7,1</w:t>
            </w:r>
            <w:r w:rsidRPr="008B3F65">
              <w:rPr>
                <w:spacing w:val="-6"/>
              </w:rPr>
              <w:t xml:space="preserve"> % ví</w:t>
            </w:r>
            <w:r>
              <w:rPr>
                <w:spacing w:val="-6"/>
              </w:rPr>
              <w:t>ce (+6,1 mld. korun) a tempo za celoročním rozpočtovým plánem mírně</w:t>
            </w:r>
            <w:r w:rsidRPr="008B3F65">
              <w:rPr>
                <w:spacing w:val="-6"/>
              </w:rPr>
              <w:t xml:space="preserve"> zaost</w:t>
            </w:r>
            <w:r>
              <w:rPr>
                <w:spacing w:val="-6"/>
              </w:rPr>
              <w:t>ávalo.</w:t>
            </w:r>
            <w:r w:rsidRPr="008B3F65">
              <w:rPr>
                <w:spacing w:val="-6"/>
              </w:rPr>
              <w:t xml:space="preserve"> Na úrovni všech veřejných rozpočtů dosáhl růst </w:t>
            </w:r>
            <w:r>
              <w:rPr>
                <w:spacing w:val="-6"/>
              </w:rPr>
              <w:t xml:space="preserve">inkasa 5,5 % </w:t>
            </w:r>
            <w:r w:rsidRPr="008B3F65">
              <w:rPr>
                <w:spacing w:val="-6"/>
              </w:rPr>
              <w:t>–</w:t>
            </w:r>
            <w:r>
              <w:rPr>
                <w:spacing w:val="-6"/>
              </w:rPr>
              <w:t xml:space="preserve"> nepatrně méně než ve stejném období loni, ale oproti tempu za celý rok 2024 jde takřka o dvojnásobek. V inkasu se při zklidnění cenového vývoje odráží vliv</w:t>
            </w:r>
            <w:r w:rsidRPr="008B3F65">
              <w:rPr>
                <w:spacing w:val="-6"/>
              </w:rPr>
              <w:t xml:space="preserve"> pozvolna se zotavující </w:t>
            </w:r>
            <w:r>
              <w:rPr>
                <w:spacing w:val="-6"/>
              </w:rPr>
              <w:t>spotřeby</w:t>
            </w:r>
            <w:r w:rsidRPr="008B3F65">
              <w:rPr>
                <w:spacing w:val="-6"/>
              </w:rPr>
              <w:t xml:space="preserve"> domácností</w:t>
            </w:r>
            <w:r w:rsidRPr="008B3F65">
              <w:rPr>
                <w:rStyle w:val="Znakapoznpodarou"/>
                <w:spacing w:val="-6"/>
              </w:rPr>
              <w:footnoteReference w:id="5"/>
            </w:r>
            <w:r>
              <w:rPr>
                <w:spacing w:val="-6"/>
              </w:rPr>
              <w:t>. Vedle toho se</w:t>
            </w:r>
            <w:r w:rsidRPr="008B3F65">
              <w:rPr>
                <w:spacing w:val="-6"/>
              </w:rPr>
              <w:t xml:space="preserve"> </w:t>
            </w:r>
            <w:r>
              <w:rPr>
                <w:spacing w:val="-6"/>
              </w:rPr>
              <w:t>projevují i</w:t>
            </w:r>
            <w:r w:rsidRPr="008B3F65">
              <w:rPr>
                <w:spacing w:val="-6"/>
              </w:rPr>
              <w:t xml:space="preserve"> dopady úpravy sazeb </w:t>
            </w:r>
            <w:r>
              <w:rPr>
                <w:spacing w:val="-6"/>
              </w:rPr>
              <w:t>daně</w:t>
            </w:r>
            <w:r>
              <w:rPr>
                <w:rStyle w:val="Znakapoznpodarou"/>
                <w:spacing w:val="-6"/>
              </w:rPr>
              <w:footnoteReference w:id="6"/>
            </w:r>
            <w:r>
              <w:rPr>
                <w:spacing w:val="-6"/>
              </w:rPr>
              <w:t>, k nimž došlo</w:t>
            </w:r>
            <w:r w:rsidRPr="008B3F65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vlivem </w:t>
            </w:r>
            <w:r w:rsidRPr="008B3F65">
              <w:rPr>
                <w:spacing w:val="-6"/>
              </w:rPr>
              <w:t>účinnost</w:t>
            </w:r>
            <w:r>
              <w:rPr>
                <w:spacing w:val="-6"/>
              </w:rPr>
              <w:t>i</w:t>
            </w:r>
            <w:r w:rsidRPr="008B3F65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tzv. </w:t>
            </w:r>
            <w:r w:rsidRPr="008B3F65">
              <w:rPr>
                <w:spacing w:val="-6"/>
              </w:rPr>
              <w:t>konsolidačního balíčku</w:t>
            </w:r>
            <w:r>
              <w:rPr>
                <w:rStyle w:val="Znakapoznpodarou"/>
                <w:spacing w:val="-6"/>
              </w:rPr>
              <w:footnoteReference w:id="7"/>
            </w:r>
            <w:r>
              <w:rPr>
                <w:spacing w:val="-6"/>
              </w:rPr>
              <w:t xml:space="preserve">. </w:t>
            </w:r>
          </w:p>
        </w:tc>
      </w:tr>
      <w:tr w:rsidR="00A04CEF" w:rsidRPr="003C07E6" w14:paraId="17C60ECB" w14:textId="77777777" w:rsidTr="00A04CEF">
        <w:trPr>
          <w:trHeight w:val="6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0818F39B" w14:textId="77777777" w:rsidR="00A04CEF" w:rsidRDefault="00A04CEF" w:rsidP="00A04CEF">
            <w:pPr>
              <w:pStyle w:val="Marginlie"/>
            </w:pPr>
            <w:r>
              <w:lastRenderedPageBreak/>
              <w:t xml:space="preserve">Svižný růst inkasa spotřební daně odrážel hlavně změny zdanění </w:t>
            </w:r>
            <w:r w:rsidRPr="00D47C1A">
              <w:rPr>
                <w:spacing w:val="-4"/>
                <w:szCs w:val="20"/>
              </w:rPr>
              <w:t>tabákových a souvisejících výrobků</w:t>
            </w:r>
            <w:r>
              <w:rPr>
                <w:spacing w:val="-4"/>
                <w:szCs w:val="20"/>
              </w:rPr>
              <w:t xml:space="preserve">. Mírný růst inkasa daně z </w:t>
            </w:r>
            <w:r>
              <w:t xml:space="preserve">minerálních olejů souvisel s </w:t>
            </w:r>
            <w:r>
              <w:rPr>
                <w:spacing w:val="-5"/>
              </w:rPr>
              <w:t>rozvojem silniční nákladní dopravy a</w:t>
            </w:r>
            <w:r>
              <w:t xml:space="preserve"> s </w:t>
            </w:r>
            <w:r>
              <w:rPr>
                <w:spacing w:val="-5"/>
              </w:rPr>
              <w:t>vyšší poptávkou díky nízkým cenám PHM.</w:t>
            </w:r>
          </w:p>
          <w:p w14:paraId="40463BE7" w14:textId="77777777" w:rsidR="00A04CEF" w:rsidRDefault="00A04CEF" w:rsidP="00A04CEF">
            <w:pPr>
              <w:pStyle w:val="Marginlie"/>
            </w:pP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6174E867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5D04AF4D" w14:textId="77777777" w:rsidR="00A04CEF" w:rsidRPr="000D1C37" w:rsidRDefault="00A04CEF" w:rsidP="00A04CEF">
            <w:pPr>
              <w:spacing w:after="200"/>
              <w:rPr>
                <w:spacing w:val="-4"/>
                <w:szCs w:val="20"/>
              </w:rPr>
            </w:pPr>
            <w:r>
              <w:rPr>
                <w:spacing w:val="-4"/>
                <w:szCs w:val="20"/>
              </w:rPr>
              <w:t>Výběr spotřební daně (vč.</w:t>
            </w:r>
            <w:r w:rsidRPr="000B2E46">
              <w:rPr>
                <w:spacing w:val="-4"/>
                <w:szCs w:val="20"/>
              </w:rPr>
              <w:t xml:space="preserve"> energetické daně)</w:t>
            </w:r>
            <w:r>
              <w:rPr>
                <w:spacing w:val="-4"/>
                <w:szCs w:val="20"/>
              </w:rPr>
              <w:t xml:space="preserve"> se letos v 1. čtvrtletí meziročně zvýšil o 11,1 % (+4,0 mld. korun). Tento růst měl plošný charakter a u všech klíčových položek daně současně zatím překonával rozpočtová očekávání (v posledních letech tomu bylo spíše opačně). K nárůstu inkasa přispělo zejména vyšší inkaso </w:t>
            </w:r>
            <w:r w:rsidRPr="00D47C1A">
              <w:rPr>
                <w:spacing w:val="-4"/>
                <w:szCs w:val="20"/>
              </w:rPr>
              <w:t>z tabákových a souvisejících výrobků</w:t>
            </w:r>
            <w:r>
              <w:rPr>
                <w:spacing w:val="-4"/>
                <w:szCs w:val="20"/>
              </w:rPr>
              <w:t xml:space="preserve"> (+2,9 mld. korun), jež meziročně posílilo o čtvrtinu, převážně v důsledku změn legislativy</w:t>
            </w:r>
            <w:r>
              <w:rPr>
                <w:rStyle w:val="Znakapoznpodarou"/>
                <w:spacing w:val="-4"/>
                <w:szCs w:val="20"/>
              </w:rPr>
              <w:footnoteReference w:id="8"/>
            </w:r>
            <w:r>
              <w:rPr>
                <w:spacing w:val="-4"/>
                <w:szCs w:val="20"/>
              </w:rPr>
              <w:t xml:space="preserve">. Zčásti jde o očekávaný efekt předzásobení v důsledku </w:t>
            </w:r>
            <w:r>
              <w:rPr>
                <w:spacing w:val="-5"/>
              </w:rPr>
              <w:t>dalšího navýšení daňové sazby (klasické tabákové výrobky) i rozšíření okruhu zdaněných produktů (od roku 2024 náplně do e-cigaret, nikotinové sáčky, od roku 2025 další alternativy). Spotřeba alternativních tabákových výrobků přitom roste i díky vyšší společenské toleranci a také stále relativně nižší úrovni zdanění. Díky efektu předzásobení vzrostl i výběr daně z lihu (+11 %), vyšší inkaso pramenilo také z dalších objemově spíše okrajových položek daně – šumivého vína a</w:t>
            </w:r>
            <w:r>
              <w:rPr>
                <w:color w:val="0D0D0D" w:themeColor="text1" w:themeTint="F2"/>
                <w:spacing w:val="-4"/>
              </w:rPr>
              <w:t> </w:t>
            </w:r>
            <w:r>
              <w:rPr>
                <w:spacing w:val="-5"/>
              </w:rPr>
              <w:t xml:space="preserve">meziproduktů (+7 %) a piva (+1 %). Relativně málo významné pro SR jsou také energetické daně. Jejich inkaso se meziročně zvýšilo o šestinu, hlavně díky zemnímu plynu, u nějž se projevila vyšší spotřeba v topné sezóně 2024/2025 vlivem relativně chladnějšího počasí a také kvůli ústupu domácností od úsporných opatření. Výběr rozpočtově tradičně nejvýznamnější spotřební daně – z minerálních olejů – rostl mírněji (+3,3 %). </w:t>
            </w:r>
            <w:r>
              <w:rPr>
                <w:spacing w:val="-4"/>
                <w:szCs w:val="20"/>
              </w:rPr>
              <w:t>Projevila se</w:t>
            </w:r>
            <w:r>
              <w:rPr>
                <w:spacing w:val="-5"/>
              </w:rPr>
              <w:t xml:space="preserve"> vyšší poptávka po těchto produktech díky rozvoji silniční nákladní dopravy i příznivému vývoji maloobchodních cen PHM</w:t>
            </w:r>
            <w:r>
              <w:rPr>
                <w:rStyle w:val="Znakapoznpodarou"/>
                <w:spacing w:val="-5"/>
              </w:rPr>
              <w:footnoteReference w:id="9"/>
            </w:r>
            <w:r>
              <w:rPr>
                <w:spacing w:val="-5"/>
              </w:rPr>
              <w:t>.</w:t>
            </w:r>
          </w:p>
        </w:tc>
      </w:tr>
      <w:tr w:rsidR="00A04CEF" w:rsidRPr="003C07E6" w14:paraId="3A4DB497" w14:textId="77777777" w:rsidTr="00A04CEF">
        <w:trPr>
          <w:trHeight w:val="6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243231DA" w14:textId="77777777" w:rsidR="00A04CEF" w:rsidRDefault="00A04CEF" w:rsidP="00A04CEF">
            <w:pPr>
              <w:pStyle w:val="Marginlie"/>
            </w:pPr>
            <w:r>
              <w:t>Výběr daně z příjmu právnických osob rostl na počátku roku jen mírně a za rozpočtovým očekáváním zatím zaostával.</w:t>
            </w: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34AF4333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42B1CE8C" w14:textId="77777777" w:rsidR="00A04CEF" w:rsidRPr="00B0286E" w:rsidRDefault="00A04CEF" w:rsidP="00A04CEF">
            <w:pPr>
              <w:spacing w:after="200"/>
              <w:rPr>
                <w:spacing w:val="-4"/>
                <w:szCs w:val="20"/>
              </w:rPr>
            </w:pPr>
            <w:r>
              <w:rPr>
                <w:spacing w:val="-4"/>
                <w:szCs w:val="20"/>
              </w:rPr>
              <w:t xml:space="preserve">Na korporátní dani získal SR zatím letos meziročně o 3,9 % více (+1,6 mld. korun), tempo výběru zatím zcela nenaplňuje rozpočtové očekávání. V inkasu se zatím příliš neprojevuje mírné hospodářské oživení z loňského roku ani dopady dříve schváleného konsolidačního balíčku (zejména plošné zvýšení sazby daně z 19 % na 21 %). Podobně jako loni výběr daně negativně ovlivňují </w:t>
            </w:r>
            <w:r w:rsidRPr="00B0286E">
              <w:rPr>
                <w:spacing w:val="-4"/>
                <w:szCs w:val="20"/>
              </w:rPr>
              <w:t>osvobození výnosů ze státních dluhopisů</w:t>
            </w:r>
            <w:r>
              <w:rPr>
                <w:spacing w:val="-4"/>
                <w:szCs w:val="20"/>
              </w:rPr>
              <w:t xml:space="preserve"> či prodloužení účinnosti </w:t>
            </w:r>
            <w:r>
              <w:rPr>
                <w:spacing w:val="-5"/>
              </w:rPr>
              <w:t xml:space="preserve">mimořádných odpisů. </w:t>
            </w:r>
            <w:r w:rsidRPr="00B0286E">
              <w:rPr>
                <w:spacing w:val="-5"/>
              </w:rPr>
              <w:t xml:space="preserve">Vedle běžné korporátní daně </w:t>
            </w:r>
            <w:r>
              <w:rPr>
                <w:spacing w:val="-5"/>
              </w:rPr>
              <w:t xml:space="preserve">získal zatím letos SR 9,0 mld. na daně </w:t>
            </w:r>
            <w:r w:rsidRPr="00B0286E">
              <w:rPr>
                <w:spacing w:val="-5"/>
              </w:rPr>
              <w:t>z neočekávaných zisků</w:t>
            </w:r>
            <w:r>
              <w:rPr>
                <w:spacing w:val="-5"/>
              </w:rPr>
              <w:t>, meziročně skoro o třetinu méně. Vzhledem k vývoji tržních cen energií v roce 2024 je pokles výběru této daně rozpočtově očekávaný.</w:t>
            </w:r>
          </w:p>
        </w:tc>
      </w:tr>
      <w:tr w:rsidR="00A04CEF" w:rsidRPr="003C07E6" w14:paraId="4DAE5EF9" w14:textId="77777777" w:rsidTr="00A04CEF">
        <w:trPr>
          <w:trHeight w:val="6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5215D5A1" w14:textId="77777777" w:rsidR="00A04CEF" w:rsidRDefault="00A04CEF" w:rsidP="00A04CEF">
            <w:pPr>
              <w:pStyle w:val="Marginlie"/>
            </w:pPr>
            <w:r>
              <w:t>K pokračujícímu svižnému růstu inkasa daně z příjmů od fyzických osob loni přispěli zaměstnanci i podnikatelé. Projevil se efekt oživení růstu ekonomiky i některé dopady konsolidačního balíčku.</w:t>
            </w:r>
          </w:p>
          <w:p w14:paraId="2AB153FC" w14:textId="77777777" w:rsidR="00A04CEF" w:rsidRDefault="00A04CEF" w:rsidP="00A04CEF">
            <w:pPr>
              <w:pStyle w:val="Marginlie"/>
            </w:pPr>
          </w:p>
          <w:p w14:paraId="6FEFC3DC" w14:textId="77777777" w:rsidR="00A04CEF" w:rsidRDefault="00A04CEF" w:rsidP="00A04CEF">
            <w:pPr>
              <w:pStyle w:val="Marginlie"/>
            </w:pPr>
          </w:p>
          <w:p w14:paraId="5C39BC8A" w14:textId="77777777" w:rsidR="00A04CEF" w:rsidRDefault="00A04CEF" w:rsidP="00A04CEF">
            <w:pPr>
              <w:pStyle w:val="Marginlie"/>
            </w:pPr>
          </w:p>
          <w:p w14:paraId="2E02F072" w14:textId="77777777" w:rsidR="00A04CEF" w:rsidRDefault="00A04CEF" w:rsidP="00A04CEF">
            <w:pPr>
              <w:pStyle w:val="Marginlie"/>
            </w:pPr>
          </w:p>
          <w:p w14:paraId="41CF17FC" w14:textId="77777777" w:rsidR="00A04CEF" w:rsidRDefault="00A04CEF" w:rsidP="00A04CEF">
            <w:pPr>
              <w:pStyle w:val="Marginlie"/>
            </w:pPr>
          </w:p>
          <w:p w14:paraId="40D7FED4" w14:textId="77777777" w:rsidR="00A04CEF" w:rsidRDefault="00A04CEF" w:rsidP="00A04CEF">
            <w:pPr>
              <w:pStyle w:val="Marginlie"/>
            </w:pPr>
            <w:r>
              <w:t xml:space="preserve">Svižný růst inkasa DPFO vybírané srážkou se zastavil. </w:t>
            </w: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3957F484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7E4C3C33" w14:textId="77777777" w:rsidR="00A04CEF" w:rsidRPr="00720081" w:rsidRDefault="00A04CEF" w:rsidP="00A04CEF">
            <w:pPr>
              <w:spacing w:after="0"/>
              <w:rPr>
                <w:color w:val="0D0D0D" w:themeColor="text1" w:themeTint="F2"/>
                <w:spacing w:val="-4"/>
              </w:rPr>
            </w:pPr>
            <w:r>
              <w:rPr>
                <w:spacing w:val="-4"/>
                <w:szCs w:val="20"/>
              </w:rPr>
              <w:t xml:space="preserve">Svižný meziroční růst inkasa </w:t>
            </w:r>
            <w:r w:rsidRPr="009124F8">
              <w:rPr>
                <w:color w:val="0D0D0D" w:themeColor="text1" w:themeTint="F2"/>
                <w:spacing w:val="-4"/>
              </w:rPr>
              <w:t>daně</w:t>
            </w:r>
            <w:r>
              <w:rPr>
                <w:color w:val="0D0D0D" w:themeColor="text1" w:themeTint="F2"/>
                <w:spacing w:val="-4"/>
              </w:rPr>
              <w:t xml:space="preserve"> z příjmů fyzických osob (DPFO) pokračoval letos na počátku roku potřetí v řadě. Do SR plynulo z této daně meziročně o 11,8 % (+4,8 mld. korun) více a tempo výběru zatím mírně překonalo rozpočtový plán. Stejně jako u korporátní daně je výnos do SR navýšen změnou RUD. </w:t>
            </w:r>
            <w:r w:rsidRPr="009124F8">
              <w:rPr>
                <w:color w:val="0D0D0D" w:themeColor="text1" w:themeTint="F2"/>
                <w:spacing w:val="-4"/>
              </w:rPr>
              <w:t>Na DPFO odvedené p</w:t>
            </w:r>
            <w:r>
              <w:rPr>
                <w:color w:val="0D0D0D" w:themeColor="text1" w:themeTint="F2"/>
                <w:spacing w:val="-4"/>
              </w:rPr>
              <w:t>látci (zaměstnavateli</w:t>
            </w:r>
            <w:r w:rsidRPr="009124F8">
              <w:rPr>
                <w:color w:val="0D0D0D" w:themeColor="text1" w:themeTint="F2"/>
                <w:spacing w:val="-4"/>
              </w:rPr>
              <w:t xml:space="preserve">) </w:t>
            </w:r>
            <w:r>
              <w:rPr>
                <w:color w:val="0D0D0D" w:themeColor="text1" w:themeTint="F2"/>
                <w:spacing w:val="-4"/>
              </w:rPr>
              <w:t xml:space="preserve">tak získal SR o 12,9 </w:t>
            </w:r>
            <w:r w:rsidRPr="009124F8">
              <w:rPr>
                <w:color w:val="0D0D0D" w:themeColor="text1" w:themeTint="F2"/>
                <w:spacing w:val="-4"/>
              </w:rPr>
              <w:t xml:space="preserve">% více. </w:t>
            </w:r>
            <w:r>
              <w:rPr>
                <w:color w:val="0D0D0D" w:themeColor="text1" w:themeTint="F2"/>
                <w:spacing w:val="-4"/>
              </w:rPr>
              <w:t>V tempu se p</w:t>
            </w:r>
            <w:r w:rsidRPr="009124F8">
              <w:rPr>
                <w:color w:val="0D0D0D" w:themeColor="text1" w:themeTint="F2"/>
                <w:spacing w:val="-4"/>
              </w:rPr>
              <w:t>říznivě promítala přetrvávající dobrá kondice trhu práce (vyšší zaměstnanost i svižný nominální růst průměrné mzdy v podnikové sféře)</w:t>
            </w:r>
            <w:r>
              <w:rPr>
                <w:color w:val="0D0D0D" w:themeColor="text1" w:themeTint="F2"/>
                <w:spacing w:val="-4"/>
              </w:rPr>
              <w:t xml:space="preserve"> a zčásti ještě i</w:t>
            </w:r>
            <w:r w:rsidRPr="009124F8">
              <w:rPr>
                <w:color w:val="0D0D0D" w:themeColor="text1" w:themeTint="F2"/>
                <w:spacing w:val="-4"/>
              </w:rPr>
              <w:t xml:space="preserve"> legislativní změny</w:t>
            </w:r>
            <w:r>
              <w:rPr>
                <w:color w:val="0D0D0D" w:themeColor="text1" w:themeTint="F2"/>
                <w:spacing w:val="-4"/>
              </w:rPr>
              <w:t xml:space="preserve"> z roku 2024</w:t>
            </w:r>
            <w:r w:rsidRPr="009124F8">
              <w:rPr>
                <w:color w:val="0D0D0D" w:themeColor="text1" w:themeTint="F2"/>
                <w:spacing w:val="-4"/>
              </w:rPr>
              <w:t xml:space="preserve"> (především snížení pásma pro druhou zvýšenou sazbu této daně, v menší míře i úprava zdanění vybraných nepeněžních </w:t>
            </w:r>
            <w:r w:rsidRPr="00B17B77">
              <w:rPr>
                <w:color w:val="0D0D0D" w:themeColor="text1" w:themeTint="F2"/>
                <w:spacing w:val="-4"/>
              </w:rPr>
              <w:t>benefi</w:t>
            </w:r>
            <w:r>
              <w:rPr>
                <w:color w:val="0D0D0D" w:themeColor="text1" w:themeTint="F2"/>
                <w:spacing w:val="-4"/>
              </w:rPr>
              <w:t>tů</w:t>
            </w:r>
            <w:r>
              <w:rPr>
                <w:rStyle w:val="Znakapoznpodarou"/>
                <w:color w:val="0D0D0D" w:themeColor="text1" w:themeTint="F2"/>
                <w:spacing w:val="-4"/>
              </w:rPr>
              <w:footnoteReference w:id="10"/>
            </w:r>
            <w:r>
              <w:rPr>
                <w:color w:val="0D0D0D" w:themeColor="text1" w:themeTint="F2"/>
                <w:spacing w:val="-4"/>
              </w:rPr>
              <w:t>).</w:t>
            </w:r>
            <w:r w:rsidRPr="00FB0E09">
              <w:rPr>
                <w:color w:val="0D0D0D" w:themeColor="text1" w:themeTint="F2"/>
                <w:spacing w:val="-4"/>
              </w:rPr>
              <w:t xml:space="preserve"> Relativně dynamicky rostl také výběr DPFO placené poplatníky (hlavně ze samostatné výdělečné činnosti), meziročně o 22 % (+1,1 mld. korun). Příznivý vliv zde měl růst počtu drobných podnikatelů. Dopady konsolidačního balíčku (snížení hranice příjmů pro druhou</w:t>
            </w:r>
            <w:r>
              <w:rPr>
                <w:color w:val="0D0D0D" w:themeColor="text1" w:themeTint="F2"/>
                <w:spacing w:val="-4"/>
              </w:rPr>
              <w:t>,</w:t>
            </w:r>
            <w:r w:rsidRPr="00FB0E09">
              <w:rPr>
                <w:color w:val="0D0D0D" w:themeColor="text1" w:themeTint="F2"/>
                <w:spacing w:val="-4"/>
              </w:rPr>
              <w:t xml:space="preserve"> vyšší daňovou sazbu, zrušení či omezení některých daňových slev) se ve větší míře letos projevily až v dubnovém inkasu</w:t>
            </w:r>
            <w:r>
              <w:rPr>
                <w:rStyle w:val="Znakapoznpodarou"/>
                <w:color w:val="0D0D0D" w:themeColor="text1" w:themeTint="F2"/>
                <w:spacing w:val="-4"/>
              </w:rPr>
              <w:footnoteReference w:id="11"/>
            </w:r>
            <w:r w:rsidRPr="00FB0E09">
              <w:rPr>
                <w:color w:val="0D0D0D" w:themeColor="text1" w:themeTint="F2"/>
                <w:spacing w:val="-4"/>
              </w:rPr>
              <w:t>.</w:t>
            </w:r>
            <w:r>
              <w:rPr>
                <w:color w:val="0D0D0D" w:themeColor="text1" w:themeTint="F2"/>
                <w:spacing w:val="-4"/>
              </w:rPr>
              <w:t xml:space="preserve"> I</w:t>
            </w:r>
            <w:r w:rsidRPr="00B17B77">
              <w:rPr>
                <w:color w:val="0D0D0D" w:themeColor="text1" w:themeTint="F2"/>
                <w:spacing w:val="-4"/>
              </w:rPr>
              <w:t>nkaso DPFO vybírané srážkou</w:t>
            </w:r>
            <w:r>
              <w:rPr>
                <w:color w:val="0D0D0D" w:themeColor="text1" w:themeTint="F2"/>
                <w:spacing w:val="-4"/>
              </w:rPr>
              <w:t xml:space="preserve"> se letos v 1. čtvrtletí meziročně snížilo o 1,1 %. S očekávaným poklesem </w:t>
            </w:r>
            <w:r w:rsidRPr="00B17B77">
              <w:rPr>
                <w:color w:val="0D0D0D" w:themeColor="text1" w:themeTint="F2"/>
                <w:spacing w:val="-4"/>
              </w:rPr>
              <w:t>úrokový</w:t>
            </w:r>
            <w:r>
              <w:rPr>
                <w:color w:val="0D0D0D" w:themeColor="text1" w:themeTint="F2"/>
                <w:spacing w:val="-4"/>
              </w:rPr>
              <w:t>ch</w:t>
            </w:r>
            <w:r w:rsidRPr="00B17B77">
              <w:rPr>
                <w:color w:val="0D0D0D" w:themeColor="text1" w:themeTint="F2"/>
                <w:spacing w:val="-4"/>
              </w:rPr>
              <w:t xml:space="preserve"> saz</w:t>
            </w:r>
            <w:r>
              <w:rPr>
                <w:color w:val="0D0D0D" w:themeColor="text1" w:themeTint="F2"/>
                <w:spacing w:val="-4"/>
              </w:rPr>
              <w:t>e</w:t>
            </w:r>
            <w:r w:rsidRPr="00B17B77">
              <w:rPr>
                <w:color w:val="0D0D0D" w:themeColor="text1" w:themeTint="F2"/>
                <w:spacing w:val="-4"/>
              </w:rPr>
              <w:t>b na vkladech</w:t>
            </w:r>
            <w:r>
              <w:rPr>
                <w:color w:val="0D0D0D" w:themeColor="text1" w:themeTint="F2"/>
                <w:spacing w:val="-4"/>
              </w:rPr>
              <w:t xml:space="preserve"> skončilo pro SR předchozí tříleté období dynamického růstu příjmů z této daně. </w:t>
            </w:r>
            <w:r w:rsidRPr="001A20A4">
              <w:rPr>
                <w:color w:val="0D0D0D" w:themeColor="text1" w:themeTint="F2"/>
                <w:spacing w:val="-4"/>
              </w:rPr>
              <w:t>Efekt poklesu sazeb je částečně tlumen relativně vysokou mírou úspor domácností. Aktuální</w:t>
            </w:r>
            <w:r w:rsidRPr="001A20A4">
              <w:rPr>
                <w:color w:val="0D0D0D" w:themeColor="text1" w:themeTint="F2"/>
                <w:spacing w:val="-6"/>
              </w:rPr>
              <w:t xml:space="preserve"> pokles inkasa souvisí i s nižším počtem osob pracujících na dohody (DPP, DPČ</w:t>
            </w:r>
            <w:r>
              <w:rPr>
                <w:color w:val="0D0D0D" w:themeColor="text1" w:themeTint="F2"/>
                <w:spacing w:val="-4"/>
              </w:rPr>
              <w:t>)</w:t>
            </w:r>
            <w:r>
              <w:rPr>
                <w:rStyle w:val="Znakapoznpodarou"/>
                <w:color w:val="0D0D0D" w:themeColor="text1" w:themeTint="F2"/>
                <w:spacing w:val="-4"/>
              </w:rPr>
              <w:footnoteReference w:id="12"/>
            </w:r>
            <w:r>
              <w:rPr>
                <w:color w:val="0D0D0D" w:themeColor="text1" w:themeTint="F2"/>
                <w:spacing w:val="-4"/>
              </w:rPr>
              <w:t>.</w:t>
            </w:r>
          </w:p>
        </w:tc>
      </w:tr>
      <w:tr w:rsidR="00A04CEF" w:rsidRPr="003C07E6" w14:paraId="1BAAD252" w14:textId="77777777" w:rsidTr="00A04CEF">
        <w:trPr>
          <w:trHeight w:val="6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357E4668" w14:textId="77777777" w:rsidR="00A04CEF" w:rsidRDefault="00A04CEF" w:rsidP="00A04CEF">
            <w:pPr>
              <w:pStyle w:val="Marginlie"/>
            </w:pPr>
            <w:r>
              <w:lastRenderedPageBreak/>
              <w:t>Příjmy plynoucí z rozpočtu EU vlivem pomalejšího náběhu plateb v novém programovém období mírně klesly.</w:t>
            </w: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485FD65A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1FAF1AFB" w14:textId="77777777" w:rsidR="00A04CEF" w:rsidRPr="00FB0E09" w:rsidRDefault="00A04CEF" w:rsidP="00A04CEF">
            <w:pPr>
              <w:spacing w:after="200"/>
              <w:rPr>
                <w:color w:val="0D0D0D" w:themeColor="text1" w:themeTint="F2"/>
                <w:spacing w:val="-4"/>
              </w:rPr>
            </w:pPr>
            <w:r w:rsidRPr="00342FCD">
              <w:rPr>
                <w:color w:val="0D0D0D" w:themeColor="text1" w:themeTint="F2"/>
                <w:spacing w:val="-4"/>
              </w:rPr>
              <w:t>Nedaňové a kapitálové příjmy a přijaté transfery</w:t>
            </w:r>
            <w:r>
              <w:rPr>
                <w:color w:val="0D0D0D" w:themeColor="text1" w:themeTint="F2"/>
                <w:spacing w:val="-4"/>
              </w:rPr>
              <w:t xml:space="preserve"> dosáhly letos v 1. čtvrtletí 45,6 mld. korun (na veškerých příjmech SR se podílely necelou desetinou</w:t>
            </w:r>
            <w:r>
              <w:rPr>
                <w:rStyle w:val="Znakapoznpodarou"/>
                <w:color w:val="0D0D0D" w:themeColor="text1" w:themeTint="F2"/>
                <w:spacing w:val="-4"/>
              </w:rPr>
              <w:footnoteReference w:id="13"/>
            </w:r>
            <w:r>
              <w:rPr>
                <w:color w:val="0D0D0D" w:themeColor="text1" w:themeTint="F2"/>
                <w:spacing w:val="-4"/>
              </w:rPr>
              <w:t xml:space="preserve">). V souladu s očekáváním rozpočtu se meziročně nepatrně snížily (o 1,4 %). To souvisí především s nižšími příjmy rozpočtu </w:t>
            </w:r>
            <w:r>
              <w:rPr>
                <w:spacing w:val="-4"/>
              </w:rPr>
              <w:t>EU, vč. finančních mechanismů (</w:t>
            </w:r>
            <w:r>
              <w:rPr>
                <w:color w:val="0D0D0D" w:themeColor="text1" w:themeTint="F2"/>
                <w:spacing w:val="-5"/>
              </w:rPr>
              <w:t>−</w:t>
            </w:r>
            <w:r>
              <w:rPr>
                <w:spacing w:val="-4"/>
              </w:rPr>
              <w:t>1,2 mld. korun). V nich se plně projevuje dopad ukončení staršího finančního rámce EU 2014-2020</w:t>
            </w:r>
            <w:r>
              <w:rPr>
                <w:rStyle w:val="Znakapoznpodarou"/>
                <w:spacing w:val="-4"/>
              </w:rPr>
              <w:footnoteReference w:id="14"/>
            </w:r>
            <w:r>
              <w:rPr>
                <w:spacing w:val="-4"/>
              </w:rPr>
              <w:t xml:space="preserve"> i fakt, že příjmy plynoucí ze současného víceletého rámce (2021–2027) vlivem jeho pomalejšího rozjezdu zatím vzrostly jen mírně (podobně jako příjmy na společnou zemědělskou politiku</w:t>
            </w:r>
            <w:r>
              <w:rPr>
                <w:rStyle w:val="Znakapoznpodarou"/>
                <w:spacing w:val="-4"/>
              </w:rPr>
              <w:footnoteReference w:id="15"/>
            </w:r>
            <w:r>
              <w:rPr>
                <w:spacing w:val="-4"/>
              </w:rPr>
              <w:t>).</w:t>
            </w:r>
          </w:p>
        </w:tc>
      </w:tr>
      <w:tr w:rsidR="00A04CEF" w:rsidRPr="003C07E6" w14:paraId="55FF24CB" w14:textId="77777777" w:rsidTr="00A04CEF">
        <w:trPr>
          <w:trHeight w:val="6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0353640B" w14:textId="77777777" w:rsidR="00A04CEF" w:rsidRDefault="00A04CEF" w:rsidP="00A04CEF">
            <w:pPr>
              <w:pStyle w:val="Marginlie"/>
            </w:pP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31319BB7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572F8B48" w14:textId="77777777" w:rsidR="00A04CEF" w:rsidRPr="001B78B8" w:rsidRDefault="00A04CEF" w:rsidP="00A04CEF">
            <w:pPr>
              <w:spacing w:after="40"/>
              <w:rPr>
                <w:color w:val="0D0D0D" w:themeColor="text1" w:themeTint="F2"/>
                <w:spacing w:val="-4"/>
              </w:rPr>
            </w:pPr>
            <w:r w:rsidRPr="004457BD">
              <w:rPr>
                <w:rFonts w:cs="Arial"/>
                <w:b/>
                <w:bCs/>
                <w:color w:val="000000"/>
                <w:spacing w:val="-2"/>
                <w:szCs w:val="20"/>
              </w:rPr>
              <w:t xml:space="preserve">Graf č. 18 Příspěvek dílčích příjmů k meziročnímu růstu </w:t>
            </w:r>
            <w:r>
              <w:rPr>
                <w:rFonts w:cs="Arial"/>
                <w:b/>
                <w:bCs/>
                <w:color w:val="000000"/>
                <w:spacing w:val="-2"/>
                <w:szCs w:val="20"/>
              </w:rPr>
              <w:t xml:space="preserve">souhrnného </w:t>
            </w:r>
            <w:r w:rsidRPr="004457BD">
              <w:rPr>
                <w:rFonts w:cs="Arial"/>
                <w:b/>
                <w:bCs/>
                <w:color w:val="000000"/>
                <w:spacing w:val="-2"/>
                <w:szCs w:val="20"/>
              </w:rPr>
              <w:t xml:space="preserve">celostátního inkasa daňových příjmů </w:t>
            </w:r>
            <w:r>
              <w:rPr>
                <w:rFonts w:cs="Arial"/>
                <w:bCs/>
                <w:color w:val="000000"/>
                <w:spacing w:val="-2"/>
                <w:szCs w:val="20"/>
              </w:rPr>
              <w:t xml:space="preserve">(v </w:t>
            </w:r>
            <w:r w:rsidRPr="004457BD">
              <w:rPr>
                <w:rFonts w:cs="Arial"/>
                <w:bCs/>
                <w:color w:val="000000"/>
                <w:spacing w:val="-2"/>
                <w:szCs w:val="20"/>
              </w:rPr>
              <w:t xml:space="preserve">p. b.), </w:t>
            </w:r>
            <w:r w:rsidRPr="004457BD">
              <w:rPr>
                <w:rFonts w:cs="Arial"/>
                <w:b/>
                <w:bCs/>
                <w:color w:val="000000"/>
                <w:spacing w:val="-2"/>
                <w:szCs w:val="20"/>
              </w:rPr>
              <w:t>meziroční růst příjmů pojistného</w:t>
            </w:r>
            <w:r>
              <w:rPr>
                <w:rFonts w:cs="Arial"/>
                <w:b/>
                <w:bCs/>
                <w:color w:val="000000"/>
                <w:spacing w:val="-2"/>
                <w:szCs w:val="20"/>
              </w:rPr>
              <w:t xml:space="preserve"> na sociální</w:t>
            </w:r>
            <w:r w:rsidRPr="004457BD">
              <w:rPr>
                <w:rFonts w:cs="Arial"/>
                <w:b/>
                <w:bCs/>
                <w:color w:val="000000"/>
                <w:spacing w:val="-2"/>
                <w:szCs w:val="20"/>
              </w:rPr>
              <w:t xml:space="preserve"> zabezpečení</w:t>
            </w:r>
            <w:r w:rsidRPr="004457BD">
              <w:rPr>
                <w:rFonts w:cs="Arial"/>
                <w:bCs/>
                <w:color w:val="000000"/>
                <w:spacing w:val="-2"/>
                <w:szCs w:val="20"/>
              </w:rPr>
              <w:t xml:space="preserve"> (%) </w:t>
            </w:r>
            <w:r w:rsidRPr="004457BD">
              <w:rPr>
                <w:rFonts w:cs="Arial"/>
                <w:b/>
                <w:bCs/>
                <w:color w:val="000000"/>
                <w:spacing w:val="-2"/>
                <w:szCs w:val="20"/>
              </w:rPr>
              <w:t xml:space="preserve">a saldo státního rozpočtu </w:t>
            </w:r>
            <w:r w:rsidRPr="004457BD">
              <w:rPr>
                <w:rFonts w:cs="Arial"/>
                <w:bCs/>
                <w:color w:val="000000"/>
                <w:spacing w:val="-2"/>
                <w:szCs w:val="20"/>
              </w:rPr>
              <w:t>(v mld. korun)</w:t>
            </w:r>
            <w:r>
              <w:rPr>
                <w:rFonts w:cs="Arial"/>
                <w:bCs/>
                <w:color w:val="000000"/>
                <w:spacing w:val="-2"/>
                <w:szCs w:val="20"/>
              </w:rPr>
              <w:t xml:space="preserve"> v </w:t>
            </w:r>
            <w:r>
              <w:rPr>
                <w:rFonts w:cs="Arial"/>
                <w:b/>
                <w:bCs/>
              </w:rPr>
              <w:t>rámci 1. čtvrtletí</w:t>
            </w:r>
          </w:p>
        </w:tc>
      </w:tr>
      <w:tr w:rsidR="00A04CEF" w:rsidRPr="00F704D2" w14:paraId="2A2AE4E9" w14:textId="77777777" w:rsidTr="00A04CEF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1810" w:type="dxa"/>
            <w:shd w:val="clear" w:color="auto" w:fill="auto"/>
          </w:tcPr>
          <w:p w14:paraId="38335F35" w14:textId="77777777" w:rsidR="00A04CEF" w:rsidRDefault="00A04CEF" w:rsidP="00A04CEF">
            <w:pPr>
              <w:pStyle w:val="Marginlie"/>
            </w:pPr>
          </w:p>
        </w:tc>
        <w:tc>
          <w:tcPr>
            <w:tcW w:w="203" w:type="dxa"/>
            <w:shd w:val="clear" w:color="auto" w:fill="auto"/>
          </w:tcPr>
          <w:p w14:paraId="25D83777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  <w:p w14:paraId="72D4A772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</w:tcPr>
          <w:p w14:paraId="6328AABC" w14:textId="77777777" w:rsidR="00A04CEF" w:rsidRPr="004457BD" w:rsidRDefault="00A04CEF" w:rsidP="00A04CEF">
            <w:pPr>
              <w:spacing w:after="40"/>
              <w:rPr>
                <w:rFonts w:cs="Arial"/>
                <w:b/>
                <w:bCs/>
                <w:color w:val="000000"/>
                <w:spacing w:val="-2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F24650A" wp14:editId="0244F340">
                  <wp:extent cx="4772660" cy="3522428"/>
                  <wp:effectExtent l="0" t="0" r="8890" b="1905"/>
                  <wp:docPr id="923002696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9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A04CEF" w:rsidRPr="007B3A78" w14:paraId="4738C7C0" w14:textId="77777777" w:rsidTr="00A04CEF">
        <w:trPr>
          <w:trHeight w:val="17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4A9C86BA" w14:textId="77777777" w:rsidR="00A04CEF" w:rsidRDefault="00A04CEF" w:rsidP="00A04CEF">
            <w:pPr>
              <w:pStyle w:val="Marginlie"/>
            </w:pP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71E95D5E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20AFCA26" w14:textId="77777777" w:rsidR="00A04CEF" w:rsidRDefault="00A04CEF" w:rsidP="00A04CEF">
            <w:pPr>
              <w:tabs>
                <w:tab w:val="right" w:pos="7683"/>
              </w:tabs>
              <w:spacing w:after="0" w:line="240" w:lineRule="auto"/>
              <w:jc w:val="left"/>
              <w:rPr>
                <w:spacing w:val="-2"/>
                <w:sz w:val="14"/>
                <w:szCs w:val="14"/>
              </w:rPr>
            </w:pPr>
            <w:r w:rsidRPr="004457BD">
              <w:rPr>
                <w:spacing w:val="-2"/>
                <w:sz w:val="14"/>
                <w:szCs w:val="14"/>
              </w:rPr>
              <w:t>*Zahrnují i příspěvky na státní politiku zaměstnanosti.</w:t>
            </w:r>
          </w:p>
          <w:p w14:paraId="12EAD5F8" w14:textId="77777777" w:rsidR="00A04CEF" w:rsidRDefault="00A04CEF" w:rsidP="00A04CEF">
            <w:pPr>
              <w:tabs>
                <w:tab w:val="right" w:pos="7683"/>
              </w:tabs>
              <w:spacing w:after="0" w:line="240" w:lineRule="auto"/>
              <w:jc w:val="left"/>
              <w:rPr>
                <w:spacing w:val="-2"/>
                <w:sz w:val="14"/>
                <w:szCs w:val="14"/>
              </w:rPr>
            </w:pPr>
            <w:r w:rsidRPr="004457BD">
              <w:rPr>
                <w:spacing w:val="-2"/>
                <w:sz w:val="14"/>
                <w:szCs w:val="14"/>
              </w:rPr>
              <w:t>**Saldo očištěné o prostředky na pro</w:t>
            </w:r>
            <w:r>
              <w:rPr>
                <w:spacing w:val="-2"/>
                <w:sz w:val="14"/>
                <w:szCs w:val="14"/>
              </w:rPr>
              <w:t>gramy/projekty z rozpočtu EU a f</w:t>
            </w:r>
            <w:r w:rsidRPr="004457BD">
              <w:rPr>
                <w:spacing w:val="-2"/>
                <w:sz w:val="14"/>
                <w:szCs w:val="14"/>
              </w:rPr>
              <w:t xml:space="preserve">inančních mechanismů, které byly předfinancovány ze SR a následně jsou propláceny z rozpočtu EU a FM. </w:t>
            </w:r>
            <w:r>
              <w:rPr>
                <w:spacing w:val="-2"/>
                <w:sz w:val="14"/>
                <w:szCs w:val="14"/>
              </w:rPr>
              <w:t xml:space="preserve">Celoroční údaje </w:t>
            </w:r>
            <w:r w:rsidRPr="004457BD">
              <w:rPr>
                <w:spacing w:val="-2"/>
                <w:sz w:val="14"/>
                <w:szCs w:val="14"/>
              </w:rPr>
              <w:t>jsou</w:t>
            </w:r>
            <w:r>
              <w:rPr>
                <w:spacing w:val="-2"/>
                <w:sz w:val="14"/>
                <w:szCs w:val="14"/>
              </w:rPr>
              <w:t xml:space="preserve"> k dispozici počínaje rokem 2013.</w:t>
            </w:r>
          </w:p>
          <w:p w14:paraId="561F4D7B" w14:textId="77777777" w:rsidR="00A04CEF" w:rsidRDefault="00A04CEF" w:rsidP="00A04CEF">
            <w:pPr>
              <w:tabs>
                <w:tab w:val="right" w:pos="7683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pacing w:val="-2"/>
                <w:sz w:val="14"/>
                <w:szCs w:val="14"/>
              </w:rPr>
              <w:t>FO = fyzické soby, PO = právnické osoby. Ostatní daně z příjmů FO zahrnují daně placené</w:t>
            </w:r>
            <w:r w:rsidRPr="005B05AD">
              <w:rPr>
                <w:spacing w:val="-2"/>
                <w:sz w:val="14"/>
                <w:szCs w:val="14"/>
              </w:rPr>
              <w:t xml:space="preserve"> poplatníky</w:t>
            </w:r>
            <w:r>
              <w:rPr>
                <w:spacing w:val="-2"/>
                <w:sz w:val="14"/>
                <w:szCs w:val="14"/>
              </w:rPr>
              <w:t xml:space="preserve"> (zejména z drobného podnikání) a dále daně vybírané</w:t>
            </w:r>
            <w:r w:rsidRPr="005B05AD">
              <w:rPr>
                <w:spacing w:val="-2"/>
                <w:sz w:val="14"/>
                <w:szCs w:val="14"/>
              </w:rPr>
              <w:t xml:space="preserve"> srážkou</w:t>
            </w:r>
            <w:r>
              <w:rPr>
                <w:spacing w:val="-2"/>
                <w:sz w:val="14"/>
                <w:szCs w:val="14"/>
              </w:rPr>
              <w:t xml:space="preserve"> (např. bankovní vklady, pracovní dohody).</w:t>
            </w:r>
          </w:p>
          <w:p w14:paraId="09EC3EFB" w14:textId="77777777" w:rsidR="00A04CEF" w:rsidRDefault="00A04CEF" w:rsidP="00A04CEF">
            <w:pPr>
              <w:rPr>
                <w:spacing w:val="-4"/>
              </w:rPr>
            </w:pPr>
            <w:r>
              <w:rPr>
                <w:sz w:val="14"/>
                <w:szCs w:val="14"/>
              </w:rPr>
              <w:t>Ostatní daně a poplatky obsahují zejména daň z nemovitých věcí, d</w:t>
            </w:r>
            <w:r w:rsidRPr="001F4360">
              <w:rPr>
                <w:sz w:val="14"/>
                <w:szCs w:val="14"/>
              </w:rPr>
              <w:t>aň z hazardních her</w:t>
            </w:r>
            <w:r>
              <w:rPr>
                <w:sz w:val="14"/>
                <w:szCs w:val="14"/>
              </w:rPr>
              <w:t>, d</w:t>
            </w:r>
            <w:r w:rsidRPr="001F4360">
              <w:rPr>
                <w:sz w:val="14"/>
                <w:szCs w:val="14"/>
              </w:rPr>
              <w:t>álniční poplatek</w:t>
            </w:r>
            <w:r>
              <w:rPr>
                <w:sz w:val="14"/>
                <w:szCs w:val="14"/>
              </w:rPr>
              <w:t>, mýtné a od roku 2023 nově rovněž o</w:t>
            </w:r>
            <w:r w:rsidRPr="003C78E5">
              <w:rPr>
                <w:sz w:val="14"/>
                <w:szCs w:val="14"/>
              </w:rPr>
              <w:t>dvod z nadměrných příjmů</w:t>
            </w:r>
            <w:r>
              <w:rPr>
                <w:sz w:val="14"/>
                <w:szCs w:val="14"/>
              </w:rPr>
              <w:t xml:space="preserve"> a neočekávaných zisků.                                                            Zdroj: MF ČR</w:t>
            </w:r>
          </w:p>
        </w:tc>
      </w:tr>
      <w:tr w:rsidR="00A04CEF" w:rsidRPr="007B3A78" w14:paraId="7EB22350" w14:textId="77777777" w:rsidTr="00A04CEF">
        <w:trPr>
          <w:trHeight w:val="17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6853DCCD" w14:textId="77777777" w:rsidR="00A04CEF" w:rsidRDefault="00A04CEF" w:rsidP="00A04CEF">
            <w:pPr>
              <w:pStyle w:val="Marginlie"/>
            </w:pPr>
            <w:r>
              <w:t>Za mírným růstem výdajů stály zatím letos pouze běžné výdaje.</w:t>
            </w: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744A8C52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6AF61C8C" w14:textId="77777777" w:rsidR="00A04CEF" w:rsidRDefault="00A04CEF" w:rsidP="00A04CEF">
            <w:pPr>
              <w:spacing w:after="200"/>
              <w:rPr>
                <w:color w:val="0D0D0D" w:themeColor="text1" w:themeTint="F2"/>
                <w:spacing w:val="-4"/>
                <w:szCs w:val="20"/>
              </w:rPr>
            </w:pPr>
            <w:r>
              <w:rPr>
                <w:color w:val="0D0D0D" w:themeColor="text1" w:themeTint="F2"/>
                <w:spacing w:val="-4"/>
                <w:szCs w:val="20"/>
              </w:rPr>
              <w:t xml:space="preserve">Růst celkových výdajů SR činil letos v 1. čtvrtletí 2,4 % a toto tempo tak bylo zatím mírně nižší než celoroční rozpočtové očekávání. Ve srovnání s počátkem i celým loňským rokem však bylo tempo výdajů vyšší, což je dáno tím, že se v roce 2024 výrazně projevoval útlum podpory domácností i firem zasažených dříve vysokými cenami energií. Rovněž již loni došlo ke stabilizaci růstu spotřebitelských cen, což se brzy promítlo </w:t>
            </w:r>
            <w:r>
              <w:rPr>
                <w:color w:val="0D0D0D" w:themeColor="text1" w:themeTint="F2"/>
                <w:spacing w:val="-4"/>
              </w:rPr>
              <w:t>i v nižším tlaku na valorizaci širokého spektra sociálních dávek.</w:t>
            </w:r>
            <w:r>
              <w:rPr>
                <w:color w:val="0D0D0D" w:themeColor="text1" w:themeTint="F2"/>
                <w:spacing w:val="-4"/>
                <w:szCs w:val="20"/>
              </w:rPr>
              <w:t xml:space="preserve"> Za meziročním růstem celkových výdajů stály letos pouze běžné výdaje (+15,2 mld. korun). </w:t>
            </w:r>
          </w:p>
        </w:tc>
      </w:tr>
      <w:tr w:rsidR="00A04CEF" w:rsidRPr="007B3A78" w14:paraId="4DA64C67" w14:textId="77777777" w:rsidTr="00A04CEF">
        <w:trPr>
          <w:trHeight w:val="17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1301A907" w14:textId="77777777" w:rsidR="00A04CEF" w:rsidRDefault="00A04CEF" w:rsidP="00A04CEF">
            <w:pPr>
              <w:pStyle w:val="Marginlie"/>
            </w:pPr>
            <w:r>
              <w:t xml:space="preserve">Růst běžných transferů územních rozpočtů byl tažen vyššími výdaji na platy pracovníků </w:t>
            </w:r>
            <w:r>
              <w:lastRenderedPageBreak/>
              <w:t>regionálního školství a</w:t>
            </w:r>
            <w:r>
              <w:rPr>
                <w:spacing w:val="-5"/>
              </w:rPr>
              <w:t> </w:t>
            </w:r>
            <w:r>
              <w:t>na evropské projekty.</w:t>
            </w: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41BE39D9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39BE1E89" w14:textId="77777777" w:rsidR="00A04CEF" w:rsidRDefault="00A04CEF" w:rsidP="00A04CEF">
            <w:pPr>
              <w:spacing w:after="200"/>
              <w:rPr>
                <w:color w:val="0D0D0D" w:themeColor="text1" w:themeTint="F2"/>
                <w:spacing w:val="-4"/>
                <w:szCs w:val="20"/>
              </w:rPr>
            </w:pPr>
            <w:r>
              <w:rPr>
                <w:color w:val="0D0D0D" w:themeColor="text1" w:themeTint="F2"/>
                <w:spacing w:val="-4"/>
                <w:szCs w:val="20"/>
              </w:rPr>
              <w:t>Ve směru růstu celkových výdajů SR působily v 1. čtvrtletí nejvíce běžné transfery územním rozpočtům, které dosáhly 94,6 mld. korun (více než šestinu všech běžných výdajů) a</w:t>
            </w:r>
            <w:r>
              <w:rPr>
                <w:color w:val="0D0D0D" w:themeColor="text1" w:themeTint="F2"/>
                <w:spacing w:val="-4"/>
              </w:rPr>
              <w:t> </w:t>
            </w:r>
            <w:r>
              <w:rPr>
                <w:color w:val="0D0D0D" w:themeColor="text1" w:themeTint="F2"/>
                <w:spacing w:val="-4"/>
                <w:szCs w:val="20"/>
              </w:rPr>
              <w:t xml:space="preserve">meziročně posílily o 8,2 mld. (+9,5 %). Relativně vysoké procentní tempo výdajů je zčásti dáno jejich předfinancováním. Vyšší výdaje odráží zejména posílení prostředků na </w:t>
            </w:r>
            <w:r>
              <w:rPr>
                <w:color w:val="0D0D0D" w:themeColor="text1" w:themeTint="F2"/>
                <w:spacing w:val="-4"/>
                <w:szCs w:val="20"/>
              </w:rPr>
              <w:lastRenderedPageBreak/>
              <w:t>regionální školství, primárně na zvýšení platů pracovníků</w:t>
            </w:r>
            <w:r>
              <w:rPr>
                <w:rStyle w:val="Znakapoznpodarou"/>
                <w:color w:val="0D0D0D" w:themeColor="text1" w:themeTint="F2"/>
                <w:spacing w:val="-4"/>
                <w:szCs w:val="20"/>
              </w:rPr>
              <w:footnoteReference w:id="16"/>
            </w:r>
            <w:r>
              <w:rPr>
                <w:color w:val="0D0D0D" w:themeColor="text1" w:themeTint="F2"/>
                <w:spacing w:val="-4"/>
                <w:szCs w:val="20"/>
              </w:rPr>
              <w:t>, dále na spolufinancování nevýzkumných projektů podporovaných EU, další evropské projekty (podpora územního rozvoje v rámci IROP</w:t>
            </w:r>
            <w:r>
              <w:rPr>
                <w:rStyle w:val="Znakapoznpodarou"/>
                <w:color w:val="0D0D0D" w:themeColor="text1" w:themeTint="F2"/>
                <w:spacing w:val="-4"/>
                <w:szCs w:val="20"/>
              </w:rPr>
              <w:footnoteReference w:id="17"/>
            </w:r>
            <w:r>
              <w:rPr>
                <w:color w:val="0D0D0D" w:themeColor="text1" w:themeTint="F2"/>
                <w:spacing w:val="-4"/>
                <w:szCs w:val="20"/>
              </w:rPr>
              <w:t>) a v neposlední řadě na sociální služby. Naopak k poklesu financování došlo v oblasti voleb a také v integraci uprchlíků z Ukrajiny (k</w:t>
            </w:r>
            <w:r w:rsidRPr="002B77A8">
              <w:rPr>
                <w:color w:val="0D0D0D" w:themeColor="text1" w:themeTint="F2"/>
                <w:spacing w:val="-4"/>
                <w:szCs w:val="20"/>
              </w:rPr>
              <w:t>ompenzační příspěvek na ubytování, ukrajinští asistenti pedagogů).</w:t>
            </w:r>
          </w:p>
        </w:tc>
      </w:tr>
      <w:tr w:rsidR="00A04CEF" w:rsidRPr="007B3A78" w14:paraId="1D3C2386" w14:textId="77777777" w:rsidTr="00A04CEF">
        <w:trPr>
          <w:trHeight w:val="17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7FCDF510" w14:textId="77777777" w:rsidR="00A04CEF" w:rsidRDefault="00A04CEF" w:rsidP="00A04CEF">
            <w:pPr>
              <w:pStyle w:val="Marginlie"/>
            </w:pPr>
            <w:r>
              <w:lastRenderedPageBreak/>
              <w:t xml:space="preserve">Výdaje na obsluhu státního dluhu meziročně výrazně vzrostly. </w:t>
            </w:r>
          </w:p>
          <w:p w14:paraId="1B3F6B5D" w14:textId="77777777" w:rsidR="00A04CEF" w:rsidRDefault="00A04CEF" w:rsidP="00A04CEF">
            <w:pPr>
              <w:pStyle w:val="Marginlie"/>
            </w:pPr>
          </w:p>
          <w:p w14:paraId="6B068EB2" w14:textId="77777777" w:rsidR="00A04CEF" w:rsidRDefault="00A04CEF" w:rsidP="00A04CEF">
            <w:pPr>
              <w:pStyle w:val="Marginlie"/>
            </w:pPr>
          </w:p>
          <w:p w14:paraId="759D408A" w14:textId="77777777" w:rsidR="00A04CEF" w:rsidRDefault="00A04CEF" w:rsidP="00A04CEF">
            <w:pPr>
              <w:pStyle w:val="Marginlie"/>
            </w:pPr>
            <w:r>
              <w:t>Růst nominální výše státního dluhu zvolnil. Od počátku roku se navýšila pouze vnitřní zadluženost.</w:t>
            </w: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2CC1F455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27C720A5" w14:textId="77777777" w:rsidR="00A04CEF" w:rsidRPr="009124F8" w:rsidRDefault="00A04CEF" w:rsidP="00A04CEF">
            <w:pPr>
              <w:spacing w:after="200"/>
              <w:rPr>
                <w:color w:val="0D0D0D" w:themeColor="text1" w:themeTint="F2"/>
                <w:spacing w:val="-4"/>
                <w:szCs w:val="20"/>
              </w:rPr>
            </w:pPr>
            <w:r>
              <w:rPr>
                <w:color w:val="0D0D0D" w:themeColor="text1" w:themeTint="F2"/>
                <w:spacing w:val="-4"/>
                <w:szCs w:val="20"/>
              </w:rPr>
              <w:t>Letos významně vzrostly i čisté výdaje na obsluhu státního dluhu (zejména úroky), které v 1.</w:t>
            </w:r>
            <w:r>
              <w:rPr>
                <w:color w:val="0D0D0D" w:themeColor="text1" w:themeTint="F2"/>
                <w:spacing w:val="-4"/>
              </w:rPr>
              <w:t> </w:t>
            </w:r>
            <w:r>
              <w:rPr>
                <w:color w:val="0D0D0D" w:themeColor="text1" w:themeTint="F2"/>
                <w:spacing w:val="-4"/>
                <w:szCs w:val="20"/>
              </w:rPr>
              <w:t>čtvrtletí činily 16,4 mld. korun a meziročně posílily o 45 %</w:t>
            </w:r>
            <w:r>
              <w:rPr>
                <w:rStyle w:val="Znakapoznpodarou"/>
                <w:color w:val="0D0D0D" w:themeColor="text1" w:themeTint="F2"/>
                <w:spacing w:val="-4"/>
                <w:szCs w:val="20"/>
              </w:rPr>
              <w:footnoteReference w:id="18"/>
            </w:r>
            <w:r>
              <w:rPr>
                <w:color w:val="0D0D0D" w:themeColor="text1" w:themeTint="F2"/>
                <w:spacing w:val="-4"/>
                <w:szCs w:val="20"/>
              </w:rPr>
              <w:t xml:space="preserve">. Výše státního dluhu dosáhla na konci března 3 410 mld. korun a meziročně se zvyšovala </w:t>
            </w:r>
            <w:r>
              <w:rPr>
                <w:color w:val="0D0D0D" w:themeColor="text1" w:themeTint="F2"/>
                <w:spacing w:val="-5"/>
              </w:rPr>
              <w:t xml:space="preserve">již 23 </w:t>
            </w:r>
            <w:r w:rsidRPr="004143BE">
              <w:rPr>
                <w:color w:val="0D0D0D" w:themeColor="text1" w:themeTint="F2"/>
                <w:spacing w:val="-5"/>
              </w:rPr>
              <w:t>k</w:t>
            </w:r>
            <w:r>
              <w:rPr>
                <w:color w:val="0D0D0D" w:themeColor="text1" w:themeTint="F2"/>
                <w:spacing w:val="-5"/>
              </w:rPr>
              <w:t xml:space="preserve">vartálů </w:t>
            </w:r>
            <w:r>
              <w:rPr>
                <w:color w:val="0D0D0D" w:themeColor="text1" w:themeTint="F2"/>
                <w:spacing w:val="-8"/>
              </w:rPr>
              <w:t>v řadě.</w:t>
            </w:r>
            <w:r>
              <w:rPr>
                <w:color w:val="0D0D0D" w:themeColor="text1" w:themeTint="F2"/>
                <w:spacing w:val="-4"/>
                <w:szCs w:val="20"/>
              </w:rPr>
              <w:t xml:space="preserve"> Nicméně aktuální růst (+5,9 %) byl v rámci 1. čtvrtletí nejnižší za posledních pět let. Od počátku letošního roku dluh narostl o 1,3 % a také toto tempo bylo v kontextu vývoje v</w:t>
            </w:r>
            <w:r>
              <w:rPr>
                <w:color w:val="0D0D0D" w:themeColor="text1" w:themeTint="F2"/>
                <w:spacing w:val="-4"/>
              </w:rPr>
              <w:t> </w:t>
            </w:r>
            <w:r>
              <w:rPr>
                <w:color w:val="0D0D0D" w:themeColor="text1" w:themeTint="F2"/>
                <w:spacing w:val="-4"/>
                <w:szCs w:val="20"/>
              </w:rPr>
              <w:t>současné dekádě podprůměrné. Objem celkových výpůjčních operací státu</w:t>
            </w:r>
            <w:r>
              <w:rPr>
                <w:rStyle w:val="Znakapoznpodarou"/>
                <w:color w:val="0D0D0D" w:themeColor="text1" w:themeTint="F2"/>
                <w:spacing w:val="-4"/>
                <w:szCs w:val="20"/>
              </w:rPr>
              <w:footnoteReference w:id="19"/>
            </w:r>
            <w:r>
              <w:rPr>
                <w:color w:val="0D0D0D" w:themeColor="text1" w:themeTint="F2"/>
                <w:spacing w:val="-4"/>
                <w:szCs w:val="20"/>
              </w:rPr>
              <w:t xml:space="preserve"> byl sice letos vyšší než za 1. čtvrtletí 2024, současně však narostl i objem splátek. Během letošního roku se zatím zvýšila jen vnitřní zadluženost (+48 mld. korun), a to převážně vlivem krátkodobých dluhových nástrojů (primárně státních pokladničních poukázek), neboť stav středně- a</w:t>
            </w:r>
            <w:r>
              <w:rPr>
                <w:color w:val="0D0D0D" w:themeColor="text1" w:themeTint="F2"/>
                <w:spacing w:val="-4"/>
              </w:rPr>
              <w:t> </w:t>
            </w:r>
            <w:r>
              <w:rPr>
                <w:color w:val="0D0D0D" w:themeColor="text1" w:themeTint="F2"/>
                <w:spacing w:val="-4"/>
                <w:szCs w:val="20"/>
              </w:rPr>
              <w:t>dlouhodobých dluhopisů se během 1. kvartálu významně nezměnil. Korunová hodnota vnějšího státního dluhu totiž velmi mírně klesla (</w:t>
            </w:r>
            <w:r w:rsidRPr="008B3F65">
              <w:rPr>
                <w:spacing w:val="-6"/>
              </w:rPr>
              <w:t>–</w:t>
            </w:r>
            <w:r>
              <w:rPr>
                <w:color w:val="0D0D0D" w:themeColor="text1" w:themeTint="F2"/>
                <w:spacing w:val="-4"/>
                <w:szCs w:val="20"/>
              </w:rPr>
              <w:t>1,3 %, na 179,7 mld. korun). Při absenci výpůjčních operací se zde podobným dílem projevily menší splátky úvěrů (od Evropské investiční banky) i dopad kurzových vlivů (apreciace koruny vůči euru i dolaru).</w:t>
            </w:r>
          </w:p>
        </w:tc>
      </w:tr>
      <w:tr w:rsidR="00A04CEF" w:rsidRPr="007B3A78" w14:paraId="35F97DE8" w14:textId="77777777" w:rsidTr="00A04CEF">
        <w:trPr>
          <w:trHeight w:val="17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272B8D65" w14:textId="77777777" w:rsidR="00A04CEF" w:rsidRDefault="00A04CEF" w:rsidP="00A04CEF">
            <w:pPr>
              <w:pStyle w:val="Marginlie"/>
              <w:rPr>
                <w:spacing w:val="-5"/>
              </w:rPr>
            </w:pPr>
            <w:r>
              <w:t>Posílily d</w:t>
            </w:r>
            <w:r w:rsidRPr="00196FBA">
              <w:t>otace veřejným institucím na oblast</w:t>
            </w:r>
            <w:r>
              <w:t xml:space="preserve"> sportu i na vědu a </w:t>
            </w:r>
            <w:r w:rsidRPr="00196FBA">
              <w:t>výzkum</w:t>
            </w:r>
            <w:r>
              <w:t>.</w:t>
            </w: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4CDC1AA1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32F68282" w14:textId="77777777" w:rsidR="00A04CEF" w:rsidRDefault="00A04CEF" w:rsidP="00A04CEF">
            <w:pPr>
              <w:spacing w:after="200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 xml:space="preserve">Běžné transfery neziskovým a podobným organizacím převýšily letos úroveň 1. čtvrtletí 2024 o dvě třetiny (+4,5 mld. korun), hlavně vlivem vyšší podpory sportovních reprezentací </w:t>
            </w:r>
            <w:r w:rsidRPr="0017455C">
              <w:rPr>
                <w:color w:val="0D0D0D" w:themeColor="text1" w:themeTint="F2"/>
                <w:spacing w:val="-4"/>
              </w:rPr>
              <w:t>a významných sportovních akcí</w:t>
            </w:r>
            <w:r>
              <w:rPr>
                <w:color w:val="0D0D0D" w:themeColor="text1" w:themeTint="F2"/>
                <w:spacing w:val="-4"/>
              </w:rPr>
              <w:t xml:space="preserve"> i dalších výdajů v oblasti sportu. Posílily zde i výdaje na sociální péči a pomoc rodinám i na evropské projekty v oblasti zaměstnanosti. O desetinu meziročně více vydal SR v oblasti běžných výdajů příspěvkovým</w:t>
            </w:r>
            <w:r w:rsidRPr="00490F1A">
              <w:rPr>
                <w:color w:val="0D0D0D" w:themeColor="text1" w:themeTint="F2"/>
                <w:spacing w:val="-4"/>
              </w:rPr>
              <w:t xml:space="preserve"> </w:t>
            </w:r>
            <w:r>
              <w:rPr>
                <w:color w:val="0D0D0D" w:themeColor="text1" w:themeTint="F2"/>
                <w:spacing w:val="-4"/>
              </w:rPr>
              <w:t xml:space="preserve">a podobným </w:t>
            </w:r>
            <w:r w:rsidRPr="00490F1A">
              <w:rPr>
                <w:color w:val="0D0D0D" w:themeColor="text1" w:themeTint="F2"/>
                <w:spacing w:val="-4"/>
              </w:rPr>
              <w:t xml:space="preserve">organizacím </w:t>
            </w:r>
            <w:r>
              <w:rPr>
                <w:color w:val="0D0D0D" w:themeColor="text1" w:themeTint="F2"/>
                <w:spacing w:val="-4"/>
              </w:rPr>
              <w:t xml:space="preserve">(+3,6 mld. korun). To souvisí s posílením výdajů na činnost veřejných vysokých škol a na vědu a výzkum v dalších veřejných institucích. </w:t>
            </w:r>
          </w:p>
        </w:tc>
      </w:tr>
      <w:tr w:rsidR="00A04CEF" w:rsidRPr="007B3A78" w14:paraId="7183867C" w14:textId="77777777" w:rsidTr="00A04CEF">
        <w:trPr>
          <w:trHeight w:val="17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3F600E77" w14:textId="77777777" w:rsidR="00A04CEF" w:rsidRDefault="00A04CEF" w:rsidP="00A04CEF">
            <w:pPr>
              <w:pStyle w:val="Marginlie"/>
              <w:rPr>
                <w:spacing w:val="-5"/>
              </w:rPr>
            </w:pPr>
            <w:r>
              <w:rPr>
                <w:spacing w:val="-5"/>
              </w:rPr>
              <w:t>Výdaje na důchody klesly poprvé za posledních jedenáct let. Projevil se vliv mírné valorizace i dalšího zpřísnění podmínek pro přiznání předčasných penzí.</w:t>
            </w:r>
          </w:p>
          <w:p w14:paraId="6317B542" w14:textId="77777777" w:rsidR="00A04CEF" w:rsidRDefault="00A04CEF" w:rsidP="00A04CEF">
            <w:pPr>
              <w:pStyle w:val="Marginlie"/>
              <w:rPr>
                <w:spacing w:val="-5"/>
              </w:rPr>
            </w:pPr>
          </w:p>
          <w:p w14:paraId="1F919080" w14:textId="77777777" w:rsidR="00A04CEF" w:rsidRDefault="00A04CEF" w:rsidP="00A04CEF">
            <w:pPr>
              <w:pStyle w:val="Marginlie"/>
              <w:rPr>
                <w:spacing w:val="-5"/>
              </w:rPr>
            </w:pPr>
          </w:p>
          <w:p w14:paraId="2E614B14" w14:textId="77777777" w:rsidR="00A04CEF" w:rsidRDefault="00A04CEF" w:rsidP="00A04CEF">
            <w:pPr>
              <w:pStyle w:val="Marginlie"/>
              <w:rPr>
                <w:spacing w:val="-5"/>
              </w:rPr>
            </w:pPr>
          </w:p>
          <w:p w14:paraId="658A0A2B" w14:textId="77777777" w:rsidR="00A04CEF" w:rsidRDefault="00A04CEF" w:rsidP="00A04CEF">
            <w:pPr>
              <w:pStyle w:val="Marginlie"/>
              <w:rPr>
                <w:spacing w:val="-5"/>
              </w:rPr>
            </w:pPr>
            <w:r>
              <w:rPr>
                <w:spacing w:val="-5"/>
              </w:rPr>
              <w:t>Deficit systému důchodového pojištění meziročně klesl o polovinu.</w:t>
            </w: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7BB4ED88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67097968" w14:textId="77777777" w:rsidR="00A04CEF" w:rsidRDefault="00A04CEF" w:rsidP="00A04CEF">
            <w:pPr>
              <w:spacing w:after="200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 xml:space="preserve">Výdaje na sociální dávky, tvořící dlouhodobě okolo 40 % celkových výdajů SR, se v 1. čtvrtletí v souladu s rozpočtovým očekáváním meziročně zvýšily jen velmi mírně (+1,4 mld. </w:t>
            </w:r>
            <w:r w:rsidRPr="00196FBA">
              <w:rPr>
                <w:color w:val="0D0D0D" w:themeColor="text1" w:themeTint="F2"/>
                <w:spacing w:val="-6"/>
              </w:rPr>
              <w:t>korun, +0,6 %). Více než tři čtvrtiny těchto výdajů připad</w:t>
            </w:r>
            <w:r>
              <w:rPr>
                <w:color w:val="0D0D0D" w:themeColor="text1" w:themeTint="F2"/>
                <w:spacing w:val="-6"/>
              </w:rPr>
              <w:t>ají</w:t>
            </w:r>
            <w:r w:rsidRPr="00196FBA">
              <w:rPr>
                <w:color w:val="0D0D0D" w:themeColor="text1" w:themeTint="F2"/>
                <w:spacing w:val="-6"/>
              </w:rPr>
              <w:t xml:space="preserve"> dlouhodobě na dávky důchodového</w:t>
            </w:r>
            <w:r>
              <w:rPr>
                <w:color w:val="0D0D0D" w:themeColor="text1" w:themeTint="F2"/>
                <w:spacing w:val="-4"/>
              </w:rPr>
              <w:t xml:space="preserve"> pojištění. Na důchody vydal SR letos meziročně o 1,1 % méně. Po roce 2020 nastal v rámci 1. čtvrtletí dosud pokles těchto výdajů jen letech 2013 a 2014. Zklidnění vývoje spotřebitelských cen se aktuálně odrazilo v relativně nevýznamné valorizaci důchodů</w:t>
            </w:r>
            <w:r>
              <w:rPr>
                <w:rStyle w:val="Znakapoznpodarou"/>
                <w:color w:val="0D0D0D" w:themeColor="text1" w:themeTint="F2"/>
                <w:spacing w:val="-4"/>
              </w:rPr>
              <w:footnoteReference w:id="20"/>
            </w:r>
            <w:r>
              <w:rPr>
                <w:color w:val="0D0D0D" w:themeColor="text1" w:themeTint="F2"/>
                <w:spacing w:val="-4"/>
              </w:rPr>
              <w:t xml:space="preserve">, počet jejich příjemců se navíc mírně snížil (celkově o 0,3 %, z toho starobních důchodů o 0,6 %), což souviselo se </w:t>
            </w:r>
            <w:r w:rsidRPr="00D90BD9">
              <w:rPr>
                <w:color w:val="0D0D0D" w:themeColor="text1" w:themeTint="F2"/>
                <w:spacing w:val="-4"/>
              </w:rPr>
              <w:t>zpřísněnými pravidly pro odchod do předčasného důchodu</w:t>
            </w:r>
            <w:r>
              <w:rPr>
                <w:rStyle w:val="Znakapoznpodarou"/>
                <w:color w:val="0D0D0D" w:themeColor="text1" w:themeTint="F2"/>
                <w:spacing w:val="-4"/>
              </w:rPr>
              <w:footnoteReference w:id="21"/>
            </w:r>
            <w:r>
              <w:rPr>
                <w:color w:val="0D0D0D" w:themeColor="text1" w:themeTint="F2"/>
                <w:spacing w:val="-4"/>
              </w:rPr>
              <w:t>. Těch meziročně přibylo o 2,1 % (nejméně za posledních tři a půl roku) a ve srovnání s prosincem 2024 byl počet předčasných penzí letos v březnu dokonce o 0,1 % nižší (šlo o první pokles v dostupné řadě po roce 2000)</w:t>
            </w:r>
            <w:r>
              <w:rPr>
                <w:rStyle w:val="Znakapoznpodarou"/>
                <w:color w:val="0D0D0D" w:themeColor="text1" w:themeTint="F2"/>
                <w:spacing w:val="-4"/>
              </w:rPr>
              <w:footnoteReference w:id="22"/>
            </w:r>
            <w:r>
              <w:rPr>
                <w:color w:val="0D0D0D" w:themeColor="text1" w:themeTint="F2"/>
                <w:spacing w:val="-4"/>
              </w:rPr>
              <w:t xml:space="preserve">. Přestože meziroční růst zvolnil </w:t>
            </w:r>
            <w:r>
              <w:rPr>
                <w:color w:val="0D0D0D" w:themeColor="text1" w:themeTint="F2"/>
                <w:spacing w:val="-4"/>
              </w:rPr>
              <w:lastRenderedPageBreak/>
              <w:t>výběr pojistného na důchody v 1. čtvrtletí 2025 podruhé v řadě (na +5,6 %), d</w:t>
            </w:r>
            <w:r w:rsidRPr="008828D3">
              <w:rPr>
                <w:color w:val="0D0D0D" w:themeColor="text1" w:themeTint="F2"/>
                <w:spacing w:val="-4"/>
              </w:rPr>
              <w:t>eficit</w:t>
            </w:r>
            <w:r w:rsidRPr="008828D3">
              <w:rPr>
                <w:rFonts w:cs="Arial"/>
                <w:color w:val="0D0D0D" w:themeColor="text1" w:themeTint="F2"/>
                <w:spacing w:val="-4"/>
              </w:rPr>
              <w:t xml:space="preserve"> systému důchodového pojištění</w:t>
            </w:r>
            <w:r>
              <w:rPr>
                <w:rStyle w:val="Znakapoznpodarou"/>
                <w:color w:val="0D0D0D" w:themeColor="text1" w:themeTint="F2"/>
                <w:spacing w:val="-4"/>
              </w:rPr>
              <w:footnoteReference w:id="23"/>
            </w:r>
            <w:r>
              <w:rPr>
                <w:rFonts w:cs="Arial"/>
                <w:color w:val="0D0D0D" w:themeColor="text1" w:themeTint="F2"/>
                <w:spacing w:val="-4"/>
              </w:rPr>
              <w:t xml:space="preserve"> se snížil o celou polovinu (na −11,7 mld. korun) a byl tak nejnižší za poslední tři roky.</w:t>
            </w:r>
          </w:p>
        </w:tc>
      </w:tr>
      <w:tr w:rsidR="00A04CEF" w:rsidRPr="007B3A78" w14:paraId="783016CE" w14:textId="77777777" w:rsidTr="00A04CEF">
        <w:trPr>
          <w:trHeight w:val="17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5DCB3EFA" w14:textId="77777777" w:rsidR="00A04CEF" w:rsidRDefault="00A04CEF" w:rsidP="00A04CEF">
            <w:pPr>
              <w:pStyle w:val="Marginlie"/>
              <w:rPr>
                <w:spacing w:val="-5"/>
              </w:rPr>
            </w:pPr>
            <w:r>
              <w:rPr>
                <w:spacing w:val="-5"/>
              </w:rPr>
              <w:lastRenderedPageBreak/>
              <w:t>Růst výdajů na nedůchodové sociální dávky zrychlil především vlivem svižně rostoucích příspěvků na péči.</w:t>
            </w:r>
          </w:p>
          <w:p w14:paraId="593BE771" w14:textId="77777777" w:rsidR="00A04CEF" w:rsidRDefault="00A04CEF" w:rsidP="00A04CEF">
            <w:pPr>
              <w:pStyle w:val="Marginlie"/>
              <w:rPr>
                <w:spacing w:val="-5"/>
              </w:rPr>
            </w:pPr>
          </w:p>
          <w:p w14:paraId="6A2AC618" w14:textId="77777777" w:rsidR="00A04CEF" w:rsidRDefault="00A04CEF" w:rsidP="00A04CEF">
            <w:pPr>
              <w:pStyle w:val="Marginlie"/>
              <w:rPr>
                <w:spacing w:val="-5"/>
              </w:rPr>
            </w:pPr>
          </w:p>
          <w:p w14:paraId="05FE8414" w14:textId="77777777" w:rsidR="00A04CEF" w:rsidRDefault="00A04CEF" w:rsidP="00A04CEF">
            <w:pPr>
              <w:pStyle w:val="Marginlie"/>
              <w:rPr>
                <w:spacing w:val="-5"/>
              </w:rPr>
            </w:pPr>
          </w:p>
          <w:p w14:paraId="101DA253" w14:textId="77777777" w:rsidR="00A04CEF" w:rsidRDefault="00A04CEF" w:rsidP="00A04CEF">
            <w:pPr>
              <w:pStyle w:val="Marginlie"/>
              <w:rPr>
                <w:spacing w:val="-5"/>
              </w:rPr>
            </w:pPr>
          </w:p>
          <w:p w14:paraId="5BE90053" w14:textId="77777777" w:rsidR="00A04CEF" w:rsidRDefault="00A04CEF" w:rsidP="00A04CEF">
            <w:pPr>
              <w:pStyle w:val="Marginlie"/>
              <w:rPr>
                <w:spacing w:val="-5"/>
              </w:rPr>
            </w:pPr>
          </w:p>
          <w:p w14:paraId="14BE5682" w14:textId="77777777" w:rsidR="00A04CEF" w:rsidRDefault="00A04CEF" w:rsidP="00A04CEF">
            <w:pPr>
              <w:pStyle w:val="Marginlie"/>
              <w:rPr>
                <w:spacing w:val="-5"/>
              </w:rPr>
            </w:pPr>
          </w:p>
          <w:p w14:paraId="65097159" w14:textId="77777777" w:rsidR="00A04CEF" w:rsidRDefault="00A04CEF" w:rsidP="00A04CEF">
            <w:pPr>
              <w:pStyle w:val="Marginlie"/>
              <w:rPr>
                <w:spacing w:val="-5"/>
              </w:rPr>
            </w:pPr>
          </w:p>
          <w:p w14:paraId="364E3F0C" w14:textId="77777777" w:rsidR="00A04CEF" w:rsidRDefault="00A04CEF" w:rsidP="00A04CEF">
            <w:pPr>
              <w:pStyle w:val="Marginlie"/>
              <w:rPr>
                <w:spacing w:val="-5"/>
              </w:rPr>
            </w:pPr>
          </w:p>
          <w:p w14:paraId="72D56F6C" w14:textId="77777777" w:rsidR="00A04CEF" w:rsidRDefault="00A04CEF" w:rsidP="00A04CEF">
            <w:pPr>
              <w:pStyle w:val="Marginlie"/>
              <w:rPr>
                <w:spacing w:val="-5"/>
              </w:rPr>
            </w:pPr>
          </w:p>
          <w:p w14:paraId="012067B1" w14:textId="77777777" w:rsidR="00A04CEF" w:rsidRDefault="00A04CEF" w:rsidP="00A04CEF">
            <w:pPr>
              <w:pStyle w:val="Marginlie"/>
              <w:rPr>
                <w:spacing w:val="-5"/>
              </w:rPr>
            </w:pPr>
          </w:p>
          <w:p w14:paraId="5336A2AD" w14:textId="77777777" w:rsidR="00A04CEF" w:rsidRDefault="00A04CEF" w:rsidP="00A04CEF">
            <w:pPr>
              <w:pStyle w:val="Marginlie"/>
              <w:rPr>
                <w:spacing w:val="-5"/>
              </w:rPr>
            </w:pPr>
          </w:p>
          <w:p w14:paraId="720BBB96" w14:textId="77777777" w:rsidR="00A04CEF" w:rsidRDefault="00A04CEF" w:rsidP="00A04CEF">
            <w:pPr>
              <w:pStyle w:val="Marginlie"/>
              <w:rPr>
                <w:spacing w:val="-5"/>
              </w:rPr>
            </w:pPr>
          </w:p>
          <w:p w14:paraId="47284EA5" w14:textId="77777777" w:rsidR="00A04CEF" w:rsidRDefault="00A04CEF" w:rsidP="00A04CEF">
            <w:pPr>
              <w:pStyle w:val="Marginlie"/>
            </w:pPr>
            <w:r>
              <w:rPr>
                <w:spacing w:val="-5"/>
              </w:rPr>
              <w:t>Pouze na menšinu dávek vydal SR meziročně méně. Šlo hlavně o přídavky na děti, rodičovské příspěvky, porodné a peněžitou pomoc v mateřství.</w:t>
            </w: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705DF22B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5F2060D8" w14:textId="77777777" w:rsidR="00A04CEF" w:rsidRPr="008B5ED6" w:rsidRDefault="00A04CEF" w:rsidP="00A04CEF">
            <w:pPr>
              <w:spacing w:after="200"/>
              <w:rPr>
                <w:color w:val="0D0D0D" w:themeColor="text1" w:themeTint="F2"/>
                <w:spacing w:val="-6"/>
              </w:rPr>
            </w:pPr>
            <w:r>
              <w:rPr>
                <w:color w:val="0D0D0D" w:themeColor="text1" w:themeTint="F2"/>
                <w:spacing w:val="-6"/>
              </w:rPr>
              <w:t xml:space="preserve">Růst </w:t>
            </w:r>
            <w:r w:rsidRPr="00225187">
              <w:rPr>
                <w:color w:val="0D0D0D" w:themeColor="text1" w:themeTint="F2"/>
                <w:spacing w:val="-6"/>
              </w:rPr>
              <w:t xml:space="preserve">výdajů na ostatní </w:t>
            </w:r>
            <w:r>
              <w:rPr>
                <w:color w:val="0D0D0D" w:themeColor="text1" w:themeTint="F2"/>
                <w:spacing w:val="-6"/>
              </w:rPr>
              <w:t xml:space="preserve">(nedůchodové) </w:t>
            </w:r>
            <w:r w:rsidRPr="00225187">
              <w:rPr>
                <w:color w:val="0D0D0D" w:themeColor="text1" w:themeTint="F2"/>
                <w:spacing w:val="-6"/>
              </w:rPr>
              <w:t>sociální</w:t>
            </w:r>
            <w:r>
              <w:rPr>
                <w:color w:val="0D0D0D" w:themeColor="text1" w:themeTint="F2"/>
                <w:spacing w:val="-6"/>
              </w:rPr>
              <w:t xml:space="preserve"> dávky ve srovnání s tempem z počátku loňského roku letos zrychlil (na +6,9 %), SR tak na tuto oblast vydal meziročně </w:t>
            </w:r>
            <w:r>
              <w:rPr>
                <w:color w:val="0D0D0D" w:themeColor="text1" w:themeTint="F2"/>
                <w:spacing w:val="-6"/>
              </w:rPr>
              <w:br/>
              <w:t>o 3,3 mld. korun více. Ačkoli k růstu výdajů došlo téměř u všech důležitých druhů dávek, klíčovou roli mělo navýšení objemově významných příspěvků na péči pro dlouhodobě nemocné (+2,2</w:t>
            </w:r>
            <w:r>
              <w:rPr>
                <w:spacing w:val="-4"/>
              </w:rPr>
              <w:t> </w:t>
            </w:r>
            <w:r>
              <w:rPr>
                <w:color w:val="0D0D0D" w:themeColor="text1" w:themeTint="F2"/>
                <w:spacing w:val="-6"/>
              </w:rPr>
              <w:t>mld. korun, +24 %)</w:t>
            </w:r>
            <w:r>
              <w:rPr>
                <w:rStyle w:val="Znakapoznpodarou"/>
                <w:color w:val="0D0D0D" w:themeColor="text1" w:themeTint="F2"/>
                <w:spacing w:val="-6"/>
              </w:rPr>
              <w:footnoteReference w:id="24"/>
            </w:r>
            <w:r>
              <w:rPr>
                <w:color w:val="0D0D0D" w:themeColor="text1" w:themeTint="F2"/>
                <w:spacing w:val="-6"/>
              </w:rPr>
              <w:t>. Řádově menší vliv měly dávky pomoci v hmotné nouzi (+0,6 mld. korun, +17,5 %) tažené vyššími výplatami humanitárních dávek ukrajinským uprchlíkům</w:t>
            </w:r>
            <w:r>
              <w:rPr>
                <w:rStyle w:val="Znakapoznpodarou"/>
                <w:color w:val="0D0D0D" w:themeColor="text1" w:themeTint="F2"/>
                <w:spacing w:val="-6"/>
              </w:rPr>
              <w:footnoteReference w:id="25"/>
            </w:r>
            <w:r>
              <w:rPr>
                <w:color w:val="0D0D0D" w:themeColor="text1" w:themeTint="F2"/>
                <w:spacing w:val="-6"/>
              </w:rPr>
              <w:t xml:space="preserve">. Rychleji než předpokládá SR schválený na letošní rok, vzrostly v 1. čtvrtletí také výdaje na podpory nezaměstnaným (+13,5 %, +0,5 mld. korun). Podíl nezaměstnaných na populaci v produktivním věku sice proti březnu 2024 mírně vzrostl, avšak počet lidí s nárokem na podporu se téměř nezměnil a těsně přesáhl 90 tis. Na dávky nemocenského pojištění, jež jsou z pohledu počtu příjemců jedním z nejvýznamnějších druhů dávek, letos směřovalo 13,2 mld. korun, meziročně o 3,5 % více. K růstu přispěly dávky nemocenské a ošetřovné, naopak objem peněžité pomoci v mateřství se vlivem klesající porodnosti snižoval čtvrtým rokem v řadě. Výdaje na státní sociální podporu (vč. dávek pěstounské péče), tvořící po důchodech objemově nejvýznamnější položku sociálních dávek, meziročně posílily o 1,4 %, převážně vlivem rostoucích příspěvků na bydlení (+11 %, +0,6 mld. korun). Vlivem navýšení částek normativních nákladů na bydlení počet příjemců této dávky dále mírně rostl (v březnu až na 300 tis., skoro dvakrát více než na počátku roku 2022). </w:t>
            </w:r>
            <w:r>
              <w:rPr>
                <w:spacing w:val="-4"/>
              </w:rPr>
              <w:t xml:space="preserve">Výdaje jiné příjmově testované dávky – přídavky na děti – se naopak snížily (−6 %). Podobně klesl i objem </w:t>
            </w:r>
            <w:r>
              <w:rPr>
                <w:color w:val="0D0D0D" w:themeColor="text1" w:themeTint="F2"/>
                <w:spacing w:val="-6"/>
              </w:rPr>
              <w:t>rodičovských příspěvků</w:t>
            </w:r>
            <w:r w:rsidRPr="0001347E">
              <w:rPr>
                <w:color w:val="0D0D0D" w:themeColor="text1" w:themeTint="F2"/>
                <w:spacing w:val="-6"/>
              </w:rPr>
              <w:t xml:space="preserve">, </w:t>
            </w:r>
            <w:r>
              <w:rPr>
                <w:color w:val="0D0D0D" w:themeColor="text1" w:themeTint="F2"/>
                <w:spacing w:val="-6"/>
              </w:rPr>
              <w:t>kde jde však o dlouhodobější trend úzce související s </w:t>
            </w:r>
            <w:r w:rsidRPr="0001347E">
              <w:rPr>
                <w:color w:val="0D0D0D" w:themeColor="text1" w:themeTint="F2"/>
                <w:spacing w:val="-6"/>
              </w:rPr>
              <w:t>nepřízniv</w:t>
            </w:r>
            <w:r>
              <w:rPr>
                <w:color w:val="0D0D0D" w:themeColor="text1" w:themeTint="F2"/>
                <w:spacing w:val="-6"/>
              </w:rPr>
              <w:t xml:space="preserve">ým </w:t>
            </w:r>
            <w:r w:rsidRPr="0001347E">
              <w:rPr>
                <w:color w:val="0D0D0D" w:themeColor="text1" w:themeTint="F2"/>
                <w:spacing w:val="-6"/>
              </w:rPr>
              <w:t>demografick</w:t>
            </w:r>
            <w:r>
              <w:rPr>
                <w:color w:val="0D0D0D" w:themeColor="text1" w:themeTint="F2"/>
                <w:spacing w:val="-6"/>
              </w:rPr>
              <w:t>ým</w:t>
            </w:r>
            <w:r>
              <w:rPr>
                <w:color w:val="0D0D0D" w:themeColor="text1" w:themeTint="F2"/>
                <w:spacing w:val="-4"/>
              </w:rPr>
              <w:t xml:space="preserve"> vývojem.</w:t>
            </w:r>
          </w:p>
        </w:tc>
      </w:tr>
      <w:tr w:rsidR="00A04CEF" w:rsidRPr="007B3A78" w14:paraId="12A18718" w14:textId="77777777" w:rsidTr="00A04CEF">
        <w:trPr>
          <w:trHeight w:val="17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67E7E2F5" w14:textId="77777777" w:rsidR="00A04CEF" w:rsidRDefault="00A04CEF" w:rsidP="00A04CEF">
            <w:pPr>
              <w:pStyle w:val="Marginlie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Výdaje na platy v organizačních složkách státu po loňské stagnaci vzrostly.</w:t>
            </w:r>
          </w:p>
          <w:p w14:paraId="45FAB03D" w14:textId="77777777" w:rsidR="00A04CEF" w:rsidRDefault="00A04CEF" w:rsidP="00A04CEF">
            <w:pPr>
              <w:pStyle w:val="Marginlie"/>
              <w:rPr>
                <w:color w:val="0D0D0D" w:themeColor="text1" w:themeTint="F2"/>
              </w:rPr>
            </w:pPr>
          </w:p>
          <w:p w14:paraId="3D47E8D4" w14:textId="77777777" w:rsidR="00A04CEF" w:rsidRDefault="00A04CEF" w:rsidP="00A04CEF">
            <w:pPr>
              <w:pStyle w:val="Marginlie"/>
              <w:rPr>
                <w:color w:val="0D0D0D" w:themeColor="text1" w:themeTint="F2"/>
              </w:rPr>
            </w:pPr>
          </w:p>
          <w:p w14:paraId="0ABBF099" w14:textId="77777777" w:rsidR="00A04CEF" w:rsidRDefault="00A04CEF" w:rsidP="00A04CEF">
            <w:pPr>
              <w:pStyle w:val="Marginlie"/>
              <w:rPr>
                <w:color w:val="0D0D0D" w:themeColor="text1" w:themeTint="F2"/>
              </w:rPr>
            </w:pPr>
          </w:p>
          <w:p w14:paraId="6709E06A" w14:textId="77777777" w:rsidR="00A04CEF" w:rsidRDefault="00A04CEF" w:rsidP="00A04CEF">
            <w:pPr>
              <w:pStyle w:val="Marginlie"/>
              <w:rPr>
                <w:color w:val="0D0D0D" w:themeColor="text1" w:themeTint="F2"/>
              </w:rPr>
            </w:pPr>
          </w:p>
          <w:p w14:paraId="00F3439D" w14:textId="77777777" w:rsidR="00A04CEF" w:rsidRPr="00C57B1B" w:rsidRDefault="00A04CEF" w:rsidP="00A04CEF">
            <w:pPr>
              <w:pStyle w:val="Marginlie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Bilance nemocenského pojištění skončila díky posílení jeho příjmové stránky druhý rok v řadě v mírném přebytku.</w:t>
            </w: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0F75903E" w14:textId="77777777" w:rsidR="00A04CEF" w:rsidRPr="00C57B1B" w:rsidRDefault="00A04CEF" w:rsidP="00A04CEF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2C2B4277" w14:textId="77777777" w:rsidR="00A04CEF" w:rsidRPr="00105AAC" w:rsidRDefault="00A04CEF" w:rsidP="00A04CEF">
            <w:pPr>
              <w:spacing w:after="0"/>
              <w:rPr>
                <w:spacing w:val="-6"/>
              </w:rPr>
            </w:pPr>
            <w:r>
              <w:rPr>
                <w:color w:val="0D0D0D" w:themeColor="text1" w:themeTint="F2"/>
                <w:spacing w:val="-6"/>
              </w:rPr>
              <w:t>Výdaje</w:t>
            </w:r>
            <w:r w:rsidRPr="00EF55C3">
              <w:rPr>
                <w:color w:val="0D0D0D" w:themeColor="text1" w:themeTint="F2"/>
                <w:spacing w:val="-6"/>
              </w:rPr>
              <w:t xml:space="preserve"> na platy v organizačních složkách státu</w:t>
            </w:r>
            <w:r>
              <w:rPr>
                <w:color w:val="0D0D0D" w:themeColor="text1" w:themeTint="F2"/>
                <w:spacing w:val="-6"/>
              </w:rPr>
              <w:t xml:space="preserve"> po loňské faktické stagnaci v 1. čtvrtletí 2025 meziročně vzrostly o 4,8 %</w:t>
            </w:r>
            <w:r>
              <w:rPr>
                <w:rStyle w:val="Znakapoznpodarou"/>
                <w:color w:val="0D0D0D" w:themeColor="text1" w:themeTint="F2"/>
                <w:spacing w:val="-6"/>
              </w:rPr>
              <w:footnoteReference w:id="26"/>
            </w:r>
            <w:r>
              <w:rPr>
                <w:color w:val="0D0D0D" w:themeColor="text1" w:themeTint="F2"/>
                <w:spacing w:val="-6"/>
              </w:rPr>
              <w:t xml:space="preserve"> (mírně pomaleji než celoroční rozpočtované tempo). Podobně jako platy letos absolutně posílily také </w:t>
            </w:r>
            <w:r w:rsidRPr="00C96AA7">
              <w:rPr>
                <w:color w:val="0D0D0D" w:themeColor="text1" w:themeTint="F2"/>
                <w:spacing w:val="-5"/>
              </w:rPr>
              <w:t>odvody vlastníc</w:t>
            </w:r>
            <w:r>
              <w:rPr>
                <w:color w:val="0D0D0D" w:themeColor="text1" w:themeTint="F2"/>
                <w:spacing w:val="-5"/>
              </w:rPr>
              <w:t xml:space="preserve">h zdrojů Česka do </w:t>
            </w:r>
            <w:r w:rsidRPr="00DD36B1">
              <w:rPr>
                <w:color w:val="0D0D0D" w:themeColor="text1" w:themeTint="F2"/>
                <w:spacing w:val="-7"/>
              </w:rPr>
              <w:t>rozpočtu EU</w:t>
            </w:r>
            <w:r>
              <w:rPr>
                <w:color w:val="0D0D0D" w:themeColor="text1" w:themeTint="F2"/>
                <w:spacing w:val="-7"/>
              </w:rPr>
              <w:t xml:space="preserve"> (+1,4</w:t>
            </w:r>
            <w:r>
              <w:rPr>
                <w:color w:val="0D0D0D" w:themeColor="text1" w:themeTint="F2"/>
                <w:spacing w:val="-6"/>
              </w:rPr>
              <w:t> </w:t>
            </w:r>
            <w:r>
              <w:rPr>
                <w:color w:val="0D0D0D" w:themeColor="text1" w:themeTint="F2"/>
                <w:spacing w:val="-7"/>
              </w:rPr>
              <w:t xml:space="preserve">mld. korun). Vlivem zklidnění cenové hladiny v ekonomice došlo jen k mírnému zvýšení </w:t>
            </w:r>
            <w:r w:rsidRPr="00EF55C3">
              <w:rPr>
                <w:color w:val="0D0D0D" w:themeColor="text1" w:themeTint="F2"/>
                <w:spacing w:val="-6"/>
              </w:rPr>
              <w:t>výdaj</w:t>
            </w:r>
            <w:r>
              <w:rPr>
                <w:color w:val="0D0D0D" w:themeColor="text1" w:themeTint="F2"/>
                <w:spacing w:val="-6"/>
              </w:rPr>
              <w:t>ů</w:t>
            </w:r>
            <w:r w:rsidRPr="00EF55C3">
              <w:rPr>
                <w:color w:val="0D0D0D" w:themeColor="text1" w:themeTint="F2"/>
                <w:spacing w:val="-6"/>
              </w:rPr>
              <w:t xml:space="preserve"> </w:t>
            </w:r>
            <w:r>
              <w:rPr>
                <w:color w:val="0D0D0D" w:themeColor="text1" w:themeTint="F2"/>
                <w:spacing w:val="-6"/>
              </w:rPr>
              <w:t>SR z</w:t>
            </w:r>
            <w:r w:rsidRPr="00EF55C3">
              <w:rPr>
                <w:color w:val="0D0D0D" w:themeColor="text1" w:themeTint="F2"/>
                <w:spacing w:val="-6"/>
              </w:rPr>
              <w:t>a platby veřejného zdravotního pojiš</w:t>
            </w:r>
            <w:r>
              <w:rPr>
                <w:color w:val="0D0D0D" w:themeColor="text1" w:themeTint="F2"/>
                <w:spacing w:val="-6"/>
              </w:rPr>
              <w:t>tění za tzv. státní pojištěnce (+1,1 %)</w:t>
            </w:r>
            <w:r>
              <w:rPr>
                <w:rStyle w:val="Znakapoznpodarou"/>
                <w:color w:val="0D0D0D" w:themeColor="text1" w:themeTint="F2"/>
                <w:spacing w:val="-6"/>
              </w:rPr>
              <w:footnoteReference w:id="27"/>
            </w:r>
            <w:r>
              <w:rPr>
                <w:color w:val="0D0D0D" w:themeColor="text1" w:themeTint="F2"/>
                <w:spacing w:val="-6"/>
              </w:rPr>
              <w:t>.</w:t>
            </w:r>
            <w:r>
              <w:rPr>
                <w:color w:val="0D0D0D" w:themeColor="text1" w:themeTint="F2"/>
                <w:spacing w:val="-7"/>
              </w:rPr>
              <w:t xml:space="preserve"> Příjmy z pojistného placeného zaměstnanými osobami se zvyšovaly dvojcifernými tempy druhým rokem v řadě (letos o 15 %), a to především z důvodu zákonné úpravy ve vazbě na konsolidační balíček</w:t>
            </w:r>
            <w:r>
              <w:rPr>
                <w:rStyle w:val="Znakapoznpodarou"/>
                <w:color w:val="0D0D0D" w:themeColor="text1" w:themeTint="F2"/>
                <w:spacing w:val="-7"/>
              </w:rPr>
              <w:footnoteReference w:id="28"/>
            </w:r>
            <w:r>
              <w:rPr>
                <w:color w:val="0D0D0D" w:themeColor="text1" w:themeTint="F2"/>
                <w:spacing w:val="-7"/>
              </w:rPr>
              <w:t xml:space="preserve">. </w:t>
            </w:r>
            <w:r>
              <w:rPr>
                <w:color w:val="0D0D0D" w:themeColor="text1" w:themeTint="F2"/>
                <w:spacing w:val="-6"/>
              </w:rPr>
              <w:t xml:space="preserve">Díky tomuto posílení se loni celková </w:t>
            </w:r>
            <w:r>
              <w:rPr>
                <w:rFonts w:cs="Arial"/>
                <w:color w:val="0D0D0D" w:themeColor="text1" w:themeTint="F2"/>
                <w:spacing w:val="-5"/>
              </w:rPr>
              <w:t>bilance nemocenského pojištění</w:t>
            </w:r>
            <w:r>
              <w:rPr>
                <w:rStyle w:val="Znakapoznpodarou"/>
                <w:color w:val="0D0D0D" w:themeColor="text1" w:themeTint="F2"/>
                <w:spacing w:val="-5"/>
              </w:rPr>
              <w:footnoteReference w:id="29"/>
            </w:r>
            <w:r>
              <w:rPr>
                <w:rFonts w:cs="Arial"/>
                <w:color w:val="0D0D0D" w:themeColor="text1" w:themeTint="F2"/>
                <w:spacing w:val="-5"/>
              </w:rPr>
              <w:t xml:space="preserve"> dostala poprvé po roce 2018 do nepatrného přebytku, který se v 1. čtvrtletí velmi mírně zvýšil a čítal 1,7</w:t>
            </w:r>
            <w:r>
              <w:rPr>
                <w:color w:val="0D0D0D" w:themeColor="text1" w:themeTint="F2"/>
                <w:spacing w:val="-4"/>
              </w:rPr>
              <w:t> </w:t>
            </w:r>
            <w:r>
              <w:rPr>
                <w:rFonts w:cs="Arial"/>
                <w:color w:val="0D0D0D" w:themeColor="text1" w:themeTint="F2"/>
                <w:spacing w:val="-5"/>
              </w:rPr>
              <w:t xml:space="preserve">mld. korun. </w:t>
            </w:r>
            <w:r>
              <w:rPr>
                <w:color w:val="0D0D0D" w:themeColor="text1" w:themeTint="F2"/>
                <w:spacing w:val="-6"/>
              </w:rPr>
              <w:t xml:space="preserve">Výdaje na ostatní </w:t>
            </w:r>
            <w:r w:rsidRPr="00EF55C3">
              <w:rPr>
                <w:color w:val="0D0D0D" w:themeColor="text1" w:themeTint="F2"/>
                <w:spacing w:val="-6"/>
              </w:rPr>
              <w:t>neinvestiční nákupy a související výdaje</w:t>
            </w:r>
            <w:r>
              <w:rPr>
                <w:color w:val="0D0D0D" w:themeColor="text1" w:themeTint="F2"/>
                <w:spacing w:val="-6"/>
              </w:rPr>
              <w:t xml:space="preserve"> (bez obsluhy státního dluhu), jež loni poprvé překonaly úroveň z vrcholu pandemie, letos v 1. čtvrtletí meziročně fakticky jen stagnovaly (+0,1 %, na 19,2 mld. korun)</w:t>
            </w:r>
            <w:r>
              <w:rPr>
                <w:rStyle w:val="Znakapoznpodarou"/>
                <w:color w:val="0D0D0D" w:themeColor="text1" w:themeTint="F2"/>
                <w:spacing w:val="-6"/>
              </w:rPr>
              <w:footnoteReference w:id="30"/>
            </w:r>
            <w:r>
              <w:rPr>
                <w:color w:val="0D0D0D" w:themeColor="text1" w:themeTint="F2"/>
                <w:spacing w:val="-6"/>
              </w:rPr>
              <w:t>. Vliv úspor ve výdajích za nákup vody, paliv, energie, údržby a také za nákup služeb</w:t>
            </w:r>
            <w:r>
              <w:rPr>
                <w:rStyle w:val="Znakapoznpodarou"/>
                <w:color w:val="0D0D0D" w:themeColor="text1" w:themeTint="F2"/>
                <w:spacing w:val="-6"/>
              </w:rPr>
              <w:footnoteReference w:id="31"/>
            </w:r>
            <w:r>
              <w:rPr>
                <w:color w:val="0D0D0D" w:themeColor="text1" w:themeTint="F2"/>
                <w:spacing w:val="-6"/>
              </w:rPr>
              <w:t xml:space="preserve"> byl totiž tlumen kompenzační platbou v oblasti telekomunikací</w:t>
            </w:r>
            <w:r>
              <w:rPr>
                <w:rStyle w:val="Znakapoznpodarou"/>
                <w:color w:val="0D0D0D" w:themeColor="text1" w:themeTint="F2"/>
                <w:spacing w:val="-6"/>
              </w:rPr>
              <w:footnoteReference w:id="32"/>
            </w:r>
            <w:r>
              <w:rPr>
                <w:color w:val="0D0D0D" w:themeColor="text1" w:themeTint="F2"/>
                <w:spacing w:val="-6"/>
              </w:rPr>
              <w:t>.</w:t>
            </w:r>
          </w:p>
        </w:tc>
      </w:tr>
      <w:tr w:rsidR="00A04CEF" w:rsidRPr="007B3A78" w14:paraId="59E61945" w14:textId="77777777" w:rsidTr="00A04CEF">
        <w:trPr>
          <w:trHeight w:val="17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59C853DC" w14:textId="77777777" w:rsidR="00A04CEF" w:rsidRDefault="00A04CEF" w:rsidP="00A04CEF">
            <w:pPr>
              <w:pStyle w:val="Marginlie"/>
            </w:pPr>
            <w:r>
              <w:lastRenderedPageBreak/>
              <w:t>Hluboký pokles transferů podnikatelům úzce souvisel s ukončením většiny podpůrných dotací v energetice.</w:t>
            </w:r>
          </w:p>
          <w:p w14:paraId="75460097" w14:textId="77777777" w:rsidR="00A04CEF" w:rsidRDefault="00A04CEF" w:rsidP="00A04CEF">
            <w:pPr>
              <w:pStyle w:val="Marginlie"/>
            </w:pPr>
          </w:p>
          <w:p w14:paraId="199184F6" w14:textId="77777777" w:rsidR="00A04CEF" w:rsidRDefault="00A04CEF" w:rsidP="00A04CEF">
            <w:pPr>
              <w:pStyle w:val="Marginlie"/>
            </w:pPr>
          </w:p>
          <w:p w14:paraId="7EA69E9D" w14:textId="77777777" w:rsidR="00A04CEF" w:rsidRDefault="00A04CEF" w:rsidP="00A04CEF">
            <w:pPr>
              <w:pStyle w:val="Marginlie"/>
            </w:pPr>
          </w:p>
          <w:p w14:paraId="591FF7A7" w14:textId="77777777" w:rsidR="00A04CEF" w:rsidRDefault="00A04CEF" w:rsidP="00A04CEF">
            <w:pPr>
              <w:pStyle w:val="Marginlie"/>
            </w:pPr>
          </w:p>
          <w:p w14:paraId="3A6C9D02" w14:textId="77777777" w:rsidR="00A04CEF" w:rsidRDefault="00A04CEF" w:rsidP="00A04CEF">
            <w:pPr>
              <w:pStyle w:val="Marginlie"/>
            </w:pPr>
            <w:r>
              <w:t>Pokles provozních dotací státním fondům zasáhl oblast dopravy.</w:t>
            </w: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73D0194F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1167E5C3" w14:textId="78785F88" w:rsidR="00A04CEF" w:rsidRPr="00712CAA" w:rsidRDefault="00A04CEF" w:rsidP="004F2C1B">
            <w:pPr>
              <w:spacing w:after="220"/>
              <w:rPr>
                <w:color w:val="0D0D0D" w:themeColor="text1" w:themeTint="F2"/>
                <w:spacing w:val="-6"/>
              </w:rPr>
            </w:pPr>
            <w:r>
              <w:rPr>
                <w:color w:val="0D0D0D" w:themeColor="text1" w:themeTint="F2"/>
                <w:spacing w:val="-6"/>
              </w:rPr>
              <w:t xml:space="preserve">Vývoj výdajové strany SR v 1. čtvrtletí 2025 (stejně jako po celý loňský rok) nejvíce ovlivnily </w:t>
            </w:r>
            <w:r>
              <w:rPr>
                <w:color w:val="0D0D0D" w:themeColor="text1" w:themeTint="F2"/>
                <w:spacing w:val="-5"/>
              </w:rPr>
              <w:t>běžné</w:t>
            </w:r>
            <w:r w:rsidRPr="0001033F">
              <w:rPr>
                <w:color w:val="0D0D0D" w:themeColor="text1" w:themeTint="F2"/>
                <w:spacing w:val="-5"/>
              </w:rPr>
              <w:t xml:space="preserve"> </w:t>
            </w:r>
            <w:r w:rsidRPr="007B02D6">
              <w:rPr>
                <w:color w:val="0D0D0D" w:themeColor="text1" w:themeTint="F2"/>
                <w:spacing w:val="-5"/>
              </w:rPr>
              <w:t>transfery podnikatelům</w:t>
            </w:r>
            <w:r>
              <w:rPr>
                <w:color w:val="0D0D0D" w:themeColor="text1" w:themeTint="F2"/>
                <w:spacing w:val="-5"/>
              </w:rPr>
              <w:t>. Ty se meziročně propadly o 41 % (</w:t>
            </w:r>
            <w:r>
              <w:rPr>
                <w:spacing w:val="-6"/>
              </w:rPr>
              <w:t>−</w:t>
            </w:r>
            <w:r>
              <w:rPr>
                <w:color w:val="0D0D0D" w:themeColor="text1" w:themeTint="F2"/>
                <w:spacing w:val="-5"/>
              </w:rPr>
              <w:t>11,5 mld. korun) a jejich vyplacená výše se vrátila do „normálu“ naposledy patrného na sklonku minulé dekády. Letošní propad úzce souvisí s postupným očekávaným útlumem většiny dotací v energetice. Ty, včetně podpory obnovitelných zdrojů energie (OZE), letos dosáhly jen 3,7 mld. korun (o</w:t>
            </w:r>
            <w:r>
              <w:rPr>
                <w:color w:val="0D0D0D" w:themeColor="text1" w:themeTint="F2"/>
                <w:spacing w:val="-6"/>
              </w:rPr>
              <w:t> </w:t>
            </w:r>
            <w:r>
              <w:rPr>
                <w:color w:val="0D0D0D" w:themeColor="text1" w:themeTint="F2"/>
                <w:spacing w:val="-5"/>
              </w:rPr>
              <w:t xml:space="preserve">rok dříve ještě 16,2 mld.). Řádově menší vliv měl dočasný pokles podpory </w:t>
            </w:r>
            <w:r w:rsidRPr="00AF2C45">
              <w:rPr>
                <w:color w:val="0D0D0D" w:themeColor="text1" w:themeTint="F2"/>
                <w:spacing w:val="-5"/>
              </w:rPr>
              <w:t>výzku</w:t>
            </w:r>
            <w:r>
              <w:rPr>
                <w:color w:val="0D0D0D" w:themeColor="text1" w:themeTint="F2"/>
                <w:spacing w:val="-5"/>
              </w:rPr>
              <w:t>mu, vývoje a inovací poskytované</w:t>
            </w:r>
            <w:r w:rsidRPr="00AF2C45">
              <w:rPr>
                <w:color w:val="0D0D0D" w:themeColor="text1" w:themeTint="F2"/>
                <w:spacing w:val="-5"/>
              </w:rPr>
              <w:t xml:space="preserve"> firmám</w:t>
            </w:r>
            <w:r>
              <w:rPr>
                <w:color w:val="0D0D0D" w:themeColor="text1" w:themeTint="F2"/>
                <w:spacing w:val="-5"/>
              </w:rPr>
              <w:t>. Růst výdajů SR byl tlumen také poklesem běžných transferů státním fondům (SF). Ten v 1. čtvrtletí dosáhl meziročně (3 mld. korun, resp</w:t>
            </w:r>
            <w:r w:rsidR="004F2C1B">
              <w:rPr>
                <w:color w:val="0D0D0D" w:themeColor="text1" w:themeTint="F2"/>
                <w:spacing w:val="-5"/>
              </w:rPr>
              <w:t xml:space="preserve">. </w:t>
            </w:r>
            <w:r>
              <w:rPr>
                <w:color w:val="0D0D0D" w:themeColor="text1" w:themeTint="F2"/>
                <w:spacing w:val="-5"/>
              </w:rPr>
              <w:t>15 %), což souviselo s hlavně s očekávaným nižším financováním SF dopravní infrastruktury (na krytí jeho deficitu), v menší míře i s dočasným poklesem transferů SF životního prostředí (na evropské projekty) a do oblasti zemědělství (na přímé platby zemědělcům).</w:t>
            </w:r>
          </w:p>
        </w:tc>
      </w:tr>
      <w:tr w:rsidR="00A04CEF" w:rsidRPr="007B3A78" w14:paraId="1FB346C6" w14:textId="77777777" w:rsidTr="00A04CEF">
        <w:trPr>
          <w:trHeight w:val="17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6B644514" w14:textId="77777777" w:rsidR="00A04CEF" w:rsidRDefault="00A04CEF" w:rsidP="00A04CEF">
            <w:pPr>
              <w:pStyle w:val="Marginlie"/>
            </w:pP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00BB0861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223D2B4F" w14:textId="77777777" w:rsidR="00A04CEF" w:rsidRPr="008526E0" w:rsidRDefault="00A04CEF" w:rsidP="00A04CEF">
            <w:pPr>
              <w:spacing w:after="0"/>
              <w:rPr>
                <w:color w:val="0D0D0D" w:themeColor="text1" w:themeTint="F2"/>
                <w:spacing w:val="-3"/>
              </w:rPr>
            </w:pPr>
            <w:r w:rsidRPr="00E63A41">
              <w:rPr>
                <w:b/>
              </w:rPr>
              <w:t xml:space="preserve">Graf č. 19 </w:t>
            </w:r>
            <w:r w:rsidRPr="00E63A41">
              <w:rPr>
                <w:rFonts w:cs="Arial"/>
                <w:b/>
                <w:bCs/>
              </w:rPr>
              <w:t xml:space="preserve">Vybrané výdaje státního rozpočtu </w:t>
            </w:r>
            <w:r>
              <w:rPr>
                <w:rFonts w:cs="Arial"/>
                <w:b/>
                <w:bCs/>
              </w:rPr>
              <w:t xml:space="preserve">v rámci 1. čtvrtletí </w:t>
            </w:r>
            <w:r w:rsidRPr="008C1DA3">
              <w:rPr>
                <w:rFonts w:cs="Arial"/>
              </w:rPr>
              <w:t>(v mld. korun)</w:t>
            </w:r>
          </w:p>
        </w:tc>
      </w:tr>
      <w:tr w:rsidR="00A04CEF" w:rsidRPr="007B3A78" w14:paraId="7FB6FD60" w14:textId="77777777" w:rsidTr="00A04CEF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1810" w:type="dxa"/>
            <w:shd w:val="clear" w:color="auto" w:fill="auto"/>
          </w:tcPr>
          <w:p w14:paraId="3BAEED70" w14:textId="77777777" w:rsidR="00A04CEF" w:rsidRDefault="00A04CEF" w:rsidP="00A04CEF">
            <w:pPr>
              <w:pStyle w:val="Marginlie"/>
            </w:pPr>
          </w:p>
        </w:tc>
        <w:tc>
          <w:tcPr>
            <w:tcW w:w="203" w:type="dxa"/>
            <w:shd w:val="clear" w:color="auto" w:fill="auto"/>
          </w:tcPr>
          <w:p w14:paraId="40D7B92B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</w:tcPr>
          <w:p w14:paraId="2EE76FC1" w14:textId="77777777" w:rsidR="00A04CEF" w:rsidRPr="008526E0" w:rsidRDefault="00A04CEF" w:rsidP="00A04CEF">
            <w:pPr>
              <w:spacing w:after="0"/>
              <w:rPr>
                <w:color w:val="0D0D0D" w:themeColor="text1" w:themeTint="F2"/>
                <w:spacing w:val="-3"/>
              </w:rPr>
            </w:pPr>
            <w:r>
              <w:rPr>
                <w:noProof/>
              </w:rPr>
              <w:drawing>
                <wp:inline distT="0" distB="0" distL="0" distR="0" wp14:anchorId="2A347DB9" wp14:editId="3AC7E0C6">
                  <wp:extent cx="4772660" cy="3586038"/>
                  <wp:effectExtent l="0" t="0" r="8890" b="0"/>
                  <wp:docPr id="1796943800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26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A04CEF" w:rsidRPr="007B3A78" w14:paraId="66B56087" w14:textId="77777777" w:rsidTr="00A04CEF">
        <w:trPr>
          <w:trHeight w:val="17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2A2349E8" w14:textId="77777777" w:rsidR="00A04CEF" w:rsidRDefault="00A04CEF" w:rsidP="00A04CEF">
            <w:pPr>
              <w:pStyle w:val="Marginlie"/>
            </w:pP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26D710D7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23ADCD7E" w14:textId="77777777" w:rsidR="00A04CEF" w:rsidRPr="008F2BE2" w:rsidRDefault="00A04CEF" w:rsidP="00A04CEF">
            <w:pPr>
              <w:pStyle w:val="Textpoznpodarou"/>
              <w:rPr>
                <w:spacing w:val="-4"/>
                <w:sz w:val="14"/>
                <w:szCs w:val="14"/>
              </w:rPr>
            </w:pPr>
            <w:r w:rsidRPr="008F2BE2">
              <w:rPr>
                <w:spacing w:val="-4"/>
                <w:sz w:val="14"/>
                <w:szCs w:val="14"/>
              </w:rPr>
              <w:t>*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 w:rsidRPr="008F2BE2">
              <w:rPr>
                <w:spacing w:val="-4"/>
                <w:sz w:val="14"/>
                <w:szCs w:val="14"/>
              </w:rPr>
              <w:t>Pokrývají výdaje na platy v organizačních složkách státu. Nezahrnují například mzdové výdaje na regionální školství.</w:t>
            </w:r>
          </w:p>
          <w:p w14:paraId="5DB115E4" w14:textId="77777777" w:rsidR="00A04CEF" w:rsidRDefault="00A04CEF" w:rsidP="00A04CEF">
            <w:pPr>
              <w:pStyle w:val="Textpoznpodarou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 xml:space="preserve">** Obsahuje také </w:t>
            </w:r>
            <w:r w:rsidRPr="008F2BE2">
              <w:rPr>
                <w:spacing w:val="-4"/>
                <w:sz w:val="14"/>
                <w:szCs w:val="14"/>
              </w:rPr>
              <w:t>dávky pěstounské péče.</w:t>
            </w:r>
          </w:p>
          <w:p w14:paraId="6DA1B1BA" w14:textId="77777777" w:rsidR="00A04CEF" w:rsidRPr="008F2BE2" w:rsidRDefault="00A04CEF" w:rsidP="00A04CEF">
            <w:pPr>
              <w:pStyle w:val="Textpoznpodarou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*** Z</w:t>
            </w:r>
            <w:r w:rsidRPr="008F2BE2">
              <w:rPr>
                <w:spacing w:val="-4"/>
                <w:sz w:val="14"/>
                <w:szCs w:val="14"/>
              </w:rPr>
              <w:t>ahrnují dávky pomoci v hmotné nouzi, dávky osobám se zdravotním postižením, příspěvek na péči dle zákona o soc. službách.</w:t>
            </w:r>
            <w:r>
              <w:rPr>
                <w:spacing w:val="-4"/>
                <w:sz w:val="14"/>
                <w:szCs w:val="14"/>
              </w:rPr>
              <w:t xml:space="preserve"> Jsou zde obsaženy i dávky </w:t>
            </w:r>
            <w:r w:rsidRPr="00FB6649">
              <w:rPr>
                <w:spacing w:val="-4"/>
                <w:sz w:val="14"/>
                <w:szCs w:val="14"/>
              </w:rPr>
              <w:t>humanitární pomoc</w:t>
            </w:r>
            <w:r>
              <w:rPr>
                <w:spacing w:val="-4"/>
                <w:sz w:val="14"/>
                <w:szCs w:val="14"/>
              </w:rPr>
              <w:t>i poskytnuté občanům Ukrajiny.</w:t>
            </w:r>
          </w:p>
          <w:p w14:paraId="6F2C2DF8" w14:textId="77777777" w:rsidR="00A04CEF" w:rsidRDefault="00A04CEF" w:rsidP="00A04CEF">
            <w:pPr>
              <w:pStyle w:val="Textpoznpodarou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**** O</w:t>
            </w:r>
            <w:r w:rsidRPr="008F2BE2">
              <w:rPr>
                <w:spacing w:val="-4"/>
                <w:sz w:val="14"/>
                <w:szCs w:val="14"/>
              </w:rPr>
              <w:t>bsahují zejména výdaje na nákup služeb, materiálu, energií či ostatních služeb (například výdaje na opravy a udržování).</w:t>
            </w:r>
          </w:p>
          <w:p w14:paraId="0CEC779C" w14:textId="77777777" w:rsidR="00A04CEF" w:rsidRPr="00257D9C" w:rsidRDefault="00A04CEF" w:rsidP="00A04CEF">
            <w:pPr>
              <w:pStyle w:val="Textpoznpodarou"/>
              <w:spacing w:after="220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*****</w:t>
            </w:r>
            <w:r w:rsidRPr="00257D9C">
              <w:rPr>
                <w:spacing w:val="-4"/>
                <w:sz w:val="14"/>
                <w:szCs w:val="14"/>
              </w:rPr>
              <w:t xml:space="preserve"> Čisté výdaje odpovídají saldu rozpočtové kapitoly Státní dluh (č. 396).</w:t>
            </w:r>
            <w:r>
              <w:rPr>
                <w:spacing w:val="-4"/>
                <w:sz w:val="14"/>
                <w:szCs w:val="14"/>
              </w:rPr>
              <w:t xml:space="preserve">                                                                       Zdroj: MF ČR</w:t>
            </w:r>
          </w:p>
        </w:tc>
      </w:tr>
      <w:tr w:rsidR="00A04CEF" w14:paraId="76B56453" w14:textId="77777777" w:rsidTr="00A04CEF">
        <w:trPr>
          <w:trHeight w:val="17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57451879" w14:textId="77777777" w:rsidR="00A04CEF" w:rsidRDefault="00A04CEF" w:rsidP="00A04CEF">
            <w:pPr>
              <w:pStyle w:val="Marginlie"/>
            </w:pPr>
            <w:r>
              <w:t>Čerpání investic na počátku roku bylo tradičně nízké. K jejich meziročnímu poklesu přispěly nižší výdaje na společné programy ČR a EU.</w:t>
            </w: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10C8B659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7F082661" w14:textId="77777777" w:rsidR="00A04CEF" w:rsidRPr="00246D96" w:rsidRDefault="00A04CEF" w:rsidP="00A04CEF">
            <w:pPr>
              <w:spacing w:after="200"/>
              <w:rPr>
                <w:color w:val="0D0D0D" w:themeColor="text1" w:themeTint="F2"/>
                <w:spacing w:val="-3"/>
              </w:rPr>
            </w:pPr>
            <w:r w:rsidRPr="00246D96">
              <w:rPr>
                <w:color w:val="0D0D0D" w:themeColor="text1" w:themeTint="F2"/>
                <w:spacing w:val="-3"/>
              </w:rPr>
              <w:t>Kapitálové výdaje SR dosáhly letos v 1. čtvrtletí 31,9 mld. korun a meziročně se snížily podruhé v řadě (aktuálně o 4,9 %). Schválený SR přitom počítá s rekordním celoročním objemem investic (250 mld. korun), oproti uskutečněným investicím meziročně o pětinu vyšším. Nízké čerpání investic na počátku roku je běžný jev a letos (a ve větší míře i loni) souvisel hlavně s pomalejším náběhem investic na společné projekty ČR a EU. Tyto investice byly letos zatím nízké zejména v oblasti průmyslu, energetiky, životního prostředí či územního rozvoje. Naopak investice, u nichž se nepředpokládá budoucí doplacení ze zdrojů EU, vzrostly meziročně skoro o třetinu (na 17,1 mld. korun), pouze zásluhou vyšších dotací SF dopravní infrastruktury (+8 mld.). Naopak prozatím nižší byly investice do oblasti obrany. Celkové investice SR tvořily v 1. čtvrtletí 5,6 % všech rozpočtových výdajů (o rok dříve 6,1 %). V dlouhodobém kontextu (za poslední dvě dekády) jde o mírně průměrný podíl.</w:t>
            </w:r>
          </w:p>
        </w:tc>
      </w:tr>
      <w:tr w:rsidR="00A04CEF" w14:paraId="24D296AA" w14:textId="77777777" w:rsidTr="00A04CEF">
        <w:trPr>
          <w:trHeight w:val="17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27D6C58E" w14:textId="77777777" w:rsidR="00A04CEF" w:rsidRDefault="00A04CEF" w:rsidP="00A04CEF">
            <w:pPr>
              <w:pStyle w:val="Marginlie"/>
            </w:pPr>
            <w:r>
              <w:lastRenderedPageBreak/>
              <w:t>Deficit hospodaření sektoru vládních institucí v Česku klesl ve 4. čtvrtletí 2024 meziročně o třetinu.</w:t>
            </w: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7565A6BC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57BA6571" w14:textId="77777777" w:rsidR="00A04CEF" w:rsidRPr="00617558" w:rsidRDefault="00A04CEF" w:rsidP="00A04CEF">
            <w:pPr>
              <w:spacing w:after="220"/>
              <w:rPr>
                <w:color w:val="0D0D0D" w:themeColor="text1" w:themeTint="F2"/>
                <w:spacing w:val="-7"/>
              </w:rPr>
            </w:pPr>
            <w:r w:rsidRPr="000E2A7E">
              <w:rPr>
                <w:color w:val="0D0D0D" w:themeColor="text1" w:themeTint="F2"/>
                <w:spacing w:val="-3"/>
              </w:rPr>
              <w:t xml:space="preserve">Sektor vládních institucí (VI) v Česku hospodařil </w:t>
            </w:r>
            <w:r>
              <w:rPr>
                <w:color w:val="0D0D0D" w:themeColor="text1" w:themeTint="F2"/>
                <w:spacing w:val="-3"/>
              </w:rPr>
              <w:t>dle aktuálních údajů ve 4. čtvrtletí 2024</w:t>
            </w:r>
            <w:r w:rsidRPr="008526E0">
              <w:rPr>
                <w:rStyle w:val="Znakapoznpodarou"/>
                <w:color w:val="0D0D0D" w:themeColor="text1" w:themeTint="F2"/>
                <w:spacing w:val="-3"/>
              </w:rPr>
              <w:footnoteReference w:id="33"/>
            </w:r>
            <w:r>
              <w:rPr>
                <w:color w:val="0D0D0D" w:themeColor="text1" w:themeTint="F2"/>
                <w:spacing w:val="-3"/>
              </w:rPr>
              <w:t xml:space="preserve"> s deficitem 78</w:t>
            </w:r>
            <w:r>
              <w:rPr>
                <w:color w:val="0D0D0D" w:themeColor="text1" w:themeTint="F2"/>
                <w:spacing w:val="-5"/>
              </w:rPr>
              <w:t> </w:t>
            </w:r>
            <w:r w:rsidRPr="008526E0">
              <w:rPr>
                <w:color w:val="0D0D0D" w:themeColor="text1" w:themeTint="F2"/>
                <w:spacing w:val="-3"/>
              </w:rPr>
              <w:t>mld. korun</w:t>
            </w:r>
            <w:r w:rsidRPr="008526E0">
              <w:rPr>
                <w:rStyle w:val="Znakapoznpodarou"/>
                <w:color w:val="0D0D0D" w:themeColor="text1" w:themeTint="F2"/>
                <w:spacing w:val="-3"/>
              </w:rPr>
              <w:footnoteReference w:id="34"/>
            </w:r>
            <w:r w:rsidRPr="008526E0">
              <w:rPr>
                <w:color w:val="0D0D0D" w:themeColor="text1" w:themeTint="F2"/>
                <w:spacing w:val="-3"/>
              </w:rPr>
              <w:t>,</w:t>
            </w:r>
            <w:r>
              <w:rPr>
                <w:color w:val="0D0D0D" w:themeColor="text1" w:themeTint="F2"/>
                <w:spacing w:val="-3"/>
              </w:rPr>
              <w:t xml:space="preserve"> jenž meziročně klesl skoro o třetinu (</w:t>
            </w:r>
            <w:r>
              <w:rPr>
                <w:color w:val="0D0D0D" w:themeColor="text1" w:themeTint="F2"/>
                <w:spacing w:val="-5"/>
              </w:rPr>
              <w:t xml:space="preserve">o </w:t>
            </w:r>
            <w:r>
              <w:rPr>
                <w:color w:val="0D0D0D" w:themeColor="text1" w:themeTint="F2"/>
                <w:spacing w:val="-3"/>
              </w:rPr>
              <w:t>37 mld.). Za meziročním zmírněním schodku stálo primárně razantní zvolnění růstu celkových výdajů (na 1,5 %, o</w:t>
            </w:r>
            <w:r>
              <w:rPr>
                <w:color w:val="0D0D0D" w:themeColor="text1" w:themeTint="F2"/>
              </w:rPr>
              <w:t> </w:t>
            </w:r>
            <w:r>
              <w:rPr>
                <w:color w:val="0D0D0D" w:themeColor="text1" w:themeTint="F2"/>
                <w:spacing w:val="-3"/>
              </w:rPr>
              <w:t xml:space="preserve">rok dříve 10,0 %). Projevil se zde očekávaný pokles vyplacených dotací (24. mld. korun, </w:t>
            </w:r>
            <w:r>
              <w:rPr>
                <w:spacing w:val="-6"/>
              </w:rPr>
              <w:t>−</w:t>
            </w:r>
            <w:r>
              <w:rPr>
                <w:color w:val="0D0D0D" w:themeColor="text1" w:themeTint="F2"/>
                <w:spacing w:val="-3"/>
              </w:rPr>
              <w:t>40 %), zvolnění růstu výdajů na sociální dávky</w:t>
            </w:r>
            <w:r>
              <w:rPr>
                <w:rStyle w:val="Znakapoznpodarou"/>
                <w:color w:val="0D0D0D" w:themeColor="text1" w:themeTint="F2"/>
                <w:spacing w:val="-3"/>
              </w:rPr>
              <w:footnoteReference w:id="35"/>
            </w:r>
            <w:r>
              <w:rPr>
                <w:color w:val="0D0D0D" w:themeColor="text1" w:themeTint="F2"/>
                <w:spacing w:val="-3"/>
              </w:rPr>
              <w:t xml:space="preserve"> (z 11,2 % na 4,2 %) i snížení výdajů na investice. Ve srovnání s koncem roku 2023 zmírnil ve 4. čtvrtletí 2024 i meziroční růst celkových příjmů (z 6,3 % na 9,2 %). Zpomalení tempa odráželo zejména zvolnění dynamiky příjmů z běžných daní z důchodů a </w:t>
            </w:r>
            <w:r w:rsidRPr="00947880">
              <w:rPr>
                <w:color w:val="0D0D0D" w:themeColor="text1" w:themeTint="F2"/>
                <w:spacing w:val="-3"/>
              </w:rPr>
              <w:t>jmění</w:t>
            </w:r>
            <w:r>
              <w:rPr>
                <w:color w:val="0D0D0D" w:themeColor="text1" w:themeTint="F2"/>
                <w:spacing w:val="-3"/>
              </w:rPr>
              <w:t xml:space="preserve"> – ty byly na konci loňského roku meziročně vyšší o 9 mld. korun, kdežto ve 4. čtvrtletí 2023 dokonce o 23 mld.</w:t>
            </w:r>
          </w:p>
        </w:tc>
      </w:tr>
      <w:tr w:rsidR="00A04CEF" w14:paraId="5EF79B88" w14:textId="77777777" w:rsidTr="00A04CEF">
        <w:trPr>
          <w:trHeight w:val="17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3DEABFD7" w14:textId="77777777" w:rsidR="00A04CEF" w:rsidRDefault="00A04CEF" w:rsidP="00A04CEF">
            <w:pPr>
              <w:pStyle w:val="Marginlie"/>
            </w:pP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71CE6AE7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16E80AEB" w14:textId="77777777" w:rsidR="00A04CEF" w:rsidRPr="0040616A" w:rsidRDefault="00A04CEF" w:rsidP="00A04CEF">
            <w:pPr>
              <w:spacing w:after="0"/>
              <w:rPr>
                <w:color w:val="0D0D0D" w:themeColor="text1" w:themeTint="F2"/>
                <w:spacing w:val="-6"/>
              </w:rPr>
            </w:pPr>
            <w:r>
              <w:rPr>
                <w:b/>
              </w:rPr>
              <w:t>Graf č. 20</w:t>
            </w:r>
            <w:r w:rsidRPr="00E63A41">
              <w:rPr>
                <w:b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Saldo hospodaření sektoru vládních institucí ve vybraných státech EU </w:t>
            </w:r>
            <w:r w:rsidRPr="00583F76">
              <w:rPr>
                <w:rFonts w:cs="Arial"/>
                <w:bCs/>
              </w:rPr>
              <w:t>(</w:t>
            </w:r>
            <w:r>
              <w:rPr>
                <w:rFonts w:cs="Arial"/>
                <w:bCs/>
              </w:rPr>
              <w:t xml:space="preserve">roční kumulace, </w:t>
            </w:r>
            <w:r w:rsidRPr="00583F76">
              <w:rPr>
                <w:rFonts w:cs="Arial"/>
                <w:bCs/>
              </w:rPr>
              <w:t>v % HDP)</w:t>
            </w:r>
          </w:p>
        </w:tc>
      </w:tr>
      <w:tr w:rsidR="00A04CEF" w14:paraId="34DE7F2F" w14:textId="77777777" w:rsidTr="00A04CEF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1810" w:type="dxa"/>
            <w:shd w:val="clear" w:color="auto" w:fill="auto"/>
          </w:tcPr>
          <w:p w14:paraId="5C169928" w14:textId="77777777" w:rsidR="00A04CEF" w:rsidRDefault="00A04CEF" w:rsidP="00A04CEF">
            <w:pPr>
              <w:pStyle w:val="Marginlie"/>
            </w:pPr>
          </w:p>
        </w:tc>
        <w:tc>
          <w:tcPr>
            <w:tcW w:w="203" w:type="dxa"/>
            <w:shd w:val="clear" w:color="auto" w:fill="auto"/>
          </w:tcPr>
          <w:p w14:paraId="69FE6AD2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</w:tcPr>
          <w:p w14:paraId="6054EB94" w14:textId="77777777" w:rsidR="00A04CEF" w:rsidRPr="0040616A" w:rsidRDefault="00A04CEF" w:rsidP="00A04CEF">
            <w:pPr>
              <w:spacing w:after="0"/>
              <w:rPr>
                <w:color w:val="0D0D0D" w:themeColor="text1" w:themeTint="F2"/>
                <w:spacing w:val="-6"/>
              </w:rPr>
            </w:pPr>
            <w:r>
              <w:rPr>
                <w:noProof/>
              </w:rPr>
              <w:drawing>
                <wp:inline distT="0" distB="0" distL="0" distR="0" wp14:anchorId="2106F01C" wp14:editId="22363665">
                  <wp:extent cx="4765675" cy="3252084"/>
                  <wp:effectExtent l="0" t="0" r="0" b="5715"/>
                  <wp:docPr id="1240086744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8D8C31-A283-44FB-9926-E3D296696B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A04CEF" w14:paraId="6C226145" w14:textId="77777777" w:rsidTr="00A04CEF">
        <w:trPr>
          <w:trHeight w:val="17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56C1EF8F" w14:textId="77777777" w:rsidR="00A04CEF" w:rsidRDefault="00A04CEF" w:rsidP="00A04CEF">
            <w:pPr>
              <w:pStyle w:val="Marginlie"/>
              <w:rPr>
                <w:color w:val="0D0D0D" w:themeColor="text1" w:themeTint="F2"/>
              </w:rPr>
            </w:pP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691037B5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2E361723" w14:textId="77777777" w:rsidR="00A04CEF" w:rsidRPr="003D0B27" w:rsidRDefault="00A04CEF" w:rsidP="00A04CEF">
            <w:pPr>
              <w:spacing w:after="220"/>
              <w:jc w:val="right"/>
              <w:rPr>
                <w:color w:val="0D0D0D" w:themeColor="text1" w:themeTint="F2"/>
                <w:spacing w:val="-3"/>
                <w:sz w:val="14"/>
                <w:szCs w:val="14"/>
              </w:rPr>
            </w:pPr>
            <w:r w:rsidRPr="003D0B27">
              <w:rPr>
                <w:color w:val="0D0D0D" w:themeColor="text1" w:themeTint="F2"/>
                <w:spacing w:val="-3"/>
                <w:sz w:val="14"/>
                <w:szCs w:val="14"/>
              </w:rPr>
              <w:t>Zdroj: Eurostat</w:t>
            </w:r>
          </w:p>
        </w:tc>
      </w:tr>
      <w:tr w:rsidR="00A04CEF" w14:paraId="27A2DCD8" w14:textId="77777777" w:rsidTr="00A04CEF">
        <w:trPr>
          <w:trHeight w:val="17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7DFA7FCF" w14:textId="77777777" w:rsidR="00A04CEF" w:rsidRDefault="00A04CEF" w:rsidP="00A04CEF">
            <w:pPr>
              <w:pStyle w:val="Marginlie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Za celý loňský rok činil schodek sektoru vládních institucí v Česku 177 mld. korun, resp. 2,2 % HDP. Jde o nejnižší deficit za poslední pětiletí. </w:t>
            </w:r>
          </w:p>
          <w:p w14:paraId="0E063033" w14:textId="77777777" w:rsidR="00A04CEF" w:rsidRDefault="00A04CEF" w:rsidP="00A04CEF">
            <w:pPr>
              <w:pStyle w:val="Marginlie"/>
              <w:rPr>
                <w:color w:val="0D0D0D" w:themeColor="text1" w:themeTint="F2"/>
              </w:rPr>
            </w:pPr>
          </w:p>
          <w:p w14:paraId="1E73BBB8" w14:textId="77777777" w:rsidR="00A04CEF" w:rsidRDefault="00A04CEF" w:rsidP="00A04CEF">
            <w:pPr>
              <w:pStyle w:val="Marginlie"/>
              <w:rPr>
                <w:color w:val="0D0D0D" w:themeColor="text1" w:themeTint="F2"/>
              </w:rPr>
            </w:pPr>
          </w:p>
          <w:p w14:paraId="58F5353E" w14:textId="77777777" w:rsidR="00A04CEF" w:rsidRDefault="00A04CEF" w:rsidP="00A04CEF">
            <w:pPr>
              <w:pStyle w:val="Marginlie"/>
              <w:rPr>
                <w:color w:val="0D0D0D" w:themeColor="text1" w:themeTint="F2"/>
              </w:rPr>
            </w:pPr>
          </w:p>
          <w:p w14:paraId="52087C97" w14:textId="77777777" w:rsidR="00A04CEF" w:rsidRDefault="00A04CEF" w:rsidP="00A04CEF">
            <w:pPr>
              <w:pStyle w:val="Marginlie"/>
              <w:rPr>
                <w:color w:val="0D0D0D" w:themeColor="text1" w:themeTint="F2"/>
              </w:rPr>
            </w:pPr>
          </w:p>
          <w:p w14:paraId="2AA08A5E" w14:textId="77777777" w:rsidR="00A04CEF" w:rsidRDefault="00A04CEF" w:rsidP="00A04CEF">
            <w:pPr>
              <w:pStyle w:val="Marginlie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Růst výdajů loni zmírnil razantněji než růst příjmů. Vyšší příjmy byly taženy hlavně sociálními příspěvky zaměstnanců i zaměstnavatelů, vyšší výdaje pak hlavně sociálními dávkami.</w:t>
            </w:r>
          </w:p>
          <w:p w14:paraId="6BE905FF" w14:textId="77777777" w:rsidR="00A04CEF" w:rsidRDefault="00A04CEF" w:rsidP="00A04CEF">
            <w:pPr>
              <w:pStyle w:val="Marginlie"/>
            </w:pP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6597FD46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12DC472A" w14:textId="77777777" w:rsidR="00A04CEF" w:rsidRPr="00246D96" w:rsidRDefault="00A04CEF" w:rsidP="00A04CEF">
            <w:pPr>
              <w:spacing w:after="190"/>
              <w:rPr>
                <w:color w:val="0D0D0D" w:themeColor="text1" w:themeTint="F2"/>
                <w:spacing w:val="-4"/>
              </w:rPr>
            </w:pPr>
            <w:r w:rsidRPr="00DE60D9">
              <w:rPr>
                <w:color w:val="0D0D0D" w:themeColor="text1" w:themeTint="F2"/>
                <w:spacing w:val="-4"/>
              </w:rPr>
              <w:t xml:space="preserve">Za celý loňský rok dosáhl schodek hospodaření sektoru VI </w:t>
            </w:r>
            <w:r>
              <w:rPr>
                <w:color w:val="0D0D0D" w:themeColor="text1" w:themeTint="F2"/>
                <w:spacing w:val="-4"/>
              </w:rPr>
              <w:t xml:space="preserve">v Česku </w:t>
            </w:r>
            <w:r w:rsidRPr="00DE60D9">
              <w:rPr>
                <w:color w:val="0D0D0D" w:themeColor="text1" w:themeTint="F2"/>
                <w:spacing w:val="-4"/>
              </w:rPr>
              <w:t xml:space="preserve">177 mld. korun (2,2 % HDP), </w:t>
            </w:r>
            <w:r>
              <w:rPr>
                <w:color w:val="0D0D0D" w:themeColor="text1" w:themeTint="F2"/>
                <w:spacing w:val="-4"/>
              </w:rPr>
              <w:t xml:space="preserve">což je </w:t>
            </w:r>
            <w:r w:rsidRPr="00DE60D9">
              <w:rPr>
                <w:color w:val="0D0D0D" w:themeColor="text1" w:themeTint="F2"/>
                <w:spacing w:val="-4"/>
              </w:rPr>
              <w:t>meziročně o 109 mld. méně (resp. o 1,6 p. b.)</w:t>
            </w:r>
            <w:r>
              <w:rPr>
                <w:color w:val="0D0D0D" w:themeColor="text1" w:themeTint="F2"/>
                <w:spacing w:val="-4"/>
              </w:rPr>
              <w:t>. Vykázaný deficit představuje zároveň</w:t>
            </w:r>
            <w:r w:rsidRPr="00DE60D9">
              <w:rPr>
                <w:color w:val="0D0D0D" w:themeColor="text1" w:themeTint="F2"/>
                <w:spacing w:val="-4"/>
              </w:rPr>
              <w:t xml:space="preserve"> </w:t>
            </w:r>
            <w:r>
              <w:rPr>
                <w:color w:val="0D0D0D" w:themeColor="text1" w:themeTint="F2"/>
                <w:spacing w:val="-4"/>
              </w:rPr>
              <w:t xml:space="preserve">minimum </w:t>
            </w:r>
            <w:r w:rsidRPr="00DE60D9">
              <w:rPr>
                <w:color w:val="0D0D0D" w:themeColor="text1" w:themeTint="F2"/>
                <w:spacing w:val="-4"/>
              </w:rPr>
              <w:t>za poslední pětiletí. Za jeho me</w:t>
            </w:r>
            <w:r>
              <w:rPr>
                <w:color w:val="0D0D0D" w:themeColor="text1" w:themeTint="F2"/>
                <w:spacing w:val="-4"/>
              </w:rPr>
              <w:t>ziročním poklesem stálo pouze</w:t>
            </w:r>
            <w:r w:rsidRPr="00DE60D9">
              <w:rPr>
                <w:color w:val="0D0D0D" w:themeColor="text1" w:themeTint="F2"/>
                <w:spacing w:val="-4"/>
              </w:rPr>
              <w:t xml:space="preserve"> zmírnění schodku hospodaření klíčového subsektoru ústředních vládních institucí, neboť deficit zdravotních pojišťoven se prohloubil o 16 mld. korun (na </w:t>
            </w:r>
            <w:r>
              <w:rPr>
                <w:color w:val="0D0D0D" w:themeColor="text1" w:themeTint="F2"/>
                <w:spacing w:val="-4"/>
              </w:rPr>
              <w:t>−</w:t>
            </w:r>
            <w:r w:rsidRPr="00DE60D9">
              <w:rPr>
                <w:color w:val="0D0D0D" w:themeColor="text1" w:themeTint="F2"/>
                <w:spacing w:val="-4"/>
              </w:rPr>
              <w:t>20 mld.) a přebytek místních vládních institucí klesl o 9 mld. (na +55 mld.)</w:t>
            </w:r>
            <w:r w:rsidRPr="00DE60D9">
              <w:rPr>
                <w:rStyle w:val="Znakapoznpodarou"/>
                <w:color w:val="0D0D0D" w:themeColor="text1" w:themeTint="F2"/>
                <w:spacing w:val="-4"/>
              </w:rPr>
              <w:footnoteReference w:id="36"/>
            </w:r>
            <w:r w:rsidRPr="00DE60D9">
              <w:rPr>
                <w:color w:val="0D0D0D" w:themeColor="text1" w:themeTint="F2"/>
                <w:spacing w:val="-4"/>
              </w:rPr>
              <w:t xml:space="preserve">. Souhrnné příjmy celého sektoru VI se sice v roce 2024 zvýšily relativně svižně (+6,8 %), šlo ovšem o nejnižší tempo </w:t>
            </w:r>
            <w:r>
              <w:rPr>
                <w:color w:val="0D0D0D" w:themeColor="text1" w:themeTint="F2"/>
                <w:spacing w:val="-4"/>
              </w:rPr>
              <w:t xml:space="preserve">za </w:t>
            </w:r>
            <w:r w:rsidRPr="00DE60D9">
              <w:rPr>
                <w:color w:val="0D0D0D" w:themeColor="text1" w:themeTint="F2"/>
                <w:spacing w:val="-4"/>
              </w:rPr>
              <w:t>poslední čtyři roky. K loňskému navýšení nejvíce přispěly čisté sociální příspěvky, jejichž růst i vlivem vyšších plateb domácností na nemocenské pojištění mírně z</w:t>
            </w:r>
            <w:r>
              <w:rPr>
                <w:color w:val="0D0D0D" w:themeColor="text1" w:themeTint="F2"/>
                <w:spacing w:val="-4"/>
              </w:rPr>
              <w:t>rychlil podruhé v řadě (na +8,6</w:t>
            </w:r>
            <w:r w:rsidRPr="00DE60D9">
              <w:rPr>
                <w:color w:val="0D0D0D" w:themeColor="text1" w:themeTint="F2"/>
                <w:spacing w:val="-4"/>
              </w:rPr>
              <w:t> %). Naopak opět zvolnil růst výběru běžných daní z důchodů a jmění (na +8,9 %) či příjem z ostatní</w:t>
            </w:r>
            <w:r>
              <w:rPr>
                <w:color w:val="0D0D0D" w:themeColor="text1" w:themeTint="F2"/>
                <w:spacing w:val="-4"/>
              </w:rPr>
              <w:t>ch běžných</w:t>
            </w:r>
            <w:r w:rsidRPr="00DE60D9">
              <w:rPr>
                <w:color w:val="0D0D0D" w:themeColor="text1" w:themeTint="F2"/>
                <w:spacing w:val="-4"/>
              </w:rPr>
              <w:t xml:space="preserve"> transferů a některých nepřímých daní (např. DPH). Objem přijatých vlastnických důchodů meziročně poklesl o 12 % – jak vlivem nižších příjmů z úroků, tak kvůli slabšímu přítoku dividend. Souhrnné výdaje sektoru VI vloni vzrostly </w:t>
            </w:r>
            <w:r>
              <w:rPr>
                <w:color w:val="0D0D0D" w:themeColor="text1" w:themeTint="F2"/>
                <w:spacing w:val="-4"/>
              </w:rPr>
              <w:br/>
            </w:r>
            <w:r w:rsidRPr="00DE60D9">
              <w:rPr>
                <w:color w:val="0D0D0D" w:themeColor="text1" w:themeTint="F2"/>
                <w:spacing w:val="-4"/>
              </w:rPr>
              <w:t xml:space="preserve">o 98 mld. korun, resp. 2,9 %, což je </w:t>
            </w:r>
            <w:r>
              <w:rPr>
                <w:color w:val="0D0D0D" w:themeColor="text1" w:themeTint="F2"/>
                <w:spacing w:val="-4"/>
              </w:rPr>
              <w:t>nejméně od roku</w:t>
            </w:r>
            <w:r w:rsidRPr="00DE60D9">
              <w:rPr>
                <w:color w:val="0D0D0D" w:themeColor="text1" w:themeTint="F2"/>
                <w:spacing w:val="-4"/>
              </w:rPr>
              <w:t xml:space="preserve"> 2016</w:t>
            </w:r>
            <w:r w:rsidRPr="00DE60D9">
              <w:rPr>
                <w:rStyle w:val="Znakapoznpodarou"/>
                <w:color w:val="0D0D0D" w:themeColor="text1" w:themeTint="F2"/>
                <w:spacing w:val="-4"/>
              </w:rPr>
              <w:footnoteReference w:id="37"/>
            </w:r>
            <w:r w:rsidRPr="00DE60D9">
              <w:rPr>
                <w:color w:val="0D0D0D" w:themeColor="text1" w:themeTint="F2"/>
                <w:spacing w:val="-4"/>
              </w:rPr>
              <w:t xml:space="preserve">. K jejich navýšení nejvíce přispěly sociální dávky (+46 mld. korun), přestože tempo jejich růstu bylo nejslabší za </w:t>
            </w:r>
            <w:r w:rsidRPr="00DE60D9">
              <w:rPr>
                <w:color w:val="0D0D0D" w:themeColor="text1" w:themeTint="F2"/>
                <w:spacing w:val="-4"/>
              </w:rPr>
              <w:lastRenderedPageBreak/>
              <w:t>posledních sedm let (+</w:t>
            </w:r>
            <w:r>
              <w:rPr>
                <w:color w:val="0D0D0D" w:themeColor="text1" w:themeTint="F2"/>
                <w:spacing w:val="-4"/>
              </w:rPr>
              <w:t>4,4 %). Jen mírně nižší roli hrál</w:t>
            </w:r>
            <w:r w:rsidRPr="00DE60D9">
              <w:rPr>
                <w:color w:val="0D0D0D" w:themeColor="text1" w:themeTint="F2"/>
                <w:spacing w:val="-4"/>
              </w:rPr>
              <w:t>y také svižně rostoucí natu</w:t>
            </w:r>
            <w:r>
              <w:rPr>
                <w:color w:val="0D0D0D" w:themeColor="text1" w:themeTint="F2"/>
                <w:spacing w:val="-4"/>
              </w:rPr>
              <w:t>rální sociální transfery (+11,9</w:t>
            </w:r>
            <w:r w:rsidRPr="00DE60D9">
              <w:rPr>
                <w:color w:val="0D0D0D" w:themeColor="text1" w:themeTint="F2"/>
                <w:spacing w:val="-4"/>
              </w:rPr>
              <w:t> %), růst mezispotřeby (+8,7 %) a také náhrady placené zaměstnancům (+4,9 %). Fiskální expanzi naopak tlumily hlavně nižš</w:t>
            </w:r>
            <w:r>
              <w:rPr>
                <w:color w:val="0D0D0D" w:themeColor="text1" w:themeTint="F2"/>
                <w:spacing w:val="-4"/>
              </w:rPr>
              <w:t>í dotace (−</w:t>
            </w:r>
            <w:r w:rsidRPr="00DE60D9">
              <w:rPr>
                <w:color w:val="0D0D0D" w:themeColor="text1" w:themeTint="F2"/>
                <w:spacing w:val="-4"/>
              </w:rPr>
              <w:t>25 %), jejichž výše se vrátila na úroveň roku 2023. Řádově menší vliv měl pokles ostatní</w:t>
            </w:r>
            <w:r>
              <w:rPr>
                <w:color w:val="0D0D0D" w:themeColor="text1" w:themeTint="F2"/>
                <w:spacing w:val="-4"/>
              </w:rPr>
              <w:t>ch</w:t>
            </w:r>
            <w:r w:rsidRPr="00DE60D9">
              <w:rPr>
                <w:color w:val="0D0D0D" w:themeColor="text1" w:themeTint="F2"/>
                <w:spacing w:val="-4"/>
              </w:rPr>
              <w:t xml:space="preserve"> běžných transferů. Růst výdajů na tvorbu fixních investic razantně zvolnil </w:t>
            </w:r>
            <w:r>
              <w:rPr>
                <w:color w:val="0D0D0D" w:themeColor="text1" w:themeTint="F2"/>
                <w:spacing w:val="-4"/>
              </w:rPr>
              <w:t xml:space="preserve">na </w:t>
            </w:r>
            <w:r w:rsidRPr="00DE60D9">
              <w:rPr>
                <w:color w:val="0D0D0D" w:themeColor="text1" w:themeTint="F2"/>
                <w:spacing w:val="-4"/>
              </w:rPr>
              <w:t>nejslabší tempo za posledních osm let</w:t>
            </w:r>
            <w:r>
              <w:rPr>
                <w:color w:val="0D0D0D" w:themeColor="text1" w:themeTint="F2"/>
                <w:spacing w:val="-4"/>
              </w:rPr>
              <w:t xml:space="preserve"> (1,5 %)</w:t>
            </w:r>
            <w:r w:rsidRPr="00DE60D9">
              <w:rPr>
                <w:color w:val="0D0D0D" w:themeColor="text1" w:themeTint="F2"/>
                <w:spacing w:val="-4"/>
              </w:rPr>
              <w:t>.</w:t>
            </w:r>
            <w:r>
              <w:rPr>
                <w:color w:val="0D0D0D" w:themeColor="text1" w:themeTint="F2"/>
                <w:spacing w:val="-4"/>
              </w:rPr>
              <w:t xml:space="preserve"> Z toho v subsektoru místních vládních institucí</w:t>
            </w:r>
            <w:r w:rsidRPr="00DE60D9">
              <w:rPr>
                <w:color w:val="0D0D0D" w:themeColor="text1" w:themeTint="F2"/>
                <w:spacing w:val="-4"/>
              </w:rPr>
              <w:t xml:space="preserve"> investice po svižném růstu v letech 2022 i 2023 loni </w:t>
            </w:r>
            <w:r>
              <w:rPr>
                <w:color w:val="0D0D0D" w:themeColor="text1" w:themeTint="F2"/>
                <w:spacing w:val="-4"/>
              </w:rPr>
              <w:t xml:space="preserve">dokonce </w:t>
            </w:r>
            <w:r w:rsidRPr="00DE60D9">
              <w:rPr>
                <w:color w:val="0D0D0D" w:themeColor="text1" w:themeTint="F2"/>
                <w:spacing w:val="-4"/>
              </w:rPr>
              <w:t>klesly (o 4 %)</w:t>
            </w:r>
            <w:r>
              <w:rPr>
                <w:color w:val="0D0D0D" w:themeColor="text1" w:themeTint="F2"/>
                <w:spacing w:val="-4"/>
              </w:rPr>
              <w:t>.</w:t>
            </w:r>
          </w:p>
        </w:tc>
      </w:tr>
      <w:tr w:rsidR="00A04CEF" w14:paraId="4B1C2C47" w14:textId="77777777" w:rsidTr="00A04CEF">
        <w:trPr>
          <w:trHeight w:val="17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2DFF01FE" w14:textId="77777777" w:rsidR="00A04CEF" w:rsidRDefault="00A04CEF" w:rsidP="00A04CEF">
            <w:pPr>
              <w:pStyle w:val="Marginlie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>Schodek hospodaření sektoru VI v EU zůstává v poslední době stabilní. V Česku se na rozdíl od většiny sousedních států meziroční schodek snížil a jeho výše byla v rámci středoevropského regionu nejnižší.</w:t>
            </w: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2AFC379B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28EDEFFB" w14:textId="77777777" w:rsidR="00A04CEF" w:rsidRDefault="00A04CEF" w:rsidP="00A04CEF">
            <w:pPr>
              <w:spacing w:after="170"/>
              <w:rPr>
                <w:color w:val="0D0D0D" w:themeColor="text1" w:themeTint="F2"/>
                <w:spacing w:val="-3"/>
              </w:rPr>
            </w:pPr>
            <w:r>
              <w:rPr>
                <w:color w:val="0D0D0D" w:themeColor="text1" w:themeTint="F2"/>
                <w:spacing w:val="-3"/>
              </w:rPr>
              <w:t>Za celý loňský rok dosáhl schodek hospodaření sektoru VI v EU 3,2 % HDP, podobný výsledek byl patrný i v předchozích dvou letech</w:t>
            </w:r>
            <w:r>
              <w:rPr>
                <w:rStyle w:val="Znakapoznpodarou"/>
                <w:color w:val="0D0D0D" w:themeColor="text1" w:themeTint="F2"/>
                <w:spacing w:val="-3"/>
              </w:rPr>
              <w:footnoteReference w:id="38"/>
            </w:r>
            <w:r>
              <w:rPr>
                <w:color w:val="0D0D0D" w:themeColor="text1" w:themeTint="F2"/>
                <w:spacing w:val="-3"/>
              </w:rPr>
              <w:t>. Tento deficit je sice o polovinu nižší než rekordní schodek v krizovém roce 2020, avšak ve srovnání s konjunkturním obdobím let 2017 až 2019 dosahuje více než trojnásobné výše. Slabý hospodářský růst v EU v letech 2023 i 2024 spolu s přetrvávající zvýšenou dynamikou cen v ekonomice se odráží v relativně vysoké úrovni výdajů sektoru VI (loni na 49,2 % HDP, o skoro 3 p. b. nad úrovní z konce minulé dekády). Schodek hospodaření převyšující 3 % HDP tak zaznamenala skoro polovina členských států EU (z toho 8 zemí eurozóny). Nejhlubší deficit postihl Rumunsko (</w:t>
            </w:r>
            <w:r>
              <w:rPr>
                <w:spacing w:val="-5"/>
              </w:rPr>
              <w:t>−</w:t>
            </w:r>
            <w:r>
              <w:rPr>
                <w:color w:val="0D0D0D" w:themeColor="text1" w:themeTint="F2"/>
                <w:spacing w:val="-3"/>
              </w:rPr>
              <w:t>9,3 % HDP), Polsko (</w:t>
            </w:r>
            <w:r>
              <w:rPr>
                <w:spacing w:val="-5"/>
              </w:rPr>
              <w:t>−</w:t>
            </w:r>
            <w:r>
              <w:rPr>
                <w:color w:val="0D0D0D" w:themeColor="text1" w:themeTint="F2"/>
                <w:spacing w:val="-3"/>
              </w:rPr>
              <w:t>6,6 %), Francii (</w:t>
            </w:r>
            <w:r>
              <w:rPr>
                <w:spacing w:val="-5"/>
              </w:rPr>
              <w:t>−</w:t>
            </w:r>
            <w:r>
              <w:rPr>
                <w:color w:val="0D0D0D" w:themeColor="text1" w:themeTint="F2"/>
                <w:spacing w:val="-3"/>
              </w:rPr>
              <w:t>5,8 %), Slovensko (</w:t>
            </w:r>
            <w:r>
              <w:rPr>
                <w:spacing w:val="-5"/>
              </w:rPr>
              <w:t>−</w:t>
            </w:r>
            <w:r>
              <w:rPr>
                <w:color w:val="0D0D0D" w:themeColor="text1" w:themeTint="F2"/>
                <w:spacing w:val="-3"/>
              </w:rPr>
              <w:t>5,3 %), Maďarsko (</w:t>
            </w:r>
            <w:r>
              <w:rPr>
                <w:spacing w:val="-5"/>
              </w:rPr>
              <w:t>−</w:t>
            </w:r>
            <w:r>
              <w:rPr>
                <w:color w:val="0D0D0D" w:themeColor="text1" w:themeTint="F2"/>
                <w:spacing w:val="-3"/>
              </w:rPr>
              <w:t>4,9 %) a Rakousko (</w:t>
            </w:r>
            <w:r>
              <w:rPr>
                <w:spacing w:val="-5"/>
              </w:rPr>
              <w:t>−</w:t>
            </w:r>
            <w:r>
              <w:rPr>
                <w:color w:val="0D0D0D" w:themeColor="text1" w:themeTint="F2"/>
                <w:spacing w:val="-3"/>
              </w:rPr>
              <w:t xml:space="preserve">4,7 %). Z klíčových ekonomik na tom bylo loni relativně nejlépe Německo, kde činilo saldo hospodaření „jen“ </w:t>
            </w:r>
            <w:r>
              <w:rPr>
                <w:spacing w:val="-5"/>
              </w:rPr>
              <w:t>−</w:t>
            </w:r>
            <w:r>
              <w:rPr>
                <w:color w:val="0D0D0D" w:themeColor="text1" w:themeTint="F2"/>
                <w:spacing w:val="-3"/>
              </w:rPr>
              <w:t>2,8 % HDP, avšak meziročně se podruhé v řadě mírně zhoršilo. Deficit Česka byl na rozdíl od roku 2023 příznivější než v Unii a zároveň po delší době i nejnižší mezi středoevropským státy</w:t>
            </w:r>
            <w:r>
              <w:rPr>
                <w:rStyle w:val="Znakapoznpodarou"/>
                <w:color w:val="0D0D0D" w:themeColor="text1" w:themeTint="F2"/>
                <w:spacing w:val="-3"/>
              </w:rPr>
              <w:footnoteReference w:id="39"/>
            </w:r>
            <w:r>
              <w:rPr>
                <w:color w:val="0D0D0D" w:themeColor="text1" w:themeTint="F2"/>
                <w:spacing w:val="-3"/>
              </w:rPr>
              <w:t xml:space="preserve">. K přebytku hospodaření se loni dopracovalo šest států Unie v čele s dlouhodobě rozpočtově odpovědným Dánskem (+4,5 % HDP), těsně následované Kyprem a Irskem. Snižovat nerovnováhu veřejných financí se v posledních letech daří také některým chronicky vysoce zadluženým členům jižního křídla eurozóny (Portugalsko, Řecko). Ve srovnání s rokem 2023 se loni schodek hospodaření nejvíce prohloubil v Rumunsku (o 2,7 p. b.) a Rakousku (o 2,1 p. b.), naopak k jeho redukci došlo zejména v Itálii (ze 7,2 % HDP na 3,4 % HDP) </w:t>
            </w:r>
            <w:r>
              <w:rPr>
                <w:color w:val="0D0D0D" w:themeColor="text1" w:themeTint="F2"/>
                <w:spacing w:val="-3"/>
              </w:rPr>
              <w:br/>
              <w:t>a přebytek narostl v Irsku a Kypru (o necelé 3 p. b.).</w:t>
            </w:r>
          </w:p>
        </w:tc>
      </w:tr>
      <w:tr w:rsidR="00A04CEF" w14:paraId="08013D44" w14:textId="77777777" w:rsidTr="00A04CEF">
        <w:trPr>
          <w:trHeight w:val="170"/>
        </w:trPr>
        <w:tc>
          <w:tcPr>
            <w:tcW w:w="1810" w:type="dxa"/>
            <w:shd w:val="clear" w:color="auto" w:fill="auto"/>
            <w:tcMar>
              <w:left w:w="0" w:type="dxa"/>
            </w:tcMar>
          </w:tcPr>
          <w:p w14:paraId="12DB6D32" w14:textId="77777777" w:rsidR="00A04CEF" w:rsidRDefault="00A04CEF" w:rsidP="00A04CEF">
            <w:pPr>
              <w:pStyle w:val="Marginlie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Pokles míry zadlužení sektoru VI v EU se ve 2. pololetí 2024 po třech letech zastavil.</w:t>
            </w:r>
          </w:p>
          <w:p w14:paraId="06F8E2FF" w14:textId="77777777" w:rsidR="00A04CEF" w:rsidRDefault="00A04CEF" w:rsidP="00A04CEF">
            <w:pPr>
              <w:pStyle w:val="Marginlie"/>
              <w:rPr>
                <w:color w:val="0D0D0D" w:themeColor="text1" w:themeTint="F2"/>
              </w:rPr>
            </w:pPr>
          </w:p>
          <w:p w14:paraId="1528FD39" w14:textId="77777777" w:rsidR="00A04CEF" w:rsidRDefault="00A04CEF" w:rsidP="00A04CEF">
            <w:pPr>
              <w:pStyle w:val="Marginlie"/>
              <w:rPr>
                <w:color w:val="0D0D0D" w:themeColor="text1" w:themeTint="F2"/>
              </w:rPr>
            </w:pPr>
          </w:p>
          <w:p w14:paraId="60872A1A" w14:textId="77777777" w:rsidR="00A04CEF" w:rsidRDefault="00A04CEF" w:rsidP="00A04CEF">
            <w:pPr>
              <w:pStyle w:val="Marginlie"/>
              <w:rPr>
                <w:color w:val="0D0D0D" w:themeColor="text1" w:themeTint="F2"/>
              </w:rPr>
            </w:pPr>
          </w:p>
          <w:p w14:paraId="3C6722B4" w14:textId="77777777" w:rsidR="00A04CEF" w:rsidRDefault="00A04CEF" w:rsidP="00A04CEF">
            <w:pPr>
              <w:pStyle w:val="Marginlie"/>
              <w:rPr>
                <w:color w:val="0D0D0D" w:themeColor="text1" w:themeTint="F2"/>
              </w:rPr>
            </w:pPr>
          </w:p>
          <w:p w14:paraId="5BAB2583" w14:textId="77777777" w:rsidR="00A04CEF" w:rsidRDefault="00A04CEF" w:rsidP="00A04CEF">
            <w:pPr>
              <w:pStyle w:val="Marginlie"/>
              <w:rPr>
                <w:color w:val="0D0D0D" w:themeColor="text1" w:themeTint="F2"/>
              </w:rPr>
            </w:pPr>
          </w:p>
          <w:p w14:paraId="4FCAEF6D" w14:textId="77777777" w:rsidR="00A04CEF" w:rsidRDefault="00A04CEF" w:rsidP="00A04CEF">
            <w:pPr>
              <w:pStyle w:val="Marginlie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Zadluženost v Česku se nadále zvyšovala jen mírně, její úroveň byla oproti eurozóně poloviční, avšak ve srovnání s nejméně zadluženými státy EU skoro dvojnásobná. </w:t>
            </w:r>
          </w:p>
          <w:p w14:paraId="37500476" w14:textId="77777777" w:rsidR="00A04CEF" w:rsidRDefault="00A04CEF" w:rsidP="00A04CEF">
            <w:pPr>
              <w:pStyle w:val="Marginlie"/>
              <w:rPr>
                <w:color w:val="0D0D0D" w:themeColor="text1" w:themeTint="F2"/>
              </w:rPr>
            </w:pPr>
          </w:p>
        </w:tc>
        <w:tc>
          <w:tcPr>
            <w:tcW w:w="203" w:type="dxa"/>
            <w:shd w:val="clear" w:color="auto" w:fill="auto"/>
            <w:tcMar>
              <w:left w:w="0" w:type="dxa"/>
            </w:tcMar>
          </w:tcPr>
          <w:p w14:paraId="13C7F0DF" w14:textId="77777777" w:rsidR="00A04CEF" w:rsidRDefault="00A04CEF" w:rsidP="00A04CEF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56" w:type="dxa"/>
            <w:shd w:val="clear" w:color="auto" w:fill="auto"/>
            <w:tcMar>
              <w:left w:w="0" w:type="dxa"/>
            </w:tcMar>
          </w:tcPr>
          <w:p w14:paraId="787051DB" w14:textId="77777777" w:rsidR="00A04CEF" w:rsidRPr="00A36CC7" w:rsidRDefault="00A04CEF" w:rsidP="00A04CEF">
            <w:pPr>
              <w:spacing w:after="0"/>
              <w:rPr>
                <w:color w:val="0D0D0D" w:themeColor="text1" w:themeTint="F2"/>
                <w:spacing w:val="-6"/>
              </w:rPr>
            </w:pPr>
            <w:r>
              <w:rPr>
                <w:color w:val="0D0D0D" w:themeColor="text1" w:themeTint="F2"/>
                <w:spacing w:val="-6"/>
              </w:rPr>
              <w:t>Trend meziroč</w:t>
            </w:r>
            <w:r w:rsidRPr="0040616A">
              <w:rPr>
                <w:color w:val="0D0D0D" w:themeColor="text1" w:themeTint="F2"/>
                <w:spacing w:val="-6"/>
              </w:rPr>
              <w:t xml:space="preserve">ního </w:t>
            </w:r>
            <w:r w:rsidRPr="00DD45CA">
              <w:rPr>
                <w:color w:val="0D0D0D" w:themeColor="text1" w:themeTint="F2"/>
                <w:spacing w:val="-6"/>
              </w:rPr>
              <w:t>poklesu míry zadlužení sektoru VI</w:t>
            </w:r>
            <w:r>
              <w:rPr>
                <w:color w:val="0D0D0D" w:themeColor="text1" w:themeTint="F2"/>
                <w:spacing w:val="-6"/>
              </w:rPr>
              <w:t>, trvající</w:t>
            </w:r>
            <w:r w:rsidRPr="0040616A">
              <w:rPr>
                <w:color w:val="0D0D0D" w:themeColor="text1" w:themeTint="F2"/>
                <w:spacing w:val="-6"/>
              </w:rPr>
              <w:t xml:space="preserve"> </w:t>
            </w:r>
            <w:r>
              <w:rPr>
                <w:color w:val="0D0D0D" w:themeColor="text1" w:themeTint="F2"/>
                <w:spacing w:val="-6"/>
              </w:rPr>
              <w:t xml:space="preserve">v EU </w:t>
            </w:r>
            <w:r w:rsidRPr="00DD45CA">
              <w:rPr>
                <w:color w:val="0D0D0D" w:themeColor="text1" w:themeTint="F2"/>
                <w:spacing w:val="-6"/>
              </w:rPr>
              <w:t>i eurozóně</w:t>
            </w:r>
            <w:r>
              <w:rPr>
                <w:color w:val="0D0D0D" w:themeColor="text1" w:themeTint="F2"/>
                <w:spacing w:val="-6"/>
              </w:rPr>
              <w:t xml:space="preserve"> </w:t>
            </w:r>
            <w:r w:rsidRPr="0040616A">
              <w:rPr>
                <w:color w:val="0D0D0D" w:themeColor="text1" w:themeTint="F2"/>
                <w:spacing w:val="-6"/>
              </w:rPr>
              <w:t xml:space="preserve">tři roky, se </w:t>
            </w:r>
            <w:r>
              <w:rPr>
                <w:color w:val="0D0D0D" w:themeColor="text1" w:themeTint="F2"/>
                <w:spacing w:val="-6"/>
              </w:rPr>
              <w:t>ve 2. pololetí 2024 zastavil. Na konci 4. čtvrtletí 2024 činila zadluženost v Unii 81,0 % HDP (v</w:t>
            </w:r>
            <w:r>
              <w:rPr>
                <w:color w:val="0D0D0D" w:themeColor="text1" w:themeTint="F2"/>
                <w:spacing w:val="-3"/>
              </w:rPr>
              <w:t> </w:t>
            </w:r>
            <w:r>
              <w:rPr>
                <w:color w:val="0D0D0D" w:themeColor="text1" w:themeTint="F2"/>
                <w:spacing w:val="-6"/>
              </w:rPr>
              <w:t>eurozóně 87,5</w:t>
            </w:r>
            <w:r w:rsidRPr="00DD45CA">
              <w:rPr>
                <w:color w:val="0D0D0D" w:themeColor="text1" w:themeTint="F2"/>
                <w:spacing w:val="-6"/>
              </w:rPr>
              <w:t> </w:t>
            </w:r>
            <w:r w:rsidRPr="0040616A">
              <w:rPr>
                <w:color w:val="0D0D0D" w:themeColor="text1" w:themeTint="F2"/>
                <w:spacing w:val="-6"/>
              </w:rPr>
              <w:t>%</w:t>
            </w:r>
            <w:r>
              <w:rPr>
                <w:color w:val="0D0D0D" w:themeColor="text1" w:themeTint="F2"/>
                <w:spacing w:val="-6"/>
              </w:rPr>
              <w:t xml:space="preserve">) a oproti shodnému období předchozího roku se téměř nezměnila. Za </w:t>
            </w:r>
            <w:r w:rsidRPr="002E3AE2">
              <w:rPr>
                <w:color w:val="0D0D0D" w:themeColor="text1" w:themeTint="F2"/>
                <w:spacing w:val="-2"/>
              </w:rPr>
              <w:t xml:space="preserve">celý loňský rok narostla ve dvou třetinách členských států Unie – nejvíce v Rumunsku </w:t>
            </w:r>
            <w:r w:rsidRPr="002E3AE2">
              <w:rPr>
                <w:color w:val="0D0D0D" w:themeColor="text1" w:themeTint="F2"/>
                <w:spacing w:val="-6"/>
              </w:rPr>
              <w:t>(o 5,9 p. b., na 54,8 % HDP), Polsku (+5,8 p. b., na 55,3 %) a Finsku (+4,6 p. b., na 82,1 %)</w:t>
            </w:r>
            <w:r w:rsidRPr="002E3AE2">
              <w:rPr>
                <w:rStyle w:val="Znakapoznpodarou"/>
                <w:color w:val="0D0D0D" w:themeColor="text1" w:themeTint="F2"/>
                <w:spacing w:val="-6"/>
              </w:rPr>
              <w:footnoteReference w:id="40"/>
            </w:r>
            <w:r w:rsidRPr="002E3AE2">
              <w:rPr>
                <w:color w:val="0D0D0D" w:themeColor="text1" w:themeTint="F2"/>
                <w:spacing w:val="-6"/>
              </w:rPr>
              <w:t>.</w:t>
            </w:r>
            <w:r>
              <w:rPr>
                <w:color w:val="0D0D0D" w:themeColor="text1" w:themeTint="F2"/>
                <w:spacing w:val="-6"/>
              </w:rPr>
              <w:t xml:space="preserve"> Zadlužení rostlo i ve většině dalších severských a pobaltských států. Přestože v tuzemsku byl loni, stejně jako v předchozích dvou letech, růst zadlužení jen mírný (+1,1 p. b., na 43,6 % HDP), Česko pořadím zemí mírně propadlo a aktuálně je jeho výše dluhu v EU devátá nejnižší. Státy s nejlepším postavením mají oproti Česku zadluženost skoro o polovinu nižší (Estonsko, Bulharsko, Lucembursko). Na opačném pólu se stále nachází Řecko (154 % HDP), přestože pokles zadlužení zde patřil (spolu s Kyprem) v posledních čtyřech letech v rámci Unie k nejvýraznějším. Dlouhodobé dluhové problémy sužují rovněž Itálii (135 % HDP), Francii (113 %) a Belgii (105 %), navíc míra zadlužení v nich loni mírně vzrostla – nejvíce ve Francii (o 3 p. b.). Zadluženost pod 60 % HDP drželo na konci loňského roku </w:t>
            </w:r>
            <w:r>
              <w:rPr>
                <w:color w:val="0D0D0D" w:themeColor="text1" w:themeTint="F2"/>
                <w:spacing w:val="-6"/>
              </w:rPr>
              <w:br/>
              <w:t xml:space="preserve">15 států Unie (ale jen 9 z 20 členů eurozóny). Ve srovnání s minimální mírou zadluženosti z konjunkturního období 2015 až 2019 je aktuální dluh vyšší ve třech čtvrtinách členských států – nejvíce narostl v Rumunsku (+21 %), Finsku (+17 %), Francii (+16 %), Estonsku </w:t>
            </w:r>
            <w:r>
              <w:rPr>
                <w:color w:val="0D0D0D" w:themeColor="text1" w:themeTint="F2"/>
                <w:spacing w:val="-6"/>
              </w:rPr>
              <w:br/>
              <w:t xml:space="preserve">(+15 %), Česku (+14 %) a na Slovensku (+12 %). Naopak nižší dluh mají zejména Řecko, Portugalsko a Kypr (všechny zhruba o pětinu), ale i některé tradičně málo zadlužené státy (Dánsko, Švédsko, Nizozemsko). </w:t>
            </w:r>
          </w:p>
        </w:tc>
      </w:tr>
    </w:tbl>
    <w:p w14:paraId="2143296F" w14:textId="1754FC9B" w:rsidR="00A50D73" w:rsidRPr="00A04CEF" w:rsidRDefault="00A50D73" w:rsidP="003B7AFA">
      <w:pPr>
        <w:pStyle w:val="Nadpis1"/>
        <w:rPr>
          <w:sz w:val="2"/>
          <w:szCs w:val="2"/>
        </w:rPr>
      </w:pPr>
    </w:p>
    <w:sectPr w:rsidR="00A50D73" w:rsidRPr="00A04CEF" w:rsidSect="00040D7A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418" w:left="1134" w:header="680" w:footer="680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2EF3C" w14:textId="77777777" w:rsidR="00A04CEF" w:rsidRDefault="00A04CEF" w:rsidP="00E71A58">
      <w:r>
        <w:separator/>
      </w:r>
    </w:p>
  </w:endnote>
  <w:endnote w:type="continuationSeparator" w:id="0">
    <w:p w14:paraId="70B7E2B6" w14:textId="77777777" w:rsidR="00A04CEF" w:rsidRDefault="00A04CEF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62E7" w14:textId="149C76F4" w:rsidR="00A04CEF" w:rsidRPr="00932443" w:rsidRDefault="00A04CE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040D7A">
      <w:rPr>
        <w:szCs w:val="16"/>
      </w:rPr>
      <w:t>40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>
      <w:rPr>
        <w:szCs w:val="16"/>
      </w:rPr>
      <w:t>1. čtvrtletí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9" w14:textId="78995E34" w:rsidR="00A04CEF" w:rsidRPr="00932443" w:rsidRDefault="00A04CE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>
      <w:rPr>
        <w:szCs w:val="16"/>
      </w:rPr>
      <w:t>1. čtvrtletí 2025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040D7A">
      <w:rPr>
        <w:rStyle w:val="ZpatChar"/>
        <w:szCs w:val="16"/>
      </w:rPr>
      <w:t>39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0D8F6" w14:textId="77777777" w:rsidR="00A04CEF" w:rsidRDefault="00A04CEF" w:rsidP="00EA4302">
      <w:pPr>
        <w:spacing w:after="0"/>
      </w:pPr>
      <w:r>
        <w:separator/>
      </w:r>
    </w:p>
  </w:footnote>
  <w:footnote w:type="continuationSeparator" w:id="0">
    <w:p w14:paraId="70CDBF0C" w14:textId="77777777" w:rsidR="00A04CEF" w:rsidRDefault="00A04CEF" w:rsidP="00E71A58">
      <w:r>
        <w:continuationSeparator/>
      </w:r>
    </w:p>
  </w:footnote>
  <w:footnote w:id="1">
    <w:p w14:paraId="14D17A77" w14:textId="77777777" w:rsidR="00A04CEF" w:rsidRPr="008332EA" w:rsidRDefault="00A04CEF" w:rsidP="00A04CEF">
      <w:pPr>
        <w:pStyle w:val="Textpoznpodarou"/>
        <w:jc w:val="both"/>
        <w:rPr>
          <w:spacing w:val="-2"/>
          <w:sz w:val="16"/>
          <w:szCs w:val="16"/>
        </w:rPr>
      </w:pPr>
      <w:r w:rsidRPr="008332EA">
        <w:rPr>
          <w:rStyle w:val="Znakapoznpodarou"/>
          <w:spacing w:val="-2"/>
          <w:sz w:val="16"/>
          <w:szCs w:val="16"/>
        </w:rPr>
        <w:footnoteRef/>
      </w:r>
      <w:r w:rsidRPr="008332EA">
        <w:rPr>
          <w:spacing w:val="-2"/>
          <w:sz w:val="16"/>
          <w:szCs w:val="16"/>
        </w:rPr>
        <w:t xml:space="preserve"> </w:t>
      </w:r>
      <w:r w:rsidRPr="008332EA">
        <w:rPr>
          <w:color w:val="0D0D0D" w:themeColor="text1" w:themeTint="F2"/>
          <w:spacing w:val="-2"/>
          <w:sz w:val="16"/>
          <w:szCs w:val="16"/>
        </w:rPr>
        <w:t xml:space="preserve">Pokud není uvedeno jinak, vycházejí všechny údaje týkající se státního rozpočtu </w:t>
      </w:r>
      <w:r w:rsidRPr="008332EA">
        <w:rPr>
          <w:rFonts w:cs="Arial"/>
          <w:color w:val="0D0D0D" w:themeColor="text1" w:themeTint="F2"/>
          <w:spacing w:val="-2"/>
          <w:sz w:val="16"/>
          <w:szCs w:val="16"/>
        </w:rPr>
        <w:t xml:space="preserve">z dat Ministerstva financí </w:t>
      </w:r>
      <w:r>
        <w:rPr>
          <w:rFonts w:cs="Arial"/>
          <w:color w:val="0D0D0D" w:themeColor="text1" w:themeTint="F2"/>
          <w:spacing w:val="-2"/>
          <w:sz w:val="16"/>
          <w:szCs w:val="16"/>
        </w:rPr>
        <w:t xml:space="preserve">(MF) </w:t>
      </w:r>
      <w:r w:rsidRPr="008332EA">
        <w:rPr>
          <w:rFonts w:cs="Arial"/>
          <w:color w:val="0D0D0D" w:themeColor="text1" w:themeTint="F2"/>
          <w:spacing w:val="-2"/>
          <w:sz w:val="16"/>
          <w:szCs w:val="16"/>
        </w:rPr>
        <w:t>ČR o pokladním plnění.</w:t>
      </w:r>
    </w:p>
  </w:footnote>
  <w:footnote w:id="2">
    <w:p w14:paraId="4353DC6E" w14:textId="77777777" w:rsidR="00A04CEF" w:rsidRPr="002B6735" w:rsidRDefault="00A04CEF" w:rsidP="00A04CEF">
      <w:pPr>
        <w:pStyle w:val="Textpoznpodarou"/>
        <w:rPr>
          <w:sz w:val="16"/>
          <w:szCs w:val="16"/>
        </w:rPr>
      </w:pPr>
      <w:r w:rsidRPr="002B6735">
        <w:rPr>
          <w:rStyle w:val="Znakapoznpodarou"/>
          <w:sz w:val="16"/>
          <w:szCs w:val="16"/>
        </w:rPr>
        <w:footnoteRef/>
      </w:r>
      <w:r w:rsidRPr="002B6735">
        <w:rPr>
          <w:sz w:val="16"/>
          <w:szCs w:val="16"/>
        </w:rPr>
        <w:t xml:space="preserve"> Zákon o státním rozpočtu na rok 2025 (vycházející z makroekonomické predikce MF ze srpna 2024 a schválený na počátku prosince 2024) počítá letos s celoročním schodkem 241 mld. korun, což je o 30 mld. nižší deficit než skutečně dosažený v roce 2024.</w:t>
      </w:r>
    </w:p>
  </w:footnote>
  <w:footnote w:id="3">
    <w:p w14:paraId="033C4075" w14:textId="77777777" w:rsidR="00A04CEF" w:rsidRDefault="00A04CEF" w:rsidP="00A04CEF">
      <w:pPr>
        <w:pStyle w:val="Textpoznpodarou"/>
      </w:pPr>
      <w:r w:rsidRPr="0010034F">
        <w:rPr>
          <w:rStyle w:val="Znakapoznpodarou"/>
          <w:sz w:val="16"/>
          <w:szCs w:val="16"/>
        </w:rPr>
        <w:footnoteRef/>
      </w:r>
      <w:r w:rsidRPr="0010034F">
        <w:rPr>
          <w:sz w:val="16"/>
          <w:szCs w:val="16"/>
        </w:rPr>
        <w:t xml:space="preserve"> Zejména v souvislosti s roční</w:t>
      </w:r>
      <w:r>
        <w:rPr>
          <w:sz w:val="16"/>
          <w:szCs w:val="16"/>
        </w:rPr>
        <w:t>m</w:t>
      </w:r>
      <w:r w:rsidRPr="0010034F">
        <w:rPr>
          <w:sz w:val="16"/>
          <w:szCs w:val="16"/>
        </w:rPr>
        <w:t xml:space="preserve"> zúčtováním daně z příjmů fyzických i právnickýc</w:t>
      </w:r>
      <w:r>
        <w:rPr>
          <w:sz w:val="16"/>
          <w:szCs w:val="16"/>
        </w:rPr>
        <w:t>h osob.</w:t>
      </w:r>
    </w:p>
  </w:footnote>
  <w:footnote w:id="4">
    <w:p w14:paraId="39816979" w14:textId="77777777" w:rsidR="00A04CEF" w:rsidRPr="00BA5C0E" w:rsidRDefault="00A04CEF" w:rsidP="00A04CEF">
      <w:pPr>
        <w:pStyle w:val="Textpoznpodarou"/>
        <w:rPr>
          <w:sz w:val="16"/>
          <w:szCs w:val="16"/>
        </w:rPr>
      </w:pPr>
      <w:r w:rsidRPr="00BA5C0E">
        <w:rPr>
          <w:rStyle w:val="Znakapoznpodarou"/>
          <w:sz w:val="16"/>
          <w:szCs w:val="16"/>
        </w:rPr>
        <w:footnoteRef/>
      </w:r>
      <w:r w:rsidRPr="00BA5C0E">
        <w:rPr>
          <w:sz w:val="16"/>
          <w:szCs w:val="16"/>
        </w:rPr>
        <w:t xml:space="preserve"> Tyto daně jsou od roku 2024 reprezentovány </w:t>
      </w:r>
      <w:r>
        <w:rPr>
          <w:sz w:val="16"/>
          <w:szCs w:val="16"/>
        </w:rPr>
        <w:t xml:space="preserve">již </w:t>
      </w:r>
      <w:r w:rsidRPr="00BA5C0E">
        <w:rPr>
          <w:sz w:val="16"/>
          <w:szCs w:val="16"/>
        </w:rPr>
        <w:t xml:space="preserve">pouze daní </w:t>
      </w:r>
      <w:r w:rsidRPr="00BA5C0E">
        <w:rPr>
          <w:spacing w:val="-5"/>
          <w:sz w:val="16"/>
          <w:szCs w:val="16"/>
        </w:rPr>
        <w:t xml:space="preserve">z neočekávaných zisků. </w:t>
      </w:r>
      <w:r w:rsidRPr="00BA5C0E">
        <w:rPr>
          <w:spacing w:val="-2"/>
          <w:sz w:val="16"/>
          <w:szCs w:val="16"/>
        </w:rPr>
        <w:t xml:space="preserve">Ta se týká energetických, petrochemických a těžebních firem (v oblasti fosilních paliv) a zahrnuje rovněž velké banky. Funguje jako 60% daňová přirážka aplikovaná na nadměrný zisk těchto firem stanovený jako rozdíl mezi základem daně v letech 2023 až 2025 a průměrem základů daně </w:t>
      </w:r>
      <w:r>
        <w:rPr>
          <w:spacing w:val="-2"/>
          <w:sz w:val="16"/>
          <w:szCs w:val="16"/>
        </w:rPr>
        <w:t xml:space="preserve">navýšeným o 20 procent </w:t>
      </w:r>
      <w:r w:rsidRPr="00BA5C0E">
        <w:rPr>
          <w:spacing w:val="-2"/>
          <w:sz w:val="16"/>
          <w:szCs w:val="16"/>
        </w:rPr>
        <w:t xml:space="preserve">za </w:t>
      </w:r>
      <w:r>
        <w:rPr>
          <w:spacing w:val="-2"/>
          <w:sz w:val="16"/>
          <w:szCs w:val="16"/>
        </w:rPr>
        <w:t>období let</w:t>
      </w:r>
      <w:r w:rsidRPr="00BA5C0E">
        <w:rPr>
          <w:spacing w:val="-2"/>
          <w:sz w:val="16"/>
          <w:szCs w:val="16"/>
        </w:rPr>
        <w:t xml:space="preserve"> 2018 až 2021. Drtivá většina inkasa této daně ovšem plynula do SR z odvětví energetiky.</w:t>
      </w:r>
    </w:p>
  </w:footnote>
  <w:footnote w:id="5">
    <w:p w14:paraId="34B81DCD" w14:textId="77777777" w:rsidR="00A04CEF" w:rsidRPr="008332EA" w:rsidRDefault="00A04CEF" w:rsidP="00A04CEF">
      <w:pPr>
        <w:pStyle w:val="Textpoznpodarou"/>
        <w:rPr>
          <w:spacing w:val="-2"/>
          <w:sz w:val="16"/>
          <w:szCs w:val="16"/>
        </w:rPr>
      </w:pPr>
      <w:r w:rsidRPr="008332EA">
        <w:rPr>
          <w:rStyle w:val="Znakapoznpodarou"/>
          <w:spacing w:val="-2"/>
          <w:sz w:val="16"/>
          <w:szCs w:val="16"/>
        </w:rPr>
        <w:footnoteRef/>
      </w:r>
      <w:r w:rsidRPr="008332EA">
        <w:rPr>
          <w:spacing w:val="-2"/>
          <w:sz w:val="16"/>
          <w:szCs w:val="16"/>
        </w:rPr>
        <w:t xml:space="preserve"> Reálné výdaje na konečnou spotřebu domácností </w:t>
      </w:r>
      <w:r>
        <w:rPr>
          <w:spacing w:val="-2"/>
          <w:sz w:val="16"/>
          <w:szCs w:val="16"/>
        </w:rPr>
        <w:t xml:space="preserve">v Česku se za celý loňský rok zvýšily o 2,0 %, </w:t>
      </w:r>
      <w:r>
        <w:rPr>
          <w:spacing w:val="-4"/>
          <w:sz w:val="16"/>
          <w:szCs w:val="16"/>
        </w:rPr>
        <w:t>ještě svižněji posílily</w:t>
      </w:r>
      <w:r w:rsidRPr="002636F0">
        <w:rPr>
          <w:spacing w:val="-4"/>
          <w:sz w:val="16"/>
          <w:szCs w:val="16"/>
        </w:rPr>
        <w:t xml:space="preserve"> výdaje na s</w:t>
      </w:r>
      <w:r>
        <w:rPr>
          <w:spacing w:val="-4"/>
          <w:sz w:val="16"/>
          <w:szCs w:val="16"/>
        </w:rPr>
        <w:t>potřebu vládních institucí (+3,3</w:t>
      </w:r>
      <w:r w:rsidRPr="002636F0">
        <w:rPr>
          <w:spacing w:val="-4"/>
          <w:sz w:val="16"/>
          <w:szCs w:val="16"/>
        </w:rPr>
        <w:t xml:space="preserve"> %).</w:t>
      </w:r>
      <w:r w:rsidRPr="0040193F">
        <w:rPr>
          <w:spacing w:val="-4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Dle prvního</w:t>
      </w:r>
      <w:r w:rsidRPr="002636F0">
        <w:rPr>
          <w:spacing w:val="-4"/>
          <w:sz w:val="16"/>
          <w:szCs w:val="16"/>
        </w:rPr>
        <w:t xml:space="preserve"> odhadu HDP </w:t>
      </w:r>
      <w:r>
        <w:rPr>
          <w:spacing w:val="-4"/>
          <w:sz w:val="16"/>
          <w:szCs w:val="16"/>
        </w:rPr>
        <w:t>pokračoval meziroční růst spotřeby domácností i vládního sektoru také v 1</w:t>
      </w:r>
      <w:r w:rsidRPr="002636F0">
        <w:rPr>
          <w:spacing w:val="-4"/>
          <w:sz w:val="16"/>
          <w:szCs w:val="16"/>
        </w:rPr>
        <w:t>. čtvrtletí</w:t>
      </w:r>
      <w:r>
        <w:rPr>
          <w:spacing w:val="-4"/>
          <w:sz w:val="16"/>
          <w:szCs w:val="16"/>
        </w:rPr>
        <w:t xml:space="preserve"> 2025</w:t>
      </w:r>
      <w:r w:rsidRPr="002636F0">
        <w:rPr>
          <w:spacing w:val="-4"/>
          <w:sz w:val="16"/>
          <w:szCs w:val="16"/>
        </w:rPr>
        <w:t>.</w:t>
      </w:r>
    </w:p>
  </w:footnote>
  <w:footnote w:id="6">
    <w:p w14:paraId="165C1FF6" w14:textId="77777777" w:rsidR="00A04CEF" w:rsidRPr="00171A39" w:rsidRDefault="00A04CEF" w:rsidP="00A04CEF">
      <w:pPr>
        <w:pStyle w:val="Textpoznpodarou"/>
        <w:rPr>
          <w:spacing w:val="-2"/>
        </w:rPr>
      </w:pPr>
      <w:r w:rsidRPr="00171A39">
        <w:rPr>
          <w:rStyle w:val="Znakapoznpodarou"/>
          <w:spacing w:val="-2"/>
          <w:sz w:val="16"/>
          <w:szCs w:val="16"/>
        </w:rPr>
        <w:footnoteRef/>
      </w:r>
      <w:r w:rsidRPr="00171A39">
        <w:rPr>
          <w:spacing w:val="-2"/>
          <w:sz w:val="16"/>
          <w:szCs w:val="16"/>
        </w:rPr>
        <w:t xml:space="preserve"> To se týká sjednocení dvou snížených sazeb (10 % a 15 %) do jedné ve výši 12 % (vyjma knih, jež jsou nově zcela osvobozeny</w:t>
      </w:r>
      <w:r>
        <w:rPr>
          <w:spacing w:val="-2"/>
          <w:sz w:val="16"/>
          <w:szCs w:val="16"/>
        </w:rPr>
        <w:t xml:space="preserve"> od DPH</w:t>
      </w:r>
      <w:r w:rsidRPr="00171A39">
        <w:rPr>
          <w:spacing w:val="-2"/>
          <w:sz w:val="16"/>
          <w:szCs w:val="16"/>
        </w:rPr>
        <w:t>). Řada zboží a služeb nově podléhá nižšímu zdanění (např. základní potraviny, léky, zdravotnické výrobky, stavební práce). Negat</w:t>
      </w:r>
      <w:r>
        <w:rPr>
          <w:spacing w:val="-2"/>
          <w:sz w:val="16"/>
          <w:szCs w:val="16"/>
        </w:rPr>
        <w:t>ivní rozpočtový dopad je</w:t>
      </w:r>
      <w:r w:rsidRPr="00171A39">
        <w:rPr>
          <w:spacing w:val="-2"/>
          <w:sz w:val="16"/>
          <w:szCs w:val="16"/>
        </w:rPr>
        <w:t xml:space="preserve"> tlumen hlavně přesunem některých položek bez prokazatelného sociálního či zdravotního významu do základní 21% sazby daně (pivo, nealkoholické nápoje, služby autorů a umělců, kadeřnické služby, palivové dřevo, komunální odpad, úklidové práce).</w:t>
      </w:r>
    </w:p>
  </w:footnote>
  <w:footnote w:id="7">
    <w:p w14:paraId="6742D5B7" w14:textId="77777777" w:rsidR="00A04CEF" w:rsidRPr="000625BD" w:rsidRDefault="00A04CEF" w:rsidP="00A04CEF">
      <w:pPr>
        <w:pStyle w:val="Textpoznpodarou"/>
        <w:rPr>
          <w:sz w:val="16"/>
          <w:szCs w:val="16"/>
        </w:rPr>
      </w:pPr>
      <w:r w:rsidRPr="000625BD">
        <w:rPr>
          <w:rStyle w:val="Znakapoznpodarou"/>
          <w:sz w:val="16"/>
          <w:szCs w:val="16"/>
        </w:rPr>
        <w:footnoteRef/>
      </w:r>
      <w:r w:rsidRPr="000625BD">
        <w:rPr>
          <w:sz w:val="16"/>
          <w:szCs w:val="16"/>
        </w:rPr>
        <w:t xml:space="preserve"> </w:t>
      </w:r>
      <w:r w:rsidRPr="001A20A4">
        <w:rPr>
          <w:spacing w:val="-8"/>
          <w:sz w:val="16"/>
          <w:szCs w:val="16"/>
        </w:rPr>
        <w:t>Ten se v hotovostním plnění SR poprvé promítl v únoru 2024 a má tak nyní vliv nejen na absolutní výši inkasa DPH, ale i na jeho meziroční tempo.</w:t>
      </w:r>
    </w:p>
  </w:footnote>
  <w:footnote w:id="8">
    <w:p w14:paraId="0A0DB3E9" w14:textId="77777777" w:rsidR="00A04CEF" w:rsidRPr="00B63945" w:rsidRDefault="00A04CEF" w:rsidP="00A04CEF">
      <w:pPr>
        <w:pStyle w:val="Textpoznpodarou"/>
        <w:rPr>
          <w:sz w:val="16"/>
          <w:szCs w:val="16"/>
        </w:rPr>
      </w:pPr>
      <w:r w:rsidRPr="00B63945">
        <w:rPr>
          <w:rStyle w:val="Znakapoznpodarou"/>
          <w:sz w:val="16"/>
          <w:szCs w:val="16"/>
        </w:rPr>
        <w:footnoteRef/>
      </w:r>
      <w:r w:rsidRPr="00B63945">
        <w:rPr>
          <w:sz w:val="16"/>
          <w:szCs w:val="16"/>
        </w:rPr>
        <w:t xml:space="preserve"> Dle odhadu MF by mělo zvýšení zdanění tabákových a souvisejících výrobků přivést za celý letošní rok do SR navíc 3,7 mld. korun.</w:t>
      </w:r>
    </w:p>
  </w:footnote>
  <w:footnote w:id="9">
    <w:p w14:paraId="4ABBB0BC" w14:textId="77777777" w:rsidR="00A04CEF" w:rsidRPr="00171A39" w:rsidRDefault="00A04CEF" w:rsidP="00A04CEF">
      <w:pPr>
        <w:pStyle w:val="Textpoznpodarou"/>
        <w:rPr>
          <w:spacing w:val="-2"/>
          <w:sz w:val="16"/>
          <w:szCs w:val="16"/>
        </w:rPr>
      </w:pPr>
      <w:r w:rsidRPr="00171A39">
        <w:rPr>
          <w:rStyle w:val="Znakapoznpodarou"/>
          <w:spacing w:val="-2"/>
          <w:sz w:val="16"/>
          <w:szCs w:val="16"/>
        </w:rPr>
        <w:footnoteRef/>
      </w:r>
      <w:r w:rsidRPr="00171A39">
        <w:rPr>
          <w:spacing w:val="-2"/>
          <w:sz w:val="16"/>
          <w:szCs w:val="16"/>
        </w:rPr>
        <w:t xml:space="preserve"> </w:t>
      </w:r>
      <w:r w:rsidRPr="005A4FCD">
        <w:rPr>
          <w:sz w:val="16"/>
          <w:szCs w:val="16"/>
        </w:rPr>
        <w:t xml:space="preserve">Dle údajů ČSÚ vzrostla od ledna do února 2025 spotřeba váhově nejvýznamnější položky – motorové nafty – meziročně o 2,4 %, motorového benzínu </w:t>
      </w:r>
      <w:r>
        <w:rPr>
          <w:sz w:val="16"/>
          <w:szCs w:val="16"/>
        </w:rPr>
        <w:t>o</w:t>
      </w:r>
      <w:r w:rsidRPr="005A4FCD">
        <w:rPr>
          <w:sz w:val="16"/>
          <w:szCs w:val="16"/>
        </w:rPr>
        <w:t xml:space="preserve"> 0,4 %. Letos v březnu dosahovala v Česku průměrná spotřebitelská cena </w:t>
      </w:r>
      <w:r w:rsidRPr="005A4FCD">
        <w:rPr>
          <w:iCs/>
          <w:sz w:val="16"/>
          <w:szCs w:val="16"/>
        </w:rPr>
        <w:t xml:space="preserve">benzínu Natural 95 </w:t>
      </w:r>
      <w:r>
        <w:rPr>
          <w:iCs/>
          <w:sz w:val="16"/>
          <w:szCs w:val="16"/>
        </w:rPr>
        <w:t xml:space="preserve">hodnoty </w:t>
      </w:r>
      <w:r>
        <w:rPr>
          <w:iCs/>
          <w:sz w:val="16"/>
          <w:szCs w:val="16"/>
        </w:rPr>
        <w:br/>
        <w:t>35,25 korun/litr (</w:t>
      </w:r>
      <w:r w:rsidRPr="005A4FCD">
        <w:rPr>
          <w:iCs/>
          <w:sz w:val="16"/>
          <w:szCs w:val="16"/>
        </w:rPr>
        <w:t>nejméně od září 2021</w:t>
      </w:r>
      <w:r>
        <w:rPr>
          <w:iCs/>
          <w:sz w:val="16"/>
          <w:szCs w:val="16"/>
        </w:rPr>
        <w:t>)</w:t>
      </w:r>
      <w:r w:rsidRPr="005A4FCD">
        <w:rPr>
          <w:iCs/>
          <w:sz w:val="16"/>
          <w:szCs w:val="16"/>
        </w:rPr>
        <w:t xml:space="preserve"> a </w:t>
      </w:r>
      <w:r w:rsidRPr="005A4FCD">
        <w:rPr>
          <w:sz w:val="16"/>
          <w:szCs w:val="16"/>
        </w:rPr>
        <w:t xml:space="preserve">motorové nafty </w:t>
      </w:r>
      <w:r>
        <w:rPr>
          <w:sz w:val="16"/>
          <w:szCs w:val="16"/>
        </w:rPr>
        <w:t>34,83 korun/litr (</w:t>
      </w:r>
      <w:r w:rsidRPr="005A4FCD">
        <w:rPr>
          <w:sz w:val="16"/>
          <w:szCs w:val="16"/>
        </w:rPr>
        <w:t>nejméně od listopadu 2024</w:t>
      </w:r>
      <w:r>
        <w:rPr>
          <w:sz w:val="16"/>
          <w:szCs w:val="16"/>
        </w:rPr>
        <w:t>)</w:t>
      </w:r>
      <w:r w:rsidRPr="005A4FCD">
        <w:rPr>
          <w:sz w:val="16"/>
          <w:szCs w:val="16"/>
        </w:rPr>
        <w:t>. K vyšší tuzemské spotřebě tak mohly přispět i přeshraniční nákupy, popř. silnější tranzitní doprava.</w:t>
      </w:r>
    </w:p>
  </w:footnote>
  <w:footnote w:id="10">
    <w:p w14:paraId="1D77F3E4" w14:textId="77777777" w:rsidR="00A04CEF" w:rsidRPr="00A14EA3" w:rsidRDefault="00A04CEF" w:rsidP="00A04CEF">
      <w:pPr>
        <w:pStyle w:val="Textpoznpodarou"/>
        <w:rPr>
          <w:sz w:val="16"/>
          <w:szCs w:val="16"/>
        </w:rPr>
      </w:pPr>
      <w:r w:rsidRPr="00A14EA3">
        <w:rPr>
          <w:rStyle w:val="Znakapoznpodarou"/>
          <w:sz w:val="16"/>
          <w:szCs w:val="16"/>
        </w:rPr>
        <w:footnoteRef/>
      </w:r>
      <w:r w:rsidRPr="00A14EA3">
        <w:rPr>
          <w:sz w:val="16"/>
          <w:szCs w:val="16"/>
        </w:rPr>
        <w:t xml:space="preserve"> Tyto změny začaly ovlivňovat výši inkasa daně poprvé v únoru 2024. Vliv dalších legislativních úprav (</w:t>
      </w:r>
      <w:r w:rsidRPr="00A14EA3">
        <w:rPr>
          <w:color w:val="0D0D0D" w:themeColor="text1" w:themeTint="F2"/>
          <w:spacing w:val="-4"/>
          <w:sz w:val="16"/>
          <w:szCs w:val="16"/>
        </w:rPr>
        <w:t xml:space="preserve">zrušení či omezení některých daňových slev) </w:t>
      </w:r>
      <w:r>
        <w:rPr>
          <w:color w:val="0D0D0D" w:themeColor="text1" w:themeTint="F2"/>
          <w:spacing w:val="-4"/>
          <w:sz w:val="16"/>
          <w:szCs w:val="16"/>
        </w:rPr>
        <w:t xml:space="preserve">se poprvé projevil až při ročním zúčtování daně (v dubnu 2025). Za první čtyři měsíce letošního roku vzrostl výběr DPFO od plátců do SR meziročně již o 13,5 %. </w:t>
      </w:r>
    </w:p>
  </w:footnote>
  <w:footnote w:id="11">
    <w:p w14:paraId="1DD43245" w14:textId="77777777" w:rsidR="00A04CEF" w:rsidRPr="00FB0E09" w:rsidRDefault="00A04CEF" w:rsidP="00A04CEF">
      <w:pPr>
        <w:pStyle w:val="Textpoznpodarou"/>
        <w:rPr>
          <w:sz w:val="16"/>
          <w:szCs w:val="16"/>
        </w:rPr>
      </w:pPr>
      <w:r w:rsidRPr="00FB0E09">
        <w:rPr>
          <w:rStyle w:val="Znakapoznpodarou"/>
          <w:sz w:val="16"/>
          <w:szCs w:val="16"/>
        </w:rPr>
        <w:footnoteRef/>
      </w:r>
      <w:r w:rsidRPr="00FB0E09">
        <w:rPr>
          <w:sz w:val="16"/>
          <w:szCs w:val="16"/>
        </w:rPr>
        <w:t xml:space="preserve"> Výběr této daně za období leden až duben 2025 (zahrnují i roční vyrovnání daně) byl meziročně vyšší o 2,1 mld. korun.</w:t>
      </w:r>
    </w:p>
  </w:footnote>
  <w:footnote w:id="12">
    <w:p w14:paraId="70993CA2" w14:textId="77777777" w:rsidR="00A04CEF" w:rsidRPr="00720081" w:rsidRDefault="00A04CEF" w:rsidP="00A04CEF">
      <w:pPr>
        <w:pStyle w:val="Textpoznpodarou"/>
        <w:rPr>
          <w:sz w:val="16"/>
          <w:szCs w:val="16"/>
        </w:rPr>
      </w:pPr>
      <w:r w:rsidRPr="00720081">
        <w:rPr>
          <w:rStyle w:val="Znakapoznpodarou"/>
          <w:sz w:val="16"/>
          <w:szCs w:val="16"/>
        </w:rPr>
        <w:footnoteRef/>
      </w:r>
      <w:r w:rsidRPr="00720081">
        <w:rPr>
          <w:sz w:val="16"/>
          <w:szCs w:val="16"/>
        </w:rPr>
        <w:t xml:space="preserve"> Dle experimentální statistiky ČSÚ klesl za loňský rok počet osob pracujících na dohody o 4 % a finanční odměny plynoucí z těchto dohod o 7 %.</w:t>
      </w:r>
    </w:p>
  </w:footnote>
  <w:footnote w:id="13">
    <w:p w14:paraId="41B7FC33" w14:textId="77777777" w:rsidR="00A04CEF" w:rsidRPr="00813E58" w:rsidRDefault="00A04CEF" w:rsidP="00A04CEF">
      <w:pPr>
        <w:pStyle w:val="Textpoznpodarou"/>
        <w:rPr>
          <w:sz w:val="16"/>
          <w:szCs w:val="16"/>
        </w:rPr>
      </w:pPr>
      <w:r w:rsidRPr="00813E58">
        <w:rPr>
          <w:rStyle w:val="Znakapoznpodarou"/>
          <w:sz w:val="16"/>
          <w:szCs w:val="16"/>
        </w:rPr>
        <w:footnoteRef/>
      </w:r>
      <w:r w:rsidRPr="00813E58">
        <w:rPr>
          <w:sz w:val="16"/>
          <w:szCs w:val="16"/>
        </w:rPr>
        <w:t xml:space="preserve"> Aktuálně nízkou</w:t>
      </w:r>
      <w:r>
        <w:rPr>
          <w:sz w:val="16"/>
          <w:szCs w:val="16"/>
        </w:rPr>
        <w:t xml:space="preserve"> váhu</w:t>
      </w:r>
      <w:r w:rsidRPr="00813E58">
        <w:rPr>
          <w:sz w:val="16"/>
          <w:szCs w:val="16"/>
        </w:rPr>
        <w:t xml:space="preserve"> těchto příjmů lze vysvětlit tím, že plánované </w:t>
      </w:r>
      <w:r w:rsidRPr="00813E58">
        <w:rPr>
          <w:spacing w:val="-4"/>
          <w:sz w:val="16"/>
          <w:szCs w:val="16"/>
        </w:rPr>
        <w:t>převody výnosů z dividend a</w:t>
      </w:r>
      <w:r w:rsidRPr="00813E58">
        <w:rPr>
          <w:color w:val="0D0D0D" w:themeColor="text1" w:themeTint="F2"/>
          <w:spacing w:val="-4"/>
          <w:sz w:val="16"/>
          <w:szCs w:val="16"/>
        </w:rPr>
        <w:t> </w:t>
      </w:r>
      <w:r w:rsidRPr="00813E58">
        <w:rPr>
          <w:spacing w:val="-4"/>
          <w:sz w:val="16"/>
          <w:szCs w:val="16"/>
        </w:rPr>
        <w:t>dalších majetkových účastí státu se uskuteční až ve druhé polovině letošního roku.</w:t>
      </w:r>
    </w:p>
  </w:footnote>
  <w:footnote w:id="14">
    <w:p w14:paraId="4A53195A" w14:textId="77777777" w:rsidR="00A04CEF" w:rsidRPr="00FD04A8" w:rsidRDefault="00A04CEF" w:rsidP="00A04CEF">
      <w:pPr>
        <w:pStyle w:val="Textpoznpodarou"/>
        <w:rPr>
          <w:sz w:val="16"/>
          <w:szCs w:val="16"/>
        </w:rPr>
      </w:pPr>
      <w:r w:rsidRPr="00FD04A8">
        <w:rPr>
          <w:rStyle w:val="Znakapoznpodarou"/>
          <w:sz w:val="16"/>
          <w:szCs w:val="16"/>
        </w:rPr>
        <w:footnoteRef/>
      </w:r>
      <w:r w:rsidRPr="00FD04A8">
        <w:rPr>
          <w:sz w:val="16"/>
          <w:szCs w:val="16"/>
        </w:rPr>
        <w:t xml:space="preserve"> V 1. čtvrtletí loňského roku ještě získal SR od EU z tohoto programového období dodatečné příjmy (na krytí již SR dříve předfinancovaných výdajů) ve výši 6,9 mld. korun.</w:t>
      </w:r>
    </w:p>
  </w:footnote>
  <w:footnote w:id="15">
    <w:p w14:paraId="71006FF4" w14:textId="77777777" w:rsidR="00A04CEF" w:rsidRPr="00FD04A8" w:rsidRDefault="00A04CEF" w:rsidP="00A04CEF">
      <w:pPr>
        <w:pStyle w:val="Textpoznpodarou"/>
        <w:rPr>
          <w:sz w:val="16"/>
          <w:szCs w:val="16"/>
        </w:rPr>
      </w:pPr>
      <w:r w:rsidRPr="00FD04A8">
        <w:rPr>
          <w:rStyle w:val="Znakapoznpodarou"/>
          <w:sz w:val="16"/>
          <w:szCs w:val="16"/>
        </w:rPr>
        <w:footnoteRef/>
      </w:r>
      <w:r w:rsidRPr="00FD04A8">
        <w:rPr>
          <w:sz w:val="16"/>
          <w:szCs w:val="16"/>
        </w:rPr>
        <w:t xml:space="preserve"> Ty zatím letos dosáhly 14,5 mld. korun, meziročně o 2,5 mld. více. Skoro 90 % z této části př</w:t>
      </w:r>
      <w:r>
        <w:rPr>
          <w:sz w:val="16"/>
          <w:szCs w:val="16"/>
        </w:rPr>
        <w:t>edstavovaly přímé platby zeměděl</w:t>
      </w:r>
      <w:r w:rsidRPr="00FD04A8">
        <w:rPr>
          <w:sz w:val="16"/>
          <w:szCs w:val="16"/>
        </w:rPr>
        <w:t xml:space="preserve">cům. </w:t>
      </w:r>
    </w:p>
  </w:footnote>
  <w:footnote w:id="16">
    <w:p w14:paraId="38D3D0D0" w14:textId="77777777" w:rsidR="00A04CEF" w:rsidRPr="00FF5A2E" w:rsidRDefault="00A04CEF" w:rsidP="00A04CEF">
      <w:pPr>
        <w:pStyle w:val="Textpoznpodarou"/>
        <w:rPr>
          <w:sz w:val="16"/>
          <w:szCs w:val="16"/>
        </w:rPr>
      </w:pPr>
      <w:r w:rsidRPr="00FF5A2E">
        <w:rPr>
          <w:rStyle w:val="Znakapoznpodarou"/>
          <w:sz w:val="16"/>
          <w:szCs w:val="16"/>
        </w:rPr>
        <w:footnoteRef/>
      </w:r>
      <w:r w:rsidRPr="00FF5A2E">
        <w:rPr>
          <w:sz w:val="16"/>
          <w:szCs w:val="16"/>
        </w:rPr>
        <w:t xml:space="preserve"> Výdaje na platy učitelů vzrostly od 1. 1. 2025 o 7 %, u ostatních pedagogických (vychovatelé, asistenti pedagoga) a neped</w:t>
      </w:r>
      <w:r>
        <w:rPr>
          <w:sz w:val="16"/>
          <w:szCs w:val="16"/>
        </w:rPr>
        <w:t xml:space="preserve">agogických </w:t>
      </w:r>
      <w:r w:rsidRPr="00420D40">
        <w:rPr>
          <w:spacing w:val="-2"/>
          <w:sz w:val="16"/>
          <w:szCs w:val="16"/>
        </w:rPr>
        <w:t>pracovníků vzrostly o 5 %. Zvýšení platových tarifů o 1 400 Kč se dotklo jen nepedagogických pracovníků. Meziroční růst výdajů zohledňuje</w:t>
      </w:r>
      <w:r w:rsidRPr="00FF5A2E">
        <w:rPr>
          <w:sz w:val="16"/>
          <w:szCs w:val="16"/>
        </w:rPr>
        <w:t xml:space="preserve"> i pokračující</w:t>
      </w:r>
      <w:r>
        <w:rPr>
          <w:sz w:val="16"/>
          <w:szCs w:val="16"/>
        </w:rPr>
        <w:t xml:space="preserve"> růst počtu</w:t>
      </w:r>
      <w:r w:rsidRPr="00FF5A2E">
        <w:rPr>
          <w:sz w:val="16"/>
          <w:szCs w:val="16"/>
        </w:rPr>
        <w:t xml:space="preserve"> dětí, žáků a studentů v regionálním školství a větší míry využití dělení hodin v rámci zvyšování kvality výuky</w:t>
      </w:r>
      <w:r>
        <w:rPr>
          <w:sz w:val="16"/>
          <w:szCs w:val="16"/>
        </w:rPr>
        <w:t>.</w:t>
      </w:r>
    </w:p>
  </w:footnote>
  <w:footnote w:id="17">
    <w:p w14:paraId="30FE8811" w14:textId="77777777" w:rsidR="00A04CEF" w:rsidRPr="002B77A8" w:rsidRDefault="00A04CEF" w:rsidP="00A04CEF">
      <w:pPr>
        <w:pStyle w:val="Textpoznpodarou"/>
        <w:rPr>
          <w:sz w:val="16"/>
          <w:szCs w:val="16"/>
        </w:rPr>
      </w:pPr>
      <w:r w:rsidRPr="002B77A8"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Jde o I</w:t>
      </w:r>
      <w:r w:rsidRPr="002B77A8">
        <w:rPr>
          <w:sz w:val="16"/>
          <w:szCs w:val="16"/>
        </w:rPr>
        <w:t>ntegrovaný regionální operační program.</w:t>
      </w:r>
    </w:p>
  </w:footnote>
  <w:footnote w:id="18">
    <w:p w14:paraId="2FB6B91C" w14:textId="77777777" w:rsidR="00A04CEF" w:rsidRPr="006B4D0D" w:rsidRDefault="00A04CEF" w:rsidP="00A04CEF">
      <w:pPr>
        <w:pStyle w:val="Textpoznpodarou"/>
        <w:rPr>
          <w:spacing w:val="-4"/>
          <w:sz w:val="16"/>
          <w:szCs w:val="16"/>
        </w:rPr>
      </w:pPr>
      <w:r w:rsidRPr="006B4D0D">
        <w:rPr>
          <w:rStyle w:val="Znakapoznpodarou"/>
          <w:spacing w:val="-4"/>
          <w:sz w:val="16"/>
          <w:szCs w:val="16"/>
        </w:rPr>
        <w:footnoteRef/>
      </w:r>
      <w:r w:rsidRPr="006B4D0D">
        <w:rPr>
          <w:spacing w:val="-4"/>
          <w:sz w:val="16"/>
          <w:szCs w:val="16"/>
        </w:rPr>
        <w:t xml:space="preserve"> Schválený SR počítá na celý letošní rok s růstem těchto výdajů o 11,5 % a jejich výše by poprvé v historii měla dosáhnout 100 mld. korun. </w:t>
      </w:r>
    </w:p>
  </w:footnote>
  <w:footnote w:id="19">
    <w:p w14:paraId="0FE84536" w14:textId="77777777" w:rsidR="00A04CEF" w:rsidRPr="000575AE" w:rsidRDefault="00A04CEF" w:rsidP="00A04CEF">
      <w:pPr>
        <w:pStyle w:val="Textpoznpodarou"/>
        <w:rPr>
          <w:sz w:val="16"/>
          <w:szCs w:val="16"/>
        </w:rPr>
      </w:pPr>
      <w:r w:rsidRPr="00A27E33">
        <w:rPr>
          <w:rStyle w:val="Znakapoznpodarou"/>
          <w:sz w:val="16"/>
          <w:szCs w:val="16"/>
        </w:rPr>
        <w:footnoteRef/>
      </w:r>
      <w:r w:rsidRPr="00A27E33">
        <w:rPr>
          <w:sz w:val="16"/>
          <w:szCs w:val="16"/>
        </w:rPr>
        <w:t xml:space="preserve"> Emisní činnost státu, a to zejména za účelem financování splátek státního dluhu a průběžného krytí aktuálního schodku státního rozpočtu, probíhala ve standardním režimu a dosáhla</w:t>
      </w:r>
      <w:r w:rsidRPr="000575A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letos za 1. </w:t>
      </w:r>
      <w:r w:rsidRPr="000575AE">
        <w:rPr>
          <w:sz w:val="16"/>
          <w:szCs w:val="16"/>
        </w:rPr>
        <w:t xml:space="preserve">čtvrtletí 198 mld. korun (o polovinu více než o rok dříve). Rozhodující část výpůjček tvořily </w:t>
      </w:r>
      <w:r w:rsidRPr="000575AE">
        <w:rPr>
          <w:rFonts w:cs="Verdana"/>
          <w:color w:val="000000"/>
          <w:sz w:val="16"/>
          <w:szCs w:val="16"/>
        </w:rPr>
        <w:t>emise korunových střednědobých a dlouhodobých státních dluhopisů prodaných na domácím trhu</w:t>
      </w:r>
      <w:r>
        <w:rPr>
          <w:rFonts w:cs="Verdana"/>
          <w:color w:val="000000"/>
          <w:sz w:val="16"/>
          <w:szCs w:val="16"/>
        </w:rPr>
        <w:t>, které činily</w:t>
      </w:r>
      <w:r w:rsidRPr="000575AE">
        <w:rPr>
          <w:rFonts w:cs="Verdana"/>
          <w:color w:val="000000"/>
          <w:sz w:val="16"/>
          <w:szCs w:val="16"/>
        </w:rPr>
        <w:t xml:space="preserve"> 109,2 mld. korun (při průměrné zbytkové dob</w:t>
      </w:r>
      <w:r>
        <w:rPr>
          <w:rFonts w:cs="Verdana"/>
          <w:color w:val="000000"/>
          <w:sz w:val="16"/>
          <w:szCs w:val="16"/>
        </w:rPr>
        <w:t>ě</w:t>
      </w:r>
      <w:r w:rsidRPr="000575AE">
        <w:rPr>
          <w:rFonts w:cs="Verdana"/>
          <w:color w:val="000000"/>
          <w:sz w:val="16"/>
          <w:szCs w:val="16"/>
        </w:rPr>
        <w:t xml:space="preserve"> do splatnosti 9,1 roku a průměrném ročním výnosu fixně úročených dluhopisů</w:t>
      </w:r>
      <w:r>
        <w:rPr>
          <w:rFonts w:cs="Verdana"/>
          <w:color w:val="000000"/>
          <w:sz w:val="16"/>
          <w:szCs w:val="16"/>
        </w:rPr>
        <w:t xml:space="preserve"> 4,0</w:t>
      </w:r>
      <w:r w:rsidRPr="00FF5A2E">
        <w:rPr>
          <w:sz w:val="16"/>
          <w:szCs w:val="16"/>
        </w:rPr>
        <w:t> </w:t>
      </w:r>
      <w:r w:rsidRPr="000575AE">
        <w:rPr>
          <w:rFonts w:cs="Verdana"/>
          <w:color w:val="000000"/>
          <w:sz w:val="16"/>
          <w:szCs w:val="16"/>
        </w:rPr>
        <w:t>%).</w:t>
      </w:r>
      <w:r>
        <w:rPr>
          <w:rFonts w:cs="Verdana"/>
          <w:color w:val="000000"/>
          <w:sz w:val="16"/>
          <w:szCs w:val="16"/>
        </w:rPr>
        <w:t xml:space="preserve"> Letos i na počátku předchozího roku měly výpůjční operace státu dopad pouze na oblast vnitřního dluhu.</w:t>
      </w:r>
    </w:p>
  </w:footnote>
  <w:footnote w:id="20">
    <w:p w14:paraId="5CB3DA85" w14:textId="77777777" w:rsidR="00A04CEF" w:rsidRPr="00DE4F27" w:rsidRDefault="00A04CEF" w:rsidP="00A04CEF">
      <w:pPr>
        <w:spacing w:after="0" w:line="240" w:lineRule="auto"/>
        <w:jc w:val="left"/>
        <w:rPr>
          <w:rFonts w:eastAsia="Calibri" w:cs="Verdana"/>
          <w:color w:val="000000"/>
          <w:sz w:val="16"/>
          <w:szCs w:val="16"/>
        </w:rPr>
      </w:pPr>
      <w:r w:rsidRPr="00DE4F27">
        <w:rPr>
          <w:rFonts w:eastAsia="Calibri" w:cs="Verdana"/>
          <w:color w:val="000000"/>
          <w:sz w:val="16"/>
          <w:szCs w:val="16"/>
          <w:vertAlign w:val="superscript"/>
        </w:rPr>
        <w:footnoteRef/>
      </w:r>
      <w:r w:rsidRPr="00DE4F27">
        <w:rPr>
          <w:rFonts w:eastAsia="Calibri" w:cs="Verdana"/>
          <w:color w:val="000000"/>
          <w:sz w:val="16"/>
          <w:szCs w:val="16"/>
        </w:rPr>
        <w:t xml:space="preserve"> Základní výše výměry důchodu se zvýšila na 4 660 Kč (+260 korun); procentní výměra se zvýšila o 0,6 % a důchodcům, kteří dosáhnou v lednu 2025 věku 85 let, bude procentní výměra navýšena ještě o 1 000 korun. Průměrný měsíční starobní důchod se tak v lednu zvýšil o 358 korun (+1,7 %). </w:t>
      </w:r>
      <w:r w:rsidRPr="00592FF3">
        <w:rPr>
          <w:spacing w:val="-2"/>
          <w:sz w:val="16"/>
          <w:szCs w:val="16"/>
        </w:rPr>
        <w:t xml:space="preserve">Průměrný </w:t>
      </w:r>
      <w:r>
        <w:rPr>
          <w:spacing w:val="-2"/>
          <w:sz w:val="16"/>
          <w:szCs w:val="16"/>
        </w:rPr>
        <w:t xml:space="preserve">měsíční </w:t>
      </w:r>
      <w:r w:rsidRPr="00592FF3">
        <w:rPr>
          <w:spacing w:val="-2"/>
          <w:sz w:val="16"/>
          <w:szCs w:val="16"/>
        </w:rPr>
        <w:t>s</w:t>
      </w:r>
      <w:r>
        <w:rPr>
          <w:spacing w:val="-2"/>
          <w:sz w:val="16"/>
          <w:szCs w:val="16"/>
        </w:rPr>
        <w:t xml:space="preserve">tarobní důchod </w:t>
      </w:r>
      <w:r w:rsidRPr="00592FF3">
        <w:rPr>
          <w:spacing w:val="-2"/>
          <w:sz w:val="16"/>
          <w:szCs w:val="16"/>
        </w:rPr>
        <w:t xml:space="preserve">(bez souběhu s ostatními důchody) </w:t>
      </w:r>
      <w:r>
        <w:rPr>
          <w:spacing w:val="-2"/>
          <w:sz w:val="16"/>
          <w:szCs w:val="16"/>
        </w:rPr>
        <w:t>byl v březnu</w:t>
      </w:r>
      <w:r w:rsidRPr="00592FF3">
        <w:rPr>
          <w:spacing w:val="-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2025 meziročně vyšší o 2,1 %, když dosáhl u mužů 22,3</w:t>
      </w:r>
      <w:r w:rsidRPr="00592FF3">
        <w:rPr>
          <w:spacing w:val="-2"/>
          <w:sz w:val="16"/>
          <w:szCs w:val="16"/>
        </w:rPr>
        <w:t xml:space="preserve"> tis. korun</w:t>
      </w:r>
      <w:r>
        <w:rPr>
          <w:spacing w:val="-2"/>
          <w:sz w:val="16"/>
          <w:szCs w:val="16"/>
        </w:rPr>
        <w:t xml:space="preserve">, u žen 19,9 </w:t>
      </w:r>
      <w:r w:rsidRPr="00592FF3">
        <w:rPr>
          <w:spacing w:val="-2"/>
          <w:sz w:val="16"/>
          <w:szCs w:val="16"/>
        </w:rPr>
        <w:t>tis. korun.</w:t>
      </w:r>
    </w:p>
  </w:footnote>
  <w:footnote w:id="21">
    <w:p w14:paraId="7AD2F91A" w14:textId="77777777" w:rsidR="00A04CEF" w:rsidRPr="00DE4F27" w:rsidRDefault="00A04CEF" w:rsidP="00A04CEF">
      <w:pPr>
        <w:spacing w:after="0" w:line="240" w:lineRule="auto"/>
        <w:jc w:val="left"/>
        <w:rPr>
          <w:rFonts w:eastAsia="Calibri" w:cs="Verdana"/>
          <w:color w:val="000000"/>
          <w:sz w:val="16"/>
          <w:szCs w:val="16"/>
        </w:rPr>
      </w:pPr>
      <w:r w:rsidRPr="00DE4F27">
        <w:rPr>
          <w:rStyle w:val="Znakapoznpodarou"/>
          <w:sz w:val="16"/>
          <w:szCs w:val="16"/>
        </w:rPr>
        <w:footnoteRef/>
      </w:r>
      <w:r w:rsidRPr="00DE4F27">
        <w:rPr>
          <w:sz w:val="16"/>
          <w:szCs w:val="16"/>
        </w:rPr>
        <w:t xml:space="preserve"> </w:t>
      </w:r>
      <w:r>
        <w:rPr>
          <w:rFonts w:eastAsia="Calibri" w:cs="Verdana"/>
          <w:color w:val="000000"/>
          <w:sz w:val="16"/>
          <w:szCs w:val="16"/>
        </w:rPr>
        <w:t xml:space="preserve">Od října 2024 se potřebná doba pojištění </w:t>
      </w:r>
      <w:r w:rsidRPr="00DE4F27">
        <w:rPr>
          <w:rFonts w:eastAsia="Calibri" w:cs="Verdana"/>
          <w:color w:val="000000"/>
          <w:sz w:val="16"/>
          <w:szCs w:val="16"/>
        </w:rPr>
        <w:t xml:space="preserve">zvýšila z 35 na 40 let. Již dříve došlo k dalším zpřísněním: maximální doba předčasnosti se zkrátila z 5 let </w:t>
      </w:r>
      <w:r>
        <w:rPr>
          <w:rFonts w:eastAsia="Calibri" w:cs="Verdana"/>
          <w:color w:val="000000"/>
          <w:sz w:val="16"/>
          <w:szCs w:val="16"/>
        </w:rPr>
        <w:t>na 3 roky, zrušila se valorizace</w:t>
      </w:r>
      <w:r w:rsidRPr="00DE4F27">
        <w:rPr>
          <w:rFonts w:eastAsia="Calibri" w:cs="Verdana"/>
          <w:color w:val="000000"/>
          <w:sz w:val="16"/>
          <w:szCs w:val="16"/>
        </w:rPr>
        <w:t xml:space="preserve"> procentní výměry předčasného důchodu až do d</w:t>
      </w:r>
      <w:r>
        <w:rPr>
          <w:rFonts w:eastAsia="Calibri" w:cs="Verdana"/>
          <w:color w:val="000000"/>
          <w:sz w:val="16"/>
          <w:szCs w:val="16"/>
        </w:rPr>
        <w:t>oby dosažení důchodového věku a</w:t>
      </w:r>
      <w:r w:rsidRPr="00DE4F27">
        <w:rPr>
          <w:rFonts w:eastAsia="Calibri" w:cs="Verdana"/>
          <w:color w:val="000000"/>
          <w:sz w:val="16"/>
          <w:szCs w:val="16"/>
        </w:rPr>
        <w:t> výrazně vzrostlo krácení výše důchodu pro předčasnost.</w:t>
      </w:r>
    </w:p>
  </w:footnote>
  <w:footnote w:id="22">
    <w:p w14:paraId="0AAB6404" w14:textId="77777777" w:rsidR="00A04CEF" w:rsidRPr="0021442D" w:rsidRDefault="00A04CEF" w:rsidP="00A04CEF">
      <w:pPr>
        <w:pStyle w:val="Textpoznpodarou"/>
        <w:rPr>
          <w:sz w:val="16"/>
          <w:szCs w:val="16"/>
        </w:rPr>
      </w:pPr>
      <w:r w:rsidRPr="0021442D">
        <w:rPr>
          <w:rStyle w:val="Znakapoznpodarou"/>
          <w:sz w:val="16"/>
          <w:szCs w:val="16"/>
        </w:rPr>
        <w:footnoteRef/>
      </w:r>
      <w:r w:rsidRPr="0021442D">
        <w:rPr>
          <w:sz w:val="16"/>
          <w:szCs w:val="16"/>
        </w:rPr>
        <w:t xml:space="preserve"> I přes aktuální vývoj je celkový počet osob pobírajících předčasný, resp. trvale krácený starobní důchod</w:t>
      </w:r>
      <w:r>
        <w:rPr>
          <w:sz w:val="16"/>
          <w:szCs w:val="16"/>
        </w:rPr>
        <w:t xml:space="preserve"> vysoký.</w:t>
      </w:r>
      <w:r w:rsidRPr="0021442D">
        <w:rPr>
          <w:sz w:val="16"/>
          <w:szCs w:val="16"/>
        </w:rPr>
        <w:t xml:space="preserve"> </w:t>
      </w:r>
      <w:r>
        <w:rPr>
          <w:sz w:val="16"/>
          <w:szCs w:val="16"/>
        </w:rPr>
        <w:t>L</w:t>
      </w:r>
      <w:r w:rsidRPr="0021442D">
        <w:rPr>
          <w:sz w:val="16"/>
          <w:szCs w:val="16"/>
        </w:rPr>
        <w:t>etos v b</w:t>
      </w:r>
      <w:r>
        <w:rPr>
          <w:sz w:val="16"/>
          <w:szCs w:val="16"/>
        </w:rPr>
        <w:t xml:space="preserve">řeznu šlo </w:t>
      </w:r>
      <w:r w:rsidRPr="002E3AE2">
        <w:rPr>
          <w:spacing w:val="-2"/>
          <w:sz w:val="16"/>
          <w:szCs w:val="16"/>
        </w:rPr>
        <w:t>o 762 tis., tj. 32,4 % všech osob se starobním důchodem a v některých regionech se pohybuje až okolo 40 % (kraje: Vysočina, Pardubický</w:t>
      </w:r>
      <w:r>
        <w:rPr>
          <w:sz w:val="16"/>
          <w:szCs w:val="16"/>
        </w:rPr>
        <w:t>, Olomoucký, Moravskoslezský).</w:t>
      </w:r>
    </w:p>
  </w:footnote>
  <w:footnote w:id="23">
    <w:p w14:paraId="6C28B3CF" w14:textId="77777777" w:rsidR="00A04CEF" w:rsidRDefault="00A04CEF" w:rsidP="00A04CEF">
      <w:pPr>
        <w:spacing w:after="0" w:line="240" w:lineRule="auto"/>
      </w:pPr>
      <w:r w:rsidRPr="00BF5E5C">
        <w:rPr>
          <w:rStyle w:val="Znakapoznpodarou"/>
          <w:rFonts w:eastAsia="Calibri"/>
          <w:sz w:val="16"/>
          <w:szCs w:val="16"/>
        </w:rPr>
        <w:footnoteRef/>
      </w:r>
      <w:r w:rsidRPr="00BF5E5C">
        <w:rPr>
          <w:rStyle w:val="Znakapoznpodarou"/>
          <w:rFonts w:eastAsia="Calibri"/>
          <w:sz w:val="16"/>
          <w:szCs w:val="16"/>
        </w:rPr>
        <w:t xml:space="preserve"> </w:t>
      </w:r>
      <w:r w:rsidRPr="00BF5E5C">
        <w:rPr>
          <w:rFonts w:eastAsia="Calibri"/>
          <w:sz w:val="16"/>
          <w:szCs w:val="16"/>
        </w:rPr>
        <w:t xml:space="preserve">To vyjadřuje rozdíl mezi příjmy z pojistného na důchodové pojištění a součtem výdajů na </w:t>
      </w:r>
      <w:r>
        <w:rPr>
          <w:rFonts w:eastAsia="Calibri"/>
          <w:sz w:val="16"/>
          <w:szCs w:val="16"/>
        </w:rPr>
        <w:t xml:space="preserve">tyto </w:t>
      </w:r>
      <w:r w:rsidRPr="00BF5E5C">
        <w:rPr>
          <w:rFonts w:eastAsia="Calibri"/>
          <w:sz w:val="16"/>
          <w:szCs w:val="16"/>
        </w:rPr>
        <w:t xml:space="preserve">dávky </w:t>
      </w:r>
      <w:r>
        <w:rPr>
          <w:rFonts w:eastAsia="Calibri"/>
          <w:sz w:val="16"/>
          <w:szCs w:val="16"/>
        </w:rPr>
        <w:t xml:space="preserve">(vč. </w:t>
      </w:r>
      <w:r w:rsidRPr="00BF5E5C">
        <w:rPr>
          <w:rFonts w:eastAsia="Calibri"/>
          <w:sz w:val="16"/>
          <w:szCs w:val="16"/>
        </w:rPr>
        <w:t>výdajů na jejich správu</w:t>
      </w:r>
      <w:r>
        <w:rPr>
          <w:rFonts w:eastAsia="Calibri"/>
          <w:sz w:val="16"/>
          <w:szCs w:val="16"/>
        </w:rPr>
        <w:t xml:space="preserve">) </w:t>
      </w:r>
      <w:r>
        <w:rPr>
          <w:rFonts w:cs="Arial"/>
          <w:color w:val="000000" w:themeColor="text1"/>
          <w:spacing w:val="-4"/>
          <w:sz w:val="16"/>
          <w:szCs w:val="16"/>
        </w:rPr>
        <w:t>dle předběžné účetní bilance MF.</w:t>
      </w:r>
    </w:p>
  </w:footnote>
  <w:footnote w:id="24">
    <w:p w14:paraId="7086FB8A" w14:textId="77777777" w:rsidR="00A04CEF" w:rsidRPr="00310355" w:rsidRDefault="00A04CEF" w:rsidP="00A04CEF">
      <w:pPr>
        <w:pStyle w:val="Textpoznpodarou"/>
        <w:rPr>
          <w:sz w:val="16"/>
          <w:szCs w:val="16"/>
        </w:rPr>
      </w:pPr>
      <w:r w:rsidRPr="00310355">
        <w:rPr>
          <w:rStyle w:val="Znakapoznpodarou"/>
          <w:sz w:val="16"/>
          <w:szCs w:val="16"/>
        </w:rPr>
        <w:footnoteRef/>
      </w:r>
      <w:r w:rsidRPr="0031035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To úzce souviselo se </w:t>
      </w:r>
      <w:r>
        <w:rPr>
          <w:color w:val="0D0D0D" w:themeColor="text1" w:themeTint="F2"/>
          <w:spacing w:val="-6"/>
          <w:sz w:val="16"/>
          <w:szCs w:val="16"/>
        </w:rPr>
        <w:t>zákonným</w:t>
      </w:r>
      <w:r w:rsidRPr="00310355">
        <w:rPr>
          <w:color w:val="0D0D0D" w:themeColor="text1" w:themeTint="F2"/>
          <w:spacing w:val="-6"/>
          <w:sz w:val="16"/>
          <w:szCs w:val="16"/>
        </w:rPr>
        <w:t xml:space="preserve"> navýšení</w:t>
      </w:r>
      <w:r>
        <w:rPr>
          <w:color w:val="0D0D0D" w:themeColor="text1" w:themeTint="F2"/>
          <w:spacing w:val="-6"/>
          <w:sz w:val="16"/>
          <w:szCs w:val="16"/>
        </w:rPr>
        <w:t>m</w:t>
      </w:r>
      <w:r w:rsidRPr="00310355">
        <w:rPr>
          <w:color w:val="0D0D0D" w:themeColor="text1" w:themeTint="F2"/>
          <w:spacing w:val="-6"/>
          <w:sz w:val="16"/>
          <w:szCs w:val="16"/>
        </w:rPr>
        <w:t xml:space="preserve"> částek pro osoby ve 2. až 4. stupni závislosti </w:t>
      </w:r>
      <w:r>
        <w:rPr>
          <w:color w:val="0D0D0D" w:themeColor="text1" w:themeTint="F2"/>
          <w:spacing w:val="-6"/>
          <w:sz w:val="16"/>
          <w:szCs w:val="16"/>
        </w:rPr>
        <w:t>u dětí i dospělých (</w:t>
      </w:r>
      <w:r w:rsidRPr="00310355">
        <w:rPr>
          <w:color w:val="0D0D0D" w:themeColor="text1" w:themeTint="F2"/>
          <w:spacing w:val="-6"/>
          <w:sz w:val="16"/>
          <w:szCs w:val="16"/>
        </w:rPr>
        <w:t>od července 2024</w:t>
      </w:r>
      <w:r>
        <w:rPr>
          <w:color w:val="0D0D0D" w:themeColor="text1" w:themeTint="F2"/>
          <w:spacing w:val="-6"/>
          <w:sz w:val="16"/>
          <w:szCs w:val="16"/>
        </w:rPr>
        <w:t>)</w:t>
      </w:r>
      <w:r w:rsidRPr="00310355">
        <w:rPr>
          <w:color w:val="0D0D0D" w:themeColor="text1" w:themeTint="F2"/>
          <w:spacing w:val="-6"/>
          <w:sz w:val="16"/>
          <w:szCs w:val="16"/>
        </w:rPr>
        <w:t>.</w:t>
      </w:r>
      <w:r>
        <w:rPr>
          <w:color w:val="0D0D0D" w:themeColor="text1" w:themeTint="F2"/>
          <w:spacing w:val="-6"/>
          <w:sz w:val="16"/>
          <w:szCs w:val="16"/>
        </w:rPr>
        <w:t xml:space="preserve"> Letos v březnu pobíralo celkově příspěvky na péči 380 tis. osob (meziročně o 2,5 % více).</w:t>
      </w:r>
    </w:p>
  </w:footnote>
  <w:footnote w:id="25">
    <w:p w14:paraId="056CDA58" w14:textId="77777777" w:rsidR="00A04CEF" w:rsidRPr="00C747F1" w:rsidRDefault="00A04CEF" w:rsidP="00A04CEF">
      <w:pPr>
        <w:pStyle w:val="Textpoznpodarou"/>
        <w:rPr>
          <w:color w:val="0D0D0D" w:themeColor="text1" w:themeTint="F2"/>
          <w:spacing w:val="-6"/>
          <w:sz w:val="16"/>
          <w:szCs w:val="16"/>
        </w:rPr>
      </w:pPr>
      <w:r w:rsidRPr="00C747F1">
        <w:rPr>
          <w:rStyle w:val="Znakapoznpodarou"/>
          <w:sz w:val="16"/>
          <w:szCs w:val="16"/>
        </w:rPr>
        <w:footnoteRef/>
      </w:r>
      <w:r w:rsidRPr="00C747F1">
        <w:rPr>
          <w:sz w:val="16"/>
          <w:szCs w:val="16"/>
        </w:rPr>
        <w:t xml:space="preserve"> </w:t>
      </w:r>
      <w:r w:rsidRPr="00C747F1">
        <w:rPr>
          <w:color w:val="0D0D0D" w:themeColor="text1" w:themeTint="F2"/>
          <w:spacing w:val="-6"/>
          <w:sz w:val="16"/>
          <w:szCs w:val="16"/>
        </w:rPr>
        <w:t xml:space="preserve">Výdaje na tyto dávky </w:t>
      </w:r>
      <w:r>
        <w:rPr>
          <w:color w:val="0D0D0D" w:themeColor="text1" w:themeTint="F2"/>
          <w:spacing w:val="-6"/>
          <w:sz w:val="16"/>
          <w:szCs w:val="16"/>
        </w:rPr>
        <w:t>dosáhly 2,4 mld. korun a vz</w:t>
      </w:r>
      <w:r w:rsidRPr="00C747F1">
        <w:rPr>
          <w:color w:val="0D0D0D" w:themeColor="text1" w:themeTint="F2"/>
          <w:spacing w:val="-6"/>
          <w:sz w:val="16"/>
          <w:szCs w:val="16"/>
        </w:rPr>
        <w:t xml:space="preserve">rostly vlivem navýšení započitatelných nákladů na bydlení a ubytování pro účely stanovení </w:t>
      </w:r>
      <w:r>
        <w:rPr>
          <w:color w:val="0D0D0D" w:themeColor="text1" w:themeTint="F2"/>
          <w:spacing w:val="-6"/>
          <w:sz w:val="16"/>
          <w:szCs w:val="16"/>
        </w:rPr>
        <w:t>n</w:t>
      </w:r>
      <w:r w:rsidRPr="00C747F1">
        <w:rPr>
          <w:color w:val="0D0D0D" w:themeColor="text1" w:themeTint="F2"/>
          <w:spacing w:val="-6"/>
          <w:sz w:val="16"/>
          <w:szCs w:val="16"/>
        </w:rPr>
        <w:t>ároku na humanitární dávku.</w:t>
      </w:r>
      <w:r>
        <w:rPr>
          <w:color w:val="0D0D0D" w:themeColor="text1" w:themeTint="F2"/>
          <w:spacing w:val="-6"/>
          <w:sz w:val="16"/>
          <w:szCs w:val="16"/>
        </w:rPr>
        <w:t xml:space="preserve"> Počet jejich příjemců se meziročně snížil o 6 % (na 52 tis.), proti březnu 2023 byl dokonce nižší o 50 %.</w:t>
      </w:r>
    </w:p>
  </w:footnote>
  <w:footnote w:id="26">
    <w:p w14:paraId="3C01032A" w14:textId="77777777" w:rsidR="00A04CEF" w:rsidRPr="00C12CF2" w:rsidRDefault="00A04CEF" w:rsidP="00A04CEF">
      <w:pPr>
        <w:pStyle w:val="Textpoznpodarou"/>
        <w:rPr>
          <w:sz w:val="16"/>
          <w:szCs w:val="16"/>
        </w:rPr>
      </w:pPr>
      <w:r w:rsidRPr="00C12CF2">
        <w:rPr>
          <w:rStyle w:val="Znakapoznpodarou"/>
          <w:sz w:val="16"/>
          <w:szCs w:val="16"/>
        </w:rPr>
        <w:footnoteRef/>
      </w:r>
      <w:r w:rsidRPr="00C12CF2">
        <w:rPr>
          <w:sz w:val="16"/>
          <w:szCs w:val="16"/>
        </w:rPr>
        <w:t xml:space="preserve"> Toto navýšení se odráží zejména v plošném zvýšení platových tarifů pro příslušníky bezpečnostních </w:t>
      </w:r>
      <w:r>
        <w:rPr>
          <w:sz w:val="16"/>
          <w:szCs w:val="16"/>
        </w:rPr>
        <w:t>sborů a vojáků (o 1500 korun) a</w:t>
      </w:r>
      <w:r w:rsidRPr="00207E1F">
        <w:rPr>
          <w:sz w:val="16"/>
          <w:szCs w:val="16"/>
        </w:rPr>
        <w:t> </w:t>
      </w:r>
      <w:r w:rsidRPr="00C12CF2">
        <w:rPr>
          <w:sz w:val="16"/>
          <w:szCs w:val="16"/>
        </w:rPr>
        <w:t>většiny ostatních státních zaměstnanců (o 1400 korun).</w:t>
      </w:r>
    </w:p>
  </w:footnote>
  <w:footnote w:id="27">
    <w:p w14:paraId="0DE327A5" w14:textId="77777777" w:rsidR="00A04CEF" w:rsidRPr="001D5ABD" w:rsidRDefault="00A04CEF" w:rsidP="00A04CEF">
      <w:pPr>
        <w:pStyle w:val="Textpoznpodarou"/>
        <w:rPr>
          <w:sz w:val="16"/>
          <w:szCs w:val="16"/>
        </w:rPr>
      </w:pPr>
      <w:r w:rsidRPr="001D5ABD">
        <w:rPr>
          <w:rStyle w:val="Znakapoznpodarou"/>
          <w:sz w:val="16"/>
          <w:szCs w:val="16"/>
        </w:rPr>
        <w:footnoteRef/>
      </w:r>
      <w:r w:rsidRPr="001D5ABD">
        <w:rPr>
          <w:rStyle w:val="Znakapoznpodarou"/>
        </w:rPr>
        <w:t xml:space="preserve"> </w:t>
      </w:r>
      <w:r w:rsidRPr="001A20A4">
        <w:rPr>
          <w:color w:val="0D0D0D" w:themeColor="text1" w:themeTint="F2"/>
          <w:sz w:val="16"/>
          <w:szCs w:val="16"/>
        </w:rPr>
        <w:t>Projevi</w:t>
      </w:r>
      <w:r w:rsidRPr="001A20A4">
        <w:rPr>
          <w:sz w:val="16"/>
          <w:szCs w:val="16"/>
        </w:rPr>
        <w:t>l se vliv nově zavedené automatické valorizace, jež od ledna 2024 upravuje vyměřovací základ platby o součet růstu spotřebitelských cen a poloviny růstu reálných mezd. V důsledku toho se od ledna 2025 zvýšila měsíční platba za osobu z 2085 korun na 2127 korun.</w:t>
      </w:r>
    </w:p>
  </w:footnote>
  <w:footnote w:id="28">
    <w:p w14:paraId="5E74A00F" w14:textId="77777777" w:rsidR="00A04CEF" w:rsidRDefault="00A04CEF" w:rsidP="00A04CEF">
      <w:pPr>
        <w:pStyle w:val="Textpoznpodarou"/>
      </w:pPr>
      <w:r w:rsidRPr="00C91E49">
        <w:rPr>
          <w:rStyle w:val="Znakapoznpodarou"/>
          <w:sz w:val="16"/>
          <w:szCs w:val="16"/>
        </w:rPr>
        <w:footnoteRef/>
      </w:r>
      <w:r w:rsidRPr="00C91E49">
        <w:rPr>
          <w:rStyle w:val="Znakapoznpodarou"/>
          <w:sz w:val="16"/>
          <w:szCs w:val="16"/>
        </w:rPr>
        <w:t xml:space="preserve"> </w:t>
      </w:r>
      <w:r w:rsidRPr="00C91E49">
        <w:rPr>
          <w:sz w:val="16"/>
          <w:szCs w:val="16"/>
        </w:rPr>
        <w:t>Od ledna 2024 došlo k znovuzavedení hrazení nemocenského pojištění zaměstnanci (ve výši 0,6 % vyměřovacího základu) i ke zvýšení vyměřovacího základu pro osoby samostatně výdělečně činné. Později následovalo i stanovení limitů pro vznik účasti na pojištění zaměstnance pracujícího na základě dohody o provedení práce (od ledna 2025 je tento limit ve výši 11 500 korun).</w:t>
      </w:r>
    </w:p>
  </w:footnote>
  <w:footnote w:id="29">
    <w:p w14:paraId="3B2D455A" w14:textId="77777777" w:rsidR="00A04CEF" w:rsidRPr="00C70FDA" w:rsidRDefault="00A04CEF" w:rsidP="00A04CEF">
      <w:pPr>
        <w:pStyle w:val="Textpoznpodarou"/>
        <w:rPr>
          <w:sz w:val="16"/>
          <w:szCs w:val="16"/>
        </w:rPr>
      </w:pPr>
      <w:r w:rsidRPr="00C70FDA">
        <w:rPr>
          <w:rStyle w:val="Znakapoznpodarou"/>
          <w:sz w:val="16"/>
          <w:szCs w:val="16"/>
        </w:rPr>
        <w:footnoteRef/>
      </w:r>
      <w:r w:rsidRPr="00C70FDA">
        <w:rPr>
          <w:sz w:val="16"/>
          <w:szCs w:val="16"/>
        </w:rPr>
        <w:t xml:space="preserve"> </w:t>
      </w:r>
      <w:r w:rsidRPr="00C70FDA">
        <w:rPr>
          <w:spacing w:val="-4"/>
          <w:sz w:val="16"/>
          <w:szCs w:val="16"/>
        </w:rPr>
        <w:t>To vyjadřuje r</w:t>
      </w:r>
      <w:r w:rsidRPr="00C70FDA">
        <w:rPr>
          <w:rFonts w:cs="Arial"/>
          <w:color w:val="000000" w:themeColor="text1"/>
          <w:spacing w:val="-4"/>
          <w:sz w:val="16"/>
          <w:szCs w:val="16"/>
        </w:rPr>
        <w:t>ozdíl mezi příjmy z pojistného na nemocenské pojištění</w:t>
      </w:r>
      <w:r w:rsidRPr="00C70FDA">
        <w:rPr>
          <w:rFonts w:ascii="Segoe UI" w:eastAsia="Times New Roman" w:hAnsi="Segoe UI" w:cs="Segoe UI"/>
          <w:b/>
          <w:bCs/>
          <w:color w:val="000000"/>
          <w:spacing w:val="-4"/>
          <w:sz w:val="16"/>
          <w:szCs w:val="16"/>
        </w:rPr>
        <w:t xml:space="preserve"> </w:t>
      </w:r>
      <w:r w:rsidRPr="00C70FDA">
        <w:rPr>
          <w:rFonts w:cs="Arial"/>
          <w:color w:val="000000" w:themeColor="text1"/>
          <w:spacing w:val="-4"/>
          <w:sz w:val="16"/>
          <w:szCs w:val="16"/>
        </w:rPr>
        <w:t xml:space="preserve">a výdaji na dávky z tohoto </w:t>
      </w:r>
      <w:r w:rsidRPr="00C70FDA">
        <w:rPr>
          <w:rFonts w:cs="Arial"/>
          <w:color w:val="0D0D0D" w:themeColor="text1" w:themeTint="F2"/>
          <w:spacing w:val="-4"/>
          <w:sz w:val="16"/>
          <w:szCs w:val="16"/>
        </w:rPr>
        <w:t>pojištění</w:t>
      </w:r>
      <w:r w:rsidRPr="00C70FDA">
        <w:rPr>
          <w:rFonts w:cs="Arial"/>
          <w:color w:val="000000" w:themeColor="text1"/>
          <w:spacing w:val="-4"/>
          <w:sz w:val="16"/>
          <w:szCs w:val="16"/>
        </w:rPr>
        <w:t xml:space="preserve"> dle účetní bilance ČSSZ.</w:t>
      </w:r>
    </w:p>
  </w:footnote>
  <w:footnote w:id="30">
    <w:p w14:paraId="52CA68BB" w14:textId="77777777" w:rsidR="00A04CEF" w:rsidRDefault="00A04CEF" w:rsidP="00A04CEF">
      <w:pPr>
        <w:pStyle w:val="Textpoznpodarou"/>
      </w:pPr>
      <w:r w:rsidRPr="00207E1F">
        <w:rPr>
          <w:rStyle w:val="Znakapoznpodarou"/>
          <w:sz w:val="16"/>
          <w:szCs w:val="16"/>
        </w:rPr>
        <w:footnoteRef/>
      </w:r>
      <w:r w:rsidRPr="00207E1F">
        <w:rPr>
          <w:sz w:val="16"/>
          <w:szCs w:val="16"/>
        </w:rPr>
        <w:t xml:space="preserve"> Schválený SR </w:t>
      </w:r>
      <w:r>
        <w:rPr>
          <w:sz w:val="16"/>
          <w:szCs w:val="16"/>
        </w:rPr>
        <w:t xml:space="preserve">zde </w:t>
      </w:r>
      <w:r w:rsidRPr="00207E1F">
        <w:rPr>
          <w:sz w:val="16"/>
          <w:szCs w:val="16"/>
        </w:rPr>
        <w:t>počítá s celoročním růstem o 6 %, taženým z</w:t>
      </w:r>
      <w:r>
        <w:rPr>
          <w:sz w:val="16"/>
          <w:szCs w:val="16"/>
        </w:rPr>
        <w:t>ejména vyššími výdaji na obranu (nákupů služeb a</w:t>
      </w:r>
      <w:r w:rsidRPr="00207E1F">
        <w:rPr>
          <w:sz w:val="16"/>
          <w:szCs w:val="16"/>
        </w:rPr>
        <w:t> materiálu).</w:t>
      </w:r>
    </w:p>
  </w:footnote>
  <w:footnote w:id="31">
    <w:p w14:paraId="3A20C25F" w14:textId="77777777" w:rsidR="00A04CEF" w:rsidRDefault="00A04CEF" w:rsidP="00A04CEF">
      <w:pPr>
        <w:pStyle w:val="Textpoznpodarou"/>
      </w:pPr>
      <w:r w:rsidRPr="00207E1F">
        <w:rPr>
          <w:rStyle w:val="Znakapoznpodarou"/>
          <w:sz w:val="16"/>
          <w:szCs w:val="16"/>
        </w:rPr>
        <w:footnoteRef/>
      </w:r>
      <w:r>
        <w:t xml:space="preserve"> </w:t>
      </w:r>
      <w:r w:rsidRPr="00207E1F">
        <w:rPr>
          <w:sz w:val="16"/>
          <w:szCs w:val="16"/>
        </w:rPr>
        <w:t xml:space="preserve">Pokles výdajů na nákupy služeb </w:t>
      </w:r>
      <w:r>
        <w:rPr>
          <w:sz w:val="16"/>
          <w:szCs w:val="16"/>
        </w:rPr>
        <w:t xml:space="preserve">byl způsoben výhradně </w:t>
      </w:r>
      <w:r w:rsidRPr="00207E1F">
        <w:rPr>
          <w:sz w:val="16"/>
          <w:szCs w:val="16"/>
        </w:rPr>
        <w:t>vyšší loňskou základnou ovlivněnou únorovou platbou na pořízení víceúčelového nadzvukového letounu F-35 ve výši 3,2 mld. korun.</w:t>
      </w:r>
    </w:p>
  </w:footnote>
  <w:footnote w:id="32">
    <w:p w14:paraId="15CD9AB2" w14:textId="77777777" w:rsidR="00A04CEF" w:rsidRPr="002E1606" w:rsidRDefault="00A04CEF" w:rsidP="00A04CEF">
      <w:pPr>
        <w:pStyle w:val="Textpoznpodarou"/>
        <w:rPr>
          <w:sz w:val="16"/>
          <w:szCs w:val="16"/>
        </w:rPr>
      </w:pPr>
      <w:r w:rsidRPr="002E1606">
        <w:rPr>
          <w:rStyle w:val="Znakapoznpodarou"/>
          <w:sz w:val="16"/>
          <w:szCs w:val="16"/>
        </w:rPr>
        <w:footnoteRef/>
      </w:r>
      <w:r w:rsidRPr="002E1606">
        <w:rPr>
          <w:sz w:val="16"/>
          <w:szCs w:val="16"/>
        </w:rPr>
        <w:t xml:space="preserve"> </w:t>
      </w:r>
      <w:r>
        <w:rPr>
          <w:sz w:val="16"/>
          <w:szCs w:val="16"/>
        </w:rPr>
        <w:t>Jednalo se o úhradu</w:t>
      </w:r>
      <w:r w:rsidRPr="004573F3">
        <w:rPr>
          <w:sz w:val="16"/>
          <w:szCs w:val="16"/>
        </w:rPr>
        <w:t xml:space="preserve"> České poště</w:t>
      </w:r>
      <w:r>
        <w:rPr>
          <w:sz w:val="16"/>
          <w:szCs w:val="16"/>
        </w:rPr>
        <w:t xml:space="preserve"> (ve výši 2,3 mld. korun)</w:t>
      </w:r>
      <w:r w:rsidRPr="004573F3">
        <w:rPr>
          <w:sz w:val="16"/>
          <w:szCs w:val="16"/>
        </w:rPr>
        <w:t xml:space="preserve"> za poskytování univerzální poštovní služby.</w:t>
      </w:r>
    </w:p>
  </w:footnote>
  <w:footnote w:id="33">
    <w:p w14:paraId="0BB44C86" w14:textId="77777777" w:rsidR="00A04CEF" w:rsidRPr="00E74176" w:rsidRDefault="00A04CEF" w:rsidP="00A04CEF">
      <w:pPr>
        <w:pStyle w:val="Textpoznpodarou"/>
        <w:rPr>
          <w:spacing w:val="-4"/>
          <w:sz w:val="16"/>
          <w:szCs w:val="16"/>
        </w:rPr>
      </w:pPr>
      <w:r w:rsidRPr="00E74176">
        <w:rPr>
          <w:rStyle w:val="Znakapoznpodarou"/>
          <w:spacing w:val="-4"/>
          <w:sz w:val="16"/>
          <w:szCs w:val="16"/>
        </w:rPr>
        <w:footnoteRef/>
      </w:r>
      <w:r w:rsidRPr="00E74176">
        <w:rPr>
          <w:spacing w:val="-4"/>
          <w:sz w:val="16"/>
          <w:szCs w:val="16"/>
        </w:rPr>
        <w:t xml:space="preserve"> Údaje o hospodaření</w:t>
      </w:r>
      <w:r>
        <w:rPr>
          <w:spacing w:val="-4"/>
          <w:sz w:val="16"/>
          <w:szCs w:val="16"/>
        </w:rPr>
        <w:t xml:space="preserve"> sektoru vládních institucí v ČR za 1. čtvrtletí 2025 zveřejní ČSÚ 1. července 2025, Eurostat za členské státy Unie následovně 21. července</w:t>
      </w:r>
      <w:r w:rsidRPr="00E74176">
        <w:rPr>
          <w:spacing w:val="-4"/>
          <w:sz w:val="16"/>
          <w:szCs w:val="16"/>
        </w:rPr>
        <w:t>. Detailnější z</w:t>
      </w:r>
      <w:r>
        <w:rPr>
          <w:spacing w:val="-4"/>
          <w:sz w:val="16"/>
          <w:szCs w:val="16"/>
        </w:rPr>
        <w:t>hodnocení tuzemského vývoje za 4. čtvrtletí 2024 nabízí publikace</w:t>
      </w:r>
      <w:r w:rsidRPr="00E74176">
        <w:rPr>
          <w:spacing w:val="-4"/>
          <w:sz w:val="16"/>
          <w:szCs w:val="16"/>
        </w:rPr>
        <w:t xml:space="preserve"> </w:t>
      </w:r>
      <w:hyperlink r:id="rId1" w:history="1">
        <w:r w:rsidRPr="00B546EC">
          <w:rPr>
            <w:rStyle w:val="Hypertextovodkaz"/>
            <w:i/>
            <w:spacing w:val="-4"/>
            <w:sz w:val="16"/>
            <w:szCs w:val="16"/>
          </w:rPr>
          <w:t>Analýza sektorových účtů.</w:t>
        </w:r>
      </w:hyperlink>
    </w:p>
  </w:footnote>
  <w:footnote w:id="34">
    <w:p w14:paraId="1EE86A74" w14:textId="77777777" w:rsidR="00A04CEF" w:rsidRPr="00E74176" w:rsidRDefault="00A04CEF" w:rsidP="00A04CEF">
      <w:pPr>
        <w:pStyle w:val="Textpoznpodarou"/>
        <w:rPr>
          <w:spacing w:val="-4"/>
          <w:sz w:val="16"/>
          <w:szCs w:val="16"/>
        </w:rPr>
      </w:pPr>
      <w:r w:rsidRPr="00E74176">
        <w:rPr>
          <w:rStyle w:val="Znakapoznpodarou"/>
          <w:spacing w:val="-4"/>
          <w:sz w:val="16"/>
          <w:szCs w:val="16"/>
        </w:rPr>
        <w:footnoteRef/>
      </w:r>
      <w:r w:rsidRPr="00E74176">
        <w:rPr>
          <w:spacing w:val="-4"/>
          <w:sz w:val="16"/>
          <w:szCs w:val="16"/>
        </w:rPr>
        <w:t xml:space="preserve"> Není-li uvedeno jinak, jsou údaje o hospodaření sektoru VI v ČR vyjádřeny bez sezónního očištění.</w:t>
      </w:r>
    </w:p>
  </w:footnote>
  <w:footnote w:id="35">
    <w:p w14:paraId="55489957" w14:textId="77777777" w:rsidR="00A04CEF" w:rsidRPr="00D94F98" w:rsidRDefault="00A04CEF" w:rsidP="00A04CEF">
      <w:pPr>
        <w:pStyle w:val="Textpoznpodarou"/>
        <w:rPr>
          <w:sz w:val="16"/>
          <w:szCs w:val="16"/>
        </w:rPr>
      </w:pPr>
      <w:r w:rsidRPr="00D94F98">
        <w:rPr>
          <w:rStyle w:val="Znakapoznpodarou"/>
          <w:sz w:val="16"/>
          <w:szCs w:val="16"/>
        </w:rPr>
        <w:footnoteRef/>
      </w:r>
      <w:r w:rsidRPr="00D94F98">
        <w:rPr>
          <w:sz w:val="16"/>
          <w:szCs w:val="16"/>
        </w:rPr>
        <w:t xml:space="preserve"> </w:t>
      </w:r>
      <w:r>
        <w:rPr>
          <w:sz w:val="16"/>
          <w:szCs w:val="16"/>
        </w:rPr>
        <w:t>Ty nezahrnují naturální sociální transfery.</w:t>
      </w:r>
    </w:p>
  </w:footnote>
  <w:footnote w:id="36">
    <w:p w14:paraId="5D2F7718" w14:textId="77777777" w:rsidR="00A04CEF" w:rsidRPr="00806EB5" w:rsidRDefault="00A04CEF" w:rsidP="00A04CEF">
      <w:pPr>
        <w:pStyle w:val="Textpoznpodarou"/>
        <w:rPr>
          <w:sz w:val="16"/>
          <w:szCs w:val="16"/>
        </w:rPr>
      </w:pPr>
      <w:r w:rsidRPr="00806EB5"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I přesto zde kladné</w:t>
      </w:r>
      <w:r w:rsidRPr="00806EB5">
        <w:rPr>
          <w:sz w:val="16"/>
          <w:szCs w:val="16"/>
        </w:rPr>
        <w:t xml:space="preserve"> saldo hospodaření převyšovalo </w:t>
      </w:r>
      <w:r>
        <w:rPr>
          <w:sz w:val="16"/>
          <w:szCs w:val="16"/>
        </w:rPr>
        <w:t>hranici</w:t>
      </w:r>
      <w:r w:rsidRPr="00806EB5">
        <w:rPr>
          <w:sz w:val="16"/>
          <w:szCs w:val="16"/>
        </w:rPr>
        <w:t xml:space="preserve"> 50 mld. korun již čtvrtým rokem v řadě.</w:t>
      </w:r>
    </w:p>
  </w:footnote>
  <w:footnote w:id="37">
    <w:p w14:paraId="00F8C16B" w14:textId="77777777" w:rsidR="00A04CEF" w:rsidRPr="009224F5" w:rsidRDefault="00A04CEF" w:rsidP="00A04CEF">
      <w:pPr>
        <w:pStyle w:val="Textpoznpodarou"/>
        <w:rPr>
          <w:sz w:val="16"/>
          <w:szCs w:val="16"/>
        </w:rPr>
      </w:pPr>
      <w:r w:rsidRPr="009224F5">
        <w:rPr>
          <w:rStyle w:val="Znakapoznpodarou"/>
          <w:sz w:val="16"/>
          <w:szCs w:val="16"/>
        </w:rPr>
        <w:footnoteRef/>
      </w:r>
      <w:r w:rsidRPr="009224F5">
        <w:rPr>
          <w:sz w:val="16"/>
          <w:szCs w:val="16"/>
        </w:rPr>
        <w:t xml:space="preserve"> V roce 2016 celkové výdaje klesly o 1,7 %. Zásadní vliv zde měl pomalý náběh přípravy evropských </w:t>
      </w:r>
      <w:r>
        <w:rPr>
          <w:sz w:val="16"/>
          <w:szCs w:val="16"/>
        </w:rPr>
        <w:t xml:space="preserve">investičních </w:t>
      </w:r>
      <w:r w:rsidRPr="009224F5">
        <w:rPr>
          <w:sz w:val="16"/>
          <w:szCs w:val="16"/>
        </w:rPr>
        <w:t>projektů v novém programovém období EU, což se projevilo propadem tvorby hrubého fixního kapitálu (oproti roku 2015 o více než třetinu).</w:t>
      </w:r>
    </w:p>
  </w:footnote>
  <w:footnote w:id="38">
    <w:p w14:paraId="6220D659" w14:textId="77777777" w:rsidR="00A04CEF" w:rsidRPr="00632790" w:rsidRDefault="00A04CEF" w:rsidP="00A04CEF">
      <w:pPr>
        <w:pStyle w:val="Textpoznpodarou"/>
        <w:rPr>
          <w:sz w:val="16"/>
          <w:szCs w:val="16"/>
        </w:rPr>
      </w:pPr>
      <w:r w:rsidRPr="00632790">
        <w:rPr>
          <w:rStyle w:val="Znakapoznpodarou"/>
          <w:sz w:val="16"/>
          <w:szCs w:val="16"/>
        </w:rPr>
        <w:footnoteRef/>
      </w:r>
      <w:r w:rsidRPr="00632790">
        <w:rPr>
          <w:sz w:val="16"/>
          <w:szCs w:val="16"/>
        </w:rPr>
        <w:t xml:space="preserve"> Rovněž sezónně očištěné čtvrtletní údaje naznačují, že ani v průběhu loňského roku nebyla zřejmá změna trendu a hloubka deficitu </w:t>
      </w:r>
      <w:r>
        <w:rPr>
          <w:sz w:val="16"/>
          <w:szCs w:val="16"/>
        </w:rPr>
        <w:t xml:space="preserve">hospodaření zůstávala během tohoto </w:t>
      </w:r>
      <w:r w:rsidRPr="00632790">
        <w:rPr>
          <w:sz w:val="16"/>
          <w:szCs w:val="16"/>
        </w:rPr>
        <w:t>roku v EU i eurozóně bez významných změn.</w:t>
      </w:r>
    </w:p>
  </w:footnote>
  <w:footnote w:id="39">
    <w:p w14:paraId="20CC022E" w14:textId="77777777" w:rsidR="00A04CEF" w:rsidRDefault="00A04CEF" w:rsidP="00A04CEF">
      <w:pPr>
        <w:pStyle w:val="Textpoznpodarou"/>
      </w:pPr>
      <w:r w:rsidRPr="00632790">
        <w:rPr>
          <w:rStyle w:val="Znakapoznpodarou"/>
          <w:sz w:val="16"/>
          <w:szCs w:val="16"/>
        </w:rPr>
        <w:footnoteRef/>
      </w:r>
      <w:r w:rsidRPr="00632790">
        <w:rPr>
          <w:sz w:val="16"/>
          <w:szCs w:val="16"/>
        </w:rPr>
        <w:t xml:space="preserve"> Za období svého členství v EU dosáhlo Česko v rámci středoevropského regionu nejpříznivějšího salda hospodaření sektoru VI dosud jen v letech 2010 a 2017.</w:t>
      </w:r>
    </w:p>
  </w:footnote>
  <w:footnote w:id="40">
    <w:p w14:paraId="4D7C6897" w14:textId="77777777" w:rsidR="00A04CEF" w:rsidRPr="00A36CC7" w:rsidRDefault="00A04CEF" w:rsidP="00A04CEF">
      <w:pPr>
        <w:pStyle w:val="Textpoznpodarou"/>
        <w:rPr>
          <w:sz w:val="16"/>
          <w:szCs w:val="16"/>
        </w:rPr>
      </w:pPr>
      <w:r w:rsidRPr="00A36CC7">
        <w:rPr>
          <w:rStyle w:val="Znakapoznpodarou"/>
          <w:sz w:val="16"/>
          <w:szCs w:val="16"/>
        </w:rPr>
        <w:footnoteRef/>
      </w:r>
      <w:r w:rsidRPr="00A36CC7">
        <w:rPr>
          <w:sz w:val="16"/>
          <w:szCs w:val="16"/>
        </w:rPr>
        <w:t xml:space="preserve"> V Rumunsk</w:t>
      </w:r>
      <w:r>
        <w:rPr>
          <w:sz w:val="16"/>
          <w:szCs w:val="16"/>
        </w:rPr>
        <w:t>u</w:t>
      </w:r>
      <w:r w:rsidRPr="00A36CC7">
        <w:rPr>
          <w:sz w:val="16"/>
          <w:szCs w:val="16"/>
        </w:rPr>
        <w:t xml:space="preserve"> a Finsku, jako v jediný</w:t>
      </w:r>
      <w:r>
        <w:rPr>
          <w:sz w:val="16"/>
          <w:szCs w:val="16"/>
        </w:rPr>
        <w:t>ch</w:t>
      </w:r>
      <w:r w:rsidRPr="00A36CC7">
        <w:rPr>
          <w:sz w:val="16"/>
          <w:szCs w:val="16"/>
        </w:rPr>
        <w:t xml:space="preserve"> státech současné EU, dosáhla aktuální míra zadlužení nejvyšší úrovně v dostupné řadě (počínaje rokem 2000). Překonala tak v těchto zemích </w:t>
      </w:r>
      <w:r>
        <w:rPr>
          <w:sz w:val="16"/>
          <w:szCs w:val="16"/>
        </w:rPr>
        <w:t xml:space="preserve">např. </w:t>
      </w:r>
      <w:r w:rsidRPr="00A36CC7">
        <w:rPr>
          <w:sz w:val="16"/>
          <w:szCs w:val="16"/>
        </w:rPr>
        <w:t>i krizové roky 2010 či 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6" w14:textId="3C11EE3B" w:rsidR="00A04CEF" w:rsidRPr="00C27E4F" w:rsidRDefault="00A04CE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7" w14:textId="4F78F164" w:rsidR="00A04CEF" w:rsidRPr="006F5416" w:rsidRDefault="00A04CE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6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29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51B2D"/>
    <w:multiLevelType w:val="hybridMultilevel"/>
    <w:tmpl w:val="E4A2DC0E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33"/>
  </w:num>
  <w:num w:numId="14">
    <w:abstractNumId w:val="15"/>
  </w:num>
  <w:num w:numId="15">
    <w:abstractNumId w:val="23"/>
  </w:num>
  <w:num w:numId="16">
    <w:abstractNumId w:val="18"/>
  </w:num>
  <w:num w:numId="17">
    <w:abstractNumId w:val="34"/>
  </w:num>
  <w:num w:numId="18">
    <w:abstractNumId w:val="24"/>
  </w:num>
  <w:num w:numId="19">
    <w:abstractNumId w:val="37"/>
  </w:num>
  <w:num w:numId="20">
    <w:abstractNumId w:val="42"/>
  </w:num>
  <w:num w:numId="21">
    <w:abstractNumId w:val="32"/>
  </w:num>
  <w:num w:numId="22">
    <w:abstractNumId w:val="22"/>
  </w:num>
  <w:num w:numId="23">
    <w:abstractNumId w:val="20"/>
  </w:num>
  <w:num w:numId="24">
    <w:abstractNumId w:val="21"/>
  </w:num>
  <w:num w:numId="25">
    <w:abstractNumId w:val="40"/>
  </w:num>
  <w:num w:numId="26">
    <w:abstractNumId w:val="41"/>
  </w:num>
  <w:num w:numId="27">
    <w:abstractNumId w:val="42"/>
  </w:num>
  <w:num w:numId="28">
    <w:abstractNumId w:val="13"/>
  </w:num>
  <w:num w:numId="29">
    <w:abstractNumId w:val="26"/>
  </w:num>
  <w:num w:numId="30">
    <w:abstractNumId w:val="25"/>
  </w:num>
  <w:num w:numId="31">
    <w:abstractNumId w:val="10"/>
  </w:num>
  <w:num w:numId="32">
    <w:abstractNumId w:val="27"/>
  </w:num>
  <w:num w:numId="33">
    <w:abstractNumId w:val="12"/>
  </w:num>
  <w:num w:numId="34">
    <w:abstractNumId w:val="44"/>
  </w:num>
  <w:num w:numId="35">
    <w:abstractNumId w:val="11"/>
  </w:num>
  <w:num w:numId="36">
    <w:abstractNumId w:val="36"/>
  </w:num>
  <w:num w:numId="37">
    <w:abstractNumId w:val="29"/>
  </w:num>
  <w:num w:numId="38">
    <w:abstractNumId w:val="28"/>
  </w:num>
  <w:num w:numId="39">
    <w:abstractNumId w:val="38"/>
  </w:num>
  <w:num w:numId="40">
    <w:abstractNumId w:val="43"/>
  </w:num>
  <w:num w:numId="41">
    <w:abstractNumId w:val="39"/>
  </w:num>
  <w:num w:numId="42">
    <w:abstractNumId w:val="31"/>
  </w:num>
  <w:num w:numId="43">
    <w:abstractNumId w:val="19"/>
  </w:num>
  <w:num w:numId="44">
    <w:abstractNumId w:val="14"/>
  </w:num>
  <w:num w:numId="45">
    <w:abstractNumId w:val="35"/>
  </w:num>
  <w:num w:numId="46">
    <w:abstractNumId w:val="16"/>
  </w:num>
  <w:num w:numId="47">
    <w:abstractNumId w:val="42"/>
  </w:num>
  <w:num w:numId="48">
    <w:abstractNumId w:val="4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8673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2195D"/>
    <w:rsid w:val="000234D6"/>
    <w:rsid w:val="00023D29"/>
    <w:rsid w:val="00026389"/>
    <w:rsid w:val="00031AE0"/>
    <w:rsid w:val="000322EF"/>
    <w:rsid w:val="00033FCD"/>
    <w:rsid w:val="00040D10"/>
    <w:rsid w:val="00040D7A"/>
    <w:rsid w:val="00041CEC"/>
    <w:rsid w:val="0004694F"/>
    <w:rsid w:val="000522E4"/>
    <w:rsid w:val="000610E1"/>
    <w:rsid w:val="00062EC5"/>
    <w:rsid w:val="00062F22"/>
    <w:rsid w:val="000712B3"/>
    <w:rsid w:val="0008263E"/>
    <w:rsid w:val="00082C19"/>
    <w:rsid w:val="00085395"/>
    <w:rsid w:val="00087634"/>
    <w:rsid w:val="00087F2B"/>
    <w:rsid w:val="000912CC"/>
    <w:rsid w:val="00095135"/>
    <w:rsid w:val="000974D1"/>
    <w:rsid w:val="0009799E"/>
    <w:rsid w:val="000A1183"/>
    <w:rsid w:val="000A256D"/>
    <w:rsid w:val="000A3A2C"/>
    <w:rsid w:val="000A5265"/>
    <w:rsid w:val="000A57D4"/>
    <w:rsid w:val="000B7C8D"/>
    <w:rsid w:val="000C004E"/>
    <w:rsid w:val="000C3408"/>
    <w:rsid w:val="000C6AFD"/>
    <w:rsid w:val="000D5637"/>
    <w:rsid w:val="000E6FBD"/>
    <w:rsid w:val="00100F5C"/>
    <w:rsid w:val="00101CDA"/>
    <w:rsid w:val="00102C41"/>
    <w:rsid w:val="00104C4C"/>
    <w:rsid w:val="00117623"/>
    <w:rsid w:val="0012192F"/>
    <w:rsid w:val="001224E5"/>
    <w:rsid w:val="00124940"/>
    <w:rsid w:val="00125D69"/>
    <w:rsid w:val="001405FA"/>
    <w:rsid w:val="001425C3"/>
    <w:rsid w:val="001476BD"/>
    <w:rsid w:val="001612F4"/>
    <w:rsid w:val="0016256B"/>
    <w:rsid w:val="00163793"/>
    <w:rsid w:val="001706D6"/>
    <w:rsid w:val="001714F2"/>
    <w:rsid w:val="00175B9F"/>
    <w:rsid w:val="00181BBC"/>
    <w:rsid w:val="00184B08"/>
    <w:rsid w:val="00185010"/>
    <w:rsid w:val="0019143B"/>
    <w:rsid w:val="001A0487"/>
    <w:rsid w:val="001A552F"/>
    <w:rsid w:val="001B2CA9"/>
    <w:rsid w:val="001B3110"/>
    <w:rsid w:val="001B4729"/>
    <w:rsid w:val="001B6310"/>
    <w:rsid w:val="001B6C09"/>
    <w:rsid w:val="001B73E6"/>
    <w:rsid w:val="001C05CD"/>
    <w:rsid w:val="001C3924"/>
    <w:rsid w:val="001D40D7"/>
    <w:rsid w:val="001D48D4"/>
    <w:rsid w:val="001D68B2"/>
    <w:rsid w:val="001E1C2E"/>
    <w:rsid w:val="001E504C"/>
    <w:rsid w:val="001E6062"/>
    <w:rsid w:val="001E6753"/>
    <w:rsid w:val="001F4597"/>
    <w:rsid w:val="00203DA4"/>
    <w:rsid w:val="002118B9"/>
    <w:rsid w:val="00213E46"/>
    <w:rsid w:val="00214CF7"/>
    <w:rsid w:val="00217C5B"/>
    <w:rsid w:val="0022139E"/>
    <w:rsid w:val="00222729"/>
    <w:rsid w:val="002252E0"/>
    <w:rsid w:val="002255F6"/>
    <w:rsid w:val="00227850"/>
    <w:rsid w:val="00227A53"/>
    <w:rsid w:val="00230C6E"/>
    <w:rsid w:val="00233CD7"/>
    <w:rsid w:val="00236443"/>
    <w:rsid w:val="00241B06"/>
    <w:rsid w:val="00242C10"/>
    <w:rsid w:val="002436BA"/>
    <w:rsid w:val="00244A15"/>
    <w:rsid w:val="0024661A"/>
    <w:rsid w:val="00247319"/>
    <w:rsid w:val="0024799E"/>
    <w:rsid w:val="00247EE7"/>
    <w:rsid w:val="00253C0F"/>
    <w:rsid w:val="002558C1"/>
    <w:rsid w:val="00261A17"/>
    <w:rsid w:val="00271465"/>
    <w:rsid w:val="00275385"/>
    <w:rsid w:val="0028207A"/>
    <w:rsid w:val="00285412"/>
    <w:rsid w:val="00291407"/>
    <w:rsid w:val="00291640"/>
    <w:rsid w:val="00295A5D"/>
    <w:rsid w:val="002A1407"/>
    <w:rsid w:val="002A16D4"/>
    <w:rsid w:val="002A230C"/>
    <w:rsid w:val="002A66B0"/>
    <w:rsid w:val="002B2299"/>
    <w:rsid w:val="002B4845"/>
    <w:rsid w:val="002B48B4"/>
    <w:rsid w:val="002C2FE9"/>
    <w:rsid w:val="002C43BD"/>
    <w:rsid w:val="002D0E59"/>
    <w:rsid w:val="002E02A1"/>
    <w:rsid w:val="002E42AC"/>
    <w:rsid w:val="002E4E4C"/>
    <w:rsid w:val="00302ADD"/>
    <w:rsid w:val="00304771"/>
    <w:rsid w:val="0030495D"/>
    <w:rsid w:val="003052D4"/>
    <w:rsid w:val="00306C5B"/>
    <w:rsid w:val="003103E0"/>
    <w:rsid w:val="00314F9F"/>
    <w:rsid w:val="003209D6"/>
    <w:rsid w:val="00321924"/>
    <w:rsid w:val="0032656E"/>
    <w:rsid w:val="00332190"/>
    <w:rsid w:val="00343182"/>
    <w:rsid w:val="0034335E"/>
    <w:rsid w:val="00344668"/>
    <w:rsid w:val="003462D9"/>
    <w:rsid w:val="00360C86"/>
    <w:rsid w:val="00360FBC"/>
    <w:rsid w:val="00362E90"/>
    <w:rsid w:val="00364FA0"/>
    <w:rsid w:val="003657F3"/>
    <w:rsid w:val="00366591"/>
    <w:rsid w:val="0038123E"/>
    <w:rsid w:val="003818DC"/>
    <w:rsid w:val="00384327"/>
    <w:rsid w:val="00385D98"/>
    <w:rsid w:val="003A2B4D"/>
    <w:rsid w:val="003A2B5E"/>
    <w:rsid w:val="003A2D12"/>
    <w:rsid w:val="003A478C"/>
    <w:rsid w:val="003A5525"/>
    <w:rsid w:val="003A6B38"/>
    <w:rsid w:val="003B461F"/>
    <w:rsid w:val="003B5A32"/>
    <w:rsid w:val="003B7AFA"/>
    <w:rsid w:val="003C3490"/>
    <w:rsid w:val="003C6550"/>
    <w:rsid w:val="003C7E62"/>
    <w:rsid w:val="003D6920"/>
    <w:rsid w:val="003E48F2"/>
    <w:rsid w:val="003E4C91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7C13"/>
    <w:rsid w:val="0041041D"/>
    <w:rsid w:val="00410638"/>
    <w:rsid w:val="0041501E"/>
    <w:rsid w:val="004159C3"/>
    <w:rsid w:val="00416EB7"/>
    <w:rsid w:val="00432A58"/>
    <w:rsid w:val="00434617"/>
    <w:rsid w:val="00440900"/>
    <w:rsid w:val="00441BF6"/>
    <w:rsid w:val="00443556"/>
    <w:rsid w:val="004441A0"/>
    <w:rsid w:val="004455BA"/>
    <w:rsid w:val="0045078A"/>
    <w:rsid w:val="0045086D"/>
    <w:rsid w:val="00451504"/>
    <w:rsid w:val="00456339"/>
    <w:rsid w:val="004607BF"/>
    <w:rsid w:val="00460FB3"/>
    <w:rsid w:val="0046627E"/>
    <w:rsid w:val="00476240"/>
    <w:rsid w:val="00476439"/>
    <w:rsid w:val="0047735C"/>
    <w:rsid w:val="004776BC"/>
    <w:rsid w:val="0048139F"/>
    <w:rsid w:val="00481E40"/>
    <w:rsid w:val="00484ECE"/>
    <w:rsid w:val="00485567"/>
    <w:rsid w:val="004915CB"/>
    <w:rsid w:val="004924DC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384C"/>
    <w:rsid w:val="004C3867"/>
    <w:rsid w:val="004C4CD0"/>
    <w:rsid w:val="004C5B81"/>
    <w:rsid w:val="004C70DC"/>
    <w:rsid w:val="004D0211"/>
    <w:rsid w:val="004D0794"/>
    <w:rsid w:val="004D5C93"/>
    <w:rsid w:val="004E1288"/>
    <w:rsid w:val="004E7C6B"/>
    <w:rsid w:val="004F06F5"/>
    <w:rsid w:val="004F2C1B"/>
    <w:rsid w:val="004F33A0"/>
    <w:rsid w:val="0050689D"/>
    <w:rsid w:val="005108C0"/>
    <w:rsid w:val="00511873"/>
    <w:rsid w:val="00512A2F"/>
    <w:rsid w:val="00513B7E"/>
    <w:rsid w:val="00515C74"/>
    <w:rsid w:val="0051713B"/>
    <w:rsid w:val="0052007E"/>
    <w:rsid w:val="0052337A"/>
    <w:rsid w:val="00525137"/>
    <w:rsid w:val="005251DD"/>
    <w:rsid w:val="00532CE7"/>
    <w:rsid w:val="00532E62"/>
    <w:rsid w:val="0053324C"/>
    <w:rsid w:val="00534A28"/>
    <w:rsid w:val="00541508"/>
    <w:rsid w:val="00543498"/>
    <w:rsid w:val="00545512"/>
    <w:rsid w:val="00553016"/>
    <w:rsid w:val="0055599F"/>
    <w:rsid w:val="00556995"/>
    <w:rsid w:val="00556D68"/>
    <w:rsid w:val="00563EB8"/>
    <w:rsid w:val="005647BF"/>
    <w:rsid w:val="00564AF1"/>
    <w:rsid w:val="0057364B"/>
    <w:rsid w:val="00574773"/>
    <w:rsid w:val="0058308D"/>
    <w:rsid w:val="00583FFD"/>
    <w:rsid w:val="005911BE"/>
    <w:rsid w:val="00593152"/>
    <w:rsid w:val="005A10F2"/>
    <w:rsid w:val="005A21E0"/>
    <w:rsid w:val="005A28FF"/>
    <w:rsid w:val="005A3DF8"/>
    <w:rsid w:val="005A5113"/>
    <w:rsid w:val="005A5549"/>
    <w:rsid w:val="005A7038"/>
    <w:rsid w:val="005B121D"/>
    <w:rsid w:val="005C06ED"/>
    <w:rsid w:val="005C2609"/>
    <w:rsid w:val="005C6CF0"/>
    <w:rsid w:val="005D5802"/>
    <w:rsid w:val="005D7119"/>
    <w:rsid w:val="005D7890"/>
    <w:rsid w:val="005E705E"/>
    <w:rsid w:val="005E7C78"/>
    <w:rsid w:val="005F18C5"/>
    <w:rsid w:val="005F3EB1"/>
    <w:rsid w:val="005F46D8"/>
    <w:rsid w:val="005F5469"/>
    <w:rsid w:val="00603FF5"/>
    <w:rsid w:val="00604307"/>
    <w:rsid w:val="0060487F"/>
    <w:rsid w:val="00604EAD"/>
    <w:rsid w:val="006104FB"/>
    <w:rsid w:val="00612A2F"/>
    <w:rsid w:val="00616E05"/>
    <w:rsid w:val="00622275"/>
    <w:rsid w:val="00624093"/>
    <w:rsid w:val="00625F8F"/>
    <w:rsid w:val="006350D5"/>
    <w:rsid w:val="006404A7"/>
    <w:rsid w:val="006451E4"/>
    <w:rsid w:val="00645B33"/>
    <w:rsid w:val="006516CB"/>
    <w:rsid w:val="00656FC8"/>
    <w:rsid w:val="00657E87"/>
    <w:rsid w:val="00664803"/>
    <w:rsid w:val="0066504F"/>
    <w:rsid w:val="00665BA4"/>
    <w:rsid w:val="00667AF2"/>
    <w:rsid w:val="006710C9"/>
    <w:rsid w:val="006741AC"/>
    <w:rsid w:val="00674D89"/>
    <w:rsid w:val="00675E37"/>
    <w:rsid w:val="0068174E"/>
    <w:rsid w:val="00681DCE"/>
    <w:rsid w:val="0068260E"/>
    <w:rsid w:val="00693FEC"/>
    <w:rsid w:val="00695BEF"/>
    <w:rsid w:val="006977F6"/>
    <w:rsid w:val="00697A13"/>
    <w:rsid w:val="006A109C"/>
    <w:rsid w:val="006B0F92"/>
    <w:rsid w:val="006B173A"/>
    <w:rsid w:val="006B344A"/>
    <w:rsid w:val="006B759B"/>
    <w:rsid w:val="006B78D8"/>
    <w:rsid w:val="006C113F"/>
    <w:rsid w:val="006C123E"/>
    <w:rsid w:val="006C1752"/>
    <w:rsid w:val="006C4460"/>
    <w:rsid w:val="006C56D4"/>
    <w:rsid w:val="006C6924"/>
    <w:rsid w:val="006C7CA6"/>
    <w:rsid w:val="006D3E8A"/>
    <w:rsid w:val="006D61F6"/>
    <w:rsid w:val="006E279A"/>
    <w:rsid w:val="006E313B"/>
    <w:rsid w:val="006E4254"/>
    <w:rsid w:val="006E7227"/>
    <w:rsid w:val="006F438E"/>
    <w:rsid w:val="006F5416"/>
    <w:rsid w:val="006F7076"/>
    <w:rsid w:val="00705242"/>
    <w:rsid w:val="00706AD4"/>
    <w:rsid w:val="00707150"/>
    <w:rsid w:val="007140BE"/>
    <w:rsid w:val="007143B4"/>
    <w:rsid w:val="007211F5"/>
    <w:rsid w:val="00723946"/>
    <w:rsid w:val="007240E2"/>
    <w:rsid w:val="00725BB5"/>
    <w:rsid w:val="00730AE8"/>
    <w:rsid w:val="00730F1B"/>
    <w:rsid w:val="007342AC"/>
    <w:rsid w:val="00741493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521E"/>
    <w:rsid w:val="007661E9"/>
    <w:rsid w:val="00773220"/>
    <w:rsid w:val="00776169"/>
    <w:rsid w:val="00776527"/>
    <w:rsid w:val="00776EAB"/>
    <w:rsid w:val="00780EF1"/>
    <w:rsid w:val="00790711"/>
    <w:rsid w:val="00790764"/>
    <w:rsid w:val="0079124F"/>
    <w:rsid w:val="0079453C"/>
    <w:rsid w:val="00794677"/>
    <w:rsid w:val="00797445"/>
    <w:rsid w:val="007A516D"/>
    <w:rsid w:val="007B6689"/>
    <w:rsid w:val="007C6BBD"/>
    <w:rsid w:val="007D293C"/>
    <w:rsid w:val="007D40DF"/>
    <w:rsid w:val="007E29B4"/>
    <w:rsid w:val="007E435A"/>
    <w:rsid w:val="007E7E61"/>
    <w:rsid w:val="007E7FCE"/>
    <w:rsid w:val="007F0845"/>
    <w:rsid w:val="007F708D"/>
    <w:rsid w:val="00800216"/>
    <w:rsid w:val="00801E13"/>
    <w:rsid w:val="00807C82"/>
    <w:rsid w:val="00810C82"/>
    <w:rsid w:val="00814B15"/>
    <w:rsid w:val="00816905"/>
    <w:rsid w:val="00821777"/>
    <w:rsid w:val="00821FF6"/>
    <w:rsid w:val="00822574"/>
    <w:rsid w:val="00825C4D"/>
    <w:rsid w:val="008304D1"/>
    <w:rsid w:val="0083143E"/>
    <w:rsid w:val="00831CDE"/>
    <w:rsid w:val="00834304"/>
    <w:rsid w:val="00834FAA"/>
    <w:rsid w:val="0083516C"/>
    <w:rsid w:val="00836086"/>
    <w:rsid w:val="00846121"/>
    <w:rsid w:val="008462A8"/>
    <w:rsid w:val="0084708F"/>
    <w:rsid w:val="008477C8"/>
    <w:rsid w:val="0085114D"/>
    <w:rsid w:val="00852217"/>
    <w:rsid w:val="00855408"/>
    <w:rsid w:val="00855712"/>
    <w:rsid w:val="00856D65"/>
    <w:rsid w:val="00861B41"/>
    <w:rsid w:val="00861BE3"/>
    <w:rsid w:val="00863434"/>
    <w:rsid w:val="00865E4C"/>
    <w:rsid w:val="008701E4"/>
    <w:rsid w:val="00871069"/>
    <w:rsid w:val="00875A32"/>
    <w:rsid w:val="00876086"/>
    <w:rsid w:val="008825B0"/>
    <w:rsid w:val="00884AD6"/>
    <w:rsid w:val="008873D4"/>
    <w:rsid w:val="0089126C"/>
    <w:rsid w:val="0089296D"/>
    <w:rsid w:val="00893E85"/>
    <w:rsid w:val="00894031"/>
    <w:rsid w:val="00895508"/>
    <w:rsid w:val="008A6CB4"/>
    <w:rsid w:val="008B5CF6"/>
    <w:rsid w:val="008B7C02"/>
    <w:rsid w:val="008B7D2B"/>
    <w:rsid w:val="008C0049"/>
    <w:rsid w:val="008C0E88"/>
    <w:rsid w:val="008C53CB"/>
    <w:rsid w:val="008D1E6A"/>
    <w:rsid w:val="008D2A16"/>
    <w:rsid w:val="008D6B35"/>
    <w:rsid w:val="008E2C57"/>
    <w:rsid w:val="008E31FF"/>
    <w:rsid w:val="008E6F06"/>
    <w:rsid w:val="008E7FC9"/>
    <w:rsid w:val="008F029B"/>
    <w:rsid w:val="008F3FC9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7AE2"/>
    <w:rsid w:val="0094427A"/>
    <w:rsid w:val="00945245"/>
    <w:rsid w:val="00957309"/>
    <w:rsid w:val="0095759C"/>
    <w:rsid w:val="009721DB"/>
    <w:rsid w:val="0097239B"/>
    <w:rsid w:val="00974923"/>
    <w:rsid w:val="009808F7"/>
    <w:rsid w:val="00980D3D"/>
    <w:rsid w:val="009855E1"/>
    <w:rsid w:val="00987A30"/>
    <w:rsid w:val="00992CF3"/>
    <w:rsid w:val="00994868"/>
    <w:rsid w:val="0099574A"/>
    <w:rsid w:val="009968D6"/>
    <w:rsid w:val="009A1CAB"/>
    <w:rsid w:val="009A60D1"/>
    <w:rsid w:val="009B6FD3"/>
    <w:rsid w:val="009C1750"/>
    <w:rsid w:val="009C2E29"/>
    <w:rsid w:val="009C554B"/>
    <w:rsid w:val="009C719E"/>
    <w:rsid w:val="009C7A10"/>
    <w:rsid w:val="009D1120"/>
    <w:rsid w:val="009D3ACD"/>
    <w:rsid w:val="009E5273"/>
    <w:rsid w:val="009E5DDB"/>
    <w:rsid w:val="009E7F05"/>
    <w:rsid w:val="009F46B7"/>
    <w:rsid w:val="009F4CA7"/>
    <w:rsid w:val="00A04CEF"/>
    <w:rsid w:val="00A10D66"/>
    <w:rsid w:val="00A14114"/>
    <w:rsid w:val="00A1537C"/>
    <w:rsid w:val="00A16413"/>
    <w:rsid w:val="00A16E1D"/>
    <w:rsid w:val="00A17D5B"/>
    <w:rsid w:val="00A17EB2"/>
    <w:rsid w:val="00A206E5"/>
    <w:rsid w:val="00A23447"/>
    <w:rsid w:val="00A23E43"/>
    <w:rsid w:val="00A25216"/>
    <w:rsid w:val="00A30F65"/>
    <w:rsid w:val="00A33A89"/>
    <w:rsid w:val="00A40EAC"/>
    <w:rsid w:val="00A40EDD"/>
    <w:rsid w:val="00A418BC"/>
    <w:rsid w:val="00A4206C"/>
    <w:rsid w:val="00A46DE0"/>
    <w:rsid w:val="00A472EB"/>
    <w:rsid w:val="00A47FCA"/>
    <w:rsid w:val="00A50D73"/>
    <w:rsid w:val="00A52CAD"/>
    <w:rsid w:val="00A53FC7"/>
    <w:rsid w:val="00A62CE1"/>
    <w:rsid w:val="00A668A3"/>
    <w:rsid w:val="00A6741E"/>
    <w:rsid w:val="00A754EA"/>
    <w:rsid w:val="00A75E40"/>
    <w:rsid w:val="00A77D1D"/>
    <w:rsid w:val="00A84A6A"/>
    <w:rsid w:val="00A857C0"/>
    <w:rsid w:val="00A90FED"/>
    <w:rsid w:val="00AA2996"/>
    <w:rsid w:val="00AA2A70"/>
    <w:rsid w:val="00AA52BF"/>
    <w:rsid w:val="00AA559A"/>
    <w:rsid w:val="00AB2AF1"/>
    <w:rsid w:val="00AB535B"/>
    <w:rsid w:val="00AC45BD"/>
    <w:rsid w:val="00AD168E"/>
    <w:rsid w:val="00AD306C"/>
    <w:rsid w:val="00AD4F16"/>
    <w:rsid w:val="00AD68C4"/>
    <w:rsid w:val="00AE09B3"/>
    <w:rsid w:val="00AE0ED3"/>
    <w:rsid w:val="00AE1A83"/>
    <w:rsid w:val="00AE31A7"/>
    <w:rsid w:val="00AF6128"/>
    <w:rsid w:val="00B00913"/>
    <w:rsid w:val="00B01593"/>
    <w:rsid w:val="00B023F2"/>
    <w:rsid w:val="00B04705"/>
    <w:rsid w:val="00B07BBB"/>
    <w:rsid w:val="00B10A4D"/>
    <w:rsid w:val="00B14BC1"/>
    <w:rsid w:val="00B17E71"/>
    <w:rsid w:val="00B17FDE"/>
    <w:rsid w:val="00B2379C"/>
    <w:rsid w:val="00B25189"/>
    <w:rsid w:val="00B2687D"/>
    <w:rsid w:val="00B26897"/>
    <w:rsid w:val="00B32DDB"/>
    <w:rsid w:val="00B34528"/>
    <w:rsid w:val="00B34CC9"/>
    <w:rsid w:val="00B402FC"/>
    <w:rsid w:val="00B439DA"/>
    <w:rsid w:val="00B46604"/>
    <w:rsid w:val="00B530CD"/>
    <w:rsid w:val="00B55F5E"/>
    <w:rsid w:val="00B5752E"/>
    <w:rsid w:val="00B63A11"/>
    <w:rsid w:val="00B63B6A"/>
    <w:rsid w:val="00B64C24"/>
    <w:rsid w:val="00B6608F"/>
    <w:rsid w:val="00B67768"/>
    <w:rsid w:val="00B679FB"/>
    <w:rsid w:val="00B71EF7"/>
    <w:rsid w:val="00B7665A"/>
    <w:rsid w:val="00B76D1E"/>
    <w:rsid w:val="00B8028A"/>
    <w:rsid w:val="00B80EC6"/>
    <w:rsid w:val="00B84CF6"/>
    <w:rsid w:val="00B92D1D"/>
    <w:rsid w:val="00B938C5"/>
    <w:rsid w:val="00B95940"/>
    <w:rsid w:val="00BA6C2B"/>
    <w:rsid w:val="00BB46F3"/>
    <w:rsid w:val="00BB4CB1"/>
    <w:rsid w:val="00BB4F98"/>
    <w:rsid w:val="00BC5C12"/>
    <w:rsid w:val="00BC7154"/>
    <w:rsid w:val="00BC731E"/>
    <w:rsid w:val="00BD366B"/>
    <w:rsid w:val="00BD6D50"/>
    <w:rsid w:val="00BE18B9"/>
    <w:rsid w:val="00BE2495"/>
    <w:rsid w:val="00BF1578"/>
    <w:rsid w:val="00BF723F"/>
    <w:rsid w:val="00C21F94"/>
    <w:rsid w:val="00C27913"/>
    <w:rsid w:val="00C27E4F"/>
    <w:rsid w:val="00C32964"/>
    <w:rsid w:val="00C33B68"/>
    <w:rsid w:val="00C36A79"/>
    <w:rsid w:val="00C401D2"/>
    <w:rsid w:val="00C405D4"/>
    <w:rsid w:val="00C4431F"/>
    <w:rsid w:val="00C4513B"/>
    <w:rsid w:val="00C5390B"/>
    <w:rsid w:val="00C53E5D"/>
    <w:rsid w:val="00C54697"/>
    <w:rsid w:val="00C65535"/>
    <w:rsid w:val="00C71E85"/>
    <w:rsid w:val="00C72884"/>
    <w:rsid w:val="00C73885"/>
    <w:rsid w:val="00C747B1"/>
    <w:rsid w:val="00C82191"/>
    <w:rsid w:val="00C83134"/>
    <w:rsid w:val="00C85545"/>
    <w:rsid w:val="00C90CF4"/>
    <w:rsid w:val="00C92EB6"/>
    <w:rsid w:val="00C93389"/>
    <w:rsid w:val="00CA0914"/>
    <w:rsid w:val="00CA6AB4"/>
    <w:rsid w:val="00CA7BE7"/>
    <w:rsid w:val="00CB4930"/>
    <w:rsid w:val="00CC2E7D"/>
    <w:rsid w:val="00CD10A5"/>
    <w:rsid w:val="00CD2076"/>
    <w:rsid w:val="00CD29B5"/>
    <w:rsid w:val="00CD6331"/>
    <w:rsid w:val="00CE670B"/>
    <w:rsid w:val="00CF39C9"/>
    <w:rsid w:val="00CF4908"/>
    <w:rsid w:val="00CF51EC"/>
    <w:rsid w:val="00CF73AE"/>
    <w:rsid w:val="00D040DD"/>
    <w:rsid w:val="00D075BE"/>
    <w:rsid w:val="00D13986"/>
    <w:rsid w:val="00D21D83"/>
    <w:rsid w:val="00D235B7"/>
    <w:rsid w:val="00D23C02"/>
    <w:rsid w:val="00D25F28"/>
    <w:rsid w:val="00D26071"/>
    <w:rsid w:val="00D27973"/>
    <w:rsid w:val="00D35E1A"/>
    <w:rsid w:val="00D42211"/>
    <w:rsid w:val="00D50F46"/>
    <w:rsid w:val="00D567C6"/>
    <w:rsid w:val="00D57677"/>
    <w:rsid w:val="00D66223"/>
    <w:rsid w:val="00D71625"/>
    <w:rsid w:val="00D751DA"/>
    <w:rsid w:val="00D8084C"/>
    <w:rsid w:val="00D915EA"/>
    <w:rsid w:val="00D96855"/>
    <w:rsid w:val="00DA48C1"/>
    <w:rsid w:val="00DA7C0C"/>
    <w:rsid w:val="00DB08A9"/>
    <w:rsid w:val="00DB2EC8"/>
    <w:rsid w:val="00DB5FC0"/>
    <w:rsid w:val="00DB6566"/>
    <w:rsid w:val="00DC1E84"/>
    <w:rsid w:val="00DC48F1"/>
    <w:rsid w:val="00DC5B3B"/>
    <w:rsid w:val="00DD129F"/>
    <w:rsid w:val="00DD4EFE"/>
    <w:rsid w:val="00DE02BD"/>
    <w:rsid w:val="00DF42FF"/>
    <w:rsid w:val="00DF5908"/>
    <w:rsid w:val="00E01C0E"/>
    <w:rsid w:val="00E03F9A"/>
    <w:rsid w:val="00E0465E"/>
    <w:rsid w:val="00E04694"/>
    <w:rsid w:val="00E063CE"/>
    <w:rsid w:val="00E12B1E"/>
    <w:rsid w:val="00E17262"/>
    <w:rsid w:val="00E253A2"/>
    <w:rsid w:val="00E3309D"/>
    <w:rsid w:val="00E43C1C"/>
    <w:rsid w:val="00E47EBA"/>
    <w:rsid w:val="00E50156"/>
    <w:rsid w:val="00E51643"/>
    <w:rsid w:val="00E53470"/>
    <w:rsid w:val="00E53874"/>
    <w:rsid w:val="00E539F6"/>
    <w:rsid w:val="00E6519D"/>
    <w:rsid w:val="00E67696"/>
    <w:rsid w:val="00E71A58"/>
    <w:rsid w:val="00E72A7A"/>
    <w:rsid w:val="00E75C94"/>
    <w:rsid w:val="00E920F4"/>
    <w:rsid w:val="00E93820"/>
    <w:rsid w:val="00E94A86"/>
    <w:rsid w:val="00E96143"/>
    <w:rsid w:val="00EA0987"/>
    <w:rsid w:val="00EA0C68"/>
    <w:rsid w:val="00EA32BC"/>
    <w:rsid w:val="00EA4302"/>
    <w:rsid w:val="00EB39C7"/>
    <w:rsid w:val="00EB3D8F"/>
    <w:rsid w:val="00EB4511"/>
    <w:rsid w:val="00EC03D7"/>
    <w:rsid w:val="00ED62C6"/>
    <w:rsid w:val="00ED64C1"/>
    <w:rsid w:val="00EE3446"/>
    <w:rsid w:val="00EE3E78"/>
    <w:rsid w:val="00EE4B1B"/>
    <w:rsid w:val="00EE7F19"/>
    <w:rsid w:val="00EF150D"/>
    <w:rsid w:val="00EF1F5A"/>
    <w:rsid w:val="00EF47BF"/>
    <w:rsid w:val="00EF6DB3"/>
    <w:rsid w:val="00F04811"/>
    <w:rsid w:val="00F0488C"/>
    <w:rsid w:val="00F10F11"/>
    <w:rsid w:val="00F15AAA"/>
    <w:rsid w:val="00F15BEF"/>
    <w:rsid w:val="00F24407"/>
    <w:rsid w:val="00F24931"/>
    <w:rsid w:val="00F24FAA"/>
    <w:rsid w:val="00F3364D"/>
    <w:rsid w:val="00F437CC"/>
    <w:rsid w:val="00F44537"/>
    <w:rsid w:val="00F44B6A"/>
    <w:rsid w:val="00F47067"/>
    <w:rsid w:val="00F50FC3"/>
    <w:rsid w:val="00F52106"/>
    <w:rsid w:val="00F525EB"/>
    <w:rsid w:val="00F63DDE"/>
    <w:rsid w:val="00F63FB7"/>
    <w:rsid w:val="00F6421B"/>
    <w:rsid w:val="00F649D2"/>
    <w:rsid w:val="00F6602B"/>
    <w:rsid w:val="00F66FD9"/>
    <w:rsid w:val="00F67C4E"/>
    <w:rsid w:val="00F73A0C"/>
    <w:rsid w:val="00F756DB"/>
    <w:rsid w:val="00F84E7D"/>
    <w:rsid w:val="00F85066"/>
    <w:rsid w:val="00F87A4D"/>
    <w:rsid w:val="00F9785E"/>
    <w:rsid w:val="00FA5D4D"/>
    <w:rsid w:val="00FA60AD"/>
    <w:rsid w:val="00FA7115"/>
    <w:rsid w:val="00FB0EE2"/>
    <w:rsid w:val="00FB4423"/>
    <w:rsid w:val="00FB542E"/>
    <w:rsid w:val="00FC0E5F"/>
    <w:rsid w:val="00FC1A95"/>
    <w:rsid w:val="00FC56DE"/>
    <w:rsid w:val="00FC684B"/>
    <w:rsid w:val="00FD3265"/>
    <w:rsid w:val="00FD5F92"/>
    <w:rsid w:val="00FD66F9"/>
    <w:rsid w:val="00FE2F78"/>
    <w:rsid w:val="00FF4082"/>
    <w:rsid w:val="00FF7090"/>
    <w:rsid w:val="00FF7B96"/>
    <w:rsid w:val="010E6CF6"/>
    <w:rsid w:val="0274CEEB"/>
    <w:rsid w:val="11D0C0D9"/>
    <w:rsid w:val="1C7F89FF"/>
    <w:rsid w:val="304DB734"/>
    <w:rsid w:val="30D0B3BE"/>
    <w:rsid w:val="52CC52E2"/>
    <w:rsid w:val="55C2456F"/>
    <w:rsid w:val="614CA75B"/>
    <w:rsid w:val="6B2670A5"/>
    <w:rsid w:val="6E1EAC99"/>
    <w:rsid w:val="7BDB84E4"/>
    <w:rsid w:val="7DB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1432897"/>
  <w15:docId w15:val="{3A7C6927-7F52-4209-ABA9-A0ACA86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47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/rychle-informace/analyza-ctvrtletnich-sektorovych-uctu-4-ctvrtleti-202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Qmakro-2025\Grafy-st&#225;tn&#237;%20rozpo&#269;et-1q-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Qmakro-2024\Celorok\Rozpo&#269;et\Grafy-st&#225;tn&#237;%20rozpo&#269;et-rok-2024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F:\Qmakro-2025\Grafy-st&#225;tn&#237;%20rozpo&#269;et-1q-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547146084085555E-2"/>
          <c:y val="1.7107287133586922E-2"/>
          <c:w val="0.83426501745522175"/>
          <c:h val="0.73971549132558312"/>
        </c:manualLayout>
      </c:layout>
      <c:barChart>
        <c:barDir val="col"/>
        <c:grouping val="stacked"/>
        <c:varyColors val="0"/>
        <c:ser>
          <c:idx val="1"/>
          <c:order val="1"/>
          <c:tx>
            <c:strRef>
              <c:f>'G1-SR-příjmy-příspěvky'!$A$36</c:f>
              <c:strCache>
                <c:ptCount val="1"/>
                <c:pt idx="0">
                  <c:v>Ostatní daně a poplatky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 w="12700">
              <a:noFill/>
              <a:prstDash val="solid"/>
            </a:ln>
          </c:spPr>
          <c:invertIfNegative val="0"/>
          <c:cat>
            <c:numRef>
              <c:f>'G1-SR-příjmy-příspěvky'!$E$34:$V$34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'G1-SR-příjmy-příspěvky'!$E$36:$V$36</c:f>
              <c:numCache>
                <c:formatCode>0.0</c:formatCode>
                <c:ptCount val="18"/>
                <c:pt idx="0">
                  <c:v>0.93122337188070226</c:v>
                </c:pt>
                <c:pt idx="1">
                  <c:v>-0.86039886039885138</c:v>
                </c:pt>
                <c:pt idx="2">
                  <c:v>-0.21800461656836209</c:v>
                </c:pt>
                <c:pt idx="3">
                  <c:v>4.7025628967778073E-2</c:v>
                </c:pt>
                <c:pt idx="4">
                  <c:v>0.15463598688688132</c:v>
                </c:pt>
                <c:pt idx="5">
                  <c:v>0.75112372841257025</c:v>
                </c:pt>
                <c:pt idx="6">
                  <c:v>-5.7922173661211315E-2</c:v>
                </c:pt>
                <c:pt idx="7">
                  <c:v>0.17244682889444096</c:v>
                </c:pt>
                <c:pt idx="8">
                  <c:v>0.1722838376224716</c:v>
                </c:pt>
                <c:pt idx="9">
                  <c:v>0.23509403761505579</c:v>
                </c:pt>
                <c:pt idx="10">
                  <c:v>0.62235845989504279</c:v>
                </c:pt>
                <c:pt idx="11">
                  <c:v>0.80854504446996855</c:v>
                </c:pt>
                <c:pt idx="12">
                  <c:v>0.66381882645426282</c:v>
                </c:pt>
                <c:pt idx="13">
                  <c:v>-1.6059485038147707</c:v>
                </c:pt>
                <c:pt idx="14">
                  <c:v>1.1042137486708441</c:v>
                </c:pt>
                <c:pt idx="15">
                  <c:v>3.33491604773103</c:v>
                </c:pt>
                <c:pt idx="16">
                  <c:v>2.2832982090889375</c:v>
                </c:pt>
                <c:pt idx="17">
                  <c:v>-0.81619791679146136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4C-4551-BBD4-73A821AFF4C8}"/>
            </c:ext>
          </c:extLst>
        </c:ser>
        <c:ser>
          <c:idx val="3"/>
          <c:order val="2"/>
          <c:tx>
            <c:strRef>
              <c:f>'G1-SR-příjmy-příspěvky'!$A$37</c:f>
              <c:strCache>
                <c:ptCount val="1"/>
                <c:pt idx="0">
                  <c:v>Daně z příjmů FO, placená plátci</c:v>
                </c:pt>
              </c:strCache>
            </c:strRef>
          </c:tx>
          <c:spPr>
            <a:solidFill>
              <a:srgbClr val="EA6C75"/>
            </a:solidFill>
            <a:ln w="19050">
              <a:noFill/>
              <a:prstDash val="sysDot"/>
            </a:ln>
          </c:spPr>
          <c:invertIfNegative val="0"/>
          <c:cat>
            <c:numRef>
              <c:f>'G1-SR-příjmy-příspěvky'!$E$34:$V$34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'G1-SR-příjmy-příspěvky'!$E$37:$V$37</c:f>
              <c:numCache>
                <c:formatCode>0.0</c:formatCode>
                <c:ptCount val="18"/>
                <c:pt idx="0">
                  <c:v>0.22519780888618224</c:v>
                </c:pt>
                <c:pt idx="1">
                  <c:v>-0.76923076923076816</c:v>
                </c:pt>
                <c:pt idx="2">
                  <c:v>-0.31418312387791858</c:v>
                </c:pt>
                <c:pt idx="3">
                  <c:v>0.62896778744415704</c:v>
                </c:pt>
                <c:pt idx="4">
                  <c:v>0.69276922125316986</c:v>
                </c:pt>
                <c:pt idx="5">
                  <c:v>0.79843860894251262</c:v>
                </c:pt>
                <c:pt idx="6">
                  <c:v>0.12637565162445272</c:v>
                </c:pt>
                <c:pt idx="7">
                  <c:v>0.26825062272465927</c:v>
                </c:pt>
                <c:pt idx="8">
                  <c:v>1.4267255303111859</c:v>
                </c:pt>
                <c:pt idx="9">
                  <c:v>1.790716286514606</c:v>
                </c:pt>
                <c:pt idx="10">
                  <c:v>2.7448794761042179</c:v>
                </c:pt>
                <c:pt idx="11">
                  <c:v>2.353291629431042</c:v>
                </c:pt>
                <c:pt idx="12">
                  <c:v>2.0229026566319881</c:v>
                </c:pt>
                <c:pt idx="13">
                  <c:v>-7.7679840205888215</c:v>
                </c:pt>
                <c:pt idx="14">
                  <c:v>-1.5623633418257472</c:v>
                </c:pt>
                <c:pt idx="15">
                  <c:v>3.5255553646143607</c:v>
                </c:pt>
                <c:pt idx="16">
                  <c:v>1.9761842262136731</c:v>
                </c:pt>
                <c:pt idx="17">
                  <c:v>1.5675983108624592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4C-4551-BBD4-73A821AFF4C8}"/>
            </c:ext>
          </c:extLst>
        </c:ser>
        <c:ser>
          <c:idx val="4"/>
          <c:order val="3"/>
          <c:tx>
            <c:strRef>
              <c:f>'G1-SR-příjmy-příspěvky'!$A$38</c:f>
              <c:strCache>
                <c:ptCount val="1"/>
                <c:pt idx="0">
                  <c:v>Daně z příjmů FO, ostatní</c:v>
                </c:pt>
              </c:strCache>
            </c:strRef>
          </c:tx>
          <c:spPr>
            <a:solidFill>
              <a:srgbClr val="FFD757"/>
            </a:solidFill>
            <a:ln w="19050">
              <a:noFill/>
            </a:ln>
          </c:spPr>
          <c:invertIfNegative val="0"/>
          <c:cat>
            <c:numRef>
              <c:f>'G1-SR-příjmy-příspěvky'!$E$34:$V$34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'G1-SR-příjmy-příspěvky'!$E$38:$V$38</c:f>
              <c:numCache>
                <c:formatCode>0.0</c:formatCode>
                <c:ptCount val="18"/>
                <c:pt idx="0">
                  <c:v>0.92513694461351359</c:v>
                </c:pt>
                <c:pt idx="1">
                  <c:v>-2.0797720797720816</c:v>
                </c:pt>
                <c:pt idx="2">
                  <c:v>0.59630674531931682</c:v>
                </c:pt>
                <c:pt idx="3">
                  <c:v>-0.95814719021867034</c:v>
                </c:pt>
                <c:pt idx="4">
                  <c:v>0.74225273705696659</c:v>
                </c:pt>
                <c:pt idx="5">
                  <c:v>-0.11828720132481825</c:v>
                </c:pt>
                <c:pt idx="6">
                  <c:v>0.67400347533042138</c:v>
                </c:pt>
                <c:pt idx="7">
                  <c:v>-0.50296991760873755</c:v>
                </c:pt>
                <c:pt idx="8">
                  <c:v>0.83449983848390386</c:v>
                </c:pt>
                <c:pt idx="9">
                  <c:v>0.20508203281311971</c:v>
                </c:pt>
                <c:pt idx="10">
                  <c:v>-1.3933398355856212E-2</c:v>
                </c:pt>
                <c:pt idx="11">
                  <c:v>0.77875654283160978</c:v>
                </c:pt>
                <c:pt idx="12">
                  <c:v>-0.74215988803866995</c:v>
                </c:pt>
                <c:pt idx="13">
                  <c:v>0.13268445991520786</c:v>
                </c:pt>
                <c:pt idx="14">
                  <c:v>1.6770686921142257</c:v>
                </c:pt>
                <c:pt idx="15">
                  <c:v>0.88253048526587563</c:v>
                </c:pt>
                <c:pt idx="16">
                  <c:v>0.1756007887670793</c:v>
                </c:pt>
                <c:pt idx="17">
                  <c:v>0.39987879656526387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E4C-4551-BBD4-73A821AFF4C8}"/>
            </c:ext>
          </c:extLst>
        </c:ser>
        <c:ser>
          <c:idx val="2"/>
          <c:order val="4"/>
          <c:tx>
            <c:strRef>
              <c:f>'G1-SR-příjmy-příspěvky'!$A$39</c:f>
              <c:strCache>
                <c:ptCount val="1"/>
                <c:pt idx="0">
                  <c:v>Daně z příjmů PO</c:v>
                </c:pt>
              </c:strCache>
            </c:strRef>
          </c:tx>
          <c:spPr>
            <a:solidFill>
              <a:srgbClr val="F9B073"/>
            </a:solidFill>
            <a:ln>
              <a:noFill/>
            </a:ln>
          </c:spPr>
          <c:invertIfNegative val="0"/>
          <c:cat>
            <c:numRef>
              <c:f>'G1-SR-příjmy-příspěvky'!$E$34:$V$34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'G1-SR-příjmy-příspěvky'!$E$39:$V$39</c:f>
              <c:numCache>
                <c:formatCode>0.0</c:formatCode>
                <c:ptCount val="18"/>
                <c:pt idx="0">
                  <c:v>3.4449178332318948</c:v>
                </c:pt>
                <c:pt idx="1">
                  <c:v>-2.9230769230769251</c:v>
                </c:pt>
                <c:pt idx="2">
                  <c:v>-6.4119004873054381E-3</c:v>
                </c:pt>
                <c:pt idx="3">
                  <c:v>-1.5871149776628251</c:v>
                </c:pt>
                <c:pt idx="4">
                  <c:v>-0.11752335003401837</c:v>
                </c:pt>
                <c:pt idx="5">
                  <c:v>-8.2801040927371936E-2</c:v>
                </c:pt>
                <c:pt idx="6">
                  <c:v>0.38439260702437977</c:v>
                </c:pt>
                <c:pt idx="7">
                  <c:v>1.0059398352174735</c:v>
                </c:pt>
                <c:pt idx="8">
                  <c:v>2.1104770108754165</c:v>
                </c:pt>
                <c:pt idx="9">
                  <c:v>1.7957182873149218</c:v>
                </c:pt>
                <c:pt idx="10">
                  <c:v>0.20900097533788606</c:v>
                </c:pt>
                <c:pt idx="11">
                  <c:v>0.62981403463977115</c:v>
                </c:pt>
                <c:pt idx="12">
                  <c:v>0.32691017416434559</c:v>
                </c:pt>
                <c:pt idx="13">
                  <c:v>0.10558008367166571</c:v>
                </c:pt>
                <c:pt idx="14">
                  <c:v>1.0191782822047715</c:v>
                </c:pt>
                <c:pt idx="15">
                  <c:v>3.8971374921113422</c:v>
                </c:pt>
                <c:pt idx="16">
                  <c:v>2.8010802336169207</c:v>
                </c:pt>
                <c:pt idx="17">
                  <c:v>0.52757383753584153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E4C-4551-BBD4-73A821AFF4C8}"/>
            </c:ext>
          </c:extLst>
        </c:ser>
        <c:ser>
          <c:idx val="5"/>
          <c:order val="5"/>
          <c:tx>
            <c:strRef>
              <c:f>'G1-SR-příjmy-příspěvky'!$A$40</c:f>
              <c:strCache>
                <c:ptCount val="1"/>
                <c:pt idx="0">
                  <c:v>Spotřební daň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</c:spPr>
          <c:invertIfNegative val="0"/>
          <c:cat>
            <c:numRef>
              <c:f>'G1-SR-příjmy-příspěvky'!$E$34:$V$34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'G1-SR-příjmy-příspěvky'!$E$40:$V$40</c:f>
              <c:numCache>
                <c:formatCode>0.0</c:formatCode>
                <c:ptCount val="18"/>
                <c:pt idx="0">
                  <c:v>-0.18867924528301808</c:v>
                </c:pt>
                <c:pt idx="1">
                  <c:v>-2.3760683760683778</c:v>
                </c:pt>
                <c:pt idx="2">
                  <c:v>4.9756347781482431</c:v>
                </c:pt>
                <c:pt idx="3">
                  <c:v>-0.74065365624265089</c:v>
                </c:pt>
                <c:pt idx="4">
                  <c:v>1.9855260716273873</c:v>
                </c:pt>
                <c:pt idx="5">
                  <c:v>2.1587414241779017</c:v>
                </c:pt>
                <c:pt idx="6">
                  <c:v>2.9592965088726193</c:v>
                </c:pt>
                <c:pt idx="7">
                  <c:v>-6.1841348917417109</c:v>
                </c:pt>
                <c:pt idx="8">
                  <c:v>1.4590287498653987</c:v>
                </c:pt>
                <c:pt idx="9">
                  <c:v>0.42016806722689187</c:v>
                </c:pt>
                <c:pt idx="10">
                  <c:v>0.58055826482745765</c:v>
                </c:pt>
                <c:pt idx="11">
                  <c:v>-0.62130303417166777</c:v>
                </c:pt>
                <c:pt idx="12">
                  <c:v>1.0735727426060964</c:v>
                </c:pt>
                <c:pt idx="13">
                  <c:v>-2.9470384104736076</c:v>
                </c:pt>
                <c:pt idx="14">
                  <c:v>2.0334594164576827</c:v>
                </c:pt>
                <c:pt idx="15">
                  <c:v>-0.53984991589800368</c:v>
                </c:pt>
                <c:pt idx="16">
                  <c:v>1.4072160183913973</c:v>
                </c:pt>
                <c:pt idx="17">
                  <c:v>1.3732210021369939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E4C-4551-BBD4-73A821AFF4C8}"/>
            </c:ext>
          </c:extLst>
        </c:ser>
        <c:ser>
          <c:idx val="6"/>
          <c:order val="6"/>
          <c:tx>
            <c:strRef>
              <c:f>'G1-SR-příjmy-příspěvky'!$A$41</c:f>
              <c:strCache>
                <c:ptCount val="1"/>
                <c:pt idx="0">
                  <c:v>DPH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 w="19050">
              <a:noFill/>
            </a:ln>
          </c:spPr>
          <c:invertIfNegative val="0"/>
          <c:cat>
            <c:numRef>
              <c:f>'G1-SR-příjmy-příspěvky'!$E$34:$V$34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'G1-SR-příjmy-příspěvky'!$E$41:$V$41</c:f>
              <c:numCache>
                <c:formatCode>0.0</c:formatCode>
                <c:ptCount val="18"/>
                <c:pt idx="0">
                  <c:v>1.4790018259281799</c:v>
                </c:pt>
                <c:pt idx="1">
                  <c:v>-2.1253561253561242</c:v>
                </c:pt>
                <c:pt idx="2">
                  <c:v>4.0459092074891005</c:v>
                </c:pt>
                <c:pt idx="3">
                  <c:v>-2.3571596520103477</c:v>
                </c:pt>
                <c:pt idx="4">
                  <c:v>1.1257499845364003</c:v>
                </c:pt>
                <c:pt idx="5">
                  <c:v>8.8123964986988383</c:v>
                </c:pt>
                <c:pt idx="6">
                  <c:v>5.8396082354799592</c:v>
                </c:pt>
                <c:pt idx="7">
                  <c:v>-5.78654914734624</c:v>
                </c:pt>
                <c:pt idx="8">
                  <c:v>1.6313125874878858</c:v>
                </c:pt>
                <c:pt idx="9">
                  <c:v>3.2513005202080785</c:v>
                </c:pt>
                <c:pt idx="10">
                  <c:v>4.9974455436347585</c:v>
                </c:pt>
                <c:pt idx="11">
                  <c:v>-6.3832503510790173E-2</c:v>
                </c:pt>
                <c:pt idx="12">
                  <c:v>2.1661942638579434</c:v>
                </c:pt>
                <c:pt idx="13">
                  <c:v>-2.6237556934223591</c:v>
                </c:pt>
                <c:pt idx="14">
                  <c:v>9.6005596283267742</c:v>
                </c:pt>
                <c:pt idx="15">
                  <c:v>4.340978588922372</c:v>
                </c:pt>
                <c:pt idx="16">
                  <c:v>2.9004197803465526</c:v>
                </c:pt>
                <c:pt idx="17">
                  <c:v>2.2615371073850041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E4C-4551-BBD4-73A821AFF4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9"/>
        <c:overlap val="100"/>
        <c:axId val="194467712"/>
        <c:axId val="194473984"/>
      </c:barChart>
      <c:lineChart>
        <c:grouping val="standard"/>
        <c:varyColors val="0"/>
        <c:ser>
          <c:idx val="0"/>
          <c:order val="0"/>
          <c:tx>
            <c:strRef>
              <c:f>'G1-SR-příjmy-příspěvky'!$A$35</c:f>
              <c:strCache>
                <c:ptCount val="1"/>
                <c:pt idx="0">
                  <c:v>Celk. daňové příjmy (bez pojistného na SZ)</c:v>
                </c:pt>
              </c:strCache>
            </c:strRef>
          </c:tx>
          <c:spPr>
            <a:ln w="19050">
              <a:noFill/>
            </a:ln>
          </c:spPr>
          <c:marker>
            <c:symbol val="circle"/>
            <c:size val="7"/>
            <c:spPr>
              <a:solidFill>
                <a:schemeClr val="bg1"/>
              </a:solidFill>
              <a:ln>
                <a:solidFill>
                  <a:schemeClr val="tx1">
                    <a:lumMod val="95000"/>
                    <a:lumOff val="5000"/>
                  </a:schemeClr>
                </a:solidFill>
              </a:ln>
            </c:spPr>
          </c:marker>
          <c:cat>
            <c:numRef>
              <c:f>'G1-SR-příjmy-příspěvky'!$E$34:$V$34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'G1-SR-příjmy-příspěvky'!$E$35:$V$35</c:f>
              <c:numCache>
                <c:formatCode>0.0</c:formatCode>
                <c:ptCount val="18"/>
                <c:pt idx="0">
                  <c:v>6.8167985392574479</c:v>
                </c:pt>
                <c:pt idx="1">
                  <c:v>-11.133903133903132</c:v>
                </c:pt>
                <c:pt idx="2">
                  <c:v>9.0792510900230781</c:v>
                </c:pt>
                <c:pt idx="3">
                  <c:v>-4.9670820597225571</c:v>
                </c:pt>
                <c:pt idx="4">
                  <c:v>4.5834106513267869</c:v>
                </c:pt>
                <c:pt idx="5">
                  <c:v>12.319612017979637</c:v>
                </c:pt>
                <c:pt idx="6">
                  <c:v>9.9257543046706189</c:v>
                </c:pt>
                <c:pt idx="7">
                  <c:v>-11.027016669860117</c:v>
                </c:pt>
                <c:pt idx="8">
                  <c:v>7.6343275546462621</c:v>
                </c:pt>
                <c:pt idx="9">
                  <c:v>7.6980792316926738</c:v>
                </c:pt>
                <c:pt idx="10">
                  <c:v>9.1403093214434961</c:v>
                </c:pt>
                <c:pt idx="11">
                  <c:v>3.8852717136899457</c:v>
                </c:pt>
                <c:pt idx="12">
                  <c:v>5.5112387756759631</c:v>
                </c:pt>
                <c:pt idx="13">
                  <c:v>-14.706462084712683</c:v>
                </c:pt>
                <c:pt idx="14">
                  <c:v>13.872116425948548</c:v>
                </c:pt>
                <c:pt idx="15">
                  <c:v>15.441268062746971</c:v>
                </c:pt>
                <c:pt idx="16">
                  <c:v>11.543799256424563</c:v>
                </c:pt>
                <c:pt idx="17">
                  <c:v>5.3136111376941102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BE4C-4551-BBD4-73A821AFF4C8}"/>
            </c:ext>
          </c:extLst>
        </c:ser>
        <c:ser>
          <c:idx val="7"/>
          <c:order val="7"/>
          <c:tx>
            <c:strRef>
              <c:f>'G1-SR-příjmy-příspěvky'!$A$42</c:f>
              <c:strCache>
                <c:ptCount val="1"/>
                <c:pt idx="0">
                  <c:v>Příjmy z pojistného na soc. zabezpečení*</c:v>
                </c:pt>
              </c:strCache>
            </c:strRef>
          </c:tx>
          <c:spPr>
            <a:ln w="6350">
              <a:noFill/>
              <a:prstDash val="dash"/>
            </a:ln>
          </c:spPr>
          <c:marker>
            <c:symbol val="triangle"/>
            <c:size val="5"/>
            <c:spPr>
              <a:solidFill>
                <a:schemeClr val="tx1">
                  <a:lumMod val="85000"/>
                  <a:lumOff val="15000"/>
                </a:schemeClr>
              </a:solidFill>
              <a:ln>
                <a:solidFill>
                  <a:schemeClr val="tx1">
                    <a:lumMod val="95000"/>
                    <a:lumOff val="5000"/>
                  </a:schemeClr>
                </a:solidFill>
              </a:ln>
            </c:spPr>
          </c:marker>
          <c:cat>
            <c:numRef>
              <c:f>'G1-SR-příjmy-příspěvky'!$E$34:$V$34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'G1-SR-příjmy-příspěvky'!$E$42:$V$42</c:f>
              <c:numCache>
                <c:formatCode>0.0</c:formatCode>
                <c:ptCount val="18"/>
                <c:pt idx="0">
                  <c:v>9.4579008073817761</c:v>
                </c:pt>
                <c:pt idx="1">
                  <c:v>-4.4573234984193988</c:v>
                </c:pt>
                <c:pt idx="2">
                  <c:v>-5.8564023381493371</c:v>
                </c:pt>
                <c:pt idx="3">
                  <c:v>3.8308341143392681</c:v>
                </c:pt>
                <c:pt idx="4">
                  <c:v>3.6894956560984014</c:v>
                </c:pt>
                <c:pt idx="5">
                  <c:v>-1.0554951033732323</c:v>
                </c:pt>
                <c:pt idx="6">
                  <c:v>2.1513929773781797</c:v>
                </c:pt>
                <c:pt idx="7">
                  <c:v>4.8070686526797743</c:v>
                </c:pt>
                <c:pt idx="8">
                  <c:v>5.4941518644093605</c:v>
                </c:pt>
                <c:pt idx="9">
                  <c:v>7.4975657254138213</c:v>
                </c:pt>
                <c:pt idx="10">
                  <c:v>10.144927536231862</c:v>
                </c:pt>
                <c:pt idx="11">
                  <c:v>8.1414473684210691</c:v>
                </c:pt>
                <c:pt idx="12">
                  <c:v>4.6387832699619622</c:v>
                </c:pt>
                <c:pt idx="13">
                  <c:v>2.543604651162795</c:v>
                </c:pt>
                <c:pt idx="14">
                  <c:v>4.8953928497165151</c:v>
                </c:pt>
                <c:pt idx="15">
                  <c:v>10.800511751899535</c:v>
                </c:pt>
                <c:pt idx="16">
                  <c:v>8.2561897759519667</c:v>
                </c:pt>
                <c:pt idx="17">
                  <c:v>7.4957841881886083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E4C-4551-BBD4-73A821AFF4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4467712"/>
        <c:axId val="194473984"/>
      </c:lineChart>
      <c:lineChart>
        <c:grouping val="standard"/>
        <c:varyColors val="0"/>
        <c:ser>
          <c:idx val="8"/>
          <c:order val="8"/>
          <c:tx>
            <c:strRef>
              <c:f>'G1-SR-příjmy-příspěvky'!$A$43</c:f>
              <c:strCache>
                <c:ptCount val="1"/>
                <c:pt idx="0">
                  <c:v>Saldo státního rozpočtu (pravá osa)</c:v>
                </c:pt>
              </c:strCache>
            </c:strRef>
          </c:tx>
          <c:spPr>
            <a:ln w="19050">
              <a:solidFill>
                <a:schemeClr val="bg2">
                  <a:lumMod val="50000"/>
                </a:schemeClr>
              </a:solidFill>
            </a:ln>
          </c:spPr>
          <c:marker>
            <c:symbol val="none"/>
          </c:marker>
          <c:cat>
            <c:numRef>
              <c:f>'G1-SR-příjmy-příspěvky'!$E$34:$V$34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'G1-SR-příjmy-příspěvky'!$E$43:$V$43</c:f>
              <c:numCache>
                <c:formatCode>#\ ##0.0</c:formatCode>
                <c:ptCount val="18"/>
                <c:pt idx="0">
                  <c:v>-13.347</c:v>
                </c:pt>
                <c:pt idx="1">
                  <c:v>-2.3460000000000001</c:v>
                </c:pt>
                <c:pt idx="2">
                  <c:v>-45.942</c:v>
                </c:pt>
                <c:pt idx="3">
                  <c:v>-25.202000000000002</c:v>
                </c:pt>
                <c:pt idx="4">
                  <c:v>-22.69</c:v>
                </c:pt>
                <c:pt idx="5">
                  <c:v>13.97</c:v>
                </c:pt>
                <c:pt idx="6">
                  <c:v>43.59</c:v>
                </c:pt>
                <c:pt idx="7">
                  <c:v>19.91</c:v>
                </c:pt>
                <c:pt idx="8">
                  <c:v>43.6</c:v>
                </c:pt>
                <c:pt idx="9">
                  <c:v>4.68</c:v>
                </c:pt>
                <c:pt idx="10">
                  <c:v>16.260000000000002</c:v>
                </c:pt>
                <c:pt idx="11">
                  <c:v>-9.24</c:v>
                </c:pt>
                <c:pt idx="12">
                  <c:v>-44.70771591839997</c:v>
                </c:pt>
                <c:pt idx="13">
                  <c:v>-125.1977047449202</c:v>
                </c:pt>
                <c:pt idx="14">
                  <c:v>-59.140376242370223</c:v>
                </c:pt>
                <c:pt idx="15">
                  <c:v>-166.18531283895993</c:v>
                </c:pt>
                <c:pt idx="16">
                  <c:v>-104.97373262855001</c:v>
                </c:pt>
                <c:pt idx="17">
                  <c:v>-91.179991613939933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BE4C-4551-BBD4-73A821AFF4C8}"/>
            </c:ext>
          </c:extLst>
        </c:ser>
        <c:ser>
          <c:idx val="9"/>
          <c:order val="9"/>
          <c:tx>
            <c:strRef>
              <c:f>'G1-SR-příjmy-příspěvky'!$A$44</c:f>
              <c:strCache>
                <c:ptCount val="1"/>
                <c:pt idx="0">
                  <c:v>Saldo SR očištěné o vliv EU a FM** (pr. osa)</c:v>
                </c:pt>
              </c:strCache>
            </c:strRef>
          </c:tx>
          <c:spPr>
            <a:ln w="19050">
              <a:solidFill>
                <a:schemeClr val="bg2">
                  <a:lumMod val="75000"/>
                </a:schemeClr>
              </a:solidFill>
              <a:prstDash val="sysDash"/>
            </a:ln>
          </c:spPr>
          <c:marker>
            <c:symbol val="none"/>
          </c:marker>
          <c:cat>
            <c:numRef>
              <c:f>'G1-SR-příjmy-příspěvky'!$E$34:$V$34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'G1-SR-příjmy-příspěvky'!$E$44:$V$44</c:f>
              <c:numCache>
                <c:formatCode>General</c:formatCode>
                <c:ptCount val="18"/>
                <c:pt idx="5" formatCode="#\ ##0.0">
                  <c:v>-9.4</c:v>
                </c:pt>
                <c:pt idx="6" formatCode="#\ ##0.0">
                  <c:v>11</c:v>
                </c:pt>
                <c:pt idx="7" formatCode="#\ ##0.0">
                  <c:v>-18.100000000000001</c:v>
                </c:pt>
                <c:pt idx="8" formatCode="#\ ##0.0">
                  <c:v>-11.9</c:v>
                </c:pt>
                <c:pt idx="9" formatCode="#\ ##0.0">
                  <c:v>-4.5599999999999996</c:v>
                </c:pt>
                <c:pt idx="10" formatCode="#\ ##0.0">
                  <c:v>-5.26</c:v>
                </c:pt>
                <c:pt idx="11" formatCode="#\ ##0.0">
                  <c:v>-6.1961843930897658</c:v>
                </c:pt>
                <c:pt idx="12" formatCode="#\ ##0.0">
                  <c:v>-41.582504753719945</c:v>
                </c:pt>
                <c:pt idx="13" formatCode="#\ ##0.0">
                  <c:v>-123.9</c:v>
                </c:pt>
                <c:pt idx="14" formatCode="#\ ##0.0">
                  <c:v>-55.306921067390192</c:v>
                </c:pt>
                <c:pt idx="15" formatCode="#\ ##0.0">
                  <c:v>-156.83966401531995</c:v>
                </c:pt>
                <c:pt idx="16" formatCode="#\ ##0.0">
                  <c:v>-99.064572721260049</c:v>
                </c:pt>
                <c:pt idx="17" formatCode="#\ ##0.0">
                  <c:v>-90.615684114799876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BE4C-4551-BBD4-73A821AFF4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9204576"/>
        <c:axId val="556140592"/>
      </c:lineChart>
      <c:catAx>
        <c:axId val="194467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-2220000"/>
          <a:lstStyle/>
          <a:p>
            <a:pPr>
              <a:defRPr sz="800" b="0" i="0"/>
            </a:pPr>
            <a:endParaRPr lang="cs-CZ"/>
          </a:p>
        </c:txPr>
        <c:crossAx val="194473984"/>
        <c:crosses val="autoZero"/>
        <c:auto val="1"/>
        <c:lblAlgn val="ctr"/>
        <c:lblOffset val="0"/>
        <c:noMultiLvlLbl val="0"/>
      </c:catAx>
      <c:valAx>
        <c:axId val="194473984"/>
        <c:scaling>
          <c:orientation val="minMax"/>
          <c:max val="18"/>
          <c:min val="-24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b="0"/>
                </a:pPr>
                <a:r>
                  <a:rPr lang="cs-CZ" b="0"/>
                  <a:t>Růst příjmů z pojistného, příspěvek k růstu daň. příjmů</a:t>
                </a:r>
              </a:p>
            </c:rich>
          </c:tx>
          <c:layout/>
          <c:overlay val="0"/>
        </c:title>
        <c:numFmt formatCode="0" sourceLinked="0"/>
        <c:majorTickMark val="out"/>
        <c:minorTickMark val="none"/>
        <c:tickLblPos val="nextTo"/>
        <c:spPr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800" b="0" i="0"/>
            </a:pPr>
            <a:endParaRPr lang="cs-CZ"/>
          </a:p>
        </c:txPr>
        <c:crossAx val="194467712"/>
        <c:crosses val="autoZero"/>
        <c:crossBetween val="between"/>
        <c:majorUnit val="3"/>
      </c:valAx>
      <c:valAx>
        <c:axId val="556140592"/>
        <c:scaling>
          <c:orientation val="minMax"/>
          <c:max val="240"/>
          <c:min val="-180"/>
        </c:scaling>
        <c:delete val="0"/>
        <c:axPos val="r"/>
        <c:title>
          <c:tx>
            <c:rich>
              <a:bodyPr/>
              <a:lstStyle/>
              <a:p>
                <a:pPr>
                  <a:defRPr b="0"/>
                </a:pPr>
                <a:r>
                  <a:rPr lang="cs-CZ" b="0"/>
                  <a:t>Saldo státního rozpočtu</a:t>
                </a:r>
              </a:p>
            </c:rich>
          </c:tx>
          <c:layout>
            <c:manualLayout>
              <c:xMode val="edge"/>
              <c:yMode val="edge"/>
              <c:x val="0.97036646544776606"/>
              <c:y val="0.20963215506367217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 b="0" i="0"/>
            </a:pPr>
            <a:endParaRPr lang="cs-CZ"/>
          </a:p>
        </c:txPr>
        <c:crossAx val="539204576"/>
        <c:crosses val="max"/>
        <c:crossBetween val="between"/>
        <c:majorUnit val="30"/>
      </c:valAx>
      <c:catAx>
        <c:axId val="5392045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56140592"/>
        <c:crosses val="autoZero"/>
        <c:auto val="1"/>
        <c:lblAlgn val="ctr"/>
        <c:lblOffset val="100"/>
        <c:noMultiLvlLbl val="0"/>
      </c:catAx>
      <c:spPr>
        <a:ln w="6350"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1.3447427639932447E-2"/>
          <c:y val="0.84265959516578315"/>
          <c:w val="0.96519969995767563"/>
          <c:h val="0.1536733294810981"/>
        </c:manualLayout>
      </c:layout>
      <c:overlay val="0"/>
      <c:spPr>
        <a:ln w="6350">
          <a:solidFill>
            <a:schemeClr val="tx1"/>
          </a:solidFill>
        </a:ln>
      </c:spPr>
      <c:txPr>
        <a:bodyPr/>
        <a:lstStyle/>
        <a:p>
          <a:pPr>
            <a:defRPr sz="750" b="0" i="0"/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 b="1" i="1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4007261111142572E-2"/>
          <c:y val="1.7698902479006788E-2"/>
          <c:w val="0.84789353558533553"/>
          <c:h val="0.710021843881045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'G2-St.rozpočet-výdaje-2024'!$B$32</c:f>
              <c:strCache>
                <c:ptCount val="1"/>
                <c:pt idx="0">
                  <c:v>Běžné výdaje (pravá osa)</c:v>
                </c:pt>
              </c:strCache>
            </c:strRef>
          </c:tx>
          <c:spPr>
            <a:solidFill>
              <a:srgbClr val="E8E8E8"/>
            </a:solidFill>
            <a:ln w="6350">
              <a:solidFill>
                <a:schemeClr val="bg1">
                  <a:lumMod val="65000"/>
                </a:schemeClr>
              </a:solidFill>
            </a:ln>
          </c:spPr>
          <c:invertIfNegative val="0"/>
          <c:cat>
            <c:numRef>
              <c:f>'G2-St.rozpočet-výdaje-2024'!$A$36:$A$53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'G2-St.rozpočet-výdaje-2024'!$B$36:$B$53</c:f>
              <c:numCache>
                <c:formatCode>0.0</c:formatCode>
                <c:ptCount val="18"/>
                <c:pt idx="0">
                  <c:v>251.64</c:v>
                </c:pt>
                <c:pt idx="1">
                  <c:v>242.03</c:v>
                </c:pt>
                <c:pt idx="2">
                  <c:v>262.01</c:v>
                </c:pt>
                <c:pt idx="3">
                  <c:v>252.45</c:v>
                </c:pt>
                <c:pt idx="4">
                  <c:v>258.94</c:v>
                </c:pt>
                <c:pt idx="5">
                  <c:v>261.20999999999998</c:v>
                </c:pt>
                <c:pt idx="6">
                  <c:v>265.72000000000003</c:v>
                </c:pt>
                <c:pt idx="7">
                  <c:v>274.76</c:v>
                </c:pt>
                <c:pt idx="8">
                  <c:v>278.33</c:v>
                </c:pt>
                <c:pt idx="9">
                  <c:v>296.72000000000003</c:v>
                </c:pt>
                <c:pt idx="10">
                  <c:v>317.70999999999998</c:v>
                </c:pt>
                <c:pt idx="11">
                  <c:v>357.12</c:v>
                </c:pt>
                <c:pt idx="12">
                  <c:v>398.64712341415998</c:v>
                </c:pt>
                <c:pt idx="13">
                  <c:v>441.4270080969801</c:v>
                </c:pt>
                <c:pt idx="14">
                  <c:v>399.41500922346</c:v>
                </c:pt>
                <c:pt idx="15">
                  <c:v>532.53804444666014</c:v>
                </c:pt>
                <c:pt idx="16">
                  <c:v>520.45979032463003</c:v>
                </c:pt>
                <c:pt idx="17">
                  <c:v>535.69032260976985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C4-4F19-B605-CCAF30B3297D}"/>
            </c:ext>
          </c:extLst>
        </c:ser>
        <c:ser>
          <c:idx val="1"/>
          <c:order val="1"/>
          <c:tx>
            <c:strRef>
              <c:f>'G2-St.rozpočet-výdaje-2024'!$C$32</c:f>
              <c:strCache>
                <c:ptCount val="1"/>
                <c:pt idx="0">
                  <c:v>z toho výdaje na důchody (pr. osa)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 w="6350">
              <a:solidFill>
                <a:schemeClr val="bg1">
                  <a:lumMod val="75000"/>
                </a:schemeClr>
              </a:solidFill>
            </a:ln>
          </c:spPr>
          <c:invertIfNegative val="0"/>
          <c:cat>
            <c:numRef>
              <c:f>'G2-St.rozpočet-výdaje-2024'!$A$36:$A$53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'G2-St.rozpočet-výdaje-2024'!$C$36:$C$53</c:f>
              <c:numCache>
                <c:formatCode>0.0</c:formatCode>
                <c:ptCount val="18"/>
                <c:pt idx="0">
                  <c:v>75.12</c:v>
                </c:pt>
                <c:pt idx="1">
                  <c:v>82.56</c:v>
                </c:pt>
                <c:pt idx="2">
                  <c:v>86.24</c:v>
                </c:pt>
                <c:pt idx="3">
                  <c:v>91.83</c:v>
                </c:pt>
                <c:pt idx="4">
                  <c:v>93.1</c:v>
                </c:pt>
                <c:pt idx="5">
                  <c:v>89.17</c:v>
                </c:pt>
                <c:pt idx="6">
                  <c:v>88.14</c:v>
                </c:pt>
                <c:pt idx="7">
                  <c:v>90.59</c:v>
                </c:pt>
                <c:pt idx="8">
                  <c:v>97.1</c:v>
                </c:pt>
                <c:pt idx="9">
                  <c:v>102.39</c:v>
                </c:pt>
                <c:pt idx="10">
                  <c:v>107.5</c:v>
                </c:pt>
                <c:pt idx="11">
                  <c:v>116.5</c:v>
                </c:pt>
                <c:pt idx="12">
                  <c:v>126.1</c:v>
                </c:pt>
                <c:pt idx="13">
                  <c:v>134.60955542761999</c:v>
                </c:pt>
                <c:pt idx="14">
                  <c:v>141.89044829648998</c:v>
                </c:pt>
                <c:pt idx="15">
                  <c:v>171.36544377852999</c:v>
                </c:pt>
                <c:pt idx="16">
                  <c:v>180.52654343703</c:v>
                </c:pt>
                <c:pt idx="17">
                  <c:v>178.54531022916001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C4-4F19-B605-CCAF30B329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5"/>
        <c:overlap val="100"/>
        <c:axId val="72836608"/>
        <c:axId val="72835072"/>
      </c:barChart>
      <c:lineChart>
        <c:grouping val="standard"/>
        <c:varyColors val="0"/>
        <c:ser>
          <c:idx val="6"/>
          <c:order val="2"/>
          <c:tx>
            <c:strRef>
              <c:f>'G2-St.rozpočet-výdaje-2024'!$D$32</c:f>
              <c:strCache>
                <c:ptCount val="1"/>
                <c:pt idx="0">
                  <c:v>Platy a související výdaje*</c:v>
                </c:pt>
              </c:strCache>
            </c:strRef>
          </c:tx>
          <c:spPr>
            <a:ln w="15875">
              <a:solidFill>
                <a:srgbClr val="D5D000"/>
              </a:solidFill>
            </a:ln>
          </c:spPr>
          <c:marker>
            <c:symbol val="none"/>
          </c:marker>
          <c:cat>
            <c:numRef>
              <c:f>'G2-St.rozpočet-výdaje-2024'!$A$36:$A$53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'G2-St.rozpočet-výdaje-2024'!$D$36:$D$53</c:f>
              <c:numCache>
                <c:formatCode>0.0</c:formatCode>
                <c:ptCount val="18"/>
                <c:pt idx="0">
                  <c:v>14.73</c:v>
                </c:pt>
                <c:pt idx="1">
                  <c:v>15.14</c:v>
                </c:pt>
                <c:pt idx="2">
                  <c:v>15.42</c:v>
                </c:pt>
                <c:pt idx="3">
                  <c:v>14.05</c:v>
                </c:pt>
                <c:pt idx="4">
                  <c:v>14.35</c:v>
                </c:pt>
                <c:pt idx="5">
                  <c:v>14.46</c:v>
                </c:pt>
                <c:pt idx="6">
                  <c:v>14.8</c:v>
                </c:pt>
                <c:pt idx="7">
                  <c:v>15.8</c:v>
                </c:pt>
                <c:pt idx="8">
                  <c:v>16.75</c:v>
                </c:pt>
                <c:pt idx="9">
                  <c:v>17.75</c:v>
                </c:pt>
                <c:pt idx="10">
                  <c:v>20.47</c:v>
                </c:pt>
                <c:pt idx="11">
                  <c:v>22.19</c:v>
                </c:pt>
                <c:pt idx="12">
                  <c:v>23.368913903229998</c:v>
                </c:pt>
                <c:pt idx="13">
                  <c:v>23.533468726859997</c:v>
                </c:pt>
                <c:pt idx="14">
                  <c:v>23.433169218610001</c:v>
                </c:pt>
                <c:pt idx="15">
                  <c:v>26.224629488409995</c:v>
                </c:pt>
                <c:pt idx="16">
                  <c:v>26.439389476379997</c:v>
                </c:pt>
                <c:pt idx="17">
                  <c:v>27.71078910804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4C4-4F19-B605-CCAF30B3297D}"/>
            </c:ext>
          </c:extLst>
        </c:ser>
        <c:ser>
          <c:idx val="7"/>
          <c:order val="3"/>
          <c:tx>
            <c:strRef>
              <c:f>'G2-St.rozpočet-výdaje-2024'!$E$32</c:f>
              <c:strCache>
                <c:ptCount val="1"/>
                <c:pt idx="0">
                  <c:v>Podpora v nezaměstnanosti</c:v>
                </c:pt>
              </c:strCache>
            </c:strRef>
          </c:tx>
          <c:spPr>
            <a:ln w="15875">
              <a:solidFill>
                <a:schemeClr val="tx1">
                  <a:lumMod val="95000"/>
                  <a:lumOff val="5000"/>
                </a:schemeClr>
              </a:solidFill>
            </a:ln>
          </c:spPr>
          <c:marker>
            <c:symbol val="none"/>
          </c:marker>
          <c:cat>
            <c:numRef>
              <c:f>'G2-St.rozpočet-výdaje-2024'!$A$36:$A$53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'G2-St.rozpočet-výdaje-2024'!$E$36:$E$53</c:f>
              <c:numCache>
                <c:formatCode>0.0</c:formatCode>
                <c:ptCount val="18"/>
                <c:pt idx="0">
                  <c:v>1.87</c:v>
                </c:pt>
                <c:pt idx="1">
                  <c:v>3.07</c:v>
                </c:pt>
                <c:pt idx="2">
                  <c:v>4.21</c:v>
                </c:pt>
                <c:pt idx="3">
                  <c:v>3.62</c:v>
                </c:pt>
                <c:pt idx="4">
                  <c:v>2.63</c:v>
                </c:pt>
                <c:pt idx="5">
                  <c:v>2.82</c:v>
                </c:pt>
                <c:pt idx="6">
                  <c:v>2.86</c:v>
                </c:pt>
                <c:pt idx="7">
                  <c:v>2.56</c:v>
                </c:pt>
                <c:pt idx="8">
                  <c:v>2.4500000000000002</c:v>
                </c:pt>
                <c:pt idx="9">
                  <c:v>2.42</c:v>
                </c:pt>
                <c:pt idx="10">
                  <c:v>2.21</c:v>
                </c:pt>
                <c:pt idx="11">
                  <c:v>2.30140118962</c:v>
                </c:pt>
                <c:pt idx="12">
                  <c:v>2.4618649264500001</c:v>
                </c:pt>
                <c:pt idx="13">
                  <c:v>2.9688356739000001</c:v>
                </c:pt>
                <c:pt idx="14">
                  <c:v>2.7006655894699998</c:v>
                </c:pt>
                <c:pt idx="15">
                  <c:v>2.9152491361499999</c:v>
                </c:pt>
                <c:pt idx="16">
                  <c:v>3.3844962595500001</c:v>
                </c:pt>
                <c:pt idx="17">
                  <c:v>3.8425985031599996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4C4-4F19-B605-CCAF30B3297D}"/>
            </c:ext>
          </c:extLst>
        </c:ser>
        <c:ser>
          <c:idx val="2"/>
          <c:order val="4"/>
          <c:tx>
            <c:strRef>
              <c:f>'G2-St.rozpočet-výdaje-2024'!$F$32</c:f>
              <c:strCache>
                <c:ptCount val="1"/>
                <c:pt idx="0">
                  <c:v>Státní sociální podpora**</c:v>
                </c:pt>
              </c:strCache>
            </c:strRef>
          </c:tx>
          <c:spPr>
            <a:ln w="15875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numRef>
              <c:f>'G2-St.rozpočet-výdaje-2024'!$A$36:$A$53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'G2-St.rozpočet-výdaje-2024'!$F$36:$F$53</c:f>
              <c:numCache>
                <c:formatCode>General</c:formatCode>
                <c:ptCount val="18"/>
                <c:pt idx="0">
                  <c:v>11.07</c:v>
                </c:pt>
                <c:pt idx="1">
                  <c:v>10.199999999999999</c:v>
                </c:pt>
                <c:pt idx="2">
                  <c:v>10.3</c:v>
                </c:pt>
                <c:pt idx="3">
                  <c:v>9.3800000000000008</c:v>
                </c:pt>
                <c:pt idx="4">
                  <c:v>8.89</c:v>
                </c:pt>
                <c:pt idx="5">
                  <c:v>9.2200000000000006</c:v>
                </c:pt>
                <c:pt idx="6">
                  <c:v>9.3699999999999992</c:v>
                </c:pt>
                <c:pt idx="7">
                  <c:v>9.33</c:v>
                </c:pt>
                <c:pt idx="8">
                  <c:v>9.3800000000000008</c:v>
                </c:pt>
                <c:pt idx="9">
                  <c:v>9.2899999999999991</c:v>
                </c:pt>
                <c:pt idx="10">
                  <c:v>9.48</c:v>
                </c:pt>
                <c:pt idx="11" formatCode="0.00">
                  <c:v>9.5169305102399999</c:v>
                </c:pt>
                <c:pt idx="12">
                  <c:v>11.83410995721</c:v>
                </c:pt>
                <c:pt idx="13" formatCode="0.00">
                  <c:v>12.157197793090001</c:v>
                </c:pt>
                <c:pt idx="14" formatCode="0.00">
                  <c:v>11.86611055124</c:v>
                </c:pt>
                <c:pt idx="15" formatCode="0.00">
                  <c:v>14.5934024789</c:v>
                </c:pt>
                <c:pt idx="16" formatCode="0.00">
                  <c:v>15.149787643109999</c:v>
                </c:pt>
                <c:pt idx="17" formatCode="0.00">
                  <c:v>15.35812457566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4C4-4F19-B605-CCAF30B3297D}"/>
            </c:ext>
          </c:extLst>
        </c:ser>
        <c:ser>
          <c:idx val="3"/>
          <c:order val="5"/>
          <c:tx>
            <c:strRef>
              <c:f>'G2-St.rozpočet-výdaje-2024'!$G$32</c:f>
              <c:strCache>
                <c:ptCount val="1"/>
                <c:pt idx="0">
                  <c:v>Dávky nemocenského pojištění</c:v>
                </c:pt>
              </c:strCache>
            </c:strRef>
          </c:tx>
          <c:spPr>
            <a:ln w="15875">
              <a:solidFill>
                <a:srgbClr val="00B0F0"/>
              </a:solidFill>
            </a:ln>
          </c:spPr>
          <c:marker>
            <c:symbol val="none"/>
          </c:marker>
          <c:cat>
            <c:numRef>
              <c:f>'G2-St.rozpočet-výdaje-2024'!$A$36:$A$53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'G2-St.rozpočet-výdaje-2024'!$G$36:$G$53</c:f>
              <c:numCache>
                <c:formatCode>0.00</c:formatCode>
                <c:ptCount val="18"/>
                <c:pt idx="0">
                  <c:v>9.09</c:v>
                </c:pt>
                <c:pt idx="1">
                  <c:v>7.27</c:v>
                </c:pt>
                <c:pt idx="2">
                  <c:v>6.07</c:v>
                </c:pt>
                <c:pt idx="3">
                  <c:v>6.07</c:v>
                </c:pt>
                <c:pt idx="4">
                  <c:v>5.21</c:v>
                </c:pt>
                <c:pt idx="5">
                  <c:v>5.3</c:v>
                </c:pt>
                <c:pt idx="6">
                  <c:v>5.47</c:v>
                </c:pt>
                <c:pt idx="7">
                  <c:v>6.21</c:v>
                </c:pt>
                <c:pt idx="8">
                  <c:v>6.67</c:v>
                </c:pt>
                <c:pt idx="9">
                  <c:v>7.47</c:v>
                </c:pt>
                <c:pt idx="10">
                  <c:v>8.2899999999999991</c:v>
                </c:pt>
                <c:pt idx="11">
                  <c:v>9.92</c:v>
                </c:pt>
                <c:pt idx="12">
                  <c:v>10.97</c:v>
                </c:pt>
                <c:pt idx="13">
                  <c:v>13.3</c:v>
                </c:pt>
                <c:pt idx="14">
                  <c:v>13.36</c:v>
                </c:pt>
                <c:pt idx="15">
                  <c:v>12.6</c:v>
                </c:pt>
                <c:pt idx="16">
                  <c:v>12.8</c:v>
                </c:pt>
                <c:pt idx="17">
                  <c:v>13.25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4C4-4F19-B605-CCAF30B3297D}"/>
            </c:ext>
          </c:extLst>
        </c:ser>
        <c:ser>
          <c:idx val="4"/>
          <c:order val="6"/>
          <c:tx>
            <c:strRef>
              <c:f>'G2-St.rozpočet-výdaje-2024'!$H$32</c:f>
              <c:strCache>
                <c:ptCount val="1"/>
                <c:pt idx="0">
                  <c:v>Dávky sociální péče***</c:v>
                </c:pt>
              </c:strCache>
            </c:strRef>
          </c:tx>
          <c:spPr>
            <a:ln w="15875">
              <a:solidFill>
                <a:srgbClr val="00B050"/>
              </a:solidFill>
              <a:prstDash val="solid"/>
            </a:ln>
          </c:spPr>
          <c:marker>
            <c:symbol val="none"/>
          </c:marker>
          <c:cat>
            <c:numRef>
              <c:f>'G2-St.rozpočet-výdaje-2024'!$A$36:$A$53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'G2-St.rozpočet-výdaje-2024'!$H$36:$H$53</c:f>
              <c:numCache>
                <c:formatCode>0.00</c:formatCode>
                <c:ptCount val="18"/>
                <c:pt idx="0">
                  <c:v>7.8000000000000007</c:v>
                </c:pt>
                <c:pt idx="1">
                  <c:v>7.1</c:v>
                </c:pt>
                <c:pt idx="2">
                  <c:v>7.1999999999999993</c:v>
                </c:pt>
                <c:pt idx="3">
                  <c:v>6.68</c:v>
                </c:pt>
                <c:pt idx="4">
                  <c:v>6.37</c:v>
                </c:pt>
                <c:pt idx="5">
                  <c:v>7.64</c:v>
                </c:pt>
                <c:pt idx="6">
                  <c:v>8.2100000000000009</c:v>
                </c:pt>
                <c:pt idx="7">
                  <c:v>8.44</c:v>
                </c:pt>
                <c:pt idx="8">
                  <c:v>8.34</c:v>
                </c:pt>
                <c:pt idx="9">
                  <c:v>8.85</c:v>
                </c:pt>
                <c:pt idx="10">
                  <c:v>8.48</c:v>
                </c:pt>
                <c:pt idx="11">
                  <c:v>8.3800000000000008</c:v>
                </c:pt>
                <c:pt idx="12">
                  <c:v>9.91</c:v>
                </c:pt>
                <c:pt idx="13">
                  <c:v>10.199999999999999</c:v>
                </c:pt>
                <c:pt idx="14">
                  <c:v>11.6</c:v>
                </c:pt>
                <c:pt idx="15">
                  <c:v>13.9</c:v>
                </c:pt>
                <c:pt idx="16">
                  <c:v>13.5</c:v>
                </c:pt>
                <c:pt idx="17">
                  <c:v>16.329999999999998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F4C4-4F19-B605-CCAF30B3297D}"/>
            </c:ext>
          </c:extLst>
        </c:ser>
        <c:ser>
          <c:idx val="5"/>
          <c:order val="7"/>
          <c:tx>
            <c:strRef>
              <c:f>'G2-St.rozpočet-výdaje-2024'!$I$32</c:f>
              <c:strCache>
                <c:ptCount val="1"/>
                <c:pt idx="0">
                  <c:v>Neinv. nákupy a souvis.výdaje****</c:v>
                </c:pt>
              </c:strCache>
            </c:strRef>
          </c:tx>
          <c:spPr>
            <a:ln w="9525">
              <a:solidFill>
                <a:srgbClr val="7030A0"/>
              </a:solidFill>
              <a:prstDash val="sysDot"/>
            </a:ln>
          </c:spPr>
          <c:marker>
            <c:symbol val="circle"/>
            <c:size val="5"/>
            <c:spPr>
              <a:solidFill>
                <a:schemeClr val="bg1"/>
              </a:solidFill>
              <a:ln>
                <a:solidFill>
                  <a:srgbClr val="7030A0"/>
                </a:solidFill>
              </a:ln>
            </c:spPr>
          </c:marker>
          <c:cat>
            <c:numRef>
              <c:f>'G2-St.rozpočet-výdaje-2024'!$A$36:$A$53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'G2-St.rozpočet-výdaje-2024'!$I$36:$I$53</c:f>
              <c:numCache>
                <c:formatCode>General</c:formatCode>
                <c:ptCount val="18"/>
                <c:pt idx="4" formatCode="0.0">
                  <c:v>14.04</c:v>
                </c:pt>
                <c:pt idx="5" formatCode="0.0">
                  <c:v>11.8</c:v>
                </c:pt>
                <c:pt idx="6" formatCode="0.0">
                  <c:v>10.3</c:v>
                </c:pt>
                <c:pt idx="7" formatCode="0.0">
                  <c:v>12.43</c:v>
                </c:pt>
                <c:pt idx="8" formatCode="0.0">
                  <c:v>11.780000000000001</c:v>
                </c:pt>
                <c:pt idx="9" formatCode="0.0">
                  <c:v>14.34</c:v>
                </c:pt>
                <c:pt idx="10" formatCode="0.0">
                  <c:v>15.51</c:v>
                </c:pt>
                <c:pt idx="11" formatCode="0.0">
                  <c:v>13.6</c:v>
                </c:pt>
                <c:pt idx="12" formatCode="0.0">
                  <c:v>18.412898374919997</c:v>
                </c:pt>
                <c:pt idx="13" formatCode="0.0">
                  <c:v>13.877945219839999</c:v>
                </c:pt>
                <c:pt idx="14" formatCode="0.0">
                  <c:v>15.432360398750003</c:v>
                </c:pt>
                <c:pt idx="15" formatCode="0.0">
                  <c:v>15.294108232550006</c:v>
                </c:pt>
                <c:pt idx="16" formatCode="0.0">
                  <c:v>19.122036378900006</c:v>
                </c:pt>
                <c:pt idx="17" formatCode="0.0">
                  <c:v>19.244359188459995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F4C4-4F19-B605-CCAF30B3297D}"/>
            </c:ext>
          </c:extLst>
        </c:ser>
        <c:ser>
          <c:idx val="9"/>
          <c:order val="8"/>
          <c:tx>
            <c:strRef>
              <c:f>'G2-St.rozpočet-výdaje-2024'!$J$32</c:f>
              <c:strCache>
                <c:ptCount val="1"/>
                <c:pt idx="0">
                  <c:v>Neinvestič. transfery podnikatelům</c:v>
                </c:pt>
              </c:strCache>
            </c:strRef>
          </c:tx>
          <c:spPr>
            <a:ln w="15875">
              <a:noFill/>
              <a:prstDash val="sysDot"/>
            </a:ln>
          </c:spPr>
          <c:marker>
            <c:symbol val="triangle"/>
            <c:size val="5"/>
            <c:spPr>
              <a:solidFill>
                <a:schemeClr val="tx1">
                  <a:lumMod val="95000"/>
                  <a:lumOff val="5000"/>
                </a:schemeClr>
              </a:solidFill>
              <a:ln>
                <a:noFill/>
              </a:ln>
            </c:spPr>
          </c:marker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8-F4C4-4F19-B605-CCAF30B3297D}"/>
              </c:ext>
            </c:extLst>
          </c:dPt>
          <c:cat>
            <c:numRef>
              <c:f>'G2-St.rozpočet-výdaje-2024'!$A$36:$A$53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'G2-St.rozpočet-výdaje-2024'!$J$36:$J$53</c:f>
              <c:numCache>
                <c:formatCode>General</c:formatCode>
                <c:ptCount val="18"/>
                <c:pt idx="4" formatCode="0.0">
                  <c:v>8.6300000000000008</c:v>
                </c:pt>
                <c:pt idx="5" formatCode="0.0">
                  <c:v>7.93</c:v>
                </c:pt>
                <c:pt idx="6" formatCode="0.0">
                  <c:v>9.3800000000000008</c:v>
                </c:pt>
                <c:pt idx="7" formatCode="0.0">
                  <c:v>10.44</c:v>
                </c:pt>
                <c:pt idx="8" formatCode="0.0">
                  <c:v>9.8800000000000008</c:v>
                </c:pt>
                <c:pt idx="9" formatCode="0.0">
                  <c:v>13.31</c:v>
                </c:pt>
                <c:pt idx="10" formatCode="0.0">
                  <c:v>11.74</c:v>
                </c:pt>
                <c:pt idx="11" formatCode="0.0">
                  <c:v>15.29</c:v>
                </c:pt>
                <c:pt idx="12" formatCode="0.0">
                  <c:v>15.09</c:v>
                </c:pt>
                <c:pt idx="13" formatCode="0.0">
                  <c:v>38.603799745229999</c:v>
                </c:pt>
                <c:pt idx="14" formatCode="0.0">
                  <c:v>13.316887891789998</c:v>
                </c:pt>
                <c:pt idx="15" formatCode="0.0">
                  <c:v>44.217813779380002</c:v>
                </c:pt>
                <c:pt idx="16" formatCode="0.0">
                  <c:v>28.32791854501</c:v>
                </c:pt>
                <c:pt idx="17" formatCode="0.0">
                  <c:v>17.2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F4C4-4F19-B605-CCAF30B3297D}"/>
            </c:ext>
          </c:extLst>
        </c:ser>
        <c:ser>
          <c:idx val="8"/>
          <c:order val="9"/>
          <c:tx>
            <c:strRef>
              <c:f>'G2-St.rozpočet-výdaje-2024'!$K$32</c:f>
              <c:strCache>
                <c:ptCount val="1"/>
                <c:pt idx="0">
                  <c:v>Státní dluh (čisté výdaje)*****</c:v>
                </c:pt>
              </c:strCache>
            </c:strRef>
          </c:tx>
          <c:spPr>
            <a:ln w="12700">
              <a:noFill/>
              <a:prstDash val="sysDot"/>
            </a:ln>
          </c:spPr>
          <c:marker>
            <c:symbol val="diamond"/>
            <c:size val="5"/>
            <c:spPr>
              <a:solidFill>
                <a:srgbClr val="FF0000"/>
              </a:solidFill>
              <a:ln>
                <a:noFill/>
              </a:ln>
            </c:spPr>
          </c:marker>
          <c:cat>
            <c:numRef>
              <c:f>'G2-St.rozpočet-výdaje-2024'!$A$36:$A$53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'G2-St.rozpočet-výdaje-2024'!$K$36:$K$53</c:f>
              <c:numCache>
                <c:formatCode>0.0</c:formatCode>
                <c:ptCount val="18"/>
                <c:pt idx="0">
                  <c:v>6.4700000000000006</c:v>
                </c:pt>
                <c:pt idx="1">
                  <c:v>7.31</c:v>
                </c:pt>
                <c:pt idx="2">
                  <c:v>2.6399999999999997</c:v>
                </c:pt>
                <c:pt idx="3">
                  <c:v>3.4000000000000004</c:v>
                </c:pt>
                <c:pt idx="4">
                  <c:v>1.54</c:v>
                </c:pt>
                <c:pt idx="5">
                  <c:v>2.2599999999999998</c:v>
                </c:pt>
                <c:pt idx="6">
                  <c:v>2.13</c:v>
                </c:pt>
                <c:pt idx="7">
                  <c:v>0.96999999999999975</c:v>
                </c:pt>
                <c:pt idx="8">
                  <c:v>3.13</c:v>
                </c:pt>
                <c:pt idx="9">
                  <c:v>-0.31</c:v>
                </c:pt>
                <c:pt idx="10">
                  <c:v>2.06</c:v>
                </c:pt>
                <c:pt idx="11">
                  <c:v>1.3502602605999998</c:v>
                </c:pt>
                <c:pt idx="12">
                  <c:v>3.4313927868200005</c:v>
                </c:pt>
                <c:pt idx="13">
                  <c:v>4.2</c:v>
                </c:pt>
                <c:pt idx="14">
                  <c:v>7.9</c:v>
                </c:pt>
                <c:pt idx="15">
                  <c:v>16.365433997490001</c:v>
                </c:pt>
                <c:pt idx="16">
                  <c:v>11.329492006200001</c:v>
                </c:pt>
                <c:pt idx="17">
                  <c:v>16.390006008420002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F4C4-4F19-B605-CCAF30B3297D}"/>
            </c:ext>
          </c:extLst>
        </c:ser>
        <c:ser>
          <c:idx val="10"/>
          <c:order val="10"/>
          <c:tx>
            <c:strRef>
              <c:f>'G2-St.rozpočet-výdaje-2024'!$L$32</c:f>
              <c:strCache>
                <c:ptCount val="1"/>
                <c:pt idx="0">
                  <c:v>Kapitálové výdaje</c:v>
                </c:pt>
              </c:strCache>
            </c:strRef>
          </c:tx>
          <c:spPr>
            <a:ln w="15875">
              <a:solidFill>
                <a:srgbClr val="996633"/>
              </a:solidFill>
              <a:prstDash val="solid"/>
            </a:ln>
          </c:spPr>
          <c:marker>
            <c:symbol val="none"/>
          </c:marker>
          <c:cat>
            <c:numRef>
              <c:f>'G2-St.rozpočet-výdaje-2024'!$A$36:$A$53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'G2-St.rozpočet-výdaje-2024'!$L$36:$L$53</c:f>
              <c:numCache>
                <c:formatCode>0.0</c:formatCode>
                <c:ptCount val="18"/>
                <c:pt idx="0">
                  <c:v>31.85</c:v>
                </c:pt>
                <c:pt idx="1">
                  <c:v>31.88</c:v>
                </c:pt>
                <c:pt idx="2">
                  <c:v>33.1</c:v>
                </c:pt>
                <c:pt idx="3">
                  <c:v>26.12</c:v>
                </c:pt>
                <c:pt idx="4">
                  <c:v>22.19</c:v>
                </c:pt>
                <c:pt idx="5">
                  <c:v>17.690000000000001</c:v>
                </c:pt>
                <c:pt idx="6">
                  <c:v>14.93</c:v>
                </c:pt>
                <c:pt idx="7">
                  <c:v>19.78</c:v>
                </c:pt>
                <c:pt idx="8">
                  <c:v>20.02</c:v>
                </c:pt>
                <c:pt idx="9">
                  <c:v>6.27</c:v>
                </c:pt>
                <c:pt idx="10">
                  <c:v>11.73</c:v>
                </c:pt>
                <c:pt idx="11">
                  <c:v>16.43</c:v>
                </c:pt>
                <c:pt idx="12">
                  <c:v>23.367157547710001</c:v>
                </c:pt>
                <c:pt idx="13">
                  <c:v>23.477695399889999</c:v>
                </c:pt>
                <c:pt idx="14">
                  <c:v>15.96759917888</c:v>
                </c:pt>
                <c:pt idx="15">
                  <c:v>36.131603101170001</c:v>
                </c:pt>
                <c:pt idx="16">
                  <c:v>33.585090469280004</c:v>
                </c:pt>
                <c:pt idx="17">
                  <c:v>31.926295925510001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F4C4-4F19-B605-CCAF30B329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827648"/>
        <c:axId val="72829184"/>
      </c:lineChart>
      <c:catAx>
        <c:axId val="72827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 rot="-1800000"/>
          <a:lstStyle/>
          <a:p>
            <a:pPr>
              <a:defRPr sz="750"/>
            </a:pPr>
            <a:endParaRPr lang="cs-CZ"/>
          </a:p>
        </c:txPr>
        <c:crossAx val="72829184"/>
        <c:crosses val="autoZero"/>
        <c:auto val="1"/>
        <c:lblAlgn val="ctr"/>
        <c:lblOffset val="0"/>
        <c:noMultiLvlLbl val="0"/>
      </c:catAx>
      <c:valAx>
        <c:axId val="72829184"/>
        <c:scaling>
          <c:orientation val="minMax"/>
          <c:max val="45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00" b="0" i="1"/>
                </a:pPr>
                <a:r>
                  <a:rPr lang="cs-CZ" sz="700" b="0" i="1"/>
                  <a:t>Vybrané</a:t>
                </a:r>
                <a:r>
                  <a:rPr lang="cs-CZ" sz="700" b="0" i="1" baseline="0"/>
                  <a:t> </a:t>
                </a:r>
                <a:r>
                  <a:rPr lang="cs-CZ" sz="700" b="0" i="1"/>
                  <a:t>výdaje</a:t>
                </a:r>
              </a:p>
            </c:rich>
          </c:tx>
          <c:layout>
            <c:manualLayout>
              <c:xMode val="edge"/>
              <c:yMode val="edge"/>
              <c:x val="1.2260306060608514E-3"/>
              <c:y val="0.26858049252640298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6350">
            <a:solidFill>
              <a:schemeClr val="tx1"/>
            </a:solidFill>
          </a:ln>
        </c:spPr>
        <c:crossAx val="72827648"/>
        <c:crosses val="autoZero"/>
        <c:crossBetween val="between"/>
        <c:majorUnit val="5"/>
      </c:valAx>
      <c:valAx>
        <c:axId val="72835072"/>
        <c:scaling>
          <c:orientation val="minMax"/>
          <c:max val="540"/>
          <c:min val="0"/>
        </c:scaling>
        <c:delete val="0"/>
        <c:axPos val="r"/>
        <c:title>
          <c:tx>
            <c:rich>
              <a:bodyPr/>
              <a:lstStyle/>
              <a:p>
                <a:pPr>
                  <a:defRPr sz="700" b="0" i="1"/>
                </a:pPr>
                <a:r>
                  <a:rPr lang="cs-CZ" sz="700" b="0" i="1"/>
                  <a:t>Běžné výdaje celkem, důchody</a:t>
                </a:r>
              </a:p>
            </c:rich>
          </c:tx>
          <c:layout>
            <c:manualLayout>
              <c:xMode val="edge"/>
              <c:yMode val="edge"/>
              <c:x val="0.96904909706663278"/>
              <c:y val="0.16648817731466736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cs-CZ"/>
          </a:p>
        </c:txPr>
        <c:crossAx val="72836608"/>
        <c:crosses val="max"/>
        <c:crossBetween val="between"/>
        <c:majorUnit val="60"/>
        <c:minorUnit val="10"/>
      </c:valAx>
      <c:catAx>
        <c:axId val="728366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72835072"/>
        <c:crosses val="autoZero"/>
        <c:auto val="1"/>
        <c:lblAlgn val="ctr"/>
        <c:lblOffset val="100"/>
        <c:noMultiLvlLbl val="0"/>
      </c:catAx>
      <c:spPr>
        <a:ln w="6350"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7.5408467844055221E-2"/>
          <c:y val="0.80506729304483915"/>
          <c:w val="0.83418279867620737"/>
          <c:h val="0.19112809564193409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991261776187514E-2"/>
          <c:y val="2.0805019553005451E-2"/>
          <c:w val="0.91766435468527663"/>
          <c:h val="0.812506708789555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'G3-Sektor vlád.institucí'!$A$189</c:f>
              <c:strCache>
                <c:ptCount val="1"/>
                <c:pt idx="0">
                  <c:v>EU27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  <a:ln>
              <a:solidFill>
                <a:schemeClr val="bg2">
                  <a:lumMod val="50000"/>
                </a:schemeClr>
              </a:solidFill>
            </a:ln>
            <a:effectLst/>
          </c:spPr>
          <c:invertIfNegative val="0"/>
          <c:cat>
            <c:strRef>
              <c:f>'G3-Sektor vlád.institucí'!$O$188:$AE$188</c:f>
              <c:strCache>
                <c:ptCount val="1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</c:strCache>
            </c:strRef>
          </c:cat>
          <c:val>
            <c:numRef>
              <c:f>'G3-Sektor vlád.institucí'!$O$189:$AE$189</c:f>
              <c:numCache>
                <c:formatCode>#\ ##0.##########</c:formatCode>
                <c:ptCount val="17"/>
                <c:pt idx="0">
                  <c:v>-2.1</c:v>
                </c:pt>
                <c:pt idx="1">
                  <c:v>-6.1</c:v>
                </c:pt>
                <c:pt idx="2" formatCode="#\ ##0.0">
                  <c:v>-6</c:v>
                </c:pt>
                <c:pt idx="3">
                  <c:v>-4.0999999999999996</c:v>
                </c:pt>
                <c:pt idx="4">
                  <c:v>-3.7</c:v>
                </c:pt>
                <c:pt idx="5">
                  <c:v>-3.1</c:v>
                </c:pt>
                <c:pt idx="6">
                  <c:v>-2.4</c:v>
                </c:pt>
                <c:pt idx="7">
                  <c:v>-1.9</c:v>
                </c:pt>
                <c:pt idx="8">
                  <c:v>-1.4</c:v>
                </c:pt>
                <c:pt idx="9">
                  <c:v>-0.9</c:v>
                </c:pt>
                <c:pt idx="10">
                  <c:v>-0.4</c:v>
                </c:pt>
                <c:pt idx="11">
                  <c:v>-0.5</c:v>
                </c:pt>
                <c:pt idx="12">
                  <c:v>-6.7</c:v>
                </c:pt>
                <c:pt idx="13">
                  <c:v>-4.5999999999999996</c:v>
                </c:pt>
                <c:pt idx="14">
                  <c:v>-3.2</c:v>
                </c:pt>
                <c:pt idx="15">
                  <c:v>-3.5</c:v>
                </c:pt>
                <c:pt idx="16">
                  <c:v>-3.2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7C-40C1-A4CC-D01C5EAA0AA1}"/>
            </c:ext>
          </c:extLst>
        </c:ser>
        <c:ser>
          <c:idx val="1"/>
          <c:order val="1"/>
          <c:tx>
            <c:strRef>
              <c:f>'G3-Sektor vlád.institucí'!$A$190</c:f>
              <c:strCache>
                <c:ptCount val="1"/>
                <c:pt idx="0">
                  <c:v>Česko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'G3-Sektor vlád.institucí'!$O$188:$AE$188</c:f>
              <c:strCache>
                <c:ptCount val="1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</c:strCache>
            </c:strRef>
          </c:cat>
          <c:val>
            <c:numRef>
              <c:f>'G3-Sektor vlád.institucí'!$O$190:$AE$190</c:f>
              <c:numCache>
                <c:formatCode>#\ ##0.##########</c:formatCode>
                <c:ptCount val="17"/>
                <c:pt idx="0" formatCode="#\ ##0.0">
                  <c:v>-2</c:v>
                </c:pt>
                <c:pt idx="1">
                  <c:v>-5.5</c:v>
                </c:pt>
                <c:pt idx="2">
                  <c:v>-4.0999999999999996</c:v>
                </c:pt>
                <c:pt idx="3">
                  <c:v>-2.7</c:v>
                </c:pt>
                <c:pt idx="4">
                  <c:v>-3.9</c:v>
                </c:pt>
                <c:pt idx="5">
                  <c:v>-1.3</c:v>
                </c:pt>
                <c:pt idx="6">
                  <c:v>-2.1</c:v>
                </c:pt>
                <c:pt idx="7">
                  <c:v>-0.7</c:v>
                </c:pt>
                <c:pt idx="8">
                  <c:v>0.7</c:v>
                </c:pt>
                <c:pt idx="9">
                  <c:v>1.5</c:v>
                </c:pt>
                <c:pt idx="10">
                  <c:v>0.9</c:v>
                </c:pt>
                <c:pt idx="11">
                  <c:v>0.3</c:v>
                </c:pt>
                <c:pt idx="12">
                  <c:v>-5.6</c:v>
                </c:pt>
                <c:pt idx="13" formatCode="#\ ##0.0">
                  <c:v>-5</c:v>
                </c:pt>
                <c:pt idx="14">
                  <c:v>-3.1</c:v>
                </c:pt>
                <c:pt idx="15">
                  <c:v>-3.8</c:v>
                </c:pt>
                <c:pt idx="16">
                  <c:v>-2.2000000000000002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7C-40C1-A4CC-D01C5EAA0A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1992144"/>
        <c:axId val="531997552"/>
      </c:barChart>
      <c:lineChart>
        <c:grouping val="standard"/>
        <c:varyColors val="0"/>
        <c:ser>
          <c:idx val="3"/>
          <c:order val="2"/>
          <c:tx>
            <c:strRef>
              <c:f>'G3-Sektor vlád.institucí'!$A$191</c:f>
              <c:strCache>
                <c:ptCount val="1"/>
                <c:pt idx="0">
                  <c:v>Slovensko</c:v>
                </c:pt>
              </c:strCache>
            </c:strRef>
          </c:tx>
          <c:spPr>
            <a:ln w="12700" cap="rnd">
              <a:solidFill>
                <a:schemeClr val="bg2">
                  <a:lumMod val="75000"/>
                </a:schemeClr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chemeClr val="bg2">
                  <a:lumMod val="25000"/>
                </a:schemeClr>
              </a:solidFill>
              <a:ln w="9525">
                <a:noFill/>
              </a:ln>
              <a:effectLst/>
            </c:spPr>
          </c:marker>
          <c:cat>
            <c:strRef>
              <c:f>'G3-Sektor vlád.institucí'!$O$188:$AE$188</c:f>
              <c:strCache>
                <c:ptCount val="1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</c:strCache>
            </c:strRef>
          </c:cat>
          <c:val>
            <c:numRef>
              <c:f>'G3-Sektor vlád.institucí'!$O$191:$AE$191</c:f>
              <c:numCache>
                <c:formatCode>#\ ##0.##########</c:formatCode>
                <c:ptCount val="17"/>
                <c:pt idx="0">
                  <c:v>-2.5</c:v>
                </c:pt>
                <c:pt idx="1">
                  <c:v>-8.1999999999999993</c:v>
                </c:pt>
                <c:pt idx="2">
                  <c:v>-7.4</c:v>
                </c:pt>
                <c:pt idx="3">
                  <c:v>-4.4000000000000004</c:v>
                </c:pt>
                <c:pt idx="4">
                  <c:v>-4.4000000000000004</c:v>
                </c:pt>
                <c:pt idx="5">
                  <c:v>-2.9</c:v>
                </c:pt>
                <c:pt idx="6">
                  <c:v>-3.2</c:v>
                </c:pt>
                <c:pt idx="7">
                  <c:v>-2.8</c:v>
                </c:pt>
                <c:pt idx="8">
                  <c:v>-2.6</c:v>
                </c:pt>
                <c:pt idx="9" formatCode="#\ ##0.0">
                  <c:v>-1</c:v>
                </c:pt>
                <c:pt idx="10" formatCode="#\ ##0.0">
                  <c:v>-1</c:v>
                </c:pt>
                <c:pt idx="11">
                  <c:v>-1.2</c:v>
                </c:pt>
                <c:pt idx="12">
                  <c:v>-5.3</c:v>
                </c:pt>
                <c:pt idx="13">
                  <c:v>-5.0999999999999996</c:v>
                </c:pt>
                <c:pt idx="14">
                  <c:v>-1.7</c:v>
                </c:pt>
                <c:pt idx="15">
                  <c:v>-5.2</c:v>
                </c:pt>
                <c:pt idx="16">
                  <c:v>-5.3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D7C-40C1-A4CC-D01C5EAA0AA1}"/>
            </c:ext>
          </c:extLst>
        </c:ser>
        <c:ser>
          <c:idx val="4"/>
          <c:order val="3"/>
          <c:tx>
            <c:strRef>
              <c:f>'G3-Sektor vlád.institucí'!$A$192</c:f>
              <c:strCache>
                <c:ptCount val="1"/>
                <c:pt idx="0">
                  <c:v>Polsko</c:v>
                </c:pt>
              </c:strCache>
            </c:strRef>
          </c:tx>
          <c:spPr>
            <a:ln w="12700" cap="rnd">
              <a:solidFill>
                <a:schemeClr val="bg2">
                  <a:lumMod val="75000"/>
                </a:schemeClr>
              </a:solidFill>
              <a:prstDash val="sysDot"/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'G3-Sektor vlád.institucí'!$O$188:$AE$188</c:f>
              <c:strCache>
                <c:ptCount val="1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</c:strCache>
            </c:strRef>
          </c:cat>
          <c:val>
            <c:numRef>
              <c:f>'G3-Sektor vlád.institucí'!$O$192:$AE$192</c:f>
              <c:numCache>
                <c:formatCode>#\ ##0.##########</c:formatCode>
                <c:ptCount val="17"/>
                <c:pt idx="0">
                  <c:v>-3.6</c:v>
                </c:pt>
                <c:pt idx="1">
                  <c:v>-7.2</c:v>
                </c:pt>
                <c:pt idx="2">
                  <c:v>-7.4</c:v>
                </c:pt>
                <c:pt idx="3" formatCode="#\ ##0.0">
                  <c:v>-5</c:v>
                </c:pt>
                <c:pt idx="4">
                  <c:v>-3.8</c:v>
                </c:pt>
                <c:pt idx="5">
                  <c:v>-4.2</c:v>
                </c:pt>
                <c:pt idx="6">
                  <c:v>-3.7</c:v>
                </c:pt>
                <c:pt idx="7">
                  <c:v>-2.6</c:v>
                </c:pt>
                <c:pt idx="8">
                  <c:v>-2.4</c:v>
                </c:pt>
                <c:pt idx="9">
                  <c:v>-1.5</c:v>
                </c:pt>
                <c:pt idx="10">
                  <c:v>-0.2</c:v>
                </c:pt>
                <c:pt idx="11">
                  <c:v>-0.7</c:v>
                </c:pt>
                <c:pt idx="12">
                  <c:v>-6.9</c:v>
                </c:pt>
                <c:pt idx="13">
                  <c:v>-1.7</c:v>
                </c:pt>
                <c:pt idx="14">
                  <c:v>-3.4</c:v>
                </c:pt>
                <c:pt idx="15">
                  <c:v>-5.3</c:v>
                </c:pt>
                <c:pt idx="16">
                  <c:v>-6.6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D7C-40C1-A4CC-D01C5EAA0AA1}"/>
            </c:ext>
          </c:extLst>
        </c:ser>
        <c:ser>
          <c:idx val="5"/>
          <c:order val="4"/>
          <c:tx>
            <c:strRef>
              <c:f>'G3-Sektor vlád.institucí'!$A$193</c:f>
              <c:strCache>
                <c:ptCount val="1"/>
                <c:pt idx="0">
                  <c:v>Německo</c:v>
                </c:pt>
              </c:strCache>
            </c:strRef>
          </c:tx>
          <c:spPr>
            <a:ln w="15875" cap="rnd">
              <a:solidFill>
                <a:schemeClr val="tx1">
                  <a:lumMod val="95000"/>
                  <a:lumOff val="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'G3-Sektor vlád.institucí'!$O$188:$AE$188</c:f>
              <c:strCache>
                <c:ptCount val="1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</c:strCache>
            </c:strRef>
          </c:cat>
          <c:val>
            <c:numRef>
              <c:f>'G3-Sektor vlád.institucí'!$O$193:$AE$193</c:f>
              <c:numCache>
                <c:formatCode>#\ ##0.##########</c:formatCode>
                <c:ptCount val="17"/>
                <c:pt idx="0">
                  <c:v>-0.3</c:v>
                </c:pt>
                <c:pt idx="1">
                  <c:v>-3.2</c:v>
                </c:pt>
                <c:pt idx="2">
                  <c:v>-4.4000000000000004</c:v>
                </c:pt>
                <c:pt idx="3">
                  <c:v>-0.8</c:v>
                </c:pt>
                <c:pt idx="4">
                  <c:v>-0.1</c:v>
                </c:pt>
                <c:pt idx="5">
                  <c:v>0.1</c:v>
                </c:pt>
                <c:pt idx="6">
                  <c:v>0.7</c:v>
                </c:pt>
                <c:pt idx="7">
                  <c:v>0.9</c:v>
                </c:pt>
                <c:pt idx="8">
                  <c:v>1.1000000000000001</c:v>
                </c:pt>
                <c:pt idx="9">
                  <c:v>1.3</c:v>
                </c:pt>
                <c:pt idx="10">
                  <c:v>1.9</c:v>
                </c:pt>
                <c:pt idx="11">
                  <c:v>1.3</c:v>
                </c:pt>
                <c:pt idx="12">
                  <c:v>-4.4000000000000004</c:v>
                </c:pt>
                <c:pt idx="13">
                  <c:v>-3.2</c:v>
                </c:pt>
                <c:pt idx="14">
                  <c:v>-2.1</c:v>
                </c:pt>
                <c:pt idx="15">
                  <c:v>-2.5</c:v>
                </c:pt>
                <c:pt idx="16">
                  <c:v>-2.8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D7C-40C1-A4CC-D01C5EAA0AA1}"/>
            </c:ext>
          </c:extLst>
        </c:ser>
        <c:ser>
          <c:idx val="2"/>
          <c:order val="5"/>
          <c:tx>
            <c:strRef>
              <c:f>'G3-Sektor vlád.institucí'!$A$194</c:f>
              <c:strCache>
                <c:ptCount val="1"/>
                <c:pt idx="0">
                  <c:v>Maďarsko</c:v>
                </c:pt>
              </c:strCache>
            </c:strRef>
          </c:tx>
          <c:spPr>
            <a:ln w="15875" cap="rnd">
              <a:solidFill>
                <a:srgbClr val="7030A0"/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'G3-Sektor vlád.institucí'!$O$188:$AE$188</c:f>
              <c:strCache>
                <c:ptCount val="1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</c:strCache>
            </c:strRef>
          </c:cat>
          <c:val>
            <c:numRef>
              <c:f>'G3-Sektor vlád.institucí'!$O$194:$AE$194</c:f>
              <c:numCache>
                <c:formatCode>#\ ##0.##########</c:formatCode>
                <c:ptCount val="17"/>
                <c:pt idx="0">
                  <c:v>-3.8</c:v>
                </c:pt>
                <c:pt idx="1">
                  <c:v>-4.8</c:v>
                </c:pt>
                <c:pt idx="2">
                  <c:v>-4.4000000000000004</c:v>
                </c:pt>
                <c:pt idx="3">
                  <c:v>-5.2</c:v>
                </c:pt>
                <c:pt idx="4">
                  <c:v>-2.2999999999999998</c:v>
                </c:pt>
                <c:pt idx="5">
                  <c:v>-2.6</c:v>
                </c:pt>
                <c:pt idx="6">
                  <c:v>-2.8</c:v>
                </c:pt>
                <c:pt idx="7" formatCode="#\ ##0.0">
                  <c:v>-2</c:v>
                </c:pt>
                <c:pt idx="8">
                  <c:v>-1.8</c:v>
                </c:pt>
                <c:pt idx="9">
                  <c:v>-2.5</c:v>
                </c:pt>
                <c:pt idx="10" formatCode="#\ ##0.0">
                  <c:v>-2</c:v>
                </c:pt>
                <c:pt idx="11" formatCode="#\ ##0.0">
                  <c:v>-2</c:v>
                </c:pt>
                <c:pt idx="12">
                  <c:v>-7.5</c:v>
                </c:pt>
                <c:pt idx="13">
                  <c:v>-7.1</c:v>
                </c:pt>
                <c:pt idx="14">
                  <c:v>-6.2</c:v>
                </c:pt>
                <c:pt idx="15">
                  <c:v>-6.7</c:v>
                </c:pt>
                <c:pt idx="16">
                  <c:v>-4.9000000000000004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D7C-40C1-A4CC-D01C5EAA0AA1}"/>
            </c:ext>
          </c:extLst>
        </c:ser>
        <c:ser>
          <c:idx val="6"/>
          <c:order val="6"/>
          <c:tx>
            <c:strRef>
              <c:f>'G3-Sektor vlád.institucí'!$A$195</c:f>
              <c:strCache>
                <c:ptCount val="1"/>
                <c:pt idx="0">
                  <c:v>Rumunsko</c:v>
                </c:pt>
              </c:strCache>
            </c:strRef>
          </c:tx>
          <c:spPr>
            <a:ln w="15875" cap="rnd">
              <a:solidFill>
                <a:srgbClr val="00B0F0"/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'G3-Sektor vlád.institucí'!$O$188:$AE$188</c:f>
              <c:strCache>
                <c:ptCount val="1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</c:strCache>
            </c:strRef>
          </c:cat>
          <c:val>
            <c:numRef>
              <c:f>'G3-Sektor vlád.institucí'!$O$195:$AE$195</c:f>
              <c:numCache>
                <c:formatCode>#\ ##0.##########</c:formatCode>
                <c:ptCount val="17"/>
                <c:pt idx="0">
                  <c:v>-5.4</c:v>
                </c:pt>
                <c:pt idx="1">
                  <c:v>-9.5</c:v>
                </c:pt>
                <c:pt idx="2">
                  <c:v>-7.1</c:v>
                </c:pt>
                <c:pt idx="3">
                  <c:v>-5.6</c:v>
                </c:pt>
                <c:pt idx="4">
                  <c:v>-3.8</c:v>
                </c:pt>
                <c:pt idx="5">
                  <c:v>-2.2999999999999998</c:v>
                </c:pt>
                <c:pt idx="6">
                  <c:v>-1.2</c:v>
                </c:pt>
                <c:pt idx="7">
                  <c:v>-0.5</c:v>
                </c:pt>
                <c:pt idx="8">
                  <c:v>-2.5</c:v>
                </c:pt>
                <c:pt idx="9">
                  <c:v>-2.5</c:v>
                </c:pt>
                <c:pt idx="10">
                  <c:v>-2.8</c:v>
                </c:pt>
                <c:pt idx="11">
                  <c:v>-4.3</c:v>
                </c:pt>
                <c:pt idx="12">
                  <c:v>-9.1999999999999993</c:v>
                </c:pt>
                <c:pt idx="13">
                  <c:v>-7.1</c:v>
                </c:pt>
                <c:pt idx="14">
                  <c:v>-6.4</c:v>
                </c:pt>
                <c:pt idx="15">
                  <c:v>-6.6</c:v>
                </c:pt>
                <c:pt idx="16">
                  <c:v>-9.3000000000000007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D7C-40C1-A4CC-D01C5EAA0AA1}"/>
            </c:ext>
          </c:extLst>
        </c:ser>
        <c:ser>
          <c:idx val="7"/>
          <c:order val="7"/>
          <c:tx>
            <c:strRef>
              <c:f>'G3-Sektor vlád.institucí'!$A$196</c:f>
              <c:strCache>
                <c:ptCount val="1"/>
                <c:pt idx="0">
                  <c:v>Španělsko</c:v>
                </c:pt>
              </c:strCache>
            </c:strRef>
          </c:tx>
          <c:spPr>
            <a:ln w="15875" cap="rnd">
              <a:solidFill>
                <a:srgbClr val="FFC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'G3-Sektor vlád.institucí'!$O$188:$AE$188</c:f>
              <c:strCache>
                <c:ptCount val="1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</c:strCache>
            </c:strRef>
          </c:cat>
          <c:val>
            <c:numRef>
              <c:f>'G3-Sektor vlád.institucí'!$O$196:$AE$196</c:f>
              <c:numCache>
                <c:formatCode>#\ ##0.##########</c:formatCode>
                <c:ptCount val="17"/>
                <c:pt idx="0">
                  <c:v>-4.5999999999999996</c:v>
                </c:pt>
                <c:pt idx="1">
                  <c:v>-11.2</c:v>
                </c:pt>
                <c:pt idx="2">
                  <c:v>-9.5</c:v>
                </c:pt>
                <c:pt idx="3">
                  <c:v>-9.6999999999999993</c:v>
                </c:pt>
                <c:pt idx="4">
                  <c:v>-11.5</c:v>
                </c:pt>
                <c:pt idx="5">
                  <c:v>-7.5</c:v>
                </c:pt>
                <c:pt idx="6" formatCode="#\ ##0.0">
                  <c:v>-6</c:v>
                </c:pt>
                <c:pt idx="7">
                  <c:v>-5.3</c:v>
                </c:pt>
                <c:pt idx="8">
                  <c:v>-4.2</c:v>
                </c:pt>
                <c:pt idx="9">
                  <c:v>-3.1</c:v>
                </c:pt>
                <c:pt idx="10">
                  <c:v>-2.6</c:v>
                </c:pt>
                <c:pt idx="11">
                  <c:v>-3.1</c:v>
                </c:pt>
                <c:pt idx="12">
                  <c:v>-9.9</c:v>
                </c:pt>
                <c:pt idx="13">
                  <c:v>-6.7</c:v>
                </c:pt>
                <c:pt idx="14">
                  <c:v>-4.5999999999999996</c:v>
                </c:pt>
                <c:pt idx="15">
                  <c:v>-3.5</c:v>
                </c:pt>
                <c:pt idx="16">
                  <c:v>-3.2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D7C-40C1-A4CC-D01C5EAA0AA1}"/>
            </c:ext>
          </c:extLst>
        </c:ser>
        <c:ser>
          <c:idx val="8"/>
          <c:order val="8"/>
          <c:tx>
            <c:strRef>
              <c:f>'G3-Sektor vlád.institucí'!$A$197</c:f>
              <c:strCache>
                <c:ptCount val="1"/>
                <c:pt idx="0">
                  <c:v>Francie</c:v>
                </c:pt>
              </c:strCache>
            </c:strRef>
          </c:tx>
          <c:spPr>
            <a:ln w="15875" cap="rnd">
              <a:solidFill>
                <a:srgbClr val="C00000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'G3-Sektor vlád.institucí'!$O$188:$AE$188</c:f>
              <c:strCache>
                <c:ptCount val="1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</c:strCache>
            </c:strRef>
          </c:cat>
          <c:val>
            <c:numRef>
              <c:f>'G3-Sektor vlád.institucí'!$O$197:$AE$197</c:f>
              <c:numCache>
                <c:formatCode>#\ ##0.##########</c:formatCode>
                <c:ptCount val="17"/>
                <c:pt idx="0">
                  <c:v>-3.5</c:v>
                </c:pt>
                <c:pt idx="1">
                  <c:v>-7.4</c:v>
                </c:pt>
                <c:pt idx="2">
                  <c:v>-7.2</c:v>
                </c:pt>
                <c:pt idx="3">
                  <c:v>-5.3</c:v>
                </c:pt>
                <c:pt idx="4">
                  <c:v>-5.2</c:v>
                </c:pt>
                <c:pt idx="5">
                  <c:v>-4.9000000000000004</c:v>
                </c:pt>
                <c:pt idx="6">
                  <c:v>-4.5999999999999996</c:v>
                </c:pt>
                <c:pt idx="7">
                  <c:v>-3.9</c:v>
                </c:pt>
                <c:pt idx="8">
                  <c:v>-3.8</c:v>
                </c:pt>
                <c:pt idx="9">
                  <c:v>-3.4</c:v>
                </c:pt>
                <c:pt idx="10">
                  <c:v>-2.2999999999999998</c:v>
                </c:pt>
                <c:pt idx="11">
                  <c:v>-2.4</c:v>
                </c:pt>
                <c:pt idx="12">
                  <c:v>-8.9</c:v>
                </c:pt>
                <c:pt idx="13">
                  <c:v>-6.6</c:v>
                </c:pt>
                <c:pt idx="14">
                  <c:v>-4.7</c:v>
                </c:pt>
                <c:pt idx="15">
                  <c:v>-5.4</c:v>
                </c:pt>
                <c:pt idx="16">
                  <c:v>-5.8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ED7C-40C1-A4CC-D01C5EAA0AA1}"/>
            </c:ext>
          </c:extLst>
        </c:ser>
        <c:ser>
          <c:idx val="9"/>
          <c:order val="9"/>
          <c:tx>
            <c:strRef>
              <c:f>'G3-Sektor vlád.institucí'!$A$198</c:f>
              <c:strCache>
                <c:ptCount val="1"/>
                <c:pt idx="0">
                  <c:v>Dánsko</c:v>
                </c:pt>
              </c:strCache>
            </c:strRef>
          </c:tx>
          <c:spPr>
            <a:ln w="15875" cap="rnd">
              <a:solidFill>
                <a:srgbClr val="00B050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'G3-Sektor vlád.institucí'!$O$188:$AE$188</c:f>
              <c:strCache>
                <c:ptCount val="1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</c:strCache>
            </c:strRef>
          </c:cat>
          <c:val>
            <c:numRef>
              <c:f>'G3-Sektor vlád.institucí'!$O$198:$AE$198</c:f>
              <c:numCache>
                <c:formatCode>#\ ##0.##########</c:formatCode>
                <c:ptCount val="17"/>
                <c:pt idx="0">
                  <c:v>3.5</c:v>
                </c:pt>
                <c:pt idx="1">
                  <c:v>-2.7</c:v>
                </c:pt>
                <c:pt idx="2">
                  <c:v>-2.5</c:v>
                </c:pt>
                <c:pt idx="3">
                  <c:v>-1.8</c:v>
                </c:pt>
                <c:pt idx="4">
                  <c:v>-3.2</c:v>
                </c:pt>
                <c:pt idx="5">
                  <c:v>-0.9</c:v>
                </c:pt>
                <c:pt idx="6">
                  <c:v>1.4</c:v>
                </c:pt>
                <c:pt idx="7">
                  <c:v>-0.9</c:v>
                </c:pt>
                <c:pt idx="8">
                  <c:v>0.3</c:v>
                </c:pt>
                <c:pt idx="9">
                  <c:v>1.7</c:v>
                </c:pt>
                <c:pt idx="10">
                  <c:v>0.8</c:v>
                </c:pt>
                <c:pt idx="11">
                  <c:v>4.3</c:v>
                </c:pt>
                <c:pt idx="12">
                  <c:v>0.4</c:v>
                </c:pt>
                <c:pt idx="13">
                  <c:v>4.0999999999999996</c:v>
                </c:pt>
                <c:pt idx="14">
                  <c:v>3.4</c:v>
                </c:pt>
                <c:pt idx="15">
                  <c:v>3.3</c:v>
                </c:pt>
                <c:pt idx="16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ED7C-40C1-A4CC-D01C5EAA0A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1992144"/>
        <c:axId val="531997552"/>
      </c:lineChart>
      <c:catAx>
        <c:axId val="531992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31997552"/>
        <c:crosses val="autoZero"/>
        <c:auto val="1"/>
        <c:lblAlgn val="ctr"/>
        <c:lblOffset val="0"/>
        <c:noMultiLvlLbl val="0"/>
      </c:catAx>
      <c:valAx>
        <c:axId val="531997552"/>
        <c:scaling>
          <c:orientation val="minMax"/>
          <c:max val="6"/>
          <c:min val="-1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1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sz="700" i="1">
                    <a:latin typeface="Arial" panose="020B0604020202020204" pitchFamily="34" charset="0"/>
                    <a:cs typeface="Arial" panose="020B0604020202020204" pitchFamily="34" charset="0"/>
                  </a:rPr>
                  <a:t>Saldo</a:t>
                </a:r>
                <a:r>
                  <a:rPr lang="cs-CZ" sz="700" i="1" baseline="0">
                    <a:latin typeface="Arial" panose="020B0604020202020204" pitchFamily="34" charset="0"/>
                    <a:cs typeface="Arial" panose="020B0604020202020204" pitchFamily="34" charset="0"/>
                  </a:rPr>
                  <a:t> hospodaření</a:t>
                </a:r>
                <a:endParaRPr lang="cs-CZ" sz="700" i="1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0"/>
              <c:y val="0.2760888599295473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1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31992144"/>
        <c:crosses val="autoZero"/>
        <c:crossBetween val="between"/>
        <c:majorUnit val="2"/>
      </c:valAx>
      <c:spPr>
        <a:noFill/>
        <a:ln w="6350"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1.3141700567023604E-3"/>
          <c:y val="0.91008110376671769"/>
          <c:w val="0.99173696911936216"/>
          <c:h val="8.0659153604445658E-2"/>
        </c:manualLayout>
      </c:layout>
      <c:overlay val="0"/>
      <c:spPr>
        <a:noFill/>
        <a:ln w="6350"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1" ma:contentTypeDescription="Vytvoří nový dokument" ma:contentTypeScope="" ma:versionID="1df8c39b067b5d25b5f5e865a8e6deb3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0a1e36cc980726b26aea9439dfb6e5b7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681AD-41B0-431A-9D34-CF6700A12FAC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b8c0c86d-151e-4fca-b0d5-747e6692fa1d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5BC6B78-CD4F-4CCE-9179-CFFE2F383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D8B1A8-284D-4E57-9A3D-68E138E0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4063</Words>
  <Characters>23972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27980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5</cp:revision>
  <cp:lastPrinted>2014-07-17T14:07:00Z</cp:lastPrinted>
  <dcterms:created xsi:type="dcterms:W3CDTF">2025-06-16T10:26:00Z</dcterms:created>
  <dcterms:modified xsi:type="dcterms:W3CDTF">2025-06-16T10:40:00Z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