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F7B1A" w14:textId="77777777" w:rsidR="00917A40" w:rsidRPr="00B131B0" w:rsidRDefault="00917A40" w:rsidP="00917A40">
      <w:pPr>
        <w:pStyle w:val="Nadpis1"/>
        <w:rPr>
          <w:lang w:val="en-GB"/>
        </w:rPr>
      </w:pPr>
      <w:bookmarkStart w:id="0" w:name="_Toc239947455"/>
      <w:bookmarkStart w:id="1" w:name="_Toc242958696"/>
      <w:r w:rsidRPr="00B131B0">
        <w:rPr>
          <w:szCs w:val="32"/>
          <w:lang w:val="en-GB"/>
        </w:rPr>
        <w:t>8</w:t>
      </w:r>
      <w:r w:rsidRPr="00B131B0">
        <w:rPr>
          <w:lang w:val="en-GB"/>
        </w:rPr>
        <w:t>. </w:t>
      </w:r>
      <w:r>
        <w:rPr>
          <w:lang w:val="en-GB"/>
        </w:rPr>
        <w:t>Public Finance</w:t>
      </w:r>
      <w:bookmarkEnd w:id="0"/>
      <w:bookmarkEnd w:id="1"/>
    </w:p>
    <w:tbl>
      <w:tblPr>
        <w:tblW w:w="9669" w:type="dxa"/>
        <w:tblInd w:w="-20" w:type="dxa"/>
        <w:tblLayout w:type="fixed"/>
        <w:tblCellMar>
          <w:left w:w="0" w:type="dxa"/>
          <w:right w:w="0" w:type="dxa"/>
        </w:tblCellMar>
        <w:tblLook w:val="00A0" w:firstRow="1" w:lastRow="0" w:firstColumn="1" w:lastColumn="0" w:noHBand="0" w:noVBand="0"/>
      </w:tblPr>
      <w:tblGrid>
        <w:gridCol w:w="1803"/>
        <w:gridCol w:w="203"/>
        <w:gridCol w:w="7663"/>
      </w:tblGrid>
      <w:tr w:rsidR="00917A40" w:rsidRPr="00B131B0" w14:paraId="74513FF3" w14:textId="77777777" w:rsidTr="00D60677">
        <w:trPr>
          <w:trHeight w:val="60"/>
        </w:trPr>
        <w:tc>
          <w:tcPr>
            <w:tcW w:w="9669" w:type="dxa"/>
            <w:gridSpan w:val="3"/>
            <w:tcMar>
              <w:left w:w="0" w:type="dxa"/>
            </w:tcMar>
          </w:tcPr>
          <w:p w14:paraId="447269CA" w14:textId="77777777" w:rsidR="00917A40" w:rsidRPr="00B131B0" w:rsidRDefault="00917A40" w:rsidP="00D60677">
            <w:pPr>
              <w:pStyle w:val="Nadpis3"/>
              <w:rPr>
                <w:spacing w:val="-2"/>
                <w:lang w:val="en-GB"/>
              </w:rPr>
            </w:pPr>
            <w:bookmarkStart w:id="2" w:name="_Toc239947456"/>
            <w:bookmarkStart w:id="3" w:name="_Toc242958697"/>
            <w:r w:rsidRPr="00B131B0">
              <w:rPr>
                <w:lang w:val="en-GB" w:eastAsia="en-US"/>
              </w:rPr>
              <w:t xml:space="preserve">8.1 </w:t>
            </w:r>
            <w:r>
              <w:rPr>
                <w:lang w:val="en-GB" w:eastAsia="en-US"/>
              </w:rPr>
              <w:t>General Government Sector Operations</w:t>
            </w:r>
            <w:bookmarkEnd w:id="2"/>
            <w:bookmarkEnd w:id="3"/>
          </w:p>
        </w:tc>
      </w:tr>
      <w:tr w:rsidR="00917A40" w:rsidRPr="00B131B0" w14:paraId="393945F6" w14:textId="77777777" w:rsidTr="00D60677">
        <w:trPr>
          <w:trHeight w:val="60"/>
        </w:trPr>
        <w:tc>
          <w:tcPr>
            <w:tcW w:w="1803" w:type="dxa"/>
            <w:tcMar>
              <w:left w:w="0" w:type="dxa"/>
            </w:tcMar>
          </w:tcPr>
          <w:p w14:paraId="6C0F37C0" w14:textId="77777777" w:rsidR="00917A40" w:rsidRPr="00B131B0" w:rsidRDefault="00917A40" w:rsidP="00D60677">
            <w:pPr>
              <w:pStyle w:val="Marginlie"/>
              <w:rPr>
                <w:color w:val="0D0D0D" w:themeColor="text1" w:themeTint="F2"/>
                <w:spacing w:val="0"/>
              </w:rPr>
            </w:pPr>
            <w:r w:rsidRPr="00C976FB">
              <w:rPr>
                <w:color w:val="0D0D0D" w:themeColor="text1" w:themeTint="F2"/>
                <w:spacing w:val="0"/>
              </w:rPr>
              <w:t>The general government deficit widened very slightly</w:t>
            </w:r>
            <w:r>
              <w:rPr>
                <w:color w:val="0D0D0D" w:themeColor="text1" w:themeTint="F2"/>
                <w:spacing w:val="0"/>
              </w:rPr>
              <w:t>,</w:t>
            </w:r>
            <w:r w:rsidRPr="00C976FB">
              <w:rPr>
                <w:color w:val="0D0D0D" w:themeColor="text1" w:themeTint="F2"/>
                <w:spacing w:val="0"/>
              </w:rPr>
              <w:t xml:space="preserve"> year-on-year</w:t>
            </w:r>
            <w:r>
              <w:rPr>
                <w:color w:val="0D0D0D" w:themeColor="text1" w:themeTint="F2"/>
                <w:spacing w:val="0"/>
              </w:rPr>
              <w:t>,</w:t>
            </w:r>
            <w:r w:rsidRPr="00C976FB">
              <w:rPr>
                <w:color w:val="0D0D0D" w:themeColor="text1" w:themeTint="F2"/>
                <w:spacing w:val="0"/>
              </w:rPr>
              <w:t xml:space="preserve"> in Q1.</w:t>
            </w:r>
          </w:p>
        </w:tc>
        <w:tc>
          <w:tcPr>
            <w:tcW w:w="203" w:type="dxa"/>
            <w:tcMar>
              <w:left w:w="0" w:type="dxa"/>
            </w:tcMar>
          </w:tcPr>
          <w:p w14:paraId="1EDA9EF0"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44101D1A" w14:textId="77777777" w:rsidR="00917A40" w:rsidRPr="00B131B0" w:rsidRDefault="00917A40" w:rsidP="00D60677">
            <w:pPr>
              <w:spacing w:after="200"/>
              <w:rPr>
                <w:color w:val="0D0D0D" w:themeColor="text1" w:themeTint="F2"/>
                <w:spacing w:val="-2"/>
              </w:rPr>
            </w:pPr>
            <w:r w:rsidRPr="00C976FB">
              <w:rPr>
                <w:color w:val="0D0D0D" w:themeColor="text1" w:themeTint="F2"/>
                <w:spacing w:val="-2"/>
              </w:rPr>
              <w:t>According to current data, the general government sector in the Czech Republic had a deficit of 72.3</w:t>
            </w:r>
            <w:r w:rsidRPr="00B131B0">
              <w:rPr>
                <w:rStyle w:val="Znakapoznpodarou"/>
                <w:color w:val="0D0D0D" w:themeColor="text1" w:themeTint="F2"/>
                <w:spacing w:val="-2"/>
              </w:rPr>
              <w:footnoteReference w:id="1"/>
            </w:r>
            <w:r w:rsidRPr="00C976FB">
              <w:rPr>
                <w:color w:val="0D0D0D" w:themeColor="text1" w:themeTint="F2"/>
                <w:spacing w:val="-2"/>
              </w:rPr>
              <w:t xml:space="preserve"> b</w:t>
            </w:r>
            <w:r>
              <w:rPr>
                <w:color w:val="0D0D0D" w:themeColor="text1" w:themeTint="F2"/>
                <w:spacing w:val="-2"/>
              </w:rPr>
              <w:t xml:space="preserve">n CZK </w:t>
            </w:r>
            <w:r w:rsidRPr="00C976FB">
              <w:rPr>
                <w:color w:val="0D0D0D" w:themeColor="text1" w:themeTint="F2"/>
                <w:spacing w:val="-2"/>
              </w:rPr>
              <w:t>in Q1 2026</w:t>
            </w:r>
            <w:r w:rsidRPr="00B131B0">
              <w:rPr>
                <w:rStyle w:val="Znakapoznpodarou"/>
                <w:color w:val="0D0D0D" w:themeColor="text1" w:themeTint="F2"/>
                <w:spacing w:val="-2"/>
              </w:rPr>
              <w:footnoteReference w:id="2"/>
            </w:r>
            <w:r w:rsidRPr="00C976FB">
              <w:rPr>
                <w:color w:val="0D0D0D" w:themeColor="text1" w:themeTint="F2"/>
                <w:spacing w:val="-2"/>
              </w:rPr>
              <w:t>. The deficit widened again</w:t>
            </w:r>
            <w:r>
              <w:rPr>
                <w:color w:val="0D0D0D" w:themeColor="text1" w:themeTint="F2"/>
                <w:spacing w:val="-2"/>
              </w:rPr>
              <w:t>,</w:t>
            </w:r>
            <w:r w:rsidRPr="00C976FB">
              <w:rPr>
                <w:color w:val="0D0D0D" w:themeColor="text1" w:themeTint="F2"/>
                <w:spacing w:val="-2"/>
              </w:rPr>
              <w:t xml:space="preserve"> year-on-year (by 1.6 b</w:t>
            </w:r>
            <w:r>
              <w:rPr>
                <w:color w:val="0D0D0D" w:themeColor="text1" w:themeTint="F2"/>
                <w:spacing w:val="-2"/>
              </w:rPr>
              <w:t>n CZK</w:t>
            </w:r>
            <w:r w:rsidRPr="00B131B0">
              <w:rPr>
                <w:rStyle w:val="Znakapoznpodarou"/>
                <w:color w:val="0D0D0D" w:themeColor="text1" w:themeTint="F2"/>
                <w:spacing w:val="-2"/>
              </w:rPr>
              <w:footnoteReference w:id="3"/>
            </w:r>
            <w:r w:rsidRPr="00C976FB">
              <w:rPr>
                <w:color w:val="0D0D0D" w:themeColor="text1" w:themeTint="F2"/>
                <w:spacing w:val="-2"/>
              </w:rPr>
              <w:t xml:space="preserve">), </w:t>
            </w:r>
            <w:r>
              <w:rPr>
                <w:color w:val="0D0D0D" w:themeColor="text1" w:themeTint="F2"/>
                <w:spacing w:val="-2"/>
              </w:rPr>
              <w:t xml:space="preserve">nevertheless </w:t>
            </w:r>
            <w:r w:rsidRPr="00C976FB">
              <w:rPr>
                <w:color w:val="0D0D0D" w:themeColor="text1" w:themeTint="F2"/>
                <w:spacing w:val="-2"/>
              </w:rPr>
              <w:t xml:space="preserve">an order of magnitude more moderately than at the beginning of last year. While growth </w:t>
            </w:r>
            <w:r>
              <w:rPr>
                <w:color w:val="0D0D0D" w:themeColor="text1" w:themeTint="F2"/>
                <w:spacing w:val="-2"/>
              </w:rPr>
              <w:t>of</w:t>
            </w:r>
            <w:r w:rsidRPr="00C976FB">
              <w:rPr>
                <w:color w:val="0D0D0D" w:themeColor="text1" w:themeTint="F2"/>
                <w:spacing w:val="-2"/>
              </w:rPr>
              <w:t xml:space="preserve"> total revenues accelerated slightly (to 5.2%), the pace of expenditure slowed </w:t>
            </w:r>
            <w:r>
              <w:rPr>
                <w:color w:val="0D0D0D" w:themeColor="text1" w:themeTint="F2"/>
                <w:spacing w:val="-2"/>
              </w:rPr>
              <w:t xml:space="preserve">a bit </w:t>
            </w:r>
            <w:r w:rsidRPr="00C976FB">
              <w:rPr>
                <w:color w:val="0D0D0D" w:themeColor="text1" w:themeTint="F2"/>
                <w:spacing w:val="-2"/>
              </w:rPr>
              <w:t xml:space="preserve">(to 4.9%). The steadily growing social contributions received by employees and employers (+6.5%) continued to </w:t>
            </w:r>
            <w:r>
              <w:rPr>
                <w:color w:val="0D0D0D" w:themeColor="text1" w:themeTint="F2"/>
                <w:spacing w:val="-2"/>
              </w:rPr>
              <w:t xml:space="preserve">add </w:t>
            </w:r>
            <w:r w:rsidRPr="00C976FB">
              <w:rPr>
                <w:color w:val="0D0D0D" w:themeColor="text1" w:themeTint="F2"/>
                <w:spacing w:val="-2"/>
              </w:rPr>
              <w:t xml:space="preserve">the most to the strengthening of incomes. Direct taxes also had a significant impact, although growth </w:t>
            </w:r>
            <w:r>
              <w:rPr>
                <w:color w:val="0D0D0D" w:themeColor="text1" w:themeTint="F2"/>
                <w:spacing w:val="-2"/>
              </w:rPr>
              <w:t>of</w:t>
            </w:r>
            <w:r w:rsidRPr="00C976FB">
              <w:rPr>
                <w:color w:val="0D0D0D" w:themeColor="text1" w:themeTint="F2"/>
                <w:spacing w:val="-2"/>
              </w:rPr>
              <w:t xml:space="preserve"> most of them has been weaker so far this year compared to previous quarters. As regards indirect taxes, VAT in particular had a positive effect, the collection of which gradually increased (to +8.9%, the highest </w:t>
            </w:r>
            <w:r>
              <w:rPr>
                <w:color w:val="0D0D0D" w:themeColor="text1" w:themeTint="F2"/>
                <w:spacing w:val="-2"/>
              </w:rPr>
              <w:t xml:space="preserve">within </w:t>
            </w:r>
            <w:r w:rsidRPr="00C976FB">
              <w:rPr>
                <w:color w:val="0D0D0D" w:themeColor="text1" w:themeTint="F2"/>
                <w:spacing w:val="-2"/>
              </w:rPr>
              <w:t>the first quarter in the last four years). Most other income items also grew at least slightly, with the exception of capital transfers that were more marginal in terms of weight, as well as some taxes on production (mainly due to the abolition of the fee for renewable energy sources to households and firms).</w:t>
            </w:r>
            <w:r>
              <w:rPr>
                <w:color w:val="0D0D0D" w:themeColor="text1" w:themeTint="F2"/>
                <w:spacing w:val="-2"/>
              </w:rPr>
              <w:t xml:space="preserve"> </w:t>
            </w:r>
          </w:p>
        </w:tc>
      </w:tr>
      <w:tr w:rsidR="00917A40" w:rsidRPr="00B131B0" w14:paraId="3F396A95" w14:textId="77777777" w:rsidTr="00D60677">
        <w:trPr>
          <w:trHeight w:val="60"/>
        </w:trPr>
        <w:tc>
          <w:tcPr>
            <w:tcW w:w="1803" w:type="dxa"/>
            <w:tcMar>
              <w:left w:w="0" w:type="dxa"/>
            </w:tcMar>
          </w:tcPr>
          <w:p w14:paraId="653DCE33" w14:textId="77777777" w:rsidR="00917A40" w:rsidRPr="00B131B0" w:rsidRDefault="00917A40" w:rsidP="00D60677">
            <w:pPr>
              <w:pStyle w:val="Marginlie"/>
              <w:rPr>
                <w:color w:val="0D0D0D" w:themeColor="text1" w:themeTint="F2"/>
                <w:spacing w:val="0"/>
              </w:rPr>
            </w:pPr>
            <w:r w:rsidRPr="00C976FB">
              <w:rPr>
                <w:color w:val="0D0D0D" w:themeColor="text1" w:themeTint="F2"/>
                <w:spacing w:val="0"/>
              </w:rPr>
              <w:t>The higher total expenditure mainly reflected the strengthening social benefits and investments.</w:t>
            </w:r>
            <w:r w:rsidRPr="00B131B0">
              <w:rPr>
                <w:color w:val="0D0D0D" w:themeColor="text1" w:themeTint="F2"/>
                <w:spacing w:val="0"/>
              </w:rPr>
              <w:t xml:space="preserve"> </w:t>
            </w:r>
          </w:p>
          <w:p w14:paraId="0F1C6095" w14:textId="77777777" w:rsidR="00917A40" w:rsidRPr="00B131B0" w:rsidRDefault="00917A40" w:rsidP="00D60677">
            <w:pPr>
              <w:pStyle w:val="Marginlie"/>
              <w:rPr>
                <w:color w:val="0D0D0D" w:themeColor="text1" w:themeTint="F2"/>
                <w:spacing w:val="0"/>
              </w:rPr>
            </w:pPr>
          </w:p>
          <w:p w14:paraId="4EB1F6BD" w14:textId="77777777" w:rsidR="00917A40" w:rsidRPr="00B131B0" w:rsidRDefault="00917A40" w:rsidP="00D60677">
            <w:pPr>
              <w:pStyle w:val="Marginlie"/>
              <w:rPr>
                <w:color w:val="0D0D0D" w:themeColor="text1" w:themeTint="F2"/>
                <w:spacing w:val="0"/>
              </w:rPr>
            </w:pPr>
          </w:p>
          <w:p w14:paraId="1C539CDC" w14:textId="77777777" w:rsidR="00917A40" w:rsidRPr="00B131B0" w:rsidRDefault="00917A40" w:rsidP="00D60677">
            <w:pPr>
              <w:pStyle w:val="Marginlie"/>
              <w:rPr>
                <w:color w:val="0D0D0D" w:themeColor="text1" w:themeTint="F2"/>
                <w:spacing w:val="0"/>
              </w:rPr>
            </w:pPr>
          </w:p>
          <w:p w14:paraId="4EB5627D" w14:textId="77777777" w:rsidR="00917A40" w:rsidRPr="00B131B0" w:rsidRDefault="00917A40" w:rsidP="00D60677">
            <w:pPr>
              <w:pStyle w:val="Marginlie"/>
              <w:rPr>
                <w:color w:val="0D0D0D" w:themeColor="text1" w:themeTint="F2"/>
                <w:spacing w:val="0"/>
              </w:rPr>
            </w:pPr>
          </w:p>
          <w:p w14:paraId="1F902297" w14:textId="77777777" w:rsidR="00917A40" w:rsidRPr="00B131B0" w:rsidRDefault="00917A40" w:rsidP="00D60677">
            <w:pPr>
              <w:pStyle w:val="Marginlie"/>
              <w:rPr>
                <w:color w:val="0D0D0D" w:themeColor="text1" w:themeTint="F2"/>
                <w:spacing w:val="0"/>
              </w:rPr>
            </w:pPr>
          </w:p>
          <w:p w14:paraId="778BB1C6" w14:textId="77777777" w:rsidR="00917A40" w:rsidRPr="00B131B0" w:rsidRDefault="00917A40" w:rsidP="00D60677">
            <w:pPr>
              <w:pStyle w:val="Marginlie"/>
              <w:rPr>
                <w:color w:val="0D0D0D" w:themeColor="text1" w:themeTint="F2"/>
                <w:spacing w:val="0"/>
              </w:rPr>
            </w:pPr>
          </w:p>
          <w:p w14:paraId="452FFE9A" w14:textId="77777777" w:rsidR="00917A40" w:rsidRPr="00B131B0" w:rsidRDefault="00917A40" w:rsidP="00D60677">
            <w:pPr>
              <w:pStyle w:val="Marginlie"/>
              <w:rPr>
                <w:color w:val="948A54" w:themeColor="background2" w:themeShade="80"/>
                <w:spacing w:val="0"/>
              </w:rPr>
            </w:pPr>
          </w:p>
          <w:p w14:paraId="5D473595" w14:textId="77777777" w:rsidR="00917A40" w:rsidRPr="00B131B0" w:rsidRDefault="00917A40" w:rsidP="00D60677">
            <w:pPr>
              <w:pStyle w:val="Marginlie"/>
              <w:rPr>
                <w:color w:val="0D0D0D" w:themeColor="text1" w:themeTint="F2"/>
                <w:spacing w:val="0"/>
              </w:rPr>
            </w:pPr>
            <w:r w:rsidRPr="00B57B76">
              <w:rPr>
                <w:color w:val="0D0D0D" w:themeColor="text1" w:themeTint="F2"/>
                <w:spacing w:val="0"/>
              </w:rPr>
              <w:t xml:space="preserve">Growth </w:t>
            </w:r>
            <w:r>
              <w:rPr>
                <w:color w:val="0D0D0D" w:themeColor="text1" w:themeTint="F2"/>
                <w:spacing w:val="0"/>
              </w:rPr>
              <w:t>of</w:t>
            </w:r>
            <w:r w:rsidRPr="00B57B76">
              <w:rPr>
                <w:color w:val="0D0D0D" w:themeColor="text1" w:themeTint="F2"/>
                <w:spacing w:val="0"/>
              </w:rPr>
              <w:t xml:space="preserve"> the volume of subsidies and intermediate consumption expenditure slowed down dramatically.</w:t>
            </w:r>
            <w:r w:rsidRPr="00B131B0">
              <w:rPr>
                <w:color w:val="0D0D0D" w:themeColor="text1" w:themeTint="F2"/>
                <w:spacing w:val="0"/>
              </w:rPr>
              <w:t xml:space="preserve"> </w:t>
            </w:r>
          </w:p>
          <w:p w14:paraId="0FDF7497" w14:textId="77777777" w:rsidR="00917A40" w:rsidRPr="00B131B0" w:rsidRDefault="00917A40" w:rsidP="00D60677">
            <w:pPr>
              <w:pStyle w:val="Marginlie"/>
              <w:rPr>
                <w:color w:val="948A54" w:themeColor="background2" w:themeShade="80"/>
                <w:spacing w:val="0"/>
              </w:rPr>
            </w:pPr>
          </w:p>
          <w:p w14:paraId="0A888812" w14:textId="77777777" w:rsidR="00917A40" w:rsidRPr="00B131B0" w:rsidRDefault="00917A40" w:rsidP="00D60677">
            <w:pPr>
              <w:pStyle w:val="Marginlie"/>
              <w:rPr>
                <w:color w:val="948A54" w:themeColor="background2" w:themeShade="80"/>
                <w:spacing w:val="0"/>
              </w:rPr>
            </w:pPr>
          </w:p>
          <w:p w14:paraId="32D8CB65" w14:textId="77777777" w:rsidR="00917A40" w:rsidRPr="00B131B0" w:rsidRDefault="00917A40" w:rsidP="00D60677">
            <w:pPr>
              <w:pStyle w:val="Marginlie"/>
              <w:rPr>
                <w:color w:val="948A54" w:themeColor="background2" w:themeShade="80"/>
                <w:spacing w:val="0"/>
              </w:rPr>
            </w:pPr>
          </w:p>
        </w:tc>
        <w:tc>
          <w:tcPr>
            <w:tcW w:w="203" w:type="dxa"/>
            <w:tcMar>
              <w:left w:w="0" w:type="dxa"/>
            </w:tcMar>
          </w:tcPr>
          <w:p w14:paraId="41FFA5A7"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0782C7D8" w14:textId="77777777" w:rsidR="00917A40" w:rsidRPr="00B131B0" w:rsidRDefault="00917A40" w:rsidP="00D60677">
            <w:pPr>
              <w:spacing w:after="200"/>
              <w:rPr>
                <w:color w:val="0D0D0D" w:themeColor="text1" w:themeTint="F2"/>
                <w:spacing w:val="-4"/>
              </w:rPr>
            </w:pPr>
            <w:r w:rsidRPr="00B57B76">
              <w:rPr>
                <w:color w:val="0D0D0D" w:themeColor="text1" w:themeTint="F2"/>
                <w:spacing w:val="-4"/>
              </w:rPr>
              <w:t xml:space="preserve">The year-on-year increase </w:t>
            </w:r>
            <w:r>
              <w:rPr>
                <w:color w:val="0D0D0D" w:themeColor="text1" w:themeTint="F2"/>
                <w:spacing w:val="-4"/>
              </w:rPr>
              <w:t>of</w:t>
            </w:r>
            <w:r w:rsidRPr="00B57B76">
              <w:rPr>
                <w:color w:val="0D0D0D" w:themeColor="text1" w:themeTint="F2"/>
                <w:spacing w:val="-4"/>
              </w:rPr>
              <w:t xml:space="preserve"> total expenditure in the general government sector in Q1 (+42 b</w:t>
            </w:r>
            <w:r>
              <w:rPr>
                <w:color w:val="0D0D0D" w:themeColor="text1" w:themeTint="F2"/>
                <w:spacing w:val="-4"/>
              </w:rPr>
              <w:t>n CZK</w:t>
            </w:r>
            <w:r w:rsidRPr="00B57B76">
              <w:rPr>
                <w:color w:val="0D0D0D" w:themeColor="text1" w:themeTint="F2"/>
                <w:spacing w:val="-4"/>
              </w:rPr>
              <w:t xml:space="preserve">) was driven by social benefits (including social transfers in kind), which contributed more than a third to it and increased by 4.3% (almost twice as much as last year's total). Continued rapid investment growth, which </w:t>
            </w:r>
            <w:r>
              <w:rPr>
                <w:color w:val="0D0D0D" w:themeColor="text1" w:themeTint="F2"/>
                <w:spacing w:val="-4"/>
              </w:rPr>
              <w:t xml:space="preserve">attained </w:t>
            </w:r>
            <w:r w:rsidRPr="00B57B76">
              <w:rPr>
                <w:color w:val="0D0D0D" w:themeColor="text1" w:themeTint="F2"/>
                <w:spacing w:val="-4"/>
              </w:rPr>
              <w:t>13.8%, was also instrumental in the year-on-year increase and, was also significantly supported by higher activity by local government institutions</w:t>
            </w:r>
            <w:r>
              <w:rPr>
                <w:color w:val="0D0D0D" w:themeColor="text1" w:themeTint="F2"/>
                <w:spacing w:val="-4"/>
              </w:rPr>
              <w:t xml:space="preserve"> as in the whole of last year</w:t>
            </w:r>
            <w:r w:rsidRPr="00B57B76">
              <w:rPr>
                <w:color w:val="0D0D0D" w:themeColor="text1" w:themeTint="F2"/>
                <w:spacing w:val="-4"/>
              </w:rPr>
              <w:t xml:space="preserve">. </w:t>
            </w:r>
            <w:r>
              <w:rPr>
                <w:color w:val="0D0D0D" w:themeColor="text1" w:themeTint="F2"/>
                <w:spacing w:val="-4"/>
              </w:rPr>
              <w:t>In total</w:t>
            </w:r>
            <w:r w:rsidRPr="00B57B76">
              <w:rPr>
                <w:color w:val="0D0D0D" w:themeColor="text1" w:themeTint="F2"/>
                <w:spacing w:val="-4"/>
              </w:rPr>
              <w:t>, significant compensation to employees</w:t>
            </w:r>
            <w:r w:rsidRPr="00B131B0">
              <w:rPr>
                <w:rStyle w:val="Znakapoznpodarou"/>
                <w:color w:val="0D0D0D" w:themeColor="text1" w:themeTint="F2"/>
                <w:spacing w:val="-4"/>
              </w:rPr>
              <w:footnoteReference w:id="4"/>
            </w:r>
            <w:r w:rsidRPr="00B57B76">
              <w:rPr>
                <w:color w:val="0D0D0D" w:themeColor="text1" w:themeTint="F2"/>
                <w:spacing w:val="-4"/>
              </w:rPr>
              <w:t xml:space="preserve"> increased by 4.7% (more rapidly in central government). This </w:t>
            </w:r>
            <w:r>
              <w:rPr>
                <w:color w:val="0D0D0D" w:themeColor="text1" w:themeTint="F2"/>
                <w:spacing w:val="-4"/>
              </w:rPr>
              <w:t xml:space="preserve">presented a </w:t>
            </w:r>
            <w:r w:rsidRPr="00B57B76">
              <w:rPr>
                <w:color w:val="0D0D0D" w:themeColor="text1" w:themeTint="F2"/>
                <w:spacing w:val="-4"/>
              </w:rPr>
              <w:t xml:space="preserve">comparable pace to the beginning of last year (but so far weaker than the average for the whole of 2025). Other current transfers increased by 9.4% this year. Their rapid growth, which is taking place for the second year in a row, was mainly due to higher mandatory contributions by the Czech Republic to the EU budget. However, growth </w:t>
            </w:r>
            <w:r>
              <w:rPr>
                <w:color w:val="0D0D0D" w:themeColor="text1" w:themeTint="F2"/>
                <w:spacing w:val="-4"/>
              </w:rPr>
              <w:t>of</w:t>
            </w:r>
            <w:r w:rsidRPr="00B57B76">
              <w:rPr>
                <w:color w:val="0D0D0D" w:themeColor="text1" w:themeTint="F2"/>
                <w:spacing w:val="-4"/>
              </w:rPr>
              <w:t xml:space="preserve"> some important items slowed. Intermediate consumption expenditure increased by only 1.9% (</w:t>
            </w:r>
            <w:r>
              <w:rPr>
                <w:color w:val="0D0D0D" w:themeColor="text1" w:themeTint="F2"/>
                <w:spacing w:val="-4"/>
              </w:rPr>
              <w:t xml:space="preserve">the </w:t>
            </w:r>
            <w:r w:rsidRPr="00B57B76">
              <w:rPr>
                <w:color w:val="0D0D0D" w:themeColor="text1" w:themeTint="F2"/>
                <w:spacing w:val="-4"/>
              </w:rPr>
              <w:t xml:space="preserve">least in the last twenty quarters), partly due to a decline </w:t>
            </w:r>
            <w:r>
              <w:rPr>
                <w:color w:val="0D0D0D" w:themeColor="text1" w:themeTint="F2"/>
                <w:spacing w:val="-4"/>
              </w:rPr>
              <w:t xml:space="preserve">of </w:t>
            </w:r>
            <w:r w:rsidRPr="00B57B76">
              <w:rPr>
                <w:color w:val="0D0D0D" w:themeColor="text1" w:themeTint="F2"/>
                <w:spacing w:val="-4"/>
              </w:rPr>
              <w:t xml:space="preserve">prices of some energy and also to growing general pressure on savings </w:t>
            </w:r>
            <w:r>
              <w:rPr>
                <w:color w:val="0D0D0D" w:themeColor="text1" w:themeTint="F2"/>
                <w:spacing w:val="-4"/>
              </w:rPr>
              <w:t>of</w:t>
            </w:r>
            <w:r w:rsidRPr="00B57B76">
              <w:rPr>
                <w:color w:val="0D0D0D" w:themeColor="text1" w:themeTint="F2"/>
                <w:spacing w:val="-4"/>
              </w:rPr>
              <w:t xml:space="preserve"> operating expenses. Growth </w:t>
            </w:r>
            <w:r>
              <w:rPr>
                <w:color w:val="0D0D0D" w:themeColor="text1" w:themeTint="F2"/>
                <w:spacing w:val="-4"/>
              </w:rPr>
              <w:t>of</w:t>
            </w:r>
            <w:r w:rsidRPr="00B57B76">
              <w:rPr>
                <w:color w:val="0D0D0D" w:themeColor="text1" w:themeTint="F2"/>
                <w:spacing w:val="-4"/>
              </w:rPr>
              <w:t xml:space="preserve"> subsidies also moderated (to +3.1%), owing to a lower year-on-year volume of subsidies paid out for production</w:t>
            </w:r>
            <w:r w:rsidRPr="00B131B0">
              <w:rPr>
                <w:rStyle w:val="Znakapoznpodarou"/>
                <w:color w:val="0D0D0D" w:themeColor="text1" w:themeTint="F2"/>
                <w:spacing w:val="-4"/>
              </w:rPr>
              <w:footnoteReference w:id="5"/>
            </w:r>
            <w:r w:rsidRPr="00B57B76">
              <w:rPr>
                <w:color w:val="0D0D0D" w:themeColor="text1" w:themeTint="F2"/>
                <w:spacing w:val="-4"/>
              </w:rPr>
              <w:t xml:space="preserve">. The growth </w:t>
            </w:r>
            <w:r>
              <w:rPr>
                <w:color w:val="0D0D0D" w:themeColor="text1" w:themeTint="F2"/>
                <w:spacing w:val="-4"/>
              </w:rPr>
              <w:t>of</w:t>
            </w:r>
            <w:r w:rsidRPr="00B57B76">
              <w:rPr>
                <w:color w:val="0D0D0D" w:themeColor="text1" w:themeTint="F2"/>
                <w:spacing w:val="-4"/>
              </w:rPr>
              <w:t xml:space="preserve"> total government expenditure was counteracted only by marginal items of taxes paid and capital transfers.</w:t>
            </w:r>
            <w:r w:rsidRPr="00B131B0">
              <w:rPr>
                <w:color w:val="0D0D0D" w:themeColor="text1" w:themeTint="F2"/>
                <w:spacing w:val="-4"/>
              </w:rPr>
              <w:t xml:space="preserve"> </w:t>
            </w:r>
          </w:p>
        </w:tc>
      </w:tr>
      <w:tr w:rsidR="00917A40" w:rsidRPr="00B131B0" w14:paraId="44965221" w14:textId="77777777" w:rsidTr="00D60677">
        <w:trPr>
          <w:trHeight w:val="60"/>
        </w:trPr>
        <w:tc>
          <w:tcPr>
            <w:tcW w:w="1803" w:type="dxa"/>
            <w:tcMar>
              <w:left w:w="0" w:type="dxa"/>
            </w:tcMar>
          </w:tcPr>
          <w:p w14:paraId="18BAAA0D" w14:textId="77777777" w:rsidR="00917A40" w:rsidRPr="00B131B0" w:rsidRDefault="00917A40" w:rsidP="00D60677">
            <w:pPr>
              <w:pStyle w:val="Marginlie"/>
              <w:rPr>
                <w:color w:val="0D0D0D" w:themeColor="text1" w:themeTint="F2"/>
                <w:spacing w:val="0"/>
              </w:rPr>
            </w:pPr>
            <w:r w:rsidRPr="005042B1">
              <w:rPr>
                <w:color w:val="0D0D0D" w:themeColor="text1" w:themeTint="F2"/>
                <w:spacing w:val="0"/>
              </w:rPr>
              <w:t>The general government deficit in the EU narrowed slightly</w:t>
            </w:r>
            <w:r>
              <w:rPr>
                <w:color w:val="0D0D0D" w:themeColor="text1" w:themeTint="F2"/>
                <w:spacing w:val="0"/>
              </w:rPr>
              <w:t xml:space="preserve">, </w:t>
            </w:r>
            <w:r w:rsidRPr="005042B1">
              <w:rPr>
                <w:color w:val="0D0D0D" w:themeColor="text1" w:themeTint="F2"/>
                <w:spacing w:val="0"/>
              </w:rPr>
              <w:t>quarter-on-quarter</w:t>
            </w:r>
            <w:r>
              <w:rPr>
                <w:color w:val="0D0D0D" w:themeColor="text1" w:themeTint="F2"/>
                <w:spacing w:val="0"/>
              </w:rPr>
              <w:t>,</w:t>
            </w:r>
            <w:r w:rsidRPr="005042B1">
              <w:rPr>
                <w:color w:val="0D0D0D" w:themeColor="text1" w:themeTint="F2"/>
                <w:spacing w:val="0"/>
              </w:rPr>
              <w:t xml:space="preserve"> at the beginning of this year.</w:t>
            </w:r>
            <w:r>
              <w:rPr>
                <w:color w:val="0D0D0D" w:themeColor="text1" w:themeTint="F2"/>
                <w:spacing w:val="0"/>
              </w:rPr>
              <w:t xml:space="preserve"> </w:t>
            </w:r>
          </w:p>
          <w:p w14:paraId="4C1A78FB" w14:textId="77777777" w:rsidR="00917A40" w:rsidRPr="00B131B0" w:rsidRDefault="00917A40" w:rsidP="00D60677">
            <w:pPr>
              <w:pStyle w:val="Marginlie"/>
              <w:rPr>
                <w:color w:val="0D0D0D" w:themeColor="text1" w:themeTint="F2"/>
                <w:spacing w:val="0"/>
              </w:rPr>
            </w:pPr>
          </w:p>
          <w:p w14:paraId="2EA0213B" w14:textId="77777777" w:rsidR="00917A40" w:rsidRPr="00B131B0" w:rsidRDefault="00917A40" w:rsidP="00D60677">
            <w:pPr>
              <w:pStyle w:val="Marginlie"/>
              <w:rPr>
                <w:color w:val="0D0D0D" w:themeColor="text1" w:themeTint="F2"/>
                <w:spacing w:val="0"/>
              </w:rPr>
            </w:pPr>
          </w:p>
          <w:p w14:paraId="5027AB6D" w14:textId="77777777" w:rsidR="00917A40" w:rsidRPr="00B131B0" w:rsidRDefault="00917A40" w:rsidP="00D60677">
            <w:pPr>
              <w:pStyle w:val="Marginlie"/>
              <w:rPr>
                <w:color w:val="0D0D0D" w:themeColor="text1" w:themeTint="F2"/>
                <w:spacing w:val="0"/>
              </w:rPr>
            </w:pPr>
          </w:p>
          <w:p w14:paraId="1CE84A05" w14:textId="77777777" w:rsidR="00917A40" w:rsidRPr="00B131B0" w:rsidRDefault="00917A40" w:rsidP="00D60677">
            <w:pPr>
              <w:pStyle w:val="Marginlie"/>
              <w:rPr>
                <w:color w:val="0D0D0D" w:themeColor="text1" w:themeTint="F2"/>
                <w:spacing w:val="-4"/>
              </w:rPr>
            </w:pPr>
            <w:r w:rsidRPr="005042B1">
              <w:rPr>
                <w:color w:val="0D0D0D" w:themeColor="text1" w:themeTint="F2"/>
              </w:rPr>
              <w:lastRenderedPageBreak/>
              <w:t>The deepest deficit currently burdened the new euro</w:t>
            </w:r>
            <w:r>
              <w:rPr>
                <w:color w:val="0D0D0D" w:themeColor="text1" w:themeTint="F2"/>
              </w:rPr>
              <w:t xml:space="preserve"> area </w:t>
            </w:r>
            <w:r w:rsidRPr="005042B1">
              <w:rPr>
                <w:color w:val="0D0D0D" w:themeColor="text1" w:themeTint="F2"/>
              </w:rPr>
              <w:t xml:space="preserve">member state – Bulgaria. On the </w:t>
            </w:r>
            <w:r>
              <w:rPr>
                <w:color w:val="0D0D0D" w:themeColor="text1" w:themeTint="F2"/>
              </w:rPr>
              <w:t>contrary</w:t>
            </w:r>
            <w:r w:rsidRPr="005042B1">
              <w:rPr>
                <w:color w:val="0D0D0D" w:themeColor="text1" w:themeTint="F2"/>
              </w:rPr>
              <w:t>, the economic surplus occurred in only five EU countries. The Czech Republic maintained the lowest deficit within the Central European region.</w:t>
            </w:r>
            <w:r w:rsidRPr="00B131B0">
              <w:rPr>
                <w:color w:val="0D0D0D" w:themeColor="text1" w:themeTint="F2"/>
                <w:spacing w:val="-4"/>
              </w:rPr>
              <w:t xml:space="preserve"> </w:t>
            </w:r>
          </w:p>
          <w:p w14:paraId="166C57FE" w14:textId="77777777" w:rsidR="00917A40" w:rsidRPr="00B131B0" w:rsidRDefault="00917A40" w:rsidP="00D60677">
            <w:pPr>
              <w:pStyle w:val="Marginlie"/>
              <w:rPr>
                <w:color w:val="0D0D0D" w:themeColor="text1" w:themeTint="F2"/>
                <w:spacing w:val="-4"/>
              </w:rPr>
            </w:pPr>
          </w:p>
          <w:p w14:paraId="55786B43" w14:textId="77777777" w:rsidR="00917A40" w:rsidRPr="00B131B0" w:rsidRDefault="00917A40" w:rsidP="00D60677">
            <w:pPr>
              <w:pStyle w:val="Marginlie"/>
              <w:rPr>
                <w:color w:val="0D0D0D" w:themeColor="text1" w:themeTint="F2"/>
                <w:spacing w:val="-4"/>
              </w:rPr>
            </w:pPr>
          </w:p>
          <w:p w14:paraId="07B7C7D4" w14:textId="77777777" w:rsidR="00917A40" w:rsidRPr="00B131B0" w:rsidRDefault="00917A40" w:rsidP="00D60677">
            <w:pPr>
              <w:pStyle w:val="Marginlie"/>
              <w:rPr>
                <w:color w:val="0D0D0D" w:themeColor="text1" w:themeTint="F2"/>
                <w:spacing w:val="-4"/>
              </w:rPr>
            </w:pPr>
          </w:p>
          <w:p w14:paraId="3079C55E" w14:textId="77777777" w:rsidR="00917A40" w:rsidRPr="00B131B0" w:rsidRDefault="00917A40" w:rsidP="00D60677">
            <w:pPr>
              <w:pStyle w:val="Marginlie"/>
              <w:rPr>
                <w:color w:val="0D0D0D" w:themeColor="text1" w:themeTint="F2"/>
              </w:rPr>
            </w:pPr>
          </w:p>
        </w:tc>
        <w:tc>
          <w:tcPr>
            <w:tcW w:w="203" w:type="dxa"/>
            <w:tcMar>
              <w:left w:w="0" w:type="dxa"/>
            </w:tcMar>
          </w:tcPr>
          <w:p w14:paraId="4A956736"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60A56812" w14:textId="77777777" w:rsidR="00917A40" w:rsidRPr="00B131B0" w:rsidRDefault="00917A40" w:rsidP="00D60677">
            <w:pPr>
              <w:spacing w:after="200"/>
              <w:rPr>
                <w:color w:val="0D0D0D" w:themeColor="text1" w:themeTint="F2"/>
                <w:spacing w:val="-4"/>
              </w:rPr>
            </w:pPr>
            <w:r w:rsidRPr="005042B1">
              <w:rPr>
                <w:color w:val="0D0D0D" w:themeColor="text1" w:themeTint="F2"/>
                <w:spacing w:val="-4"/>
                <w:lang w:val="en"/>
              </w:rPr>
              <w:t xml:space="preserve">The general government performance in the EU </w:t>
            </w:r>
            <w:r>
              <w:rPr>
                <w:color w:val="0D0D0D" w:themeColor="text1" w:themeTint="F2"/>
                <w:spacing w:val="-4"/>
                <w:lang w:val="en"/>
              </w:rPr>
              <w:t>m</w:t>
            </w:r>
            <w:r w:rsidRPr="005042B1">
              <w:rPr>
                <w:color w:val="0D0D0D" w:themeColor="text1" w:themeTint="F2"/>
                <w:spacing w:val="-4"/>
                <w:lang w:val="en"/>
              </w:rPr>
              <w:t xml:space="preserve">ember </w:t>
            </w:r>
            <w:r>
              <w:rPr>
                <w:color w:val="0D0D0D" w:themeColor="text1" w:themeTint="F2"/>
                <w:spacing w:val="-4"/>
                <w:lang w:val="en"/>
              </w:rPr>
              <w:t>s</w:t>
            </w:r>
            <w:r w:rsidRPr="005042B1">
              <w:rPr>
                <w:color w:val="0D0D0D" w:themeColor="text1" w:themeTint="F2"/>
                <w:spacing w:val="-4"/>
                <w:lang w:val="en"/>
              </w:rPr>
              <w:t>tates</w:t>
            </w:r>
            <w:r w:rsidRPr="00B131B0">
              <w:rPr>
                <w:rStyle w:val="Znakapoznpodarou"/>
                <w:color w:val="0D0D0D" w:themeColor="text1" w:themeTint="F2"/>
                <w:spacing w:val="-4"/>
              </w:rPr>
              <w:footnoteReference w:id="6"/>
            </w:r>
            <w:r w:rsidRPr="005042B1">
              <w:rPr>
                <w:color w:val="0D0D0D" w:themeColor="text1" w:themeTint="F2"/>
                <w:spacing w:val="-4"/>
                <w:lang w:val="en"/>
              </w:rPr>
              <w:t xml:space="preserve"> improved very slightly at the beginning of this year. </w:t>
            </w:r>
            <w:r>
              <w:rPr>
                <w:color w:val="0D0D0D" w:themeColor="text1" w:themeTint="F2"/>
                <w:spacing w:val="-4"/>
                <w:lang w:val="en"/>
              </w:rPr>
              <w:t>T</w:t>
            </w:r>
            <w:r w:rsidRPr="005042B1">
              <w:rPr>
                <w:color w:val="0D0D0D" w:themeColor="text1" w:themeTint="F2"/>
                <w:spacing w:val="-4"/>
                <w:lang w:val="en"/>
              </w:rPr>
              <w:t xml:space="preserve">he performance of the economy in the Union gradually weakened </w:t>
            </w:r>
            <w:r>
              <w:rPr>
                <w:color w:val="0D0D0D" w:themeColor="text1" w:themeTint="F2"/>
                <w:spacing w:val="-4"/>
                <w:lang w:val="en"/>
              </w:rPr>
              <w:t xml:space="preserve">during 2025 </w:t>
            </w:r>
            <w:r w:rsidRPr="005042B1">
              <w:rPr>
                <w:color w:val="0D0D0D" w:themeColor="text1" w:themeTint="F2"/>
                <w:spacing w:val="-4"/>
                <w:lang w:val="en"/>
              </w:rPr>
              <w:t xml:space="preserve">due to the unstable geopolitical situation and tensions in trade relations with some key partners, and at the same time, the general government deficit worsened (up to 3.4% of GDP) due to faster growth </w:t>
            </w:r>
            <w:r>
              <w:rPr>
                <w:color w:val="0D0D0D" w:themeColor="text1" w:themeTint="F2"/>
                <w:spacing w:val="-4"/>
                <w:lang w:val="en"/>
              </w:rPr>
              <w:t>of</w:t>
            </w:r>
            <w:r w:rsidRPr="005042B1">
              <w:rPr>
                <w:color w:val="0D0D0D" w:themeColor="text1" w:themeTint="F2"/>
                <w:spacing w:val="-4"/>
                <w:lang w:val="en"/>
              </w:rPr>
              <w:t xml:space="preserve"> public spending. In Q1, this deficit narrowed to 3.1% of GDP. A deficit of over 3% of GDP was reported by 12 </w:t>
            </w:r>
            <w:r>
              <w:rPr>
                <w:color w:val="0D0D0D" w:themeColor="text1" w:themeTint="F2"/>
                <w:spacing w:val="-4"/>
                <w:lang w:val="en"/>
              </w:rPr>
              <w:t>m</w:t>
            </w:r>
            <w:r w:rsidRPr="005042B1">
              <w:rPr>
                <w:color w:val="0D0D0D" w:themeColor="text1" w:themeTint="F2"/>
                <w:spacing w:val="-4"/>
                <w:lang w:val="en"/>
              </w:rPr>
              <w:t xml:space="preserve">ember </w:t>
            </w:r>
            <w:r>
              <w:rPr>
                <w:color w:val="0D0D0D" w:themeColor="text1" w:themeTint="F2"/>
                <w:spacing w:val="-4"/>
                <w:lang w:val="en"/>
              </w:rPr>
              <w:t>s</w:t>
            </w:r>
            <w:r w:rsidRPr="005042B1">
              <w:rPr>
                <w:color w:val="0D0D0D" w:themeColor="text1" w:themeTint="F2"/>
                <w:spacing w:val="-4"/>
                <w:lang w:val="en"/>
              </w:rPr>
              <w:t xml:space="preserve">tates </w:t>
            </w:r>
            <w:r w:rsidRPr="005042B1">
              <w:rPr>
                <w:color w:val="0D0D0D" w:themeColor="text1" w:themeTint="F2"/>
                <w:spacing w:val="-4"/>
                <w:lang w:val="en"/>
              </w:rPr>
              <w:lastRenderedPageBreak/>
              <w:t>(and 9 out of 21 euro area countries). Bulgaria</w:t>
            </w:r>
            <w:r>
              <w:rPr>
                <w:color w:val="0D0D0D" w:themeColor="text1" w:themeTint="F2"/>
                <w:spacing w:val="-4"/>
                <w:lang w:val="en"/>
              </w:rPr>
              <w:t>,</w:t>
            </w:r>
            <w:r w:rsidRPr="005042B1">
              <w:rPr>
                <w:color w:val="0D0D0D" w:themeColor="text1" w:themeTint="F2"/>
                <w:spacing w:val="-4"/>
                <w:lang w:val="en"/>
              </w:rPr>
              <w:t xml:space="preserve"> where it also widened the most</w:t>
            </w:r>
            <w:r>
              <w:rPr>
                <w:color w:val="0D0D0D" w:themeColor="text1" w:themeTint="F2"/>
                <w:spacing w:val="-4"/>
                <w:lang w:val="en"/>
              </w:rPr>
              <w:t>,</w:t>
            </w:r>
            <w:r w:rsidRPr="005042B1">
              <w:rPr>
                <w:color w:val="0D0D0D" w:themeColor="text1" w:themeTint="F2"/>
                <w:spacing w:val="-4"/>
                <w:lang w:val="en"/>
              </w:rPr>
              <w:t xml:space="preserve"> year-on-year (by 4.5 p</w:t>
            </w:r>
            <w:r>
              <w:rPr>
                <w:color w:val="0D0D0D" w:themeColor="text1" w:themeTint="F2"/>
                <w:spacing w:val="-4"/>
                <w:lang w:val="en"/>
              </w:rPr>
              <w:t>. p.</w:t>
            </w:r>
            <w:r w:rsidRPr="005042B1">
              <w:rPr>
                <w:color w:val="0D0D0D" w:themeColor="text1" w:themeTint="F2"/>
                <w:spacing w:val="-4"/>
                <w:lang w:val="en"/>
              </w:rPr>
              <w:t>)</w:t>
            </w:r>
            <w:r>
              <w:rPr>
                <w:color w:val="0D0D0D" w:themeColor="text1" w:themeTint="F2"/>
                <w:spacing w:val="-4"/>
                <w:lang w:val="en"/>
              </w:rPr>
              <w:t xml:space="preserve"> </w:t>
            </w:r>
            <w:r w:rsidRPr="005042B1">
              <w:rPr>
                <w:color w:val="0D0D0D" w:themeColor="text1" w:themeTint="F2"/>
                <w:spacing w:val="-4"/>
                <w:lang w:val="en"/>
              </w:rPr>
              <w:t>was the most burden</w:t>
            </w:r>
            <w:r>
              <w:rPr>
                <w:color w:val="0D0D0D" w:themeColor="text1" w:themeTint="F2"/>
                <w:spacing w:val="-4"/>
                <w:lang w:val="en"/>
              </w:rPr>
              <w:t>ed</w:t>
            </w:r>
            <w:r w:rsidRPr="005042B1">
              <w:rPr>
                <w:color w:val="0D0D0D" w:themeColor="text1" w:themeTint="F2"/>
                <w:spacing w:val="-4"/>
                <w:lang w:val="en"/>
              </w:rPr>
              <w:t xml:space="preserve"> (7.6% of GDP). Hungary (−6.6% of GDP), Poland (−5.9%), France (−5.1%), Belgium (−4.8% of GDP) and e.g. Germany (−3.6%), which was the only major economy to record a year-on-year deterioration of the deficit (by 1.5 p</w:t>
            </w:r>
            <w:r>
              <w:rPr>
                <w:color w:val="0D0D0D" w:themeColor="text1" w:themeTint="F2"/>
                <w:spacing w:val="-4"/>
                <w:lang w:val="en"/>
              </w:rPr>
              <w:t>. p.</w:t>
            </w:r>
            <w:r w:rsidRPr="005042B1">
              <w:rPr>
                <w:color w:val="0D0D0D" w:themeColor="text1" w:themeTint="F2"/>
                <w:spacing w:val="-4"/>
                <w:lang w:val="en"/>
              </w:rPr>
              <w:t xml:space="preserve">, also faced significant fiscal imbalances. </w:t>
            </w:r>
            <w:r>
              <w:rPr>
                <w:color w:val="0D0D0D" w:themeColor="text1" w:themeTint="F2"/>
                <w:spacing w:val="-4"/>
                <w:lang w:val="en"/>
              </w:rPr>
              <w:t>T</w:t>
            </w:r>
            <w:r w:rsidRPr="005042B1">
              <w:rPr>
                <w:color w:val="0D0D0D" w:themeColor="text1" w:themeTint="F2"/>
                <w:spacing w:val="-4"/>
                <w:lang w:val="en"/>
              </w:rPr>
              <w:t>he deficit currently stood at 2.3% of GDP</w:t>
            </w:r>
            <w:r>
              <w:rPr>
                <w:color w:val="0D0D0D" w:themeColor="text1" w:themeTint="F2"/>
                <w:spacing w:val="-4"/>
                <w:lang w:val="en"/>
              </w:rPr>
              <w:t xml:space="preserve"> </w:t>
            </w:r>
            <w:r w:rsidRPr="005042B1">
              <w:rPr>
                <w:color w:val="0D0D0D" w:themeColor="text1" w:themeTint="F2"/>
                <w:spacing w:val="-4"/>
                <w:lang w:val="en"/>
              </w:rPr>
              <w:t>in</w:t>
            </w:r>
            <w:r>
              <w:rPr>
                <w:color w:val="0D0D0D" w:themeColor="text1" w:themeTint="F2"/>
                <w:spacing w:val="-4"/>
                <w:lang w:val="en"/>
              </w:rPr>
              <w:t xml:space="preserve"> the Czech Republic </w:t>
            </w:r>
            <w:r w:rsidRPr="005042B1">
              <w:rPr>
                <w:color w:val="0D0D0D" w:themeColor="text1" w:themeTint="F2"/>
                <w:spacing w:val="-4"/>
                <w:lang w:val="en"/>
              </w:rPr>
              <w:t>(</w:t>
            </w:r>
            <w:r>
              <w:rPr>
                <w:color w:val="0D0D0D" w:themeColor="text1" w:themeTint="F2"/>
                <w:spacing w:val="-4"/>
                <w:lang w:val="en"/>
              </w:rPr>
              <w:t xml:space="preserve">by a wide margin the </w:t>
            </w:r>
            <w:r w:rsidRPr="005042B1">
              <w:rPr>
                <w:color w:val="0D0D0D" w:themeColor="text1" w:themeTint="F2"/>
                <w:spacing w:val="-4"/>
                <w:lang w:val="en"/>
              </w:rPr>
              <w:t xml:space="preserve">least of all Central European countries) and was at almost the same level throughout last year. The economic surplus was reflected only in five mostly smaller countries. While in Cyprus, Denmark and Ireland it was a longer-term phenomenon (persisting at least since the pandemic subsided), in Greece and Portugal it was more of a current consolidation response to the long-term very high indebtedness of the government sector. Compared to the beginning of last year, the balance of the economy improved this year in ten EU countries – e.g. slightly in Poland (from -6.7% of GDP to -5.9%) and Spain (from -2.9% to -1.9% of GDP). However, only Romania (from -9.0% of GDP to -3.6%) </w:t>
            </w:r>
            <w:r>
              <w:rPr>
                <w:color w:val="0D0D0D" w:themeColor="text1" w:themeTint="F2"/>
                <w:spacing w:val="-4"/>
                <w:lang w:val="en"/>
              </w:rPr>
              <w:t xml:space="preserve">featured </w:t>
            </w:r>
            <w:r w:rsidRPr="005042B1">
              <w:rPr>
                <w:color w:val="0D0D0D" w:themeColor="text1" w:themeTint="F2"/>
                <w:spacing w:val="-4"/>
                <w:lang w:val="en"/>
              </w:rPr>
              <w:t>a significant shift, which was still one of the ten countries facing systematic pressure from the Union to consolidate public finances</w:t>
            </w:r>
            <w:r w:rsidRPr="00B131B0">
              <w:rPr>
                <w:rStyle w:val="Znakapoznpodarou"/>
                <w:spacing w:val="-6"/>
              </w:rPr>
              <w:footnoteReference w:id="7"/>
            </w:r>
            <w:r w:rsidRPr="00B131B0">
              <w:rPr>
                <w:spacing w:val="-6"/>
              </w:rPr>
              <w:t>.</w:t>
            </w:r>
          </w:p>
        </w:tc>
      </w:tr>
      <w:tr w:rsidR="00917A40" w:rsidRPr="00B131B0" w14:paraId="28C8FBD2" w14:textId="77777777" w:rsidTr="00D60677">
        <w:trPr>
          <w:trHeight w:val="155"/>
        </w:trPr>
        <w:tc>
          <w:tcPr>
            <w:tcW w:w="1803" w:type="dxa"/>
            <w:vMerge w:val="restart"/>
            <w:tcMar>
              <w:left w:w="0" w:type="dxa"/>
            </w:tcMar>
          </w:tcPr>
          <w:p w14:paraId="55D9A2CA" w14:textId="77777777" w:rsidR="00917A40" w:rsidRPr="00B131B0" w:rsidRDefault="00917A40" w:rsidP="00D60677">
            <w:pPr>
              <w:pStyle w:val="Marginlie"/>
              <w:rPr>
                <w:color w:val="0D0D0D" w:themeColor="text1" w:themeTint="F2"/>
                <w:spacing w:val="0"/>
              </w:rPr>
            </w:pPr>
          </w:p>
        </w:tc>
        <w:tc>
          <w:tcPr>
            <w:tcW w:w="203" w:type="dxa"/>
            <w:vMerge w:val="restart"/>
            <w:tcMar>
              <w:left w:w="0" w:type="dxa"/>
            </w:tcMar>
          </w:tcPr>
          <w:p w14:paraId="19470151"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540A4369" w14:textId="2FF05C9D" w:rsidR="00917A40" w:rsidRPr="00B131B0" w:rsidRDefault="00917A40" w:rsidP="00D60677">
            <w:pPr>
              <w:spacing w:after="0"/>
              <w:rPr>
                <w:color w:val="0D0D0D" w:themeColor="text1" w:themeTint="F2"/>
                <w:spacing w:val="-4"/>
              </w:rPr>
            </w:pPr>
            <w:r>
              <w:rPr>
                <w:rFonts w:cs="Arial"/>
                <w:b/>
                <w:bCs/>
                <w:color w:val="000000"/>
                <w:spacing w:val="-4"/>
                <w:szCs w:val="20"/>
              </w:rPr>
              <w:t xml:space="preserve">Chart </w:t>
            </w:r>
            <w:r w:rsidRPr="00B131B0">
              <w:rPr>
                <w:rFonts w:cs="Arial"/>
                <w:b/>
                <w:bCs/>
                <w:color w:val="000000"/>
                <w:spacing w:val="-4"/>
                <w:szCs w:val="20"/>
              </w:rPr>
              <w:t>1</w:t>
            </w:r>
            <w:r w:rsidR="00557EC1">
              <w:rPr>
                <w:rFonts w:cs="Arial"/>
                <w:b/>
                <w:bCs/>
                <w:color w:val="000000"/>
                <w:spacing w:val="-4"/>
                <w:szCs w:val="20"/>
              </w:rPr>
              <w:t>6</w:t>
            </w:r>
            <w:r w:rsidRPr="00B131B0">
              <w:rPr>
                <w:rFonts w:cs="Arial"/>
                <w:b/>
                <w:bCs/>
                <w:color w:val="000000"/>
                <w:spacing w:val="-4"/>
                <w:szCs w:val="20"/>
              </w:rPr>
              <w:t xml:space="preserve"> </w:t>
            </w:r>
            <w:r w:rsidRPr="00086700">
              <w:rPr>
                <w:rFonts w:cs="Arial"/>
                <w:b/>
                <w:bCs/>
                <w:color w:val="000000"/>
                <w:spacing w:val="-4"/>
                <w:szCs w:val="20"/>
              </w:rPr>
              <w:t xml:space="preserve">Budget balance </w:t>
            </w:r>
            <w:r>
              <w:rPr>
                <w:rFonts w:cs="Arial"/>
                <w:b/>
                <w:bCs/>
                <w:color w:val="000000"/>
                <w:spacing w:val="-4"/>
                <w:szCs w:val="20"/>
              </w:rPr>
              <w:t>o</w:t>
            </w:r>
            <w:r w:rsidRPr="00086700">
              <w:rPr>
                <w:rFonts w:cs="Arial"/>
                <w:b/>
                <w:bCs/>
                <w:color w:val="000000"/>
                <w:spacing w:val="-4"/>
                <w:szCs w:val="20"/>
              </w:rPr>
              <w:t xml:space="preserve">f the general government institution sector in </w:t>
            </w:r>
            <w:r>
              <w:rPr>
                <w:rFonts w:cs="Arial"/>
                <w:b/>
                <w:bCs/>
                <w:color w:val="000000"/>
                <w:spacing w:val="-4"/>
                <w:szCs w:val="20"/>
              </w:rPr>
              <w:t xml:space="preserve">the CR, and </w:t>
            </w:r>
            <w:r w:rsidRPr="00086700">
              <w:rPr>
                <w:rFonts w:cs="Arial"/>
                <w:b/>
                <w:bCs/>
                <w:color w:val="000000"/>
                <w:spacing w:val="-4"/>
                <w:szCs w:val="20"/>
              </w:rPr>
              <w:t xml:space="preserve">selected EU states </w:t>
            </w:r>
            <w:r w:rsidRPr="00086700">
              <w:rPr>
                <w:rFonts w:cs="Arial"/>
                <w:color w:val="000000"/>
                <w:spacing w:val="-4"/>
                <w:szCs w:val="20"/>
              </w:rPr>
              <w:t>(seasonally adjusted, in % of GDP)</w:t>
            </w:r>
          </w:p>
        </w:tc>
      </w:tr>
      <w:tr w:rsidR="00917A40" w:rsidRPr="00B131B0" w14:paraId="219DBF7F" w14:textId="77777777" w:rsidTr="00D60677">
        <w:tblPrEx>
          <w:tblCellMar>
            <w:left w:w="70" w:type="dxa"/>
            <w:right w:w="70" w:type="dxa"/>
          </w:tblCellMar>
        </w:tblPrEx>
        <w:trPr>
          <w:trHeight w:val="155"/>
        </w:trPr>
        <w:tc>
          <w:tcPr>
            <w:tcW w:w="1803" w:type="dxa"/>
            <w:vMerge/>
          </w:tcPr>
          <w:p w14:paraId="4171779D" w14:textId="77777777" w:rsidR="00917A40" w:rsidRPr="00B131B0" w:rsidRDefault="00917A40" w:rsidP="00D60677">
            <w:pPr>
              <w:pStyle w:val="Marginlie"/>
              <w:rPr>
                <w:color w:val="0D0D0D" w:themeColor="text1" w:themeTint="F2"/>
                <w:spacing w:val="0"/>
              </w:rPr>
            </w:pPr>
          </w:p>
        </w:tc>
        <w:tc>
          <w:tcPr>
            <w:tcW w:w="203" w:type="dxa"/>
            <w:vMerge/>
          </w:tcPr>
          <w:p w14:paraId="39069116" w14:textId="77777777" w:rsidR="00917A40" w:rsidRPr="00B131B0" w:rsidRDefault="00917A40" w:rsidP="00D60677">
            <w:pPr>
              <w:pStyle w:val="Textpoznpodarou"/>
              <w:jc w:val="both"/>
              <w:rPr>
                <w:color w:val="948A54" w:themeColor="background2" w:themeShade="80"/>
              </w:rPr>
            </w:pPr>
          </w:p>
        </w:tc>
        <w:tc>
          <w:tcPr>
            <w:tcW w:w="7663" w:type="dxa"/>
          </w:tcPr>
          <w:p w14:paraId="4BF8C4AB" w14:textId="77777777" w:rsidR="00917A40" w:rsidRPr="00B131B0" w:rsidRDefault="00917A40" w:rsidP="00D60677">
            <w:pPr>
              <w:spacing w:before="40" w:after="20"/>
              <w:rPr>
                <w:color w:val="0D0D0D" w:themeColor="text1" w:themeTint="F2"/>
                <w:spacing w:val="-4"/>
              </w:rPr>
            </w:pPr>
            <w:r>
              <w:rPr>
                <w:noProof/>
              </w:rPr>
              <w:drawing>
                <wp:inline distT="0" distB="0" distL="0" distR="0" wp14:anchorId="5F51BCA2" wp14:editId="5DBE8185">
                  <wp:extent cx="4737100" cy="3356610"/>
                  <wp:effectExtent l="0" t="0" r="6350" b="0"/>
                  <wp:docPr id="1000059445" name="Graf 1">
                    <a:extLst xmlns:a="http://schemas.openxmlformats.org/drawingml/2006/main">
                      <a:ext uri="{FF2B5EF4-FFF2-40B4-BE49-F238E27FC236}">
                        <a16:creationId xmlns:a16="http://schemas.microsoft.com/office/drawing/2014/main" id="{7CD16315-C6BA-41B8-8B7F-4B4FABBDE7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917A40" w:rsidRPr="00B131B0" w14:paraId="5BD22AE1" w14:textId="77777777" w:rsidTr="00D60677">
        <w:trPr>
          <w:trHeight w:val="155"/>
        </w:trPr>
        <w:tc>
          <w:tcPr>
            <w:tcW w:w="1803" w:type="dxa"/>
            <w:vMerge/>
            <w:tcMar>
              <w:left w:w="0" w:type="dxa"/>
            </w:tcMar>
          </w:tcPr>
          <w:p w14:paraId="3BC829C7" w14:textId="77777777" w:rsidR="00917A40" w:rsidRPr="00B131B0" w:rsidRDefault="00917A40" w:rsidP="00D60677">
            <w:pPr>
              <w:pStyle w:val="Marginlie"/>
              <w:rPr>
                <w:color w:val="0D0D0D" w:themeColor="text1" w:themeTint="F2"/>
                <w:spacing w:val="0"/>
              </w:rPr>
            </w:pPr>
          </w:p>
        </w:tc>
        <w:tc>
          <w:tcPr>
            <w:tcW w:w="203" w:type="dxa"/>
            <w:vMerge/>
            <w:tcMar>
              <w:left w:w="0" w:type="dxa"/>
            </w:tcMar>
          </w:tcPr>
          <w:p w14:paraId="08F78B71"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1BAD20DB" w14:textId="77777777" w:rsidR="00917A40" w:rsidRPr="0009272C" w:rsidRDefault="00917A40" w:rsidP="00D60677">
            <w:pPr>
              <w:spacing w:after="200"/>
              <w:rPr>
                <w:color w:val="0D0D0D" w:themeColor="text1" w:themeTint="F2"/>
                <w:sz w:val="14"/>
                <w:szCs w:val="14"/>
              </w:rPr>
            </w:pPr>
            <w:r>
              <w:rPr>
                <w:color w:val="0D0D0D" w:themeColor="text1" w:themeTint="F2"/>
                <w:sz w:val="14"/>
                <w:szCs w:val="14"/>
              </w:rPr>
              <w:t>Source</w:t>
            </w:r>
            <w:r w:rsidRPr="00B131B0">
              <w:rPr>
                <w:color w:val="0D0D0D" w:themeColor="text1" w:themeTint="F2"/>
                <w:sz w:val="14"/>
                <w:szCs w:val="14"/>
              </w:rPr>
              <w:t>: Eurostat</w:t>
            </w:r>
          </w:p>
        </w:tc>
      </w:tr>
      <w:tr w:rsidR="00917A40" w:rsidRPr="00B131B0" w14:paraId="32EABE12" w14:textId="77777777" w:rsidTr="00D60677">
        <w:trPr>
          <w:trHeight w:val="60"/>
        </w:trPr>
        <w:tc>
          <w:tcPr>
            <w:tcW w:w="1803" w:type="dxa"/>
            <w:tcMar>
              <w:left w:w="0" w:type="dxa"/>
            </w:tcMar>
          </w:tcPr>
          <w:p w14:paraId="28C3D1DB" w14:textId="77777777" w:rsidR="00917A40" w:rsidRPr="00B131B0" w:rsidRDefault="00917A40" w:rsidP="00D60677">
            <w:pPr>
              <w:pStyle w:val="Marginlie"/>
              <w:rPr>
                <w:color w:val="0D0D0D" w:themeColor="text1" w:themeTint="F2"/>
                <w:spacing w:val="0"/>
              </w:rPr>
            </w:pPr>
            <w:r w:rsidRPr="00DD39A2">
              <w:rPr>
                <w:color w:val="0D0D0D" w:themeColor="text1" w:themeTint="F2"/>
                <w:spacing w:val="0"/>
              </w:rPr>
              <w:t>The general government debt ratio in the EU has increased</w:t>
            </w:r>
            <w:r>
              <w:rPr>
                <w:color w:val="0D0D0D" w:themeColor="text1" w:themeTint="F2"/>
                <w:spacing w:val="0"/>
              </w:rPr>
              <w:t>,</w:t>
            </w:r>
            <w:r w:rsidRPr="00DD39A2">
              <w:rPr>
                <w:color w:val="0D0D0D" w:themeColor="text1" w:themeTint="F2"/>
                <w:spacing w:val="0"/>
              </w:rPr>
              <w:t xml:space="preserve"> year-on-year</w:t>
            </w:r>
            <w:r>
              <w:rPr>
                <w:color w:val="0D0D0D" w:themeColor="text1" w:themeTint="F2"/>
                <w:spacing w:val="0"/>
              </w:rPr>
              <w:t>,</w:t>
            </w:r>
            <w:r w:rsidRPr="00DD39A2">
              <w:rPr>
                <w:color w:val="0D0D0D" w:themeColor="text1" w:themeTint="F2"/>
                <w:spacing w:val="0"/>
              </w:rPr>
              <w:t xml:space="preserve"> </w:t>
            </w:r>
            <w:r>
              <w:rPr>
                <w:color w:val="0D0D0D" w:themeColor="text1" w:themeTint="F2"/>
                <w:spacing w:val="0"/>
              </w:rPr>
              <w:t xml:space="preserve">the most </w:t>
            </w:r>
            <w:r w:rsidRPr="00DD39A2">
              <w:rPr>
                <w:color w:val="0D0D0D" w:themeColor="text1" w:themeTint="F2"/>
                <w:spacing w:val="0"/>
              </w:rPr>
              <w:t xml:space="preserve">in </w:t>
            </w:r>
            <w:r>
              <w:rPr>
                <w:color w:val="0D0D0D" w:themeColor="text1" w:themeTint="F2"/>
                <w:spacing w:val="0"/>
              </w:rPr>
              <w:t xml:space="preserve">the last </w:t>
            </w:r>
            <w:r w:rsidRPr="00DD39A2">
              <w:rPr>
                <w:color w:val="0D0D0D" w:themeColor="text1" w:themeTint="F2"/>
                <w:spacing w:val="0"/>
              </w:rPr>
              <w:t>five years.</w:t>
            </w:r>
            <w:r w:rsidRPr="00B131B0">
              <w:rPr>
                <w:color w:val="0D0D0D" w:themeColor="text1" w:themeTint="F2"/>
                <w:spacing w:val="0"/>
              </w:rPr>
              <w:t xml:space="preserve">  </w:t>
            </w:r>
          </w:p>
          <w:p w14:paraId="7B568969" w14:textId="77777777" w:rsidR="00917A40" w:rsidRPr="00B131B0" w:rsidRDefault="00917A40" w:rsidP="00D60677">
            <w:pPr>
              <w:pStyle w:val="Marginlie"/>
              <w:rPr>
                <w:color w:val="0D0D0D" w:themeColor="text1" w:themeTint="F2"/>
                <w:spacing w:val="0"/>
              </w:rPr>
            </w:pPr>
          </w:p>
          <w:p w14:paraId="41E26C98" w14:textId="77777777" w:rsidR="00917A40" w:rsidRPr="00B131B0" w:rsidRDefault="00917A40" w:rsidP="00D60677">
            <w:pPr>
              <w:pStyle w:val="Marginlie"/>
              <w:rPr>
                <w:color w:val="0D0D0D" w:themeColor="text1" w:themeTint="F2"/>
                <w:spacing w:val="0"/>
              </w:rPr>
            </w:pPr>
          </w:p>
          <w:p w14:paraId="266CC8FB" w14:textId="77777777" w:rsidR="00917A40" w:rsidRPr="00B131B0" w:rsidRDefault="00917A40" w:rsidP="00D60677">
            <w:pPr>
              <w:pStyle w:val="Marginlie"/>
              <w:rPr>
                <w:color w:val="0D0D0D" w:themeColor="text1" w:themeTint="F2"/>
                <w:spacing w:val="0"/>
              </w:rPr>
            </w:pPr>
          </w:p>
          <w:p w14:paraId="3666FCC8" w14:textId="77777777" w:rsidR="00917A40" w:rsidRPr="00B131B0" w:rsidRDefault="00917A40" w:rsidP="00D60677">
            <w:pPr>
              <w:pStyle w:val="Marginlie"/>
              <w:rPr>
                <w:color w:val="0D0D0D" w:themeColor="text1" w:themeTint="F2"/>
                <w:spacing w:val="0"/>
              </w:rPr>
            </w:pPr>
          </w:p>
          <w:p w14:paraId="27FC55F5" w14:textId="77777777" w:rsidR="00917A40" w:rsidRPr="00B131B0" w:rsidRDefault="00917A40" w:rsidP="00D60677">
            <w:pPr>
              <w:pStyle w:val="Marginlie"/>
              <w:rPr>
                <w:color w:val="0D0D0D" w:themeColor="text1" w:themeTint="F2"/>
                <w:spacing w:val="0"/>
              </w:rPr>
            </w:pPr>
          </w:p>
          <w:p w14:paraId="167A4E8E" w14:textId="77777777" w:rsidR="00917A40" w:rsidRPr="00B131B0" w:rsidRDefault="00917A40" w:rsidP="00D60677">
            <w:pPr>
              <w:pStyle w:val="Marginlie"/>
              <w:rPr>
                <w:color w:val="0D0D0D" w:themeColor="text1" w:themeTint="F2"/>
                <w:spacing w:val="0"/>
              </w:rPr>
            </w:pPr>
          </w:p>
          <w:p w14:paraId="6D245A0D" w14:textId="77777777" w:rsidR="00917A40" w:rsidRPr="00B131B0" w:rsidRDefault="00917A40" w:rsidP="00D60677">
            <w:pPr>
              <w:pStyle w:val="Marginlie"/>
              <w:rPr>
                <w:color w:val="0D0D0D" w:themeColor="text1" w:themeTint="F2"/>
                <w:spacing w:val="0"/>
              </w:rPr>
            </w:pPr>
          </w:p>
          <w:p w14:paraId="269F94F8" w14:textId="77777777" w:rsidR="00917A40" w:rsidRPr="00B131B0" w:rsidRDefault="00917A40" w:rsidP="00D60677">
            <w:pPr>
              <w:pStyle w:val="Marginlie"/>
              <w:rPr>
                <w:color w:val="948A54" w:themeColor="background2" w:themeShade="80"/>
                <w:spacing w:val="0"/>
              </w:rPr>
            </w:pPr>
            <w:r w:rsidRPr="00DD39A2">
              <w:rPr>
                <w:color w:val="0D0D0D" w:themeColor="text1" w:themeTint="F2"/>
                <w:spacing w:val="0"/>
              </w:rPr>
              <w:lastRenderedPageBreak/>
              <w:t xml:space="preserve">In the Czech Republic, indebtedness increased slightly for the second year in a row, but it still reached a minimum </w:t>
            </w:r>
            <w:r>
              <w:rPr>
                <w:color w:val="0D0D0D" w:themeColor="text1" w:themeTint="F2"/>
                <w:spacing w:val="0"/>
              </w:rPr>
              <w:t>with</w:t>
            </w:r>
            <w:r w:rsidRPr="00DD39A2">
              <w:rPr>
                <w:color w:val="0D0D0D" w:themeColor="text1" w:themeTint="F2"/>
                <w:spacing w:val="0"/>
              </w:rPr>
              <w:t>in Central Europe.</w:t>
            </w:r>
            <w:r w:rsidRPr="00B131B0">
              <w:rPr>
                <w:color w:val="948A54" w:themeColor="background2" w:themeShade="80"/>
                <w:spacing w:val="0"/>
              </w:rPr>
              <w:t xml:space="preserve"> </w:t>
            </w:r>
          </w:p>
        </w:tc>
        <w:tc>
          <w:tcPr>
            <w:tcW w:w="203" w:type="dxa"/>
            <w:tcMar>
              <w:left w:w="0" w:type="dxa"/>
            </w:tcMar>
          </w:tcPr>
          <w:p w14:paraId="5322A577" w14:textId="77777777" w:rsidR="00917A40" w:rsidRPr="00B131B0" w:rsidRDefault="00917A40" w:rsidP="00D60677">
            <w:pPr>
              <w:pStyle w:val="Textpoznpodarou"/>
              <w:jc w:val="both"/>
              <w:rPr>
                <w:color w:val="948A54" w:themeColor="background2" w:themeShade="80"/>
              </w:rPr>
            </w:pPr>
          </w:p>
        </w:tc>
        <w:tc>
          <w:tcPr>
            <w:tcW w:w="7663" w:type="dxa"/>
            <w:tcMar>
              <w:left w:w="0" w:type="dxa"/>
            </w:tcMar>
          </w:tcPr>
          <w:p w14:paraId="7332A8FC" w14:textId="77777777" w:rsidR="00917A40" w:rsidRDefault="00917A40" w:rsidP="00D60677">
            <w:pPr>
              <w:spacing w:after="0"/>
              <w:rPr>
                <w:color w:val="0D0D0D" w:themeColor="text1" w:themeTint="F2"/>
                <w:spacing w:val="-4"/>
              </w:rPr>
            </w:pPr>
            <w:r>
              <w:rPr>
                <w:color w:val="0D0D0D" w:themeColor="text1" w:themeTint="F2"/>
                <w:spacing w:val="-4"/>
              </w:rPr>
              <w:t>T</w:t>
            </w:r>
            <w:r w:rsidRPr="00DD39A2">
              <w:rPr>
                <w:color w:val="0D0D0D" w:themeColor="text1" w:themeTint="F2"/>
                <w:spacing w:val="-4"/>
              </w:rPr>
              <w:t>he gross consolidated debt of the general government sector in the EU stood at 82.9% (88.9% of GDP in the euro area)</w:t>
            </w:r>
            <w:r>
              <w:rPr>
                <w:color w:val="0D0D0D" w:themeColor="text1" w:themeTint="F2"/>
                <w:spacing w:val="-4"/>
              </w:rPr>
              <w:t xml:space="preserve"> a</w:t>
            </w:r>
            <w:r w:rsidRPr="00DD39A2">
              <w:rPr>
                <w:color w:val="0D0D0D" w:themeColor="text1" w:themeTint="F2"/>
                <w:spacing w:val="-4"/>
              </w:rPr>
              <w:t xml:space="preserve">t the end of </w:t>
            </w:r>
            <w:r>
              <w:rPr>
                <w:color w:val="0D0D0D" w:themeColor="text1" w:themeTint="F2"/>
                <w:spacing w:val="-4"/>
              </w:rPr>
              <w:t>Q1</w:t>
            </w:r>
            <w:r w:rsidRPr="00DD39A2">
              <w:rPr>
                <w:color w:val="0D0D0D" w:themeColor="text1" w:themeTint="F2"/>
                <w:spacing w:val="-4"/>
              </w:rPr>
              <w:t>. The level of debt in both groups was the highest in the last three and a half years. It grew</w:t>
            </w:r>
            <w:r>
              <w:rPr>
                <w:color w:val="0D0D0D" w:themeColor="text1" w:themeTint="F2"/>
                <w:spacing w:val="-4"/>
              </w:rPr>
              <w:t>,</w:t>
            </w:r>
            <w:r w:rsidRPr="00DD39A2">
              <w:rPr>
                <w:color w:val="0D0D0D" w:themeColor="text1" w:themeTint="F2"/>
                <w:spacing w:val="-4"/>
              </w:rPr>
              <w:t xml:space="preserve"> year-on-year</w:t>
            </w:r>
            <w:r>
              <w:rPr>
                <w:color w:val="0D0D0D" w:themeColor="text1" w:themeTint="F2"/>
                <w:spacing w:val="-4"/>
              </w:rPr>
              <w:t>,</w:t>
            </w:r>
            <w:r w:rsidRPr="00DD39A2">
              <w:rPr>
                <w:color w:val="0D0D0D" w:themeColor="text1" w:themeTint="F2"/>
                <w:spacing w:val="-4"/>
              </w:rPr>
              <w:t xml:space="preserve"> for the fifth quarter in a row – now by 1.5 p</w:t>
            </w:r>
            <w:r>
              <w:rPr>
                <w:color w:val="0D0D0D" w:themeColor="text1" w:themeTint="F2"/>
                <w:spacing w:val="-4"/>
              </w:rPr>
              <w:t xml:space="preserve">. p. </w:t>
            </w:r>
            <w:r w:rsidRPr="00DD39A2">
              <w:rPr>
                <w:color w:val="0D0D0D" w:themeColor="text1" w:themeTint="F2"/>
                <w:spacing w:val="-4"/>
              </w:rPr>
              <w:t>(the highest in the last five years). Indebtedness in the EU also increased significantly</w:t>
            </w:r>
            <w:r>
              <w:rPr>
                <w:color w:val="0D0D0D" w:themeColor="text1" w:themeTint="F2"/>
                <w:spacing w:val="-4"/>
              </w:rPr>
              <w:t>,</w:t>
            </w:r>
            <w:r w:rsidRPr="00DD39A2">
              <w:rPr>
                <w:color w:val="0D0D0D" w:themeColor="text1" w:themeTint="F2"/>
                <w:spacing w:val="-4"/>
              </w:rPr>
              <w:t xml:space="preserve"> quarter-on-quarter (+1.1 p</w:t>
            </w:r>
            <w:r>
              <w:rPr>
                <w:color w:val="0D0D0D" w:themeColor="text1" w:themeTint="F2"/>
                <w:spacing w:val="-4"/>
              </w:rPr>
              <w:t>. p.</w:t>
            </w:r>
            <w:r w:rsidRPr="00DD39A2">
              <w:rPr>
                <w:color w:val="0D0D0D" w:themeColor="text1" w:themeTint="F2"/>
                <w:spacing w:val="-4"/>
              </w:rPr>
              <w:t>), with nominal GDP</w:t>
            </w:r>
            <w:r w:rsidRPr="00B131B0">
              <w:rPr>
                <w:rStyle w:val="Znakapoznpodarou"/>
                <w:color w:val="0D0D0D" w:themeColor="text1" w:themeTint="F2"/>
                <w:spacing w:val="-4"/>
              </w:rPr>
              <w:footnoteReference w:id="8"/>
            </w:r>
            <w:r w:rsidRPr="00DD39A2">
              <w:rPr>
                <w:color w:val="0D0D0D" w:themeColor="text1" w:themeTint="F2"/>
                <w:spacing w:val="-4"/>
              </w:rPr>
              <w:t xml:space="preserve"> strengthening acting against its growth. Indebtedness increased</w:t>
            </w:r>
            <w:r>
              <w:rPr>
                <w:color w:val="0D0D0D" w:themeColor="text1" w:themeTint="F2"/>
                <w:spacing w:val="-4"/>
              </w:rPr>
              <w:t>,</w:t>
            </w:r>
            <w:r w:rsidRPr="00DD39A2">
              <w:rPr>
                <w:color w:val="0D0D0D" w:themeColor="text1" w:themeTint="F2"/>
                <w:spacing w:val="-4"/>
              </w:rPr>
              <w:t xml:space="preserve"> year-on-year, in two-thirds of the </w:t>
            </w:r>
            <w:r>
              <w:rPr>
                <w:color w:val="0D0D0D" w:themeColor="text1" w:themeTint="F2"/>
                <w:spacing w:val="-4"/>
              </w:rPr>
              <w:t>m</w:t>
            </w:r>
            <w:r w:rsidRPr="00DD39A2">
              <w:rPr>
                <w:color w:val="0D0D0D" w:themeColor="text1" w:themeTint="F2"/>
                <w:spacing w:val="-4"/>
              </w:rPr>
              <w:t xml:space="preserve">ember </w:t>
            </w:r>
            <w:r>
              <w:rPr>
                <w:color w:val="0D0D0D" w:themeColor="text1" w:themeTint="F2"/>
                <w:spacing w:val="-4"/>
              </w:rPr>
              <w:t>s</w:t>
            </w:r>
            <w:r w:rsidRPr="00DD39A2">
              <w:rPr>
                <w:color w:val="0D0D0D" w:themeColor="text1" w:themeTint="F2"/>
                <w:spacing w:val="-4"/>
              </w:rPr>
              <w:t>tates – the highest was in Finland (+5.5 p</w:t>
            </w:r>
            <w:r>
              <w:rPr>
                <w:color w:val="0D0D0D" w:themeColor="text1" w:themeTint="F2"/>
                <w:spacing w:val="-4"/>
              </w:rPr>
              <w:t xml:space="preserve">. p. </w:t>
            </w:r>
            <w:r w:rsidRPr="00DD39A2">
              <w:rPr>
                <w:color w:val="0D0D0D" w:themeColor="text1" w:themeTint="F2"/>
                <w:spacing w:val="-4"/>
              </w:rPr>
              <w:t>to 89.7% of GDP), Bulgaria (+4.8 p</w:t>
            </w:r>
            <w:r>
              <w:rPr>
                <w:color w:val="0D0D0D" w:themeColor="text1" w:themeTint="F2"/>
                <w:spacing w:val="-4"/>
              </w:rPr>
              <w:t>. p.</w:t>
            </w:r>
            <w:r w:rsidRPr="00DD39A2">
              <w:rPr>
                <w:color w:val="0D0D0D" w:themeColor="text1" w:themeTint="F2"/>
                <w:spacing w:val="-4"/>
              </w:rPr>
              <w:t>, to 28.5% of GDP), Poland (+4.6 p</w:t>
            </w:r>
            <w:r>
              <w:rPr>
                <w:color w:val="0D0D0D" w:themeColor="text1" w:themeTint="F2"/>
                <w:spacing w:val="-4"/>
              </w:rPr>
              <w:t>. p.</w:t>
            </w:r>
            <w:r w:rsidRPr="00DD39A2">
              <w:rPr>
                <w:color w:val="0D0D0D" w:themeColor="text1" w:themeTint="F2"/>
                <w:spacing w:val="-4"/>
              </w:rPr>
              <w:t>, to 61.6% of GDP), and of the major economies, mainly France (+4.0 p</w:t>
            </w:r>
            <w:r>
              <w:rPr>
                <w:color w:val="0D0D0D" w:themeColor="text1" w:themeTint="F2"/>
                <w:spacing w:val="-4"/>
              </w:rPr>
              <w:t>. p.</w:t>
            </w:r>
            <w:r w:rsidRPr="00DD39A2">
              <w:rPr>
                <w:color w:val="0D0D0D" w:themeColor="text1" w:themeTint="F2"/>
                <w:spacing w:val="-4"/>
              </w:rPr>
              <w:t>, to 117.6% of GDP) and Germany (+2.4 p</w:t>
            </w:r>
            <w:r>
              <w:rPr>
                <w:color w:val="0D0D0D" w:themeColor="text1" w:themeTint="F2"/>
                <w:spacing w:val="-4"/>
              </w:rPr>
              <w:t>. p.</w:t>
            </w:r>
            <w:r w:rsidRPr="00DD39A2">
              <w:rPr>
                <w:color w:val="0D0D0D" w:themeColor="text1" w:themeTint="F2"/>
                <w:spacing w:val="-4"/>
              </w:rPr>
              <w:t>, to 64.4% of GDP). However, it fell in some highly indebted countries – mainly in Greece (−9.4 p</w:t>
            </w:r>
            <w:r>
              <w:rPr>
                <w:color w:val="0D0D0D" w:themeColor="text1" w:themeTint="F2"/>
                <w:spacing w:val="-4"/>
              </w:rPr>
              <w:t>. p.</w:t>
            </w:r>
            <w:r w:rsidRPr="00DD39A2">
              <w:rPr>
                <w:color w:val="0D0D0D" w:themeColor="text1" w:themeTint="F2"/>
                <w:spacing w:val="-4"/>
              </w:rPr>
              <w:t xml:space="preserve">, to 143.5% of GDP, down by a third </w:t>
            </w:r>
            <w:r w:rsidRPr="00DD39A2">
              <w:rPr>
                <w:color w:val="0D0D0D" w:themeColor="text1" w:themeTint="F2"/>
                <w:spacing w:val="-4"/>
              </w:rPr>
              <w:lastRenderedPageBreak/>
              <w:t>in the last five years), Portugal (−3.8 p</w:t>
            </w:r>
            <w:r>
              <w:rPr>
                <w:color w:val="0D0D0D" w:themeColor="text1" w:themeTint="F2"/>
                <w:spacing w:val="-4"/>
              </w:rPr>
              <w:t>. p.</w:t>
            </w:r>
            <w:r w:rsidRPr="00DD39A2">
              <w:rPr>
                <w:color w:val="0D0D0D" w:themeColor="text1" w:themeTint="F2"/>
                <w:spacing w:val="-4"/>
              </w:rPr>
              <w:t>, to 91.0% of GDP) and Spain (−1.7 p</w:t>
            </w:r>
            <w:r>
              <w:rPr>
                <w:color w:val="0D0D0D" w:themeColor="text1" w:themeTint="F2"/>
                <w:spacing w:val="-4"/>
              </w:rPr>
              <w:t>. p.</w:t>
            </w:r>
            <w:r w:rsidRPr="00DD39A2">
              <w:rPr>
                <w:color w:val="0D0D0D" w:themeColor="text1" w:themeTint="F2"/>
                <w:spacing w:val="-4"/>
              </w:rPr>
              <w:t>, to 101.6% of GDP), but also in Denmark (−2.5 p</w:t>
            </w:r>
            <w:r>
              <w:rPr>
                <w:color w:val="0D0D0D" w:themeColor="text1" w:themeTint="F2"/>
                <w:spacing w:val="-4"/>
              </w:rPr>
              <w:t>. p.,</w:t>
            </w:r>
            <w:r w:rsidRPr="00DD39A2">
              <w:rPr>
                <w:color w:val="0D0D0D" w:themeColor="text1" w:themeTint="F2"/>
                <w:spacing w:val="-4"/>
              </w:rPr>
              <w:t xml:space="preserve"> to 26.8% of GDP). Indebtedness in the Czech Republic increased slightly by 0.8 p</w:t>
            </w:r>
            <w:r>
              <w:rPr>
                <w:color w:val="0D0D0D" w:themeColor="text1" w:themeTint="F2"/>
                <w:spacing w:val="-4"/>
              </w:rPr>
              <w:t xml:space="preserve">. p. </w:t>
            </w:r>
            <w:r w:rsidRPr="00DD39A2">
              <w:rPr>
                <w:color w:val="0D0D0D" w:themeColor="text1" w:themeTint="F2"/>
                <w:spacing w:val="-4"/>
              </w:rPr>
              <w:t>and reached the ninth lowest level in the Union (44.1% of GDP</w:t>
            </w:r>
            <w:r w:rsidRPr="00B131B0">
              <w:rPr>
                <w:rStyle w:val="Znakapoznpodarou"/>
                <w:color w:val="0D0D0D" w:themeColor="text1" w:themeTint="F2"/>
                <w:spacing w:val="-4"/>
              </w:rPr>
              <w:footnoteReference w:id="9"/>
            </w:r>
            <w:r w:rsidRPr="00B131B0">
              <w:rPr>
                <w:color w:val="0D0D0D" w:themeColor="text1" w:themeTint="F2"/>
                <w:spacing w:val="-4"/>
              </w:rPr>
              <w:t>)</w:t>
            </w:r>
            <w:r w:rsidRPr="00DD39A2">
              <w:rPr>
                <w:color w:val="0D0D0D" w:themeColor="text1" w:themeTint="F2"/>
                <w:spacing w:val="-4"/>
              </w:rPr>
              <w:t>). Despite recent significant consolidation efforts, Greece</w:t>
            </w:r>
            <w:r w:rsidRPr="00B131B0">
              <w:rPr>
                <w:rStyle w:val="Znakapoznpodarou"/>
                <w:color w:val="0D0D0D" w:themeColor="text1" w:themeTint="F2"/>
                <w:spacing w:val="-4"/>
              </w:rPr>
              <w:footnoteReference w:id="10"/>
            </w:r>
            <w:r w:rsidRPr="00DD39A2">
              <w:rPr>
                <w:color w:val="0D0D0D" w:themeColor="text1" w:themeTint="F2"/>
                <w:spacing w:val="-4"/>
              </w:rPr>
              <w:t xml:space="preserve"> continued to dominate in a negative sense, ahead of Italy (138.9% of GDP), France and Spain. At the opposite pole is Estonia (25.2% of GDP</w:t>
            </w:r>
            <w:r w:rsidRPr="00B131B0">
              <w:rPr>
                <w:rStyle w:val="Znakapoznpodarou"/>
                <w:color w:val="0D0D0D" w:themeColor="text1" w:themeTint="F2"/>
                <w:spacing w:val="-4"/>
              </w:rPr>
              <w:footnoteReference w:id="11"/>
            </w:r>
            <w:r w:rsidRPr="00B131B0">
              <w:rPr>
                <w:color w:val="0D0D0D" w:themeColor="text1" w:themeTint="F2"/>
                <w:spacing w:val="-4"/>
              </w:rPr>
              <w:t>)</w:t>
            </w:r>
            <w:r w:rsidRPr="00DD39A2">
              <w:rPr>
                <w:color w:val="0D0D0D" w:themeColor="text1" w:themeTint="F2"/>
                <w:spacing w:val="-4"/>
              </w:rPr>
              <w:t xml:space="preserve"> for a long time, currently followed by Denmark (26.8% of GDP).</w:t>
            </w:r>
            <w:r w:rsidRPr="00B131B0">
              <w:rPr>
                <w:color w:val="0D0D0D" w:themeColor="text1" w:themeTint="F2"/>
                <w:spacing w:val="-4"/>
              </w:rPr>
              <w:t xml:space="preserve"> </w:t>
            </w:r>
          </w:p>
          <w:p w14:paraId="7989B4D1" w14:textId="77777777" w:rsidR="00917A40" w:rsidRPr="00B131B0" w:rsidRDefault="00917A40" w:rsidP="00D60677">
            <w:pPr>
              <w:spacing w:after="0"/>
              <w:rPr>
                <w:color w:val="0D0D0D" w:themeColor="text1" w:themeTint="F2"/>
                <w:spacing w:val="-4"/>
              </w:rPr>
            </w:pPr>
          </w:p>
        </w:tc>
      </w:tr>
      <w:tr w:rsidR="00917A40" w:rsidRPr="00B131B0" w14:paraId="495DA211" w14:textId="77777777" w:rsidTr="00D60677">
        <w:trPr>
          <w:trHeight w:val="60"/>
        </w:trPr>
        <w:tc>
          <w:tcPr>
            <w:tcW w:w="9669" w:type="dxa"/>
            <w:gridSpan w:val="3"/>
            <w:tcMar>
              <w:left w:w="0" w:type="dxa"/>
            </w:tcMar>
          </w:tcPr>
          <w:p w14:paraId="728A9406" w14:textId="77777777" w:rsidR="00917A40" w:rsidRPr="00B131B0" w:rsidRDefault="00917A40" w:rsidP="00D60677">
            <w:pPr>
              <w:pStyle w:val="Nadpis3"/>
              <w:rPr>
                <w:color w:val="0D0D0D" w:themeColor="text1" w:themeTint="F2"/>
                <w:spacing w:val="-2"/>
                <w:lang w:val="en-GB"/>
              </w:rPr>
            </w:pPr>
            <w:bookmarkStart w:id="4" w:name="_Toc239947457"/>
            <w:bookmarkStart w:id="5" w:name="_Toc242958698"/>
            <w:r w:rsidRPr="00B131B0">
              <w:rPr>
                <w:lang w:val="en-GB" w:eastAsia="en-US"/>
              </w:rPr>
              <w:lastRenderedPageBreak/>
              <w:t xml:space="preserve">8.2 </w:t>
            </w:r>
            <w:r>
              <w:rPr>
                <w:lang w:val="en-GB" w:eastAsia="en-US"/>
              </w:rPr>
              <w:t>State Budget Revenues</w:t>
            </w:r>
            <w:bookmarkEnd w:id="4"/>
            <w:bookmarkEnd w:id="5"/>
          </w:p>
        </w:tc>
      </w:tr>
      <w:tr w:rsidR="00917A40" w:rsidRPr="00B131B0" w14:paraId="2F52FAAD" w14:textId="77777777" w:rsidTr="00D60677">
        <w:trPr>
          <w:trHeight w:val="60"/>
        </w:trPr>
        <w:tc>
          <w:tcPr>
            <w:tcW w:w="1803" w:type="dxa"/>
            <w:tcMar>
              <w:left w:w="0" w:type="dxa"/>
            </w:tcMar>
          </w:tcPr>
          <w:p w14:paraId="281F31A1" w14:textId="77777777" w:rsidR="00917A40" w:rsidRPr="002F6FFF" w:rsidRDefault="00917A40" w:rsidP="00D60677">
            <w:pPr>
              <w:pStyle w:val="Marginlie"/>
              <w:rPr>
                <w:lang w:val="en"/>
              </w:rPr>
            </w:pPr>
            <w:r>
              <w:rPr>
                <w:lang w:val="en"/>
              </w:rPr>
              <w:t xml:space="preserve">Markedly </w:t>
            </w:r>
            <w:r w:rsidRPr="002F6FFF">
              <w:rPr>
                <w:lang w:val="en"/>
              </w:rPr>
              <w:t>significant</w:t>
            </w:r>
            <w:r>
              <w:rPr>
                <w:lang w:val="en"/>
              </w:rPr>
              <w:t xml:space="preserve"> SB</w:t>
            </w:r>
            <w:r w:rsidRPr="002F6FFF">
              <w:rPr>
                <w:lang w:val="en"/>
              </w:rPr>
              <w:t xml:space="preserve"> deficit continued for the seventh year in a row. This year, the deficit widened</w:t>
            </w:r>
            <w:r>
              <w:rPr>
                <w:lang w:val="en"/>
              </w:rPr>
              <w:t>,</w:t>
            </w:r>
            <w:r w:rsidRPr="002F6FFF">
              <w:rPr>
                <w:lang w:val="en"/>
              </w:rPr>
              <w:t xml:space="preserve"> year-on-year, among other things, due to a decrease </w:t>
            </w:r>
            <w:r>
              <w:rPr>
                <w:lang w:val="en"/>
              </w:rPr>
              <w:t>of</w:t>
            </w:r>
            <w:r w:rsidRPr="002F6FFF">
              <w:rPr>
                <w:lang w:val="en"/>
              </w:rPr>
              <w:t xml:space="preserve"> the positive balance in relation to the EU budget and a change in the budget allocation of taxes.</w:t>
            </w:r>
          </w:p>
          <w:p w14:paraId="4FBFC3F4" w14:textId="77777777" w:rsidR="00917A40" w:rsidRPr="00B131B0" w:rsidRDefault="00917A40" w:rsidP="00D60677">
            <w:pPr>
              <w:pStyle w:val="Marginlie"/>
              <w:rPr>
                <w:spacing w:val="0"/>
              </w:rPr>
            </w:pPr>
          </w:p>
          <w:p w14:paraId="0ACD5903" w14:textId="77777777" w:rsidR="00917A40" w:rsidRPr="00B131B0" w:rsidRDefault="00917A40" w:rsidP="00D60677">
            <w:pPr>
              <w:pStyle w:val="Marginlie"/>
              <w:rPr>
                <w:spacing w:val="0"/>
              </w:rPr>
            </w:pPr>
          </w:p>
        </w:tc>
        <w:tc>
          <w:tcPr>
            <w:tcW w:w="203" w:type="dxa"/>
            <w:tcMar>
              <w:left w:w="0" w:type="dxa"/>
            </w:tcMar>
          </w:tcPr>
          <w:p w14:paraId="02DC74C0" w14:textId="77777777" w:rsidR="00917A40" w:rsidRPr="00B131B0" w:rsidRDefault="00917A40" w:rsidP="00D60677">
            <w:pPr>
              <w:pStyle w:val="Textpoznpodarou"/>
              <w:jc w:val="both"/>
            </w:pPr>
          </w:p>
        </w:tc>
        <w:tc>
          <w:tcPr>
            <w:tcW w:w="7663" w:type="dxa"/>
            <w:tcMar>
              <w:left w:w="0" w:type="dxa"/>
            </w:tcMar>
          </w:tcPr>
          <w:p w14:paraId="5E77A71D" w14:textId="77777777" w:rsidR="00917A40" w:rsidRPr="00B131B0" w:rsidRDefault="00917A40" w:rsidP="00D60677">
            <w:pPr>
              <w:spacing w:after="200"/>
              <w:rPr>
                <w:color w:val="0D0D0D" w:themeColor="text1" w:themeTint="F2"/>
                <w:spacing w:val="-2"/>
              </w:rPr>
            </w:pPr>
            <w:r w:rsidRPr="002F6FFF">
              <w:rPr>
                <w:color w:val="0D0D0D" w:themeColor="text1" w:themeTint="F2"/>
                <w:spacing w:val="-2"/>
              </w:rPr>
              <w:t>The state budget (S</w:t>
            </w:r>
            <w:r>
              <w:rPr>
                <w:color w:val="0D0D0D" w:themeColor="text1" w:themeTint="F2"/>
                <w:spacing w:val="-2"/>
              </w:rPr>
              <w:t>B</w:t>
            </w:r>
            <w:r w:rsidRPr="002F6FFF">
              <w:rPr>
                <w:color w:val="0D0D0D" w:themeColor="text1" w:themeTint="F2"/>
                <w:spacing w:val="-2"/>
              </w:rPr>
              <w:t>)</w:t>
            </w:r>
            <w:r w:rsidRPr="00B131B0">
              <w:rPr>
                <w:rStyle w:val="Znakapoznpodarou"/>
                <w:spacing w:val="-2"/>
              </w:rPr>
              <w:t xml:space="preserve"> </w:t>
            </w:r>
            <w:r w:rsidRPr="00B131B0">
              <w:rPr>
                <w:rStyle w:val="Znakapoznpodarou"/>
                <w:spacing w:val="-2"/>
              </w:rPr>
              <w:footnoteReference w:id="12"/>
            </w:r>
            <w:r w:rsidRPr="002F6FFF">
              <w:rPr>
                <w:color w:val="0D0D0D" w:themeColor="text1" w:themeTint="F2"/>
                <w:spacing w:val="-2"/>
              </w:rPr>
              <w:t xml:space="preserve"> ended with a deficit of 183.6 b</w:t>
            </w:r>
            <w:r>
              <w:rPr>
                <w:color w:val="0D0D0D" w:themeColor="text1" w:themeTint="F2"/>
                <w:spacing w:val="-2"/>
              </w:rPr>
              <w:t xml:space="preserve">n CZK in H1 </w:t>
            </w:r>
            <w:r w:rsidRPr="002F6FFF">
              <w:rPr>
                <w:color w:val="0D0D0D" w:themeColor="text1" w:themeTint="F2"/>
                <w:spacing w:val="-2"/>
              </w:rPr>
              <w:t>2026, more than a fifth deeper</w:t>
            </w:r>
            <w:r>
              <w:rPr>
                <w:color w:val="0D0D0D" w:themeColor="text1" w:themeTint="F2"/>
                <w:spacing w:val="-2"/>
              </w:rPr>
              <w:t>,</w:t>
            </w:r>
            <w:r w:rsidRPr="002F6FFF">
              <w:rPr>
                <w:color w:val="0D0D0D" w:themeColor="text1" w:themeTint="F2"/>
                <w:spacing w:val="-2"/>
              </w:rPr>
              <w:t xml:space="preserve"> year-on-year (after adjusting the balance for funds from the EU budget</w:t>
            </w:r>
            <w:r w:rsidRPr="00B131B0">
              <w:rPr>
                <w:rStyle w:val="Znakapoznpodarou"/>
                <w:spacing w:val="-2"/>
              </w:rPr>
              <w:footnoteReference w:id="13"/>
            </w:r>
            <w:r w:rsidRPr="002F6FFF">
              <w:rPr>
                <w:color w:val="0D0D0D" w:themeColor="text1" w:themeTint="F2"/>
                <w:spacing w:val="-2"/>
              </w:rPr>
              <w:t>, this deterioration became even more pronounced</w:t>
            </w:r>
            <w:r w:rsidRPr="00B131B0">
              <w:rPr>
                <w:rStyle w:val="Znakapoznpodarou"/>
                <w:spacing w:val="-2"/>
              </w:rPr>
              <w:footnoteReference w:id="14"/>
            </w:r>
            <w:r w:rsidRPr="002F6FFF">
              <w:rPr>
                <w:color w:val="0D0D0D" w:themeColor="text1" w:themeTint="F2"/>
                <w:spacing w:val="-2"/>
              </w:rPr>
              <w:t>). Significant deficits thus weighed on the S</w:t>
            </w:r>
            <w:r>
              <w:rPr>
                <w:color w:val="0D0D0D" w:themeColor="text1" w:themeTint="F2"/>
                <w:spacing w:val="-2"/>
              </w:rPr>
              <w:t xml:space="preserve">B already </w:t>
            </w:r>
            <w:r w:rsidRPr="002F6FFF">
              <w:rPr>
                <w:color w:val="0D0D0D" w:themeColor="text1" w:themeTint="F2"/>
                <w:spacing w:val="-2"/>
              </w:rPr>
              <w:t xml:space="preserve">the seventh year in a row, and this year's deficit was also the highest in the last three years. The year-on-year increase </w:t>
            </w:r>
            <w:r>
              <w:rPr>
                <w:color w:val="0D0D0D" w:themeColor="text1" w:themeTint="F2"/>
                <w:spacing w:val="-2"/>
              </w:rPr>
              <w:t>of</w:t>
            </w:r>
            <w:r w:rsidRPr="002F6FFF">
              <w:rPr>
                <w:color w:val="0D0D0D" w:themeColor="text1" w:themeTint="F2"/>
                <w:spacing w:val="-2"/>
              </w:rPr>
              <w:t xml:space="preserve"> the deficit occurred with a more significant strengthening of the growth rate of total expenditure and at the same time with a slight moderation on the revenue side of the budget. The persistently moderate growth of the domestic economy continued to be gradually reflected in higher tax revenues of the S</w:t>
            </w:r>
            <w:r>
              <w:rPr>
                <w:color w:val="0D0D0D" w:themeColor="text1" w:themeTint="F2"/>
                <w:spacing w:val="-2"/>
              </w:rPr>
              <w:t>B</w:t>
            </w:r>
            <w:r w:rsidRPr="002F6FFF">
              <w:rPr>
                <w:color w:val="0D0D0D" w:themeColor="text1" w:themeTint="F2"/>
                <w:spacing w:val="-2"/>
              </w:rPr>
              <w:t xml:space="preserve">, </w:t>
            </w:r>
            <w:r>
              <w:rPr>
                <w:color w:val="0D0D0D" w:themeColor="text1" w:themeTint="F2"/>
                <w:spacing w:val="-2"/>
              </w:rPr>
              <w:t xml:space="preserve">nevertheless </w:t>
            </w:r>
            <w:r w:rsidRPr="002F6FFF">
              <w:rPr>
                <w:color w:val="0D0D0D" w:themeColor="text1" w:themeTint="F2"/>
                <w:spacing w:val="-2"/>
              </w:rPr>
              <w:t xml:space="preserve">their growth was dampened by a change </w:t>
            </w:r>
            <w:r>
              <w:rPr>
                <w:color w:val="0D0D0D" w:themeColor="text1" w:themeTint="F2"/>
                <w:spacing w:val="-2"/>
              </w:rPr>
              <w:t>of</w:t>
            </w:r>
            <w:r w:rsidRPr="002F6FFF">
              <w:rPr>
                <w:color w:val="0D0D0D" w:themeColor="text1" w:themeTint="F2"/>
                <w:spacing w:val="-2"/>
              </w:rPr>
              <w:t xml:space="preserve"> the budgetary allocation of taxes, which reduced the share of the revenue of some weight-important taxes </w:t>
            </w:r>
            <w:r>
              <w:rPr>
                <w:color w:val="0D0D0D" w:themeColor="text1" w:themeTint="F2"/>
                <w:spacing w:val="-2"/>
              </w:rPr>
              <w:t xml:space="preserve">on the SB </w:t>
            </w:r>
            <w:r w:rsidRPr="002F6FFF">
              <w:rPr>
                <w:color w:val="0D0D0D" w:themeColor="text1" w:themeTint="F2"/>
                <w:spacing w:val="-2"/>
              </w:rPr>
              <w:t xml:space="preserve">in favour of </w:t>
            </w:r>
            <w:r>
              <w:rPr>
                <w:color w:val="0D0D0D" w:themeColor="text1" w:themeTint="F2"/>
                <w:spacing w:val="-2"/>
              </w:rPr>
              <w:t>regional</w:t>
            </w:r>
            <w:r w:rsidRPr="002F6FFF">
              <w:rPr>
                <w:color w:val="0D0D0D" w:themeColor="text1" w:themeTint="F2"/>
                <w:spacing w:val="-2"/>
              </w:rPr>
              <w:t xml:space="preserve"> budgets</w:t>
            </w:r>
            <w:r w:rsidRPr="00B131B0">
              <w:rPr>
                <w:rStyle w:val="Znakapoznpodarou"/>
                <w:spacing w:val="-2"/>
              </w:rPr>
              <w:footnoteReference w:id="15"/>
            </w:r>
            <w:r w:rsidRPr="002F6FFF">
              <w:rPr>
                <w:color w:val="0D0D0D" w:themeColor="text1" w:themeTint="F2"/>
                <w:spacing w:val="-2"/>
              </w:rPr>
              <w:t xml:space="preserve"> from January 2026. In addition, the effects of the consolidation recovery package (already approved in 2023) continued to be felt on the revenue and expenditure sides of the budget. On the </w:t>
            </w:r>
            <w:r>
              <w:rPr>
                <w:color w:val="0D0D0D" w:themeColor="text1" w:themeTint="F2"/>
                <w:spacing w:val="-2"/>
              </w:rPr>
              <w:t>contrary</w:t>
            </w:r>
            <w:r w:rsidRPr="002F6FFF">
              <w:rPr>
                <w:color w:val="0D0D0D" w:themeColor="text1" w:themeTint="F2"/>
                <w:spacing w:val="-2"/>
              </w:rPr>
              <w:t>, the impact of the specific provisional budget regime</w:t>
            </w:r>
            <w:r w:rsidRPr="00B131B0">
              <w:rPr>
                <w:rStyle w:val="Znakapoznpodarou"/>
                <w:spacing w:val="-4"/>
              </w:rPr>
              <w:footnoteReference w:id="16"/>
            </w:r>
            <w:r w:rsidRPr="002F6FFF">
              <w:rPr>
                <w:color w:val="0D0D0D" w:themeColor="text1" w:themeTint="F2"/>
                <w:spacing w:val="-2"/>
              </w:rPr>
              <w:t xml:space="preserve">, which at the beginning of the year affected mainly the drawdown of investments and the possibility of pre-financing some current transfers during </w:t>
            </w:r>
            <w:r>
              <w:rPr>
                <w:color w:val="0D0D0D" w:themeColor="text1" w:themeTint="F2"/>
                <w:spacing w:val="-2"/>
              </w:rPr>
              <w:t>Q</w:t>
            </w:r>
            <w:r w:rsidRPr="002F6FFF">
              <w:rPr>
                <w:color w:val="0D0D0D" w:themeColor="text1" w:themeTint="F2"/>
                <w:spacing w:val="-2"/>
              </w:rPr>
              <w:t>2</w:t>
            </w:r>
            <w:r>
              <w:rPr>
                <w:color w:val="0D0D0D" w:themeColor="text1" w:themeTint="F2"/>
                <w:spacing w:val="-2"/>
              </w:rPr>
              <w:t xml:space="preserve"> </w:t>
            </w:r>
            <w:r w:rsidRPr="002F6FFF">
              <w:rPr>
                <w:color w:val="0D0D0D" w:themeColor="text1" w:themeTint="F2"/>
                <w:spacing w:val="-2"/>
              </w:rPr>
              <w:t>2026, has practically disappeared.</w:t>
            </w:r>
            <w:r>
              <w:rPr>
                <w:color w:val="0D0D0D" w:themeColor="text1" w:themeTint="F2"/>
                <w:spacing w:val="-2"/>
              </w:rPr>
              <w:t xml:space="preserve"> </w:t>
            </w:r>
            <w:r w:rsidRPr="00B131B0">
              <w:rPr>
                <w:spacing w:val="-4"/>
              </w:rPr>
              <w:t xml:space="preserve"> </w:t>
            </w:r>
          </w:p>
        </w:tc>
      </w:tr>
      <w:tr w:rsidR="00917A40" w:rsidRPr="00B131B0" w14:paraId="0A39C99A" w14:textId="77777777" w:rsidTr="00D60677">
        <w:trPr>
          <w:trHeight w:val="60"/>
        </w:trPr>
        <w:tc>
          <w:tcPr>
            <w:tcW w:w="1803" w:type="dxa"/>
            <w:tcMar>
              <w:left w:w="0" w:type="dxa"/>
            </w:tcMar>
          </w:tcPr>
          <w:p w14:paraId="1D6781FC" w14:textId="77777777" w:rsidR="00917A40" w:rsidRPr="00B131B0" w:rsidRDefault="00917A40" w:rsidP="00D60677">
            <w:pPr>
              <w:pStyle w:val="Marginlie"/>
              <w:rPr>
                <w:spacing w:val="0"/>
              </w:rPr>
            </w:pPr>
            <w:r w:rsidRPr="002F6FFF">
              <w:rPr>
                <w:spacing w:val="0"/>
              </w:rPr>
              <w:t xml:space="preserve">The growth </w:t>
            </w:r>
            <w:r>
              <w:rPr>
                <w:spacing w:val="0"/>
              </w:rPr>
              <w:t>of</w:t>
            </w:r>
            <w:r w:rsidRPr="002F6FFF">
              <w:rPr>
                <w:spacing w:val="0"/>
              </w:rPr>
              <w:t xml:space="preserve"> total </w:t>
            </w:r>
            <w:r>
              <w:rPr>
                <w:spacing w:val="0"/>
              </w:rPr>
              <w:t xml:space="preserve">SB </w:t>
            </w:r>
            <w:r w:rsidRPr="002F6FFF">
              <w:rPr>
                <w:spacing w:val="0"/>
              </w:rPr>
              <w:t xml:space="preserve">revenues </w:t>
            </w:r>
            <w:r>
              <w:rPr>
                <w:spacing w:val="0"/>
              </w:rPr>
              <w:t>w</w:t>
            </w:r>
            <w:r w:rsidRPr="002F6FFF">
              <w:rPr>
                <w:spacing w:val="0"/>
              </w:rPr>
              <w:t>as mostly driven by higher collection of social security contributions.</w:t>
            </w:r>
          </w:p>
        </w:tc>
        <w:tc>
          <w:tcPr>
            <w:tcW w:w="203" w:type="dxa"/>
            <w:tcMar>
              <w:left w:w="0" w:type="dxa"/>
            </w:tcMar>
          </w:tcPr>
          <w:p w14:paraId="26F270CC" w14:textId="77777777" w:rsidR="00917A40" w:rsidRPr="00B131B0" w:rsidRDefault="00917A40" w:rsidP="00D60677">
            <w:pPr>
              <w:pStyle w:val="Textpoznpodarou"/>
              <w:jc w:val="both"/>
            </w:pPr>
          </w:p>
        </w:tc>
        <w:tc>
          <w:tcPr>
            <w:tcW w:w="7663" w:type="dxa"/>
            <w:tcMar>
              <w:left w:w="0" w:type="dxa"/>
            </w:tcMar>
          </w:tcPr>
          <w:p w14:paraId="3DDE0A31" w14:textId="77777777" w:rsidR="00917A40" w:rsidRPr="00B131B0" w:rsidRDefault="00917A40" w:rsidP="00D60677">
            <w:pPr>
              <w:spacing w:after="200"/>
              <w:rPr>
                <w:color w:val="0D0D0D" w:themeColor="text1" w:themeTint="F2"/>
                <w:spacing w:val="-3"/>
              </w:rPr>
            </w:pPr>
            <w:r w:rsidRPr="002F6FFF">
              <w:rPr>
                <w:color w:val="0D0D0D" w:themeColor="text1" w:themeTint="F2"/>
                <w:spacing w:val="-3"/>
              </w:rPr>
              <w:t>Total revenues of the S</w:t>
            </w:r>
            <w:r>
              <w:rPr>
                <w:color w:val="0D0D0D" w:themeColor="text1" w:themeTint="F2"/>
                <w:spacing w:val="-3"/>
              </w:rPr>
              <w:t xml:space="preserve">B </w:t>
            </w:r>
            <w:r w:rsidRPr="002F6FFF">
              <w:rPr>
                <w:color w:val="0D0D0D" w:themeColor="text1" w:themeTint="F2"/>
                <w:spacing w:val="-3"/>
              </w:rPr>
              <w:t>increased by 4.0%</w:t>
            </w:r>
            <w:r>
              <w:rPr>
                <w:color w:val="0D0D0D" w:themeColor="text1" w:themeTint="F2"/>
                <w:spacing w:val="-3"/>
              </w:rPr>
              <w:t>,</w:t>
            </w:r>
            <w:r w:rsidRPr="002F6FFF">
              <w:rPr>
                <w:color w:val="0D0D0D" w:themeColor="text1" w:themeTint="F2"/>
                <w:spacing w:val="-3"/>
              </w:rPr>
              <w:t xml:space="preserve"> year-on-year</w:t>
            </w:r>
            <w:r>
              <w:rPr>
                <w:color w:val="0D0D0D" w:themeColor="text1" w:themeTint="F2"/>
                <w:spacing w:val="-3"/>
              </w:rPr>
              <w:t>,</w:t>
            </w:r>
            <w:r w:rsidRPr="002F6FFF">
              <w:rPr>
                <w:color w:val="0D0D0D" w:themeColor="text1" w:themeTint="F2"/>
                <w:spacing w:val="-3"/>
              </w:rPr>
              <w:t xml:space="preserve"> (+40.7 b</w:t>
            </w:r>
            <w:r>
              <w:rPr>
                <w:color w:val="0D0D0D" w:themeColor="text1" w:themeTint="F2"/>
                <w:spacing w:val="-3"/>
              </w:rPr>
              <w:t>n CZK</w:t>
            </w:r>
            <w:r w:rsidRPr="002F6FFF">
              <w:rPr>
                <w:color w:val="0D0D0D" w:themeColor="text1" w:themeTint="F2"/>
                <w:spacing w:val="-3"/>
              </w:rPr>
              <w:t xml:space="preserve">) in </w:t>
            </w:r>
            <w:r>
              <w:rPr>
                <w:color w:val="0D0D0D" w:themeColor="text1" w:themeTint="F2"/>
                <w:spacing w:val="-3"/>
              </w:rPr>
              <w:t xml:space="preserve">H1 </w:t>
            </w:r>
            <w:r w:rsidRPr="002F6FFF">
              <w:rPr>
                <w:color w:val="0D0D0D" w:themeColor="text1" w:themeTint="F2"/>
                <w:spacing w:val="-3"/>
              </w:rPr>
              <w:t>this year. Although this is the weakest pace in the last five years, this year's pace has exceeded full-year budget expectations</w:t>
            </w:r>
            <w:r w:rsidRPr="00B131B0">
              <w:rPr>
                <w:rStyle w:val="Znakapoznpodarou"/>
                <w:color w:val="0D0D0D" w:themeColor="text1" w:themeTint="F2"/>
                <w:spacing w:val="-3"/>
              </w:rPr>
              <w:footnoteReference w:id="17"/>
            </w:r>
            <w:r w:rsidRPr="00B131B0">
              <w:rPr>
                <w:color w:val="0D0D0D" w:themeColor="text1" w:themeTint="F2"/>
                <w:spacing w:val="-3"/>
              </w:rPr>
              <w:t>.</w:t>
            </w:r>
            <w:r w:rsidRPr="002F6FFF">
              <w:rPr>
                <w:color w:val="0D0D0D" w:themeColor="text1" w:themeTint="F2"/>
                <w:spacing w:val="-3"/>
              </w:rPr>
              <w:t xml:space="preserve"> Year-on-year revenue growth was driven mainly by higher collection of social security contributions, including active employment policy (+25.6 b</w:t>
            </w:r>
            <w:r>
              <w:rPr>
                <w:color w:val="0D0D0D" w:themeColor="text1" w:themeTint="F2"/>
                <w:spacing w:val="-3"/>
              </w:rPr>
              <w:t>n CZK</w:t>
            </w:r>
            <w:r w:rsidRPr="002F6FFF">
              <w:rPr>
                <w:color w:val="0D0D0D" w:themeColor="text1" w:themeTint="F2"/>
                <w:spacing w:val="-3"/>
              </w:rPr>
              <w:t>), despite the fact that its growth slowed down and this year's pace (+6.4%) was slightly below budget expectations. The still relatively high pace reflected the good condition of the labour market, characterised by higher employment in the economy and rapidly growing average earnings. In addition, as in the previous year, there was a gradual, albeit temporary, increase in the minimum assessment base for premiums for the self-employed.</w:t>
            </w:r>
            <w:r w:rsidRPr="00B131B0">
              <w:rPr>
                <w:color w:val="0D0D0D" w:themeColor="text1" w:themeTint="F2"/>
                <w:spacing w:val="-3"/>
              </w:rPr>
              <w:t xml:space="preserve"> </w:t>
            </w:r>
          </w:p>
        </w:tc>
      </w:tr>
      <w:tr w:rsidR="00917A40" w:rsidRPr="00B131B0" w14:paraId="402D782D" w14:textId="77777777" w:rsidTr="00D60677">
        <w:trPr>
          <w:trHeight w:val="60"/>
        </w:trPr>
        <w:tc>
          <w:tcPr>
            <w:tcW w:w="1803" w:type="dxa"/>
            <w:tcMar>
              <w:left w:w="0" w:type="dxa"/>
            </w:tcMar>
          </w:tcPr>
          <w:p w14:paraId="65F7DD94" w14:textId="77777777" w:rsidR="00917A40" w:rsidRPr="00E16B15" w:rsidRDefault="00917A40" w:rsidP="00D60677">
            <w:pPr>
              <w:pStyle w:val="Marginlie"/>
              <w:rPr>
                <w:lang w:val="en"/>
              </w:rPr>
            </w:pPr>
            <w:r w:rsidRPr="00E16B15">
              <w:rPr>
                <w:lang w:val="en"/>
              </w:rPr>
              <w:t xml:space="preserve">The growth of total tax </w:t>
            </w:r>
            <w:r>
              <w:rPr>
                <w:lang w:val="en"/>
              </w:rPr>
              <w:t xml:space="preserve">SB </w:t>
            </w:r>
            <w:r w:rsidRPr="00E16B15">
              <w:rPr>
                <w:lang w:val="en"/>
              </w:rPr>
              <w:t xml:space="preserve">revenues has stopped. The impact of the change </w:t>
            </w:r>
            <w:r w:rsidRPr="00E16B15">
              <w:rPr>
                <w:lang w:val="en"/>
              </w:rPr>
              <w:lastRenderedPageBreak/>
              <w:t>in the budget allocation of taxes and the fading of revenues from extraordinary taxes imposed during the energy crisis have become apparent.</w:t>
            </w:r>
          </w:p>
          <w:p w14:paraId="70FC5F4A" w14:textId="77777777" w:rsidR="00917A40" w:rsidRPr="00B131B0" w:rsidRDefault="00917A40" w:rsidP="00D60677">
            <w:pPr>
              <w:pStyle w:val="Marginlie"/>
              <w:rPr>
                <w:spacing w:val="0"/>
              </w:rPr>
            </w:pPr>
          </w:p>
          <w:p w14:paraId="1CE082A3" w14:textId="77777777" w:rsidR="00917A40" w:rsidRPr="00B131B0" w:rsidRDefault="00917A40" w:rsidP="00D60677">
            <w:pPr>
              <w:pStyle w:val="Marginlie"/>
              <w:rPr>
                <w:spacing w:val="0"/>
              </w:rPr>
            </w:pPr>
          </w:p>
          <w:p w14:paraId="6C00584A" w14:textId="77777777" w:rsidR="00917A40" w:rsidRPr="00B131B0" w:rsidRDefault="00917A40" w:rsidP="00D60677">
            <w:pPr>
              <w:pStyle w:val="Marginlie"/>
              <w:rPr>
                <w:spacing w:val="0"/>
              </w:rPr>
            </w:pPr>
          </w:p>
          <w:p w14:paraId="64480E1C" w14:textId="77777777" w:rsidR="00917A40" w:rsidRPr="00B131B0" w:rsidRDefault="00917A40" w:rsidP="00D60677">
            <w:pPr>
              <w:pStyle w:val="Marginlie"/>
              <w:rPr>
                <w:spacing w:val="0"/>
              </w:rPr>
            </w:pPr>
            <w:r w:rsidRPr="00E16B15">
              <w:rPr>
                <w:spacing w:val="0"/>
              </w:rPr>
              <w:t>So far, excise duty collection has remained below budget expectations</w:t>
            </w:r>
          </w:p>
        </w:tc>
        <w:tc>
          <w:tcPr>
            <w:tcW w:w="203" w:type="dxa"/>
            <w:tcMar>
              <w:left w:w="0" w:type="dxa"/>
            </w:tcMar>
          </w:tcPr>
          <w:p w14:paraId="3B52327F" w14:textId="77777777" w:rsidR="00917A40" w:rsidRPr="00B131B0" w:rsidRDefault="00917A40" w:rsidP="00D60677">
            <w:pPr>
              <w:pStyle w:val="Textpoznpodarou"/>
              <w:jc w:val="both"/>
            </w:pPr>
          </w:p>
        </w:tc>
        <w:tc>
          <w:tcPr>
            <w:tcW w:w="7663" w:type="dxa"/>
            <w:tcMar>
              <w:left w:w="0" w:type="dxa"/>
            </w:tcMar>
          </w:tcPr>
          <w:p w14:paraId="5B68024F" w14:textId="77777777" w:rsidR="00917A40" w:rsidRPr="00B131B0" w:rsidRDefault="00917A40" w:rsidP="00D60677">
            <w:pPr>
              <w:spacing w:after="200"/>
              <w:rPr>
                <w:spacing w:val="-3"/>
                <w:szCs w:val="20"/>
              </w:rPr>
            </w:pPr>
            <w:r w:rsidRPr="00E16B15">
              <w:rPr>
                <w:color w:val="0D0D0D" w:themeColor="text1" w:themeTint="F2"/>
                <w:spacing w:val="-2"/>
              </w:rPr>
              <w:t xml:space="preserve">Tax revenues </w:t>
            </w:r>
            <w:r>
              <w:rPr>
                <w:color w:val="0D0D0D" w:themeColor="text1" w:themeTint="F2"/>
                <w:spacing w:val="-2"/>
              </w:rPr>
              <w:t xml:space="preserve">of the SB </w:t>
            </w:r>
            <w:r w:rsidRPr="00E16B15">
              <w:rPr>
                <w:color w:val="0D0D0D" w:themeColor="text1" w:themeTint="F2"/>
                <w:spacing w:val="-2"/>
              </w:rPr>
              <w:t xml:space="preserve">alone, under the influence of the change in the budgetary allocation of taxes and the de facto end of the collection of extraordinary corporate taxes </w:t>
            </w:r>
            <w:r w:rsidRPr="00E16B15">
              <w:rPr>
                <w:color w:val="0D0D0D" w:themeColor="text1" w:themeTint="F2"/>
                <w:spacing w:val="-2"/>
              </w:rPr>
              <w:lastRenderedPageBreak/>
              <w:t>(imposed during the energy crisis), only stagnated</w:t>
            </w:r>
            <w:r>
              <w:rPr>
                <w:color w:val="0D0D0D" w:themeColor="text1" w:themeTint="F2"/>
                <w:spacing w:val="-2"/>
              </w:rPr>
              <w:t>,</w:t>
            </w:r>
            <w:r w:rsidRPr="00E16B15">
              <w:rPr>
                <w:color w:val="0D0D0D" w:themeColor="text1" w:themeTint="F2"/>
                <w:spacing w:val="-2"/>
              </w:rPr>
              <w:t xml:space="preserve"> year-on-year</w:t>
            </w:r>
            <w:r>
              <w:rPr>
                <w:color w:val="0D0D0D" w:themeColor="text1" w:themeTint="F2"/>
                <w:spacing w:val="-2"/>
              </w:rPr>
              <w:t>, in H1</w:t>
            </w:r>
            <w:r w:rsidRPr="00B131B0">
              <w:rPr>
                <w:rStyle w:val="Znakapoznpodarou"/>
                <w:color w:val="0D0D0D" w:themeColor="text1" w:themeTint="F2"/>
                <w:spacing w:val="-2"/>
              </w:rPr>
              <w:footnoteReference w:id="18"/>
            </w:r>
            <w:r>
              <w:rPr>
                <w:color w:val="0D0D0D" w:themeColor="text1" w:themeTint="F2"/>
                <w:spacing w:val="-2"/>
              </w:rPr>
              <w:t>. T</w:t>
            </w:r>
            <w:r w:rsidRPr="00E16B15">
              <w:rPr>
                <w:color w:val="0D0D0D" w:themeColor="text1" w:themeTint="F2"/>
                <w:spacing w:val="-2"/>
              </w:rPr>
              <w:t>he growth of tax revenues was driven by VAT, the collection of which increased by 3.5% (at the level of all public budgets, however, by 7.7%, of which it was even 8.8%</w:t>
            </w:r>
            <w:r>
              <w:rPr>
                <w:color w:val="0D0D0D" w:themeColor="text1" w:themeTint="F2"/>
                <w:spacing w:val="-2"/>
              </w:rPr>
              <w:t xml:space="preserve"> in Q2</w:t>
            </w:r>
            <w:r w:rsidRPr="00E16B15">
              <w:rPr>
                <w:color w:val="0D0D0D" w:themeColor="text1" w:themeTint="F2"/>
                <w:spacing w:val="-2"/>
              </w:rPr>
              <w:t xml:space="preserve">, and in both cases it grew at a slightly higher rate than last year). This is related to relatively favourable consumer confidence in the economy, resulting in stable growth </w:t>
            </w:r>
            <w:r>
              <w:rPr>
                <w:color w:val="0D0D0D" w:themeColor="text1" w:themeTint="F2"/>
                <w:spacing w:val="-2"/>
              </w:rPr>
              <w:t>of</w:t>
            </w:r>
            <w:r w:rsidRPr="00E16B15">
              <w:rPr>
                <w:color w:val="0D0D0D" w:themeColor="text1" w:themeTint="F2"/>
                <w:spacing w:val="-2"/>
              </w:rPr>
              <w:t xml:space="preserve"> private consumption. In terms of excise taxes (including energy taxes), the S</w:t>
            </w:r>
            <w:r>
              <w:rPr>
                <w:color w:val="0D0D0D" w:themeColor="text1" w:themeTint="F2"/>
                <w:spacing w:val="-2"/>
              </w:rPr>
              <w:t>B</w:t>
            </w:r>
            <w:r w:rsidRPr="00E16B15">
              <w:rPr>
                <w:color w:val="0D0D0D" w:themeColor="text1" w:themeTint="F2"/>
                <w:spacing w:val="-2"/>
              </w:rPr>
              <w:t xml:space="preserve"> received only 1.8% more</w:t>
            </w:r>
            <w:r>
              <w:rPr>
                <w:color w:val="0D0D0D" w:themeColor="text1" w:themeTint="F2"/>
                <w:spacing w:val="-2"/>
              </w:rPr>
              <w:t>,</w:t>
            </w:r>
            <w:r w:rsidRPr="00E16B15">
              <w:rPr>
                <w:color w:val="0D0D0D" w:themeColor="text1" w:themeTint="F2"/>
                <w:spacing w:val="-2"/>
              </w:rPr>
              <w:t xml:space="preserve"> year-on-year, and thus the collection has so far (as for the only major tax item) lagged behind budget expectations. Growth </w:t>
            </w:r>
            <w:r>
              <w:rPr>
                <w:color w:val="0D0D0D" w:themeColor="text1" w:themeTint="F2"/>
                <w:spacing w:val="-2"/>
              </w:rPr>
              <w:t>of</w:t>
            </w:r>
            <w:r w:rsidRPr="00E16B15">
              <w:rPr>
                <w:color w:val="0D0D0D" w:themeColor="text1" w:themeTint="F2"/>
                <w:spacing w:val="-2"/>
              </w:rPr>
              <w:t xml:space="preserve"> tax collection on tobacco products remained weak</w:t>
            </w:r>
            <w:r w:rsidRPr="00B131B0">
              <w:rPr>
                <w:rStyle w:val="Znakapoznpodarou"/>
                <w:spacing w:val="-3"/>
                <w:szCs w:val="20"/>
              </w:rPr>
              <w:footnoteReference w:id="19"/>
            </w:r>
            <w:r w:rsidRPr="00E16B15">
              <w:rPr>
                <w:color w:val="0D0D0D" w:themeColor="text1" w:themeTint="F2"/>
                <w:spacing w:val="-2"/>
              </w:rPr>
              <w:t xml:space="preserve"> and even slightly declined in the case of tax on alcohol or beer, which corresponded to longer-term trends in domestic consumption of these commodities. Tax collection on mineral oils increased by 3.5%, as growth </w:t>
            </w:r>
            <w:r>
              <w:rPr>
                <w:color w:val="0D0D0D" w:themeColor="text1" w:themeTint="F2"/>
                <w:spacing w:val="-2"/>
              </w:rPr>
              <w:t>of</w:t>
            </w:r>
            <w:r w:rsidRPr="00E16B15">
              <w:rPr>
                <w:color w:val="0D0D0D" w:themeColor="text1" w:themeTint="F2"/>
                <w:spacing w:val="-2"/>
              </w:rPr>
              <w:t xml:space="preserve"> transport performance (in relation to developing </w:t>
            </w:r>
            <w:r>
              <w:rPr>
                <w:color w:val="0D0D0D" w:themeColor="text1" w:themeTint="F2"/>
                <w:spacing w:val="-2"/>
              </w:rPr>
              <w:t xml:space="preserve">international </w:t>
            </w:r>
            <w:r w:rsidRPr="00E16B15">
              <w:rPr>
                <w:color w:val="0D0D0D" w:themeColor="text1" w:themeTint="F2"/>
                <w:spacing w:val="-2"/>
              </w:rPr>
              <w:t>trade in the Czech Republic) had a positive effect. However, a temporary reduction in the tax on diesel began to have a negative effect with a slight delay</w:t>
            </w:r>
            <w:r w:rsidRPr="00B131B0">
              <w:rPr>
                <w:rStyle w:val="Znakapoznpodarou"/>
                <w:spacing w:val="-3"/>
                <w:szCs w:val="20"/>
              </w:rPr>
              <w:footnoteReference w:id="20"/>
            </w:r>
            <w:r w:rsidRPr="00E16B15">
              <w:rPr>
                <w:color w:val="0D0D0D" w:themeColor="text1" w:themeTint="F2"/>
                <w:spacing w:val="-2"/>
              </w:rPr>
              <w:t>.</w:t>
            </w:r>
            <w:r>
              <w:rPr>
                <w:color w:val="0D0D0D" w:themeColor="text1" w:themeTint="F2"/>
                <w:spacing w:val="-2"/>
              </w:rPr>
              <w:t xml:space="preserve"> </w:t>
            </w:r>
          </w:p>
        </w:tc>
      </w:tr>
      <w:tr w:rsidR="00917A40" w:rsidRPr="00B131B0" w14:paraId="07DEEC86" w14:textId="77777777" w:rsidTr="00D60677">
        <w:trPr>
          <w:trHeight w:val="60"/>
        </w:trPr>
        <w:tc>
          <w:tcPr>
            <w:tcW w:w="1803" w:type="dxa"/>
            <w:tcMar>
              <w:left w:w="0" w:type="dxa"/>
            </w:tcMar>
          </w:tcPr>
          <w:p w14:paraId="2B682A45" w14:textId="77777777" w:rsidR="00917A40" w:rsidRPr="00B131B0" w:rsidRDefault="00917A40" w:rsidP="00D60677">
            <w:pPr>
              <w:pStyle w:val="Marginlie"/>
              <w:rPr>
                <w:spacing w:val="0"/>
              </w:rPr>
            </w:pPr>
            <w:r w:rsidRPr="00B131B0">
              <w:rPr>
                <w:spacing w:val="0"/>
              </w:rPr>
              <w:lastRenderedPageBreak/>
              <w:t> </w:t>
            </w:r>
          </w:p>
        </w:tc>
        <w:tc>
          <w:tcPr>
            <w:tcW w:w="203" w:type="dxa"/>
            <w:tcMar>
              <w:left w:w="0" w:type="dxa"/>
            </w:tcMar>
          </w:tcPr>
          <w:p w14:paraId="562A5D53" w14:textId="77777777" w:rsidR="00917A40" w:rsidRPr="00B131B0" w:rsidRDefault="00917A40" w:rsidP="00D60677">
            <w:pPr>
              <w:pStyle w:val="Textpoznpodarou"/>
              <w:jc w:val="both"/>
            </w:pPr>
          </w:p>
        </w:tc>
        <w:tc>
          <w:tcPr>
            <w:tcW w:w="7663" w:type="dxa"/>
            <w:tcMar>
              <w:left w:w="0" w:type="dxa"/>
            </w:tcMar>
          </w:tcPr>
          <w:p w14:paraId="324B2533" w14:textId="1982FC77" w:rsidR="00917A40" w:rsidRPr="0009272C" w:rsidRDefault="00917A40" w:rsidP="00D60677">
            <w:pPr>
              <w:spacing w:after="0"/>
              <w:rPr>
                <w:rFonts w:cs="Arial"/>
                <w:color w:val="000000"/>
                <w:szCs w:val="20"/>
              </w:rPr>
            </w:pPr>
            <w:r w:rsidRPr="00DC1A3C">
              <w:rPr>
                <w:rFonts w:cs="Arial"/>
                <w:b/>
                <w:bCs/>
                <w:color w:val="000000"/>
                <w:spacing w:val="-2"/>
                <w:szCs w:val="20"/>
              </w:rPr>
              <w:t>Chart 1</w:t>
            </w:r>
            <w:r w:rsidR="00557EC1">
              <w:rPr>
                <w:rFonts w:cs="Arial"/>
                <w:b/>
                <w:bCs/>
                <w:color w:val="000000"/>
                <w:spacing w:val="-2"/>
                <w:szCs w:val="20"/>
              </w:rPr>
              <w:t>7</w:t>
            </w:r>
            <w:r w:rsidRPr="00DC1A3C">
              <w:rPr>
                <w:rFonts w:cs="Arial"/>
                <w:b/>
                <w:bCs/>
                <w:color w:val="000000"/>
                <w:spacing w:val="-2"/>
                <w:szCs w:val="20"/>
              </w:rPr>
              <w:t xml:space="preserve"> </w:t>
            </w:r>
            <w:r w:rsidRPr="00DC1A3C">
              <w:rPr>
                <w:b/>
                <w:color w:val="0D0D0D" w:themeColor="text1" w:themeTint="F2"/>
                <w:spacing w:val="-2"/>
              </w:rPr>
              <w:t xml:space="preserve">Decomposition of year-on-year change </w:t>
            </w:r>
            <w:r w:rsidRPr="00DC1A3C">
              <w:rPr>
                <w:rFonts w:cs="Arial"/>
                <w:b/>
                <w:bCs/>
                <w:color w:val="000000"/>
                <w:spacing w:val="-2"/>
                <w:szCs w:val="20"/>
                <w:lang w:val="en"/>
              </w:rPr>
              <w:t>of nationwide tax collection for H1</w:t>
            </w:r>
            <w:r>
              <w:rPr>
                <w:rFonts w:cs="Arial"/>
                <w:b/>
                <w:bCs/>
                <w:color w:val="000000"/>
                <w:szCs w:val="20"/>
                <w:lang w:val="en"/>
              </w:rPr>
              <w:t xml:space="preserve"> </w:t>
            </w:r>
            <w:r w:rsidRPr="00056EE3">
              <w:rPr>
                <w:rFonts w:cs="Arial"/>
                <w:color w:val="000000"/>
                <w:szCs w:val="20"/>
                <w:lang w:val="en"/>
              </w:rPr>
              <w:t xml:space="preserve">(contributions to growth, in p. p.) </w:t>
            </w:r>
          </w:p>
        </w:tc>
      </w:tr>
      <w:tr w:rsidR="00917A40" w:rsidRPr="00B131B0" w14:paraId="2F3EA896" w14:textId="77777777" w:rsidTr="00D60677">
        <w:tblPrEx>
          <w:tblCellMar>
            <w:left w:w="70" w:type="dxa"/>
            <w:right w:w="70" w:type="dxa"/>
          </w:tblCellMar>
        </w:tblPrEx>
        <w:trPr>
          <w:trHeight w:val="60"/>
        </w:trPr>
        <w:tc>
          <w:tcPr>
            <w:tcW w:w="1803" w:type="dxa"/>
          </w:tcPr>
          <w:p w14:paraId="0E247FBD" w14:textId="77777777" w:rsidR="00917A40" w:rsidRPr="00B131B0" w:rsidRDefault="00917A40" w:rsidP="00D60677">
            <w:pPr>
              <w:pStyle w:val="Marginlie"/>
              <w:rPr>
                <w:spacing w:val="0"/>
              </w:rPr>
            </w:pPr>
          </w:p>
        </w:tc>
        <w:tc>
          <w:tcPr>
            <w:tcW w:w="203" w:type="dxa"/>
          </w:tcPr>
          <w:p w14:paraId="29452BD6" w14:textId="77777777" w:rsidR="00917A40" w:rsidRPr="00B131B0" w:rsidRDefault="00917A40" w:rsidP="00D60677">
            <w:pPr>
              <w:pStyle w:val="Textpoznpodarou"/>
              <w:jc w:val="both"/>
            </w:pPr>
          </w:p>
          <w:p w14:paraId="5DAF70BB" w14:textId="77777777" w:rsidR="00917A40" w:rsidRPr="00B131B0" w:rsidRDefault="00917A40" w:rsidP="00D60677">
            <w:pPr>
              <w:pStyle w:val="Textpoznpodarou"/>
              <w:jc w:val="both"/>
            </w:pPr>
          </w:p>
        </w:tc>
        <w:tc>
          <w:tcPr>
            <w:tcW w:w="7663" w:type="dxa"/>
          </w:tcPr>
          <w:p w14:paraId="2E84946B" w14:textId="77777777" w:rsidR="00917A40" w:rsidRPr="00B131B0" w:rsidRDefault="00917A40" w:rsidP="00D60677">
            <w:pPr>
              <w:spacing w:before="40" w:after="20"/>
              <w:rPr>
                <w:color w:val="0D0D0D" w:themeColor="text1" w:themeTint="F2"/>
              </w:rPr>
            </w:pPr>
            <w:r>
              <w:rPr>
                <w:noProof/>
              </w:rPr>
              <w:drawing>
                <wp:inline distT="0" distB="0" distL="0" distR="0" wp14:anchorId="707BB004" wp14:editId="541C8E73">
                  <wp:extent cx="4733505" cy="3658682"/>
                  <wp:effectExtent l="0" t="0" r="0" b="0"/>
                  <wp:docPr id="133136284" name="Graf 1">
                    <a:extLst xmlns:a="http://schemas.openxmlformats.org/drawingml/2006/main">
                      <a:ext uri="{FF2B5EF4-FFF2-40B4-BE49-F238E27FC236}">
                        <a16:creationId xmlns:a16="http://schemas.microsoft.com/office/drawing/2014/main" id="{F0666F18-10AB-49F5-B82F-16F4FB5BF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r w:rsidR="00917A40" w:rsidRPr="00B131B0" w14:paraId="61739DD4" w14:textId="77777777" w:rsidTr="00D60677">
        <w:tblPrEx>
          <w:tblCellMar>
            <w:left w:w="70" w:type="dxa"/>
            <w:right w:w="70" w:type="dxa"/>
          </w:tblCellMar>
        </w:tblPrEx>
        <w:trPr>
          <w:trHeight w:val="170"/>
        </w:trPr>
        <w:tc>
          <w:tcPr>
            <w:tcW w:w="1803" w:type="dxa"/>
          </w:tcPr>
          <w:p w14:paraId="11D6428F" w14:textId="77777777" w:rsidR="00917A40" w:rsidRPr="00B131B0" w:rsidRDefault="00917A40" w:rsidP="00D60677">
            <w:pPr>
              <w:pStyle w:val="Marginlie"/>
              <w:rPr>
                <w:spacing w:val="0"/>
              </w:rPr>
            </w:pPr>
          </w:p>
        </w:tc>
        <w:tc>
          <w:tcPr>
            <w:tcW w:w="203" w:type="dxa"/>
          </w:tcPr>
          <w:p w14:paraId="63C42709" w14:textId="77777777" w:rsidR="00917A40" w:rsidRPr="00B131B0" w:rsidRDefault="00917A40" w:rsidP="00D60677">
            <w:pPr>
              <w:pStyle w:val="Textpoznpodarou"/>
              <w:jc w:val="both"/>
            </w:pPr>
          </w:p>
        </w:tc>
        <w:tc>
          <w:tcPr>
            <w:tcW w:w="7663" w:type="dxa"/>
          </w:tcPr>
          <w:p w14:paraId="771A8239" w14:textId="77777777" w:rsidR="00917A40" w:rsidRPr="00B335CE" w:rsidRDefault="00917A40" w:rsidP="00D60677">
            <w:pPr>
              <w:pStyle w:val="Normalodrka"/>
              <w:numPr>
                <w:ilvl w:val="0"/>
                <w:numId w:val="0"/>
              </w:numPr>
              <w:spacing w:after="0" w:line="240" w:lineRule="auto"/>
              <w:ind w:left="357" w:hanging="357"/>
              <w:jc w:val="left"/>
              <w:rPr>
                <w:sz w:val="14"/>
                <w:szCs w:val="14"/>
              </w:rPr>
            </w:pPr>
            <w:r w:rsidRPr="00B335CE">
              <w:rPr>
                <w:sz w:val="14"/>
                <w:szCs w:val="14"/>
              </w:rPr>
              <w:t xml:space="preserve">* </w:t>
            </w:r>
            <w:r w:rsidRPr="00B335CE">
              <w:rPr>
                <w:sz w:val="14"/>
                <w:szCs w:val="14"/>
                <w:lang w:val="en-GB"/>
              </w:rPr>
              <w:t xml:space="preserve">It includes income from dependent activity (this tax </w:t>
            </w:r>
            <w:r w:rsidRPr="00B335CE">
              <w:rPr>
                <w:sz w:val="14"/>
                <w:szCs w:val="14"/>
                <w:lang w:val="en"/>
              </w:rPr>
              <w:t>applies to</w:t>
            </w:r>
            <w:r w:rsidRPr="00B335CE">
              <w:rPr>
                <w:sz w:val="14"/>
                <w:szCs w:val="14"/>
              </w:rPr>
              <w:t xml:space="preserve"> </w:t>
            </w:r>
            <w:r w:rsidRPr="00B335CE">
              <w:rPr>
                <w:sz w:val="14"/>
                <w:szCs w:val="14"/>
                <w:lang w:val="en-GB"/>
              </w:rPr>
              <w:t>employees).</w:t>
            </w:r>
          </w:p>
          <w:p w14:paraId="4F02AB82" w14:textId="77777777" w:rsidR="00917A40" w:rsidRPr="00B335CE" w:rsidRDefault="00917A40" w:rsidP="00D60677">
            <w:pPr>
              <w:tabs>
                <w:tab w:val="right" w:pos="7683"/>
              </w:tabs>
              <w:spacing w:after="0" w:line="240" w:lineRule="auto"/>
              <w:jc w:val="left"/>
              <w:rPr>
                <w:sz w:val="14"/>
                <w:szCs w:val="14"/>
              </w:rPr>
            </w:pPr>
            <w:r w:rsidRPr="00B335CE">
              <w:rPr>
                <w:sz w:val="14"/>
                <w:szCs w:val="14"/>
                <w:lang w:val="en"/>
              </w:rPr>
              <w:t>**</w:t>
            </w:r>
            <w:r w:rsidRPr="00B335CE">
              <w:rPr>
                <w:sz w:val="14"/>
                <w:szCs w:val="14"/>
              </w:rPr>
              <w:t xml:space="preserve"> Other taxes and fees include especially </w:t>
            </w:r>
            <w:bookmarkStart w:id="6" w:name="_Hlk195394127"/>
            <w:r w:rsidRPr="00B335CE">
              <w:rPr>
                <w:sz w:val="14"/>
                <w:szCs w:val="14"/>
              </w:rPr>
              <w:t>real estate tax, gambling tax, motorway toll, tolls and, in years 2023 to 2025, also a levy on excess income and windfall profits.</w:t>
            </w:r>
            <w:bookmarkEnd w:id="6"/>
          </w:p>
          <w:p w14:paraId="347A7C29" w14:textId="77777777" w:rsidR="00917A40" w:rsidRPr="00B335CE" w:rsidRDefault="00917A40" w:rsidP="00D60677">
            <w:pPr>
              <w:tabs>
                <w:tab w:val="right" w:pos="7683"/>
              </w:tabs>
              <w:spacing w:after="0" w:line="240" w:lineRule="auto"/>
              <w:jc w:val="left"/>
              <w:rPr>
                <w:sz w:val="14"/>
                <w:szCs w:val="14"/>
                <w:lang w:val="en"/>
              </w:rPr>
            </w:pPr>
            <w:r w:rsidRPr="00B335CE">
              <w:rPr>
                <w:sz w:val="14"/>
                <w:szCs w:val="14"/>
              </w:rPr>
              <w:t>***</w:t>
            </w:r>
            <w:r w:rsidRPr="00B335CE">
              <w:rPr>
                <w:rFonts w:ascii="Segoe UI" w:hAnsi="Segoe UI" w:cs="Segoe UI"/>
                <w:color w:val="000000"/>
                <w:sz w:val="14"/>
                <w:szCs w:val="14"/>
                <w:lang w:val="en"/>
              </w:rPr>
              <w:t xml:space="preserve"> </w:t>
            </w:r>
            <w:r w:rsidRPr="00B335CE">
              <w:rPr>
                <w:sz w:val="14"/>
                <w:szCs w:val="14"/>
                <w:lang w:val="en"/>
              </w:rPr>
              <w:t>It is a tax collection at the level of all public budgets of the Czech Republic. Its amount thus eliminates the impact of changes in the budgetary allocation of taxes.</w:t>
            </w:r>
          </w:p>
          <w:p w14:paraId="59F9F3E1" w14:textId="77777777" w:rsidR="00917A40" w:rsidRPr="00B335CE" w:rsidRDefault="00917A40" w:rsidP="00D60677">
            <w:pPr>
              <w:tabs>
                <w:tab w:val="right" w:pos="7683"/>
              </w:tabs>
              <w:spacing w:after="0" w:line="240" w:lineRule="auto"/>
              <w:jc w:val="left"/>
              <w:rPr>
                <w:sz w:val="14"/>
                <w:szCs w:val="14"/>
              </w:rPr>
            </w:pPr>
            <w:r w:rsidRPr="00B335CE">
              <w:rPr>
                <w:sz w:val="14"/>
                <w:szCs w:val="14"/>
              </w:rPr>
              <w:t>Source: MF CR</w:t>
            </w:r>
          </w:p>
          <w:p w14:paraId="650DE769" w14:textId="77777777" w:rsidR="00917A40" w:rsidRPr="001A1FFB" w:rsidRDefault="00917A40" w:rsidP="00D60677">
            <w:pPr>
              <w:pStyle w:val="Textpoznpodarou"/>
              <w:rPr>
                <w:rFonts w:cs="Arial"/>
                <w:b/>
                <w:bCs/>
                <w:color w:val="000000"/>
                <w:sz w:val="16"/>
                <w:szCs w:val="16"/>
              </w:rPr>
            </w:pPr>
          </w:p>
        </w:tc>
      </w:tr>
      <w:tr w:rsidR="00917A40" w:rsidRPr="00B131B0" w14:paraId="1B2A4BDC" w14:textId="77777777" w:rsidTr="00D60677">
        <w:tblPrEx>
          <w:tblCellMar>
            <w:left w:w="70" w:type="dxa"/>
            <w:right w:w="70" w:type="dxa"/>
          </w:tblCellMar>
        </w:tblPrEx>
        <w:trPr>
          <w:trHeight w:val="170"/>
        </w:trPr>
        <w:tc>
          <w:tcPr>
            <w:tcW w:w="1803" w:type="dxa"/>
          </w:tcPr>
          <w:p w14:paraId="2B7AC36E" w14:textId="77777777" w:rsidR="00917A40" w:rsidRPr="00B131B0" w:rsidRDefault="00917A40" w:rsidP="00D60677">
            <w:pPr>
              <w:pStyle w:val="Marginlie"/>
              <w:rPr>
                <w:spacing w:val="0"/>
              </w:rPr>
            </w:pPr>
            <w:r w:rsidRPr="00E16B15">
              <w:rPr>
                <w:spacing w:val="0"/>
              </w:rPr>
              <w:t xml:space="preserve">The rapid growth of personal income tax, also due to their favourable position on the labour market, continued. Collections were also boosted by the persistently high </w:t>
            </w:r>
            <w:r w:rsidRPr="00E16B15">
              <w:rPr>
                <w:spacing w:val="0"/>
              </w:rPr>
              <w:lastRenderedPageBreak/>
              <w:t>level of household savings.</w:t>
            </w:r>
          </w:p>
          <w:p w14:paraId="1FA81EA4" w14:textId="77777777" w:rsidR="00917A40" w:rsidRPr="00B131B0" w:rsidRDefault="00917A40" w:rsidP="00D60677">
            <w:pPr>
              <w:pStyle w:val="Marginlie"/>
              <w:rPr>
                <w:spacing w:val="0"/>
              </w:rPr>
            </w:pPr>
          </w:p>
          <w:p w14:paraId="0FAC3E97" w14:textId="77777777" w:rsidR="00917A40" w:rsidRPr="00B131B0" w:rsidRDefault="00917A40" w:rsidP="00D60677">
            <w:pPr>
              <w:pStyle w:val="Marginlie"/>
              <w:rPr>
                <w:spacing w:val="0"/>
              </w:rPr>
            </w:pPr>
          </w:p>
          <w:p w14:paraId="5DE9E57E" w14:textId="77777777" w:rsidR="00917A40" w:rsidRPr="00B131B0" w:rsidRDefault="00917A40" w:rsidP="00D60677">
            <w:pPr>
              <w:pStyle w:val="Marginlie"/>
              <w:rPr>
                <w:spacing w:val="0"/>
              </w:rPr>
            </w:pPr>
          </w:p>
          <w:p w14:paraId="71160D47" w14:textId="77777777" w:rsidR="00917A40" w:rsidRPr="00B131B0" w:rsidRDefault="00917A40" w:rsidP="00D60677">
            <w:pPr>
              <w:pStyle w:val="Marginlie"/>
              <w:rPr>
                <w:spacing w:val="0"/>
              </w:rPr>
            </w:pPr>
          </w:p>
          <w:p w14:paraId="76085C51" w14:textId="77777777" w:rsidR="00917A40" w:rsidRPr="00056EE3" w:rsidRDefault="00917A40" w:rsidP="00D60677">
            <w:pPr>
              <w:pStyle w:val="Marginlie"/>
              <w:ind w:left="-45"/>
              <w:rPr>
                <w:color w:val="0D0D0D" w:themeColor="text1" w:themeTint="F2"/>
                <w:spacing w:val="0"/>
                <w:szCs w:val="20"/>
              </w:rPr>
            </w:pPr>
            <w:r w:rsidRPr="00061936">
              <w:rPr>
                <w:spacing w:val="0"/>
              </w:rPr>
              <w:t xml:space="preserve">The growth </w:t>
            </w:r>
            <w:r>
              <w:rPr>
                <w:spacing w:val="0"/>
              </w:rPr>
              <w:t>of</w:t>
            </w:r>
            <w:r w:rsidRPr="00061936">
              <w:rPr>
                <w:spacing w:val="0"/>
              </w:rPr>
              <w:t xml:space="preserve"> corporate tax collection accelerated slightly. The effect of the tax rate increase was fully felt.</w:t>
            </w:r>
            <w:r>
              <w:rPr>
                <w:spacing w:val="0"/>
              </w:rPr>
              <w:t xml:space="preserve"> </w:t>
            </w:r>
          </w:p>
        </w:tc>
        <w:tc>
          <w:tcPr>
            <w:tcW w:w="203" w:type="dxa"/>
          </w:tcPr>
          <w:p w14:paraId="39CA95A0" w14:textId="77777777" w:rsidR="00917A40" w:rsidRPr="00B131B0" w:rsidRDefault="00917A40" w:rsidP="00D60677">
            <w:pPr>
              <w:pStyle w:val="Textpoznpodarou"/>
            </w:pPr>
          </w:p>
        </w:tc>
        <w:tc>
          <w:tcPr>
            <w:tcW w:w="7663" w:type="dxa"/>
          </w:tcPr>
          <w:p w14:paraId="2BDADAE4" w14:textId="77777777" w:rsidR="00917A40" w:rsidRDefault="00917A40" w:rsidP="00D60677">
            <w:pPr>
              <w:tabs>
                <w:tab w:val="right" w:pos="7683"/>
              </w:tabs>
              <w:spacing w:after="0"/>
              <w:ind w:left="-70" w:right="-54"/>
              <w:rPr>
                <w:color w:val="0D0D0D" w:themeColor="text1" w:themeTint="F2"/>
                <w:spacing w:val="-2"/>
              </w:rPr>
            </w:pPr>
            <w:r>
              <w:rPr>
                <w:spacing w:val="-3"/>
                <w:szCs w:val="20"/>
              </w:rPr>
              <w:t xml:space="preserve">Regarding </w:t>
            </w:r>
            <w:r w:rsidRPr="00061936">
              <w:rPr>
                <w:spacing w:val="-3"/>
                <w:szCs w:val="20"/>
              </w:rPr>
              <w:t>direct taxes, personal income tax (</w:t>
            </w:r>
            <w:r>
              <w:rPr>
                <w:spacing w:val="-3"/>
                <w:szCs w:val="20"/>
              </w:rPr>
              <w:t>PIT</w:t>
            </w:r>
            <w:r w:rsidRPr="00061936">
              <w:rPr>
                <w:spacing w:val="-3"/>
                <w:szCs w:val="20"/>
              </w:rPr>
              <w:t xml:space="preserve">) collection grew the most, by 8.1%. </w:t>
            </w:r>
            <w:r>
              <w:rPr>
                <w:spacing w:val="-3"/>
                <w:szCs w:val="20"/>
              </w:rPr>
              <w:t>T</w:t>
            </w:r>
            <w:r w:rsidRPr="00061936">
              <w:rPr>
                <w:spacing w:val="-3"/>
                <w:szCs w:val="20"/>
              </w:rPr>
              <w:t>he higher collection of personal income tax paid by taxpayers</w:t>
            </w:r>
            <w:r>
              <w:rPr>
                <w:spacing w:val="-3"/>
                <w:szCs w:val="20"/>
              </w:rPr>
              <w:t xml:space="preserve"> </w:t>
            </w:r>
            <w:r w:rsidRPr="00061936">
              <w:rPr>
                <w:spacing w:val="-3"/>
                <w:szCs w:val="20"/>
              </w:rPr>
              <w:t>(or from dependent activities)</w:t>
            </w:r>
            <w:r>
              <w:rPr>
                <w:spacing w:val="-3"/>
                <w:szCs w:val="20"/>
              </w:rPr>
              <w:t xml:space="preserve"> had the biggest impact here</w:t>
            </w:r>
            <w:r w:rsidRPr="00061936">
              <w:rPr>
                <w:spacing w:val="-3"/>
                <w:szCs w:val="20"/>
              </w:rPr>
              <w:t>, on which the S</w:t>
            </w:r>
            <w:r>
              <w:rPr>
                <w:spacing w:val="-3"/>
                <w:szCs w:val="20"/>
              </w:rPr>
              <w:t>B</w:t>
            </w:r>
            <w:r w:rsidRPr="00061936">
              <w:rPr>
                <w:spacing w:val="-3"/>
                <w:szCs w:val="20"/>
              </w:rPr>
              <w:t xml:space="preserve"> received 6.9% more</w:t>
            </w:r>
            <w:r>
              <w:rPr>
                <w:spacing w:val="-3"/>
                <w:szCs w:val="20"/>
              </w:rPr>
              <w:t>,</w:t>
            </w:r>
            <w:r w:rsidRPr="00061936">
              <w:rPr>
                <w:spacing w:val="-3"/>
                <w:szCs w:val="20"/>
              </w:rPr>
              <w:t xml:space="preserve"> year-on-year</w:t>
            </w:r>
            <w:r>
              <w:rPr>
                <w:spacing w:val="-3"/>
                <w:szCs w:val="20"/>
              </w:rPr>
              <w:t>,</w:t>
            </w:r>
            <w:r w:rsidRPr="00061936">
              <w:rPr>
                <w:spacing w:val="-3"/>
                <w:szCs w:val="20"/>
              </w:rPr>
              <w:t xml:space="preserve"> in </w:t>
            </w:r>
            <w:r>
              <w:rPr>
                <w:spacing w:val="-3"/>
                <w:szCs w:val="20"/>
              </w:rPr>
              <w:t>H</w:t>
            </w:r>
            <w:r w:rsidRPr="00061936">
              <w:rPr>
                <w:spacing w:val="-3"/>
                <w:szCs w:val="20"/>
              </w:rPr>
              <w:t xml:space="preserve">1. The growth rate of this item at the level of all public budgets remains approximately comparable to last year, which corresponded to stable nominal growth </w:t>
            </w:r>
            <w:r>
              <w:rPr>
                <w:spacing w:val="-3"/>
                <w:szCs w:val="20"/>
              </w:rPr>
              <w:t>of</w:t>
            </w:r>
            <w:r w:rsidRPr="00061936">
              <w:rPr>
                <w:spacing w:val="-3"/>
                <w:szCs w:val="20"/>
              </w:rPr>
              <w:t xml:space="preserve"> the average wage and to a continuing slight strengthening of the number of employees in the economy. The </w:t>
            </w:r>
            <w:r w:rsidRPr="00061936">
              <w:rPr>
                <w:spacing w:val="-3"/>
                <w:szCs w:val="20"/>
              </w:rPr>
              <w:lastRenderedPageBreak/>
              <w:t xml:space="preserve">collection of personal income tax paid by taxpayers (mainly from self-employment) slowed down in </w:t>
            </w:r>
            <w:r>
              <w:rPr>
                <w:spacing w:val="-3"/>
                <w:szCs w:val="20"/>
              </w:rPr>
              <w:t>H</w:t>
            </w:r>
            <w:r w:rsidRPr="00061936">
              <w:rPr>
                <w:spacing w:val="-3"/>
                <w:szCs w:val="20"/>
              </w:rPr>
              <w:t>1</w:t>
            </w:r>
            <w:r>
              <w:rPr>
                <w:spacing w:val="-3"/>
                <w:szCs w:val="20"/>
              </w:rPr>
              <w:t xml:space="preserve"> </w:t>
            </w:r>
            <w:r w:rsidRPr="00061936">
              <w:rPr>
                <w:spacing w:val="-3"/>
                <w:szCs w:val="20"/>
              </w:rPr>
              <w:t>2026 after last year's rapid growth related to legislative changes</w:t>
            </w:r>
            <w:r w:rsidRPr="00B131B0">
              <w:rPr>
                <w:rStyle w:val="Znakapoznpodarou"/>
                <w:color w:val="0D0D0D" w:themeColor="text1" w:themeTint="F2"/>
              </w:rPr>
              <w:footnoteReference w:id="21"/>
            </w:r>
            <w:r w:rsidRPr="00061936">
              <w:rPr>
                <w:spacing w:val="-3"/>
                <w:szCs w:val="20"/>
              </w:rPr>
              <w:t>, but still remained high (+24.8%). Similarly to last year, the growing number of small entrepreneurs has a positive effect on collections. After last year's rather rare decline, the collection of personal income tax collected by withholding increased again (+6.2%). Stable interest rates on deposits probably had the impact o</w:t>
            </w:r>
            <w:r>
              <w:rPr>
                <w:spacing w:val="-3"/>
                <w:szCs w:val="20"/>
              </w:rPr>
              <w:t>n</w:t>
            </w:r>
            <w:r w:rsidRPr="00061936">
              <w:rPr>
                <w:spacing w:val="-3"/>
                <w:szCs w:val="20"/>
              </w:rPr>
              <w:t xml:space="preserve"> the relatively high rate of household savings. Corporate income tax collection (excluding extraordinary taxes) increased this year (+4.2%). The pace at the level of all public budgets suggests that the growth </w:t>
            </w:r>
            <w:r>
              <w:rPr>
                <w:spacing w:val="-3"/>
                <w:szCs w:val="20"/>
              </w:rPr>
              <w:t>of</w:t>
            </w:r>
            <w:r w:rsidRPr="00061936">
              <w:rPr>
                <w:spacing w:val="-3"/>
                <w:szCs w:val="20"/>
              </w:rPr>
              <w:t xml:space="preserve"> corporate tax collection has accelerated slightly compared to 2025 thanks to the ongoing economic recovery and rising tax rates. Collection of extraordinary corporate taxes</w:t>
            </w:r>
            <w:r w:rsidRPr="00B131B0">
              <w:rPr>
                <w:rStyle w:val="Znakapoznpodarou"/>
                <w:color w:val="0D0D0D" w:themeColor="text1" w:themeTint="F2"/>
                <w:spacing w:val="-2"/>
              </w:rPr>
              <w:footnoteReference w:id="22"/>
            </w:r>
            <w:r w:rsidRPr="00061936">
              <w:rPr>
                <w:spacing w:val="-3"/>
                <w:szCs w:val="20"/>
              </w:rPr>
              <w:t xml:space="preserve"> in this half-year amounted to only 0.7 b</w:t>
            </w:r>
            <w:r>
              <w:rPr>
                <w:spacing w:val="-3"/>
                <w:szCs w:val="20"/>
              </w:rPr>
              <w:t>n CZK</w:t>
            </w:r>
            <w:r w:rsidRPr="00061936">
              <w:rPr>
                <w:spacing w:val="-3"/>
                <w:szCs w:val="20"/>
              </w:rPr>
              <w:t>, down by 21.0 b</w:t>
            </w:r>
            <w:r>
              <w:rPr>
                <w:spacing w:val="-3"/>
                <w:szCs w:val="20"/>
              </w:rPr>
              <w:t xml:space="preserve">n CZK, </w:t>
            </w:r>
            <w:r w:rsidRPr="00061936">
              <w:rPr>
                <w:spacing w:val="-3"/>
                <w:szCs w:val="20"/>
              </w:rPr>
              <w:t>year-on-year.</w:t>
            </w:r>
            <w:r>
              <w:rPr>
                <w:color w:val="0D0D0D" w:themeColor="text1" w:themeTint="F2"/>
                <w:spacing w:val="-2"/>
              </w:rPr>
              <w:t xml:space="preserve"> </w:t>
            </w:r>
            <w:r w:rsidRPr="00B131B0">
              <w:rPr>
                <w:color w:val="0D0D0D" w:themeColor="text1" w:themeTint="F2"/>
                <w:spacing w:val="-2"/>
              </w:rPr>
              <w:t xml:space="preserve"> </w:t>
            </w:r>
          </w:p>
          <w:p w14:paraId="060C2669" w14:textId="77777777" w:rsidR="00917A40" w:rsidRDefault="00917A40" w:rsidP="00D60677">
            <w:pPr>
              <w:tabs>
                <w:tab w:val="right" w:pos="7683"/>
              </w:tabs>
              <w:spacing w:after="0"/>
              <w:ind w:left="-70" w:right="-54"/>
              <w:rPr>
                <w:color w:val="0D0D0D" w:themeColor="text1" w:themeTint="F2"/>
                <w:spacing w:val="-2"/>
                <w:szCs w:val="20"/>
                <w:lang w:val="en"/>
              </w:rPr>
            </w:pPr>
          </w:p>
        </w:tc>
      </w:tr>
      <w:tr w:rsidR="00917A40" w:rsidRPr="00B131B0" w14:paraId="3605DA1F" w14:textId="77777777" w:rsidTr="00D60677">
        <w:tblPrEx>
          <w:tblCellMar>
            <w:left w:w="70" w:type="dxa"/>
            <w:right w:w="70" w:type="dxa"/>
          </w:tblCellMar>
        </w:tblPrEx>
        <w:trPr>
          <w:trHeight w:val="170"/>
        </w:trPr>
        <w:tc>
          <w:tcPr>
            <w:tcW w:w="1803" w:type="dxa"/>
          </w:tcPr>
          <w:p w14:paraId="40ACF5DD" w14:textId="77777777" w:rsidR="00917A40" w:rsidRPr="00B131B0" w:rsidRDefault="00917A40" w:rsidP="00D60677">
            <w:pPr>
              <w:pStyle w:val="Marginlie"/>
              <w:ind w:left="-45"/>
              <w:rPr>
                <w:spacing w:val="0"/>
              </w:rPr>
            </w:pPr>
            <w:r w:rsidRPr="00056EE3">
              <w:rPr>
                <w:color w:val="0D0D0D" w:themeColor="text1" w:themeTint="F2"/>
                <w:spacing w:val="0"/>
                <w:szCs w:val="20"/>
              </w:rPr>
              <w:lastRenderedPageBreak/>
              <w:t>Non-tax and capital revenues and transfers received by the S</w:t>
            </w:r>
            <w:r>
              <w:rPr>
                <w:color w:val="0D0D0D" w:themeColor="text1" w:themeTint="F2"/>
                <w:spacing w:val="0"/>
                <w:szCs w:val="20"/>
              </w:rPr>
              <w:t xml:space="preserve">B </w:t>
            </w:r>
            <w:r w:rsidRPr="00056EE3">
              <w:rPr>
                <w:color w:val="0D0D0D" w:themeColor="text1" w:themeTint="F2"/>
                <w:spacing w:val="0"/>
                <w:szCs w:val="20"/>
              </w:rPr>
              <w:t>increased</w:t>
            </w:r>
            <w:r>
              <w:rPr>
                <w:color w:val="0D0D0D" w:themeColor="text1" w:themeTint="F2"/>
                <w:spacing w:val="0"/>
                <w:szCs w:val="20"/>
              </w:rPr>
              <w:t>,</w:t>
            </w:r>
            <w:r w:rsidRPr="00056EE3">
              <w:rPr>
                <w:color w:val="0D0D0D" w:themeColor="text1" w:themeTint="F2"/>
                <w:spacing w:val="0"/>
                <w:szCs w:val="20"/>
              </w:rPr>
              <w:t xml:space="preserve"> year-on-year</w:t>
            </w:r>
            <w:r>
              <w:rPr>
                <w:color w:val="0D0D0D" w:themeColor="text1" w:themeTint="F2"/>
                <w:spacing w:val="0"/>
                <w:szCs w:val="20"/>
              </w:rPr>
              <w:t>,</w:t>
            </w:r>
            <w:r w:rsidRPr="00056EE3">
              <w:rPr>
                <w:color w:val="0D0D0D" w:themeColor="text1" w:themeTint="F2"/>
                <w:spacing w:val="0"/>
                <w:szCs w:val="20"/>
              </w:rPr>
              <w:t xml:space="preserve"> thanks to the strengthening of revenues from the EU budget and financial mechanisms</w:t>
            </w:r>
            <w:r>
              <w:rPr>
                <w:color w:val="0D0D0D" w:themeColor="text1" w:themeTint="F2"/>
                <w:spacing w:val="0"/>
                <w:szCs w:val="20"/>
              </w:rPr>
              <w:t xml:space="preserve">. </w:t>
            </w:r>
          </w:p>
          <w:p w14:paraId="4660E8F1" w14:textId="77777777" w:rsidR="00917A40" w:rsidRPr="00B131B0" w:rsidRDefault="00917A40" w:rsidP="00D60677">
            <w:pPr>
              <w:pStyle w:val="Marginlie"/>
              <w:rPr>
                <w:spacing w:val="0"/>
              </w:rPr>
            </w:pPr>
          </w:p>
        </w:tc>
        <w:tc>
          <w:tcPr>
            <w:tcW w:w="203" w:type="dxa"/>
          </w:tcPr>
          <w:p w14:paraId="0ED52E3C" w14:textId="77777777" w:rsidR="00917A40" w:rsidRPr="00B131B0" w:rsidRDefault="00917A40" w:rsidP="00D60677">
            <w:pPr>
              <w:pStyle w:val="Textpoznpodarou"/>
            </w:pPr>
          </w:p>
        </w:tc>
        <w:tc>
          <w:tcPr>
            <w:tcW w:w="7663" w:type="dxa"/>
          </w:tcPr>
          <w:p w14:paraId="235B6E9E" w14:textId="77777777" w:rsidR="00917A40" w:rsidRDefault="00917A40" w:rsidP="00D60677">
            <w:pPr>
              <w:tabs>
                <w:tab w:val="right" w:pos="7683"/>
              </w:tabs>
              <w:spacing w:after="0"/>
              <w:ind w:left="-70" w:right="-54"/>
              <w:rPr>
                <w:color w:val="0D0D0D" w:themeColor="text1" w:themeTint="F2"/>
                <w:spacing w:val="-2"/>
                <w:szCs w:val="20"/>
                <w:lang w:val="en"/>
              </w:rPr>
            </w:pPr>
            <w:r>
              <w:rPr>
                <w:color w:val="0D0D0D" w:themeColor="text1" w:themeTint="F2"/>
                <w:spacing w:val="-2"/>
                <w:szCs w:val="20"/>
                <w:lang w:val="en"/>
              </w:rPr>
              <w:t>N</w:t>
            </w:r>
            <w:r w:rsidRPr="00056EE3">
              <w:rPr>
                <w:color w:val="0D0D0D" w:themeColor="text1" w:themeTint="F2"/>
                <w:spacing w:val="-2"/>
                <w:szCs w:val="20"/>
                <w:lang w:val="en"/>
              </w:rPr>
              <w:t>on-tax and capital revenues and transfers received by S</w:t>
            </w:r>
            <w:r>
              <w:rPr>
                <w:color w:val="0D0D0D" w:themeColor="text1" w:themeTint="F2"/>
                <w:spacing w:val="-2"/>
                <w:szCs w:val="20"/>
                <w:lang w:val="en"/>
              </w:rPr>
              <w:t xml:space="preserve">B </w:t>
            </w:r>
            <w:r w:rsidRPr="00056EE3">
              <w:rPr>
                <w:color w:val="0D0D0D" w:themeColor="text1" w:themeTint="F2"/>
                <w:spacing w:val="-2"/>
                <w:szCs w:val="20"/>
                <w:lang w:val="en"/>
              </w:rPr>
              <w:t>increased by a sixth</w:t>
            </w:r>
            <w:r>
              <w:rPr>
                <w:color w:val="0D0D0D" w:themeColor="text1" w:themeTint="F2"/>
                <w:spacing w:val="-2"/>
                <w:szCs w:val="20"/>
                <w:lang w:val="en"/>
              </w:rPr>
              <w:t xml:space="preserve"> in H1</w:t>
            </w:r>
            <w:r w:rsidRPr="00056EE3">
              <w:rPr>
                <w:color w:val="0D0D0D" w:themeColor="text1" w:themeTint="F2"/>
                <w:spacing w:val="-2"/>
                <w:szCs w:val="20"/>
                <w:lang w:val="en"/>
              </w:rPr>
              <w:t xml:space="preserve"> (or +14.9 b</w:t>
            </w:r>
            <w:r>
              <w:rPr>
                <w:color w:val="0D0D0D" w:themeColor="text1" w:themeTint="F2"/>
                <w:spacing w:val="-2"/>
                <w:szCs w:val="20"/>
                <w:lang w:val="en"/>
              </w:rPr>
              <w:t>n CZK</w:t>
            </w:r>
            <w:r w:rsidRPr="00056EE3">
              <w:rPr>
                <w:color w:val="0D0D0D" w:themeColor="text1" w:themeTint="F2"/>
                <w:spacing w:val="-2"/>
                <w:szCs w:val="20"/>
                <w:lang w:val="en"/>
              </w:rPr>
              <w:t xml:space="preserve">). This was almost exclusively related to revenues from the EU budget and financial mechanisms, which were more than a third higher. The stronger inflow of these refunds could have been related to the high investment activity of the state last year and the strengthening </w:t>
            </w:r>
            <w:r>
              <w:rPr>
                <w:color w:val="0D0D0D" w:themeColor="text1" w:themeTint="F2"/>
                <w:spacing w:val="-2"/>
                <w:szCs w:val="20"/>
                <w:lang w:val="en"/>
              </w:rPr>
              <w:t>launch</w:t>
            </w:r>
            <w:r w:rsidRPr="00056EE3">
              <w:rPr>
                <w:color w:val="0D0D0D" w:themeColor="text1" w:themeTint="F2"/>
                <w:spacing w:val="-2"/>
                <w:szCs w:val="20"/>
                <w:lang w:val="en"/>
              </w:rPr>
              <w:t xml:space="preserve"> of revenues from the 2021–2027 programming period and funds from the National Recovery Plan</w:t>
            </w:r>
            <w:r w:rsidRPr="00B131B0">
              <w:rPr>
                <w:rStyle w:val="Znakapoznpodarou"/>
                <w:color w:val="0D0D0D" w:themeColor="text1" w:themeTint="F2"/>
                <w:spacing w:val="-4"/>
                <w:szCs w:val="20"/>
              </w:rPr>
              <w:footnoteReference w:id="23"/>
            </w:r>
            <w:r w:rsidRPr="00056EE3">
              <w:rPr>
                <w:color w:val="0D0D0D" w:themeColor="text1" w:themeTint="F2"/>
                <w:spacing w:val="-2"/>
                <w:szCs w:val="20"/>
                <w:lang w:val="en"/>
              </w:rPr>
              <w:t>. This year, the approved S</w:t>
            </w:r>
            <w:r>
              <w:rPr>
                <w:color w:val="0D0D0D" w:themeColor="text1" w:themeTint="F2"/>
                <w:spacing w:val="-2"/>
                <w:szCs w:val="20"/>
                <w:lang w:val="en"/>
              </w:rPr>
              <w:t>B</w:t>
            </w:r>
            <w:r w:rsidRPr="00056EE3">
              <w:rPr>
                <w:color w:val="0D0D0D" w:themeColor="text1" w:themeTint="F2"/>
                <w:spacing w:val="-2"/>
                <w:szCs w:val="20"/>
                <w:lang w:val="en"/>
              </w:rPr>
              <w:t xml:space="preserve"> expects a slight year-round growth </w:t>
            </w:r>
            <w:r>
              <w:rPr>
                <w:color w:val="0D0D0D" w:themeColor="text1" w:themeTint="F2"/>
                <w:spacing w:val="-2"/>
                <w:szCs w:val="20"/>
                <w:lang w:val="en"/>
              </w:rPr>
              <w:t>of</w:t>
            </w:r>
            <w:r w:rsidRPr="00056EE3">
              <w:rPr>
                <w:color w:val="0D0D0D" w:themeColor="text1" w:themeTint="F2"/>
                <w:spacing w:val="-2"/>
                <w:szCs w:val="20"/>
                <w:lang w:val="en"/>
              </w:rPr>
              <w:t xml:space="preserve"> revenues from the EU budget and financial mechanisms (+6.6%), but at the same time a decline </w:t>
            </w:r>
            <w:r>
              <w:rPr>
                <w:color w:val="0D0D0D" w:themeColor="text1" w:themeTint="F2"/>
                <w:spacing w:val="-2"/>
                <w:szCs w:val="20"/>
                <w:lang w:val="en"/>
              </w:rPr>
              <w:t>of</w:t>
            </w:r>
            <w:r w:rsidRPr="00056EE3">
              <w:rPr>
                <w:color w:val="0D0D0D" w:themeColor="text1" w:themeTint="F2"/>
                <w:spacing w:val="-2"/>
                <w:szCs w:val="20"/>
                <w:lang w:val="en"/>
              </w:rPr>
              <w:t xml:space="preserve"> total non-tax and capital revenues (</w:t>
            </w:r>
            <w:r w:rsidRPr="00370686">
              <w:rPr>
                <w:rFonts w:cs="Arial"/>
                <w:color w:val="0D0D0D" w:themeColor="text1" w:themeTint="F2"/>
                <w:spacing w:val="-4"/>
                <w:szCs w:val="20"/>
              </w:rPr>
              <w:t>−</w:t>
            </w:r>
            <w:r w:rsidRPr="00056EE3">
              <w:rPr>
                <w:color w:val="0D0D0D" w:themeColor="text1" w:themeTint="F2"/>
                <w:spacing w:val="-2"/>
                <w:szCs w:val="20"/>
                <w:lang w:val="en"/>
              </w:rPr>
              <w:t>7.3%).</w:t>
            </w:r>
            <w:r>
              <w:rPr>
                <w:color w:val="0D0D0D" w:themeColor="text1" w:themeTint="F2"/>
                <w:spacing w:val="-2"/>
                <w:szCs w:val="20"/>
                <w:lang w:val="en"/>
              </w:rPr>
              <w:t xml:space="preserve"> </w:t>
            </w:r>
          </w:p>
          <w:p w14:paraId="05AF6D6E" w14:textId="77777777" w:rsidR="00917A40" w:rsidRPr="00B131B0" w:rsidRDefault="00917A40" w:rsidP="00D60677">
            <w:pPr>
              <w:tabs>
                <w:tab w:val="right" w:pos="7683"/>
              </w:tabs>
              <w:spacing w:after="0"/>
              <w:ind w:left="-70" w:right="-54"/>
              <w:rPr>
                <w:sz w:val="14"/>
                <w:szCs w:val="14"/>
              </w:rPr>
            </w:pPr>
          </w:p>
        </w:tc>
      </w:tr>
      <w:tr w:rsidR="00917A40" w:rsidRPr="00B131B0" w14:paraId="69D33B01" w14:textId="77777777" w:rsidTr="00D60677">
        <w:trPr>
          <w:trHeight w:val="170"/>
        </w:trPr>
        <w:tc>
          <w:tcPr>
            <w:tcW w:w="9669" w:type="dxa"/>
            <w:gridSpan w:val="3"/>
            <w:tcMar>
              <w:left w:w="0" w:type="dxa"/>
            </w:tcMar>
          </w:tcPr>
          <w:p w14:paraId="198DA3D7" w14:textId="77777777" w:rsidR="00917A40" w:rsidRPr="00B131B0" w:rsidRDefault="00917A40" w:rsidP="00D60677">
            <w:pPr>
              <w:pStyle w:val="Nadpis3"/>
              <w:rPr>
                <w:color w:val="0D0D0D" w:themeColor="text1" w:themeTint="F2"/>
                <w:lang w:val="en-GB"/>
              </w:rPr>
            </w:pPr>
            <w:bookmarkStart w:id="7" w:name="_Toc242958699"/>
            <w:bookmarkStart w:id="8" w:name="_Toc239947458"/>
            <w:r w:rsidRPr="00B131B0">
              <w:rPr>
                <w:lang w:val="en-GB" w:eastAsia="en-US"/>
              </w:rPr>
              <w:t xml:space="preserve">8.3 </w:t>
            </w:r>
            <w:r>
              <w:rPr>
                <w:lang w:val="en-GB" w:eastAsia="en-US"/>
              </w:rPr>
              <w:t>State Budget Expenditures</w:t>
            </w:r>
            <w:bookmarkEnd w:id="7"/>
            <w:r>
              <w:rPr>
                <w:lang w:val="en-GB" w:eastAsia="en-US"/>
              </w:rPr>
              <w:t xml:space="preserve"> </w:t>
            </w:r>
            <w:bookmarkEnd w:id="8"/>
          </w:p>
        </w:tc>
      </w:tr>
      <w:tr w:rsidR="00917A40" w:rsidRPr="00B131B0" w14:paraId="7A412A45" w14:textId="77777777" w:rsidTr="00D60677">
        <w:trPr>
          <w:trHeight w:val="170"/>
        </w:trPr>
        <w:tc>
          <w:tcPr>
            <w:tcW w:w="1803" w:type="dxa"/>
            <w:tcMar>
              <w:left w:w="0" w:type="dxa"/>
            </w:tcMar>
          </w:tcPr>
          <w:p w14:paraId="678B95A3" w14:textId="77777777" w:rsidR="00917A40" w:rsidRPr="00B131B0" w:rsidRDefault="00917A40" w:rsidP="00D60677">
            <w:pPr>
              <w:pStyle w:val="Marginlie"/>
              <w:rPr>
                <w:color w:val="0D0D0D" w:themeColor="text1" w:themeTint="F2"/>
                <w:spacing w:val="0"/>
                <w:szCs w:val="20"/>
              </w:rPr>
            </w:pPr>
            <w:r w:rsidRPr="00E16B15">
              <w:rPr>
                <w:color w:val="0D0D0D" w:themeColor="text1" w:themeTint="F2"/>
                <w:szCs w:val="20"/>
                <w:lang w:val="en"/>
              </w:rPr>
              <w:t xml:space="preserve">Growth </w:t>
            </w:r>
            <w:r>
              <w:rPr>
                <w:color w:val="0D0D0D" w:themeColor="text1" w:themeTint="F2"/>
                <w:szCs w:val="20"/>
                <w:lang w:val="en"/>
              </w:rPr>
              <w:t>of total</w:t>
            </w:r>
            <w:r w:rsidRPr="00E16B15">
              <w:rPr>
                <w:color w:val="0D0D0D" w:themeColor="text1" w:themeTint="F2"/>
                <w:szCs w:val="20"/>
                <w:lang w:val="en"/>
              </w:rPr>
              <w:t xml:space="preserve"> expenditure accelerated. In addition to the end of the provisional budget, this was also due to a relatively higher drawdown of social benefits of significant volume.</w:t>
            </w:r>
          </w:p>
          <w:p w14:paraId="70F88D37" w14:textId="77777777" w:rsidR="00917A40" w:rsidRPr="00B131B0" w:rsidRDefault="00917A40" w:rsidP="00D60677">
            <w:pPr>
              <w:pStyle w:val="Marginlie"/>
              <w:rPr>
                <w:color w:val="0D0D0D" w:themeColor="text1" w:themeTint="F2"/>
                <w:spacing w:val="0"/>
                <w:szCs w:val="20"/>
              </w:rPr>
            </w:pPr>
          </w:p>
          <w:p w14:paraId="0A4E729E" w14:textId="77777777" w:rsidR="00917A40" w:rsidRPr="00B131B0" w:rsidRDefault="00917A40" w:rsidP="00D60677">
            <w:pPr>
              <w:pStyle w:val="Marginlie"/>
              <w:rPr>
                <w:color w:val="0D0D0D" w:themeColor="text1" w:themeTint="F2"/>
                <w:spacing w:val="0"/>
                <w:szCs w:val="20"/>
              </w:rPr>
            </w:pPr>
          </w:p>
          <w:p w14:paraId="7E8FBFC8" w14:textId="77777777" w:rsidR="00917A40" w:rsidRPr="00B131B0" w:rsidRDefault="00917A40" w:rsidP="00D60677">
            <w:pPr>
              <w:pStyle w:val="Marginlie"/>
              <w:rPr>
                <w:color w:val="0D0D0D" w:themeColor="text1" w:themeTint="F2"/>
                <w:spacing w:val="0"/>
                <w:szCs w:val="20"/>
              </w:rPr>
            </w:pPr>
          </w:p>
          <w:p w14:paraId="6BBD582F" w14:textId="77777777" w:rsidR="00917A40" w:rsidRPr="00B131B0" w:rsidRDefault="00917A40" w:rsidP="00D60677">
            <w:pPr>
              <w:pStyle w:val="Marginlie"/>
              <w:rPr>
                <w:color w:val="0D0D0D" w:themeColor="text1" w:themeTint="F2"/>
                <w:spacing w:val="0"/>
                <w:szCs w:val="20"/>
              </w:rPr>
            </w:pPr>
          </w:p>
          <w:p w14:paraId="59ECFF14" w14:textId="77777777" w:rsidR="00917A40" w:rsidRPr="00B131B0" w:rsidRDefault="00917A40" w:rsidP="00D60677">
            <w:pPr>
              <w:pStyle w:val="Marginlie"/>
              <w:rPr>
                <w:color w:val="0D0D0D" w:themeColor="text1" w:themeTint="F2"/>
                <w:spacing w:val="0"/>
                <w:szCs w:val="20"/>
              </w:rPr>
            </w:pPr>
          </w:p>
          <w:p w14:paraId="740293C7" w14:textId="77777777" w:rsidR="00917A40" w:rsidRPr="00B131B0" w:rsidRDefault="00917A40" w:rsidP="00D60677">
            <w:pPr>
              <w:pStyle w:val="Marginlie"/>
              <w:rPr>
                <w:color w:val="0D0D0D" w:themeColor="text1" w:themeTint="F2"/>
                <w:spacing w:val="0"/>
                <w:szCs w:val="20"/>
              </w:rPr>
            </w:pPr>
          </w:p>
          <w:p w14:paraId="21EC409E" w14:textId="77777777" w:rsidR="00917A40" w:rsidRPr="00B131B0" w:rsidRDefault="00917A40" w:rsidP="00D60677">
            <w:pPr>
              <w:pStyle w:val="Marginlie"/>
              <w:rPr>
                <w:color w:val="0D0D0D" w:themeColor="text1" w:themeTint="F2"/>
                <w:spacing w:val="0"/>
                <w:szCs w:val="20"/>
              </w:rPr>
            </w:pPr>
            <w:r w:rsidRPr="002D3023">
              <w:rPr>
                <w:color w:val="0D0D0D" w:themeColor="text1" w:themeTint="F2"/>
                <w:spacing w:val="0"/>
                <w:szCs w:val="20"/>
              </w:rPr>
              <w:t>The deficit of the pension insurance system was significantly reduced for the third year in a row.</w:t>
            </w:r>
          </w:p>
        </w:tc>
        <w:tc>
          <w:tcPr>
            <w:tcW w:w="203" w:type="dxa"/>
            <w:tcMar>
              <w:left w:w="0" w:type="dxa"/>
            </w:tcMar>
          </w:tcPr>
          <w:p w14:paraId="7F77A2AB" w14:textId="77777777" w:rsidR="00917A40" w:rsidRPr="00B131B0" w:rsidRDefault="00917A40" w:rsidP="00D60677">
            <w:pPr>
              <w:pStyle w:val="Textpoznpodarou"/>
              <w:jc w:val="both"/>
            </w:pPr>
          </w:p>
        </w:tc>
        <w:tc>
          <w:tcPr>
            <w:tcW w:w="7663" w:type="dxa"/>
            <w:tcMar>
              <w:left w:w="0" w:type="dxa"/>
            </w:tcMar>
          </w:tcPr>
          <w:p w14:paraId="2BA87FF2" w14:textId="77777777" w:rsidR="00917A40" w:rsidRPr="00B131B0" w:rsidRDefault="00917A40" w:rsidP="00D60677">
            <w:pPr>
              <w:spacing w:after="200"/>
              <w:rPr>
                <w:color w:val="0D0D0D" w:themeColor="text1" w:themeTint="F2"/>
              </w:rPr>
            </w:pPr>
            <w:r w:rsidRPr="002D3023">
              <w:rPr>
                <w:color w:val="0D0D0D" w:themeColor="text1" w:themeTint="F2"/>
              </w:rPr>
              <w:t>Total state budget expenditure increased more significantly this spring after the relaxation of the provisional budget regime and was thus 6.2% higher</w:t>
            </w:r>
            <w:r>
              <w:rPr>
                <w:color w:val="0D0D0D" w:themeColor="text1" w:themeTint="F2"/>
              </w:rPr>
              <w:t>,</w:t>
            </w:r>
            <w:r w:rsidRPr="002D3023">
              <w:rPr>
                <w:color w:val="0D0D0D" w:themeColor="text1" w:themeTint="F2"/>
              </w:rPr>
              <w:t xml:space="preserve"> year-on-year</w:t>
            </w:r>
            <w:r>
              <w:rPr>
                <w:color w:val="0D0D0D" w:themeColor="text1" w:themeTint="F2"/>
              </w:rPr>
              <w:t>,</w:t>
            </w:r>
            <w:r w:rsidRPr="002D3023">
              <w:rPr>
                <w:color w:val="0D0D0D" w:themeColor="text1" w:themeTint="F2"/>
              </w:rPr>
              <w:t xml:space="preserve"> (+71.2 b</w:t>
            </w:r>
            <w:r>
              <w:rPr>
                <w:color w:val="0D0D0D" w:themeColor="text1" w:themeTint="F2"/>
              </w:rPr>
              <w:t>n CZK</w:t>
            </w:r>
            <w:r w:rsidRPr="002D3023">
              <w:rPr>
                <w:color w:val="0D0D0D" w:themeColor="text1" w:themeTint="F2"/>
              </w:rPr>
              <w:t xml:space="preserve">) for the whole half-year, and this pace (the highest in the last three years) has so far more than doubled the </w:t>
            </w:r>
            <w:r>
              <w:rPr>
                <w:color w:val="0D0D0D" w:themeColor="text1" w:themeTint="F2"/>
              </w:rPr>
              <w:t xml:space="preserve">annual </w:t>
            </w:r>
            <w:r w:rsidRPr="002D3023">
              <w:rPr>
                <w:color w:val="0D0D0D" w:themeColor="text1" w:themeTint="F2"/>
              </w:rPr>
              <w:t xml:space="preserve">budget </w:t>
            </w:r>
            <w:r>
              <w:rPr>
                <w:color w:val="0D0D0D" w:themeColor="text1" w:themeTint="F2"/>
              </w:rPr>
              <w:t>anticipations</w:t>
            </w:r>
            <w:r w:rsidRPr="002D3023">
              <w:rPr>
                <w:color w:val="0D0D0D" w:themeColor="text1" w:themeTint="F2"/>
              </w:rPr>
              <w:t xml:space="preserve">. Current expenditure accounted for two-thirds of the growth, but investment also played an important role. The increase </w:t>
            </w:r>
            <w:r>
              <w:rPr>
                <w:color w:val="0D0D0D" w:themeColor="text1" w:themeTint="F2"/>
              </w:rPr>
              <w:t>of</w:t>
            </w:r>
            <w:r w:rsidRPr="002D3023">
              <w:rPr>
                <w:color w:val="0D0D0D" w:themeColor="text1" w:themeTint="F2"/>
              </w:rPr>
              <w:t xml:space="preserve"> current expenditure (+4.3%) was almost </w:t>
            </w:r>
            <w:r>
              <w:rPr>
                <w:color w:val="0D0D0D" w:themeColor="text1" w:themeTint="F2"/>
              </w:rPr>
              <w:t xml:space="preserve">by one </w:t>
            </w:r>
            <w:r w:rsidRPr="002D3023">
              <w:rPr>
                <w:color w:val="0D0D0D" w:themeColor="text1" w:themeTint="F2"/>
              </w:rPr>
              <w:t>half driven by higher absorption of social benefits</w:t>
            </w:r>
            <w:r w:rsidRPr="00B131B0">
              <w:rPr>
                <w:rStyle w:val="Znakapoznpodarou"/>
                <w:color w:val="0D0D0D" w:themeColor="text1" w:themeTint="F2"/>
              </w:rPr>
              <w:footnoteReference w:id="24"/>
            </w:r>
            <w:r w:rsidRPr="002D3023">
              <w:rPr>
                <w:color w:val="0D0D0D" w:themeColor="text1" w:themeTint="F2"/>
              </w:rPr>
              <w:t xml:space="preserve">. </w:t>
            </w:r>
            <w:r>
              <w:rPr>
                <w:color w:val="0D0D0D" w:themeColor="text1" w:themeTint="F2"/>
              </w:rPr>
              <w:t>B</w:t>
            </w:r>
            <w:r w:rsidRPr="002D3023">
              <w:rPr>
                <w:color w:val="0D0D0D" w:themeColor="text1" w:themeTint="F2"/>
              </w:rPr>
              <w:t>oth expenditure on pensions (up by 14.0 b</w:t>
            </w:r>
            <w:r>
              <w:rPr>
                <w:color w:val="0D0D0D" w:themeColor="text1" w:themeTint="F2"/>
              </w:rPr>
              <w:t xml:space="preserve">n CZK, </w:t>
            </w:r>
            <w:r w:rsidRPr="002D3023">
              <w:rPr>
                <w:color w:val="0D0D0D" w:themeColor="text1" w:themeTint="F2"/>
              </w:rPr>
              <w:t>year-on-year) and on other benefits (+6.2 b</w:t>
            </w:r>
            <w:r>
              <w:rPr>
                <w:color w:val="0D0D0D" w:themeColor="text1" w:themeTint="F2"/>
              </w:rPr>
              <w:t>n</w:t>
            </w:r>
            <w:r w:rsidRPr="002D3023">
              <w:rPr>
                <w:color w:val="0D0D0D" w:themeColor="text1" w:themeTint="F2"/>
              </w:rPr>
              <w:t>)</w:t>
            </w:r>
            <w:r>
              <w:rPr>
                <w:color w:val="0D0D0D" w:themeColor="text1" w:themeTint="F2"/>
              </w:rPr>
              <w:t xml:space="preserve"> participated</w:t>
            </w:r>
            <w:r w:rsidRPr="002D3023">
              <w:rPr>
                <w:color w:val="0D0D0D" w:themeColor="text1" w:themeTint="F2"/>
              </w:rPr>
              <w:t>. In both cases, their growth rate has been slightly above budget expectations</w:t>
            </w:r>
            <w:r>
              <w:rPr>
                <w:color w:val="0D0D0D" w:themeColor="text1" w:themeTint="F2"/>
              </w:rPr>
              <w:t xml:space="preserve"> </w:t>
            </w:r>
            <w:r w:rsidRPr="002D3023">
              <w:rPr>
                <w:color w:val="0D0D0D" w:themeColor="text1" w:themeTint="F2"/>
              </w:rPr>
              <w:t xml:space="preserve">so far this year. Pension expenditure increased by 3.9% after last year's de facto stagnation. With a relatively insignificant change </w:t>
            </w:r>
            <w:r>
              <w:rPr>
                <w:color w:val="0D0D0D" w:themeColor="text1" w:themeTint="F2"/>
              </w:rPr>
              <w:t>of</w:t>
            </w:r>
            <w:r w:rsidRPr="002D3023">
              <w:rPr>
                <w:color w:val="0D0D0D" w:themeColor="text1" w:themeTint="F2"/>
              </w:rPr>
              <w:t xml:space="preserve"> the number of pension </w:t>
            </w:r>
            <w:r>
              <w:rPr>
                <w:color w:val="0D0D0D" w:themeColor="text1" w:themeTint="F2"/>
              </w:rPr>
              <w:t>recipient</w:t>
            </w:r>
            <w:r w:rsidRPr="002D3023">
              <w:rPr>
                <w:color w:val="0D0D0D" w:themeColor="text1" w:themeTint="F2"/>
              </w:rPr>
              <w:t>s (−0.3%)</w:t>
            </w:r>
            <w:r w:rsidRPr="00B131B0">
              <w:rPr>
                <w:rStyle w:val="Znakapoznpodarou"/>
                <w:color w:val="0D0D0D" w:themeColor="text1" w:themeTint="F2"/>
              </w:rPr>
              <w:footnoteReference w:id="25"/>
            </w:r>
            <w:r w:rsidRPr="002D3023">
              <w:rPr>
                <w:color w:val="0D0D0D" w:themeColor="text1" w:themeTint="F2"/>
              </w:rPr>
              <w:t>, the regular indexation in January 2026, which increased the average old-age pension by 3.1%</w:t>
            </w:r>
            <w:r w:rsidRPr="00B131B0">
              <w:rPr>
                <w:rStyle w:val="Znakapoznpodarou"/>
                <w:color w:val="0D0D0D" w:themeColor="text1" w:themeTint="F2"/>
              </w:rPr>
              <w:footnoteReference w:id="26"/>
            </w:r>
            <w:r w:rsidRPr="002D3023">
              <w:rPr>
                <w:color w:val="0D0D0D" w:themeColor="text1" w:themeTint="F2"/>
              </w:rPr>
              <w:t>, had a major impact on the drawdown. Despite the stable, relatively brisk pace of pension premium collection, the deficit of the pension insurance system (3.2 b</w:t>
            </w:r>
            <w:r>
              <w:rPr>
                <w:color w:val="0D0D0D" w:themeColor="text1" w:themeTint="F2"/>
              </w:rPr>
              <w:t>n CZK</w:t>
            </w:r>
            <w:r w:rsidRPr="002D3023">
              <w:rPr>
                <w:color w:val="0D0D0D" w:themeColor="text1" w:themeTint="F2"/>
              </w:rPr>
              <w:t>) was recorded again, but it narrowed for the third year in a row (in the same period last year it amounted to 9.2</w:t>
            </w:r>
            <w:r>
              <w:rPr>
                <w:color w:val="0D0D0D" w:themeColor="text1" w:themeTint="F2"/>
              </w:rPr>
              <w:t xml:space="preserve"> bn CZK </w:t>
            </w:r>
            <w:r w:rsidRPr="002D3023">
              <w:rPr>
                <w:color w:val="0D0D0D" w:themeColor="text1" w:themeTint="F2"/>
              </w:rPr>
              <w:t>and it was even 40.3 b</w:t>
            </w:r>
            <w:r>
              <w:rPr>
                <w:color w:val="0D0D0D" w:themeColor="text1" w:themeTint="F2"/>
              </w:rPr>
              <w:t>n in H1 2023</w:t>
            </w:r>
            <w:r w:rsidRPr="002D3023">
              <w:rPr>
                <w:color w:val="0D0D0D" w:themeColor="text1" w:themeTint="F2"/>
              </w:rPr>
              <w:t>). At the same time, the current deficit was the lowest in the last seven years.</w:t>
            </w:r>
            <w:r>
              <w:rPr>
                <w:color w:val="0D0D0D" w:themeColor="text1" w:themeTint="F2"/>
              </w:rPr>
              <w:t xml:space="preserve"> </w:t>
            </w:r>
          </w:p>
        </w:tc>
      </w:tr>
      <w:tr w:rsidR="00917A40" w:rsidRPr="00B131B0" w14:paraId="2A42DC28" w14:textId="77777777" w:rsidTr="00D60677">
        <w:trPr>
          <w:trHeight w:val="170"/>
        </w:trPr>
        <w:tc>
          <w:tcPr>
            <w:tcW w:w="1803" w:type="dxa"/>
            <w:tcMar>
              <w:left w:w="0" w:type="dxa"/>
            </w:tcMar>
          </w:tcPr>
          <w:p w14:paraId="30FFA496" w14:textId="77777777" w:rsidR="00917A40" w:rsidRPr="00B131B0" w:rsidRDefault="00917A40" w:rsidP="00D60677">
            <w:pPr>
              <w:pStyle w:val="Marginlie"/>
              <w:rPr>
                <w:spacing w:val="0"/>
              </w:rPr>
            </w:pPr>
            <w:r w:rsidRPr="009B52F3">
              <w:rPr>
                <w:color w:val="0D0D0D" w:themeColor="text1" w:themeTint="F2"/>
                <w:spacing w:val="0"/>
              </w:rPr>
              <w:lastRenderedPageBreak/>
              <w:t xml:space="preserve">The increase </w:t>
            </w:r>
            <w:r>
              <w:rPr>
                <w:color w:val="0D0D0D" w:themeColor="text1" w:themeTint="F2"/>
                <w:spacing w:val="0"/>
              </w:rPr>
              <w:t xml:space="preserve">of </w:t>
            </w:r>
            <w:r w:rsidRPr="009B52F3">
              <w:rPr>
                <w:color w:val="0D0D0D" w:themeColor="text1" w:themeTint="F2"/>
                <w:spacing w:val="0"/>
              </w:rPr>
              <w:t xml:space="preserve">expenditure on non-pension social benefits was mainly due to support for the unemployed and higher drawdown of sickness insurance benefits. Benefits </w:t>
            </w:r>
            <w:r>
              <w:rPr>
                <w:color w:val="0D0D0D" w:themeColor="text1" w:themeTint="F2"/>
                <w:spacing w:val="0"/>
              </w:rPr>
              <w:t>for</w:t>
            </w:r>
            <w:r w:rsidRPr="009B52F3">
              <w:rPr>
                <w:color w:val="0D0D0D" w:themeColor="text1" w:themeTint="F2"/>
                <w:spacing w:val="0"/>
              </w:rPr>
              <w:t xml:space="preserve"> care for the long-term ill also increased.</w:t>
            </w:r>
          </w:p>
        </w:tc>
        <w:tc>
          <w:tcPr>
            <w:tcW w:w="203" w:type="dxa"/>
            <w:tcMar>
              <w:left w:w="0" w:type="dxa"/>
            </w:tcMar>
          </w:tcPr>
          <w:p w14:paraId="5A59CA5C" w14:textId="77777777" w:rsidR="00917A40" w:rsidRPr="00B131B0" w:rsidRDefault="00917A40" w:rsidP="00D60677">
            <w:pPr>
              <w:pStyle w:val="Textpoznpodarou"/>
              <w:jc w:val="both"/>
            </w:pPr>
          </w:p>
        </w:tc>
        <w:tc>
          <w:tcPr>
            <w:tcW w:w="7663" w:type="dxa"/>
            <w:tcMar>
              <w:left w:w="0" w:type="dxa"/>
            </w:tcMar>
          </w:tcPr>
          <w:p w14:paraId="41B50A48" w14:textId="77777777" w:rsidR="00917A40" w:rsidRDefault="00917A40" w:rsidP="00D60677">
            <w:pPr>
              <w:spacing w:after="0"/>
              <w:rPr>
                <w:rFonts w:cs="Arial"/>
                <w:color w:val="0D0D0D" w:themeColor="text1" w:themeTint="F2"/>
                <w:spacing w:val="-2"/>
              </w:rPr>
            </w:pPr>
            <w:r w:rsidRPr="009B52F3">
              <w:rPr>
                <w:color w:val="0D0D0D" w:themeColor="text1" w:themeTint="F2"/>
                <w:szCs w:val="20"/>
                <w:lang w:val="en"/>
              </w:rPr>
              <w:t xml:space="preserve">Year-on-year growth </w:t>
            </w:r>
            <w:r>
              <w:rPr>
                <w:color w:val="0D0D0D" w:themeColor="text1" w:themeTint="F2"/>
                <w:szCs w:val="20"/>
                <w:lang w:val="en"/>
              </w:rPr>
              <w:t>of</w:t>
            </w:r>
            <w:r w:rsidRPr="009B52F3">
              <w:rPr>
                <w:color w:val="0D0D0D" w:themeColor="text1" w:themeTint="F2"/>
                <w:szCs w:val="20"/>
                <w:lang w:val="en"/>
              </w:rPr>
              <w:t xml:space="preserve"> expenditure on other (non-pension) social benefits reached 5.9% in </w:t>
            </w:r>
            <w:r>
              <w:rPr>
                <w:color w:val="0D0D0D" w:themeColor="text1" w:themeTint="F2"/>
                <w:szCs w:val="20"/>
                <w:lang w:val="en"/>
              </w:rPr>
              <w:t xml:space="preserve">H1 </w:t>
            </w:r>
            <w:r w:rsidRPr="009B52F3">
              <w:rPr>
                <w:color w:val="0D0D0D" w:themeColor="text1" w:themeTint="F2"/>
                <w:szCs w:val="20"/>
                <w:lang w:val="en"/>
              </w:rPr>
              <w:t xml:space="preserve">this year (unlike pensions, however, year-on-year growth </w:t>
            </w:r>
            <w:r>
              <w:rPr>
                <w:color w:val="0D0D0D" w:themeColor="text1" w:themeTint="F2"/>
                <w:szCs w:val="20"/>
                <w:lang w:val="en"/>
              </w:rPr>
              <w:t>of</w:t>
            </w:r>
            <w:r w:rsidRPr="009B52F3">
              <w:rPr>
                <w:color w:val="0D0D0D" w:themeColor="text1" w:themeTint="F2"/>
                <w:szCs w:val="20"/>
                <w:lang w:val="en"/>
              </w:rPr>
              <w:t xml:space="preserve"> these benefits slowed down compared to the pace of 2025). This year's growth was largely due to insurance benefits – mostly unemployment benefits. These benefits increased by 42% (+3.1 </w:t>
            </w:r>
            <w:r>
              <w:rPr>
                <w:color w:val="0D0D0D" w:themeColor="text1" w:themeTint="F2"/>
                <w:szCs w:val="20"/>
                <w:lang w:val="en"/>
              </w:rPr>
              <w:t>bn CZK</w:t>
            </w:r>
            <w:r w:rsidRPr="009B52F3">
              <w:rPr>
                <w:color w:val="0D0D0D" w:themeColor="text1" w:themeTint="F2"/>
                <w:szCs w:val="20"/>
                <w:lang w:val="en"/>
              </w:rPr>
              <w:t>) mainly due to legislative changes</w:t>
            </w:r>
            <w:r w:rsidRPr="00B131B0">
              <w:rPr>
                <w:rStyle w:val="Znakapoznpodarou"/>
                <w:color w:val="0D0D0D" w:themeColor="text1" w:themeTint="F2"/>
                <w:szCs w:val="20"/>
              </w:rPr>
              <w:footnoteReference w:id="27"/>
            </w:r>
            <w:r w:rsidRPr="009B52F3">
              <w:rPr>
                <w:color w:val="0D0D0D" w:themeColor="text1" w:themeTint="F2"/>
                <w:szCs w:val="20"/>
                <w:lang w:val="en"/>
              </w:rPr>
              <w:t xml:space="preserve"> aimed at increasing the motivation of people to change unsatisfactory jobs. The continuing slight increase in the unemployment</w:t>
            </w:r>
            <w:r w:rsidRPr="00B131B0">
              <w:rPr>
                <w:rStyle w:val="Znakapoznpodarou"/>
                <w:color w:val="0D0D0D" w:themeColor="text1" w:themeTint="F2"/>
                <w:szCs w:val="20"/>
              </w:rPr>
              <w:footnoteReference w:id="28"/>
            </w:r>
            <w:r>
              <w:rPr>
                <w:color w:val="0D0D0D" w:themeColor="text1" w:themeTint="F2"/>
                <w:szCs w:val="20"/>
                <w:lang w:val="en"/>
              </w:rPr>
              <w:t xml:space="preserve"> </w:t>
            </w:r>
            <w:r w:rsidRPr="009B52F3">
              <w:rPr>
                <w:color w:val="0D0D0D" w:themeColor="text1" w:themeTint="F2"/>
                <w:szCs w:val="20"/>
                <w:lang w:val="en"/>
              </w:rPr>
              <w:t xml:space="preserve">rate was also reflected. In addition, slight growth </w:t>
            </w:r>
            <w:r>
              <w:rPr>
                <w:color w:val="0D0D0D" w:themeColor="text1" w:themeTint="F2"/>
                <w:szCs w:val="20"/>
                <w:lang w:val="en"/>
              </w:rPr>
              <w:t>of</w:t>
            </w:r>
            <w:r w:rsidRPr="009B52F3">
              <w:rPr>
                <w:color w:val="0D0D0D" w:themeColor="text1" w:themeTint="F2"/>
                <w:szCs w:val="20"/>
                <w:lang w:val="en"/>
              </w:rPr>
              <w:t xml:space="preserve"> expenditure on sickness insurance benefits continued for the third year in a row (+6.7%, +1.6 b</w:t>
            </w:r>
            <w:r>
              <w:rPr>
                <w:color w:val="0D0D0D" w:themeColor="text1" w:themeTint="F2"/>
                <w:szCs w:val="20"/>
                <w:lang w:val="en"/>
              </w:rPr>
              <w:t>n CZK</w:t>
            </w:r>
            <w:r w:rsidRPr="009B52F3">
              <w:rPr>
                <w:color w:val="0D0D0D" w:themeColor="text1" w:themeTint="F2"/>
                <w:szCs w:val="20"/>
                <w:lang w:val="en"/>
              </w:rPr>
              <w:t>). The growth was mainly driven by sickness benefits (depending on the growth of the applicant's previous wages</w:t>
            </w:r>
            <w:r w:rsidRPr="00B131B0">
              <w:rPr>
                <w:rStyle w:val="Znakapoznpodarou"/>
                <w:color w:val="0D0D0D" w:themeColor="text1" w:themeTint="F2"/>
              </w:rPr>
              <w:footnoteReference w:id="29"/>
            </w:r>
            <w:r w:rsidRPr="009B52F3">
              <w:rPr>
                <w:color w:val="0D0D0D" w:themeColor="text1" w:themeTint="F2"/>
                <w:szCs w:val="20"/>
                <w:lang w:val="en"/>
              </w:rPr>
              <w:t xml:space="preserve">) and maternity benefits, for which the decline </w:t>
            </w:r>
            <w:r>
              <w:rPr>
                <w:color w:val="0D0D0D" w:themeColor="text1" w:themeTint="F2"/>
                <w:szCs w:val="20"/>
                <w:lang w:val="en"/>
              </w:rPr>
              <w:t xml:space="preserve">halted </w:t>
            </w:r>
            <w:r w:rsidRPr="009B52F3">
              <w:rPr>
                <w:color w:val="0D0D0D" w:themeColor="text1" w:themeTint="F2"/>
                <w:szCs w:val="20"/>
                <w:lang w:val="en"/>
              </w:rPr>
              <w:t>after a long time. Income from insurance premiums paid by employed persons continued to increase</w:t>
            </w:r>
            <w:r>
              <w:rPr>
                <w:color w:val="0D0D0D" w:themeColor="text1" w:themeTint="F2"/>
                <w:szCs w:val="20"/>
                <w:lang w:val="en"/>
              </w:rPr>
              <w:t>,</w:t>
            </w:r>
            <w:r w:rsidRPr="009B52F3">
              <w:rPr>
                <w:color w:val="0D0D0D" w:themeColor="text1" w:themeTint="F2"/>
                <w:szCs w:val="20"/>
                <w:lang w:val="en"/>
              </w:rPr>
              <w:t xml:space="preserve"> year-on-year</w:t>
            </w:r>
            <w:r>
              <w:rPr>
                <w:color w:val="0D0D0D" w:themeColor="text1" w:themeTint="F2"/>
                <w:szCs w:val="20"/>
                <w:lang w:val="en"/>
              </w:rPr>
              <w:t>,</w:t>
            </w:r>
            <w:r w:rsidRPr="009B52F3">
              <w:rPr>
                <w:color w:val="0D0D0D" w:themeColor="text1" w:themeTint="F2"/>
                <w:szCs w:val="20"/>
                <w:lang w:val="en"/>
              </w:rPr>
              <w:t xml:space="preserve"> (+6.1%), partly still due to the statutory adjustment in connection with the consolidation package. As a result, the balance of sickness insurance</w:t>
            </w:r>
            <w:r w:rsidRPr="00B131B0">
              <w:rPr>
                <w:rStyle w:val="Znakapoznpodarou"/>
                <w:color w:val="0D0D0D" w:themeColor="text1" w:themeTint="F2"/>
                <w:spacing w:val="-2"/>
              </w:rPr>
              <w:footnoteReference w:id="30"/>
            </w:r>
            <w:r w:rsidRPr="009B52F3">
              <w:rPr>
                <w:color w:val="0D0D0D" w:themeColor="text1" w:themeTint="F2"/>
                <w:szCs w:val="20"/>
                <w:lang w:val="en"/>
              </w:rPr>
              <w:t xml:space="preserve"> in </w:t>
            </w:r>
            <w:r>
              <w:rPr>
                <w:color w:val="0D0D0D" w:themeColor="text1" w:themeTint="F2"/>
                <w:szCs w:val="20"/>
                <w:lang w:val="en"/>
              </w:rPr>
              <w:t xml:space="preserve">H1 </w:t>
            </w:r>
            <w:r w:rsidRPr="009B52F3">
              <w:rPr>
                <w:color w:val="0D0D0D" w:themeColor="text1" w:themeTint="F2"/>
                <w:szCs w:val="20"/>
                <w:lang w:val="en"/>
              </w:rPr>
              <w:t>was in a slight surplus for the third time in a row (+5.2 b</w:t>
            </w:r>
            <w:r>
              <w:rPr>
                <w:color w:val="0D0D0D" w:themeColor="text1" w:themeTint="F2"/>
                <w:szCs w:val="20"/>
                <w:lang w:val="en"/>
              </w:rPr>
              <w:t>n CZK</w:t>
            </w:r>
            <w:r w:rsidRPr="009B52F3">
              <w:rPr>
                <w:color w:val="0D0D0D" w:themeColor="text1" w:themeTint="F2"/>
                <w:szCs w:val="20"/>
                <w:lang w:val="en"/>
              </w:rPr>
              <w:t xml:space="preserve">). Within non-insurance social benefits, rising contributions to care for the long-term ill </w:t>
            </w:r>
            <w:r>
              <w:rPr>
                <w:color w:val="0D0D0D" w:themeColor="text1" w:themeTint="F2"/>
                <w:szCs w:val="20"/>
                <w:lang w:val="en"/>
              </w:rPr>
              <w:t xml:space="preserve">had the largest impact </w:t>
            </w:r>
            <w:r w:rsidRPr="009B52F3">
              <w:rPr>
                <w:color w:val="0D0D0D" w:themeColor="text1" w:themeTint="F2"/>
                <w:szCs w:val="20"/>
                <w:lang w:val="en"/>
              </w:rPr>
              <w:t>(+6.6%, +1.5 b</w:t>
            </w:r>
            <w:r>
              <w:rPr>
                <w:color w:val="0D0D0D" w:themeColor="text1" w:themeTint="F2"/>
                <w:szCs w:val="20"/>
                <w:lang w:val="en"/>
              </w:rPr>
              <w:t>n CZK</w:t>
            </w:r>
            <w:r w:rsidRPr="009B52F3">
              <w:rPr>
                <w:color w:val="0D0D0D" w:themeColor="text1" w:themeTint="F2"/>
                <w:szCs w:val="20"/>
                <w:lang w:val="en"/>
              </w:rPr>
              <w:t>). The volume of paid parental allowances and foster care benefits also increased (in total +0.4 b</w:t>
            </w:r>
            <w:r>
              <w:rPr>
                <w:color w:val="0D0D0D" w:themeColor="text1" w:themeTint="F2"/>
                <w:szCs w:val="20"/>
                <w:lang w:val="en"/>
              </w:rPr>
              <w:t>n CZK</w:t>
            </w:r>
            <w:r w:rsidRPr="009B52F3">
              <w:rPr>
                <w:color w:val="0D0D0D" w:themeColor="text1" w:themeTint="F2"/>
                <w:szCs w:val="20"/>
                <w:lang w:val="en"/>
              </w:rPr>
              <w:t xml:space="preserve">). On the </w:t>
            </w:r>
            <w:r>
              <w:rPr>
                <w:color w:val="0D0D0D" w:themeColor="text1" w:themeTint="F2"/>
                <w:szCs w:val="20"/>
                <w:lang w:val="en"/>
              </w:rPr>
              <w:t>contrary</w:t>
            </w:r>
            <w:r w:rsidRPr="009B52F3">
              <w:rPr>
                <w:color w:val="0D0D0D" w:themeColor="text1" w:themeTint="F2"/>
                <w:szCs w:val="20"/>
                <w:lang w:val="en"/>
              </w:rPr>
              <w:t>, the payment of humanitarian benefits to Ukrainian refugees decreased (by 22% or 1.0 b</w:t>
            </w:r>
            <w:r>
              <w:rPr>
                <w:color w:val="0D0D0D" w:themeColor="text1" w:themeTint="F2"/>
                <w:szCs w:val="20"/>
                <w:lang w:val="en"/>
              </w:rPr>
              <w:t>n CZK</w:t>
            </w:r>
            <w:r w:rsidRPr="009B52F3">
              <w:rPr>
                <w:color w:val="0D0D0D" w:themeColor="text1" w:themeTint="F2"/>
                <w:szCs w:val="20"/>
                <w:lang w:val="en"/>
              </w:rPr>
              <w:t xml:space="preserve">), which was related to a year-on-year </w:t>
            </w:r>
            <w:r>
              <w:rPr>
                <w:color w:val="0D0D0D" w:themeColor="text1" w:themeTint="F2"/>
                <w:szCs w:val="20"/>
                <w:lang w:val="en"/>
              </w:rPr>
              <w:t xml:space="preserve">reduction of </w:t>
            </w:r>
            <w:r w:rsidRPr="009B52F3">
              <w:rPr>
                <w:color w:val="0D0D0D" w:themeColor="text1" w:themeTint="F2"/>
                <w:szCs w:val="20"/>
                <w:lang w:val="en"/>
              </w:rPr>
              <w:t xml:space="preserve">the number of recipients. Year-on-year comparison of other benefits of </w:t>
            </w:r>
            <w:r w:rsidRPr="00995C95">
              <w:rPr>
                <w:color w:val="0D0D0D" w:themeColor="text1" w:themeTint="F2"/>
                <w:szCs w:val="20"/>
              </w:rPr>
              <w:t xml:space="preserve">material deprivation assistance </w:t>
            </w:r>
            <w:r w:rsidRPr="009B52F3">
              <w:rPr>
                <w:color w:val="0D0D0D" w:themeColor="text1" w:themeTint="F2"/>
                <w:szCs w:val="20"/>
                <w:lang w:val="en"/>
              </w:rPr>
              <w:t>or state social support is currently difficult due to a significant change in the system of benefits</w:t>
            </w:r>
            <w:r>
              <w:rPr>
                <w:color w:val="0D0D0D" w:themeColor="text1" w:themeTint="F2"/>
                <w:szCs w:val="20"/>
                <w:lang w:val="en"/>
              </w:rPr>
              <w:t xml:space="preserve"> provision</w:t>
            </w:r>
            <w:r w:rsidRPr="00B131B0">
              <w:rPr>
                <w:rStyle w:val="Znakapoznpodarou"/>
                <w:color w:val="0D0D0D" w:themeColor="text1" w:themeTint="F2"/>
              </w:rPr>
              <w:footnoteReference w:id="31"/>
            </w:r>
            <w:r w:rsidRPr="00B131B0">
              <w:rPr>
                <w:rFonts w:cs="Arial"/>
                <w:color w:val="0D0D0D" w:themeColor="text1" w:themeTint="F2"/>
                <w:spacing w:val="-2"/>
              </w:rPr>
              <w:t>.</w:t>
            </w:r>
          </w:p>
          <w:p w14:paraId="59584458" w14:textId="77777777" w:rsidR="00917A40" w:rsidRPr="00B131B0" w:rsidRDefault="00917A40" w:rsidP="00D60677">
            <w:pPr>
              <w:spacing w:after="0"/>
              <w:rPr>
                <w:rFonts w:cs="Arial"/>
                <w:color w:val="0D0D0D" w:themeColor="text1" w:themeTint="F2"/>
              </w:rPr>
            </w:pPr>
          </w:p>
        </w:tc>
      </w:tr>
      <w:tr w:rsidR="00917A40" w:rsidRPr="00B131B0" w14:paraId="64420AA5" w14:textId="77777777" w:rsidTr="00D60677">
        <w:trPr>
          <w:trHeight w:val="170"/>
        </w:trPr>
        <w:tc>
          <w:tcPr>
            <w:tcW w:w="1803" w:type="dxa"/>
            <w:tcMar>
              <w:left w:w="0" w:type="dxa"/>
            </w:tcMar>
          </w:tcPr>
          <w:p w14:paraId="6204AB7E" w14:textId="77777777" w:rsidR="00917A40" w:rsidRPr="00185A34" w:rsidRDefault="00917A40" w:rsidP="00D60677">
            <w:pPr>
              <w:pStyle w:val="Marginlie"/>
              <w:rPr>
                <w:lang w:val="en"/>
              </w:rPr>
            </w:pPr>
            <w:r w:rsidRPr="00185A34">
              <w:rPr>
                <w:lang w:val="en"/>
              </w:rPr>
              <w:t xml:space="preserve">The rapid growth </w:t>
            </w:r>
            <w:r>
              <w:rPr>
                <w:lang w:val="en"/>
              </w:rPr>
              <w:t>of</w:t>
            </w:r>
            <w:r w:rsidRPr="00185A34">
              <w:rPr>
                <w:lang w:val="en"/>
              </w:rPr>
              <w:t xml:space="preserve"> expenditure in the area of public health insurance can be explained by the advancement of part of the payments, and in the case of the Czech Republic's contributions to the EU budget, among other things, by the growth of the EU budget.</w:t>
            </w:r>
          </w:p>
          <w:p w14:paraId="6833ED1E" w14:textId="77777777" w:rsidR="00917A40" w:rsidRPr="00B131B0" w:rsidRDefault="00917A40" w:rsidP="00D60677">
            <w:pPr>
              <w:pStyle w:val="Marginlie"/>
              <w:rPr>
                <w:spacing w:val="0"/>
              </w:rPr>
            </w:pPr>
          </w:p>
          <w:p w14:paraId="2B1C8AC4" w14:textId="77777777" w:rsidR="00917A40" w:rsidRPr="00B131B0" w:rsidRDefault="00917A40" w:rsidP="00D60677">
            <w:pPr>
              <w:pStyle w:val="Marginlie"/>
              <w:rPr>
                <w:spacing w:val="0"/>
              </w:rPr>
            </w:pPr>
          </w:p>
          <w:p w14:paraId="01044624" w14:textId="77777777" w:rsidR="00917A40" w:rsidRPr="00B131B0" w:rsidRDefault="00917A40" w:rsidP="00D60677">
            <w:pPr>
              <w:pStyle w:val="Marginlie"/>
              <w:rPr>
                <w:spacing w:val="0"/>
              </w:rPr>
            </w:pPr>
          </w:p>
          <w:p w14:paraId="1C038AC1" w14:textId="77777777" w:rsidR="00917A40" w:rsidRPr="00B131B0" w:rsidRDefault="00917A40" w:rsidP="00D60677">
            <w:pPr>
              <w:pStyle w:val="Marginlie"/>
              <w:rPr>
                <w:spacing w:val="0"/>
              </w:rPr>
            </w:pPr>
          </w:p>
          <w:p w14:paraId="4EEEC004" w14:textId="77777777" w:rsidR="00917A40" w:rsidRPr="00B131B0" w:rsidRDefault="00917A40" w:rsidP="00D60677">
            <w:pPr>
              <w:pStyle w:val="Marginlie"/>
              <w:rPr>
                <w:spacing w:val="0"/>
              </w:rPr>
            </w:pPr>
          </w:p>
          <w:p w14:paraId="38493DBF" w14:textId="77777777" w:rsidR="00917A40" w:rsidRPr="00B131B0" w:rsidRDefault="00917A40" w:rsidP="00D60677">
            <w:pPr>
              <w:pStyle w:val="Marginlie"/>
              <w:rPr>
                <w:spacing w:val="0"/>
              </w:rPr>
            </w:pPr>
          </w:p>
          <w:p w14:paraId="6CD293E9" w14:textId="77777777" w:rsidR="00917A40" w:rsidRPr="00B131B0" w:rsidRDefault="00917A40" w:rsidP="00D60677">
            <w:pPr>
              <w:pStyle w:val="Marginlie"/>
              <w:rPr>
                <w:spacing w:val="0"/>
              </w:rPr>
            </w:pPr>
          </w:p>
          <w:p w14:paraId="65815571" w14:textId="77777777" w:rsidR="00917A40" w:rsidRPr="00B131B0" w:rsidRDefault="00917A40" w:rsidP="00D60677">
            <w:pPr>
              <w:pStyle w:val="Marginlie"/>
              <w:rPr>
                <w:spacing w:val="0"/>
              </w:rPr>
            </w:pPr>
          </w:p>
          <w:p w14:paraId="2DB7BD5F" w14:textId="77777777" w:rsidR="00917A40" w:rsidRPr="00B131B0" w:rsidRDefault="00917A40" w:rsidP="00D60677">
            <w:pPr>
              <w:pStyle w:val="Marginlie"/>
              <w:rPr>
                <w:spacing w:val="0"/>
              </w:rPr>
            </w:pPr>
          </w:p>
          <w:p w14:paraId="7CE8BFDF" w14:textId="77777777" w:rsidR="00917A40" w:rsidRPr="00B131B0" w:rsidRDefault="00917A40" w:rsidP="00D60677">
            <w:pPr>
              <w:pStyle w:val="Marginlie"/>
              <w:rPr>
                <w:spacing w:val="0"/>
              </w:rPr>
            </w:pPr>
          </w:p>
          <w:p w14:paraId="0815D077" w14:textId="77777777" w:rsidR="00917A40" w:rsidRPr="00B131B0" w:rsidRDefault="00917A40" w:rsidP="00D60677">
            <w:pPr>
              <w:pStyle w:val="Marginlie"/>
              <w:rPr>
                <w:spacing w:val="0"/>
              </w:rPr>
            </w:pPr>
            <w:r w:rsidRPr="00185A34">
              <w:rPr>
                <w:spacing w:val="0"/>
              </w:rPr>
              <w:lastRenderedPageBreak/>
              <w:t xml:space="preserve">The growth </w:t>
            </w:r>
            <w:r>
              <w:rPr>
                <w:spacing w:val="0"/>
              </w:rPr>
              <w:t xml:space="preserve">of </w:t>
            </w:r>
            <w:r w:rsidRPr="00185A34">
              <w:rPr>
                <w:spacing w:val="0"/>
              </w:rPr>
              <w:t>expenditure on servicing the state debt exceeded</w:t>
            </w:r>
            <w:r>
              <w:rPr>
                <w:spacing w:val="0"/>
              </w:rPr>
              <w:t xml:space="preserve"> </w:t>
            </w:r>
            <w:r w:rsidRPr="00185A34">
              <w:rPr>
                <w:spacing w:val="0"/>
              </w:rPr>
              <w:t>50 b</w:t>
            </w:r>
            <w:r>
              <w:rPr>
                <w:spacing w:val="0"/>
              </w:rPr>
              <w:t xml:space="preserve">n CZK </w:t>
            </w:r>
            <w:r w:rsidRPr="00185A34">
              <w:rPr>
                <w:spacing w:val="0"/>
              </w:rPr>
              <w:t>for the first time in the first half of the year. The total amount of government debt grew at a stable pace, solely due to internal indebtedness.</w:t>
            </w:r>
            <w:r w:rsidRPr="00B131B0">
              <w:rPr>
                <w:spacing w:val="0"/>
              </w:rPr>
              <w:t xml:space="preserve"> </w:t>
            </w:r>
          </w:p>
        </w:tc>
        <w:tc>
          <w:tcPr>
            <w:tcW w:w="203" w:type="dxa"/>
            <w:tcMar>
              <w:left w:w="0" w:type="dxa"/>
            </w:tcMar>
          </w:tcPr>
          <w:p w14:paraId="47EB21D9" w14:textId="77777777" w:rsidR="00917A40" w:rsidRPr="00B131B0" w:rsidRDefault="00917A40" w:rsidP="00D60677">
            <w:pPr>
              <w:pStyle w:val="Textpoznpodarou"/>
              <w:jc w:val="both"/>
            </w:pPr>
          </w:p>
        </w:tc>
        <w:tc>
          <w:tcPr>
            <w:tcW w:w="7663" w:type="dxa"/>
            <w:tcMar>
              <w:left w:w="0" w:type="dxa"/>
            </w:tcMar>
          </w:tcPr>
          <w:p w14:paraId="227E59A6" w14:textId="77777777" w:rsidR="00917A40" w:rsidRPr="00B131B0" w:rsidRDefault="00917A40" w:rsidP="00D60677">
            <w:pPr>
              <w:spacing w:after="200"/>
              <w:rPr>
                <w:color w:val="0D0D0D" w:themeColor="text1" w:themeTint="F2"/>
              </w:rPr>
            </w:pPr>
            <w:r w:rsidRPr="00185A34">
              <w:rPr>
                <w:color w:val="0D0D0D" w:themeColor="text1" w:themeTint="F2"/>
                <w:lang w:val="en"/>
              </w:rPr>
              <w:t>Subsidies to social and public health insurance funds have also temporarily contributed significantly to the growth of current expenditure i</w:t>
            </w:r>
            <w:r>
              <w:rPr>
                <w:color w:val="0D0D0D" w:themeColor="text1" w:themeTint="F2"/>
                <w:lang w:val="en"/>
              </w:rPr>
              <w:t xml:space="preserve">n the SB </w:t>
            </w:r>
            <w:r w:rsidRPr="00185A34">
              <w:rPr>
                <w:color w:val="0D0D0D" w:themeColor="text1" w:themeTint="F2"/>
                <w:lang w:val="en"/>
              </w:rPr>
              <w:t xml:space="preserve">this year. </w:t>
            </w:r>
            <w:r>
              <w:rPr>
                <w:color w:val="0D0D0D" w:themeColor="text1" w:themeTint="F2"/>
                <w:lang w:val="en"/>
              </w:rPr>
              <w:t>T</w:t>
            </w:r>
            <w:r w:rsidRPr="00185A34">
              <w:rPr>
                <w:color w:val="0D0D0D" w:themeColor="text1" w:themeTint="F2"/>
                <w:lang w:val="en"/>
              </w:rPr>
              <w:t>hey increased by a fifth (or 15.5 b</w:t>
            </w:r>
            <w:r>
              <w:rPr>
                <w:color w:val="0D0D0D" w:themeColor="text1" w:themeTint="F2"/>
                <w:lang w:val="en"/>
              </w:rPr>
              <w:t>n CZK</w:t>
            </w:r>
            <w:r w:rsidRPr="00185A34">
              <w:rPr>
                <w:color w:val="0D0D0D" w:themeColor="text1" w:themeTint="F2"/>
                <w:lang w:val="en"/>
              </w:rPr>
              <w:t>)</w:t>
            </w:r>
            <w:r>
              <w:rPr>
                <w:color w:val="0D0D0D" w:themeColor="text1" w:themeTint="F2"/>
                <w:lang w:val="en"/>
              </w:rPr>
              <w:t xml:space="preserve"> in H1 this year</w:t>
            </w:r>
            <w:r w:rsidRPr="00185A34">
              <w:rPr>
                <w:color w:val="0D0D0D" w:themeColor="text1" w:themeTint="F2"/>
                <w:lang w:val="en"/>
              </w:rPr>
              <w:t>, largely due to the pre-financing of payments originally intended for the second half of the year. The approved S</w:t>
            </w:r>
            <w:r>
              <w:rPr>
                <w:color w:val="0D0D0D" w:themeColor="text1" w:themeTint="F2"/>
                <w:lang w:val="en"/>
              </w:rPr>
              <w:t>B</w:t>
            </w:r>
            <w:r w:rsidRPr="00185A34">
              <w:rPr>
                <w:color w:val="0D0D0D" w:themeColor="text1" w:themeTint="F2"/>
                <w:lang w:val="en"/>
              </w:rPr>
              <w:t xml:space="preserve"> expects a full-year growth of less than 3%, which corresponds to the statutory indexation of payments for state insured persons</w:t>
            </w:r>
            <w:r w:rsidRPr="00B131B0">
              <w:rPr>
                <w:rStyle w:val="Znakapoznpodarou"/>
                <w:color w:val="0D0D0D" w:themeColor="text1" w:themeTint="F2"/>
              </w:rPr>
              <w:footnoteReference w:id="32"/>
            </w:r>
            <w:r w:rsidRPr="00185A34">
              <w:rPr>
                <w:color w:val="0D0D0D" w:themeColor="text1" w:themeTint="F2"/>
                <w:lang w:val="en"/>
              </w:rPr>
              <w:t>. Furthermore, the Czech Republic's own resources contributions to the EU budget also grew significantly and above budget expectations (+45.5%, +12.9 b</w:t>
            </w:r>
            <w:r>
              <w:rPr>
                <w:color w:val="0D0D0D" w:themeColor="text1" w:themeTint="F2"/>
                <w:lang w:val="en"/>
              </w:rPr>
              <w:t>n CZK</w:t>
            </w:r>
            <w:r w:rsidRPr="00185A34">
              <w:rPr>
                <w:color w:val="0D0D0D" w:themeColor="text1" w:themeTint="F2"/>
                <w:lang w:val="en"/>
              </w:rPr>
              <w:t xml:space="preserve">), which was partly related to the increase </w:t>
            </w:r>
            <w:r>
              <w:rPr>
                <w:color w:val="0D0D0D" w:themeColor="text1" w:themeTint="F2"/>
                <w:lang w:val="en"/>
              </w:rPr>
              <w:t>of</w:t>
            </w:r>
            <w:r w:rsidRPr="00185A34">
              <w:rPr>
                <w:color w:val="0D0D0D" w:themeColor="text1" w:themeTint="F2"/>
                <w:lang w:val="en"/>
              </w:rPr>
              <w:t xml:space="preserve"> the EU budget. The growth rate of expenditure on non-investment purchases of the state (excluding expenditure on the </w:t>
            </w:r>
            <w:r>
              <w:rPr>
                <w:color w:val="0D0D0D" w:themeColor="text1" w:themeTint="F2"/>
                <w:lang w:val="en"/>
              </w:rPr>
              <w:t>S</w:t>
            </w:r>
            <w:r w:rsidRPr="00185A34">
              <w:rPr>
                <w:color w:val="0D0D0D" w:themeColor="text1" w:themeTint="F2"/>
                <w:lang w:val="en"/>
              </w:rPr>
              <w:t xml:space="preserve">tate debt chapter) accelerated to 8.9%, even though part of the compensation payments for services made last year in </w:t>
            </w:r>
            <w:r>
              <w:rPr>
                <w:color w:val="0D0D0D" w:themeColor="text1" w:themeTint="F2"/>
                <w:lang w:val="en"/>
              </w:rPr>
              <w:t xml:space="preserve">H1 </w:t>
            </w:r>
            <w:r w:rsidRPr="00185A34">
              <w:rPr>
                <w:color w:val="0D0D0D" w:themeColor="text1" w:themeTint="F2"/>
                <w:lang w:val="en"/>
              </w:rPr>
              <w:t xml:space="preserve">were not paid this year. On the contrary, the strengthening of purchases in the area of defense proved to be a key factor. Expenditure on salaries in organizational units of the state increased the most in the last three years (+8.9%). Both the increase </w:t>
            </w:r>
            <w:r>
              <w:rPr>
                <w:color w:val="0D0D0D" w:themeColor="text1" w:themeTint="F2"/>
                <w:lang w:val="en"/>
              </w:rPr>
              <w:t>of</w:t>
            </w:r>
            <w:r w:rsidRPr="00185A34">
              <w:rPr>
                <w:color w:val="0D0D0D" w:themeColor="text1" w:themeTint="F2"/>
                <w:lang w:val="en"/>
              </w:rPr>
              <w:t xml:space="preserve"> expenditure on salaries in the area of state security (since the beginning of this year) and the increase </w:t>
            </w:r>
            <w:r>
              <w:rPr>
                <w:color w:val="0D0D0D" w:themeColor="text1" w:themeTint="F2"/>
                <w:lang w:val="en"/>
              </w:rPr>
              <w:t>for</w:t>
            </w:r>
            <w:r w:rsidRPr="00185A34">
              <w:rPr>
                <w:color w:val="0D0D0D" w:themeColor="text1" w:themeTint="F2"/>
                <w:lang w:val="en"/>
              </w:rPr>
              <w:t xml:space="preserve"> other large groups of employees</w:t>
            </w:r>
            <w:r w:rsidRPr="00B131B0">
              <w:rPr>
                <w:rStyle w:val="Znakapoznpodarou"/>
                <w:color w:val="0D0D0D" w:themeColor="text1" w:themeTint="F2"/>
              </w:rPr>
              <w:footnoteReference w:id="33"/>
            </w:r>
            <w:r w:rsidRPr="00185A34">
              <w:rPr>
                <w:color w:val="0D0D0D" w:themeColor="text1" w:themeTint="F2"/>
                <w:lang w:val="en"/>
              </w:rPr>
              <w:t xml:space="preserve">, implemented since </w:t>
            </w:r>
            <w:r>
              <w:rPr>
                <w:color w:val="0D0D0D" w:themeColor="text1" w:themeTint="F2"/>
                <w:lang w:val="en"/>
              </w:rPr>
              <w:t>Q</w:t>
            </w:r>
            <w:r w:rsidRPr="00185A34">
              <w:rPr>
                <w:color w:val="0D0D0D" w:themeColor="text1" w:themeTint="F2"/>
                <w:lang w:val="en"/>
              </w:rPr>
              <w:t xml:space="preserve">2, were reflected. An important mandatory item of </w:t>
            </w:r>
            <w:r w:rsidRPr="00185A34">
              <w:rPr>
                <w:color w:val="0D0D0D" w:themeColor="text1" w:themeTint="F2"/>
                <w:lang w:val="en"/>
              </w:rPr>
              <w:lastRenderedPageBreak/>
              <w:t>SB</w:t>
            </w:r>
            <w:r>
              <w:rPr>
                <w:color w:val="0D0D0D" w:themeColor="text1" w:themeTint="F2"/>
                <w:lang w:val="en"/>
              </w:rPr>
              <w:t xml:space="preserve"> </w:t>
            </w:r>
            <w:r w:rsidRPr="00185A34">
              <w:rPr>
                <w:color w:val="0D0D0D" w:themeColor="text1" w:themeTint="F2"/>
                <w:lang w:val="en"/>
              </w:rPr>
              <w:t>is also expenditure on servicing the state debt</w:t>
            </w:r>
            <w:r w:rsidRPr="00B131B0">
              <w:rPr>
                <w:color w:val="0D0D0D" w:themeColor="text1" w:themeTint="F2"/>
                <w:spacing w:val="4"/>
                <w:vertAlign w:val="superscript"/>
              </w:rPr>
              <w:footnoteReference w:id="34"/>
            </w:r>
            <w:r w:rsidRPr="00185A34">
              <w:rPr>
                <w:color w:val="0D0D0D" w:themeColor="text1" w:themeTint="F2"/>
                <w:lang w:val="en"/>
              </w:rPr>
              <w:t>, which mainly includes interest. They amounted to a record 50.7 b</w:t>
            </w:r>
            <w:r>
              <w:rPr>
                <w:color w:val="0D0D0D" w:themeColor="text1" w:themeTint="F2"/>
                <w:lang w:val="en"/>
              </w:rPr>
              <w:t xml:space="preserve">n CZK </w:t>
            </w:r>
            <w:r w:rsidRPr="00185A34">
              <w:rPr>
                <w:color w:val="0D0D0D" w:themeColor="text1" w:themeTint="F2"/>
                <w:lang w:val="en"/>
              </w:rPr>
              <w:t xml:space="preserve">in </w:t>
            </w:r>
            <w:r>
              <w:rPr>
                <w:color w:val="0D0D0D" w:themeColor="text1" w:themeTint="F2"/>
                <w:lang w:val="en"/>
              </w:rPr>
              <w:t xml:space="preserve">H1 </w:t>
            </w:r>
            <w:r w:rsidRPr="00185A34">
              <w:rPr>
                <w:color w:val="0D0D0D" w:themeColor="text1" w:themeTint="F2"/>
                <w:lang w:val="en"/>
              </w:rPr>
              <w:t>and increased by 6.1%</w:t>
            </w:r>
            <w:r w:rsidRPr="00B131B0">
              <w:rPr>
                <w:rStyle w:val="Znakapoznpodarou"/>
                <w:color w:val="0D0D0D" w:themeColor="text1" w:themeTint="F2"/>
                <w:spacing w:val="4"/>
                <w:szCs w:val="20"/>
              </w:rPr>
              <w:footnoteReference w:id="35"/>
            </w:r>
            <w:r>
              <w:rPr>
                <w:color w:val="0D0D0D" w:themeColor="text1" w:themeTint="F2"/>
                <w:lang w:val="en"/>
              </w:rPr>
              <w:t>,</w:t>
            </w:r>
            <w:r w:rsidRPr="00185A34">
              <w:rPr>
                <w:color w:val="0D0D0D" w:themeColor="text1" w:themeTint="F2"/>
                <w:lang w:val="en"/>
              </w:rPr>
              <w:t xml:space="preserve"> year-on-year. The amount of the C</w:t>
            </w:r>
            <w:r>
              <w:rPr>
                <w:color w:val="0D0D0D" w:themeColor="text1" w:themeTint="F2"/>
                <w:lang w:val="en"/>
              </w:rPr>
              <w:t xml:space="preserve">R state </w:t>
            </w:r>
            <w:r w:rsidRPr="00185A34">
              <w:rPr>
                <w:color w:val="0D0D0D" w:themeColor="text1" w:themeTint="F2"/>
                <w:lang w:val="en"/>
              </w:rPr>
              <w:t>debt reached 3,727 b</w:t>
            </w:r>
            <w:r>
              <w:rPr>
                <w:color w:val="0D0D0D" w:themeColor="text1" w:themeTint="F2"/>
                <w:lang w:val="en"/>
              </w:rPr>
              <w:t xml:space="preserve">n CZK </w:t>
            </w:r>
            <w:r w:rsidRPr="00185A34">
              <w:rPr>
                <w:color w:val="0D0D0D" w:themeColor="text1" w:themeTint="F2"/>
                <w:lang w:val="en"/>
              </w:rPr>
              <w:t>at the end of June this year and increased by 6.4%</w:t>
            </w:r>
            <w:r>
              <w:rPr>
                <w:color w:val="0D0D0D" w:themeColor="text1" w:themeTint="F2"/>
                <w:lang w:val="en"/>
              </w:rPr>
              <w:t>,</w:t>
            </w:r>
            <w:r w:rsidRPr="00185A34">
              <w:rPr>
                <w:color w:val="0D0D0D" w:themeColor="text1" w:themeTint="F2"/>
                <w:lang w:val="en"/>
              </w:rPr>
              <w:t xml:space="preserve"> year-on-year (the pace was only slightly lower compared to the total for 2024 and 2025) and by 1.3% since the beginning of this year. Only internal debt increased</w:t>
            </w:r>
            <w:r>
              <w:rPr>
                <w:color w:val="0D0D0D" w:themeColor="text1" w:themeTint="F2"/>
                <w:lang w:val="en"/>
              </w:rPr>
              <w:t>,</w:t>
            </w:r>
            <w:r w:rsidRPr="00185A34">
              <w:rPr>
                <w:color w:val="0D0D0D" w:themeColor="text1" w:themeTint="F2"/>
                <w:lang w:val="en"/>
              </w:rPr>
              <w:t xml:space="preserve"> year-on-year (+234 b</w:t>
            </w:r>
            <w:r>
              <w:rPr>
                <w:color w:val="0D0D0D" w:themeColor="text1" w:themeTint="F2"/>
                <w:lang w:val="en"/>
              </w:rPr>
              <w:t>n CZK</w:t>
            </w:r>
            <w:r w:rsidRPr="00185A34">
              <w:rPr>
                <w:color w:val="0D0D0D" w:themeColor="text1" w:themeTint="F2"/>
                <w:lang w:val="en"/>
              </w:rPr>
              <w:t>), external debt</w:t>
            </w:r>
            <w:r w:rsidRPr="00B131B0">
              <w:rPr>
                <w:rStyle w:val="Znakapoznpodarou"/>
                <w:color w:val="0D0D0D" w:themeColor="text1" w:themeTint="F2"/>
                <w:spacing w:val="4"/>
                <w:szCs w:val="20"/>
              </w:rPr>
              <w:footnoteReference w:id="36"/>
            </w:r>
            <w:r w:rsidRPr="00185A34">
              <w:rPr>
                <w:color w:val="0D0D0D" w:themeColor="text1" w:themeTint="F2"/>
                <w:lang w:val="en"/>
              </w:rPr>
              <w:t xml:space="preserve"> </w:t>
            </w:r>
            <w:r>
              <w:rPr>
                <w:color w:val="0D0D0D" w:themeColor="text1" w:themeTint="F2"/>
                <w:lang w:val="en"/>
              </w:rPr>
              <w:t xml:space="preserve">shrank </w:t>
            </w:r>
            <w:r w:rsidRPr="00185A34">
              <w:rPr>
                <w:color w:val="0D0D0D" w:themeColor="text1" w:themeTint="F2"/>
                <w:lang w:val="en"/>
              </w:rPr>
              <w:t>mainly due to regular loan repayments to the European Investment Bank and the European Commission</w:t>
            </w:r>
            <w:r>
              <w:rPr>
                <w:color w:val="0D0D0D" w:themeColor="text1" w:themeTint="F2"/>
                <w:lang w:val="en"/>
              </w:rPr>
              <w:t>, which occurred a</w:t>
            </w:r>
            <w:r w:rsidRPr="00185A34">
              <w:rPr>
                <w:color w:val="0D0D0D" w:themeColor="text1" w:themeTint="F2"/>
                <w:lang w:val="en"/>
              </w:rPr>
              <w:t>t the beginning of this year.</w:t>
            </w:r>
            <w:r w:rsidRPr="00B131B0">
              <w:rPr>
                <w:color w:val="0D0D0D" w:themeColor="text1" w:themeTint="F2"/>
              </w:rPr>
              <w:t xml:space="preserve"> </w:t>
            </w:r>
          </w:p>
        </w:tc>
      </w:tr>
      <w:tr w:rsidR="00917A40" w:rsidRPr="00B131B0" w14:paraId="6FC814C3" w14:textId="77777777" w:rsidTr="00D60677">
        <w:trPr>
          <w:trHeight w:val="170"/>
        </w:trPr>
        <w:tc>
          <w:tcPr>
            <w:tcW w:w="1803" w:type="dxa"/>
            <w:tcMar>
              <w:left w:w="0" w:type="dxa"/>
            </w:tcMar>
          </w:tcPr>
          <w:p w14:paraId="549F57DF" w14:textId="77777777" w:rsidR="00917A40" w:rsidRPr="00B131B0" w:rsidRDefault="00917A40" w:rsidP="00D60677">
            <w:pPr>
              <w:pStyle w:val="Marginlie"/>
              <w:rPr>
                <w:spacing w:val="0"/>
              </w:rPr>
            </w:pPr>
            <w:r w:rsidRPr="007D7F01">
              <w:rPr>
                <w:spacing w:val="0"/>
              </w:rPr>
              <w:lastRenderedPageBreak/>
              <w:t xml:space="preserve">The budget-expected decrease </w:t>
            </w:r>
            <w:r>
              <w:rPr>
                <w:spacing w:val="0"/>
              </w:rPr>
              <w:t>of</w:t>
            </w:r>
            <w:r w:rsidRPr="007D7F01">
              <w:rPr>
                <w:spacing w:val="0"/>
              </w:rPr>
              <w:t xml:space="preserve"> subsidies to </w:t>
            </w:r>
            <w:r>
              <w:rPr>
                <w:spacing w:val="0"/>
              </w:rPr>
              <w:t xml:space="preserve">regional </w:t>
            </w:r>
            <w:r w:rsidRPr="007D7F01">
              <w:rPr>
                <w:spacing w:val="0"/>
              </w:rPr>
              <w:t>budgets reflected a change in the financing of some workers in regional education.</w:t>
            </w:r>
          </w:p>
        </w:tc>
        <w:tc>
          <w:tcPr>
            <w:tcW w:w="203" w:type="dxa"/>
            <w:tcMar>
              <w:left w:w="0" w:type="dxa"/>
            </w:tcMar>
          </w:tcPr>
          <w:p w14:paraId="7FFAF07B" w14:textId="77777777" w:rsidR="00917A40" w:rsidRPr="00B131B0" w:rsidRDefault="00917A40" w:rsidP="00D60677">
            <w:pPr>
              <w:pStyle w:val="Textpoznpodarou"/>
              <w:jc w:val="both"/>
            </w:pPr>
          </w:p>
        </w:tc>
        <w:tc>
          <w:tcPr>
            <w:tcW w:w="7663" w:type="dxa"/>
            <w:tcMar>
              <w:left w:w="0" w:type="dxa"/>
            </w:tcMar>
          </w:tcPr>
          <w:p w14:paraId="58E8A328" w14:textId="77777777" w:rsidR="00917A40" w:rsidRPr="00B131B0" w:rsidRDefault="00917A40" w:rsidP="00D60677">
            <w:pPr>
              <w:rPr>
                <w:color w:val="0D0D0D" w:themeColor="text1" w:themeTint="F2"/>
                <w:spacing w:val="-2"/>
                <w:szCs w:val="20"/>
                <w:highlight w:val="cyan"/>
              </w:rPr>
            </w:pPr>
            <w:r w:rsidRPr="007D7F01">
              <w:rPr>
                <w:color w:val="0D0D0D" w:themeColor="text1" w:themeTint="F2"/>
                <w:spacing w:val="-2"/>
                <w:szCs w:val="20"/>
              </w:rPr>
              <w:t xml:space="preserve">The growth </w:t>
            </w:r>
            <w:r>
              <w:rPr>
                <w:color w:val="0D0D0D" w:themeColor="text1" w:themeTint="F2"/>
                <w:spacing w:val="-2"/>
                <w:szCs w:val="20"/>
              </w:rPr>
              <w:t>of</w:t>
            </w:r>
            <w:r w:rsidRPr="007D7F01">
              <w:rPr>
                <w:color w:val="0D0D0D" w:themeColor="text1" w:themeTint="F2"/>
                <w:spacing w:val="-2"/>
                <w:szCs w:val="20"/>
              </w:rPr>
              <w:t xml:space="preserve"> current expenditure in </w:t>
            </w:r>
            <w:r>
              <w:rPr>
                <w:color w:val="0D0D0D" w:themeColor="text1" w:themeTint="F2"/>
                <w:spacing w:val="-2"/>
                <w:szCs w:val="20"/>
              </w:rPr>
              <w:t xml:space="preserve">H1 </w:t>
            </w:r>
            <w:r w:rsidRPr="007D7F01">
              <w:rPr>
                <w:color w:val="0D0D0D" w:themeColor="text1" w:themeTint="F2"/>
                <w:spacing w:val="-2"/>
                <w:szCs w:val="20"/>
              </w:rPr>
              <w:t xml:space="preserve">was mainly counteracted by a significant decrease </w:t>
            </w:r>
            <w:r>
              <w:rPr>
                <w:color w:val="0D0D0D" w:themeColor="text1" w:themeTint="F2"/>
                <w:spacing w:val="-2"/>
                <w:szCs w:val="20"/>
              </w:rPr>
              <w:t>of</w:t>
            </w:r>
            <w:r w:rsidRPr="007D7F01">
              <w:rPr>
                <w:color w:val="0D0D0D" w:themeColor="text1" w:themeTint="F2"/>
                <w:spacing w:val="-2"/>
                <w:szCs w:val="20"/>
              </w:rPr>
              <w:t xml:space="preserve"> transfers to </w:t>
            </w:r>
            <w:r>
              <w:rPr>
                <w:color w:val="0D0D0D" w:themeColor="text1" w:themeTint="F2"/>
                <w:spacing w:val="-2"/>
                <w:szCs w:val="20"/>
              </w:rPr>
              <w:t>regional</w:t>
            </w:r>
            <w:r w:rsidRPr="007D7F01">
              <w:rPr>
                <w:color w:val="0D0D0D" w:themeColor="text1" w:themeTint="F2"/>
                <w:spacing w:val="-2"/>
                <w:szCs w:val="20"/>
              </w:rPr>
              <w:t xml:space="preserve"> budgets (–6.0%, –11.2 b</w:t>
            </w:r>
            <w:r>
              <w:rPr>
                <w:color w:val="0D0D0D" w:themeColor="text1" w:themeTint="F2"/>
                <w:spacing w:val="-2"/>
                <w:szCs w:val="20"/>
              </w:rPr>
              <w:t>n CZK</w:t>
            </w:r>
            <w:r w:rsidRPr="007D7F01">
              <w:rPr>
                <w:color w:val="0D0D0D" w:themeColor="text1" w:themeTint="F2"/>
                <w:spacing w:val="-2"/>
                <w:szCs w:val="20"/>
              </w:rPr>
              <w:t>). This year's change in the system of financing non-teaching staff (transfer from the state to the founders – most often municipalities or regions</w:t>
            </w:r>
            <w:r w:rsidRPr="00B131B0">
              <w:rPr>
                <w:rStyle w:val="Znakapoznpodarou"/>
                <w:color w:val="0D0D0D" w:themeColor="text1" w:themeTint="F2"/>
                <w:spacing w:val="-2"/>
                <w:szCs w:val="20"/>
              </w:rPr>
              <w:footnoteReference w:id="37"/>
            </w:r>
            <w:r w:rsidRPr="007D7F01">
              <w:rPr>
                <w:color w:val="0D0D0D" w:themeColor="text1" w:themeTint="F2"/>
                <w:spacing w:val="-2"/>
                <w:szCs w:val="20"/>
              </w:rPr>
              <w:t xml:space="preserve">) was reflected here. A deeper decline </w:t>
            </w:r>
            <w:r>
              <w:rPr>
                <w:color w:val="0D0D0D" w:themeColor="text1" w:themeTint="F2"/>
                <w:spacing w:val="-2"/>
                <w:szCs w:val="20"/>
              </w:rPr>
              <w:t>of</w:t>
            </w:r>
            <w:r w:rsidRPr="007D7F01">
              <w:rPr>
                <w:color w:val="0D0D0D" w:themeColor="text1" w:themeTint="F2"/>
                <w:spacing w:val="-2"/>
                <w:szCs w:val="20"/>
              </w:rPr>
              <w:t xml:space="preserve"> subsidies to municipalities or regions was temporarily counteracted by pre-financing in the area of social services (already carried out for the whole of this year). Of the other major expenditures in </w:t>
            </w:r>
            <w:r>
              <w:rPr>
                <w:color w:val="0D0D0D" w:themeColor="text1" w:themeTint="F2"/>
                <w:spacing w:val="-2"/>
                <w:szCs w:val="20"/>
              </w:rPr>
              <w:t>H1</w:t>
            </w:r>
            <w:r w:rsidRPr="007D7F01">
              <w:rPr>
                <w:color w:val="0D0D0D" w:themeColor="text1" w:themeTint="F2"/>
                <w:spacing w:val="-2"/>
                <w:szCs w:val="20"/>
              </w:rPr>
              <w:t>, only subsidies to non-profit organisations fell significantly (–13.4%, – 8.7 b</w:t>
            </w:r>
            <w:r>
              <w:rPr>
                <w:color w:val="0D0D0D" w:themeColor="text1" w:themeTint="F2"/>
                <w:spacing w:val="-2"/>
                <w:szCs w:val="20"/>
              </w:rPr>
              <w:t>n CZK</w:t>
            </w:r>
            <w:r w:rsidRPr="007D7F01">
              <w:rPr>
                <w:color w:val="0D0D0D" w:themeColor="text1" w:themeTint="F2"/>
                <w:spacing w:val="-2"/>
                <w:szCs w:val="20"/>
              </w:rPr>
              <w:t>). This was one of the few areas that was still affected by the repercussions of the provisional budget at the beginning of the summer (this was reflected in lower support for research, development and innovation provided to public institutions).</w:t>
            </w:r>
            <w:r>
              <w:rPr>
                <w:color w:val="0D0D0D" w:themeColor="text1" w:themeTint="F2"/>
                <w:spacing w:val="-2"/>
                <w:szCs w:val="20"/>
              </w:rPr>
              <w:t xml:space="preserve"> </w:t>
            </w:r>
            <w:r w:rsidRPr="00B131B0">
              <w:rPr>
                <w:color w:val="0D0D0D" w:themeColor="text1" w:themeTint="F2"/>
                <w:spacing w:val="-2"/>
                <w:szCs w:val="20"/>
              </w:rPr>
              <w:t xml:space="preserve"> </w:t>
            </w:r>
          </w:p>
        </w:tc>
      </w:tr>
      <w:tr w:rsidR="00917A40" w:rsidRPr="00B131B0" w14:paraId="1E017A9C" w14:textId="77777777" w:rsidTr="00D60677">
        <w:trPr>
          <w:trHeight w:val="170"/>
        </w:trPr>
        <w:tc>
          <w:tcPr>
            <w:tcW w:w="1803" w:type="dxa"/>
            <w:tcMar>
              <w:left w:w="0" w:type="dxa"/>
            </w:tcMar>
          </w:tcPr>
          <w:p w14:paraId="69D177DF" w14:textId="77777777" w:rsidR="00917A40" w:rsidRPr="00B131B0" w:rsidRDefault="00917A40" w:rsidP="00D60677">
            <w:pPr>
              <w:pStyle w:val="Marginlie"/>
              <w:rPr>
                <w:spacing w:val="0"/>
              </w:rPr>
            </w:pPr>
            <w:bookmarkStart w:id="9" w:name="_Hlk238075315"/>
          </w:p>
        </w:tc>
        <w:tc>
          <w:tcPr>
            <w:tcW w:w="203" w:type="dxa"/>
            <w:tcMar>
              <w:left w:w="0" w:type="dxa"/>
            </w:tcMar>
          </w:tcPr>
          <w:p w14:paraId="23F089BE" w14:textId="77777777" w:rsidR="00917A40" w:rsidRPr="00B131B0" w:rsidRDefault="00917A40" w:rsidP="00D60677">
            <w:pPr>
              <w:pStyle w:val="Textpoznpodarou"/>
              <w:jc w:val="both"/>
            </w:pPr>
          </w:p>
        </w:tc>
        <w:tc>
          <w:tcPr>
            <w:tcW w:w="7663" w:type="dxa"/>
            <w:tcMar>
              <w:left w:w="0" w:type="dxa"/>
            </w:tcMar>
          </w:tcPr>
          <w:p w14:paraId="5DE10ECB" w14:textId="3C678008" w:rsidR="00917A40" w:rsidRPr="00B131B0" w:rsidRDefault="00917A40" w:rsidP="00D60677">
            <w:pPr>
              <w:spacing w:after="0"/>
              <w:rPr>
                <w:b/>
              </w:rPr>
            </w:pPr>
            <w:bookmarkStart w:id="10" w:name="_Hlk238075293"/>
            <w:r>
              <w:rPr>
                <w:b/>
              </w:rPr>
              <w:t>Chart</w:t>
            </w:r>
            <w:r w:rsidRPr="00B131B0">
              <w:rPr>
                <w:b/>
              </w:rPr>
              <w:t> 1</w:t>
            </w:r>
            <w:r w:rsidR="00557EC1">
              <w:rPr>
                <w:b/>
              </w:rPr>
              <w:t>8</w:t>
            </w:r>
            <w:r w:rsidRPr="00B131B0">
              <w:rPr>
                <w:b/>
              </w:rPr>
              <w:t xml:space="preserve">: </w:t>
            </w:r>
            <w:r w:rsidRPr="00FB0B0C">
              <w:rPr>
                <w:b/>
              </w:rPr>
              <w:t xml:space="preserve">Decomposition of the year-on-year change in state budget expenditures for </w:t>
            </w:r>
            <w:r>
              <w:rPr>
                <w:b/>
              </w:rPr>
              <w:t>H</w:t>
            </w:r>
            <w:r w:rsidRPr="00FB0B0C">
              <w:rPr>
                <w:b/>
              </w:rPr>
              <w:t>1</w:t>
            </w:r>
            <w:r>
              <w:rPr>
                <w:b/>
              </w:rPr>
              <w:t xml:space="preserve"> </w:t>
            </w:r>
            <w:r w:rsidRPr="00FB0B0C">
              <w:rPr>
                <w:bCs/>
              </w:rPr>
              <w:t>(contributions to growth, in p. p.)</w:t>
            </w:r>
            <w:r>
              <w:rPr>
                <w:b/>
              </w:rPr>
              <w:t xml:space="preserve"> </w:t>
            </w:r>
            <w:bookmarkEnd w:id="10"/>
          </w:p>
        </w:tc>
      </w:tr>
      <w:tr w:rsidR="00917A40" w:rsidRPr="00B131B0" w14:paraId="3125B913" w14:textId="77777777" w:rsidTr="00D60677">
        <w:tblPrEx>
          <w:tblCellMar>
            <w:left w:w="70" w:type="dxa"/>
            <w:right w:w="70" w:type="dxa"/>
          </w:tblCellMar>
        </w:tblPrEx>
        <w:trPr>
          <w:trHeight w:val="170"/>
        </w:trPr>
        <w:tc>
          <w:tcPr>
            <w:tcW w:w="1803" w:type="dxa"/>
          </w:tcPr>
          <w:p w14:paraId="39C965A0" w14:textId="77777777" w:rsidR="00917A40" w:rsidRPr="00B131B0" w:rsidRDefault="00917A40" w:rsidP="00D60677">
            <w:pPr>
              <w:pStyle w:val="Marginlie"/>
              <w:rPr>
                <w:spacing w:val="0"/>
              </w:rPr>
            </w:pPr>
          </w:p>
        </w:tc>
        <w:tc>
          <w:tcPr>
            <w:tcW w:w="203" w:type="dxa"/>
          </w:tcPr>
          <w:p w14:paraId="7E4C7261" w14:textId="77777777" w:rsidR="00917A40" w:rsidRPr="00B131B0" w:rsidRDefault="00917A40" w:rsidP="00D60677">
            <w:pPr>
              <w:pStyle w:val="Textpoznpodarou"/>
              <w:jc w:val="both"/>
            </w:pPr>
          </w:p>
        </w:tc>
        <w:tc>
          <w:tcPr>
            <w:tcW w:w="7663" w:type="dxa"/>
          </w:tcPr>
          <w:p w14:paraId="55CCE979" w14:textId="77777777" w:rsidR="00917A40" w:rsidRPr="00B131B0" w:rsidRDefault="00917A40" w:rsidP="00D60677">
            <w:pPr>
              <w:spacing w:before="40" w:after="20"/>
              <w:rPr>
                <w:color w:val="0D0D0D" w:themeColor="text1" w:themeTint="F2"/>
              </w:rPr>
            </w:pPr>
            <w:r>
              <w:rPr>
                <w:noProof/>
              </w:rPr>
              <w:drawing>
                <wp:inline distT="0" distB="0" distL="0" distR="0" wp14:anchorId="6691BB80" wp14:editId="7FD302A6">
                  <wp:extent cx="4725620" cy="3689985"/>
                  <wp:effectExtent l="0" t="0" r="0" b="5715"/>
                  <wp:docPr id="359640618" name="Graf 1">
                    <a:extLst xmlns:a="http://schemas.openxmlformats.org/drawingml/2006/main">
                      <a:ext uri="{FF2B5EF4-FFF2-40B4-BE49-F238E27FC236}">
                        <a16:creationId xmlns:a16="http://schemas.microsoft.com/office/drawing/2014/main" id="{8DEC94CB-1298-4EC2-AC39-55F2294CA5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917A40" w:rsidRPr="00B131B0" w14:paraId="5D80152A" w14:textId="77777777" w:rsidTr="00D60677">
        <w:tblPrEx>
          <w:tblCellMar>
            <w:left w:w="70" w:type="dxa"/>
            <w:right w:w="70" w:type="dxa"/>
          </w:tblCellMar>
        </w:tblPrEx>
        <w:trPr>
          <w:trHeight w:val="170"/>
        </w:trPr>
        <w:tc>
          <w:tcPr>
            <w:tcW w:w="1803" w:type="dxa"/>
          </w:tcPr>
          <w:p w14:paraId="0F39D9E2" w14:textId="77777777" w:rsidR="00917A40" w:rsidRPr="00B131B0" w:rsidRDefault="00917A40" w:rsidP="00D60677">
            <w:pPr>
              <w:pStyle w:val="Marginlie"/>
              <w:rPr>
                <w:spacing w:val="0"/>
              </w:rPr>
            </w:pPr>
          </w:p>
        </w:tc>
        <w:tc>
          <w:tcPr>
            <w:tcW w:w="203" w:type="dxa"/>
          </w:tcPr>
          <w:p w14:paraId="39686D9F" w14:textId="77777777" w:rsidR="00917A40" w:rsidRPr="00B131B0" w:rsidRDefault="00917A40" w:rsidP="00D60677">
            <w:pPr>
              <w:pStyle w:val="Textpoznpodarou"/>
              <w:jc w:val="both"/>
            </w:pPr>
          </w:p>
        </w:tc>
        <w:tc>
          <w:tcPr>
            <w:tcW w:w="7663" w:type="dxa"/>
          </w:tcPr>
          <w:p w14:paraId="76424147" w14:textId="77777777" w:rsidR="00917A40" w:rsidRPr="00C8204F" w:rsidRDefault="00917A40" w:rsidP="00D60677">
            <w:pPr>
              <w:pStyle w:val="Textpoznpodarou"/>
              <w:rPr>
                <w:sz w:val="14"/>
                <w:szCs w:val="14"/>
              </w:rPr>
            </w:pPr>
            <w:r w:rsidRPr="00C8204F">
              <w:rPr>
                <w:sz w:val="14"/>
                <w:szCs w:val="14"/>
              </w:rPr>
              <w:t>*</w:t>
            </w:r>
            <w:r>
              <w:rPr>
                <w:sz w:val="14"/>
                <w:szCs w:val="14"/>
              </w:rPr>
              <w:t xml:space="preserve"> C</w:t>
            </w:r>
            <w:r w:rsidRPr="00C8204F">
              <w:rPr>
                <w:sz w:val="14"/>
                <w:szCs w:val="14"/>
              </w:rPr>
              <w:t>over expenditures on salaries in central government institutions. Do not include e.g. wage costs of regional education.</w:t>
            </w:r>
          </w:p>
          <w:p w14:paraId="66CF3CCC" w14:textId="77777777" w:rsidR="00917A40" w:rsidRPr="00C8204F" w:rsidRDefault="00917A40" w:rsidP="00D60677">
            <w:pPr>
              <w:pStyle w:val="Textpoznpodarou"/>
              <w:rPr>
                <w:sz w:val="14"/>
                <w:szCs w:val="14"/>
              </w:rPr>
            </w:pPr>
            <w:r w:rsidRPr="00C8204F">
              <w:rPr>
                <w:sz w:val="14"/>
                <w:szCs w:val="14"/>
              </w:rPr>
              <w:t>**</w:t>
            </w:r>
            <w:r>
              <w:rPr>
                <w:sz w:val="14"/>
                <w:szCs w:val="14"/>
              </w:rPr>
              <w:t xml:space="preserve"> A</w:t>
            </w:r>
            <w:r w:rsidRPr="00C8204F">
              <w:rPr>
                <w:sz w:val="14"/>
                <w:szCs w:val="14"/>
              </w:rPr>
              <w:t>lso include the non-investment expenditures of the chapter State debt (No. 396).</w:t>
            </w:r>
          </w:p>
          <w:p w14:paraId="375C4FA0" w14:textId="77777777" w:rsidR="00917A40" w:rsidRPr="00C8204F" w:rsidRDefault="00917A40" w:rsidP="00D60677">
            <w:pPr>
              <w:pStyle w:val="Textpoznpodarou"/>
              <w:rPr>
                <w:sz w:val="14"/>
                <w:szCs w:val="14"/>
              </w:rPr>
            </w:pPr>
            <w:r w:rsidRPr="00C8204F">
              <w:rPr>
                <w:sz w:val="14"/>
                <w:szCs w:val="14"/>
              </w:rPr>
              <w:t>***</w:t>
            </w:r>
            <w:r>
              <w:rPr>
                <w:sz w:val="14"/>
                <w:szCs w:val="14"/>
              </w:rPr>
              <w:t xml:space="preserve"> I</w:t>
            </w:r>
            <w:r w:rsidRPr="00C8204F">
              <w:rPr>
                <w:sz w:val="14"/>
                <w:szCs w:val="14"/>
              </w:rPr>
              <w:t>nclude subsidies to contributory organizations, state funds and non-profit organizations.</w:t>
            </w:r>
          </w:p>
          <w:p w14:paraId="6B678E14" w14:textId="77777777" w:rsidR="00917A40" w:rsidRPr="00C8204F" w:rsidRDefault="00917A40" w:rsidP="00D60677">
            <w:pPr>
              <w:pStyle w:val="Textpoznpodarou"/>
              <w:rPr>
                <w:sz w:val="14"/>
                <w:szCs w:val="14"/>
              </w:rPr>
            </w:pPr>
            <w:r w:rsidRPr="00C8204F">
              <w:rPr>
                <w:sz w:val="14"/>
                <w:szCs w:val="14"/>
              </w:rPr>
              <w:t>****</w:t>
            </w:r>
            <w:r>
              <w:rPr>
                <w:sz w:val="14"/>
                <w:szCs w:val="14"/>
              </w:rPr>
              <w:t xml:space="preserve"> T</w:t>
            </w:r>
            <w:r w:rsidRPr="00C8204F">
              <w:rPr>
                <w:sz w:val="14"/>
                <w:szCs w:val="14"/>
              </w:rPr>
              <w:t xml:space="preserve">hey mainly concentrate state social support benefits, sickness insurance, assistance in material need, benefits for persons with disabilities and care allowance under the Act on Social Services. </w:t>
            </w:r>
          </w:p>
          <w:p w14:paraId="7EC2971D" w14:textId="77777777" w:rsidR="00917A40" w:rsidRPr="00C8204F" w:rsidRDefault="00917A40" w:rsidP="00D60677">
            <w:pPr>
              <w:pStyle w:val="Textpoznpodarou"/>
              <w:rPr>
                <w:sz w:val="14"/>
                <w:szCs w:val="14"/>
              </w:rPr>
            </w:pPr>
            <w:r w:rsidRPr="00C8204F">
              <w:rPr>
                <w:sz w:val="14"/>
                <w:szCs w:val="14"/>
              </w:rPr>
              <w:t>*****</w:t>
            </w:r>
            <w:r w:rsidRPr="00C8204F">
              <w:rPr>
                <w:rFonts w:ascii="Segoe UI" w:eastAsia="Times New Roman" w:hAnsi="Segoe UI" w:cs="Segoe UI"/>
                <w:color w:val="000000"/>
                <w:sz w:val="30"/>
                <w:szCs w:val="30"/>
              </w:rPr>
              <w:t xml:space="preserve"> </w:t>
            </w:r>
            <w:r>
              <w:rPr>
                <w:sz w:val="14"/>
                <w:szCs w:val="14"/>
              </w:rPr>
              <w:t>T</w:t>
            </w:r>
            <w:r w:rsidRPr="00C8204F">
              <w:rPr>
                <w:sz w:val="14"/>
                <w:szCs w:val="14"/>
              </w:rPr>
              <w:t xml:space="preserve">hese are mainly the contributions of the </w:t>
            </w:r>
            <w:r>
              <w:rPr>
                <w:sz w:val="14"/>
                <w:szCs w:val="14"/>
              </w:rPr>
              <w:t>Czech state budget</w:t>
            </w:r>
            <w:r w:rsidRPr="00C8204F">
              <w:rPr>
                <w:sz w:val="14"/>
                <w:szCs w:val="14"/>
              </w:rPr>
              <w:t xml:space="preserve"> resources to the EU budget.</w:t>
            </w:r>
          </w:p>
          <w:p w14:paraId="0A2C2B80" w14:textId="77777777" w:rsidR="00917A40" w:rsidRPr="00B335CE" w:rsidRDefault="00917A40" w:rsidP="00D60677">
            <w:pPr>
              <w:pStyle w:val="Textpoznpodarou"/>
              <w:rPr>
                <w:sz w:val="14"/>
                <w:szCs w:val="14"/>
              </w:rPr>
            </w:pPr>
            <w:r w:rsidRPr="00C8204F">
              <w:rPr>
                <w:sz w:val="14"/>
                <w:szCs w:val="14"/>
              </w:rPr>
              <w:t xml:space="preserve">Source: MF CR </w:t>
            </w:r>
          </w:p>
          <w:p w14:paraId="5B8D79A2" w14:textId="77777777" w:rsidR="00917A40" w:rsidRPr="001A1FFB" w:rsidRDefault="00917A40" w:rsidP="00D60677">
            <w:pPr>
              <w:spacing w:after="0" w:line="240" w:lineRule="auto"/>
              <w:rPr>
                <w:b/>
                <w:bCs/>
                <w:color w:val="0D0D0D" w:themeColor="text1" w:themeTint="F2"/>
                <w:sz w:val="16"/>
                <w:szCs w:val="16"/>
              </w:rPr>
            </w:pPr>
          </w:p>
        </w:tc>
      </w:tr>
      <w:bookmarkEnd w:id="9"/>
      <w:tr w:rsidR="00917A40" w:rsidRPr="00B131B0" w14:paraId="31631165" w14:textId="77777777" w:rsidTr="00D60677">
        <w:trPr>
          <w:trHeight w:val="170"/>
        </w:trPr>
        <w:tc>
          <w:tcPr>
            <w:tcW w:w="1803" w:type="dxa"/>
            <w:tcMar>
              <w:left w:w="0" w:type="dxa"/>
            </w:tcMar>
          </w:tcPr>
          <w:p w14:paraId="15B8D9E1" w14:textId="77777777" w:rsidR="00917A40" w:rsidRPr="00FB0B0C" w:rsidRDefault="00917A40" w:rsidP="00D60677">
            <w:pPr>
              <w:pStyle w:val="Marginlie"/>
            </w:pPr>
            <w:r w:rsidRPr="00B96272">
              <w:rPr>
                <w:color w:val="0D0D0D" w:themeColor="text1" w:themeTint="F2"/>
                <w:spacing w:val="0"/>
              </w:rPr>
              <w:lastRenderedPageBreak/>
              <w:t xml:space="preserve">Purchases in the area of security and </w:t>
            </w:r>
            <w:r>
              <w:rPr>
                <w:color w:val="0D0D0D" w:themeColor="text1" w:themeTint="F2"/>
                <w:spacing w:val="0"/>
              </w:rPr>
              <w:t xml:space="preserve">also </w:t>
            </w:r>
            <w:r w:rsidRPr="00B96272">
              <w:rPr>
                <w:color w:val="0D0D0D" w:themeColor="text1" w:themeTint="F2"/>
                <w:spacing w:val="0"/>
              </w:rPr>
              <w:t xml:space="preserve">subsidies for transport infrastructure contributed to the rapid growth </w:t>
            </w:r>
            <w:r>
              <w:rPr>
                <w:color w:val="0D0D0D" w:themeColor="text1" w:themeTint="F2"/>
                <w:spacing w:val="0"/>
              </w:rPr>
              <w:t>of</w:t>
            </w:r>
            <w:r w:rsidRPr="00B96272">
              <w:rPr>
                <w:color w:val="0D0D0D" w:themeColor="text1" w:themeTint="F2"/>
                <w:spacing w:val="0"/>
              </w:rPr>
              <w:t xml:space="preserve"> capital expenditure.</w:t>
            </w:r>
          </w:p>
        </w:tc>
        <w:tc>
          <w:tcPr>
            <w:tcW w:w="203" w:type="dxa"/>
            <w:tcMar>
              <w:left w:w="0" w:type="dxa"/>
            </w:tcMar>
          </w:tcPr>
          <w:p w14:paraId="6F8B5C9C"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506CBEA3" w14:textId="77777777" w:rsidR="00917A40" w:rsidRDefault="00917A40" w:rsidP="00D60677">
            <w:pPr>
              <w:spacing w:after="0"/>
              <w:rPr>
                <w:color w:val="0D0D0D" w:themeColor="text1" w:themeTint="F2"/>
                <w:spacing w:val="-2"/>
                <w:lang w:val="en"/>
              </w:rPr>
            </w:pPr>
            <w:r w:rsidRPr="002813FB">
              <w:rPr>
                <w:color w:val="0D0D0D" w:themeColor="text1" w:themeTint="F2"/>
                <w:spacing w:val="-2"/>
                <w:lang w:val="en"/>
              </w:rPr>
              <w:t xml:space="preserve">Capital expenditure </w:t>
            </w:r>
            <w:r>
              <w:rPr>
                <w:color w:val="0D0D0D" w:themeColor="text1" w:themeTint="F2"/>
                <w:spacing w:val="-2"/>
                <w:lang w:val="en"/>
              </w:rPr>
              <w:t xml:space="preserve">of SB </w:t>
            </w:r>
            <w:r w:rsidRPr="002813FB">
              <w:rPr>
                <w:color w:val="0D0D0D" w:themeColor="text1" w:themeTint="F2"/>
                <w:spacing w:val="-2"/>
                <w:lang w:val="en"/>
              </w:rPr>
              <w:t>increased</w:t>
            </w:r>
            <w:r>
              <w:rPr>
                <w:color w:val="0D0D0D" w:themeColor="text1" w:themeTint="F2"/>
                <w:spacing w:val="-2"/>
                <w:lang w:val="en"/>
              </w:rPr>
              <w:t>,</w:t>
            </w:r>
            <w:r w:rsidRPr="002813FB">
              <w:rPr>
                <w:color w:val="0D0D0D" w:themeColor="text1" w:themeTint="F2"/>
                <w:spacing w:val="-2"/>
                <w:lang w:val="en"/>
              </w:rPr>
              <w:t xml:space="preserve"> year-on-year</w:t>
            </w:r>
            <w:r>
              <w:rPr>
                <w:color w:val="0D0D0D" w:themeColor="text1" w:themeTint="F2"/>
                <w:spacing w:val="-2"/>
                <w:lang w:val="en"/>
              </w:rPr>
              <w:t xml:space="preserve">, in H1 </w:t>
            </w:r>
            <w:r w:rsidRPr="002813FB">
              <w:rPr>
                <w:color w:val="0D0D0D" w:themeColor="text1" w:themeTint="F2"/>
                <w:spacing w:val="-2"/>
                <w:lang w:val="en"/>
              </w:rPr>
              <w:t>(+32.0% or 25.8 b</w:t>
            </w:r>
            <w:r>
              <w:rPr>
                <w:color w:val="0D0D0D" w:themeColor="text1" w:themeTint="F2"/>
                <w:spacing w:val="-2"/>
                <w:lang w:val="en"/>
              </w:rPr>
              <w:t>n CZK</w:t>
            </w:r>
            <w:r w:rsidRPr="002813FB">
              <w:rPr>
                <w:color w:val="0D0D0D" w:themeColor="text1" w:themeTint="F2"/>
                <w:spacing w:val="-2"/>
                <w:lang w:val="en"/>
              </w:rPr>
              <w:t>). Slightly more than 40% of this year's planned investments have already been implemented</w:t>
            </w:r>
            <w:r w:rsidRPr="00B131B0">
              <w:rPr>
                <w:rStyle w:val="Znakapoznpodarou"/>
                <w:color w:val="0D0D0D" w:themeColor="text1" w:themeTint="F2"/>
                <w:spacing w:val="-2"/>
              </w:rPr>
              <w:footnoteReference w:id="38"/>
            </w:r>
            <w:r w:rsidRPr="002813FB">
              <w:rPr>
                <w:color w:val="0D0D0D" w:themeColor="text1" w:themeTint="F2"/>
                <w:spacing w:val="-2"/>
                <w:lang w:val="en"/>
              </w:rPr>
              <w:t xml:space="preserve">. The growth </w:t>
            </w:r>
            <w:r>
              <w:rPr>
                <w:color w:val="0D0D0D" w:themeColor="text1" w:themeTint="F2"/>
                <w:spacing w:val="-2"/>
                <w:lang w:val="en"/>
              </w:rPr>
              <w:t>of</w:t>
            </w:r>
            <w:r w:rsidRPr="002813FB">
              <w:rPr>
                <w:color w:val="0D0D0D" w:themeColor="text1" w:themeTint="F2"/>
                <w:spacing w:val="-2"/>
                <w:lang w:val="en"/>
              </w:rPr>
              <w:t xml:space="preserve"> investment was mainly of a general-purpose nature – it was most evident in investment purchases (+75%), mainly due to the strengthening of internal and external security of the state and also the acquisition of real estate. However, transfers to state funds (+12.8 b</w:t>
            </w:r>
            <w:r>
              <w:rPr>
                <w:color w:val="0D0D0D" w:themeColor="text1" w:themeTint="F2"/>
                <w:spacing w:val="-2"/>
                <w:lang w:val="en"/>
              </w:rPr>
              <w:t>n CZK</w:t>
            </w:r>
            <w:r w:rsidRPr="002813FB">
              <w:rPr>
                <w:color w:val="0D0D0D" w:themeColor="text1" w:themeTint="F2"/>
                <w:spacing w:val="-2"/>
                <w:lang w:val="en"/>
              </w:rPr>
              <w:t>), primarily to transport infrastructure</w:t>
            </w:r>
            <w:r w:rsidRPr="00B131B0">
              <w:rPr>
                <w:rStyle w:val="Znakapoznpodarou"/>
                <w:color w:val="0D0D0D" w:themeColor="text1" w:themeTint="F2"/>
                <w:spacing w:val="-2"/>
              </w:rPr>
              <w:footnoteReference w:id="39"/>
            </w:r>
            <w:r w:rsidRPr="002813FB">
              <w:rPr>
                <w:color w:val="0D0D0D" w:themeColor="text1" w:themeTint="F2"/>
                <w:spacing w:val="-2"/>
                <w:lang w:val="en"/>
              </w:rPr>
              <w:t xml:space="preserve">, contributed the most to the strengthening of total investment. In addition, investments in local governments and entrepreneurs in terms of volume also increased rapidly (with a relatively high level of implementation). These were related to the development of the drawdown of European funds. On the </w:t>
            </w:r>
            <w:r>
              <w:rPr>
                <w:color w:val="0D0D0D" w:themeColor="text1" w:themeTint="F2"/>
                <w:spacing w:val="-2"/>
                <w:lang w:val="en"/>
              </w:rPr>
              <w:t>contrary</w:t>
            </w:r>
            <w:r w:rsidRPr="002813FB">
              <w:rPr>
                <w:color w:val="0D0D0D" w:themeColor="text1" w:themeTint="F2"/>
                <w:spacing w:val="-2"/>
                <w:lang w:val="en"/>
              </w:rPr>
              <w:t>, their drawdown has been slower so far this year for contributory organizations, especially universities. Total investments accounted for 8.6% of all S</w:t>
            </w:r>
            <w:r>
              <w:rPr>
                <w:color w:val="0D0D0D" w:themeColor="text1" w:themeTint="F2"/>
                <w:spacing w:val="-2"/>
                <w:lang w:val="en"/>
              </w:rPr>
              <w:t xml:space="preserve">B </w:t>
            </w:r>
            <w:r w:rsidRPr="002813FB">
              <w:rPr>
                <w:color w:val="0D0D0D" w:themeColor="text1" w:themeTint="F2"/>
                <w:spacing w:val="-2"/>
                <w:lang w:val="en"/>
              </w:rPr>
              <w:t xml:space="preserve">expenditure in </w:t>
            </w:r>
            <w:r>
              <w:rPr>
                <w:color w:val="0D0D0D" w:themeColor="text1" w:themeTint="F2"/>
                <w:spacing w:val="-2"/>
                <w:lang w:val="en"/>
              </w:rPr>
              <w:t xml:space="preserve">H1 this </w:t>
            </w:r>
            <w:r w:rsidRPr="002813FB">
              <w:rPr>
                <w:color w:val="0D0D0D" w:themeColor="text1" w:themeTint="F2"/>
                <w:spacing w:val="-2"/>
                <w:lang w:val="en"/>
              </w:rPr>
              <w:t>year.</w:t>
            </w:r>
          </w:p>
          <w:p w14:paraId="76DA57B1" w14:textId="77777777" w:rsidR="00917A40" w:rsidRPr="00FB0B0C" w:rsidRDefault="00917A40" w:rsidP="00D60677">
            <w:pPr>
              <w:spacing w:after="0"/>
              <w:rPr>
                <w:color w:val="0D0D0D" w:themeColor="text1" w:themeTint="F2"/>
                <w:spacing w:val="-4"/>
              </w:rPr>
            </w:pPr>
            <w:r>
              <w:rPr>
                <w:color w:val="0D0D0D" w:themeColor="text1" w:themeTint="F2"/>
                <w:spacing w:val="-2"/>
                <w:lang w:val="en"/>
              </w:rPr>
              <w:t xml:space="preserve"> </w:t>
            </w:r>
          </w:p>
        </w:tc>
      </w:tr>
      <w:tr w:rsidR="00917A40" w:rsidRPr="00B131B0" w14:paraId="4C48AFAE" w14:textId="77777777" w:rsidTr="00D60677">
        <w:trPr>
          <w:trHeight w:val="170"/>
        </w:trPr>
        <w:tc>
          <w:tcPr>
            <w:tcW w:w="1803" w:type="dxa"/>
            <w:tcMar>
              <w:left w:w="0" w:type="dxa"/>
            </w:tcMar>
          </w:tcPr>
          <w:p w14:paraId="409F1F57" w14:textId="77777777" w:rsidR="00917A40" w:rsidRPr="00B131B0" w:rsidRDefault="00917A40" w:rsidP="00D60677">
            <w:pPr>
              <w:pStyle w:val="Marginlie"/>
              <w:rPr>
                <w:color w:val="0D0D0D" w:themeColor="text1" w:themeTint="F2"/>
                <w:spacing w:val="0"/>
              </w:rPr>
            </w:pPr>
            <w:r w:rsidRPr="00FB0B0C">
              <w:t xml:space="preserve">The Czech Republic's revenues from the EU budget strengthened thanks to higher drawdowns from the Structural Funds and also from the Recovery Instrument. The Czech Republic remained in the position of a net beneficiary in relation to the </w:t>
            </w:r>
            <w:r>
              <w:t>EU.</w:t>
            </w:r>
          </w:p>
        </w:tc>
        <w:tc>
          <w:tcPr>
            <w:tcW w:w="203" w:type="dxa"/>
            <w:tcMar>
              <w:left w:w="0" w:type="dxa"/>
            </w:tcMar>
          </w:tcPr>
          <w:p w14:paraId="338229AB" w14:textId="77777777" w:rsidR="00917A40" w:rsidRPr="00B131B0" w:rsidRDefault="00917A40" w:rsidP="00D60677">
            <w:pPr>
              <w:pStyle w:val="Textpoznpodarou"/>
              <w:jc w:val="both"/>
              <w:rPr>
                <w:color w:val="0D0D0D" w:themeColor="text1" w:themeTint="F2"/>
              </w:rPr>
            </w:pPr>
          </w:p>
        </w:tc>
        <w:tc>
          <w:tcPr>
            <w:tcW w:w="7663" w:type="dxa"/>
            <w:tcMar>
              <w:left w:w="0" w:type="dxa"/>
            </w:tcMar>
          </w:tcPr>
          <w:p w14:paraId="23854F87" w14:textId="77777777" w:rsidR="00917A40" w:rsidRPr="00B131B0" w:rsidRDefault="00917A40" w:rsidP="00D60677">
            <w:pPr>
              <w:spacing w:after="0"/>
              <w:rPr>
                <w:color w:val="0D0D0D" w:themeColor="text1" w:themeTint="F2"/>
                <w:spacing w:val="-4"/>
              </w:rPr>
            </w:pPr>
            <w:r w:rsidRPr="00FB0B0C">
              <w:rPr>
                <w:color w:val="0D0D0D" w:themeColor="text1" w:themeTint="F2"/>
                <w:spacing w:val="-4"/>
              </w:rPr>
              <w:t>The Czech Republic's total revenues from the EU budget (excluding the EU Recovery Instrument or the National Recovery Plan</w:t>
            </w:r>
            <w:r w:rsidRPr="00B131B0">
              <w:rPr>
                <w:rStyle w:val="Znakapoznpodarou"/>
              </w:rPr>
              <w:footnoteReference w:id="40"/>
            </w:r>
            <w:r w:rsidRPr="00FB0B0C">
              <w:rPr>
                <w:color w:val="0D0D0D" w:themeColor="text1" w:themeTint="F2"/>
                <w:spacing w:val="-4"/>
              </w:rPr>
              <w:t xml:space="preserve"> – NPO) increased by almost a fifth</w:t>
            </w:r>
            <w:r>
              <w:rPr>
                <w:color w:val="0D0D0D" w:themeColor="text1" w:themeTint="F2"/>
                <w:spacing w:val="-4"/>
              </w:rPr>
              <w:t>,</w:t>
            </w:r>
            <w:r w:rsidRPr="00FB0B0C">
              <w:rPr>
                <w:color w:val="0D0D0D" w:themeColor="text1" w:themeTint="F2"/>
                <w:spacing w:val="-4"/>
              </w:rPr>
              <w:t xml:space="preserve"> year-on-year</w:t>
            </w:r>
            <w:r>
              <w:rPr>
                <w:color w:val="0D0D0D" w:themeColor="text1" w:themeTint="F2"/>
                <w:spacing w:val="-4"/>
              </w:rPr>
              <w:t xml:space="preserve">, </w:t>
            </w:r>
            <w:r w:rsidRPr="00FB0B0C">
              <w:rPr>
                <w:color w:val="0D0D0D" w:themeColor="text1" w:themeTint="F2"/>
                <w:spacing w:val="-4"/>
              </w:rPr>
              <w:t xml:space="preserve">in </w:t>
            </w:r>
            <w:r>
              <w:rPr>
                <w:color w:val="0D0D0D" w:themeColor="text1" w:themeTint="F2"/>
                <w:spacing w:val="-4"/>
              </w:rPr>
              <w:t xml:space="preserve">H1 </w:t>
            </w:r>
            <w:r w:rsidRPr="00FB0B0C">
              <w:rPr>
                <w:color w:val="0D0D0D" w:themeColor="text1" w:themeTint="F2"/>
                <w:spacing w:val="-4"/>
              </w:rPr>
              <w:t>this year (to 65.7 b</w:t>
            </w:r>
            <w:r>
              <w:rPr>
                <w:color w:val="0D0D0D" w:themeColor="text1" w:themeTint="F2"/>
                <w:spacing w:val="-4"/>
              </w:rPr>
              <w:t>n CZK</w:t>
            </w:r>
            <w:r w:rsidRPr="00FB0B0C">
              <w:rPr>
                <w:color w:val="0D0D0D" w:themeColor="text1" w:themeTint="F2"/>
                <w:spacing w:val="-4"/>
              </w:rPr>
              <w:t>), almost exclusively thanks to the Structural Funds (+ 14.3 b</w:t>
            </w:r>
            <w:r>
              <w:rPr>
                <w:color w:val="0D0D0D" w:themeColor="text1" w:themeTint="F2"/>
                <w:spacing w:val="-4"/>
              </w:rPr>
              <w:t>n CZK</w:t>
            </w:r>
            <w:r w:rsidRPr="00FB0B0C">
              <w:rPr>
                <w:color w:val="0D0D0D" w:themeColor="text1" w:themeTint="F2"/>
                <w:spacing w:val="-4"/>
              </w:rPr>
              <w:t xml:space="preserve">). On the </w:t>
            </w:r>
            <w:r>
              <w:rPr>
                <w:color w:val="0D0D0D" w:themeColor="text1" w:themeTint="F2"/>
                <w:spacing w:val="-4"/>
              </w:rPr>
              <w:t>contrary,</w:t>
            </w:r>
            <w:r w:rsidRPr="00FB0B0C">
              <w:rPr>
                <w:color w:val="0D0D0D" w:themeColor="text1" w:themeTint="F2"/>
                <w:spacing w:val="-4"/>
              </w:rPr>
              <w:t xml:space="preserve"> the Czech Republic received a fifth less from the Cohesion Fund than last year, and the decline in agricultural allocation (especially for direct payments) was also an order of magnitude smaller. The Czech Republic's total contributions to the EU budget have reached 45.8 b</w:t>
            </w:r>
            <w:r>
              <w:rPr>
                <w:color w:val="0D0D0D" w:themeColor="text1" w:themeTint="F2"/>
                <w:spacing w:val="-4"/>
              </w:rPr>
              <w:t xml:space="preserve">n CZK </w:t>
            </w:r>
            <w:r w:rsidRPr="00FB0B0C">
              <w:rPr>
                <w:color w:val="0D0D0D" w:themeColor="text1" w:themeTint="F2"/>
                <w:spacing w:val="-4"/>
              </w:rPr>
              <w:t>so far this year, and since their percentage growth was more than twice as high as revenues, the Czech Republic's net position vis-à-vis the EU budget (excluding NPO) deteriorated slightly</w:t>
            </w:r>
            <w:r>
              <w:rPr>
                <w:color w:val="0D0D0D" w:themeColor="text1" w:themeTint="F2"/>
                <w:spacing w:val="-4"/>
              </w:rPr>
              <w:t>,</w:t>
            </w:r>
            <w:r w:rsidRPr="00FB0B0C">
              <w:rPr>
                <w:color w:val="0D0D0D" w:themeColor="text1" w:themeTint="F2"/>
                <w:spacing w:val="-4"/>
              </w:rPr>
              <w:t xml:space="preserve"> year-on-year (however, a positive balance of +19.9 b</w:t>
            </w:r>
            <w:r>
              <w:rPr>
                <w:color w:val="0D0D0D" w:themeColor="text1" w:themeTint="F2"/>
                <w:spacing w:val="-4"/>
              </w:rPr>
              <w:t xml:space="preserve">n CZK </w:t>
            </w:r>
            <w:r w:rsidRPr="00FB0B0C">
              <w:rPr>
                <w:color w:val="0D0D0D" w:themeColor="text1" w:themeTint="F2"/>
                <w:spacing w:val="-4"/>
              </w:rPr>
              <w:t>was still reported). If we also include the funds from the NPO that the Czech Republic has been receiving since 2021, the total positive balance with the EU this year would amount to 38.2 b</w:t>
            </w:r>
            <w:r>
              <w:rPr>
                <w:color w:val="0D0D0D" w:themeColor="text1" w:themeTint="F2"/>
                <w:spacing w:val="-4"/>
              </w:rPr>
              <w:t xml:space="preserve">n CZK </w:t>
            </w:r>
            <w:r w:rsidRPr="00FB0B0C">
              <w:rPr>
                <w:color w:val="0D0D0D" w:themeColor="text1" w:themeTint="F2"/>
                <w:spacing w:val="-4"/>
              </w:rPr>
              <w:t>(the highest in the last three years).</w:t>
            </w:r>
          </w:p>
        </w:tc>
      </w:tr>
    </w:tbl>
    <w:p w14:paraId="1B88848C" w14:textId="77777777" w:rsidR="00917A40" w:rsidRPr="002319F2" w:rsidRDefault="00917A40" w:rsidP="00917A40">
      <w:pPr>
        <w:pStyle w:val="Nadpis1"/>
        <w:rPr>
          <w:sz w:val="6"/>
          <w:szCs w:val="6"/>
        </w:rPr>
      </w:pPr>
    </w:p>
    <w:p w14:paraId="66911CC6" w14:textId="021FCF45" w:rsidR="00A50D73" w:rsidRDefault="00A50D73" w:rsidP="009324EF">
      <w:pPr>
        <w:pStyle w:val="Nadpis1"/>
      </w:pPr>
    </w:p>
    <w:sectPr w:rsidR="00A50D73" w:rsidSect="004016D6">
      <w:headerReference w:type="even" r:id="rId14"/>
      <w:headerReference w:type="default" r:id="rId15"/>
      <w:footerReference w:type="even" r:id="rId16"/>
      <w:footerReference w:type="default" r:id="rId17"/>
      <w:pgSz w:w="11906" w:h="16838" w:code="9"/>
      <w:pgMar w:top="1134" w:right="1134" w:bottom="1418" w:left="1134" w:header="680" w:footer="680" w:gutter="0"/>
      <w:pgNumType w:start="4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E954B" w14:textId="77777777" w:rsidR="00557239" w:rsidRPr="00B131B0" w:rsidRDefault="00557239" w:rsidP="00E71A58">
      <w:r w:rsidRPr="00B131B0">
        <w:separator/>
      </w:r>
    </w:p>
  </w:endnote>
  <w:endnote w:type="continuationSeparator" w:id="0">
    <w:p w14:paraId="5FFB8B64" w14:textId="77777777" w:rsidR="00557239" w:rsidRPr="00B131B0" w:rsidRDefault="00557239" w:rsidP="00E71A58">
      <w:r w:rsidRPr="00B131B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36754" w14:textId="600D31C7" w:rsidR="00763B85" w:rsidRPr="00B131B0" w:rsidRDefault="00763B85" w:rsidP="00A418BC">
    <w:pPr>
      <w:pStyle w:val="Zpat"/>
      <w:rPr>
        <w:noProof w:val="0"/>
        <w:szCs w:val="16"/>
        <w:lang w:val="en-GB"/>
      </w:rPr>
    </w:pPr>
    <w:r w:rsidRPr="00B131B0">
      <w:rPr>
        <w:noProof w:val="0"/>
        <w:szCs w:val="16"/>
        <w:lang w:val="en-GB"/>
      </w:rPr>
      <w:fldChar w:fldCharType="begin"/>
    </w:r>
    <w:r w:rsidRPr="00B131B0">
      <w:rPr>
        <w:noProof w:val="0"/>
        <w:szCs w:val="16"/>
        <w:lang w:val="en-GB"/>
      </w:rPr>
      <w:instrText>PAGE   \* MERGEFORMAT</w:instrText>
    </w:r>
    <w:r w:rsidRPr="00B131B0">
      <w:rPr>
        <w:noProof w:val="0"/>
        <w:szCs w:val="16"/>
        <w:lang w:val="en-GB"/>
      </w:rPr>
      <w:fldChar w:fldCharType="separate"/>
    </w:r>
    <w:r w:rsidR="00C35666" w:rsidRPr="00B131B0">
      <w:rPr>
        <w:noProof w:val="0"/>
        <w:szCs w:val="16"/>
        <w:lang w:val="en-GB"/>
      </w:rPr>
      <w:t>8</w:t>
    </w:r>
    <w:r w:rsidRPr="00B131B0">
      <w:rPr>
        <w:noProof w:val="0"/>
        <w:szCs w:val="16"/>
        <w:lang w:val="en-GB"/>
      </w:rPr>
      <w:fldChar w:fldCharType="end"/>
    </w:r>
    <w:r w:rsidRPr="00B131B0">
      <w:rPr>
        <w:noProof w:val="0"/>
        <w:szCs w:val="16"/>
        <w:lang w:val="en-GB"/>
      </w:rPr>
      <w:tab/>
    </w:r>
    <w:r w:rsidR="00E92DFE" w:rsidRPr="00B131B0">
      <w:rPr>
        <w:noProof w:val="0"/>
        <w:szCs w:val="16"/>
        <w:lang w:val="en-GB"/>
      </w:rPr>
      <w:t xml:space="preserve">First half of </w:t>
    </w:r>
    <w:r w:rsidR="009203C8" w:rsidRPr="00B131B0">
      <w:rPr>
        <w:noProof w:val="0"/>
        <w:szCs w:val="16"/>
        <w:lang w:val="en-GB"/>
      </w:rPr>
      <w:t>2026</w:t>
    </w:r>
    <w:r w:rsidR="002B4121" w:rsidRPr="00B131B0">
      <w:rPr>
        <w:noProof w:val="0"/>
        <w:szCs w:val="16"/>
        <w:lang w:val="en-GB"/>
      </w:rPr>
      <w:tab/>
    </w:r>
    <w:r w:rsidR="00966AEE" w:rsidRPr="00B131B0">
      <w:rPr>
        <w:noProof w:val="0"/>
        <w:szCs w:val="16"/>
        <w:lang w:val="en-GB"/>
      </w:rPr>
      <w:t>CZSO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FA4F" w14:textId="23B79C87" w:rsidR="00763B85" w:rsidRPr="00B131B0" w:rsidRDefault="00964F1A" w:rsidP="00A418BC">
    <w:pPr>
      <w:pStyle w:val="Zpat"/>
      <w:rPr>
        <w:noProof w:val="0"/>
        <w:szCs w:val="16"/>
        <w:lang w:val="en-GB"/>
      </w:rPr>
    </w:pPr>
    <w:r w:rsidRPr="00B131B0">
      <w:rPr>
        <w:noProof w:val="0"/>
        <w:szCs w:val="16"/>
        <w:lang w:val="en-GB"/>
      </w:rPr>
      <w:t>CZSO</w:t>
    </w:r>
    <w:r w:rsidR="00763B85" w:rsidRPr="00B131B0">
      <w:rPr>
        <w:noProof w:val="0"/>
        <w:szCs w:val="16"/>
        <w:lang w:val="en-GB"/>
      </w:rPr>
      <w:tab/>
    </w:r>
    <w:r w:rsidRPr="00B131B0">
      <w:rPr>
        <w:noProof w:val="0"/>
        <w:szCs w:val="16"/>
        <w:lang w:val="en-GB"/>
      </w:rPr>
      <w:t xml:space="preserve">First half of </w:t>
    </w:r>
    <w:r w:rsidR="009203C8" w:rsidRPr="00B131B0">
      <w:rPr>
        <w:noProof w:val="0"/>
        <w:szCs w:val="16"/>
        <w:lang w:val="en-GB"/>
      </w:rPr>
      <w:t>2026</w:t>
    </w:r>
    <w:r w:rsidR="00763B85" w:rsidRPr="00B131B0">
      <w:rPr>
        <w:noProof w:val="0"/>
        <w:szCs w:val="16"/>
        <w:lang w:val="en-GB"/>
      </w:rPr>
      <w:tab/>
    </w:r>
    <w:r w:rsidR="00763B85" w:rsidRPr="00B131B0">
      <w:rPr>
        <w:rStyle w:val="ZpatChar"/>
        <w:noProof w:val="0"/>
        <w:szCs w:val="16"/>
        <w:lang w:val="en-GB"/>
      </w:rPr>
      <w:fldChar w:fldCharType="begin"/>
    </w:r>
    <w:r w:rsidR="00763B85" w:rsidRPr="00B131B0">
      <w:rPr>
        <w:rStyle w:val="ZpatChar"/>
        <w:noProof w:val="0"/>
        <w:szCs w:val="16"/>
        <w:lang w:val="en-GB"/>
      </w:rPr>
      <w:instrText>PAGE   \* MERGEFORMAT</w:instrText>
    </w:r>
    <w:r w:rsidR="00763B85" w:rsidRPr="00B131B0">
      <w:rPr>
        <w:rStyle w:val="ZpatChar"/>
        <w:noProof w:val="0"/>
        <w:szCs w:val="16"/>
        <w:lang w:val="en-GB"/>
      </w:rPr>
      <w:fldChar w:fldCharType="separate"/>
    </w:r>
    <w:r w:rsidR="00C35666" w:rsidRPr="00B131B0">
      <w:rPr>
        <w:rStyle w:val="ZpatChar"/>
        <w:noProof w:val="0"/>
        <w:szCs w:val="16"/>
        <w:lang w:val="en-GB"/>
      </w:rPr>
      <w:t>3</w:t>
    </w:r>
    <w:r w:rsidR="00763B85" w:rsidRPr="00B131B0">
      <w:rPr>
        <w:rStyle w:val="ZpatChar"/>
        <w:noProof w:val="0"/>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E374A" w14:textId="77777777" w:rsidR="00557239" w:rsidRPr="00B131B0" w:rsidRDefault="00557239" w:rsidP="00BB2F43">
      <w:pPr>
        <w:pStyle w:val="Zpat"/>
        <w:rPr>
          <w:noProof w:val="0"/>
          <w:lang w:val="en-GB"/>
        </w:rPr>
      </w:pPr>
      <w:r w:rsidRPr="00B131B0">
        <w:rPr>
          <w:noProof w:val="0"/>
          <w:lang w:val="en-GB"/>
        </w:rPr>
        <w:separator/>
      </w:r>
    </w:p>
  </w:footnote>
  <w:footnote w:type="continuationSeparator" w:id="0">
    <w:p w14:paraId="0A306F93" w14:textId="77777777" w:rsidR="00557239" w:rsidRPr="00B131B0" w:rsidRDefault="00557239" w:rsidP="00E71A58">
      <w:r w:rsidRPr="00B131B0">
        <w:continuationSeparator/>
      </w:r>
    </w:p>
  </w:footnote>
  <w:footnote w:id="1">
    <w:p w14:paraId="5D19A2BF" w14:textId="77777777" w:rsidR="00917A40" w:rsidRPr="0027788C" w:rsidRDefault="00917A40" w:rsidP="00917A40">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Unless stated otherwise, data regarding the budget balance of sector VI in the CR are expressed in nominal terms and without seasonal adjustment.</w:t>
      </w:r>
      <w:r>
        <w:rPr>
          <w:color w:val="0D0D0D" w:themeColor="text1" w:themeTint="F2"/>
          <w:sz w:val="16"/>
          <w:szCs w:val="16"/>
        </w:rPr>
        <w:t xml:space="preserve"> </w:t>
      </w:r>
    </w:p>
  </w:footnote>
  <w:footnote w:id="2">
    <w:p w14:paraId="3B8570C0" w14:textId="77777777" w:rsidR="00917A40" w:rsidRPr="0027788C" w:rsidRDefault="00917A40" w:rsidP="00917A40">
      <w:pPr>
        <w:pStyle w:val="Textpoznpodarou"/>
        <w:rPr>
          <w:color w:val="0D0D0D" w:themeColor="text1" w:themeTint="F2"/>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Data regarding the budget of government institutions for Q2 2025 will be published by the CZSO on 1</w:t>
      </w:r>
      <w:r w:rsidRPr="005042B1">
        <w:rPr>
          <w:color w:val="0D0D0D" w:themeColor="text1" w:themeTint="F2"/>
          <w:sz w:val="16"/>
          <w:szCs w:val="16"/>
          <w:vertAlign w:val="superscript"/>
        </w:rPr>
        <w:t>st</w:t>
      </w:r>
      <w:r w:rsidRPr="005042B1">
        <w:rPr>
          <w:color w:val="0D0D0D" w:themeColor="text1" w:themeTint="F2"/>
          <w:sz w:val="16"/>
          <w:szCs w:val="16"/>
        </w:rPr>
        <w:t xml:space="preserve"> October 202</w:t>
      </w:r>
      <w:r>
        <w:rPr>
          <w:color w:val="0D0D0D" w:themeColor="text1" w:themeTint="F2"/>
          <w:sz w:val="16"/>
          <w:szCs w:val="16"/>
        </w:rPr>
        <w:t>6</w:t>
      </w:r>
      <w:r w:rsidRPr="005042B1">
        <w:rPr>
          <w:color w:val="0D0D0D" w:themeColor="text1" w:themeTint="F2"/>
          <w:sz w:val="16"/>
          <w:szCs w:val="16"/>
        </w:rPr>
        <w:t>, Eurostat subsequently on behalf of the Union member states on 21</w:t>
      </w:r>
      <w:r w:rsidRPr="005042B1">
        <w:rPr>
          <w:color w:val="0D0D0D" w:themeColor="text1" w:themeTint="F2"/>
          <w:sz w:val="16"/>
          <w:szCs w:val="16"/>
          <w:vertAlign w:val="superscript"/>
        </w:rPr>
        <w:t>st</w:t>
      </w:r>
      <w:r w:rsidRPr="005042B1">
        <w:rPr>
          <w:color w:val="0D0D0D" w:themeColor="text1" w:themeTint="F2"/>
          <w:sz w:val="16"/>
          <w:szCs w:val="16"/>
        </w:rPr>
        <w:t xml:space="preserve"> October. More detailed assessment of the domestic development for Q1 202</w:t>
      </w:r>
      <w:r>
        <w:rPr>
          <w:color w:val="0D0D0D" w:themeColor="text1" w:themeTint="F2"/>
          <w:sz w:val="16"/>
          <w:szCs w:val="16"/>
        </w:rPr>
        <w:t>6</w:t>
      </w:r>
      <w:r w:rsidRPr="005042B1">
        <w:rPr>
          <w:color w:val="0D0D0D" w:themeColor="text1" w:themeTint="F2"/>
          <w:sz w:val="16"/>
          <w:szCs w:val="16"/>
        </w:rPr>
        <w:t xml:space="preserve"> is offered in the publication Analysis of the sector accounts: </w:t>
      </w:r>
      <w:hyperlink r:id="rId1" w:history="1">
        <w:r w:rsidRPr="0027788C">
          <w:rPr>
            <w:rStyle w:val="Hypertextovodkaz"/>
            <w:i/>
            <w:color w:val="0D0D0D" w:themeColor="text1" w:themeTint="F2"/>
            <w:sz w:val="16"/>
            <w:szCs w:val="16"/>
            <w:lang w:val="en-US"/>
          </w:rPr>
          <w:t>Analýza sektorových účtů</w:t>
        </w:r>
      </w:hyperlink>
      <w:r w:rsidRPr="0027788C">
        <w:rPr>
          <w:color w:val="0D0D0D" w:themeColor="text1" w:themeTint="F2"/>
          <w:sz w:val="16"/>
          <w:szCs w:val="16"/>
          <w:lang w:val="en-US"/>
        </w:rPr>
        <w:t>.</w:t>
      </w:r>
    </w:p>
  </w:footnote>
  <w:footnote w:id="3">
    <w:p w14:paraId="094336CB" w14:textId="77777777" w:rsidR="00917A40" w:rsidRPr="0027788C" w:rsidRDefault="00917A40" w:rsidP="00917A40">
      <w:pPr>
        <w:pStyle w:val="Textpoznpodarou"/>
        <w:rPr>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5042B1">
        <w:rPr>
          <w:color w:val="0D0D0D" w:themeColor="text1" w:themeTint="F2"/>
          <w:sz w:val="16"/>
          <w:szCs w:val="16"/>
        </w:rPr>
        <w:t>This deterioration was solely due to the subsector of local government institutions, whose operating surplus decreased by almost two-thirds</w:t>
      </w:r>
      <w:r>
        <w:rPr>
          <w:color w:val="0D0D0D" w:themeColor="text1" w:themeTint="F2"/>
          <w:sz w:val="16"/>
          <w:szCs w:val="16"/>
        </w:rPr>
        <w:t>,</w:t>
      </w:r>
      <w:r w:rsidRPr="005042B1">
        <w:rPr>
          <w:color w:val="0D0D0D" w:themeColor="text1" w:themeTint="F2"/>
          <w:sz w:val="16"/>
          <w:szCs w:val="16"/>
        </w:rPr>
        <w:t xml:space="preserve"> year-on-year, to 12 b</w:t>
      </w:r>
      <w:r>
        <w:rPr>
          <w:color w:val="0D0D0D" w:themeColor="text1" w:themeTint="F2"/>
          <w:sz w:val="16"/>
          <w:szCs w:val="16"/>
        </w:rPr>
        <w:t>n CZK</w:t>
      </w:r>
      <w:r w:rsidRPr="005042B1">
        <w:rPr>
          <w:color w:val="0D0D0D" w:themeColor="text1" w:themeTint="F2"/>
          <w:sz w:val="16"/>
          <w:szCs w:val="16"/>
        </w:rPr>
        <w:t xml:space="preserve">, mainly due to a </w:t>
      </w:r>
      <w:r>
        <w:rPr>
          <w:color w:val="0D0D0D" w:themeColor="text1" w:themeTint="F2"/>
          <w:sz w:val="16"/>
          <w:szCs w:val="16"/>
        </w:rPr>
        <w:t xml:space="preserve">reduction of </w:t>
      </w:r>
      <w:r w:rsidRPr="005042B1">
        <w:rPr>
          <w:color w:val="0D0D0D" w:themeColor="text1" w:themeTint="F2"/>
          <w:sz w:val="16"/>
          <w:szCs w:val="16"/>
        </w:rPr>
        <w:t xml:space="preserve">subsidies to regional education (total revenues of this subsector fell at the same time, for the first time in 14 years in Q1). On the </w:t>
      </w:r>
      <w:r>
        <w:rPr>
          <w:color w:val="0D0D0D" w:themeColor="text1" w:themeTint="F2"/>
          <w:sz w:val="16"/>
          <w:szCs w:val="16"/>
        </w:rPr>
        <w:t>contrary</w:t>
      </w:r>
      <w:r w:rsidRPr="005042B1">
        <w:rPr>
          <w:color w:val="0D0D0D" w:themeColor="text1" w:themeTint="F2"/>
          <w:sz w:val="16"/>
          <w:szCs w:val="16"/>
        </w:rPr>
        <w:t>, the deficit of central government institutions, which has traditionally contributed dominantly to the deterioration of the balance of sector VI in recent years, narrowed by a sixth</w:t>
      </w:r>
      <w:r>
        <w:rPr>
          <w:color w:val="0D0D0D" w:themeColor="text1" w:themeTint="F2"/>
          <w:sz w:val="16"/>
          <w:szCs w:val="16"/>
        </w:rPr>
        <w:t>,</w:t>
      </w:r>
      <w:r w:rsidRPr="005042B1">
        <w:rPr>
          <w:color w:val="0D0D0D" w:themeColor="text1" w:themeTint="F2"/>
          <w:sz w:val="16"/>
          <w:szCs w:val="16"/>
        </w:rPr>
        <w:t xml:space="preserve"> year-on-year</w:t>
      </w:r>
      <w:r>
        <w:rPr>
          <w:color w:val="0D0D0D" w:themeColor="text1" w:themeTint="F2"/>
          <w:sz w:val="16"/>
          <w:szCs w:val="16"/>
        </w:rPr>
        <w:t>,</w:t>
      </w:r>
      <w:r w:rsidRPr="005042B1">
        <w:rPr>
          <w:color w:val="0D0D0D" w:themeColor="text1" w:themeTint="F2"/>
          <w:sz w:val="16"/>
          <w:szCs w:val="16"/>
        </w:rPr>
        <w:t xml:space="preserve"> to 83 b</w:t>
      </w:r>
      <w:r>
        <w:rPr>
          <w:color w:val="0D0D0D" w:themeColor="text1" w:themeTint="F2"/>
          <w:sz w:val="16"/>
          <w:szCs w:val="16"/>
        </w:rPr>
        <w:t xml:space="preserve">n CZK </w:t>
      </w:r>
      <w:r w:rsidRPr="005042B1">
        <w:rPr>
          <w:color w:val="0D0D0D" w:themeColor="text1" w:themeTint="F2"/>
          <w:sz w:val="16"/>
          <w:szCs w:val="16"/>
        </w:rPr>
        <w:t>(the best result in the last four years). The very slight deficit of health insurance companies did not change significantly</w:t>
      </w:r>
      <w:r>
        <w:rPr>
          <w:color w:val="0D0D0D" w:themeColor="text1" w:themeTint="F2"/>
          <w:sz w:val="16"/>
          <w:szCs w:val="16"/>
        </w:rPr>
        <w:t>,</w:t>
      </w:r>
      <w:r w:rsidRPr="005042B1">
        <w:rPr>
          <w:color w:val="0D0D0D" w:themeColor="text1" w:themeTint="F2"/>
          <w:sz w:val="16"/>
          <w:szCs w:val="16"/>
        </w:rPr>
        <w:t xml:space="preserve"> year-on-year.</w:t>
      </w:r>
      <w:r w:rsidRPr="0027788C">
        <w:rPr>
          <w:color w:val="0D0D0D" w:themeColor="text1" w:themeTint="F2"/>
          <w:sz w:val="16"/>
          <w:szCs w:val="16"/>
          <w:lang w:val="en-US"/>
        </w:rPr>
        <w:t xml:space="preserve"> </w:t>
      </w:r>
    </w:p>
  </w:footnote>
  <w:footnote w:id="4">
    <w:p w14:paraId="7299B05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5042B1">
        <w:rPr>
          <w:sz w:val="16"/>
          <w:szCs w:val="16"/>
          <w:lang w:val="en"/>
        </w:rPr>
        <w:t>In recent years, they have accounted for more than a fifth of all government expenditure. Slightly more than half of the compensation paid is consistently accounted for by employees of local government institutions (52 to 53%).</w:t>
      </w:r>
    </w:p>
  </w:footnote>
  <w:footnote w:id="5">
    <w:p w14:paraId="0D0E9BA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5042B1">
        <w:rPr>
          <w:sz w:val="16"/>
          <w:szCs w:val="16"/>
        </w:rPr>
        <w:t>These include, for example, subsidies provided to cover operating and current losses of business entities, financial support intended for the reduction of mining or the closure of redundant production capacity, as well as contributions and support to enterprises employing persons with a changed ability to work. On the other hand, this does not include subsidies for products, the volume of which continued to grow rapidly in Q1 (+10%).</w:t>
      </w:r>
    </w:p>
  </w:footnote>
  <w:footnote w:id="6">
    <w:p w14:paraId="04750E96" w14:textId="77777777" w:rsidR="00917A40" w:rsidRPr="0027788C" w:rsidRDefault="00917A40" w:rsidP="00917A40">
      <w:pPr>
        <w:pStyle w:val="Textpoznpodarou"/>
        <w:rPr>
          <w:sz w:val="16"/>
          <w:szCs w:val="16"/>
          <w:lang w:val="en-US"/>
        </w:rPr>
      </w:pPr>
      <w:r w:rsidRPr="00B131B0">
        <w:rPr>
          <w:rStyle w:val="Znakapoznpodarou"/>
          <w:color w:val="0D0D0D" w:themeColor="text1" w:themeTint="F2"/>
          <w:sz w:val="16"/>
          <w:szCs w:val="16"/>
        </w:rPr>
        <w:footnoteRef/>
      </w:r>
      <w:r w:rsidRPr="0027788C">
        <w:rPr>
          <w:color w:val="0D0D0D" w:themeColor="text1" w:themeTint="F2"/>
          <w:sz w:val="16"/>
          <w:szCs w:val="16"/>
          <w:lang w:val="en-US"/>
        </w:rPr>
        <w:t xml:space="preserve"> </w:t>
      </w:r>
      <w:r w:rsidRPr="00086700">
        <w:rPr>
          <w:color w:val="0D0D0D" w:themeColor="text1" w:themeTint="F2"/>
          <w:sz w:val="16"/>
          <w:szCs w:val="16"/>
        </w:rPr>
        <w:t xml:space="preserve">All the </w:t>
      </w:r>
      <w:r>
        <w:rPr>
          <w:color w:val="0D0D0D" w:themeColor="text1" w:themeTint="F2"/>
          <w:sz w:val="16"/>
          <w:szCs w:val="16"/>
        </w:rPr>
        <w:t xml:space="preserve">below given </w:t>
      </w:r>
      <w:r w:rsidRPr="00086700">
        <w:rPr>
          <w:color w:val="0D0D0D" w:themeColor="text1" w:themeTint="F2"/>
          <w:sz w:val="16"/>
          <w:szCs w:val="16"/>
        </w:rPr>
        <w:t xml:space="preserve">figures for income, expenses and balance are expressed after seasonal and calendar adjustment. </w:t>
      </w:r>
    </w:p>
  </w:footnote>
  <w:footnote w:id="7">
    <w:p w14:paraId="19BD529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DD39A2">
        <w:rPr>
          <w:sz w:val="16"/>
          <w:szCs w:val="16"/>
        </w:rPr>
        <w:t xml:space="preserve">This is the </w:t>
      </w:r>
      <w:r>
        <w:rPr>
          <w:sz w:val="16"/>
          <w:szCs w:val="16"/>
        </w:rPr>
        <w:t xml:space="preserve">trigger </w:t>
      </w:r>
      <w:r w:rsidRPr="00DD39A2">
        <w:rPr>
          <w:sz w:val="16"/>
          <w:szCs w:val="16"/>
        </w:rPr>
        <w:t xml:space="preserve">of the so-called </w:t>
      </w:r>
      <w:r>
        <w:rPr>
          <w:sz w:val="16"/>
          <w:szCs w:val="16"/>
        </w:rPr>
        <w:t>E</w:t>
      </w:r>
      <w:r w:rsidRPr="00DD39A2">
        <w:rPr>
          <w:sz w:val="16"/>
          <w:szCs w:val="16"/>
        </w:rPr>
        <w:t>xcessive deficit procedure for breach</w:t>
      </w:r>
      <w:r>
        <w:rPr>
          <w:sz w:val="16"/>
          <w:szCs w:val="16"/>
        </w:rPr>
        <w:t>ing</w:t>
      </w:r>
      <w:r w:rsidRPr="00DD39A2">
        <w:rPr>
          <w:sz w:val="16"/>
          <w:szCs w:val="16"/>
        </w:rPr>
        <w:t xml:space="preserve"> of </w:t>
      </w:r>
      <w:r>
        <w:rPr>
          <w:sz w:val="16"/>
          <w:szCs w:val="16"/>
        </w:rPr>
        <w:t xml:space="preserve">fiscal </w:t>
      </w:r>
      <w:r w:rsidRPr="00DD39A2">
        <w:rPr>
          <w:sz w:val="16"/>
          <w:szCs w:val="16"/>
        </w:rPr>
        <w:t>rules. This standard procedure was resumed after a temporary interruption between 2020 and 2023 (due to the COVID-19 pandemic). Romania, Hungary, Slovakia, Poland, Austria, Italy, France, Belgium and, this year, Finland and Bulgaria are currently facing this process.</w:t>
      </w:r>
    </w:p>
  </w:footnote>
  <w:footnote w:id="8">
    <w:p w14:paraId="0F15D98D"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DD39A2">
        <w:rPr>
          <w:sz w:val="16"/>
          <w:szCs w:val="16"/>
        </w:rPr>
        <w:t>The nominal amount of debt in the EU alone stood at €15.705 trillion at the end of Q1 this year, up 2.1%</w:t>
      </w:r>
      <w:r>
        <w:rPr>
          <w:sz w:val="16"/>
          <w:szCs w:val="16"/>
        </w:rPr>
        <w:t>,</w:t>
      </w:r>
      <w:r w:rsidRPr="00DD39A2">
        <w:rPr>
          <w:sz w:val="16"/>
          <w:szCs w:val="16"/>
        </w:rPr>
        <w:t xml:space="preserve"> quarter-on-quarter.</w:t>
      </w:r>
      <w:r w:rsidRPr="0027788C">
        <w:rPr>
          <w:sz w:val="16"/>
          <w:szCs w:val="16"/>
          <w:lang w:val="en-US"/>
        </w:rPr>
        <w:t xml:space="preserve"> </w:t>
      </w:r>
    </w:p>
  </w:footnote>
  <w:footnote w:id="9">
    <w:p w14:paraId="5447AB45"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F6FFF">
        <w:rPr>
          <w:sz w:val="16"/>
          <w:szCs w:val="16"/>
        </w:rPr>
        <w:t>Nominal debt of general government institutions in the Czech Republic increased by 292.6 b</w:t>
      </w:r>
      <w:r>
        <w:rPr>
          <w:sz w:val="16"/>
          <w:szCs w:val="16"/>
        </w:rPr>
        <w:t xml:space="preserve">n CZK, </w:t>
      </w:r>
      <w:r w:rsidRPr="002F6FFF">
        <w:rPr>
          <w:sz w:val="16"/>
          <w:szCs w:val="16"/>
        </w:rPr>
        <w:t>year-on-year</w:t>
      </w:r>
      <w:r>
        <w:rPr>
          <w:sz w:val="16"/>
          <w:szCs w:val="16"/>
        </w:rPr>
        <w:t>,</w:t>
      </w:r>
      <w:r w:rsidRPr="002F6FFF">
        <w:rPr>
          <w:sz w:val="16"/>
          <w:szCs w:val="16"/>
        </w:rPr>
        <w:t xml:space="preserve"> to 3,827.9 b</w:t>
      </w:r>
      <w:r>
        <w:rPr>
          <w:sz w:val="16"/>
          <w:szCs w:val="16"/>
        </w:rPr>
        <w:t>n CZK</w:t>
      </w:r>
      <w:r w:rsidRPr="002F6FFF">
        <w:rPr>
          <w:sz w:val="16"/>
          <w:szCs w:val="16"/>
        </w:rPr>
        <w:t>, representing the only factor contributing (+3.3 p</w:t>
      </w:r>
      <w:r>
        <w:rPr>
          <w:sz w:val="16"/>
          <w:szCs w:val="16"/>
        </w:rPr>
        <w:t>. p.</w:t>
      </w:r>
      <w:r w:rsidRPr="002F6FFF">
        <w:rPr>
          <w:sz w:val="16"/>
          <w:szCs w:val="16"/>
        </w:rPr>
        <w:t xml:space="preserve">) to the year-on-year </w:t>
      </w:r>
      <w:r>
        <w:rPr>
          <w:sz w:val="16"/>
          <w:szCs w:val="16"/>
        </w:rPr>
        <w:t>growth</w:t>
      </w:r>
      <w:r w:rsidRPr="002F6FFF">
        <w:rPr>
          <w:sz w:val="16"/>
          <w:szCs w:val="16"/>
        </w:rPr>
        <w:t xml:space="preserve"> </w:t>
      </w:r>
      <w:r>
        <w:rPr>
          <w:sz w:val="16"/>
          <w:szCs w:val="16"/>
        </w:rPr>
        <w:t>of</w:t>
      </w:r>
      <w:r w:rsidRPr="002F6FFF">
        <w:rPr>
          <w:sz w:val="16"/>
          <w:szCs w:val="16"/>
        </w:rPr>
        <w:t xml:space="preserve"> the debt ratio. On the </w:t>
      </w:r>
      <w:r>
        <w:rPr>
          <w:sz w:val="16"/>
          <w:szCs w:val="16"/>
        </w:rPr>
        <w:t>contrary,</w:t>
      </w:r>
      <w:r w:rsidRPr="002F6FFF">
        <w:rPr>
          <w:sz w:val="16"/>
          <w:szCs w:val="16"/>
        </w:rPr>
        <w:t xml:space="preserve"> rising nominal GDP reduced indebtedness (</w:t>
      </w:r>
      <w:r w:rsidRPr="00370686">
        <w:rPr>
          <w:rFonts w:cs="Arial"/>
          <w:color w:val="0D0D0D" w:themeColor="text1" w:themeTint="F2"/>
          <w:spacing w:val="-4"/>
          <w:sz w:val="16"/>
          <w:szCs w:val="16"/>
        </w:rPr>
        <w:t>−</w:t>
      </w:r>
      <w:r w:rsidRPr="002F6FFF">
        <w:rPr>
          <w:sz w:val="16"/>
          <w:szCs w:val="16"/>
        </w:rPr>
        <w:t>2.5 p</w:t>
      </w:r>
      <w:r>
        <w:rPr>
          <w:sz w:val="16"/>
          <w:szCs w:val="16"/>
        </w:rPr>
        <w:t>. p.</w:t>
      </w:r>
      <w:r w:rsidRPr="002F6FFF">
        <w:rPr>
          <w:sz w:val="16"/>
          <w:szCs w:val="16"/>
        </w:rPr>
        <w:t>).</w:t>
      </w:r>
      <w:r>
        <w:rPr>
          <w:sz w:val="16"/>
          <w:szCs w:val="16"/>
        </w:rPr>
        <w:t xml:space="preserve"> </w:t>
      </w:r>
    </w:p>
  </w:footnote>
  <w:footnote w:id="10">
    <w:p w14:paraId="5C8266FB"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F6FFF">
        <w:rPr>
          <w:sz w:val="16"/>
          <w:szCs w:val="16"/>
        </w:rPr>
        <w:t xml:space="preserve">It has held this unflattering primacy since </w:t>
      </w:r>
      <w:r>
        <w:rPr>
          <w:sz w:val="16"/>
          <w:szCs w:val="16"/>
        </w:rPr>
        <w:t xml:space="preserve">Q2 </w:t>
      </w:r>
      <w:r w:rsidRPr="002F6FFF">
        <w:rPr>
          <w:sz w:val="16"/>
          <w:szCs w:val="16"/>
        </w:rPr>
        <w:t>2008, when it surpassed Italy in the position of the most indebted EU country (in the current definition).</w:t>
      </w:r>
    </w:p>
  </w:footnote>
  <w:footnote w:id="11">
    <w:p w14:paraId="11B5A12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rPr>
        <w:t>Its debt was still the highest in the available series since 2000. Finland, Poland, Romania and Luxembourg were in the same situation.</w:t>
      </w:r>
    </w:p>
  </w:footnote>
  <w:footnote w:id="12">
    <w:p w14:paraId="7FF2F85A" w14:textId="77777777" w:rsidR="00917A40" w:rsidRPr="0027788C" w:rsidRDefault="00917A40" w:rsidP="00917A40">
      <w:pPr>
        <w:pStyle w:val="Textpoznpodarou"/>
        <w:jc w:val="both"/>
        <w:rPr>
          <w:sz w:val="16"/>
          <w:szCs w:val="16"/>
          <w:lang w:val="en-US"/>
        </w:rPr>
      </w:pPr>
      <w:r w:rsidRPr="00B131B0">
        <w:rPr>
          <w:rStyle w:val="Znakapoznpodarou"/>
          <w:spacing w:val="-2"/>
          <w:sz w:val="16"/>
          <w:szCs w:val="16"/>
        </w:rPr>
        <w:footnoteRef/>
      </w:r>
      <w:r w:rsidRPr="0027788C">
        <w:rPr>
          <w:spacing w:val="-2"/>
          <w:sz w:val="16"/>
          <w:szCs w:val="16"/>
          <w:lang w:val="en-US"/>
        </w:rPr>
        <w:t xml:space="preserve"> </w:t>
      </w:r>
      <w:r w:rsidRPr="00221763">
        <w:rPr>
          <w:spacing w:val="-2"/>
          <w:sz w:val="16"/>
          <w:szCs w:val="16"/>
        </w:rPr>
        <w:t xml:space="preserve">Unless stated otherwise, all data related to the state budget stem from the data of the Ministry of Finance (MF) of the CR regarding the treasury fulfilment. </w:t>
      </w:r>
    </w:p>
  </w:footnote>
  <w:footnote w:id="13">
    <w:p w14:paraId="272E8996" w14:textId="77777777" w:rsidR="00917A40" w:rsidRPr="0027788C" w:rsidRDefault="00917A40" w:rsidP="00917A40">
      <w:pPr>
        <w:pStyle w:val="Textpoznpodarou"/>
        <w:rPr>
          <w:lang w:val="en-US"/>
        </w:rPr>
      </w:pPr>
      <w:r w:rsidRPr="00B131B0">
        <w:rPr>
          <w:rStyle w:val="Znakapoznpodarou"/>
          <w:sz w:val="16"/>
          <w:szCs w:val="16"/>
        </w:rPr>
        <w:footnoteRef/>
      </w:r>
      <w:r w:rsidRPr="0027788C">
        <w:rPr>
          <w:sz w:val="16"/>
          <w:szCs w:val="16"/>
          <w:lang w:val="en-US"/>
        </w:rPr>
        <w:t xml:space="preserve"> </w:t>
      </w:r>
      <w:r w:rsidRPr="00221763">
        <w:rPr>
          <w:sz w:val="16"/>
          <w:szCs w:val="16"/>
        </w:rPr>
        <w:t>These are funds for programmes from the EU budget and Financial Mechanisms pre-financed by the S</w:t>
      </w:r>
      <w:r>
        <w:rPr>
          <w:sz w:val="16"/>
          <w:szCs w:val="16"/>
        </w:rPr>
        <w:t xml:space="preserve">B </w:t>
      </w:r>
      <w:r w:rsidRPr="00221763">
        <w:rPr>
          <w:sz w:val="16"/>
          <w:szCs w:val="16"/>
        </w:rPr>
        <w:t xml:space="preserve">and </w:t>
      </w:r>
      <w:r>
        <w:rPr>
          <w:sz w:val="16"/>
          <w:szCs w:val="16"/>
        </w:rPr>
        <w:t xml:space="preserve">subsequently </w:t>
      </w:r>
      <w:r w:rsidRPr="00221763">
        <w:rPr>
          <w:sz w:val="16"/>
          <w:szCs w:val="16"/>
        </w:rPr>
        <w:t>reimbursed from these sources.</w:t>
      </w:r>
    </w:p>
  </w:footnote>
  <w:footnote w:id="14">
    <w:p w14:paraId="3F6100C1"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Pr>
          <w:sz w:val="16"/>
          <w:szCs w:val="16"/>
        </w:rPr>
        <w:t>T</w:t>
      </w:r>
      <w:r w:rsidRPr="00221763">
        <w:rPr>
          <w:sz w:val="16"/>
          <w:szCs w:val="16"/>
        </w:rPr>
        <w:t>he deficit adjusted in this way reached 203.6 b</w:t>
      </w:r>
      <w:r>
        <w:rPr>
          <w:sz w:val="16"/>
          <w:szCs w:val="16"/>
        </w:rPr>
        <w:t>n CZK in H1 2026</w:t>
      </w:r>
      <w:r w:rsidRPr="00221763">
        <w:rPr>
          <w:sz w:val="16"/>
          <w:szCs w:val="16"/>
        </w:rPr>
        <w:t xml:space="preserve">, a year earlier it was </w:t>
      </w:r>
      <w:r>
        <w:rPr>
          <w:sz w:val="16"/>
          <w:szCs w:val="16"/>
        </w:rPr>
        <w:t>“</w:t>
      </w:r>
      <w:r w:rsidRPr="00221763">
        <w:rPr>
          <w:sz w:val="16"/>
          <w:szCs w:val="16"/>
        </w:rPr>
        <w:t>only</w:t>
      </w:r>
      <w:r>
        <w:rPr>
          <w:sz w:val="16"/>
          <w:szCs w:val="16"/>
        </w:rPr>
        <w:t>”</w:t>
      </w:r>
      <w:r w:rsidRPr="00221763">
        <w:rPr>
          <w:sz w:val="16"/>
          <w:szCs w:val="16"/>
        </w:rPr>
        <w:t xml:space="preserve"> 150.8 b</w:t>
      </w:r>
      <w:r>
        <w:rPr>
          <w:sz w:val="16"/>
          <w:szCs w:val="16"/>
        </w:rPr>
        <w:t>n CZK</w:t>
      </w:r>
      <w:r w:rsidRPr="00221763">
        <w:rPr>
          <w:sz w:val="16"/>
          <w:szCs w:val="16"/>
        </w:rPr>
        <w:t>.</w:t>
      </w:r>
    </w:p>
  </w:footnote>
  <w:footnote w:id="15">
    <w:p w14:paraId="0766CDF9"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E16B15">
        <w:rPr>
          <w:sz w:val="16"/>
          <w:szCs w:val="16"/>
          <w:lang w:val="en"/>
        </w:rPr>
        <w:t xml:space="preserve">Since January 2026, the state's share </w:t>
      </w:r>
      <w:r>
        <w:rPr>
          <w:sz w:val="16"/>
          <w:szCs w:val="16"/>
          <w:lang w:val="en"/>
        </w:rPr>
        <w:t>on</w:t>
      </w:r>
      <w:r w:rsidRPr="00E16B15">
        <w:rPr>
          <w:sz w:val="16"/>
          <w:szCs w:val="16"/>
          <w:lang w:val="en"/>
        </w:rPr>
        <w:t xml:space="preserve"> VAT revenues and corporate and personal income has decreased by 2.55 p.</w:t>
      </w:r>
      <w:r>
        <w:rPr>
          <w:sz w:val="16"/>
          <w:szCs w:val="16"/>
          <w:lang w:val="en"/>
        </w:rPr>
        <w:t xml:space="preserve"> </w:t>
      </w:r>
      <w:r w:rsidRPr="00E16B15">
        <w:rPr>
          <w:sz w:val="16"/>
          <w:szCs w:val="16"/>
          <w:lang w:val="en"/>
        </w:rPr>
        <w:t>p. in favor of municipalities and regions, which had a negative impact on S</w:t>
      </w:r>
      <w:r>
        <w:rPr>
          <w:sz w:val="16"/>
          <w:szCs w:val="16"/>
          <w:lang w:val="en"/>
        </w:rPr>
        <w:t xml:space="preserve">B </w:t>
      </w:r>
      <w:r w:rsidRPr="00E16B15">
        <w:rPr>
          <w:sz w:val="16"/>
          <w:szCs w:val="16"/>
          <w:lang w:val="en"/>
        </w:rPr>
        <w:t>in the amount of 16.7 b</w:t>
      </w:r>
      <w:r>
        <w:rPr>
          <w:sz w:val="16"/>
          <w:szCs w:val="16"/>
          <w:lang w:val="en"/>
        </w:rPr>
        <w:t xml:space="preserve">n CZK </w:t>
      </w:r>
      <w:r w:rsidRPr="00E16B15">
        <w:rPr>
          <w:sz w:val="16"/>
          <w:szCs w:val="16"/>
          <w:lang w:val="en"/>
        </w:rPr>
        <w:t xml:space="preserve">at the end of June. In the previous two years, on the other hand, </w:t>
      </w:r>
      <w:r>
        <w:rPr>
          <w:sz w:val="16"/>
          <w:szCs w:val="16"/>
          <w:lang w:val="en"/>
        </w:rPr>
        <w:t xml:space="preserve">the SB </w:t>
      </w:r>
      <w:r w:rsidRPr="00E16B15">
        <w:rPr>
          <w:sz w:val="16"/>
          <w:szCs w:val="16"/>
          <w:lang w:val="en"/>
        </w:rPr>
        <w:t xml:space="preserve">benefited from the change </w:t>
      </w:r>
      <w:r>
        <w:rPr>
          <w:sz w:val="16"/>
          <w:szCs w:val="16"/>
          <w:lang w:val="en"/>
        </w:rPr>
        <w:t>of</w:t>
      </w:r>
      <w:r w:rsidRPr="00E16B15">
        <w:rPr>
          <w:sz w:val="16"/>
          <w:szCs w:val="16"/>
          <w:lang w:val="en"/>
        </w:rPr>
        <w:t xml:space="preserve"> the budget allocation of taxes (e.g. for the whole of 2025, according to the Ministry of Finance's estimate, 13.3 b</w:t>
      </w:r>
      <w:r>
        <w:rPr>
          <w:sz w:val="16"/>
          <w:szCs w:val="16"/>
          <w:lang w:val="en"/>
        </w:rPr>
        <w:t>n CZK</w:t>
      </w:r>
      <w:r w:rsidRPr="00E16B15">
        <w:rPr>
          <w:sz w:val="16"/>
          <w:szCs w:val="16"/>
          <w:lang w:val="en"/>
        </w:rPr>
        <w:t>).</w:t>
      </w:r>
      <w:r>
        <w:rPr>
          <w:sz w:val="16"/>
          <w:szCs w:val="16"/>
          <w:lang w:val="en"/>
        </w:rPr>
        <w:t xml:space="preserve"> </w:t>
      </w:r>
    </w:p>
  </w:footnote>
  <w:footnote w:id="16">
    <w:p w14:paraId="0DF8857A"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lang w:val="en"/>
        </w:rPr>
        <w:t xml:space="preserve">The provisional budget was terminated on 20 March this year, with the entry into force of the Act on the State Budget of the Czech Republic for 2026. </w:t>
      </w:r>
      <w:r>
        <w:rPr>
          <w:sz w:val="16"/>
          <w:szCs w:val="16"/>
          <w:lang w:val="en"/>
        </w:rPr>
        <w:t>T</w:t>
      </w:r>
      <w:r w:rsidRPr="00221763">
        <w:rPr>
          <w:sz w:val="16"/>
          <w:szCs w:val="16"/>
          <w:lang w:val="en"/>
        </w:rPr>
        <w:t xml:space="preserve">he domestic state budget also operated under the provisional budget regime </w:t>
      </w:r>
      <w:r>
        <w:rPr>
          <w:sz w:val="16"/>
          <w:szCs w:val="16"/>
          <w:lang w:val="en"/>
        </w:rPr>
        <w:t xml:space="preserve">in the past </w:t>
      </w:r>
      <w:r w:rsidRPr="00221763">
        <w:rPr>
          <w:sz w:val="16"/>
          <w:szCs w:val="16"/>
          <w:lang w:val="en"/>
        </w:rPr>
        <w:t>at the beginning of 1999, 2000 and 2022.</w:t>
      </w:r>
    </w:p>
  </w:footnote>
  <w:footnote w:id="17">
    <w:p w14:paraId="12255FC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21763">
        <w:rPr>
          <w:sz w:val="16"/>
          <w:szCs w:val="16"/>
        </w:rPr>
        <w:t xml:space="preserve">The </w:t>
      </w:r>
      <w:r>
        <w:rPr>
          <w:sz w:val="16"/>
          <w:szCs w:val="16"/>
        </w:rPr>
        <w:t xml:space="preserve">Act on the </w:t>
      </w:r>
      <w:r w:rsidRPr="00221763">
        <w:rPr>
          <w:sz w:val="16"/>
          <w:szCs w:val="16"/>
        </w:rPr>
        <w:t xml:space="preserve">State Budget for 2026 (based on the Ministry of Finance's macroeconomic forecast of January 2026) envisaged an increase </w:t>
      </w:r>
      <w:r>
        <w:rPr>
          <w:sz w:val="16"/>
          <w:szCs w:val="16"/>
        </w:rPr>
        <w:t>of</w:t>
      </w:r>
      <w:r w:rsidRPr="00221763">
        <w:rPr>
          <w:sz w:val="16"/>
          <w:szCs w:val="16"/>
        </w:rPr>
        <w:t xml:space="preserve"> total revenues </w:t>
      </w:r>
      <w:r>
        <w:rPr>
          <w:sz w:val="16"/>
          <w:szCs w:val="16"/>
        </w:rPr>
        <w:t>by</w:t>
      </w:r>
      <w:r w:rsidRPr="00221763">
        <w:rPr>
          <w:sz w:val="16"/>
          <w:szCs w:val="16"/>
        </w:rPr>
        <w:t xml:space="preserve"> 1.8% and expenditure </w:t>
      </w:r>
      <w:r>
        <w:rPr>
          <w:sz w:val="16"/>
          <w:szCs w:val="16"/>
        </w:rPr>
        <w:t>by</w:t>
      </w:r>
      <w:r w:rsidRPr="00221763">
        <w:rPr>
          <w:sz w:val="16"/>
          <w:szCs w:val="16"/>
        </w:rPr>
        <w:t xml:space="preserve"> 2.4% for this year compared to last year. The budget deficit should amount to 310 b</w:t>
      </w:r>
      <w:r>
        <w:rPr>
          <w:sz w:val="16"/>
          <w:szCs w:val="16"/>
        </w:rPr>
        <w:t>n CZK</w:t>
      </w:r>
      <w:r w:rsidRPr="00221763">
        <w:rPr>
          <w:sz w:val="16"/>
          <w:szCs w:val="16"/>
        </w:rPr>
        <w:t>, which is a deficit 19.3 b</w:t>
      </w:r>
      <w:r>
        <w:rPr>
          <w:sz w:val="16"/>
          <w:szCs w:val="16"/>
        </w:rPr>
        <w:t xml:space="preserve">n </w:t>
      </w:r>
      <w:r w:rsidRPr="00221763">
        <w:rPr>
          <w:sz w:val="16"/>
          <w:szCs w:val="16"/>
        </w:rPr>
        <w:t xml:space="preserve">higher than the deficit </w:t>
      </w:r>
      <w:r>
        <w:rPr>
          <w:sz w:val="16"/>
          <w:szCs w:val="16"/>
        </w:rPr>
        <w:t xml:space="preserve">actually </w:t>
      </w:r>
      <w:r w:rsidRPr="00221763">
        <w:rPr>
          <w:sz w:val="16"/>
          <w:szCs w:val="16"/>
        </w:rPr>
        <w:t>achieved in 2025.</w:t>
      </w:r>
    </w:p>
  </w:footnote>
  <w:footnote w:id="18">
    <w:p w14:paraId="3ED73F1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056EE3">
        <w:rPr>
          <w:sz w:val="16"/>
          <w:szCs w:val="16"/>
        </w:rPr>
        <w:t>However, nationwide tax collection (taking into account revenues at the level of all public budgets) increased by 5.0% (even by 8.1% after deducting the above-mentioned extraordinary corporate taxes) and thus grew at a slightly higher pace than in the total for last year.</w:t>
      </w:r>
    </w:p>
  </w:footnote>
  <w:footnote w:id="19">
    <w:p w14:paraId="629B1B6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056EE3">
        <w:rPr>
          <w:sz w:val="16"/>
          <w:szCs w:val="16"/>
          <w:lang w:val="en"/>
        </w:rPr>
        <w:t xml:space="preserve">At the beginning of this year, the intensity of the pre-stocking of tobacco products by retailers was not nearly as strong as in the previous two years. Longer-term changes in the structure of consumption (a shift to alternative, so far relatively less taxed tobacco products) and probably also the persistently higher popularity of cross-border purchases (especially in Poland) </w:t>
      </w:r>
      <w:r>
        <w:rPr>
          <w:sz w:val="16"/>
          <w:szCs w:val="16"/>
          <w:lang w:val="en"/>
        </w:rPr>
        <w:t>likely</w:t>
      </w:r>
      <w:r w:rsidRPr="00056EE3">
        <w:rPr>
          <w:sz w:val="16"/>
          <w:szCs w:val="16"/>
          <w:lang w:val="en"/>
        </w:rPr>
        <w:t xml:space="preserve"> had an impact.</w:t>
      </w:r>
    </w:p>
  </w:footnote>
  <w:footnote w:id="20">
    <w:p w14:paraId="73765EE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lang w:val="en"/>
        </w:rPr>
        <w:t>Of these, the total collection of tax on mineral oils increased by only 1.5%</w:t>
      </w:r>
      <w:r>
        <w:rPr>
          <w:sz w:val="16"/>
          <w:szCs w:val="16"/>
          <w:lang w:val="en"/>
        </w:rPr>
        <w:t>,</w:t>
      </w:r>
      <w:r w:rsidRPr="006D47A4">
        <w:rPr>
          <w:sz w:val="16"/>
          <w:szCs w:val="16"/>
          <w:lang w:val="en"/>
        </w:rPr>
        <w:t xml:space="preserve"> year-on-year</w:t>
      </w:r>
      <w:r>
        <w:rPr>
          <w:sz w:val="16"/>
          <w:szCs w:val="16"/>
          <w:lang w:val="en"/>
        </w:rPr>
        <w:t>, in Q2</w:t>
      </w:r>
      <w:r w:rsidRPr="006D47A4">
        <w:rPr>
          <w:sz w:val="16"/>
          <w:szCs w:val="16"/>
          <w:lang w:val="en"/>
        </w:rPr>
        <w:t xml:space="preserve"> (it was even decreasing</w:t>
      </w:r>
      <w:r>
        <w:rPr>
          <w:sz w:val="16"/>
          <w:szCs w:val="16"/>
          <w:lang w:val="en"/>
        </w:rPr>
        <w:t xml:space="preserve"> in June alone</w:t>
      </w:r>
      <w:r w:rsidRPr="006D47A4">
        <w:rPr>
          <w:sz w:val="16"/>
          <w:szCs w:val="16"/>
          <w:lang w:val="en"/>
        </w:rPr>
        <w:t>).</w:t>
      </w:r>
    </w:p>
  </w:footnote>
  <w:footnote w:id="21">
    <w:p w14:paraId="1F22ED9A"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 xml:space="preserve">These </w:t>
      </w:r>
      <w:r>
        <w:rPr>
          <w:sz w:val="16"/>
          <w:szCs w:val="16"/>
        </w:rPr>
        <w:t>m</w:t>
      </w:r>
      <w:r w:rsidRPr="006D47A4">
        <w:rPr>
          <w:sz w:val="16"/>
          <w:szCs w:val="16"/>
        </w:rPr>
        <w:t>ainly</w:t>
      </w:r>
      <w:r>
        <w:rPr>
          <w:sz w:val="16"/>
          <w:szCs w:val="16"/>
        </w:rPr>
        <w:t xml:space="preserve"> comprised of</w:t>
      </w:r>
      <w:r w:rsidRPr="006D47A4">
        <w:rPr>
          <w:sz w:val="16"/>
          <w:szCs w:val="16"/>
        </w:rPr>
        <w:t xml:space="preserve"> the reduction of the income threshold for the second, higher tax rate, the abolition or reduction of some tax reliefs.</w:t>
      </w:r>
    </w:p>
  </w:footnote>
  <w:footnote w:id="22">
    <w:p w14:paraId="1A01FD3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These are taxes on excess income and windfall profits. Their positive impact on the revenues of the S</w:t>
      </w:r>
      <w:r>
        <w:rPr>
          <w:sz w:val="16"/>
          <w:szCs w:val="16"/>
        </w:rPr>
        <w:t>B</w:t>
      </w:r>
      <w:r w:rsidRPr="006D47A4">
        <w:rPr>
          <w:sz w:val="16"/>
          <w:szCs w:val="16"/>
        </w:rPr>
        <w:t xml:space="preserve"> culminated in 2023. This year, it is already completely negligible (no further advances of these taxes are expected, only in the second half of this year the tax for 2025 will be equalized).</w:t>
      </w:r>
    </w:p>
  </w:footnote>
  <w:footnote w:id="23">
    <w:p w14:paraId="595B2F3E"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D47A4">
        <w:rPr>
          <w:sz w:val="16"/>
          <w:szCs w:val="16"/>
        </w:rPr>
        <w:t>This was reflected in particular in the April payment (in the amount of 17.0 b</w:t>
      </w:r>
      <w:r>
        <w:rPr>
          <w:sz w:val="16"/>
          <w:szCs w:val="16"/>
        </w:rPr>
        <w:t>n CZK</w:t>
      </w:r>
      <w:r w:rsidRPr="006D47A4">
        <w:rPr>
          <w:sz w:val="16"/>
          <w:szCs w:val="16"/>
        </w:rPr>
        <w:t>) received from the Recovery and Resilience Facility, which was created to support economies after the COVID-19 pandemic.</w:t>
      </w:r>
    </w:p>
  </w:footnote>
  <w:footnote w:id="24">
    <w:p w14:paraId="1A3053B0"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2D3023">
        <w:rPr>
          <w:sz w:val="16"/>
          <w:szCs w:val="16"/>
        </w:rPr>
        <w:t>This traditionally weight-important item accounted for 39.0% of all S</w:t>
      </w:r>
      <w:r>
        <w:rPr>
          <w:sz w:val="16"/>
          <w:szCs w:val="16"/>
        </w:rPr>
        <w:t xml:space="preserve">B </w:t>
      </w:r>
      <w:r w:rsidRPr="002D3023">
        <w:rPr>
          <w:sz w:val="16"/>
          <w:szCs w:val="16"/>
        </w:rPr>
        <w:t xml:space="preserve">expenditure in </w:t>
      </w:r>
      <w:r>
        <w:rPr>
          <w:sz w:val="16"/>
          <w:szCs w:val="16"/>
        </w:rPr>
        <w:t>H</w:t>
      </w:r>
      <w:r w:rsidRPr="002D3023">
        <w:rPr>
          <w:sz w:val="16"/>
          <w:szCs w:val="16"/>
        </w:rPr>
        <w:t>1</w:t>
      </w:r>
      <w:r>
        <w:rPr>
          <w:sz w:val="16"/>
          <w:szCs w:val="16"/>
        </w:rPr>
        <w:t xml:space="preserve"> </w:t>
      </w:r>
      <w:r w:rsidRPr="002D3023">
        <w:rPr>
          <w:sz w:val="16"/>
          <w:szCs w:val="16"/>
        </w:rPr>
        <w:t xml:space="preserve">2026. This </w:t>
      </w:r>
      <w:r>
        <w:rPr>
          <w:sz w:val="16"/>
          <w:szCs w:val="16"/>
        </w:rPr>
        <w:t xml:space="preserve">represented </w:t>
      </w:r>
      <w:r w:rsidRPr="002D3023">
        <w:rPr>
          <w:sz w:val="16"/>
          <w:szCs w:val="16"/>
        </w:rPr>
        <w:t>a comparable share to the previous two years and at the same time it did not differ significantly from the long-term average.</w:t>
      </w:r>
    </w:p>
  </w:footnote>
  <w:footnote w:id="25">
    <w:p w14:paraId="4B074B92" w14:textId="77777777" w:rsidR="00917A40" w:rsidRPr="0027788C" w:rsidRDefault="00917A40" w:rsidP="00917A40">
      <w:pPr>
        <w:pStyle w:val="Textpoznpodarou"/>
        <w:rPr>
          <w:sz w:val="16"/>
          <w:szCs w:val="16"/>
          <w:lang w:val="en-US"/>
        </w:rPr>
      </w:pPr>
      <w:r w:rsidRPr="00B131B0">
        <w:rPr>
          <w:rStyle w:val="Znakapoznpodarou"/>
          <w:sz w:val="16"/>
          <w:szCs w:val="16"/>
        </w:rPr>
        <w:footnoteRef/>
      </w:r>
      <w:r w:rsidRPr="0027788C">
        <w:rPr>
          <w:sz w:val="16"/>
          <w:szCs w:val="16"/>
          <w:lang w:val="en-US"/>
        </w:rPr>
        <w:t xml:space="preserve"> </w:t>
      </w:r>
      <w:r w:rsidRPr="00694375">
        <w:rPr>
          <w:sz w:val="16"/>
          <w:szCs w:val="16"/>
          <w:lang w:val="en"/>
        </w:rPr>
        <w:t xml:space="preserve">Of the categories of higher weight, only the number of disabled pensioners increased (+0.9%, especially in lower degrees of disability). The growth of permanently reduced old-age pensions remained relatively low (+0.8%, but these persons accounted for a full third of the total number of old-age pensioners). This was due to the approved stricter rules for early retirement (as of October 2024, the required insurance period increased from 35 to 40 years). In addition, further tightening had already taken place earlier: the maximum period of early retirement was reduced from 5 years to 3 years, the indexation of the percentage of early retirement until the </w:t>
      </w:r>
      <w:r>
        <w:rPr>
          <w:sz w:val="16"/>
          <w:szCs w:val="16"/>
          <w:lang w:val="en"/>
        </w:rPr>
        <w:t xml:space="preserve">full </w:t>
      </w:r>
      <w:r w:rsidRPr="00694375">
        <w:rPr>
          <w:sz w:val="16"/>
          <w:szCs w:val="16"/>
          <w:lang w:val="en"/>
        </w:rPr>
        <w:t xml:space="preserve">retirement age </w:t>
      </w:r>
      <w:r>
        <w:rPr>
          <w:sz w:val="16"/>
          <w:szCs w:val="16"/>
          <w:lang w:val="en"/>
        </w:rPr>
        <w:t xml:space="preserve">is reached </w:t>
      </w:r>
      <w:r w:rsidRPr="00694375">
        <w:rPr>
          <w:sz w:val="16"/>
          <w:szCs w:val="16"/>
          <w:lang w:val="en"/>
        </w:rPr>
        <w:t xml:space="preserve">was abolished, and the reduction </w:t>
      </w:r>
      <w:r>
        <w:rPr>
          <w:sz w:val="16"/>
          <w:szCs w:val="16"/>
          <w:lang w:val="en"/>
        </w:rPr>
        <w:t>of</w:t>
      </w:r>
      <w:r w:rsidRPr="00694375">
        <w:rPr>
          <w:sz w:val="16"/>
          <w:szCs w:val="16"/>
          <w:lang w:val="en"/>
        </w:rPr>
        <w:t xml:space="preserve"> the amount of pension for early retirement increased significantly. However, from 2026 onwards, they were followed by a milder (half) reduction for those who have reached 45 years or more of insurance. This has probably led to a recent increase in new applications for early retirement.</w:t>
      </w:r>
      <w:r>
        <w:rPr>
          <w:sz w:val="16"/>
          <w:szCs w:val="16"/>
          <w:lang w:val="en"/>
        </w:rPr>
        <w:t xml:space="preserve"> </w:t>
      </w:r>
    </w:p>
  </w:footnote>
  <w:footnote w:id="26">
    <w:p w14:paraId="71EB0890" w14:textId="77777777" w:rsidR="00917A40" w:rsidRPr="0027788C" w:rsidRDefault="00917A40" w:rsidP="00917A40">
      <w:pPr>
        <w:pStyle w:val="Textpoznpodarou"/>
        <w:rPr>
          <w:lang w:val="en-US"/>
        </w:rPr>
      </w:pPr>
      <w:r w:rsidRPr="00B131B0">
        <w:rPr>
          <w:rStyle w:val="Znakapoznpodarou"/>
          <w:sz w:val="16"/>
          <w:szCs w:val="16"/>
        </w:rPr>
        <w:footnoteRef/>
      </w:r>
      <w:r w:rsidRPr="0027788C">
        <w:rPr>
          <w:sz w:val="16"/>
          <w:szCs w:val="16"/>
          <w:lang w:val="en-US"/>
        </w:rPr>
        <w:t xml:space="preserve"> </w:t>
      </w:r>
      <w:r w:rsidRPr="00185A34">
        <w:rPr>
          <w:sz w:val="16"/>
          <w:szCs w:val="16"/>
        </w:rPr>
        <w:t>In June 2026, the average monthly old-age pension (excluding concurrence with other pensions) was higher by 3.5%, y</w:t>
      </w:r>
      <w:r>
        <w:rPr>
          <w:sz w:val="16"/>
          <w:szCs w:val="16"/>
        </w:rPr>
        <w:t>ear-on-year</w:t>
      </w:r>
      <w:r w:rsidRPr="00185A34">
        <w:rPr>
          <w:sz w:val="16"/>
          <w:szCs w:val="16"/>
        </w:rPr>
        <w:t>, and amounted to 21.8 thousand</w:t>
      </w:r>
      <w:r>
        <w:rPr>
          <w:sz w:val="16"/>
          <w:szCs w:val="16"/>
        </w:rPr>
        <w:t xml:space="preserve"> CZK</w:t>
      </w:r>
      <w:r w:rsidRPr="00185A34">
        <w:rPr>
          <w:sz w:val="16"/>
          <w:szCs w:val="16"/>
        </w:rPr>
        <w:t xml:space="preserve"> (23.1 thousand </w:t>
      </w:r>
      <w:r>
        <w:rPr>
          <w:sz w:val="16"/>
          <w:szCs w:val="16"/>
        </w:rPr>
        <w:t xml:space="preserve">CZK </w:t>
      </w:r>
      <w:r w:rsidRPr="00185A34">
        <w:rPr>
          <w:sz w:val="16"/>
          <w:szCs w:val="16"/>
        </w:rPr>
        <w:t>for m</w:t>
      </w:r>
      <w:r>
        <w:rPr>
          <w:sz w:val="16"/>
          <w:szCs w:val="16"/>
        </w:rPr>
        <w:t>ales</w:t>
      </w:r>
      <w:r w:rsidRPr="00185A34">
        <w:rPr>
          <w:sz w:val="16"/>
          <w:szCs w:val="16"/>
        </w:rPr>
        <w:t xml:space="preserve">, 20.6 thousand </w:t>
      </w:r>
      <w:r>
        <w:rPr>
          <w:sz w:val="16"/>
          <w:szCs w:val="16"/>
        </w:rPr>
        <w:t xml:space="preserve">CZK </w:t>
      </w:r>
      <w:r w:rsidRPr="00185A34">
        <w:rPr>
          <w:sz w:val="16"/>
          <w:szCs w:val="16"/>
        </w:rPr>
        <w:t xml:space="preserve">for </w:t>
      </w:r>
      <w:r>
        <w:rPr>
          <w:sz w:val="16"/>
          <w:szCs w:val="16"/>
        </w:rPr>
        <w:t>females</w:t>
      </w:r>
      <w:r w:rsidRPr="00185A34">
        <w:rPr>
          <w:sz w:val="16"/>
          <w:szCs w:val="16"/>
        </w:rPr>
        <w:t>).</w:t>
      </w:r>
    </w:p>
  </w:footnote>
  <w:footnote w:id="27">
    <w:p w14:paraId="60B46510" w14:textId="77777777" w:rsidR="00917A40" w:rsidRPr="00B003E4" w:rsidRDefault="00917A40" w:rsidP="00917A40">
      <w:pPr>
        <w:pStyle w:val="Textpoznpodarou"/>
        <w:rPr>
          <w:sz w:val="16"/>
          <w:szCs w:val="16"/>
        </w:rPr>
      </w:pPr>
      <w:r w:rsidRPr="00B131B0">
        <w:rPr>
          <w:rStyle w:val="Znakapoznpodarou"/>
          <w:sz w:val="16"/>
          <w:szCs w:val="16"/>
        </w:rPr>
        <w:footnoteRef/>
      </w:r>
      <w:r w:rsidRPr="0027788C">
        <w:rPr>
          <w:sz w:val="16"/>
          <w:szCs w:val="16"/>
          <w:lang w:val="en-US"/>
        </w:rPr>
        <w:t xml:space="preserve"> </w:t>
      </w:r>
      <w:r w:rsidRPr="00B003E4">
        <w:rPr>
          <w:sz w:val="16"/>
          <w:szCs w:val="16"/>
        </w:rPr>
        <w:t xml:space="preserve">From January 2026, the percentage rate decisive for calculating the benefit paid in the first months of unemployment has been raised. At the same time, the circle of persons entitled to support has also expanded (in relation to the reasons for the termination of the last employment relationship). </w:t>
      </w:r>
    </w:p>
  </w:footnote>
  <w:footnote w:id="28">
    <w:p w14:paraId="0395EE42" w14:textId="77777777" w:rsidR="00917A40" w:rsidRPr="00B003E4" w:rsidRDefault="00917A40" w:rsidP="00917A40">
      <w:pPr>
        <w:pStyle w:val="Textpoznpodarou"/>
        <w:rPr>
          <w:sz w:val="16"/>
          <w:szCs w:val="16"/>
        </w:rPr>
      </w:pPr>
      <w:r w:rsidRPr="00B003E4">
        <w:rPr>
          <w:rStyle w:val="Znakapoznpodarou"/>
          <w:sz w:val="16"/>
          <w:szCs w:val="16"/>
        </w:rPr>
        <w:footnoteRef/>
      </w:r>
      <w:r w:rsidRPr="00B003E4">
        <w:rPr>
          <w:sz w:val="16"/>
          <w:szCs w:val="16"/>
        </w:rPr>
        <w:t xml:space="preserve"> The number of job applicants entitled to support was thus higher by 14 thousand, year-on-year, at the end of June this year (it reached 97 thousand persons, or 27% of all registered applicants, and this share did not change significantly, year-on-year).</w:t>
      </w:r>
    </w:p>
  </w:footnote>
  <w:footnote w:id="29">
    <w:p w14:paraId="29E20C7B" w14:textId="77777777" w:rsidR="00917A40" w:rsidRPr="00B003E4" w:rsidRDefault="00917A40" w:rsidP="00917A40">
      <w:pPr>
        <w:pStyle w:val="Textpoznpodarou"/>
        <w:rPr>
          <w:sz w:val="16"/>
          <w:szCs w:val="16"/>
        </w:rPr>
      </w:pPr>
      <w:r w:rsidRPr="00B003E4">
        <w:rPr>
          <w:rStyle w:val="Znakapoznpodarou"/>
          <w:sz w:val="16"/>
          <w:szCs w:val="16"/>
        </w:rPr>
        <w:footnoteRef/>
      </w:r>
      <w:r w:rsidRPr="00B003E4">
        <w:rPr>
          <w:sz w:val="16"/>
          <w:szCs w:val="16"/>
        </w:rPr>
        <w:t xml:space="preserve"> On the </w:t>
      </w:r>
      <w:r>
        <w:rPr>
          <w:sz w:val="16"/>
          <w:szCs w:val="16"/>
        </w:rPr>
        <w:t>contrary</w:t>
      </w:r>
      <w:r w:rsidRPr="00B003E4">
        <w:rPr>
          <w:sz w:val="16"/>
          <w:szCs w:val="16"/>
        </w:rPr>
        <w:t xml:space="preserve">, the </w:t>
      </w:r>
      <w:r>
        <w:rPr>
          <w:sz w:val="16"/>
          <w:szCs w:val="16"/>
        </w:rPr>
        <w:t xml:space="preserve">total </w:t>
      </w:r>
      <w:r w:rsidRPr="00B003E4">
        <w:rPr>
          <w:sz w:val="16"/>
          <w:szCs w:val="16"/>
        </w:rPr>
        <w:t xml:space="preserve">sickness rate decreased. According to CSSA data, </w:t>
      </w:r>
      <w:r>
        <w:rPr>
          <w:sz w:val="16"/>
          <w:szCs w:val="16"/>
        </w:rPr>
        <w:t>t</w:t>
      </w:r>
      <w:r w:rsidRPr="00B003E4">
        <w:rPr>
          <w:sz w:val="16"/>
          <w:szCs w:val="16"/>
        </w:rPr>
        <w:t xml:space="preserve">he number of </w:t>
      </w:r>
      <w:r>
        <w:rPr>
          <w:sz w:val="16"/>
          <w:szCs w:val="16"/>
        </w:rPr>
        <w:t xml:space="preserve">absent </w:t>
      </w:r>
      <w:r w:rsidRPr="00B003E4">
        <w:rPr>
          <w:sz w:val="16"/>
          <w:szCs w:val="16"/>
        </w:rPr>
        <w:t>days</w:t>
      </w:r>
      <w:r>
        <w:rPr>
          <w:sz w:val="16"/>
          <w:szCs w:val="16"/>
        </w:rPr>
        <w:t xml:space="preserve"> </w:t>
      </w:r>
      <w:r w:rsidRPr="00B003E4">
        <w:rPr>
          <w:sz w:val="16"/>
          <w:szCs w:val="16"/>
        </w:rPr>
        <w:t>(due to temporary incapacity for work) decreased by 5.3%</w:t>
      </w:r>
      <w:r>
        <w:rPr>
          <w:sz w:val="16"/>
          <w:szCs w:val="16"/>
        </w:rPr>
        <w:t>,</w:t>
      </w:r>
      <w:r w:rsidRPr="00B003E4">
        <w:rPr>
          <w:sz w:val="16"/>
          <w:szCs w:val="16"/>
        </w:rPr>
        <w:t xml:space="preserve"> year-on-year</w:t>
      </w:r>
      <w:r>
        <w:rPr>
          <w:sz w:val="16"/>
          <w:szCs w:val="16"/>
        </w:rPr>
        <w:t xml:space="preserve">, in H1. </w:t>
      </w:r>
    </w:p>
  </w:footnote>
  <w:footnote w:id="30">
    <w:p w14:paraId="60058E7E" w14:textId="77777777" w:rsidR="00917A40" w:rsidRPr="00B003E4" w:rsidRDefault="00917A40" w:rsidP="00917A40">
      <w:pPr>
        <w:pStyle w:val="Textpoznpodarou"/>
        <w:rPr>
          <w:color w:val="0D0D0D" w:themeColor="text1" w:themeTint="F2"/>
          <w:sz w:val="16"/>
          <w:szCs w:val="16"/>
        </w:rPr>
      </w:pPr>
      <w:r w:rsidRPr="00B003E4">
        <w:rPr>
          <w:rStyle w:val="Znakapoznpodarou"/>
          <w:color w:val="0D0D0D" w:themeColor="text1" w:themeTint="F2"/>
          <w:sz w:val="16"/>
          <w:szCs w:val="16"/>
        </w:rPr>
        <w:footnoteRef/>
      </w:r>
      <w:r w:rsidRPr="00B003E4">
        <w:rPr>
          <w:color w:val="0D0D0D" w:themeColor="text1" w:themeTint="F2"/>
          <w:sz w:val="16"/>
          <w:szCs w:val="16"/>
        </w:rPr>
        <w:t xml:space="preserve"> This expresses the difference between income from sickness insurance premiums and expenditure on benefits from this insurance according to the ČSSZ's balance sheet.</w:t>
      </w:r>
    </w:p>
  </w:footnote>
  <w:footnote w:id="31">
    <w:p w14:paraId="5038605F" w14:textId="77777777" w:rsidR="00917A40" w:rsidRPr="00B003E4" w:rsidRDefault="00917A40" w:rsidP="00917A40">
      <w:pPr>
        <w:pStyle w:val="Textpoznpodarou"/>
        <w:rPr>
          <w:color w:val="0D0D0D" w:themeColor="text1" w:themeTint="F2"/>
          <w:sz w:val="16"/>
          <w:szCs w:val="16"/>
        </w:rPr>
      </w:pPr>
      <w:r w:rsidRPr="00B003E4">
        <w:rPr>
          <w:rStyle w:val="Znakapoznpodarou"/>
          <w:color w:val="0D0D0D" w:themeColor="text1" w:themeTint="F2"/>
          <w:sz w:val="16"/>
          <w:szCs w:val="16"/>
        </w:rPr>
        <w:footnoteRef/>
      </w:r>
      <w:r w:rsidRPr="00B003E4">
        <w:rPr>
          <w:color w:val="0D0D0D" w:themeColor="text1" w:themeTint="F2"/>
          <w:sz w:val="16"/>
          <w:szCs w:val="16"/>
        </w:rPr>
        <w:t xml:space="preserve"> </w:t>
      </w:r>
      <w:r>
        <w:rPr>
          <w:color w:val="0D0D0D" w:themeColor="text1" w:themeTint="F2"/>
          <w:sz w:val="16"/>
          <w:szCs w:val="16"/>
        </w:rPr>
        <w:t>T</w:t>
      </w:r>
      <w:r w:rsidRPr="00B003E4">
        <w:rPr>
          <w:color w:val="0D0D0D" w:themeColor="text1" w:themeTint="F2"/>
          <w:sz w:val="16"/>
          <w:szCs w:val="16"/>
        </w:rPr>
        <w:t xml:space="preserve">he new state social assistance benefit (the so-called super-benefit, replacing housing allowance, child benefit, subsistence allowance and housing supplement) was in </w:t>
      </w:r>
      <w:r>
        <w:rPr>
          <w:color w:val="0D0D0D" w:themeColor="text1" w:themeTint="F2"/>
          <w:sz w:val="16"/>
          <w:szCs w:val="16"/>
        </w:rPr>
        <w:t xml:space="preserve">a temporary period </w:t>
      </w:r>
      <w:r w:rsidRPr="00B003E4">
        <w:rPr>
          <w:color w:val="0D0D0D" w:themeColor="text1" w:themeTint="F2"/>
          <w:sz w:val="16"/>
          <w:szCs w:val="16"/>
        </w:rPr>
        <w:t xml:space="preserve">in </w:t>
      </w:r>
      <w:r>
        <w:rPr>
          <w:color w:val="0D0D0D" w:themeColor="text1" w:themeTint="F2"/>
          <w:sz w:val="16"/>
          <w:szCs w:val="16"/>
        </w:rPr>
        <w:t xml:space="preserve">H1 </w:t>
      </w:r>
      <w:r w:rsidRPr="00B003E4">
        <w:rPr>
          <w:color w:val="0D0D0D" w:themeColor="text1" w:themeTint="F2"/>
          <w:sz w:val="16"/>
          <w:szCs w:val="16"/>
        </w:rPr>
        <w:t>2026 (in principle only new applicants received it, it was 50 thousand people</w:t>
      </w:r>
      <w:r>
        <w:rPr>
          <w:color w:val="0D0D0D" w:themeColor="text1" w:themeTint="F2"/>
          <w:sz w:val="16"/>
          <w:szCs w:val="16"/>
        </w:rPr>
        <w:t xml:space="preserve"> </w:t>
      </w:r>
      <w:r w:rsidRPr="00B003E4">
        <w:rPr>
          <w:color w:val="0D0D0D" w:themeColor="text1" w:themeTint="F2"/>
          <w:sz w:val="16"/>
          <w:szCs w:val="16"/>
        </w:rPr>
        <w:t>in June this year) and the volume of its payment amounted to 1.5 b</w:t>
      </w:r>
      <w:r>
        <w:rPr>
          <w:color w:val="0D0D0D" w:themeColor="text1" w:themeTint="F2"/>
          <w:sz w:val="16"/>
          <w:szCs w:val="16"/>
        </w:rPr>
        <w:t>n CZK</w:t>
      </w:r>
      <w:r w:rsidRPr="00B003E4">
        <w:rPr>
          <w:color w:val="0D0D0D" w:themeColor="text1" w:themeTint="F2"/>
          <w:sz w:val="16"/>
          <w:szCs w:val="16"/>
        </w:rPr>
        <w:t>. The replaced benefits decreased by about the same amount. A total of 15.3 b</w:t>
      </w:r>
      <w:r>
        <w:rPr>
          <w:color w:val="0D0D0D" w:themeColor="text1" w:themeTint="F2"/>
          <w:sz w:val="16"/>
          <w:szCs w:val="16"/>
        </w:rPr>
        <w:t xml:space="preserve">n CZK </w:t>
      </w:r>
      <w:r w:rsidRPr="00B003E4">
        <w:rPr>
          <w:color w:val="0D0D0D" w:themeColor="text1" w:themeTint="F2"/>
          <w:sz w:val="16"/>
          <w:szCs w:val="16"/>
        </w:rPr>
        <w:t xml:space="preserve">was issued to the existing recipients of these benefits (a total of 558 thousand were paid in June, some of the beneficiaries received more benefits at the same time). At the same time, the volume of extraordinary immediate assistance benefits paid </w:t>
      </w:r>
      <w:r>
        <w:rPr>
          <w:color w:val="0D0D0D" w:themeColor="text1" w:themeTint="F2"/>
          <w:sz w:val="16"/>
          <w:szCs w:val="16"/>
        </w:rPr>
        <w:t xml:space="preserve">rose </w:t>
      </w:r>
      <w:r w:rsidRPr="00B003E4">
        <w:rPr>
          <w:color w:val="0D0D0D" w:themeColor="text1" w:themeTint="F2"/>
          <w:sz w:val="16"/>
          <w:szCs w:val="16"/>
        </w:rPr>
        <w:t>fivefold</w:t>
      </w:r>
      <w:r>
        <w:rPr>
          <w:color w:val="0D0D0D" w:themeColor="text1" w:themeTint="F2"/>
          <w:sz w:val="16"/>
          <w:szCs w:val="16"/>
        </w:rPr>
        <w:t>,</w:t>
      </w:r>
      <w:r w:rsidRPr="00B003E4">
        <w:rPr>
          <w:color w:val="0D0D0D" w:themeColor="text1" w:themeTint="F2"/>
          <w:sz w:val="16"/>
          <w:szCs w:val="16"/>
        </w:rPr>
        <w:t xml:space="preserve"> year-on-year</w:t>
      </w:r>
      <w:r>
        <w:rPr>
          <w:color w:val="0D0D0D" w:themeColor="text1" w:themeTint="F2"/>
          <w:sz w:val="16"/>
          <w:szCs w:val="16"/>
        </w:rPr>
        <w:t xml:space="preserve"> </w:t>
      </w:r>
      <w:r w:rsidRPr="00B003E4">
        <w:rPr>
          <w:color w:val="0D0D0D" w:themeColor="text1" w:themeTint="F2"/>
          <w:sz w:val="16"/>
          <w:szCs w:val="16"/>
        </w:rPr>
        <w:t>(to a record 0.5 b</w:t>
      </w:r>
      <w:r>
        <w:rPr>
          <w:color w:val="0D0D0D" w:themeColor="text1" w:themeTint="F2"/>
          <w:sz w:val="16"/>
          <w:szCs w:val="16"/>
        </w:rPr>
        <w:t>n CZK</w:t>
      </w:r>
      <w:r w:rsidRPr="00B003E4">
        <w:rPr>
          <w:color w:val="0D0D0D" w:themeColor="text1" w:themeTint="F2"/>
          <w:sz w:val="16"/>
          <w:szCs w:val="16"/>
        </w:rPr>
        <w:t xml:space="preserve">). This was mainly related to the temporary support of people in material </w:t>
      </w:r>
      <w:r>
        <w:rPr>
          <w:color w:val="0D0D0D" w:themeColor="text1" w:themeTint="F2"/>
          <w:sz w:val="16"/>
          <w:szCs w:val="16"/>
        </w:rPr>
        <w:t>deprivation</w:t>
      </w:r>
      <w:r w:rsidRPr="00B003E4">
        <w:rPr>
          <w:color w:val="0D0D0D" w:themeColor="text1" w:themeTint="F2"/>
          <w:sz w:val="16"/>
          <w:szCs w:val="16"/>
        </w:rPr>
        <w:t>, who were in an unfavourable financial situation even after the transition to the new super</w:t>
      </w:r>
      <w:r>
        <w:rPr>
          <w:color w:val="0D0D0D" w:themeColor="text1" w:themeTint="F2"/>
          <w:sz w:val="16"/>
          <w:szCs w:val="16"/>
        </w:rPr>
        <w:t>-benefit</w:t>
      </w:r>
      <w:r w:rsidRPr="00B003E4">
        <w:rPr>
          <w:color w:val="0D0D0D" w:themeColor="text1" w:themeTint="F2"/>
          <w:sz w:val="16"/>
          <w:szCs w:val="16"/>
        </w:rPr>
        <w:t>.</w:t>
      </w:r>
      <w:r>
        <w:rPr>
          <w:color w:val="0D0D0D" w:themeColor="text1" w:themeTint="F2"/>
          <w:sz w:val="16"/>
          <w:szCs w:val="16"/>
        </w:rPr>
        <w:t xml:space="preserve"> </w:t>
      </w:r>
      <w:r w:rsidRPr="00B003E4">
        <w:rPr>
          <w:rFonts w:cs="Arial"/>
          <w:color w:val="0D0D0D" w:themeColor="text1" w:themeTint="F2"/>
          <w:spacing w:val="-4"/>
          <w:sz w:val="16"/>
          <w:szCs w:val="16"/>
        </w:rPr>
        <w:t xml:space="preserve"> </w:t>
      </w:r>
    </w:p>
  </w:footnote>
  <w:footnote w:id="32">
    <w:p w14:paraId="1DD60C3B" w14:textId="77777777" w:rsidR="00917A40" w:rsidRPr="00B003E4" w:rsidRDefault="00917A40" w:rsidP="00917A40">
      <w:pPr>
        <w:pStyle w:val="Textpoznpodarou"/>
        <w:rPr>
          <w:color w:val="0D0D0D" w:themeColor="text1" w:themeTint="F2"/>
          <w:sz w:val="16"/>
          <w:szCs w:val="16"/>
        </w:rPr>
      </w:pPr>
      <w:r w:rsidRPr="00B131B0">
        <w:rPr>
          <w:rStyle w:val="Znakapoznpodarou"/>
          <w:color w:val="0D0D0D" w:themeColor="text1" w:themeTint="F2"/>
          <w:sz w:val="16"/>
          <w:szCs w:val="16"/>
        </w:rPr>
        <w:footnoteRef/>
      </w:r>
      <w:r w:rsidRPr="00B003E4">
        <w:rPr>
          <w:color w:val="0D0D0D" w:themeColor="text1" w:themeTint="F2"/>
          <w:sz w:val="16"/>
          <w:szCs w:val="16"/>
        </w:rPr>
        <w:t xml:space="preserve"> </w:t>
      </w:r>
      <w:r w:rsidRPr="002813FB">
        <w:rPr>
          <w:color w:val="0D0D0D" w:themeColor="text1" w:themeTint="F2"/>
          <w:sz w:val="16"/>
          <w:szCs w:val="16"/>
          <w:lang w:val="en"/>
        </w:rPr>
        <w:t>This is a strengthening of the monthly payment of public health insurance for the so-called state insured (which was increased from 2,127</w:t>
      </w:r>
      <w:r>
        <w:rPr>
          <w:color w:val="0D0D0D" w:themeColor="text1" w:themeTint="F2"/>
          <w:sz w:val="16"/>
          <w:szCs w:val="16"/>
          <w:lang w:val="en"/>
        </w:rPr>
        <w:t xml:space="preserve"> CZK</w:t>
      </w:r>
      <w:r w:rsidRPr="002813FB">
        <w:rPr>
          <w:color w:val="0D0D0D" w:themeColor="text1" w:themeTint="F2"/>
          <w:sz w:val="16"/>
          <w:szCs w:val="16"/>
          <w:lang w:val="en"/>
        </w:rPr>
        <w:t xml:space="preserve"> to 2,188</w:t>
      </w:r>
      <w:r>
        <w:rPr>
          <w:color w:val="0D0D0D" w:themeColor="text1" w:themeTint="F2"/>
          <w:sz w:val="16"/>
          <w:szCs w:val="16"/>
          <w:lang w:val="en"/>
        </w:rPr>
        <w:t xml:space="preserve"> CZK</w:t>
      </w:r>
      <w:r w:rsidRPr="002813FB">
        <w:rPr>
          <w:color w:val="0D0D0D" w:themeColor="text1" w:themeTint="F2"/>
          <w:sz w:val="16"/>
          <w:szCs w:val="16"/>
          <w:lang w:val="en"/>
        </w:rPr>
        <w:t>, i.e. by 2.9%, as of 1 January 2026 by the indexation mechanism).</w:t>
      </w:r>
    </w:p>
  </w:footnote>
  <w:footnote w:id="33">
    <w:p w14:paraId="37A0069B" w14:textId="77777777" w:rsidR="00917A40" w:rsidRPr="00B003E4" w:rsidRDefault="00917A40" w:rsidP="00917A40">
      <w:pPr>
        <w:pStyle w:val="Textpoznpodarou"/>
        <w:rPr>
          <w:sz w:val="16"/>
          <w:szCs w:val="16"/>
        </w:rPr>
      </w:pPr>
      <w:r w:rsidRPr="00B131B0">
        <w:rPr>
          <w:rStyle w:val="Znakapoznpodarou"/>
          <w:sz w:val="16"/>
          <w:szCs w:val="16"/>
        </w:rPr>
        <w:footnoteRef/>
      </w:r>
      <w:r w:rsidRPr="00B003E4">
        <w:rPr>
          <w:sz w:val="16"/>
          <w:szCs w:val="16"/>
        </w:rPr>
        <w:t xml:space="preserve"> </w:t>
      </w:r>
      <w:r w:rsidRPr="002813FB">
        <w:rPr>
          <w:sz w:val="16"/>
          <w:szCs w:val="16"/>
        </w:rPr>
        <w:t xml:space="preserve">These were mainly civil servants and </w:t>
      </w:r>
      <w:r>
        <w:rPr>
          <w:sz w:val="16"/>
          <w:szCs w:val="16"/>
        </w:rPr>
        <w:t xml:space="preserve">career </w:t>
      </w:r>
      <w:r w:rsidRPr="002813FB">
        <w:rPr>
          <w:sz w:val="16"/>
          <w:szCs w:val="16"/>
        </w:rPr>
        <w:t>civil servants, non-teaching workers, cultural employees or maintenance workers, as well as non-medical and social care workers.</w:t>
      </w:r>
    </w:p>
  </w:footnote>
  <w:footnote w:id="34">
    <w:p w14:paraId="112A339D" w14:textId="77777777" w:rsidR="00917A40" w:rsidRPr="007D7F01" w:rsidRDefault="00917A40" w:rsidP="00917A40">
      <w:pPr>
        <w:pStyle w:val="Textpoznpodarou"/>
        <w:rPr>
          <w:color w:val="0D0D0D" w:themeColor="text1" w:themeTint="F2"/>
          <w:sz w:val="16"/>
          <w:szCs w:val="16"/>
        </w:rPr>
      </w:pPr>
      <w:r w:rsidRPr="00B131B0">
        <w:rPr>
          <w:rStyle w:val="Znakapoznpodarou"/>
          <w:color w:val="0D0D0D" w:themeColor="text1" w:themeTint="F2"/>
          <w:sz w:val="16"/>
          <w:szCs w:val="16"/>
        </w:rPr>
        <w:footnoteRef/>
      </w:r>
      <w:r w:rsidRPr="007D7F01">
        <w:rPr>
          <w:color w:val="0D0D0D" w:themeColor="text1" w:themeTint="F2"/>
          <w:sz w:val="16"/>
          <w:szCs w:val="16"/>
        </w:rPr>
        <w:t xml:space="preserve"> </w:t>
      </w:r>
      <w:r w:rsidRPr="00995C95">
        <w:rPr>
          <w:sz w:val="16"/>
          <w:szCs w:val="16"/>
        </w:rPr>
        <w:t xml:space="preserve">Net expenditures correspond to the balance of the budget chapter State debt (No. 396). </w:t>
      </w:r>
      <w:r>
        <w:rPr>
          <w:sz w:val="16"/>
          <w:szCs w:val="16"/>
        </w:rPr>
        <w:t xml:space="preserve"> </w:t>
      </w:r>
    </w:p>
  </w:footnote>
  <w:footnote w:id="35">
    <w:p w14:paraId="1B0AD691" w14:textId="77777777" w:rsidR="00917A40" w:rsidRPr="007D7F01" w:rsidRDefault="00917A40" w:rsidP="00917A40">
      <w:pPr>
        <w:pStyle w:val="Textpoznpodarou"/>
        <w:rPr>
          <w:sz w:val="16"/>
          <w:szCs w:val="16"/>
        </w:rPr>
      </w:pPr>
      <w:r w:rsidRPr="00B131B0">
        <w:rPr>
          <w:rStyle w:val="Znakapoznpodarou"/>
          <w:sz w:val="16"/>
          <w:szCs w:val="16"/>
        </w:rPr>
        <w:footnoteRef/>
      </w:r>
      <w:r w:rsidRPr="007D7F01">
        <w:rPr>
          <w:sz w:val="16"/>
          <w:szCs w:val="16"/>
        </w:rPr>
        <w:t xml:space="preserve"> </w:t>
      </w:r>
      <w:r w:rsidRPr="00FB0B0C">
        <w:rPr>
          <w:sz w:val="16"/>
          <w:szCs w:val="16"/>
        </w:rPr>
        <w:t>In a full-year perspective, according to the approved S</w:t>
      </w:r>
      <w:r>
        <w:rPr>
          <w:sz w:val="16"/>
          <w:szCs w:val="16"/>
        </w:rPr>
        <w:t>B</w:t>
      </w:r>
      <w:r w:rsidRPr="00FB0B0C">
        <w:rPr>
          <w:sz w:val="16"/>
          <w:szCs w:val="16"/>
        </w:rPr>
        <w:t>, their volume should reach 110 b</w:t>
      </w:r>
      <w:r>
        <w:rPr>
          <w:sz w:val="16"/>
          <w:szCs w:val="16"/>
        </w:rPr>
        <w:t xml:space="preserve">n CZK </w:t>
      </w:r>
      <w:r w:rsidRPr="00FB0B0C">
        <w:rPr>
          <w:sz w:val="16"/>
          <w:szCs w:val="16"/>
        </w:rPr>
        <w:t>this year, with a year-on-year growth of 12.1%.</w:t>
      </w:r>
    </w:p>
  </w:footnote>
  <w:footnote w:id="36">
    <w:p w14:paraId="09D64BED" w14:textId="77777777" w:rsidR="00917A40" w:rsidRPr="007D7F01" w:rsidRDefault="00917A40" w:rsidP="00917A40">
      <w:pPr>
        <w:pStyle w:val="Textpoznpodarou"/>
        <w:rPr>
          <w:color w:val="0D0D0D" w:themeColor="text1" w:themeTint="F2"/>
          <w:spacing w:val="-3"/>
          <w:sz w:val="16"/>
          <w:szCs w:val="16"/>
        </w:rPr>
      </w:pPr>
      <w:r w:rsidRPr="00B131B0">
        <w:rPr>
          <w:rStyle w:val="Znakapoznpodarou"/>
          <w:color w:val="0D0D0D" w:themeColor="text1" w:themeTint="F2"/>
          <w:spacing w:val="-3"/>
          <w:sz w:val="16"/>
          <w:szCs w:val="16"/>
        </w:rPr>
        <w:footnoteRef/>
      </w:r>
      <w:r>
        <w:rPr>
          <w:color w:val="0D0D0D" w:themeColor="text1" w:themeTint="F2"/>
          <w:spacing w:val="-3"/>
          <w:sz w:val="16"/>
          <w:szCs w:val="16"/>
        </w:rPr>
        <w:t>T</w:t>
      </w:r>
      <w:r w:rsidRPr="002813FB">
        <w:rPr>
          <w:color w:val="0D0D0D" w:themeColor="text1" w:themeTint="F2"/>
          <w:spacing w:val="-3"/>
          <w:sz w:val="16"/>
          <w:szCs w:val="16"/>
        </w:rPr>
        <w:t>he external debt amounted to 173 b</w:t>
      </w:r>
      <w:r>
        <w:rPr>
          <w:color w:val="0D0D0D" w:themeColor="text1" w:themeTint="F2"/>
          <w:spacing w:val="-3"/>
          <w:sz w:val="16"/>
          <w:szCs w:val="16"/>
        </w:rPr>
        <w:t>n CZK a</w:t>
      </w:r>
      <w:r w:rsidRPr="002813FB">
        <w:rPr>
          <w:color w:val="0D0D0D" w:themeColor="text1" w:themeTint="F2"/>
          <w:spacing w:val="-3"/>
          <w:sz w:val="16"/>
          <w:szCs w:val="16"/>
        </w:rPr>
        <w:t>t the end of the first half of this year, accounting for 4.6% of the total state debt, which was the lowest since 2004.</w:t>
      </w:r>
    </w:p>
  </w:footnote>
  <w:footnote w:id="37">
    <w:p w14:paraId="7D2B6F01" w14:textId="77777777" w:rsidR="00917A40" w:rsidRPr="00B96272" w:rsidRDefault="00917A40" w:rsidP="00917A40">
      <w:pPr>
        <w:pStyle w:val="Textpoznpodarou"/>
        <w:rPr>
          <w:sz w:val="16"/>
          <w:szCs w:val="16"/>
        </w:rPr>
      </w:pPr>
      <w:r w:rsidRPr="00B131B0">
        <w:rPr>
          <w:rStyle w:val="Znakapoznpodarou"/>
          <w:sz w:val="16"/>
          <w:szCs w:val="16"/>
        </w:rPr>
        <w:footnoteRef/>
      </w:r>
      <w:r w:rsidRPr="00B96272">
        <w:rPr>
          <w:sz w:val="16"/>
          <w:szCs w:val="16"/>
        </w:rPr>
        <w:t xml:space="preserve"> </w:t>
      </w:r>
      <w:r w:rsidRPr="00FB0B0C">
        <w:rPr>
          <w:sz w:val="16"/>
          <w:szCs w:val="16"/>
        </w:rPr>
        <w:t xml:space="preserve">This change </w:t>
      </w:r>
      <w:r>
        <w:rPr>
          <w:sz w:val="16"/>
          <w:szCs w:val="16"/>
        </w:rPr>
        <w:t>of</w:t>
      </w:r>
      <w:r w:rsidRPr="00FB0B0C">
        <w:rPr>
          <w:sz w:val="16"/>
          <w:szCs w:val="16"/>
        </w:rPr>
        <w:t xml:space="preserve"> subsidy support was also compensated for by a change in the budgetary allocation of the tax (from January 2026).</w:t>
      </w:r>
    </w:p>
  </w:footnote>
  <w:footnote w:id="38">
    <w:p w14:paraId="064E6424" w14:textId="77777777" w:rsidR="00917A40" w:rsidRPr="002813FB" w:rsidRDefault="00917A40" w:rsidP="00917A40">
      <w:pPr>
        <w:pStyle w:val="Textpoznpodarou"/>
        <w:rPr>
          <w:sz w:val="16"/>
          <w:szCs w:val="16"/>
        </w:rPr>
      </w:pPr>
      <w:r w:rsidRPr="00B131B0">
        <w:rPr>
          <w:rStyle w:val="Znakapoznpodarou"/>
          <w:sz w:val="16"/>
          <w:szCs w:val="16"/>
        </w:rPr>
        <w:footnoteRef/>
      </w:r>
      <w:r w:rsidRPr="002813FB">
        <w:rPr>
          <w:sz w:val="16"/>
          <w:szCs w:val="16"/>
        </w:rPr>
        <w:t xml:space="preserve"> </w:t>
      </w:r>
      <w:r w:rsidRPr="00FB0B0C">
        <w:rPr>
          <w:sz w:val="16"/>
          <w:szCs w:val="16"/>
        </w:rPr>
        <w:t>This half-year budget implementation is slightly above average in the context of the last decade. The continuity of this year's investment drawdown has been significantly disrupted at the beginning of the year (the impact of the provisional budget). Nevertheless, this expenditure grew</w:t>
      </w:r>
      <w:r>
        <w:rPr>
          <w:sz w:val="16"/>
          <w:szCs w:val="16"/>
        </w:rPr>
        <w:t>,</w:t>
      </w:r>
      <w:r w:rsidRPr="00FB0B0C">
        <w:rPr>
          <w:sz w:val="16"/>
          <w:szCs w:val="16"/>
        </w:rPr>
        <w:t xml:space="preserve"> year-on-year</w:t>
      </w:r>
      <w:r>
        <w:rPr>
          <w:sz w:val="16"/>
          <w:szCs w:val="16"/>
        </w:rPr>
        <w:t>, even in Q1</w:t>
      </w:r>
      <w:r w:rsidRPr="00FB0B0C">
        <w:rPr>
          <w:sz w:val="16"/>
          <w:szCs w:val="16"/>
        </w:rPr>
        <w:t xml:space="preserve"> (+8.7%).</w:t>
      </w:r>
    </w:p>
  </w:footnote>
  <w:footnote w:id="39">
    <w:p w14:paraId="0864666A" w14:textId="77777777" w:rsidR="00917A40" w:rsidRPr="002813FB" w:rsidRDefault="00917A40" w:rsidP="00917A40">
      <w:pPr>
        <w:pStyle w:val="Textpoznpodarou"/>
        <w:rPr>
          <w:sz w:val="16"/>
          <w:szCs w:val="16"/>
        </w:rPr>
      </w:pPr>
      <w:r w:rsidRPr="00B131B0">
        <w:rPr>
          <w:rStyle w:val="Znakapoznpodarou"/>
          <w:sz w:val="16"/>
          <w:szCs w:val="16"/>
        </w:rPr>
        <w:footnoteRef/>
      </w:r>
      <w:r w:rsidRPr="002813FB">
        <w:rPr>
          <w:sz w:val="16"/>
          <w:szCs w:val="16"/>
        </w:rPr>
        <w:t xml:space="preserve"> </w:t>
      </w:r>
      <w:r w:rsidRPr="00FB0B0C">
        <w:rPr>
          <w:sz w:val="16"/>
          <w:szCs w:val="16"/>
        </w:rPr>
        <w:t>They reached 42.1 b</w:t>
      </w:r>
      <w:r>
        <w:rPr>
          <w:sz w:val="16"/>
          <w:szCs w:val="16"/>
        </w:rPr>
        <w:t>n CZK</w:t>
      </w:r>
      <w:r w:rsidRPr="00FB0B0C">
        <w:rPr>
          <w:sz w:val="16"/>
          <w:szCs w:val="16"/>
        </w:rPr>
        <w:t>, with a year-on-year growth of 28.6%.</w:t>
      </w:r>
    </w:p>
  </w:footnote>
  <w:footnote w:id="40">
    <w:p w14:paraId="0EB99FDE" w14:textId="77777777" w:rsidR="00917A40" w:rsidRPr="00FB0B0C" w:rsidRDefault="00917A40" w:rsidP="00917A40">
      <w:pPr>
        <w:pStyle w:val="Textpoznpodarou"/>
      </w:pPr>
      <w:r w:rsidRPr="00B131B0">
        <w:rPr>
          <w:rStyle w:val="Znakapoznpodarou"/>
          <w:sz w:val="16"/>
          <w:szCs w:val="16"/>
        </w:rPr>
        <w:footnoteRef/>
      </w:r>
      <w:r w:rsidRPr="002813FB">
        <w:rPr>
          <w:sz w:val="16"/>
          <w:szCs w:val="16"/>
        </w:rPr>
        <w:t xml:space="preserve"> </w:t>
      </w:r>
      <w:r w:rsidRPr="00FB0B0C">
        <w:rPr>
          <w:sz w:val="16"/>
          <w:szCs w:val="16"/>
        </w:rPr>
        <w:t xml:space="preserve">This instrument was created due to the need to address the economic and social impact of the COVID-19 pandemic. It focuses on the recovery of the labour market, social protection and healthcare systems, reviving the potential for sustainable growth and </w:t>
      </w:r>
      <w:r>
        <w:rPr>
          <w:sz w:val="16"/>
          <w:szCs w:val="16"/>
        </w:rPr>
        <w:t>employment</w:t>
      </w:r>
      <w:r w:rsidRPr="00FB0B0C">
        <w:rPr>
          <w:sz w:val="16"/>
          <w:szCs w:val="16"/>
        </w:rPr>
        <w:t xml:space="preserve">, the transition to a green and digital economy, research and innovation, support for agriculture and rural development. Expenditure takes the form of grants and loans to </w:t>
      </w:r>
      <w:r>
        <w:rPr>
          <w:sz w:val="16"/>
          <w:szCs w:val="16"/>
        </w:rPr>
        <w:t>m</w:t>
      </w:r>
      <w:r w:rsidRPr="00FB0B0C">
        <w:rPr>
          <w:sz w:val="16"/>
          <w:szCs w:val="16"/>
        </w:rPr>
        <w:t xml:space="preserve">ember </w:t>
      </w:r>
      <w:r>
        <w:rPr>
          <w:sz w:val="16"/>
          <w:szCs w:val="16"/>
        </w:rPr>
        <w:t>s</w:t>
      </w:r>
      <w:r w:rsidRPr="00FB0B0C">
        <w:rPr>
          <w:sz w:val="16"/>
          <w:szCs w:val="16"/>
        </w:rPr>
        <w:t>tates provided by the Recovery and Resilience Facility and six other EU spending programmes for the period 2021-2027</w:t>
      </w:r>
      <w:r>
        <w:rPr>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99EBB" w14:textId="379149F3" w:rsidR="00763B85" w:rsidRPr="00B131B0" w:rsidRDefault="00E92DFE" w:rsidP="00937AE2">
    <w:pPr>
      <w:pStyle w:val="Zhlav"/>
      <w:rPr>
        <w:lang w:val="en-GB"/>
      </w:rPr>
    </w:pPr>
    <w:r w:rsidRPr="00B131B0">
      <w:rPr>
        <w:lang w:val="en-GB"/>
      </w:rPr>
      <w:t>The Czech Economy Development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BA682" w14:textId="6C803F4A" w:rsidR="00763B85" w:rsidRPr="00B131B0" w:rsidRDefault="007A7100" w:rsidP="00937AE2">
    <w:pPr>
      <w:pStyle w:val="Zhlav"/>
      <w:rPr>
        <w:lang w:val="en-GB"/>
      </w:rPr>
    </w:pPr>
    <w:r w:rsidRPr="00B131B0">
      <w:rPr>
        <w:lang w:val="en-GB"/>
      </w:rPr>
      <w:t>The Czech Economy Development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11.85pt" o:bullet="t">
        <v:imagedata r:id="rId1" o:title="msoFAAF"/>
      </v:shape>
    </w:pict>
  </w:numPicBullet>
  <w:abstractNum w:abstractNumId="0" w15:restartNumberingAfterBreak="0">
    <w:nsid w:val="FFFFFF7C"/>
    <w:multiLevelType w:val="singleLevel"/>
    <w:tmpl w:val="49CEEC4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EC69A9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37A1C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623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965B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DE27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7AED3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68C5B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7C8EEA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18AD8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AC5946"/>
    <w:multiLevelType w:val="hybridMultilevel"/>
    <w:tmpl w:val="4C1C2D78"/>
    <w:lvl w:ilvl="0" w:tplc="B01A56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95764B"/>
    <w:multiLevelType w:val="hybridMultilevel"/>
    <w:tmpl w:val="84788BC8"/>
    <w:lvl w:ilvl="0" w:tplc="1B96A2C2">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09D55121"/>
    <w:multiLevelType w:val="hybridMultilevel"/>
    <w:tmpl w:val="338E27CE"/>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3" w15:restartNumberingAfterBreak="0">
    <w:nsid w:val="0D361065"/>
    <w:multiLevelType w:val="hybridMultilevel"/>
    <w:tmpl w:val="991072CE"/>
    <w:lvl w:ilvl="0" w:tplc="0405000F">
      <w:start w:val="1"/>
      <w:numFmt w:val="decimal"/>
      <w:lvlText w:val="%1."/>
      <w:lvlJc w:val="left"/>
      <w:pPr>
        <w:ind w:left="1080" w:hanging="360"/>
      </w:p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0E145AAD"/>
    <w:multiLevelType w:val="hybridMultilevel"/>
    <w:tmpl w:val="963044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8B35353"/>
    <w:multiLevelType w:val="multilevel"/>
    <w:tmpl w:val="1C0E9EAE"/>
    <w:name w:val="Analyza"/>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pStyle w:val="Nadpis5"/>
      <w:suff w:val="space"/>
      <w:lvlText w:val="%1.%2.%3.%4.%5"/>
      <w:lvlJc w:val="left"/>
      <w:pPr>
        <w:ind w:left="1008" w:hanging="1008"/>
      </w:pPr>
      <w:rPr>
        <w:rFonts w:hint="default"/>
      </w:rPr>
    </w:lvl>
    <w:lvl w:ilvl="5">
      <w:start w:val="1"/>
      <w:numFmt w:val="decimal"/>
      <w:pStyle w:val="Nadpis6"/>
      <w:suff w:val="space"/>
      <w:lvlText w:val="%1.%2.%3.%4.%5.%6"/>
      <w:lvlJc w:val="left"/>
      <w:pPr>
        <w:ind w:left="1152" w:hanging="1152"/>
      </w:pPr>
      <w:rPr>
        <w:rFonts w:hint="default"/>
      </w:rPr>
    </w:lvl>
    <w:lvl w:ilvl="6">
      <w:start w:val="1"/>
      <w:numFmt w:val="decimal"/>
      <w:pStyle w:val="Nadpis7"/>
      <w:suff w:val="space"/>
      <w:lvlText w:val="%1.%2.%3.%4.%5.%6.%7"/>
      <w:lvlJc w:val="left"/>
      <w:pPr>
        <w:ind w:left="1296" w:hanging="1296"/>
      </w:pPr>
      <w:rPr>
        <w:rFonts w:hint="default"/>
      </w:rPr>
    </w:lvl>
    <w:lvl w:ilvl="7">
      <w:start w:val="1"/>
      <w:numFmt w:val="decimal"/>
      <w:pStyle w:val="Nadpis8"/>
      <w:suff w:val="space"/>
      <w:lvlText w:val="%1.%2.%3.%4.%5.%6.%7.%8"/>
      <w:lvlJc w:val="left"/>
      <w:pPr>
        <w:ind w:left="1440" w:hanging="1440"/>
      </w:pPr>
      <w:rPr>
        <w:rFonts w:hint="default"/>
      </w:rPr>
    </w:lvl>
    <w:lvl w:ilvl="8">
      <w:start w:val="1"/>
      <w:numFmt w:val="decimal"/>
      <w:pStyle w:val="Nadpis9"/>
      <w:suff w:val="space"/>
      <w:lvlText w:val="%1.%2.%3.%4.%5.%6.%7.%8.%9"/>
      <w:lvlJc w:val="left"/>
      <w:pPr>
        <w:ind w:left="1584" w:hanging="1584"/>
      </w:pPr>
      <w:rPr>
        <w:rFonts w:hint="default"/>
      </w:rPr>
    </w:lvl>
  </w:abstractNum>
  <w:abstractNum w:abstractNumId="16" w15:restartNumberingAfterBreak="0">
    <w:nsid w:val="1E462C8E"/>
    <w:multiLevelType w:val="hybridMultilevel"/>
    <w:tmpl w:val="84B4641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2C64F20"/>
    <w:multiLevelType w:val="hybridMultilevel"/>
    <w:tmpl w:val="ADE25A6C"/>
    <w:lvl w:ilvl="0" w:tplc="04050001">
      <w:start w:val="1"/>
      <w:numFmt w:val="bullet"/>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58473A1"/>
    <w:multiLevelType w:val="hybridMultilevel"/>
    <w:tmpl w:val="7984410C"/>
    <w:lvl w:ilvl="0" w:tplc="3712003C">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8352333"/>
    <w:multiLevelType w:val="multilevel"/>
    <w:tmpl w:val="D0ACFA4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28DA62F8"/>
    <w:multiLevelType w:val="hybridMultilevel"/>
    <w:tmpl w:val="419C87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A5A7A8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2C24203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D106EA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1355C0"/>
    <w:multiLevelType w:val="multilevel"/>
    <w:tmpl w:val="697E8BE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39914012"/>
    <w:multiLevelType w:val="multilevel"/>
    <w:tmpl w:val="F380FB8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3C7C1667"/>
    <w:multiLevelType w:val="hybridMultilevel"/>
    <w:tmpl w:val="735E7570"/>
    <w:lvl w:ilvl="0" w:tplc="5588AF8E">
      <w:start w:val="1"/>
      <w:numFmt w:val="decimal"/>
      <w:lvlText w:val="%1."/>
      <w:lvlJc w:val="left"/>
      <w:pPr>
        <w:ind w:left="4800" w:hanging="360"/>
      </w:pPr>
      <w:rPr>
        <w:rFonts w:hint="default"/>
      </w:rPr>
    </w:lvl>
    <w:lvl w:ilvl="1" w:tplc="04050019" w:tentative="1">
      <w:start w:val="1"/>
      <w:numFmt w:val="lowerLetter"/>
      <w:lvlText w:val="%2."/>
      <w:lvlJc w:val="left"/>
      <w:pPr>
        <w:ind w:left="5520" w:hanging="360"/>
      </w:pPr>
    </w:lvl>
    <w:lvl w:ilvl="2" w:tplc="0405001B" w:tentative="1">
      <w:start w:val="1"/>
      <w:numFmt w:val="lowerRoman"/>
      <w:lvlText w:val="%3."/>
      <w:lvlJc w:val="right"/>
      <w:pPr>
        <w:ind w:left="6240" w:hanging="180"/>
      </w:pPr>
    </w:lvl>
    <w:lvl w:ilvl="3" w:tplc="0405000F" w:tentative="1">
      <w:start w:val="1"/>
      <w:numFmt w:val="decimal"/>
      <w:lvlText w:val="%4."/>
      <w:lvlJc w:val="left"/>
      <w:pPr>
        <w:ind w:left="6960" w:hanging="360"/>
      </w:pPr>
    </w:lvl>
    <w:lvl w:ilvl="4" w:tplc="04050019" w:tentative="1">
      <w:start w:val="1"/>
      <w:numFmt w:val="lowerLetter"/>
      <w:lvlText w:val="%5."/>
      <w:lvlJc w:val="left"/>
      <w:pPr>
        <w:ind w:left="7680" w:hanging="360"/>
      </w:pPr>
    </w:lvl>
    <w:lvl w:ilvl="5" w:tplc="0405001B" w:tentative="1">
      <w:start w:val="1"/>
      <w:numFmt w:val="lowerRoman"/>
      <w:lvlText w:val="%6."/>
      <w:lvlJc w:val="right"/>
      <w:pPr>
        <w:ind w:left="8400" w:hanging="180"/>
      </w:pPr>
    </w:lvl>
    <w:lvl w:ilvl="6" w:tplc="0405000F" w:tentative="1">
      <w:start w:val="1"/>
      <w:numFmt w:val="decimal"/>
      <w:lvlText w:val="%7."/>
      <w:lvlJc w:val="left"/>
      <w:pPr>
        <w:ind w:left="9120" w:hanging="360"/>
      </w:pPr>
    </w:lvl>
    <w:lvl w:ilvl="7" w:tplc="04050019" w:tentative="1">
      <w:start w:val="1"/>
      <w:numFmt w:val="lowerLetter"/>
      <w:lvlText w:val="%8."/>
      <w:lvlJc w:val="left"/>
      <w:pPr>
        <w:ind w:left="9840" w:hanging="360"/>
      </w:pPr>
    </w:lvl>
    <w:lvl w:ilvl="8" w:tplc="0405001B" w:tentative="1">
      <w:start w:val="1"/>
      <w:numFmt w:val="lowerRoman"/>
      <w:lvlText w:val="%9."/>
      <w:lvlJc w:val="right"/>
      <w:pPr>
        <w:ind w:left="10560" w:hanging="180"/>
      </w:pPr>
    </w:lvl>
  </w:abstractNum>
  <w:abstractNum w:abstractNumId="27" w15:restartNumberingAfterBreak="0">
    <w:nsid w:val="3D4D0562"/>
    <w:multiLevelType w:val="hybridMultilevel"/>
    <w:tmpl w:val="E8A8F2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3BB1D16"/>
    <w:multiLevelType w:val="hybridMultilevel"/>
    <w:tmpl w:val="CA4409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444558D6"/>
    <w:multiLevelType w:val="hybridMultilevel"/>
    <w:tmpl w:val="1B90B8E0"/>
    <w:lvl w:ilvl="0" w:tplc="4B66ED1E">
      <w:start w:val="1"/>
      <w:numFmt w:val="decimal"/>
      <w:lvlText w:val="%1."/>
      <w:lvlJc w:val="left"/>
      <w:pPr>
        <w:ind w:left="4905" w:hanging="360"/>
      </w:pPr>
      <w:rPr>
        <w:rFonts w:hint="default"/>
      </w:rPr>
    </w:lvl>
    <w:lvl w:ilvl="1" w:tplc="04050019" w:tentative="1">
      <w:start w:val="1"/>
      <w:numFmt w:val="lowerLetter"/>
      <w:lvlText w:val="%2."/>
      <w:lvlJc w:val="left"/>
      <w:pPr>
        <w:ind w:left="5625" w:hanging="360"/>
      </w:pPr>
    </w:lvl>
    <w:lvl w:ilvl="2" w:tplc="0405001B" w:tentative="1">
      <w:start w:val="1"/>
      <w:numFmt w:val="lowerRoman"/>
      <w:lvlText w:val="%3."/>
      <w:lvlJc w:val="right"/>
      <w:pPr>
        <w:ind w:left="6345" w:hanging="180"/>
      </w:pPr>
    </w:lvl>
    <w:lvl w:ilvl="3" w:tplc="0405000F" w:tentative="1">
      <w:start w:val="1"/>
      <w:numFmt w:val="decimal"/>
      <w:lvlText w:val="%4."/>
      <w:lvlJc w:val="left"/>
      <w:pPr>
        <w:ind w:left="7065" w:hanging="360"/>
      </w:pPr>
    </w:lvl>
    <w:lvl w:ilvl="4" w:tplc="04050019" w:tentative="1">
      <w:start w:val="1"/>
      <w:numFmt w:val="lowerLetter"/>
      <w:lvlText w:val="%5."/>
      <w:lvlJc w:val="left"/>
      <w:pPr>
        <w:ind w:left="7785" w:hanging="360"/>
      </w:pPr>
    </w:lvl>
    <w:lvl w:ilvl="5" w:tplc="0405001B" w:tentative="1">
      <w:start w:val="1"/>
      <w:numFmt w:val="lowerRoman"/>
      <w:lvlText w:val="%6."/>
      <w:lvlJc w:val="right"/>
      <w:pPr>
        <w:ind w:left="8505" w:hanging="180"/>
      </w:pPr>
    </w:lvl>
    <w:lvl w:ilvl="6" w:tplc="0405000F" w:tentative="1">
      <w:start w:val="1"/>
      <w:numFmt w:val="decimal"/>
      <w:lvlText w:val="%7."/>
      <w:lvlJc w:val="left"/>
      <w:pPr>
        <w:ind w:left="9225" w:hanging="360"/>
      </w:pPr>
    </w:lvl>
    <w:lvl w:ilvl="7" w:tplc="04050019" w:tentative="1">
      <w:start w:val="1"/>
      <w:numFmt w:val="lowerLetter"/>
      <w:lvlText w:val="%8."/>
      <w:lvlJc w:val="left"/>
      <w:pPr>
        <w:ind w:left="9945" w:hanging="360"/>
      </w:pPr>
    </w:lvl>
    <w:lvl w:ilvl="8" w:tplc="0405001B" w:tentative="1">
      <w:start w:val="1"/>
      <w:numFmt w:val="lowerRoman"/>
      <w:lvlText w:val="%9."/>
      <w:lvlJc w:val="right"/>
      <w:pPr>
        <w:ind w:left="10665" w:hanging="180"/>
      </w:pPr>
    </w:lvl>
  </w:abstractNum>
  <w:abstractNum w:abstractNumId="30" w15:restartNumberingAfterBreak="0">
    <w:nsid w:val="479678F7"/>
    <w:multiLevelType w:val="hybridMultilevel"/>
    <w:tmpl w:val="A4DE713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48384A27"/>
    <w:multiLevelType w:val="hybridMultilevel"/>
    <w:tmpl w:val="1050503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495051A8"/>
    <w:multiLevelType w:val="hybridMultilevel"/>
    <w:tmpl w:val="DEACEA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4ADA4287"/>
    <w:multiLevelType w:val="multilevel"/>
    <w:tmpl w:val="1C0E9EAE"/>
    <w:lvl w:ilvl="0">
      <w:start w:val="1"/>
      <w:numFmt w:val="decimal"/>
      <w:suff w:val="space"/>
      <w:lvlText w:val="%1"/>
      <w:lvlJc w:val="left"/>
      <w:pPr>
        <w:ind w:left="432" w:hanging="432"/>
      </w:pPr>
      <w:rPr>
        <w:rFonts w:hint="default"/>
      </w:rPr>
    </w:lvl>
    <w:lvl w:ilvl="1">
      <w:start w:val="1"/>
      <w:numFmt w:val="decimal"/>
      <w:suff w:val="space"/>
      <w:lvlText w:val="%1.%2"/>
      <w:lvlJc w:val="left"/>
      <w:pPr>
        <w:ind w:left="576" w:hanging="576"/>
      </w:pPr>
      <w:rPr>
        <w:rFonts w:hint="default"/>
        <w:i w:val="0"/>
      </w:rPr>
    </w:lvl>
    <w:lvl w:ilvl="2">
      <w:start w:val="1"/>
      <w:numFmt w:val="decimal"/>
      <w:suff w:val="space"/>
      <w:lvlText w:val="%1.%2.%3"/>
      <w:lvlJc w:val="left"/>
      <w:pPr>
        <w:ind w:left="720" w:hanging="720"/>
      </w:pPr>
      <w:rPr>
        <w:rFonts w:hint="default"/>
      </w:rPr>
    </w:lvl>
    <w:lvl w:ilvl="3">
      <w:start w:val="1"/>
      <w:numFmt w:val="decimal"/>
      <w:suff w:val="space"/>
      <w:lvlText w:val="%1.%2.%3.%4"/>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suff w:val="space"/>
      <w:lvlText w:val="%1.%2.%3.%4.%5.%6"/>
      <w:lvlJc w:val="left"/>
      <w:pPr>
        <w:ind w:left="1152" w:hanging="1152"/>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1440" w:hanging="1440"/>
      </w:pPr>
      <w:rPr>
        <w:rFonts w:hint="default"/>
      </w:rPr>
    </w:lvl>
    <w:lvl w:ilvl="8">
      <w:start w:val="1"/>
      <w:numFmt w:val="decimal"/>
      <w:suff w:val="space"/>
      <w:lvlText w:val="%1.%2.%3.%4.%5.%6.%7.%8.%9"/>
      <w:lvlJc w:val="left"/>
      <w:pPr>
        <w:ind w:left="1584" w:hanging="1584"/>
      </w:pPr>
      <w:rPr>
        <w:rFonts w:hint="default"/>
      </w:rPr>
    </w:lvl>
  </w:abstractNum>
  <w:abstractNum w:abstractNumId="34" w15:restartNumberingAfterBreak="0">
    <w:nsid w:val="4C581760"/>
    <w:multiLevelType w:val="hybridMultilevel"/>
    <w:tmpl w:val="CFEE97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5" w15:restartNumberingAfterBreak="0">
    <w:nsid w:val="4E490F3B"/>
    <w:multiLevelType w:val="hybridMultilevel"/>
    <w:tmpl w:val="D64CB604"/>
    <w:lvl w:ilvl="0" w:tplc="67AC8A1C">
      <w:start w:val="1"/>
      <w:numFmt w:val="bullet"/>
      <w:lvlText w:val=""/>
      <w:lvlJc w:val="left"/>
      <w:pPr>
        <w:ind w:left="357" w:hanging="3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1655F88"/>
    <w:multiLevelType w:val="hybridMultilevel"/>
    <w:tmpl w:val="70283F0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538567A6"/>
    <w:multiLevelType w:val="hybridMultilevel"/>
    <w:tmpl w:val="50E0FCA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58CB210F"/>
    <w:multiLevelType w:val="multilevel"/>
    <w:tmpl w:val="D64CB604"/>
    <w:lvl w:ilvl="0">
      <w:start w:val="1"/>
      <w:numFmt w:val="bullet"/>
      <w:lvlText w:val=""/>
      <w:lvlJc w:val="left"/>
      <w:pPr>
        <w:ind w:left="357" w:hanging="357"/>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5CD405E1"/>
    <w:multiLevelType w:val="multilevel"/>
    <w:tmpl w:val="5FCA5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EF3AA7"/>
    <w:multiLevelType w:val="multilevel"/>
    <w:tmpl w:val="9092D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048D2"/>
    <w:multiLevelType w:val="hybridMultilevel"/>
    <w:tmpl w:val="D2A0FC6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6B235D04"/>
    <w:multiLevelType w:val="hybridMultilevel"/>
    <w:tmpl w:val="26840EA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3" w15:restartNumberingAfterBreak="0">
    <w:nsid w:val="787747AF"/>
    <w:multiLevelType w:val="hybridMultilevel"/>
    <w:tmpl w:val="76204D1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7B651B2D"/>
    <w:multiLevelType w:val="hybridMultilevel"/>
    <w:tmpl w:val="4C1C2D78"/>
    <w:lvl w:ilvl="0" w:tplc="B01A5632">
      <w:start w:val="1"/>
      <w:numFmt w:val="bullet"/>
      <w:pStyle w:val="Normalodrk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DA7946"/>
    <w:multiLevelType w:val="multilevel"/>
    <w:tmpl w:val="6F3E3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8E301A"/>
    <w:multiLevelType w:val="hybridMultilevel"/>
    <w:tmpl w:val="1A92D798"/>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2000647203">
    <w:abstractNumId w:val="31"/>
  </w:num>
  <w:num w:numId="2" w16cid:durableId="2108306025">
    <w:abstractNumId w:val="8"/>
  </w:num>
  <w:num w:numId="3" w16cid:durableId="1851791032">
    <w:abstractNumId w:val="3"/>
  </w:num>
  <w:num w:numId="4" w16cid:durableId="1418281433">
    <w:abstractNumId w:val="2"/>
  </w:num>
  <w:num w:numId="5" w16cid:durableId="1057360773">
    <w:abstractNumId w:val="1"/>
  </w:num>
  <w:num w:numId="6" w16cid:durableId="917859753">
    <w:abstractNumId w:val="0"/>
  </w:num>
  <w:num w:numId="7" w16cid:durableId="1884097028">
    <w:abstractNumId w:val="9"/>
  </w:num>
  <w:num w:numId="8" w16cid:durableId="824902319">
    <w:abstractNumId w:val="7"/>
  </w:num>
  <w:num w:numId="9" w16cid:durableId="1803766138">
    <w:abstractNumId w:val="6"/>
  </w:num>
  <w:num w:numId="10" w16cid:durableId="566259340">
    <w:abstractNumId w:val="5"/>
  </w:num>
  <w:num w:numId="11" w16cid:durableId="52774508">
    <w:abstractNumId w:val="4"/>
  </w:num>
  <w:num w:numId="12" w16cid:durableId="1533685237">
    <w:abstractNumId w:val="18"/>
  </w:num>
  <w:num w:numId="13" w16cid:durableId="195428688">
    <w:abstractNumId w:val="34"/>
  </w:num>
  <w:num w:numId="14" w16cid:durableId="1684941278">
    <w:abstractNumId w:val="15"/>
  </w:num>
  <w:num w:numId="15" w16cid:durableId="1238784906">
    <w:abstractNumId w:val="24"/>
  </w:num>
  <w:num w:numId="16" w16cid:durableId="2045134713">
    <w:abstractNumId w:val="19"/>
  </w:num>
  <w:num w:numId="17" w16cid:durableId="1458451516">
    <w:abstractNumId w:val="35"/>
  </w:num>
  <w:num w:numId="18" w16cid:durableId="849877926">
    <w:abstractNumId w:val="25"/>
  </w:num>
  <w:num w:numId="19" w16cid:durableId="1118066606">
    <w:abstractNumId w:val="38"/>
  </w:num>
  <w:num w:numId="20" w16cid:durableId="508564300">
    <w:abstractNumId w:val="44"/>
  </w:num>
  <w:num w:numId="21" w16cid:durableId="316148911">
    <w:abstractNumId w:val="33"/>
  </w:num>
  <w:num w:numId="22" w16cid:durableId="360010707">
    <w:abstractNumId w:val="23"/>
  </w:num>
  <w:num w:numId="23" w16cid:durableId="999309269">
    <w:abstractNumId w:val="21"/>
  </w:num>
  <w:num w:numId="24" w16cid:durableId="1194266313">
    <w:abstractNumId w:val="22"/>
  </w:num>
  <w:num w:numId="25" w16cid:durableId="1815366340">
    <w:abstractNumId w:val="41"/>
  </w:num>
  <w:num w:numId="26" w16cid:durableId="1577863405">
    <w:abstractNumId w:val="43"/>
  </w:num>
  <w:num w:numId="27" w16cid:durableId="1207061094">
    <w:abstractNumId w:val="13"/>
  </w:num>
  <w:num w:numId="28" w16cid:durableId="1693920833">
    <w:abstractNumId w:val="27"/>
  </w:num>
  <w:num w:numId="29" w16cid:durableId="1876775477">
    <w:abstractNumId w:val="26"/>
  </w:num>
  <w:num w:numId="30" w16cid:durableId="179972127">
    <w:abstractNumId w:val="10"/>
  </w:num>
  <w:num w:numId="31" w16cid:durableId="970136012">
    <w:abstractNumId w:val="28"/>
  </w:num>
  <w:num w:numId="32" w16cid:durableId="1617836376">
    <w:abstractNumId w:val="12"/>
  </w:num>
  <w:num w:numId="33" w16cid:durableId="357007340">
    <w:abstractNumId w:val="46"/>
  </w:num>
  <w:num w:numId="34" w16cid:durableId="2131776467">
    <w:abstractNumId w:val="11"/>
  </w:num>
  <w:num w:numId="35" w16cid:durableId="1776095800">
    <w:abstractNumId w:val="37"/>
  </w:num>
  <w:num w:numId="36" w16cid:durableId="862209000">
    <w:abstractNumId w:val="30"/>
  </w:num>
  <w:num w:numId="37" w16cid:durableId="322010878">
    <w:abstractNumId w:val="29"/>
  </w:num>
  <w:num w:numId="38" w16cid:durableId="1458373311">
    <w:abstractNumId w:val="39"/>
  </w:num>
  <w:num w:numId="39" w16cid:durableId="288441997">
    <w:abstractNumId w:val="45"/>
  </w:num>
  <w:num w:numId="40" w16cid:durableId="952595072">
    <w:abstractNumId w:val="40"/>
  </w:num>
  <w:num w:numId="41" w16cid:durableId="1427652868">
    <w:abstractNumId w:val="32"/>
  </w:num>
  <w:num w:numId="42" w16cid:durableId="1024401835">
    <w:abstractNumId w:val="20"/>
  </w:num>
  <w:num w:numId="43" w16cid:durableId="428089243">
    <w:abstractNumId w:val="14"/>
  </w:num>
  <w:num w:numId="44" w16cid:durableId="82647767">
    <w:abstractNumId w:val="36"/>
  </w:num>
  <w:num w:numId="45" w16cid:durableId="215163427">
    <w:abstractNumId w:val="16"/>
  </w:num>
  <w:num w:numId="46" w16cid:durableId="1639922006">
    <w:abstractNumId w:val="44"/>
    <w:lvlOverride w:ilvl="0">
      <w:startOverride w:val="1"/>
    </w:lvlOverride>
  </w:num>
  <w:num w:numId="47" w16cid:durableId="1509101590">
    <w:abstractNumId w:val="17"/>
  </w:num>
  <w:num w:numId="48" w16cid:durableId="148165204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evenAndOddHeaders/>
  <w:drawingGridHorizontalSpacing w:val="110"/>
  <w:displayHorizontalDrawingGridEvery w:val="2"/>
  <w:characterSpacingControl w:val="doNotCompress"/>
  <w:hdrShapeDefaults>
    <o:shapedefaults v:ext="edit" spidmax="2050">
      <o:colormru v:ext="edit" colors="#ecf4dd,#eaecee,#fcec0a,#fcecdb,#f1daf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443"/>
    <w:rsid w:val="00000B00"/>
    <w:rsid w:val="00001128"/>
    <w:rsid w:val="0000209D"/>
    <w:rsid w:val="000022E1"/>
    <w:rsid w:val="00002724"/>
    <w:rsid w:val="00002D96"/>
    <w:rsid w:val="00003DD9"/>
    <w:rsid w:val="0000484B"/>
    <w:rsid w:val="00004B10"/>
    <w:rsid w:val="00004D5A"/>
    <w:rsid w:val="000056D5"/>
    <w:rsid w:val="00005B8C"/>
    <w:rsid w:val="00005C79"/>
    <w:rsid w:val="00006ABD"/>
    <w:rsid w:val="0000767A"/>
    <w:rsid w:val="00010256"/>
    <w:rsid w:val="00010596"/>
    <w:rsid w:val="00010702"/>
    <w:rsid w:val="00011630"/>
    <w:rsid w:val="00011912"/>
    <w:rsid w:val="00014E27"/>
    <w:rsid w:val="00015E7C"/>
    <w:rsid w:val="00017678"/>
    <w:rsid w:val="00017AA1"/>
    <w:rsid w:val="00020384"/>
    <w:rsid w:val="0002195D"/>
    <w:rsid w:val="000234D6"/>
    <w:rsid w:val="00023D29"/>
    <w:rsid w:val="00025C47"/>
    <w:rsid w:val="00025CDB"/>
    <w:rsid w:val="00026031"/>
    <w:rsid w:val="000262C7"/>
    <w:rsid w:val="00026389"/>
    <w:rsid w:val="00026E93"/>
    <w:rsid w:val="00027CCB"/>
    <w:rsid w:val="00031AE0"/>
    <w:rsid w:val="00031D22"/>
    <w:rsid w:val="00031F70"/>
    <w:rsid w:val="000322EF"/>
    <w:rsid w:val="00032837"/>
    <w:rsid w:val="00033FCD"/>
    <w:rsid w:val="000354C7"/>
    <w:rsid w:val="0003581C"/>
    <w:rsid w:val="0003646D"/>
    <w:rsid w:val="00036AE8"/>
    <w:rsid w:val="00036F4B"/>
    <w:rsid w:val="0003723F"/>
    <w:rsid w:val="000409D9"/>
    <w:rsid w:val="00040D10"/>
    <w:rsid w:val="00041CEC"/>
    <w:rsid w:val="000435E2"/>
    <w:rsid w:val="00043819"/>
    <w:rsid w:val="00043AB6"/>
    <w:rsid w:val="000447F9"/>
    <w:rsid w:val="00045433"/>
    <w:rsid w:val="000460C2"/>
    <w:rsid w:val="0004694F"/>
    <w:rsid w:val="00046B0C"/>
    <w:rsid w:val="00047081"/>
    <w:rsid w:val="00050267"/>
    <w:rsid w:val="000522E4"/>
    <w:rsid w:val="00053503"/>
    <w:rsid w:val="000537E7"/>
    <w:rsid w:val="00053ADA"/>
    <w:rsid w:val="000557DB"/>
    <w:rsid w:val="0005689E"/>
    <w:rsid w:val="0005692B"/>
    <w:rsid w:val="00056EE3"/>
    <w:rsid w:val="00060C1D"/>
    <w:rsid w:val="000610E1"/>
    <w:rsid w:val="0006181C"/>
    <w:rsid w:val="00061936"/>
    <w:rsid w:val="00062EC5"/>
    <w:rsid w:val="00062F22"/>
    <w:rsid w:val="0006472D"/>
    <w:rsid w:val="00064C3D"/>
    <w:rsid w:val="00064D4F"/>
    <w:rsid w:val="000664E1"/>
    <w:rsid w:val="00066A92"/>
    <w:rsid w:val="0007020E"/>
    <w:rsid w:val="000712B3"/>
    <w:rsid w:val="000744F1"/>
    <w:rsid w:val="0007704E"/>
    <w:rsid w:val="00080F3C"/>
    <w:rsid w:val="000819EA"/>
    <w:rsid w:val="000824B7"/>
    <w:rsid w:val="0008263E"/>
    <w:rsid w:val="00082C19"/>
    <w:rsid w:val="00085395"/>
    <w:rsid w:val="000860FB"/>
    <w:rsid w:val="00086700"/>
    <w:rsid w:val="00086DF8"/>
    <w:rsid w:val="00087634"/>
    <w:rsid w:val="00087F2B"/>
    <w:rsid w:val="00090F62"/>
    <w:rsid w:val="0009134C"/>
    <w:rsid w:val="00092231"/>
    <w:rsid w:val="00092F8C"/>
    <w:rsid w:val="00093912"/>
    <w:rsid w:val="0009395E"/>
    <w:rsid w:val="0009438F"/>
    <w:rsid w:val="00095135"/>
    <w:rsid w:val="000951C7"/>
    <w:rsid w:val="00095D97"/>
    <w:rsid w:val="000968FA"/>
    <w:rsid w:val="00097361"/>
    <w:rsid w:val="000974D1"/>
    <w:rsid w:val="0009799E"/>
    <w:rsid w:val="000A0692"/>
    <w:rsid w:val="000A1183"/>
    <w:rsid w:val="000A2122"/>
    <w:rsid w:val="000A256D"/>
    <w:rsid w:val="000A3536"/>
    <w:rsid w:val="000A3957"/>
    <w:rsid w:val="000A3A2C"/>
    <w:rsid w:val="000A3C98"/>
    <w:rsid w:val="000A4CFF"/>
    <w:rsid w:val="000A565C"/>
    <w:rsid w:val="000A57D4"/>
    <w:rsid w:val="000A5A08"/>
    <w:rsid w:val="000A6BDB"/>
    <w:rsid w:val="000A7E10"/>
    <w:rsid w:val="000B0C26"/>
    <w:rsid w:val="000B2E84"/>
    <w:rsid w:val="000B3277"/>
    <w:rsid w:val="000B3D9C"/>
    <w:rsid w:val="000B4EFA"/>
    <w:rsid w:val="000B5132"/>
    <w:rsid w:val="000B5F58"/>
    <w:rsid w:val="000B613B"/>
    <w:rsid w:val="000B7FD1"/>
    <w:rsid w:val="000C0A4B"/>
    <w:rsid w:val="000C1805"/>
    <w:rsid w:val="000C1C67"/>
    <w:rsid w:val="000C207E"/>
    <w:rsid w:val="000C303B"/>
    <w:rsid w:val="000C3408"/>
    <w:rsid w:val="000C4A3F"/>
    <w:rsid w:val="000C4DF2"/>
    <w:rsid w:val="000C6AFD"/>
    <w:rsid w:val="000C6D60"/>
    <w:rsid w:val="000C6F50"/>
    <w:rsid w:val="000C726A"/>
    <w:rsid w:val="000C7ADD"/>
    <w:rsid w:val="000D3ACB"/>
    <w:rsid w:val="000D3FF0"/>
    <w:rsid w:val="000D48D5"/>
    <w:rsid w:val="000D4A24"/>
    <w:rsid w:val="000D50DE"/>
    <w:rsid w:val="000D5637"/>
    <w:rsid w:val="000E3B90"/>
    <w:rsid w:val="000E3F61"/>
    <w:rsid w:val="000E4376"/>
    <w:rsid w:val="000E45EF"/>
    <w:rsid w:val="000E6FBD"/>
    <w:rsid w:val="000F0B68"/>
    <w:rsid w:val="000F13D0"/>
    <w:rsid w:val="000F5116"/>
    <w:rsid w:val="000F5227"/>
    <w:rsid w:val="00100F5C"/>
    <w:rsid w:val="00101CDA"/>
    <w:rsid w:val="00101DD7"/>
    <w:rsid w:val="00102391"/>
    <w:rsid w:val="0010309C"/>
    <w:rsid w:val="00104C4C"/>
    <w:rsid w:val="001056D3"/>
    <w:rsid w:val="001062D9"/>
    <w:rsid w:val="001075D1"/>
    <w:rsid w:val="0011034F"/>
    <w:rsid w:val="0011243F"/>
    <w:rsid w:val="00112479"/>
    <w:rsid w:val="00113466"/>
    <w:rsid w:val="00115A8D"/>
    <w:rsid w:val="00117623"/>
    <w:rsid w:val="0012011F"/>
    <w:rsid w:val="0012192F"/>
    <w:rsid w:val="00121AEA"/>
    <w:rsid w:val="001221E1"/>
    <w:rsid w:val="00122AD9"/>
    <w:rsid w:val="00123742"/>
    <w:rsid w:val="0012390C"/>
    <w:rsid w:val="00123BA2"/>
    <w:rsid w:val="00123EA3"/>
    <w:rsid w:val="0012513F"/>
    <w:rsid w:val="00125609"/>
    <w:rsid w:val="00125D69"/>
    <w:rsid w:val="001261F1"/>
    <w:rsid w:val="001318C4"/>
    <w:rsid w:val="00131915"/>
    <w:rsid w:val="00131BDF"/>
    <w:rsid w:val="00132276"/>
    <w:rsid w:val="0013332E"/>
    <w:rsid w:val="00134A27"/>
    <w:rsid w:val="001405FA"/>
    <w:rsid w:val="00140A87"/>
    <w:rsid w:val="00140C22"/>
    <w:rsid w:val="001425C3"/>
    <w:rsid w:val="00142E49"/>
    <w:rsid w:val="001441CF"/>
    <w:rsid w:val="00144525"/>
    <w:rsid w:val="00145802"/>
    <w:rsid w:val="00145E07"/>
    <w:rsid w:val="0014755F"/>
    <w:rsid w:val="001476BD"/>
    <w:rsid w:val="00147B49"/>
    <w:rsid w:val="00147E0D"/>
    <w:rsid w:val="00147F51"/>
    <w:rsid w:val="001507EC"/>
    <w:rsid w:val="001514B1"/>
    <w:rsid w:val="00151510"/>
    <w:rsid w:val="001529DB"/>
    <w:rsid w:val="00152B0C"/>
    <w:rsid w:val="00152C5B"/>
    <w:rsid w:val="00152E68"/>
    <w:rsid w:val="00154A8F"/>
    <w:rsid w:val="00155004"/>
    <w:rsid w:val="00156004"/>
    <w:rsid w:val="0015693C"/>
    <w:rsid w:val="001612F4"/>
    <w:rsid w:val="00161801"/>
    <w:rsid w:val="00161D7B"/>
    <w:rsid w:val="0016256B"/>
    <w:rsid w:val="001630CA"/>
    <w:rsid w:val="001635B9"/>
    <w:rsid w:val="00163793"/>
    <w:rsid w:val="0016420F"/>
    <w:rsid w:val="00165C94"/>
    <w:rsid w:val="00165D64"/>
    <w:rsid w:val="00166B9A"/>
    <w:rsid w:val="001706D6"/>
    <w:rsid w:val="001714F2"/>
    <w:rsid w:val="00171C40"/>
    <w:rsid w:val="0017287E"/>
    <w:rsid w:val="001737B3"/>
    <w:rsid w:val="00173E87"/>
    <w:rsid w:val="00174334"/>
    <w:rsid w:val="00174DC0"/>
    <w:rsid w:val="00175063"/>
    <w:rsid w:val="00175B9F"/>
    <w:rsid w:val="001769F3"/>
    <w:rsid w:val="00177087"/>
    <w:rsid w:val="001806A2"/>
    <w:rsid w:val="00180E26"/>
    <w:rsid w:val="00180FC4"/>
    <w:rsid w:val="00181BBC"/>
    <w:rsid w:val="001820F2"/>
    <w:rsid w:val="00182FAC"/>
    <w:rsid w:val="00184212"/>
    <w:rsid w:val="001842AC"/>
    <w:rsid w:val="00184B08"/>
    <w:rsid w:val="00185010"/>
    <w:rsid w:val="00185A34"/>
    <w:rsid w:val="0018654A"/>
    <w:rsid w:val="001865C5"/>
    <w:rsid w:val="0019143B"/>
    <w:rsid w:val="00192232"/>
    <w:rsid w:val="0019271F"/>
    <w:rsid w:val="00193CDC"/>
    <w:rsid w:val="00195620"/>
    <w:rsid w:val="00196F3D"/>
    <w:rsid w:val="001A0347"/>
    <w:rsid w:val="001A0487"/>
    <w:rsid w:val="001A09BF"/>
    <w:rsid w:val="001A1D37"/>
    <w:rsid w:val="001A1FFB"/>
    <w:rsid w:val="001A26EA"/>
    <w:rsid w:val="001A42E4"/>
    <w:rsid w:val="001A528C"/>
    <w:rsid w:val="001A5438"/>
    <w:rsid w:val="001A552F"/>
    <w:rsid w:val="001A6DE1"/>
    <w:rsid w:val="001B14BC"/>
    <w:rsid w:val="001B1B92"/>
    <w:rsid w:val="001B246F"/>
    <w:rsid w:val="001B2CA9"/>
    <w:rsid w:val="001B3110"/>
    <w:rsid w:val="001B4729"/>
    <w:rsid w:val="001B59C2"/>
    <w:rsid w:val="001B6180"/>
    <w:rsid w:val="001B62E1"/>
    <w:rsid w:val="001B6310"/>
    <w:rsid w:val="001B6C09"/>
    <w:rsid w:val="001B6CC9"/>
    <w:rsid w:val="001B7B54"/>
    <w:rsid w:val="001C04A7"/>
    <w:rsid w:val="001C05CD"/>
    <w:rsid w:val="001C1B5E"/>
    <w:rsid w:val="001C1F96"/>
    <w:rsid w:val="001C2DF4"/>
    <w:rsid w:val="001C6497"/>
    <w:rsid w:val="001C7114"/>
    <w:rsid w:val="001D0146"/>
    <w:rsid w:val="001D07CA"/>
    <w:rsid w:val="001D16A8"/>
    <w:rsid w:val="001D35D0"/>
    <w:rsid w:val="001D3E75"/>
    <w:rsid w:val="001D48B3"/>
    <w:rsid w:val="001D48D4"/>
    <w:rsid w:val="001D5A2A"/>
    <w:rsid w:val="001D5E38"/>
    <w:rsid w:val="001D68B2"/>
    <w:rsid w:val="001D7B29"/>
    <w:rsid w:val="001E0542"/>
    <w:rsid w:val="001E0E69"/>
    <w:rsid w:val="001E2362"/>
    <w:rsid w:val="001E2605"/>
    <w:rsid w:val="001E353A"/>
    <w:rsid w:val="001E3FD2"/>
    <w:rsid w:val="001E4382"/>
    <w:rsid w:val="001E504C"/>
    <w:rsid w:val="001E5085"/>
    <w:rsid w:val="001E54C6"/>
    <w:rsid w:val="001E563B"/>
    <w:rsid w:val="001E5803"/>
    <w:rsid w:val="001E5D41"/>
    <w:rsid w:val="001E6062"/>
    <w:rsid w:val="001E7360"/>
    <w:rsid w:val="001F22A0"/>
    <w:rsid w:val="001F3EDB"/>
    <w:rsid w:val="001F4597"/>
    <w:rsid w:val="001F5B15"/>
    <w:rsid w:val="001F67A0"/>
    <w:rsid w:val="001F67E9"/>
    <w:rsid w:val="001F7DD4"/>
    <w:rsid w:val="00200875"/>
    <w:rsid w:val="00200EFB"/>
    <w:rsid w:val="002013BA"/>
    <w:rsid w:val="00201ABB"/>
    <w:rsid w:val="00202E51"/>
    <w:rsid w:val="00203629"/>
    <w:rsid w:val="00203DA4"/>
    <w:rsid w:val="00204A14"/>
    <w:rsid w:val="0021031A"/>
    <w:rsid w:val="00210453"/>
    <w:rsid w:val="00211350"/>
    <w:rsid w:val="002118B9"/>
    <w:rsid w:val="00211E86"/>
    <w:rsid w:val="002144D9"/>
    <w:rsid w:val="002147C5"/>
    <w:rsid w:val="00214CF7"/>
    <w:rsid w:val="00216139"/>
    <w:rsid w:val="00216425"/>
    <w:rsid w:val="00217C5B"/>
    <w:rsid w:val="00217CAD"/>
    <w:rsid w:val="00220412"/>
    <w:rsid w:val="0022084F"/>
    <w:rsid w:val="00220F08"/>
    <w:rsid w:val="002210EF"/>
    <w:rsid w:val="002211EE"/>
    <w:rsid w:val="0022139E"/>
    <w:rsid w:val="00221763"/>
    <w:rsid w:val="00221B37"/>
    <w:rsid w:val="00222729"/>
    <w:rsid w:val="002234F2"/>
    <w:rsid w:val="0022400B"/>
    <w:rsid w:val="0022515D"/>
    <w:rsid w:val="0022526B"/>
    <w:rsid w:val="002252E0"/>
    <w:rsid w:val="002255F6"/>
    <w:rsid w:val="00225B14"/>
    <w:rsid w:val="00225FE1"/>
    <w:rsid w:val="00226932"/>
    <w:rsid w:val="002269CF"/>
    <w:rsid w:val="00226C8D"/>
    <w:rsid w:val="00226CEB"/>
    <w:rsid w:val="00226FF4"/>
    <w:rsid w:val="00227850"/>
    <w:rsid w:val="00227A53"/>
    <w:rsid w:val="00230C6E"/>
    <w:rsid w:val="00230FF6"/>
    <w:rsid w:val="002313F4"/>
    <w:rsid w:val="0023423D"/>
    <w:rsid w:val="00234285"/>
    <w:rsid w:val="00235DF4"/>
    <w:rsid w:val="00236029"/>
    <w:rsid w:val="00236443"/>
    <w:rsid w:val="0023672F"/>
    <w:rsid w:val="00241B06"/>
    <w:rsid w:val="002436BA"/>
    <w:rsid w:val="00244A15"/>
    <w:rsid w:val="0024577B"/>
    <w:rsid w:val="00246B57"/>
    <w:rsid w:val="00247319"/>
    <w:rsid w:val="002477F5"/>
    <w:rsid w:val="0024799E"/>
    <w:rsid w:val="0025314E"/>
    <w:rsid w:val="00253C0F"/>
    <w:rsid w:val="002548EA"/>
    <w:rsid w:val="002558C1"/>
    <w:rsid w:val="0025596D"/>
    <w:rsid w:val="00255E0A"/>
    <w:rsid w:val="0026041B"/>
    <w:rsid w:val="0026273F"/>
    <w:rsid w:val="002629D1"/>
    <w:rsid w:val="00264588"/>
    <w:rsid w:val="00264FF1"/>
    <w:rsid w:val="0026505B"/>
    <w:rsid w:val="00265D04"/>
    <w:rsid w:val="00265D9E"/>
    <w:rsid w:val="00267252"/>
    <w:rsid w:val="0027004A"/>
    <w:rsid w:val="00271465"/>
    <w:rsid w:val="00271D6A"/>
    <w:rsid w:val="00271F7E"/>
    <w:rsid w:val="00273548"/>
    <w:rsid w:val="0027435A"/>
    <w:rsid w:val="00275A69"/>
    <w:rsid w:val="00276221"/>
    <w:rsid w:val="0027788C"/>
    <w:rsid w:val="00280348"/>
    <w:rsid w:val="002809EE"/>
    <w:rsid w:val="002813FB"/>
    <w:rsid w:val="00283497"/>
    <w:rsid w:val="00283F2E"/>
    <w:rsid w:val="00285412"/>
    <w:rsid w:val="00285DBC"/>
    <w:rsid w:val="002876DC"/>
    <w:rsid w:val="002914B8"/>
    <w:rsid w:val="00291640"/>
    <w:rsid w:val="002922FC"/>
    <w:rsid w:val="00294911"/>
    <w:rsid w:val="0029592F"/>
    <w:rsid w:val="00296A55"/>
    <w:rsid w:val="002A01A6"/>
    <w:rsid w:val="002A16D4"/>
    <w:rsid w:val="002A1D63"/>
    <w:rsid w:val="002A230C"/>
    <w:rsid w:val="002A2B09"/>
    <w:rsid w:val="002A2FD4"/>
    <w:rsid w:val="002A4755"/>
    <w:rsid w:val="002B2299"/>
    <w:rsid w:val="002B3535"/>
    <w:rsid w:val="002B4121"/>
    <w:rsid w:val="002B4845"/>
    <w:rsid w:val="002B4D75"/>
    <w:rsid w:val="002C02CF"/>
    <w:rsid w:val="002C02EB"/>
    <w:rsid w:val="002C12F5"/>
    <w:rsid w:val="002C1377"/>
    <w:rsid w:val="002C1BB3"/>
    <w:rsid w:val="002C2803"/>
    <w:rsid w:val="002C2ECB"/>
    <w:rsid w:val="002C43BD"/>
    <w:rsid w:val="002C5FE0"/>
    <w:rsid w:val="002C60B2"/>
    <w:rsid w:val="002D0576"/>
    <w:rsid w:val="002D0E59"/>
    <w:rsid w:val="002D12DC"/>
    <w:rsid w:val="002D19F2"/>
    <w:rsid w:val="002D1DEA"/>
    <w:rsid w:val="002D2069"/>
    <w:rsid w:val="002D3023"/>
    <w:rsid w:val="002D3F57"/>
    <w:rsid w:val="002D4F48"/>
    <w:rsid w:val="002D6876"/>
    <w:rsid w:val="002D783C"/>
    <w:rsid w:val="002E02A1"/>
    <w:rsid w:val="002E05FC"/>
    <w:rsid w:val="002E182F"/>
    <w:rsid w:val="002E3BF0"/>
    <w:rsid w:val="002E42AC"/>
    <w:rsid w:val="002E4E4C"/>
    <w:rsid w:val="002E54B5"/>
    <w:rsid w:val="002E5531"/>
    <w:rsid w:val="002E559F"/>
    <w:rsid w:val="002E6113"/>
    <w:rsid w:val="002E6AB3"/>
    <w:rsid w:val="002E6CE0"/>
    <w:rsid w:val="002E6E34"/>
    <w:rsid w:val="002F0C93"/>
    <w:rsid w:val="002F1363"/>
    <w:rsid w:val="002F2227"/>
    <w:rsid w:val="002F3C21"/>
    <w:rsid w:val="002F3DA7"/>
    <w:rsid w:val="002F64C0"/>
    <w:rsid w:val="002F6F94"/>
    <w:rsid w:val="002F6FFF"/>
    <w:rsid w:val="00300650"/>
    <w:rsid w:val="003027B5"/>
    <w:rsid w:val="00302ADD"/>
    <w:rsid w:val="00304771"/>
    <w:rsid w:val="00304872"/>
    <w:rsid w:val="003052D4"/>
    <w:rsid w:val="00305E92"/>
    <w:rsid w:val="00306C5B"/>
    <w:rsid w:val="003076DD"/>
    <w:rsid w:val="00310073"/>
    <w:rsid w:val="00310351"/>
    <w:rsid w:val="00310819"/>
    <w:rsid w:val="00311100"/>
    <w:rsid w:val="00311901"/>
    <w:rsid w:val="003121C1"/>
    <w:rsid w:val="003129DA"/>
    <w:rsid w:val="00312E9C"/>
    <w:rsid w:val="00315C99"/>
    <w:rsid w:val="003166B7"/>
    <w:rsid w:val="00317908"/>
    <w:rsid w:val="00320393"/>
    <w:rsid w:val="003209D6"/>
    <w:rsid w:val="00320C1A"/>
    <w:rsid w:val="00321247"/>
    <w:rsid w:val="00321924"/>
    <w:rsid w:val="00321FF9"/>
    <w:rsid w:val="003221F3"/>
    <w:rsid w:val="003222B8"/>
    <w:rsid w:val="00323605"/>
    <w:rsid w:val="00323797"/>
    <w:rsid w:val="00325F8D"/>
    <w:rsid w:val="00326029"/>
    <w:rsid w:val="0032656E"/>
    <w:rsid w:val="003306E3"/>
    <w:rsid w:val="00331CDB"/>
    <w:rsid w:val="00332190"/>
    <w:rsid w:val="00333E16"/>
    <w:rsid w:val="00334998"/>
    <w:rsid w:val="00335A1E"/>
    <w:rsid w:val="003368F5"/>
    <w:rsid w:val="00337AC5"/>
    <w:rsid w:val="0034181E"/>
    <w:rsid w:val="0034335E"/>
    <w:rsid w:val="003445EF"/>
    <w:rsid w:val="00344668"/>
    <w:rsid w:val="003451F4"/>
    <w:rsid w:val="00345216"/>
    <w:rsid w:val="003457D6"/>
    <w:rsid w:val="003458C3"/>
    <w:rsid w:val="003462D9"/>
    <w:rsid w:val="0035030A"/>
    <w:rsid w:val="00350517"/>
    <w:rsid w:val="00351684"/>
    <w:rsid w:val="00352E3D"/>
    <w:rsid w:val="00353918"/>
    <w:rsid w:val="00355510"/>
    <w:rsid w:val="00355624"/>
    <w:rsid w:val="00355AD6"/>
    <w:rsid w:val="0035782C"/>
    <w:rsid w:val="0036026A"/>
    <w:rsid w:val="0036039D"/>
    <w:rsid w:val="0036073B"/>
    <w:rsid w:val="00360C86"/>
    <w:rsid w:val="00360FBC"/>
    <w:rsid w:val="003612D3"/>
    <w:rsid w:val="00361E3A"/>
    <w:rsid w:val="00361F0F"/>
    <w:rsid w:val="00362E90"/>
    <w:rsid w:val="0036331C"/>
    <w:rsid w:val="003634E5"/>
    <w:rsid w:val="00364FA0"/>
    <w:rsid w:val="003657F3"/>
    <w:rsid w:val="00366728"/>
    <w:rsid w:val="00366A26"/>
    <w:rsid w:val="00366F38"/>
    <w:rsid w:val="00366FAF"/>
    <w:rsid w:val="0036772A"/>
    <w:rsid w:val="00367CB3"/>
    <w:rsid w:val="00370B5C"/>
    <w:rsid w:val="00374B06"/>
    <w:rsid w:val="00374BD4"/>
    <w:rsid w:val="003750D1"/>
    <w:rsid w:val="00375A2B"/>
    <w:rsid w:val="003818DC"/>
    <w:rsid w:val="0038313A"/>
    <w:rsid w:val="00384327"/>
    <w:rsid w:val="00384A52"/>
    <w:rsid w:val="00384A54"/>
    <w:rsid w:val="003859D7"/>
    <w:rsid w:val="00385D98"/>
    <w:rsid w:val="00387AD2"/>
    <w:rsid w:val="0039192B"/>
    <w:rsid w:val="00395B42"/>
    <w:rsid w:val="00396E54"/>
    <w:rsid w:val="003A017C"/>
    <w:rsid w:val="003A023D"/>
    <w:rsid w:val="003A2472"/>
    <w:rsid w:val="003A2B4D"/>
    <w:rsid w:val="003A2D12"/>
    <w:rsid w:val="003A478C"/>
    <w:rsid w:val="003A526B"/>
    <w:rsid w:val="003A5525"/>
    <w:rsid w:val="003A6058"/>
    <w:rsid w:val="003A6B38"/>
    <w:rsid w:val="003A6E8E"/>
    <w:rsid w:val="003B0235"/>
    <w:rsid w:val="003B0859"/>
    <w:rsid w:val="003B1855"/>
    <w:rsid w:val="003B2D3D"/>
    <w:rsid w:val="003B461F"/>
    <w:rsid w:val="003B4BB5"/>
    <w:rsid w:val="003B524C"/>
    <w:rsid w:val="003B5A32"/>
    <w:rsid w:val="003B7535"/>
    <w:rsid w:val="003C11F1"/>
    <w:rsid w:val="003C308F"/>
    <w:rsid w:val="003C3490"/>
    <w:rsid w:val="003C3E52"/>
    <w:rsid w:val="003C4C2B"/>
    <w:rsid w:val="003C687F"/>
    <w:rsid w:val="003C7E62"/>
    <w:rsid w:val="003D021F"/>
    <w:rsid w:val="003D1135"/>
    <w:rsid w:val="003D1702"/>
    <w:rsid w:val="003D4412"/>
    <w:rsid w:val="003D6074"/>
    <w:rsid w:val="003D6920"/>
    <w:rsid w:val="003E2FF1"/>
    <w:rsid w:val="003E3DB8"/>
    <w:rsid w:val="003E40FE"/>
    <w:rsid w:val="003E42F4"/>
    <w:rsid w:val="003E4C91"/>
    <w:rsid w:val="003E58A7"/>
    <w:rsid w:val="003E6A39"/>
    <w:rsid w:val="003F11D9"/>
    <w:rsid w:val="003F1491"/>
    <w:rsid w:val="003F313C"/>
    <w:rsid w:val="003F37FC"/>
    <w:rsid w:val="003F4B2C"/>
    <w:rsid w:val="003F551C"/>
    <w:rsid w:val="003F5CBE"/>
    <w:rsid w:val="003F72ED"/>
    <w:rsid w:val="003F7D23"/>
    <w:rsid w:val="00400A19"/>
    <w:rsid w:val="0040101B"/>
    <w:rsid w:val="004010B3"/>
    <w:rsid w:val="004016D6"/>
    <w:rsid w:val="0040361C"/>
    <w:rsid w:val="00404F7F"/>
    <w:rsid w:val="00405480"/>
    <w:rsid w:val="004058D9"/>
    <w:rsid w:val="00407458"/>
    <w:rsid w:val="0040782B"/>
    <w:rsid w:val="00407C13"/>
    <w:rsid w:val="0041041D"/>
    <w:rsid w:val="00410638"/>
    <w:rsid w:val="00410754"/>
    <w:rsid w:val="00411C8A"/>
    <w:rsid w:val="00412D98"/>
    <w:rsid w:val="00412EDC"/>
    <w:rsid w:val="0041327E"/>
    <w:rsid w:val="0041501E"/>
    <w:rsid w:val="004150B9"/>
    <w:rsid w:val="00415467"/>
    <w:rsid w:val="004159C3"/>
    <w:rsid w:val="00416579"/>
    <w:rsid w:val="004204A7"/>
    <w:rsid w:val="00420850"/>
    <w:rsid w:val="00424AF2"/>
    <w:rsid w:val="00425371"/>
    <w:rsid w:val="00425E09"/>
    <w:rsid w:val="00426A0A"/>
    <w:rsid w:val="00431955"/>
    <w:rsid w:val="00432973"/>
    <w:rsid w:val="00432A58"/>
    <w:rsid w:val="00432C06"/>
    <w:rsid w:val="00432F4B"/>
    <w:rsid w:val="0043379F"/>
    <w:rsid w:val="00433E51"/>
    <w:rsid w:val="00434617"/>
    <w:rsid w:val="00434970"/>
    <w:rsid w:val="004354AF"/>
    <w:rsid w:val="0043582E"/>
    <w:rsid w:val="004372DC"/>
    <w:rsid w:val="00440802"/>
    <w:rsid w:val="00440900"/>
    <w:rsid w:val="0044104A"/>
    <w:rsid w:val="004414FA"/>
    <w:rsid w:val="00441BF6"/>
    <w:rsid w:val="00442055"/>
    <w:rsid w:val="00443A3C"/>
    <w:rsid w:val="00443BDD"/>
    <w:rsid w:val="004441A0"/>
    <w:rsid w:val="00444CC9"/>
    <w:rsid w:val="00444D89"/>
    <w:rsid w:val="004455BA"/>
    <w:rsid w:val="00447D51"/>
    <w:rsid w:val="004500B9"/>
    <w:rsid w:val="0045078A"/>
    <w:rsid w:val="0045086D"/>
    <w:rsid w:val="00451504"/>
    <w:rsid w:val="004517D9"/>
    <w:rsid w:val="00451BDE"/>
    <w:rsid w:val="00452746"/>
    <w:rsid w:val="00453F88"/>
    <w:rsid w:val="004545ED"/>
    <w:rsid w:val="00454F11"/>
    <w:rsid w:val="00457047"/>
    <w:rsid w:val="0045727E"/>
    <w:rsid w:val="00460FB3"/>
    <w:rsid w:val="00461115"/>
    <w:rsid w:val="004615B2"/>
    <w:rsid w:val="0046167C"/>
    <w:rsid w:val="00462A13"/>
    <w:rsid w:val="00463463"/>
    <w:rsid w:val="00463661"/>
    <w:rsid w:val="00464621"/>
    <w:rsid w:val="00464BF4"/>
    <w:rsid w:val="0046588D"/>
    <w:rsid w:val="00466519"/>
    <w:rsid w:val="00470F34"/>
    <w:rsid w:val="00472C42"/>
    <w:rsid w:val="00472CBB"/>
    <w:rsid w:val="00472D76"/>
    <w:rsid w:val="00473240"/>
    <w:rsid w:val="00474C10"/>
    <w:rsid w:val="00476240"/>
    <w:rsid w:val="00476439"/>
    <w:rsid w:val="0047735C"/>
    <w:rsid w:val="004776BC"/>
    <w:rsid w:val="00480239"/>
    <w:rsid w:val="00481390"/>
    <w:rsid w:val="0048139F"/>
    <w:rsid w:val="00481E40"/>
    <w:rsid w:val="0048297A"/>
    <w:rsid w:val="00484BA3"/>
    <w:rsid w:val="00484E60"/>
    <w:rsid w:val="00484ECE"/>
    <w:rsid w:val="00485B5A"/>
    <w:rsid w:val="00487CB4"/>
    <w:rsid w:val="00490D16"/>
    <w:rsid w:val="004915CB"/>
    <w:rsid w:val="00491B47"/>
    <w:rsid w:val="004924DC"/>
    <w:rsid w:val="00492A59"/>
    <w:rsid w:val="00494317"/>
    <w:rsid w:val="0049733B"/>
    <w:rsid w:val="004A03CF"/>
    <w:rsid w:val="004A14E4"/>
    <w:rsid w:val="004A3212"/>
    <w:rsid w:val="004A3285"/>
    <w:rsid w:val="004A4158"/>
    <w:rsid w:val="004A4643"/>
    <w:rsid w:val="004A4A88"/>
    <w:rsid w:val="004A5494"/>
    <w:rsid w:val="004A61C5"/>
    <w:rsid w:val="004A69F2"/>
    <w:rsid w:val="004A77DF"/>
    <w:rsid w:val="004B1417"/>
    <w:rsid w:val="004B17B5"/>
    <w:rsid w:val="004B2390"/>
    <w:rsid w:val="004B2835"/>
    <w:rsid w:val="004B55B7"/>
    <w:rsid w:val="004B6119"/>
    <w:rsid w:val="004B6468"/>
    <w:rsid w:val="004B711E"/>
    <w:rsid w:val="004B7125"/>
    <w:rsid w:val="004B7213"/>
    <w:rsid w:val="004C14E8"/>
    <w:rsid w:val="004C1E8B"/>
    <w:rsid w:val="004C32B6"/>
    <w:rsid w:val="004C34F2"/>
    <w:rsid w:val="004C384C"/>
    <w:rsid w:val="004C3867"/>
    <w:rsid w:val="004C4CD0"/>
    <w:rsid w:val="004C70DC"/>
    <w:rsid w:val="004D0211"/>
    <w:rsid w:val="004D0794"/>
    <w:rsid w:val="004D2529"/>
    <w:rsid w:val="004D365C"/>
    <w:rsid w:val="004D3967"/>
    <w:rsid w:val="004D626B"/>
    <w:rsid w:val="004E071D"/>
    <w:rsid w:val="004E2CE1"/>
    <w:rsid w:val="004E51EB"/>
    <w:rsid w:val="004E5A97"/>
    <w:rsid w:val="004E672F"/>
    <w:rsid w:val="004E6BFC"/>
    <w:rsid w:val="004E6EED"/>
    <w:rsid w:val="004F06F5"/>
    <w:rsid w:val="004F33A0"/>
    <w:rsid w:val="004F3E4C"/>
    <w:rsid w:val="004F3F33"/>
    <w:rsid w:val="004F4587"/>
    <w:rsid w:val="004F4B2E"/>
    <w:rsid w:val="004F4B78"/>
    <w:rsid w:val="004F4EB8"/>
    <w:rsid w:val="00502009"/>
    <w:rsid w:val="005036D2"/>
    <w:rsid w:val="005042B1"/>
    <w:rsid w:val="00504404"/>
    <w:rsid w:val="0050440D"/>
    <w:rsid w:val="005058B3"/>
    <w:rsid w:val="00505FE3"/>
    <w:rsid w:val="0050689D"/>
    <w:rsid w:val="00510084"/>
    <w:rsid w:val="0051059A"/>
    <w:rsid w:val="005108C0"/>
    <w:rsid w:val="005111FA"/>
    <w:rsid w:val="00511735"/>
    <w:rsid w:val="00511873"/>
    <w:rsid w:val="00511AFF"/>
    <w:rsid w:val="00512A2F"/>
    <w:rsid w:val="00512E34"/>
    <w:rsid w:val="00513844"/>
    <w:rsid w:val="00513B7E"/>
    <w:rsid w:val="00515349"/>
    <w:rsid w:val="00515C74"/>
    <w:rsid w:val="005174DD"/>
    <w:rsid w:val="0052007E"/>
    <w:rsid w:val="00520B53"/>
    <w:rsid w:val="00522EEA"/>
    <w:rsid w:val="0052337A"/>
    <w:rsid w:val="005235C8"/>
    <w:rsid w:val="00523FCE"/>
    <w:rsid w:val="00524FBF"/>
    <w:rsid w:val="00525137"/>
    <w:rsid w:val="005251DD"/>
    <w:rsid w:val="00526E55"/>
    <w:rsid w:val="00527F94"/>
    <w:rsid w:val="00530B89"/>
    <w:rsid w:val="0053135D"/>
    <w:rsid w:val="00532CE7"/>
    <w:rsid w:val="0053324C"/>
    <w:rsid w:val="00534210"/>
    <w:rsid w:val="00534A28"/>
    <w:rsid w:val="0054014B"/>
    <w:rsid w:val="00540B19"/>
    <w:rsid w:val="0054130E"/>
    <w:rsid w:val="00541508"/>
    <w:rsid w:val="005433DC"/>
    <w:rsid w:val="00543498"/>
    <w:rsid w:val="00543C8F"/>
    <w:rsid w:val="0054585F"/>
    <w:rsid w:val="005500AF"/>
    <w:rsid w:val="00550752"/>
    <w:rsid w:val="0055599F"/>
    <w:rsid w:val="00555C3C"/>
    <w:rsid w:val="00556D68"/>
    <w:rsid w:val="00556EF1"/>
    <w:rsid w:val="00557239"/>
    <w:rsid w:val="00557294"/>
    <w:rsid w:val="00557755"/>
    <w:rsid w:val="00557EC1"/>
    <w:rsid w:val="00560FF3"/>
    <w:rsid w:val="00562964"/>
    <w:rsid w:val="00563EB8"/>
    <w:rsid w:val="00564059"/>
    <w:rsid w:val="005647BF"/>
    <w:rsid w:val="00564AF1"/>
    <w:rsid w:val="00564FAC"/>
    <w:rsid w:val="005653B3"/>
    <w:rsid w:val="0056569C"/>
    <w:rsid w:val="00565C32"/>
    <w:rsid w:val="00566404"/>
    <w:rsid w:val="00566CAE"/>
    <w:rsid w:val="005705DD"/>
    <w:rsid w:val="00570DC6"/>
    <w:rsid w:val="0057157C"/>
    <w:rsid w:val="00572A4E"/>
    <w:rsid w:val="00572FB1"/>
    <w:rsid w:val="0057327E"/>
    <w:rsid w:val="0057364B"/>
    <w:rsid w:val="00574589"/>
    <w:rsid w:val="00574773"/>
    <w:rsid w:val="00575218"/>
    <w:rsid w:val="00575F5F"/>
    <w:rsid w:val="005774D7"/>
    <w:rsid w:val="005777D4"/>
    <w:rsid w:val="00577C25"/>
    <w:rsid w:val="00580606"/>
    <w:rsid w:val="005820B6"/>
    <w:rsid w:val="00582D01"/>
    <w:rsid w:val="00583FFD"/>
    <w:rsid w:val="00590017"/>
    <w:rsid w:val="005911BE"/>
    <w:rsid w:val="00591EC6"/>
    <w:rsid w:val="005923B1"/>
    <w:rsid w:val="00592603"/>
    <w:rsid w:val="00593152"/>
    <w:rsid w:val="00595676"/>
    <w:rsid w:val="00597817"/>
    <w:rsid w:val="00597D54"/>
    <w:rsid w:val="005A10F2"/>
    <w:rsid w:val="005A1C6C"/>
    <w:rsid w:val="005A21E0"/>
    <w:rsid w:val="005A2372"/>
    <w:rsid w:val="005A25CD"/>
    <w:rsid w:val="005A262D"/>
    <w:rsid w:val="005A28FF"/>
    <w:rsid w:val="005A3738"/>
    <w:rsid w:val="005A3DF8"/>
    <w:rsid w:val="005A425E"/>
    <w:rsid w:val="005A5549"/>
    <w:rsid w:val="005A5A30"/>
    <w:rsid w:val="005A74A4"/>
    <w:rsid w:val="005A7626"/>
    <w:rsid w:val="005B0E6C"/>
    <w:rsid w:val="005B121D"/>
    <w:rsid w:val="005B16F4"/>
    <w:rsid w:val="005B1D39"/>
    <w:rsid w:val="005B4A98"/>
    <w:rsid w:val="005B4C46"/>
    <w:rsid w:val="005B53F9"/>
    <w:rsid w:val="005B5DEF"/>
    <w:rsid w:val="005B6459"/>
    <w:rsid w:val="005B7AF7"/>
    <w:rsid w:val="005C06ED"/>
    <w:rsid w:val="005C0924"/>
    <w:rsid w:val="005C143E"/>
    <w:rsid w:val="005C2609"/>
    <w:rsid w:val="005C26FE"/>
    <w:rsid w:val="005C299F"/>
    <w:rsid w:val="005C4E7C"/>
    <w:rsid w:val="005C746A"/>
    <w:rsid w:val="005D03ED"/>
    <w:rsid w:val="005D34B1"/>
    <w:rsid w:val="005D5308"/>
    <w:rsid w:val="005D565E"/>
    <w:rsid w:val="005D5802"/>
    <w:rsid w:val="005D5D54"/>
    <w:rsid w:val="005D7119"/>
    <w:rsid w:val="005D7890"/>
    <w:rsid w:val="005E1BDA"/>
    <w:rsid w:val="005E313D"/>
    <w:rsid w:val="005E376E"/>
    <w:rsid w:val="005E565F"/>
    <w:rsid w:val="005E7019"/>
    <w:rsid w:val="005E7C78"/>
    <w:rsid w:val="005F0514"/>
    <w:rsid w:val="005F1858"/>
    <w:rsid w:val="005F18C5"/>
    <w:rsid w:val="005F3EB1"/>
    <w:rsid w:val="005F41C4"/>
    <w:rsid w:val="005F46D8"/>
    <w:rsid w:val="005F5469"/>
    <w:rsid w:val="005F7AAB"/>
    <w:rsid w:val="00600BE1"/>
    <w:rsid w:val="006030F6"/>
    <w:rsid w:val="0060408A"/>
    <w:rsid w:val="00604307"/>
    <w:rsid w:val="006044DA"/>
    <w:rsid w:val="006045F0"/>
    <w:rsid w:val="0060487F"/>
    <w:rsid w:val="00604CDA"/>
    <w:rsid w:val="00604EAD"/>
    <w:rsid w:val="00606408"/>
    <w:rsid w:val="00606E6F"/>
    <w:rsid w:val="00606F15"/>
    <w:rsid w:val="006104FB"/>
    <w:rsid w:val="006124C5"/>
    <w:rsid w:val="00612A2F"/>
    <w:rsid w:val="0061482A"/>
    <w:rsid w:val="006166D8"/>
    <w:rsid w:val="00616E05"/>
    <w:rsid w:val="0062054C"/>
    <w:rsid w:val="00622254"/>
    <w:rsid w:val="00622363"/>
    <w:rsid w:val="00624093"/>
    <w:rsid w:val="0062503F"/>
    <w:rsid w:val="0062588C"/>
    <w:rsid w:val="00627BA2"/>
    <w:rsid w:val="00630E1F"/>
    <w:rsid w:val="00630F20"/>
    <w:rsid w:val="00631BC9"/>
    <w:rsid w:val="006350D5"/>
    <w:rsid w:val="00635191"/>
    <w:rsid w:val="00635B43"/>
    <w:rsid w:val="00637B2C"/>
    <w:rsid w:val="006404A7"/>
    <w:rsid w:val="00641F0B"/>
    <w:rsid w:val="0064287A"/>
    <w:rsid w:val="0064335A"/>
    <w:rsid w:val="00643FC3"/>
    <w:rsid w:val="00643FD3"/>
    <w:rsid w:val="006448DE"/>
    <w:rsid w:val="00644B90"/>
    <w:rsid w:val="00645133"/>
    <w:rsid w:val="006451E4"/>
    <w:rsid w:val="0064553D"/>
    <w:rsid w:val="00645B33"/>
    <w:rsid w:val="00645D1E"/>
    <w:rsid w:val="00650942"/>
    <w:rsid w:val="00650E0D"/>
    <w:rsid w:val="0065105B"/>
    <w:rsid w:val="006516CB"/>
    <w:rsid w:val="006517A7"/>
    <w:rsid w:val="00652F37"/>
    <w:rsid w:val="006533EC"/>
    <w:rsid w:val="00654154"/>
    <w:rsid w:val="0065479A"/>
    <w:rsid w:val="00655088"/>
    <w:rsid w:val="00656141"/>
    <w:rsid w:val="006567A9"/>
    <w:rsid w:val="00656B23"/>
    <w:rsid w:val="00656FC8"/>
    <w:rsid w:val="00657057"/>
    <w:rsid w:val="006574CC"/>
    <w:rsid w:val="00657D66"/>
    <w:rsid w:val="00657E87"/>
    <w:rsid w:val="00660910"/>
    <w:rsid w:val="00660F6A"/>
    <w:rsid w:val="00661EE7"/>
    <w:rsid w:val="006620C5"/>
    <w:rsid w:val="006645DB"/>
    <w:rsid w:val="00664803"/>
    <w:rsid w:val="00664BC8"/>
    <w:rsid w:val="00665BA4"/>
    <w:rsid w:val="00666348"/>
    <w:rsid w:val="006663A1"/>
    <w:rsid w:val="006679C7"/>
    <w:rsid w:val="00667AF2"/>
    <w:rsid w:val="00670242"/>
    <w:rsid w:val="006710C9"/>
    <w:rsid w:val="00671F5F"/>
    <w:rsid w:val="00673CDD"/>
    <w:rsid w:val="006740E4"/>
    <w:rsid w:val="006741AC"/>
    <w:rsid w:val="006745CB"/>
    <w:rsid w:val="006747BA"/>
    <w:rsid w:val="00674D89"/>
    <w:rsid w:val="006759FA"/>
    <w:rsid w:val="00675E37"/>
    <w:rsid w:val="00675F55"/>
    <w:rsid w:val="00680054"/>
    <w:rsid w:val="0068174E"/>
    <w:rsid w:val="00681DCE"/>
    <w:rsid w:val="00682216"/>
    <w:rsid w:val="0068260E"/>
    <w:rsid w:val="006827F0"/>
    <w:rsid w:val="00683398"/>
    <w:rsid w:val="00683C47"/>
    <w:rsid w:val="00683D7F"/>
    <w:rsid w:val="00683E1E"/>
    <w:rsid w:val="0068471C"/>
    <w:rsid w:val="00685F86"/>
    <w:rsid w:val="006864A6"/>
    <w:rsid w:val="00686E0A"/>
    <w:rsid w:val="0068704B"/>
    <w:rsid w:val="00691BCC"/>
    <w:rsid w:val="0069316A"/>
    <w:rsid w:val="00693CA2"/>
    <w:rsid w:val="00693F4A"/>
    <w:rsid w:val="00694375"/>
    <w:rsid w:val="006943B9"/>
    <w:rsid w:val="006952B0"/>
    <w:rsid w:val="006953FB"/>
    <w:rsid w:val="00695A1C"/>
    <w:rsid w:val="00695BEF"/>
    <w:rsid w:val="006977F6"/>
    <w:rsid w:val="00697A13"/>
    <w:rsid w:val="006A109C"/>
    <w:rsid w:val="006A10F4"/>
    <w:rsid w:val="006A190E"/>
    <w:rsid w:val="006A2410"/>
    <w:rsid w:val="006A3561"/>
    <w:rsid w:val="006A3F9B"/>
    <w:rsid w:val="006A46F7"/>
    <w:rsid w:val="006A4CFF"/>
    <w:rsid w:val="006A726E"/>
    <w:rsid w:val="006A7ED6"/>
    <w:rsid w:val="006B0083"/>
    <w:rsid w:val="006B0F92"/>
    <w:rsid w:val="006B18CD"/>
    <w:rsid w:val="006B1AFC"/>
    <w:rsid w:val="006B1CAA"/>
    <w:rsid w:val="006B1E28"/>
    <w:rsid w:val="006B1FE2"/>
    <w:rsid w:val="006B2799"/>
    <w:rsid w:val="006B344A"/>
    <w:rsid w:val="006B3C13"/>
    <w:rsid w:val="006B4100"/>
    <w:rsid w:val="006B424F"/>
    <w:rsid w:val="006B78D8"/>
    <w:rsid w:val="006C0340"/>
    <w:rsid w:val="006C0C0D"/>
    <w:rsid w:val="006C113F"/>
    <w:rsid w:val="006C123E"/>
    <w:rsid w:val="006C1750"/>
    <w:rsid w:val="006C1752"/>
    <w:rsid w:val="006C2D41"/>
    <w:rsid w:val="006C4905"/>
    <w:rsid w:val="006C5547"/>
    <w:rsid w:val="006C56D4"/>
    <w:rsid w:val="006C5F30"/>
    <w:rsid w:val="006C6924"/>
    <w:rsid w:val="006C6BA8"/>
    <w:rsid w:val="006C7CA6"/>
    <w:rsid w:val="006D208B"/>
    <w:rsid w:val="006D3E8A"/>
    <w:rsid w:val="006D47A4"/>
    <w:rsid w:val="006D49FF"/>
    <w:rsid w:val="006D5247"/>
    <w:rsid w:val="006D592D"/>
    <w:rsid w:val="006D61F6"/>
    <w:rsid w:val="006D6781"/>
    <w:rsid w:val="006D6B9A"/>
    <w:rsid w:val="006D75BB"/>
    <w:rsid w:val="006E1CF2"/>
    <w:rsid w:val="006E279A"/>
    <w:rsid w:val="006E27B1"/>
    <w:rsid w:val="006E2B04"/>
    <w:rsid w:val="006E313B"/>
    <w:rsid w:val="006E489E"/>
    <w:rsid w:val="006E54AC"/>
    <w:rsid w:val="006E58F2"/>
    <w:rsid w:val="006E7227"/>
    <w:rsid w:val="006E7B31"/>
    <w:rsid w:val="006F0120"/>
    <w:rsid w:val="006F09CB"/>
    <w:rsid w:val="006F0B6A"/>
    <w:rsid w:val="006F0DC7"/>
    <w:rsid w:val="006F398D"/>
    <w:rsid w:val="006F438E"/>
    <w:rsid w:val="006F5416"/>
    <w:rsid w:val="00700059"/>
    <w:rsid w:val="00700E03"/>
    <w:rsid w:val="00700F27"/>
    <w:rsid w:val="0070119D"/>
    <w:rsid w:val="00701A28"/>
    <w:rsid w:val="00701BEB"/>
    <w:rsid w:val="00704818"/>
    <w:rsid w:val="00705242"/>
    <w:rsid w:val="00706AD4"/>
    <w:rsid w:val="00707150"/>
    <w:rsid w:val="00707AC1"/>
    <w:rsid w:val="00707AE9"/>
    <w:rsid w:val="00710CE5"/>
    <w:rsid w:val="00711224"/>
    <w:rsid w:val="007112BD"/>
    <w:rsid w:val="0071159D"/>
    <w:rsid w:val="007122B1"/>
    <w:rsid w:val="007129B5"/>
    <w:rsid w:val="007140BE"/>
    <w:rsid w:val="0071505D"/>
    <w:rsid w:val="007157A4"/>
    <w:rsid w:val="007178A8"/>
    <w:rsid w:val="007208B8"/>
    <w:rsid w:val="007211F5"/>
    <w:rsid w:val="00721757"/>
    <w:rsid w:val="007225A9"/>
    <w:rsid w:val="0072283D"/>
    <w:rsid w:val="007232CB"/>
    <w:rsid w:val="00723946"/>
    <w:rsid w:val="007240E2"/>
    <w:rsid w:val="007248BA"/>
    <w:rsid w:val="007250FE"/>
    <w:rsid w:val="007256B5"/>
    <w:rsid w:val="00725BB5"/>
    <w:rsid w:val="007270F2"/>
    <w:rsid w:val="00727828"/>
    <w:rsid w:val="00730030"/>
    <w:rsid w:val="007302A5"/>
    <w:rsid w:val="00730711"/>
    <w:rsid w:val="00730AE8"/>
    <w:rsid w:val="00730F1B"/>
    <w:rsid w:val="007316A3"/>
    <w:rsid w:val="007317FA"/>
    <w:rsid w:val="00732CDD"/>
    <w:rsid w:val="007339BF"/>
    <w:rsid w:val="00735591"/>
    <w:rsid w:val="00736AFB"/>
    <w:rsid w:val="00737F89"/>
    <w:rsid w:val="00740EA1"/>
    <w:rsid w:val="00741493"/>
    <w:rsid w:val="00741A3D"/>
    <w:rsid w:val="0074220B"/>
    <w:rsid w:val="007427E1"/>
    <w:rsid w:val="00742EC2"/>
    <w:rsid w:val="00745508"/>
    <w:rsid w:val="007467FF"/>
    <w:rsid w:val="0075027A"/>
    <w:rsid w:val="00750971"/>
    <w:rsid w:val="00750BFF"/>
    <w:rsid w:val="00750C64"/>
    <w:rsid w:val="00752180"/>
    <w:rsid w:val="00753454"/>
    <w:rsid w:val="007534DF"/>
    <w:rsid w:val="00753CAB"/>
    <w:rsid w:val="00755202"/>
    <w:rsid w:val="007554BD"/>
    <w:rsid w:val="00755B99"/>
    <w:rsid w:val="00755D3A"/>
    <w:rsid w:val="007578D3"/>
    <w:rsid w:val="007609C6"/>
    <w:rsid w:val="00760EA4"/>
    <w:rsid w:val="00761600"/>
    <w:rsid w:val="0076175D"/>
    <w:rsid w:val="007617CE"/>
    <w:rsid w:val="00762F7C"/>
    <w:rsid w:val="00763B85"/>
    <w:rsid w:val="00764FD3"/>
    <w:rsid w:val="0076521E"/>
    <w:rsid w:val="007655D2"/>
    <w:rsid w:val="00765629"/>
    <w:rsid w:val="00765BF6"/>
    <w:rsid w:val="007661E9"/>
    <w:rsid w:val="007672C6"/>
    <w:rsid w:val="00767AD0"/>
    <w:rsid w:val="00771FF6"/>
    <w:rsid w:val="007732E9"/>
    <w:rsid w:val="00773605"/>
    <w:rsid w:val="00774E36"/>
    <w:rsid w:val="00775480"/>
    <w:rsid w:val="00776169"/>
    <w:rsid w:val="00776527"/>
    <w:rsid w:val="00776C89"/>
    <w:rsid w:val="0077762A"/>
    <w:rsid w:val="00780EF1"/>
    <w:rsid w:val="0078132B"/>
    <w:rsid w:val="00781398"/>
    <w:rsid w:val="00781C0F"/>
    <w:rsid w:val="00781F7A"/>
    <w:rsid w:val="00782B78"/>
    <w:rsid w:val="00782F4F"/>
    <w:rsid w:val="00783CCB"/>
    <w:rsid w:val="00783F57"/>
    <w:rsid w:val="0078437D"/>
    <w:rsid w:val="00785A69"/>
    <w:rsid w:val="007871C9"/>
    <w:rsid w:val="00787903"/>
    <w:rsid w:val="00787B25"/>
    <w:rsid w:val="00787F15"/>
    <w:rsid w:val="00790764"/>
    <w:rsid w:val="0079095D"/>
    <w:rsid w:val="00791B5A"/>
    <w:rsid w:val="00794183"/>
    <w:rsid w:val="0079453C"/>
    <w:rsid w:val="00794677"/>
    <w:rsid w:val="007948ED"/>
    <w:rsid w:val="007968D2"/>
    <w:rsid w:val="007970DC"/>
    <w:rsid w:val="00797445"/>
    <w:rsid w:val="007A17E3"/>
    <w:rsid w:val="007A2610"/>
    <w:rsid w:val="007A317C"/>
    <w:rsid w:val="007A516D"/>
    <w:rsid w:val="007A5250"/>
    <w:rsid w:val="007A7100"/>
    <w:rsid w:val="007B188F"/>
    <w:rsid w:val="007B356F"/>
    <w:rsid w:val="007B3A96"/>
    <w:rsid w:val="007B4059"/>
    <w:rsid w:val="007B4322"/>
    <w:rsid w:val="007B4428"/>
    <w:rsid w:val="007B583C"/>
    <w:rsid w:val="007B5A8A"/>
    <w:rsid w:val="007B6689"/>
    <w:rsid w:val="007B6F5E"/>
    <w:rsid w:val="007B71C6"/>
    <w:rsid w:val="007B7F13"/>
    <w:rsid w:val="007C174A"/>
    <w:rsid w:val="007C29D1"/>
    <w:rsid w:val="007C2E6E"/>
    <w:rsid w:val="007C443D"/>
    <w:rsid w:val="007C4E0E"/>
    <w:rsid w:val="007C5E1F"/>
    <w:rsid w:val="007C65E8"/>
    <w:rsid w:val="007C6BBD"/>
    <w:rsid w:val="007C7443"/>
    <w:rsid w:val="007C7F29"/>
    <w:rsid w:val="007D0553"/>
    <w:rsid w:val="007D15F4"/>
    <w:rsid w:val="007D2975"/>
    <w:rsid w:val="007D2DA7"/>
    <w:rsid w:val="007D342C"/>
    <w:rsid w:val="007D40DF"/>
    <w:rsid w:val="007D5B74"/>
    <w:rsid w:val="007D7139"/>
    <w:rsid w:val="007D7F01"/>
    <w:rsid w:val="007E1365"/>
    <w:rsid w:val="007E25C8"/>
    <w:rsid w:val="007E29B4"/>
    <w:rsid w:val="007E3625"/>
    <w:rsid w:val="007E435A"/>
    <w:rsid w:val="007E5D94"/>
    <w:rsid w:val="007E7E61"/>
    <w:rsid w:val="007F0845"/>
    <w:rsid w:val="007F24F4"/>
    <w:rsid w:val="007F307A"/>
    <w:rsid w:val="007F6620"/>
    <w:rsid w:val="007F708D"/>
    <w:rsid w:val="00801BFB"/>
    <w:rsid w:val="00801E13"/>
    <w:rsid w:val="00806686"/>
    <w:rsid w:val="00807B7B"/>
    <w:rsid w:val="00807C82"/>
    <w:rsid w:val="00811590"/>
    <w:rsid w:val="0081237C"/>
    <w:rsid w:val="008124FC"/>
    <w:rsid w:val="00813E3C"/>
    <w:rsid w:val="00814B15"/>
    <w:rsid w:val="0081562A"/>
    <w:rsid w:val="0081565E"/>
    <w:rsid w:val="008161DB"/>
    <w:rsid w:val="00816905"/>
    <w:rsid w:val="00817343"/>
    <w:rsid w:val="008207EF"/>
    <w:rsid w:val="00820A4A"/>
    <w:rsid w:val="00821277"/>
    <w:rsid w:val="00821777"/>
    <w:rsid w:val="008217F0"/>
    <w:rsid w:val="00821FF6"/>
    <w:rsid w:val="00822574"/>
    <w:rsid w:val="00823182"/>
    <w:rsid w:val="008241CD"/>
    <w:rsid w:val="00825C4D"/>
    <w:rsid w:val="00827DE6"/>
    <w:rsid w:val="00827EA6"/>
    <w:rsid w:val="0083143E"/>
    <w:rsid w:val="00831CDE"/>
    <w:rsid w:val="00832105"/>
    <w:rsid w:val="00833895"/>
    <w:rsid w:val="00833B3D"/>
    <w:rsid w:val="00833FF1"/>
    <w:rsid w:val="00834304"/>
    <w:rsid w:val="008343A4"/>
    <w:rsid w:val="00834710"/>
    <w:rsid w:val="00834FAA"/>
    <w:rsid w:val="00835C7A"/>
    <w:rsid w:val="00836086"/>
    <w:rsid w:val="0084234E"/>
    <w:rsid w:val="00844B49"/>
    <w:rsid w:val="00845975"/>
    <w:rsid w:val="008459FF"/>
    <w:rsid w:val="00846121"/>
    <w:rsid w:val="00846366"/>
    <w:rsid w:val="0084708F"/>
    <w:rsid w:val="008477C8"/>
    <w:rsid w:val="00847BA0"/>
    <w:rsid w:val="00850DE0"/>
    <w:rsid w:val="0085114D"/>
    <w:rsid w:val="00851BB5"/>
    <w:rsid w:val="00852217"/>
    <w:rsid w:val="0085343F"/>
    <w:rsid w:val="008539D1"/>
    <w:rsid w:val="00854AD0"/>
    <w:rsid w:val="00855408"/>
    <w:rsid w:val="00855A1F"/>
    <w:rsid w:val="00856069"/>
    <w:rsid w:val="00856D65"/>
    <w:rsid w:val="00857DDE"/>
    <w:rsid w:val="00860BA9"/>
    <w:rsid w:val="00861B41"/>
    <w:rsid w:val="00861BE3"/>
    <w:rsid w:val="00863434"/>
    <w:rsid w:val="00863B2B"/>
    <w:rsid w:val="00865C90"/>
    <w:rsid w:val="00865E4C"/>
    <w:rsid w:val="008701E4"/>
    <w:rsid w:val="0087040B"/>
    <w:rsid w:val="00871069"/>
    <w:rsid w:val="0087121C"/>
    <w:rsid w:val="00872C61"/>
    <w:rsid w:val="00875A32"/>
    <w:rsid w:val="00875E9E"/>
    <w:rsid w:val="00876086"/>
    <w:rsid w:val="008774DC"/>
    <w:rsid w:val="00877817"/>
    <w:rsid w:val="008804E9"/>
    <w:rsid w:val="00880D2A"/>
    <w:rsid w:val="0088128D"/>
    <w:rsid w:val="008815BC"/>
    <w:rsid w:val="0088160C"/>
    <w:rsid w:val="008819A3"/>
    <w:rsid w:val="008825B0"/>
    <w:rsid w:val="00883762"/>
    <w:rsid w:val="00883991"/>
    <w:rsid w:val="00884124"/>
    <w:rsid w:val="00884AD6"/>
    <w:rsid w:val="0088582F"/>
    <w:rsid w:val="00886EB0"/>
    <w:rsid w:val="008873D4"/>
    <w:rsid w:val="00887FC8"/>
    <w:rsid w:val="00891049"/>
    <w:rsid w:val="0089126C"/>
    <w:rsid w:val="008917FE"/>
    <w:rsid w:val="0089296D"/>
    <w:rsid w:val="00893E85"/>
    <w:rsid w:val="00894031"/>
    <w:rsid w:val="00895508"/>
    <w:rsid w:val="0089685F"/>
    <w:rsid w:val="0089721E"/>
    <w:rsid w:val="00897506"/>
    <w:rsid w:val="00897C11"/>
    <w:rsid w:val="008A0C81"/>
    <w:rsid w:val="008A60E8"/>
    <w:rsid w:val="008A64A6"/>
    <w:rsid w:val="008A6745"/>
    <w:rsid w:val="008A73F2"/>
    <w:rsid w:val="008A7557"/>
    <w:rsid w:val="008B1171"/>
    <w:rsid w:val="008B167B"/>
    <w:rsid w:val="008B2F54"/>
    <w:rsid w:val="008B2FE5"/>
    <w:rsid w:val="008B4316"/>
    <w:rsid w:val="008B4333"/>
    <w:rsid w:val="008B483B"/>
    <w:rsid w:val="008B4FDA"/>
    <w:rsid w:val="008B5523"/>
    <w:rsid w:val="008B7C02"/>
    <w:rsid w:val="008B7D2B"/>
    <w:rsid w:val="008C0049"/>
    <w:rsid w:val="008C0445"/>
    <w:rsid w:val="008C08D8"/>
    <w:rsid w:val="008C0E88"/>
    <w:rsid w:val="008C285F"/>
    <w:rsid w:val="008C53CB"/>
    <w:rsid w:val="008C7E99"/>
    <w:rsid w:val="008C7F67"/>
    <w:rsid w:val="008D12F1"/>
    <w:rsid w:val="008D13C5"/>
    <w:rsid w:val="008D17C7"/>
    <w:rsid w:val="008D1B4D"/>
    <w:rsid w:val="008D1E6A"/>
    <w:rsid w:val="008D27D2"/>
    <w:rsid w:val="008D2A16"/>
    <w:rsid w:val="008D34AF"/>
    <w:rsid w:val="008D5DC6"/>
    <w:rsid w:val="008D7813"/>
    <w:rsid w:val="008E1880"/>
    <w:rsid w:val="008E1A36"/>
    <w:rsid w:val="008E2C57"/>
    <w:rsid w:val="008E31FF"/>
    <w:rsid w:val="008E49ED"/>
    <w:rsid w:val="008E4A1C"/>
    <w:rsid w:val="008E5AE8"/>
    <w:rsid w:val="008E6BB0"/>
    <w:rsid w:val="008E6F06"/>
    <w:rsid w:val="008E7FC9"/>
    <w:rsid w:val="008F0128"/>
    <w:rsid w:val="008F029B"/>
    <w:rsid w:val="008F069A"/>
    <w:rsid w:val="008F2791"/>
    <w:rsid w:val="008F375E"/>
    <w:rsid w:val="008F3FC9"/>
    <w:rsid w:val="008F4385"/>
    <w:rsid w:val="008F4D23"/>
    <w:rsid w:val="008F585B"/>
    <w:rsid w:val="008F5994"/>
    <w:rsid w:val="008F7B77"/>
    <w:rsid w:val="009003A8"/>
    <w:rsid w:val="00900C93"/>
    <w:rsid w:val="00902233"/>
    <w:rsid w:val="00902500"/>
    <w:rsid w:val="00902DC8"/>
    <w:rsid w:val="00902EFF"/>
    <w:rsid w:val="00904752"/>
    <w:rsid w:val="00906401"/>
    <w:rsid w:val="0090670F"/>
    <w:rsid w:val="0091155E"/>
    <w:rsid w:val="00912634"/>
    <w:rsid w:val="00912A92"/>
    <w:rsid w:val="00915AAA"/>
    <w:rsid w:val="0091728D"/>
    <w:rsid w:val="009174FA"/>
    <w:rsid w:val="00917A40"/>
    <w:rsid w:val="009203C8"/>
    <w:rsid w:val="0092042D"/>
    <w:rsid w:val="00920A97"/>
    <w:rsid w:val="0092180B"/>
    <w:rsid w:val="00921F14"/>
    <w:rsid w:val="009231A3"/>
    <w:rsid w:val="00923F80"/>
    <w:rsid w:val="009240B9"/>
    <w:rsid w:val="00924AC8"/>
    <w:rsid w:val="0092597A"/>
    <w:rsid w:val="009272A4"/>
    <w:rsid w:val="00927BC1"/>
    <w:rsid w:val="00930FB1"/>
    <w:rsid w:val="009312E4"/>
    <w:rsid w:val="0093139F"/>
    <w:rsid w:val="00932443"/>
    <w:rsid w:val="009324EF"/>
    <w:rsid w:val="009328A9"/>
    <w:rsid w:val="00932E8F"/>
    <w:rsid w:val="00932F35"/>
    <w:rsid w:val="00933121"/>
    <w:rsid w:val="00934EB8"/>
    <w:rsid w:val="00935432"/>
    <w:rsid w:val="0093776B"/>
    <w:rsid w:val="00937AE2"/>
    <w:rsid w:val="00941670"/>
    <w:rsid w:val="0094207A"/>
    <w:rsid w:val="00942992"/>
    <w:rsid w:val="00942CF8"/>
    <w:rsid w:val="009432AC"/>
    <w:rsid w:val="009437A5"/>
    <w:rsid w:val="0094427A"/>
    <w:rsid w:val="00945245"/>
    <w:rsid w:val="00946FCD"/>
    <w:rsid w:val="0094731A"/>
    <w:rsid w:val="00951606"/>
    <w:rsid w:val="00951B96"/>
    <w:rsid w:val="00953DEB"/>
    <w:rsid w:val="0095691D"/>
    <w:rsid w:val="00956983"/>
    <w:rsid w:val="0095759C"/>
    <w:rsid w:val="009607D0"/>
    <w:rsid w:val="00960E8F"/>
    <w:rsid w:val="009612F1"/>
    <w:rsid w:val="009619DC"/>
    <w:rsid w:val="00961DA7"/>
    <w:rsid w:val="0096270C"/>
    <w:rsid w:val="0096364B"/>
    <w:rsid w:val="00964303"/>
    <w:rsid w:val="00964F05"/>
    <w:rsid w:val="00964F1A"/>
    <w:rsid w:val="009652BE"/>
    <w:rsid w:val="00966025"/>
    <w:rsid w:val="00966405"/>
    <w:rsid w:val="0096694C"/>
    <w:rsid w:val="00966AEE"/>
    <w:rsid w:val="00970158"/>
    <w:rsid w:val="0097032F"/>
    <w:rsid w:val="00971090"/>
    <w:rsid w:val="00971358"/>
    <w:rsid w:val="009721DB"/>
    <w:rsid w:val="00972205"/>
    <w:rsid w:val="00972A59"/>
    <w:rsid w:val="00972E4A"/>
    <w:rsid w:val="00973735"/>
    <w:rsid w:val="009743FF"/>
    <w:rsid w:val="009744E6"/>
    <w:rsid w:val="00974923"/>
    <w:rsid w:val="00975148"/>
    <w:rsid w:val="0097575C"/>
    <w:rsid w:val="00975C2D"/>
    <w:rsid w:val="00980D3D"/>
    <w:rsid w:val="009816FF"/>
    <w:rsid w:val="00981831"/>
    <w:rsid w:val="00981ED4"/>
    <w:rsid w:val="0098211F"/>
    <w:rsid w:val="00982ACD"/>
    <w:rsid w:val="00982BD0"/>
    <w:rsid w:val="0098402C"/>
    <w:rsid w:val="00985B99"/>
    <w:rsid w:val="00986ADB"/>
    <w:rsid w:val="00987A30"/>
    <w:rsid w:val="00990210"/>
    <w:rsid w:val="00992CF3"/>
    <w:rsid w:val="009938FB"/>
    <w:rsid w:val="00993D9C"/>
    <w:rsid w:val="00994868"/>
    <w:rsid w:val="009968D6"/>
    <w:rsid w:val="009A180C"/>
    <w:rsid w:val="009A1CAB"/>
    <w:rsid w:val="009A2AFC"/>
    <w:rsid w:val="009A5349"/>
    <w:rsid w:val="009A56B6"/>
    <w:rsid w:val="009A60D1"/>
    <w:rsid w:val="009A6D06"/>
    <w:rsid w:val="009A76A7"/>
    <w:rsid w:val="009B1932"/>
    <w:rsid w:val="009B1F0B"/>
    <w:rsid w:val="009B2782"/>
    <w:rsid w:val="009B4BAF"/>
    <w:rsid w:val="009B52F3"/>
    <w:rsid w:val="009B64D1"/>
    <w:rsid w:val="009B6FD3"/>
    <w:rsid w:val="009C05E8"/>
    <w:rsid w:val="009C0ED9"/>
    <w:rsid w:val="009C1750"/>
    <w:rsid w:val="009C2E29"/>
    <w:rsid w:val="009C554B"/>
    <w:rsid w:val="009C693C"/>
    <w:rsid w:val="009C719E"/>
    <w:rsid w:val="009C7A10"/>
    <w:rsid w:val="009D0223"/>
    <w:rsid w:val="009D0B58"/>
    <w:rsid w:val="009D1131"/>
    <w:rsid w:val="009D1237"/>
    <w:rsid w:val="009D2465"/>
    <w:rsid w:val="009D39BC"/>
    <w:rsid w:val="009D3ACD"/>
    <w:rsid w:val="009D4DC4"/>
    <w:rsid w:val="009D6235"/>
    <w:rsid w:val="009D77F7"/>
    <w:rsid w:val="009E0347"/>
    <w:rsid w:val="009E03A3"/>
    <w:rsid w:val="009E2524"/>
    <w:rsid w:val="009E3BDB"/>
    <w:rsid w:val="009E5273"/>
    <w:rsid w:val="009E55AD"/>
    <w:rsid w:val="009E5DDB"/>
    <w:rsid w:val="009F2CFA"/>
    <w:rsid w:val="009F3941"/>
    <w:rsid w:val="009F4CA7"/>
    <w:rsid w:val="009F4ECC"/>
    <w:rsid w:val="009F582C"/>
    <w:rsid w:val="009F67D6"/>
    <w:rsid w:val="009F698D"/>
    <w:rsid w:val="009F7085"/>
    <w:rsid w:val="009F7509"/>
    <w:rsid w:val="009F77D8"/>
    <w:rsid w:val="00A04321"/>
    <w:rsid w:val="00A0439C"/>
    <w:rsid w:val="00A05C22"/>
    <w:rsid w:val="00A06AA1"/>
    <w:rsid w:val="00A076D5"/>
    <w:rsid w:val="00A10D66"/>
    <w:rsid w:val="00A118C8"/>
    <w:rsid w:val="00A126CC"/>
    <w:rsid w:val="00A12E08"/>
    <w:rsid w:val="00A14114"/>
    <w:rsid w:val="00A1498C"/>
    <w:rsid w:val="00A14EFD"/>
    <w:rsid w:val="00A16413"/>
    <w:rsid w:val="00A16E1D"/>
    <w:rsid w:val="00A171A3"/>
    <w:rsid w:val="00A17D5B"/>
    <w:rsid w:val="00A20B57"/>
    <w:rsid w:val="00A23305"/>
    <w:rsid w:val="00A23E43"/>
    <w:rsid w:val="00A25216"/>
    <w:rsid w:val="00A260BE"/>
    <w:rsid w:val="00A279A0"/>
    <w:rsid w:val="00A30942"/>
    <w:rsid w:val="00A30F65"/>
    <w:rsid w:val="00A31FD4"/>
    <w:rsid w:val="00A331E6"/>
    <w:rsid w:val="00A33A89"/>
    <w:rsid w:val="00A345C6"/>
    <w:rsid w:val="00A34C23"/>
    <w:rsid w:val="00A37F31"/>
    <w:rsid w:val="00A4078F"/>
    <w:rsid w:val="00A40D93"/>
    <w:rsid w:val="00A40EAC"/>
    <w:rsid w:val="00A40FE0"/>
    <w:rsid w:val="00A41568"/>
    <w:rsid w:val="00A418BC"/>
    <w:rsid w:val="00A434DE"/>
    <w:rsid w:val="00A461F2"/>
    <w:rsid w:val="00A46DE0"/>
    <w:rsid w:val="00A5015F"/>
    <w:rsid w:val="00A508CB"/>
    <w:rsid w:val="00A50D73"/>
    <w:rsid w:val="00A50F37"/>
    <w:rsid w:val="00A51CDA"/>
    <w:rsid w:val="00A51ED9"/>
    <w:rsid w:val="00A52CAD"/>
    <w:rsid w:val="00A53FC7"/>
    <w:rsid w:val="00A54062"/>
    <w:rsid w:val="00A548FE"/>
    <w:rsid w:val="00A55588"/>
    <w:rsid w:val="00A55F61"/>
    <w:rsid w:val="00A60080"/>
    <w:rsid w:val="00A6148D"/>
    <w:rsid w:val="00A61517"/>
    <w:rsid w:val="00A62130"/>
    <w:rsid w:val="00A624C3"/>
    <w:rsid w:val="00A62CE1"/>
    <w:rsid w:val="00A62D32"/>
    <w:rsid w:val="00A64A96"/>
    <w:rsid w:val="00A66A9D"/>
    <w:rsid w:val="00A66E67"/>
    <w:rsid w:val="00A66F56"/>
    <w:rsid w:val="00A67213"/>
    <w:rsid w:val="00A6741E"/>
    <w:rsid w:val="00A70F6A"/>
    <w:rsid w:val="00A7106F"/>
    <w:rsid w:val="00A7237E"/>
    <w:rsid w:val="00A72902"/>
    <w:rsid w:val="00A75E40"/>
    <w:rsid w:val="00A7607F"/>
    <w:rsid w:val="00A776F6"/>
    <w:rsid w:val="00A77D1D"/>
    <w:rsid w:val="00A8051D"/>
    <w:rsid w:val="00A83420"/>
    <w:rsid w:val="00A83CE5"/>
    <w:rsid w:val="00A84A6A"/>
    <w:rsid w:val="00A857C0"/>
    <w:rsid w:val="00A857E5"/>
    <w:rsid w:val="00A8580D"/>
    <w:rsid w:val="00A86602"/>
    <w:rsid w:val="00A9048E"/>
    <w:rsid w:val="00A90F6C"/>
    <w:rsid w:val="00A90FED"/>
    <w:rsid w:val="00A935FE"/>
    <w:rsid w:val="00A9418D"/>
    <w:rsid w:val="00A95B59"/>
    <w:rsid w:val="00A9743E"/>
    <w:rsid w:val="00A97A8A"/>
    <w:rsid w:val="00AA029D"/>
    <w:rsid w:val="00AA0A71"/>
    <w:rsid w:val="00AA113D"/>
    <w:rsid w:val="00AA2996"/>
    <w:rsid w:val="00AA456D"/>
    <w:rsid w:val="00AA4ED2"/>
    <w:rsid w:val="00AA52BF"/>
    <w:rsid w:val="00AA559A"/>
    <w:rsid w:val="00AA708D"/>
    <w:rsid w:val="00AA77D2"/>
    <w:rsid w:val="00AA792F"/>
    <w:rsid w:val="00AA7980"/>
    <w:rsid w:val="00AB0284"/>
    <w:rsid w:val="00AB1182"/>
    <w:rsid w:val="00AB1E57"/>
    <w:rsid w:val="00AB29C6"/>
    <w:rsid w:val="00AB2AF1"/>
    <w:rsid w:val="00AB347D"/>
    <w:rsid w:val="00AB478F"/>
    <w:rsid w:val="00AC0091"/>
    <w:rsid w:val="00AC0732"/>
    <w:rsid w:val="00AC1E82"/>
    <w:rsid w:val="00AC224B"/>
    <w:rsid w:val="00AC2359"/>
    <w:rsid w:val="00AC2482"/>
    <w:rsid w:val="00AC2885"/>
    <w:rsid w:val="00AC2B78"/>
    <w:rsid w:val="00AC42FE"/>
    <w:rsid w:val="00AC45BD"/>
    <w:rsid w:val="00AC605E"/>
    <w:rsid w:val="00AD0253"/>
    <w:rsid w:val="00AD0771"/>
    <w:rsid w:val="00AD0D0E"/>
    <w:rsid w:val="00AD1119"/>
    <w:rsid w:val="00AD168E"/>
    <w:rsid w:val="00AD2F1C"/>
    <w:rsid w:val="00AD306C"/>
    <w:rsid w:val="00AD5A73"/>
    <w:rsid w:val="00AD68C4"/>
    <w:rsid w:val="00AD72A7"/>
    <w:rsid w:val="00AE09B3"/>
    <w:rsid w:val="00AE0EB9"/>
    <w:rsid w:val="00AE176E"/>
    <w:rsid w:val="00AE1A83"/>
    <w:rsid w:val="00AE291E"/>
    <w:rsid w:val="00AE4270"/>
    <w:rsid w:val="00AE4A31"/>
    <w:rsid w:val="00AE5F81"/>
    <w:rsid w:val="00AE6AD6"/>
    <w:rsid w:val="00AF0FB3"/>
    <w:rsid w:val="00AF104F"/>
    <w:rsid w:val="00AF108F"/>
    <w:rsid w:val="00AF24B2"/>
    <w:rsid w:val="00AF2957"/>
    <w:rsid w:val="00AF3E41"/>
    <w:rsid w:val="00AF5D0A"/>
    <w:rsid w:val="00AF6128"/>
    <w:rsid w:val="00AF685A"/>
    <w:rsid w:val="00B00034"/>
    <w:rsid w:val="00B003E4"/>
    <w:rsid w:val="00B00913"/>
    <w:rsid w:val="00B0140A"/>
    <w:rsid w:val="00B01593"/>
    <w:rsid w:val="00B0175C"/>
    <w:rsid w:val="00B023F2"/>
    <w:rsid w:val="00B02B19"/>
    <w:rsid w:val="00B035C6"/>
    <w:rsid w:val="00B04705"/>
    <w:rsid w:val="00B047A2"/>
    <w:rsid w:val="00B04A38"/>
    <w:rsid w:val="00B05641"/>
    <w:rsid w:val="00B073EF"/>
    <w:rsid w:val="00B07415"/>
    <w:rsid w:val="00B10A4D"/>
    <w:rsid w:val="00B11B62"/>
    <w:rsid w:val="00B11EEF"/>
    <w:rsid w:val="00B12572"/>
    <w:rsid w:val="00B12726"/>
    <w:rsid w:val="00B12947"/>
    <w:rsid w:val="00B131B0"/>
    <w:rsid w:val="00B13D2C"/>
    <w:rsid w:val="00B145D0"/>
    <w:rsid w:val="00B14BC1"/>
    <w:rsid w:val="00B15561"/>
    <w:rsid w:val="00B155A3"/>
    <w:rsid w:val="00B1568F"/>
    <w:rsid w:val="00B1631C"/>
    <w:rsid w:val="00B1681F"/>
    <w:rsid w:val="00B16ED9"/>
    <w:rsid w:val="00B17E42"/>
    <w:rsid w:val="00B17E71"/>
    <w:rsid w:val="00B17FDE"/>
    <w:rsid w:val="00B20BB1"/>
    <w:rsid w:val="00B21C3C"/>
    <w:rsid w:val="00B2379C"/>
    <w:rsid w:val="00B245FC"/>
    <w:rsid w:val="00B24748"/>
    <w:rsid w:val="00B247C9"/>
    <w:rsid w:val="00B24D78"/>
    <w:rsid w:val="00B2687D"/>
    <w:rsid w:val="00B268A6"/>
    <w:rsid w:val="00B27963"/>
    <w:rsid w:val="00B306DC"/>
    <w:rsid w:val="00B30D70"/>
    <w:rsid w:val="00B32DDB"/>
    <w:rsid w:val="00B33700"/>
    <w:rsid w:val="00B34528"/>
    <w:rsid w:val="00B34CC9"/>
    <w:rsid w:val="00B35999"/>
    <w:rsid w:val="00B35F2C"/>
    <w:rsid w:val="00B402A2"/>
    <w:rsid w:val="00B402FC"/>
    <w:rsid w:val="00B409F6"/>
    <w:rsid w:val="00B40C70"/>
    <w:rsid w:val="00B417F4"/>
    <w:rsid w:val="00B41B15"/>
    <w:rsid w:val="00B41E5E"/>
    <w:rsid w:val="00B421C9"/>
    <w:rsid w:val="00B43255"/>
    <w:rsid w:val="00B439DA"/>
    <w:rsid w:val="00B4440B"/>
    <w:rsid w:val="00B464AF"/>
    <w:rsid w:val="00B46604"/>
    <w:rsid w:val="00B46D77"/>
    <w:rsid w:val="00B50B58"/>
    <w:rsid w:val="00B51356"/>
    <w:rsid w:val="00B5179B"/>
    <w:rsid w:val="00B530CD"/>
    <w:rsid w:val="00B536DD"/>
    <w:rsid w:val="00B53D0B"/>
    <w:rsid w:val="00B53E3E"/>
    <w:rsid w:val="00B554E0"/>
    <w:rsid w:val="00B55B71"/>
    <w:rsid w:val="00B55F5E"/>
    <w:rsid w:val="00B5752E"/>
    <w:rsid w:val="00B57B76"/>
    <w:rsid w:val="00B60535"/>
    <w:rsid w:val="00B6122B"/>
    <w:rsid w:val="00B62355"/>
    <w:rsid w:val="00B63A11"/>
    <w:rsid w:val="00B63B6A"/>
    <w:rsid w:val="00B641C3"/>
    <w:rsid w:val="00B642BE"/>
    <w:rsid w:val="00B64C24"/>
    <w:rsid w:val="00B6608F"/>
    <w:rsid w:val="00B663D7"/>
    <w:rsid w:val="00B66DDC"/>
    <w:rsid w:val="00B67249"/>
    <w:rsid w:val="00B679FB"/>
    <w:rsid w:val="00B70C99"/>
    <w:rsid w:val="00B70E89"/>
    <w:rsid w:val="00B7145F"/>
    <w:rsid w:val="00B74213"/>
    <w:rsid w:val="00B75D58"/>
    <w:rsid w:val="00B76665"/>
    <w:rsid w:val="00B76D1E"/>
    <w:rsid w:val="00B770E4"/>
    <w:rsid w:val="00B7741A"/>
    <w:rsid w:val="00B77670"/>
    <w:rsid w:val="00B77F70"/>
    <w:rsid w:val="00B80227"/>
    <w:rsid w:val="00B804CF"/>
    <w:rsid w:val="00B80EC6"/>
    <w:rsid w:val="00B81258"/>
    <w:rsid w:val="00B81B29"/>
    <w:rsid w:val="00B83791"/>
    <w:rsid w:val="00B83A24"/>
    <w:rsid w:val="00B84CF6"/>
    <w:rsid w:val="00B85B42"/>
    <w:rsid w:val="00B87FEC"/>
    <w:rsid w:val="00B92D1D"/>
    <w:rsid w:val="00B93515"/>
    <w:rsid w:val="00B938C5"/>
    <w:rsid w:val="00B94078"/>
    <w:rsid w:val="00B952CB"/>
    <w:rsid w:val="00B95940"/>
    <w:rsid w:val="00B95A9F"/>
    <w:rsid w:val="00B96272"/>
    <w:rsid w:val="00B96613"/>
    <w:rsid w:val="00B97499"/>
    <w:rsid w:val="00B978C1"/>
    <w:rsid w:val="00B97B49"/>
    <w:rsid w:val="00BA007C"/>
    <w:rsid w:val="00BA066E"/>
    <w:rsid w:val="00BA0E9B"/>
    <w:rsid w:val="00BA11A1"/>
    <w:rsid w:val="00BA1627"/>
    <w:rsid w:val="00BA213E"/>
    <w:rsid w:val="00BA3A6A"/>
    <w:rsid w:val="00BA4175"/>
    <w:rsid w:val="00BA43A6"/>
    <w:rsid w:val="00BA50CC"/>
    <w:rsid w:val="00BA5149"/>
    <w:rsid w:val="00BA5C1D"/>
    <w:rsid w:val="00BA60B4"/>
    <w:rsid w:val="00BA6C2B"/>
    <w:rsid w:val="00BB099E"/>
    <w:rsid w:val="00BB0A40"/>
    <w:rsid w:val="00BB12BC"/>
    <w:rsid w:val="00BB14BF"/>
    <w:rsid w:val="00BB25B7"/>
    <w:rsid w:val="00BB2F43"/>
    <w:rsid w:val="00BB33C1"/>
    <w:rsid w:val="00BB46F3"/>
    <w:rsid w:val="00BB4C12"/>
    <w:rsid w:val="00BB4CB1"/>
    <w:rsid w:val="00BB4F98"/>
    <w:rsid w:val="00BC127C"/>
    <w:rsid w:val="00BC31C3"/>
    <w:rsid w:val="00BC3472"/>
    <w:rsid w:val="00BC4118"/>
    <w:rsid w:val="00BC595A"/>
    <w:rsid w:val="00BC5C12"/>
    <w:rsid w:val="00BC6349"/>
    <w:rsid w:val="00BC64FE"/>
    <w:rsid w:val="00BC6E6A"/>
    <w:rsid w:val="00BC7154"/>
    <w:rsid w:val="00BC731E"/>
    <w:rsid w:val="00BC7713"/>
    <w:rsid w:val="00BD05F4"/>
    <w:rsid w:val="00BD1281"/>
    <w:rsid w:val="00BD157E"/>
    <w:rsid w:val="00BD1E30"/>
    <w:rsid w:val="00BD366B"/>
    <w:rsid w:val="00BD4F61"/>
    <w:rsid w:val="00BD5003"/>
    <w:rsid w:val="00BD5976"/>
    <w:rsid w:val="00BD5BF6"/>
    <w:rsid w:val="00BD6D50"/>
    <w:rsid w:val="00BE06D1"/>
    <w:rsid w:val="00BE0A1D"/>
    <w:rsid w:val="00BE107D"/>
    <w:rsid w:val="00BE18B9"/>
    <w:rsid w:val="00BE2034"/>
    <w:rsid w:val="00BE2493"/>
    <w:rsid w:val="00BE2495"/>
    <w:rsid w:val="00BE2EB8"/>
    <w:rsid w:val="00BE7E97"/>
    <w:rsid w:val="00BF10F5"/>
    <w:rsid w:val="00BF1578"/>
    <w:rsid w:val="00BF2616"/>
    <w:rsid w:val="00BF403B"/>
    <w:rsid w:val="00BF41E2"/>
    <w:rsid w:val="00BF46DD"/>
    <w:rsid w:val="00BF68BB"/>
    <w:rsid w:val="00C01C7B"/>
    <w:rsid w:val="00C03723"/>
    <w:rsid w:val="00C047C7"/>
    <w:rsid w:val="00C05690"/>
    <w:rsid w:val="00C05D23"/>
    <w:rsid w:val="00C07FF2"/>
    <w:rsid w:val="00C10383"/>
    <w:rsid w:val="00C10613"/>
    <w:rsid w:val="00C106AE"/>
    <w:rsid w:val="00C1101A"/>
    <w:rsid w:val="00C1144F"/>
    <w:rsid w:val="00C13324"/>
    <w:rsid w:val="00C14D89"/>
    <w:rsid w:val="00C15D65"/>
    <w:rsid w:val="00C16030"/>
    <w:rsid w:val="00C16A6F"/>
    <w:rsid w:val="00C206B0"/>
    <w:rsid w:val="00C20ECF"/>
    <w:rsid w:val="00C21F94"/>
    <w:rsid w:val="00C232F2"/>
    <w:rsid w:val="00C24CBB"/>
    <w:rsid w:val="00C24F9F"/>
    <w:rsid w:val="00C253E5"/>
    <w:rsid w:val="00C25842"/>
    <w:rsid w:val="00C26052"/>
    <w:rsid w:val="00C2611D"/>
    <w:rsid w:val="00C27913"/>
    <w:rsid w:val="00C27D07"/>
    <w:rsid w:val="00C33B68"/>
    <w:rsid w:val="00C3459E"/>
    <w:rsid w:val="00C35666"/>
    <w:rsid w:val="00C3627A"/>
    <w:rsid w:val="00C36A79"/>
    <w:rsid w:val="00C379E5"/>
    <w:rsid w:val="00C37B47"/>
    <w:rsid w:val="00C401D2"/>
    <w:rsid w:val="00C405D4"/>
    <w:rsid w:val="00C40E78"/>
    <w:rsid w:val="00C41EDB"/>
    <w:rsid w:val="00C43327"/>
    <w:rsid w:val="00C437E2"/>
    <w:rsid w:val="00C438C9"/>
    <w:rsid w:val="00C43A79"/>
    <w:rsid w:val="00C446A2"/>
    <w:rsid w:val="00C4513B"/>
    <w:rsid w:val="00C46168"/>
    <w:rsid w:val="00C467CF"/>
    <w:rsid w:val="00C50278"/>
    <w:rsid w:val="00C50D23"/>
    <w:rsid w:val="00C50D32"/>
    <w:rsid w:val="00C52271"/>
    <w:rsid w:val="00C5390B"/>
    <w:rsid w:val="00C54697"/>
    <w:rsid w:val="00C5619B"/>
    <w:rsid w:val="00C561C8"/>
    <w:rsid w:val="00C611D4"/>
    <w:rsid w:val="00C615C3"/>
    <w:rsid w:val="00C6281A"/>
    <w:rsid w:val="00C641A6"/>
    <w:rsid w:val="00C64292"/>
    <w:rsid w:val="00C64A07"/>
    <w:rsid w:val="00C64EFA"/>
    <w:rsid w:val="00C65C3F"/>
    <w:rsid w:val="00C66688"/>
    <w:rsid w:val="00C66D7C"/>
    <w:rsid w:val="00C672E6"/>
    <w:rsid w:val="00C67D9A"/>
    <w:rsid w:val="00C71017"/>
    <w:rsid w:val="00C717F9"/>
    <w:rsid w:val="00C73885"/>
    <w:rsid w:val="00C747B1"/>
    <w:rsid w:val="00C74FFE"/>
    <w:rsid w:val="00C769D3"/>
    <w:rsid w:val="00C77514"/>
    <w:rsid w:val="00C800FC"/>
    <w:rsid w:val="00C805C5"/>
    <w:rsid w:val="00C80971"/>
    <w:rsid w:val="00C82191"/>
    <w:rsid w:val="00C83134"/>
    <w:rsid w:val="00C841AF"/>
    <w:rsid w:val="00C84212"/>
    <w:rsid w:val="00C85545"/>
    <w:rsid w:val="00C8791B"/>
    <w:rsid w:val="00C90CF4"/>
    <w:rsid w:val="00C91838"/>
    <w:rsid w:val="00C92EB6"/>
    <w:rsid w:val="00C93389"/>
    <w:rsid w:val="00C93F1A"/>
    <w:rsid w:val="00C94401"/>
    <w:rsid w:val="00C94B63"/>
    <w:rsid w:val="00C952FB"/>
    <w:rsid w:val="00C96C30"/>
    <w:rsid w:val="00C976FB"/>
    <w:rsid w:val="00C978AC"/>
    <w:rsid w:val="00C97B70"/>
    <w:rsid w:val="00CA0914"/>
    <w:rsid w:val="00CA115A"/>
    <w:rsid w:val="00CA32CC"/>
    <w:rsid w:val="00CA3633"/>
    <w:rsid w:val="00CA6180"/>
    <w:rsid w:val="00CA6AB4"/>
    <w:rsid w:val="00CB0C2D"/>
    <w:rsid w:val="00CB26CA"/>
    <w:rsid w:val="00CB2B1B"/>
    <w:rsid w:val="00CB4930"/>
    <w:rsid w:val="00CB49A7"/>
    <w:rsid w:val="00CB5CF9"/>
    <w:rsid w:val="00CB61A2"/>
    <w:rsid w:val="00CB6A56"/>
    <w:rsid w:val="00CC0A09"/>
    <w:rsid w:val="00CC1203"/>
    <w:rsid w:val="00CC136E"/>
    <w:rsid w:val="00CC2E7D"/>
    <w:rsid w:val="00CC2F52"/>
    <w:rsid w:val="00CC5675"/>
    <w:rsid w:val="00CC5DB8"/>
    <w:rsid w:val="00CD10A5"/>
    <w:rsid w:val="00CD2076"/>
    <w:rsid w:val="00CD2937"/>
    <w:rsid w:val="00CD29B5"/>
    <w:rsid w:val="00CD2ACE"/>
    <w:rsid w:val="00CD3186"/>
    <w:rsid w:val="00CD3285"/>
    <w:rsid w:val="00CD3E07"/>
    <w:rsid w:val="00CD5415"/>
    <w:rsid w:val="00CD5BA3"/>
    <w:rsid w:val="00CD6331"/>
    <w:rsid w:val="00CD6446"/>
    <w:rsid w:val="00CD6507"/>
    <w:rsid w:val="00CD7B25"/>
    <w:rsid w:val="00CE05F4"/>
    <w:rsid w:val="00CE0E88"/>
    <w:rsid w:val="00CE27D8"/>
    <w:rsid w:val="00CE34B8"/>
    <w:rsid w:val="00CE4FB5"/>
    <w:rsid w:val="00CE603A"/>
    <w:rsid w:val="00CE670B"/>
    <w:rsid w:val="00CE6CEA"/>
    <w:rsid w:val="00CE6F57"/>
    <w:rsid w:val="00CE75B2"/>
    <w:rsid w:val="00CE765C"/>
    <w:rsid w:val="00CE7F0B"/>
    <w:rsid w:val="00CF0CDC"/>
    <w:rsid w:val="00CF1FC5"/>
    <w:rsid w:val="00CF22AF"/>
    <w:rsid w:val="00CF3AEF"/>
    <w:rsid w:val="00CF4908"/>
    <w:rsid w:val="00CF4BAA"/>
    <w:rsid w:val="00CF51EC"/>
    <w:rsid w:val="00CF5C9F"/>
    <w:rsid w:val="00CF64BE"/>
    <w:rsid w:val="00CF672C"/>
    <w:rsid w:val="00CF702F"/>
    <w:rsid w:val="00CF73AE"/>
    <w:rsid w:val="00CF7A05"/>
    <w:rsid w:val="00CF7B9A"/>
    <w:rsid w:val="00CF7CDF"/>
    <w:rsid w:val="00D0029C"/>
    <w:rsid w:val="00D00BA2"/>
    <w:rsid w:val="00D01C1C"/>
    <w:rsid w:val="00D02BD2"/>
    <w:rsid w:val="00D03317"/>
    <w:rsid w:val="00D040DD"/>
    <w:rsid w:val="00D047B6"/>
    <w:rsid w:val="00D05CD0"/>
    <w:rsid w:val="00D0710C"/>
    <w:rsid w:val="00D071D3"/>
    <w:rsid w:val="00D075BE"/>
    <w:rsid w:val="00D078E6"/>
    <w:rsid w:val="00D10007"/>
    <w:rsid w:val="00D134DC"/>
    <w:rsid w:val="00D13986"/>
    <w:rsid w:val="00D141F9"/>
    <w:rsid w:val="00D1517D"/>
    <w:rsid w:val="00D15220"/>
    <w:rsid w:val="00D160F5"/>
    <w:rsid w:val="00D16C1E"/>
    <w:rsid w:val="00D16D70"/>
    <w:rsid w:val="00D17AE6"/>
    <w:rsid w:val="00D17B73"/>
    <w:rsid w:val="00D2104D"/>
    <w:rsid w:val="00D21D83"/>
    <w:rsid w:val="00D235B7"/>
    <w:rsid w:val="00D23F7E"/>
    <w:rsid w:val="00D250DC"/>
    <w:rsid w:val="00D25F28"/>
    <w:rsid w:val="00D26071"/>
    <w:rsid w:val="00D26105"/>
    <w:rsid w:val="00D2768B"/>
    <w:rsid w:val="00D27914"/>
    <w:rsid w:val="00D27973"/>
    <w:rsid w:val="00D30A70"/>
    <w:rsid w:val="00D3310D"/>
    <w:rsid w:val="00D33CAC"/>
    <w:rsid w:val="00D33E27"/>
    <w:rsid w:val="00D34CC3"/>
    <w:rsid w:val="00D35921"/>
    <w:rsid w:val="00D35E1A"/>
    <w:rsid w:val="00D40424"/>
    <w:rsid w:val="00D425AB"/>
    <w:rsid w:val="00D47CD1"/>
    <w:rsid w:val="00D505CE"/>
    <w:rsid w:val="00D50F46"/>
    <w:rsid w:val="00D51C64"/>
    <w:rsid w:val="00D52CA1"/>
    <w:rsid w:val="00D57677"/>
    <w:rsid w:val="00D61326"/>
    <w:rsid w:val="00D630F1"/>
    <w:rsid w:val="00D633D2"/>
    <w:rsid w:val="00D64DD7"/>
    <w:rsid w:val="00D66223"/>
    <w:rsid w:val="00D71625"/>
    <w:rsid w:val="00D71EEE"/>
    <w:rsid w:val="00D73087"/>
    <w:rsid w:val="00D74BD3"/>
    <w:rsid w:val="00D75FE8"/>
    <w:rsid w:val="00D76112"/>
    <w:rsid w:val="00D76A18"/>
    <w:rsid w:val="00D8064E"/>
    <w:rsid w:val="00D8084C"/>
    <w:rsid w:val="00D80E50"/>
    <w:rsid w:val="00D81BE1"/>
    <w:rsid w:val="00D81FB9"/>
    <w:rsid w:val="00D827C6"/>
    <w:rsid w:val="00D82B11"/>
    <w:rsid w:val="00D83602"/>
    <w:rsid w:val="00D84DC1"/>
    <w:rsid w:val="00D8530D"/>
    <w:rsid w:val="00D85BA9"/>
    <w:rsid w:val="00D85D5E"/>
    <w:rsid w:val="00D87B10"/>
    <w:rsid w:val="00D90C5E"/>
    <w:rsid w:val="00D91566"/>
    <w:rsid w:val="00D915EA"/>
    <w:rsid w:val="00D92C17"/>
    <w:rsid w:val="00D9395B"/>
    <w:rsid w:val="00D94D95"/>
    <w:rsid w:val="00DA0A29"/>
    <w:rsid w:val="00DA235F"/>
    <w:rsid w:val="00DA24D0"/>
    <w:rsid w:val="00DA3C0A"/>
    <w:rsid w:val="00DA4C6E"/>
    <w:rsid w:val="00DA4E06"/>
    <w:rsid w:val="00DA4F20"/>
    <w:rsid w:val="00DA538E"/>
    <w:rsid w:val="00DA56D1"/>
    <w:rsid w:val="00DA7C0C"/>
    <w:rsid w:val="00DB08A9"/>
    <w:rsid w:val="00DB1312"/>
    <w:rsid w:val="00DB2EC8"/>
    <w:rsid w:val="00DB3858"/>
    <w:rsid w:val="00DB3F5C"/>
    <w:rsid w:val="00DB5E34"/>
    <w:rsid w:val="00DB759B"/>
    <w:rsid w:val="00DC0071"/>
    <w:rsid w:val="00DC1EF0"/>
    <w:rsid w:val="00DC5B3B"/>
    <w:rsid w:val="00DC713A"/>
    <w:rsid w:val="00DC7665"/>
    <w:rsid w:val="00DC774F"/>
    <w:rsid w:val="00DD0698"/>
    <w:rsid w:val="00DD129F"/>
    <w:rsid w:val="00DD1A46"/>
    <w:rsid w:val="00DD1D26"/>
    <w:rsid w:val="00DD27EF"/>
    <w:rsid w:val="00DD3153"/>
    <w:rsid w:val="00DD39A2"/>
    <w:rsid w:val="00DD5277"/>
    <w:rsid w:val="00DD5290"/>
    <w:rsid w:val="00DD5E62"/>
    <w:rsid w:val="00DE02BD"/>
    <w:rsid w:val="00DE0F3B"/>
    <w:rsid w:val="00DE2FD1"/>
    <w:rsid w:val="00DE3A08"/>
    <w:rsid w:val="00DF0CD6"/>
    <w:rsid w:val="00DF1F61"/>
    <w:rsid w:val="00DF42FF"/>
    <w:rsid w:val="00DF4435"/>
    <w:rsid w:val="00DF66E4"/>
    <w:rsid w:val="00DF6EF2"/>
    <w:rsid w:val="00DF7A52"/>
    <w:rsid w:val="00E00AB3"/>
    <w:rsid w:val="00E016D0"/>
    <w:rsid w:val="00E01C0E"/>
    <w:rsid w:val="00E02005"/>
    <w:rsid w:val="00E03F9A"/>
    <w:rsid w:val="00E04694"/>
    <w:rsid w:val="00E05A22"/>
    <w:rsid w:val="00E06132"/>
    <w:rsid w:val="00E11C33"/>
    <w:rsid w:val="00E12773"/>
    <w:rsid w:val="00E12B1E"/>
    <w:rsid w:val="00E136C1"/>
    <w:rsid w:val="00E13DC6"/>
    <w:rsid w:val="00E14EAC"/>
    <w:rsid w:val="00E15588"/>
    <w:rsid w:val="00E16B15"/>
    <w:rsid w:val="00E16F6F"/>
    <w:rsid w:val="00E17262"/>
    <w:rsid w:val="00E176F0"/>
    <w:rsid w:val="00E200D3"/>
    <w:rsid w:val="00E20290"/>
    <w:rsid w:val="00E20EAB"/>
    <w:rsid w:val="00E24AEA"/>
    <w:rsid w:val="00E24BA4"/>
    <w:rsid w:val="00E253A2"/>
    <w:rsid w:val="00E25D89"/>
    <w:rsid w:val="00E275EB"/>
    <w:rsid w:val="00E31220"/>
    <w:rsid w:val="00E3178F"/>
    <w:rsid w:val="00E328D2"/>
    <w:rsid w:val="00E3309D"/>
    <w:rsid w:val="00E3500A"/>
    <w:rsid w:val="00E36743"/>
    <w:rsid w:val="00E40373"/>
    <w:rsid w:val="00E40C69"/>
    <w:rsid w:val="00E40EF7"/>
    <w:rsid w:val="00E42FAF"/>
    <w:rsid w:val="00E44B44"/>
    <w:rsid w:val="00E46138"/>
    <w:rsid w:val="00E46470"/>
    <w:rsid w:val="00E47622"/>
    <w:rsid w:val="00E47EBA"/>
    <w:rsid w:val="00E50156"/>
    <w:rsid w:val="00E51643"/>
    <w:rsid w:val="00E527B2"/>
    <w:rsid w:val="00E53470"/>
    <w:rsid w:val="00E53883"/>
    <w:rsid w:val="00E539F6"/>
    <w:rsid w:val="00E54419"/>
    <w:rsid w:val="00E55345"/>
    <w:rsid w:val="00E57E83"/>
    <w:rsid w:val="00E613FA"/>
    <w:rsid w:val="00E6149A"/>
    <w:rsid w:val="00E61F4D"/>
    <w:rsid w:val="00E6289D"/>
    <w:rsid w:val="00E63EAC"/>
    <w:rsid w:val="00E64094"/>
    <w:rsid w:val="00E6519D"/>
    <w:rsid w:val="00E65BE3"/>
    <w:rsid w:val="00E67696"/>
    <w:rsid w:val="00E678F3"/>
    <w:rsid w:val="00E67BC9"/>
    <w:rsid w:val="00E67C58"/>
    <w:rsid w:val="00E71A58"/>
    <w:rsid w:val="00E72A7A"/>
    <w:rsid w:val="00E7523C"/>
    <w:rsid w:val="00E75466"/>
    <w:rsid w:val="00E75B0D"/>
    <w:rsid w:val="00E75C94"/>
    <w:rsid w:val="00E762AD"/>
    <w:rsid w:val="00E76A3F"/>
    <w:rsid w:val="00E77E5C"/>
    <w:rsid w:val="00E80746"/>
    <w:rsid w:val="00E80B5C"/>
    <w:rsid w:val="00E80B8A"/>
    <w:rsid w:val="00E82E50"/>
    <w:rsid w:val="00E83143"/>
    <w:rsid w:val="00E84330"/>
    <w:rsid w:val="00E84959"/>
    <w:rsid w:val="00E85536"/>
    <w:rsid w:val="00E85E57"/>
    <w:rsid w:val="00E867C3"/>
    <w:rsid w:val="00E87952"/>
    <w:rsid w:val="00E879FB"/>
    <w:rsid w:val="00E914EF"/>
    <w:rsid w:val="00E92DFE"/>
    <w:rsid w:val="00E93820"/>
    <w:rsid w:val="00E94A86"/>
    <w:rsid w:val="00E955AA"/>
    <w:rsid w:val="00E96143"/>
    <w:rsid w:val="00E963D6"/>
    <w:rsid w:val="00E97C66"/>
    <w:rsid w:val="00EA0987"/>
    <w:rsid w:val="00EA0C68"/>
    <w:rsid w:val="00EA1095"/>
    <w:rsid w:val="00EA32BC"/>
    <w:rsid w:val="00EB2447"/>
    <w:rsid w:val="00EB4258"/>
    <w:rsid w:val="00EB42ED"/>
    <w:rsid w:val="00EB4511"/>
    <w:rsid w:val="00EB46EF"/>
    <w:rsid w:val="00EB4A3B"/>
    <w:rsid w:val="00EB4B95"/>
    <w:rsid w:val="00EB5AFB"/>
    <w:rsid w:val="00EB7212"/>
    <w:rsid w:val="00EB77C9"/>
    <w:rsid w:val="00EC03D7"/>
    <w:rsid w:val="00EC0DB3"/>
    <w:rsid w:val="00EC115D"/>
    <w:rsid w:val="00EC17DB"/>
    <w:rsid w:val="00EC1F2D"/>
    <w:rsid w:val="00EC2996"/>
    <w:rsid w:val="00EC34DF"/>
    <w:rsid w:val="00EC40E8"/>
    <w:rsid w:val="00EC51BB"/>
    <w:rsid w:val="00EC6630"/>
    <w:rsid w:val="00EC7F02"/>
    <w:rsid w:val="00ED0337"/>
    <w:rsid w:val="00ED03A0"/>
    <w:rsid w:val="00ED0E37"/>
    <w:rsid w:val="00ED2AE4"/>
    <w:rsid w:val="00ED3ECA"/>
    <w:rsid w:val="00ED59D0"/>
    <w:rsid w:val="00ED62C6"/>
    <w:rsid w:val="00ED64C1"/>
    <w:rsid w:val="00ED7B4E"/>
    <w:rsid w:val="00EE09CB"/>
    <w:rsid w:val="00EE10D0"/>
    <w:rsid w:val="00EE2A7B"/>
    <w:rsid w:val="00EE3446"/>
    <w:rsid w:val="00EE3E78"/>
    <w:rsid w:val="00EE4B1B"/>
    <w:rsid w:val="00EE515A"/>
    <w:rsid w:val="00EE6242"/>
    <w:rsid w:val="00EE7F19"/>
    <w:rsid w:val="00EE7FAB"/>
    <w:rsid w:val="00EF150D"/>
    <w:rsid w:val="00EF1C85"/>
    <w:rsid w:val="00EF1F5A"/>
    <w:rsid w:val="00EF325E"/>
    <w:rsid w:val="00EF333C"/>
    <w:rsid w:val="00EF3538"/>
    <w:rsid w:val="00EF47BF"/>
    <w:rsid w:val="00EF48AB"/>
    <w:rsid w:val="00EF6A41"/>
    <w:rsid w:val="00EF7BC2"/>
    <w:rsid w:val="00F0185A"/>
    <w:rsid w:val="00F01B67"/>
    <w:rsid w:val="00F02A9B"/>
    <w:rsid w:val="00F04811"/>
    <w:rsid w:val="00F0488C"/>
    <w:rsid w:val="00F04F38"/>
    <w:rsid w:val="00F05157"/>
    <w:rsid w:val="00F05A59"/>
    <w:rsid w:val="00F07110"/>
    <w:rsid w:val="00F10432"/>
    <w:rsid w:val="00F10F11"/>
    <w:rsid w:val="00F12233"/>
    <w:rsid w:val="00F1277D"/>
    <w:rsid w:val="00F12B0B"/>
    <w:rsid w:val="00F12E85"/>
    <w:rsid w:val="00F14A26"/>
    <w:rsid w:val="00F15AAA"/>
    <w:rsid w:val="00F15BEF"/>
    <w:rsid w:val="00F169B9"/>
    <w:rsid w:val="00F17893"/>
    <w:rsid w:val="00F214D6"/>
    <w:rsid w:val="00F21BF9"/>
    <w:rsid w:val="00F22047"/>
    <w:rsid w:val="00F24407"/>
    <w:rsid w:val="00F24931"/>
    <w:rsid w:val="00F24A18"/>
    <w:rsid w:val="00F24FAA"/>
    <w:rsid w:val="00F25368"/>
    <w:rsid w:val="00F256FA"/>
    <w:rsid w:val="00F25C3D"/>
    <w:rsid w:val="00F25D36"/>
    <w:rsid w:val="00F26B70"/>
    <w:rsid w:val="00F2764F"/>
    <w:rsid w:val="00F2776B"/>
    <w:rsid w:val="00F27853"/>
    <w:rsid w:val="00F27C9E"/>
    <w:rsid w:val="00F30E9D"/>
    <w:rsid w:val="00F32A0E"/>
    <w:rsid w:val="00F32A3C"/>
    <w:rsid w:val="00F3364D"/>
    <w:rsid w:val="00F33667"/>
    <w:rsid w:val="00F33D7E"/>
    <w:rsid w:val="00F3443C"/>
    <w:rsid w:val="00F3462D"/>
    <w:rsid w:val="00F3571A"/>
    <w:rsid w:val="00F361AD"/>
    <w:rsid w:val="00F403B3"/>
    <w:rsid w:val="00F4214D"/>
    <w:rsid w:val="00F42496"/>
    <w:rsid w:val="00F437CC"/>
    <w:rsid w:val="00F44537"/>
    <w:rsid w:val="00F44B6A"/>
    <w:rsid w:val="00F45E99"/>
    <w:rsid w:val="00F4688D"/>
    <w:rsid w:val="00F47067"/>
    <w:rsid w:val="00F47341"/>
    <w:rsid w:val="00F51BF8"/>
    <w:rsid w:val="00F51CA5"/>
    <w:rsid w:val="00F51D7D"/>
    <w:rsid w:val="00F525EB"/>
    <w:rsid w:val="00F52E00"/>
    <w:rsid w:val="00F530F8"/>
    <w:rsid w:val="00F542D6"/>
    <w:rsid w:val="00F55D41"/>
    <w:rsid w:val="00F55E62"/>
    <w:rsid w:val="00F55EF3"/>
    <w:rsid w:val="00F567AD"/>
    <w:rsid w:val="00F5766E"/>
    <w:rsid w:val="00F57EF6"/>
    <w:rsid w:val="00F6132C"/>
    <w:rsid w:val="00F62DAD"/>
    <w:rsid w:val="00F62F30"/>
    <w:rsid w:val="00F63DDE"/>
    <w:rsid w:val="00F63FB7"/>
    <w:rsid w:val="00F6421B"/>
    <w:rsid w:val="00F649D2"/>
    <w:rsid w:val="00F6602B"/>
    <w:rsid w:val="00F6699E"/>
    <w:rsid w:val="00F678E2"/>
    <w:rsid w:val="00F70DA3"/>
    <w:rsid w:val="00F71ED4"/>
    <w:rsid w:val="00F726D3"/>
    <w:rsid w:val="00F72A27"/>
    <w:rsid w:val="00F7396B"/>
    <w:rsid w:val="00F73A03"/>
    <w:rsid w:val="00F73A0C"/>
    <w:rsid w:val="00F73DC2"/>
    <w:rsid w:val="00F74580"/>
    <w:rsid w:val="00F747FB"/>
    <w:rsid w:val="00F74C5B"/>
    <w:rsid w:val="00F756DB"/>
    <w:rsid w:val="00F8143E"/>
    <w:rsid w:val="00F8279A"/>
    <w:rsid w:val="00F82A88"/>
    <w:rsid w:val="00F83FCE"/>
    <w:rsid w:val="00F842CA"/>
    <w:rsid w:val="00F84381"/>
    <w:rsid w:val="00F84A11"/>
    <w:rsid w:val="00F84E7D"/>
    <w:rsid w:val="00F85066"/>
    <w:rsid w:val="00F857FF"/>
    <w:rsid w:val="00F858E6"/>
    <w:rsid w:val="00F86294"/>
    <w:rsid w:val="00F87A4D"/>
    <w:rsid w:val="00F9005D"/>
    <w:rsid w:val="00F91C37"/>
    <w:rsid w:val="00F934BA"/>
    <w:rsid w:val="00F9438D"/>
    <w:rsid w:val="00F97562"/>
    <w:rsid w:val="00F9785E"/>
    <w:rsid w:val="00FA040D"/>
    <w:rsid w:val="00FA0D8F"/>
    <w:rsid w:val="00FA1025"/>
    <w:rsid w:val="00FA2CFE"/>
    <w:rsid w:val="00FA38CB"/>
    <w:rsid w:val="00FA5AA6"/>
    <w:rsid w:val="00FA5B81"/>
    <w:rsid w:val="00FA5D4D"/>
    <w:rsid w:val="00FA60E1"/>
    <w:rsid w:val="00FA7AAE"/>
    <w:rsid w:val="00FA7F2F"/>
    <w:rsid w:val="00FB0B0C"/>
    <w:rsid w:val="00FB0CE3"/>
    <w:rsid w:val="00FB0EE2"/>
    <w:rsid w:val="00FB1FE2"/>
    <w:rsid w:val="00FB2A15"/>
    <w:rsid w:val="00FB4820"/>
    <w:rsid w:val="00FB4E50"/>
    <w:rsid w:val="00FB5207"/>
    <w:rsid w:val="00FB542E"/>
    <w:rsid w:val="00FB612F"/>
    <w:rsid w:val="00FB613E"/>
    <w:rsid w:val="00FC0E5F"/>
    <w:rsid w:val="00FC11AF"/>
    <w:rsid w:val="00FC1A95"/>
    <w:rsid w:val="00FC270D"/>
    <w:rsid w:val="00FC3B85"/>
    <w:rsid w:val="00FC3F37"/>
    <w:rsid w:val="00FC56DE"/>
    <w:rsid w:val="00FC58D0"/>
    <w:rsid w:val="00FC6545"/>
    <w:rsid w:val="00FC684B"/>
    <w:rsid w:val="00FC7989"/>
    <w:rsid w:val="00FC7F37"/>
    <w:rsid w:val="00FD1407"/>
    <w:rsid w:val="00FD18EA"/>
    <w:rsid w:val="00FD1CBA"/>
    <w:rsid w:val="00FD2E17"/>
    <w:rsid w:val="00FD3265"/>
    <w:rsid w:val="00FD4559"/>
    <w:rsid w:val="00FD4AAD"/>
    <w:rsid w:val="00FE2EB4"/>
    <w:rsid w:val="00FE2F78"/>
    <w:rsid w:val="00FE3A47"/>
    <w:rsid w:val="00FE40D5"/>
    <w:rsid w:val="00FE59C6"/>
    <w:rsid w:val="00FE6150"/>
    <w:rsid w:val="00FF226F"/>
    <w:rsid w:val="00FF2E5E"/>
    <w:rsid w:val="00FF2FD7"/>
    <w:rsid w:val="00FF38D1"/>
    <w:rsid w:val="00FF6933"/>
    <w:rsid w:val="00FF6D79"/>
    <w:rsid w:val="00FF6FB2"/>
    <w:rsid w:val="00FF719E"/>
    <w:rsid w:val="00FF730D"/>
    <w:rsid w:val="00FF735D"/>
    <w:rsid w:val="00FF7B96"/>
  </w:rsids>
  <m:mathPr>
    <m:mathFont m:val="Cambria Math"/>
    <m:brkBin m:val="before"/>
    <m:brkBinSub m:val="--"/>
    <m:smallFrac m:val="0"/>
    <m:dispDef/>
    <m:lMargin m:val="0"/>
    <m:rMargin m:val="0"/>
    <m:defJc m:val="centerGroup"/>
    <m:wrapIndent m:val="1440"/>
    <m:intLim m:val="subSup"/>
    <m:naryLim m:val="undOvr"/>
  </m:mathPr>
  <w:themeFontLang w:val="cs-C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ru v:ext="edit" colors="#ecf4dd,#eaecee,#fcec0a,#fcecdb,#f1daf5"/>
    </o:shapedefaults>
    <o:shapelayout v:ext="edit">
      <o:idmap v:ext="edit" data="2"/>
    </o:shapelayout>
  </w:shapeDefaults>
  <w:decimalSymbol w:val=","/>
  <w:listSeparator w:val=";"/>
  <w14:docId w14:val="16D78745"/>
  <w15:docId w15:val="{FC3C9807-8A20-484D-A937-0CB633FC8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64FA0"/>
    <w:pPr>
      <w:spacing w:after="240" w:line="276" w:lineRule="auto"/>
      <w:jc w:val="both"/>
    </w:pPr>
    <w:rPr>
      <w:rFonts w:ascii="Arial" w:eastAsia="Times New Roman" w:hAnsi="Arial"/>
      <w:szCs w:val="24"/>
      <w:lang w:val="en-GB" w:eastAsia="cs-CZ"/>
    </w:rPr>
  </w:style>
  <w:style w:type="paragraph" w:styleId="Nadpis1">
    <w:name w:val="heading 1"/>
    <w:next w:val="Normln"/>
    <w:link w:val="Nadpis1Char"/>
    <w:uiPriority w:val="9"/>
    <w:qFormat/>
    <w:rsid w:val="00EA0987"/>
    <w:pPr>
      <w:keepNext/>
      <w:keepLines/>
      <w:spacing w:after="100" w:line="276" w:lineRule="auto"/>
      <w:contextualSpacing/>
      <w:outlineLvl w:val="0"/>
    </w:pPr>
    <w:rPr>
      <w:rFonts w:ascii="Arial" w:eastAsia="MS Gothic" w:hAnsi="Arial"/>
      <w:b/>
      <w:bCs/>
      <w:color w:val="86BF5E"/>
      <w:sz w:val="32"/>
      <w:szCs w:val="28"/>
      <w:lang w:eastAsia="cs-CZ"/>
    </w:rPr>
  </w:style>
  <w:style w:type="paragraph" w:styleId="Nadpis2">
    <w:name w:val="heading 2"/>
    <w:next w:val="Normln"/>
    <w:link w:val="Nadpis2Char"/>
    <w:uiPriority w:val="9"/>
    <w:qFormat/>
    <w:rsid w:val="00EA0987"/>
    <w:pPr>
      <w:keepNext/>
      <w:keepLines/>
      <w:spacing w:line="276" w:lineRule="auto"/>
      <w:outlineLvl w:val="1"/>
    </w:pPr>
    <w:rPr>
      <w:rFonts w:ascii="Arial" w:eastAsia="MS Gothic" w:hAnsi="Arial"/>
      <w:b/>
      <w:bCs/>
      <w:color w:val="86BF5E"/>
      <w:sz w:val="28"/>
      <w:szCs w:val="26"/>
      <w:lang w:eastAsia="cs-CZ"/>
    </w:rPr>
  </w:style>
  <w:style w:type="paragraph" w:styleId="Nadpis3">
    <w:name w:val="heading 3"/>
    <w:next w:val="Normln"/>
    <w:link w:val="Nadpis3Char"/>
    <w:uiPriority w:val="9"/>
    <w:qFormat/>
    <w:rsid w:val="00EA0987"/>
    <w:pPr>
      <w:keepNext/>
      <w:keepLines/>
      <w:spacing w:line="276" w:lineRule="auto"/>
      <w:outlineLvl w:val="2"/>
    </w:pPr>
    <w:rPr>
      <w:rFonts w:ascii="Arial" w:eastAsia="MS Gothic" w:hAnsi="Arial"/>
      <w:b/>
      <w:bCs/>
      <w:color w:val="86BF5E"/>
      <w:sz w:val="24"/>
      <w:szCs w:val="24"/>
      <w:lang w:eastAsia="cs-CZ"/>
    </w:rPr>
  </w:style>
  <w:style w:type="paragraph" w:styleId="Nadpis4">
    <w:name w:val="heading 4"/>
    <w:next w:val="Normln"/>
    <w:link w:val="Nadpis4Char"/>
    <w:uiPriority w:val="9"/>
    <w:qFormat/>
    <w:rsid w:val="0041041D"/>
    <w:pPr>
      <w:keepNext/>
      <w:keepLines/>
      <w:spacing w:line="276" w:lineRule="auto"/>
      <w:outlineLvl w:val="3"/>
    </w:pPr>
    <w:rPr>
      <w:rFonts w:ascii="Arial" w:eastAsia="MS Gothic" w:hAnsi="Arial"/>
      <w:b/>
      <w:bCs/>
      <w:iCs/>
      <w:color w:val="86BF5E"/>
      <w:szCs w:val="24"/>
      <w:lang w:eastAsia="cs-CZ"/>
    </w:rPr>
  </w:style>
  <w:style w:type="paragraph" w:styleId="Nadpis5">
    <w:name w:val="heading 5"/>
    <w:basedOn w:val="Normln"/>
    <w:next w:val="Normln"/>
    <w:link w:val="Nadpis5Char"/>
    <w:uiPriority w:val="9"/>
    <w:semiHidden/>
    <w:unhideWhenUsed/>
    <w:rsid w:val="007A516D"/>
    <w:pPr>
      <w:keepNext/>
      <w:keepLines/>
      <w:numPr>
        <w:ilvl w:val="4"/>
        <w:numId w:val="14"/>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7A516D"/>
    <w:pPr>
      <w:keepNext/>
      <w:keepLines/>
      <w:numPr>
        <w:ilvl w:val="5"/>
        <w:numId w:val="14"/>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7A516D"/>
    <w:pPr>
      <w:keepNext/>
      <w:keepLines/>
      <w:numPr>
        <w:ilvl w:val="6"/>
        <w:numId w:val="14"/>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7A516D"/>
    <w:pPr>
      <w:keepNext/>
      <w:keepLines/>
      <w:numPr>
        <w:ilvl w:val="7"/>
        <w:numId w:val="14"/>
      </w:numPr>
      <w:spacing w:before="200" w:after="0"/>
      <w:outlineLvl w:val="7"/>
    </w:pPr>
    <w:rPr>
      <w:rFonts w:asciiTheme="majorHAnsi" w:eastAsiaTheme="majorEastAsia" w:hAnsiTheme="majorHAnsi" w:cstheme="majorBidi"/>
      <w:color w:val="404040" w:themeColor="text1" w:themeTint="BF"/>
      <w:szCs w:val="20"/>
    </w:rPr>
  </w:style>
  <w:style w:type="paragraph" w:styleId="Nadpis9">
    <w:name w:val="heading 9"/>
    <w:basedOn w:val="Normln"/>
    <w:next w:val="Normln"/>
    <w:link w:val="Nadpis9Char"/>
    <w:uiPriority w:val="9"/>
    <w:semiHidden/>
    <w:unhideWhenUsed/>
    <w:qFormat/>
    <w:rsid w:val="007A516D"/>
    <w:pPr>
      <w:numPr>
        <w:ilvl w:val="8"/>
        <w:numId w:val="14"/>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uiPriority w:val="9"/>
    <w:qFormat/>
    <w:rsid w:val="00EA0987"/>
    <w:rPr>
      <w:rFonts w:ascii="Arial" w:eastAsia="MS Gothic" w:hAnsi="Arial"/>
      <w:b/>
      <w:bCs/>
      <w:color w:val="86BF5E"/>
      <w:sz w:val="32"/>
      <w:szCs w:val="28"/>
      <w:lang w:eastAsia="cs-CZ"/>
    </w:rPr>
  </w:style>
  <w:style w:type="character" w:customStyle="1" w:styleId="Nadpis2Char">
    <w:name w:val="Nadpis 2 Char"/>
    <w:link w:val="Nadpis2"/>
    <w:uiPriority w:val="9"/>
    <w:rsid w:val="00EA0987"/>
    <w:rPr>
      <w:rFonts w:ascii="Arial" w:eastAsia="MS Gothic" w:hAnsi="Arial"/>
      <w:b/>
      <w:bCs/>
      <w:color w:val="86BF5E"/>
      <w:sz w:val="28"/>
      <w:szCs w:val="26"/>
      <w:lang w:eastAsia="cs-CZ"/>
    </w:rPr>
  </w:style>
  <w:style w:type="character" w:customStyle="1" w:styleId="Nadpis3Char">
    <w:name w:val="Nadpis 3 Char"/>
    <w:link w:val="Nadpis3"/>
    <w:uiPriority w:val="9"/>
    <w:rsid w:val="00EA0987"/>
    <w:rPr>
      <w:rFonts w:ascii="Arial" w:eastAsia="MS Gothic" w:hAnsi="Arial"/>
      <w:b/>
      <w:bCs/>
      <w:color w:val="86BF5E"/>
      <w:sz w:val="24"/>
      <w:szCs w:val="24"/>
      <w:lang w:eastAsia="cs-CZ"/>
    </w:rPr>
  </w:style>
  <w:style w:type="character" w:customStyle="1" w:styleId="Nadpis4Char">
    <w:name w:val="Nadpis 4 Char"/>
    <w:link w:val="Nadpis4"/>
    <w:uiPriority w:val="9"/>
    <w:rsid w:val="0041041D"/>
    <w:rPr>
      <w:rFonts w:ascii="Arial" w:eastAsia="MS Gothic" w:hAnsi="Arial"/>
      <w:b/>
      <w:bCs/>
      <w:iCs/>
      <w:color w:val="86BF5E"/>
      <w:szCs w:val="24"/>
      <w:lang w:eastAsia="cs-CZ"/>
    </w:rPr>
  </w:style>
  <w:style w:type="character" w:customStyle="1" w:styleId="Nadpis9Char">
    <w:name w:val="Nadpis 9 Char"/>
    <w:link w:val="Nadpis9"/>
    <w:uiPriority w:val="9"/>
    <w:semiHidden/>
    <w:rsid w:val="007A516D"/>
    <w:rPr>
      <w:rFonts w:ascii="Cambria" w:eastAsia="Times New Roman" w:hAnsi="Cambria"/>
      <w:sz w:val="22"/>
      <w:szCs w:val="22"/>
      <w:lang w:eastAsia="cs-CZ"/>
    </w:rPr>
  </w:style>
  <w:style w:type="character" w:styleId="Hypertextovodkaz">
    <w:name w:val="Hyperlink"/>
    <w:uiPriority w:val="99"/>
    <w:rsid w:val="00E71A58"/>
    <w:rPr>
      <w:color w:val="0000FF"/>
      <w:u w:val="single"/>
    </w:rPr>
  </w:style>
  <w:style w:type="paragraph" w:styleId="Zhlav">
    <w:name w:val="header"/>
    <w:link w:val="ZhlavChar"/>
    <w:uiPriority w:val="99"/>
    <w:unhideWhenUsed/>
    <w:qFormat/>
    <w:rsid w:val="00A418BC"/>
    <w:pPr>
      <w:spacing w:line="288" w:lineRule="auto"/>
    </w:pPr>
    <w:rPr>
      <w:rFonts w:ascii="Arial" w:hAnsi="Arial"/>
      <w:sz w:val="16"/>
      <w:szCs w:val="22"/>
    </w:rPr>
  </w:style>
  <w:style w:type="character" w:customStyle="1" w:styleId="ZhlavChar">
    <w:name w:val="Záhlaví Char"/>
    <w:link w:val="Zhlav"/>
    <w:uiPriority w:val="99"/>
    <w:rsid w:val="00A418BC"/>
    <w:rPr>
      <w:rFonts w:ascii="Arial" w:hAnsi="Arial"/>
      <w:sz w:val="16"/>
      <w:szCs w:val="22"/>
      <w:lang w:eastAsia="en-US"/>
    </w:rPr>
  </w:style>
  <w:style w:type="paragraph" w:styleId="Zpat">
    <w:name w:val="footer"/>
    <w:link w:val="ZpatChar"/>
    <w:uiPriority w:val="99"/>
    <w:unhideWhenUsed/>
    <w:qFormat/>
    <w:rsid w:val="00031AE0"/>
    <w:pPr>
      <w:tabs>
        <w:tab w:val="center" w:pos="4820"/>
        <w:tab w:val="right" w:pos="9639"/>
      </w:tabs>
    </w:pPr>
    <w:rPr>
      <w:rFonts w:ascii="Arial" w:hAnsi="Arial" w:cs="Arial"/>
      <w:noProof/>
      <w:sz w:val="16"/>
    </w:rPr>
  </w:style>
  <w:style w:type="character" w:customStyle="1" w:styleId="ZpatChar">
    <w:name w:val="Zápatí Char"/>
    <w:link w:val="Zpat"/>
    <w:uiPriority w:val="99"/>
    <w:rsid w:val="00031AE0"/>
    <w:rPr>
      <w:rFonts w:ascii="Arial" w:hAnsi="Arial" w:cs="Arial"/>
      <w:noProof/>
      <w:sz w:val="16"/>
      <w:lang w:eastAsia="en-US"/>
    </w:rPr>
  </w:style>
  <w:style w:type="paragraph" w:styleId="Textbubliny">
    <w:name w:val="Balloon Text"/>
    <w:basedOn w:val="Normln"/>
    <w:link w:val="TextbublinyChar"/>
    <w:uiPriority w:val="99"/>
    <w:semiHidden/>
    <w:unhideWhenUsed/>
    <w:rsid w:val="00E71A58"/>
    <w:rPr>
      <w:rFonts w:ascii="Tahoma" w:eastAsia="Calibri" w:hAnsi="Tahoma"/>
      <w:sz w:val="16"/>
      <w:szCs w:val="16"/>
      <w:lang w:val="x-none" w:eastAsia="x-none"/>
    </w:rPr>
  </w:style>
  <w:style w:type="character" w:customStyle="1" w:styleId="TextbublinyChar">
    <w:name w:val="Text bubliny Char"/>
    <w:link w:val="Textbubliny"/>
    <w:uiPriority w:val="99"/>
    <w:semiHidden/>
    <w:rsid w:val="00E71A58"/>
    <w:rPr>
      <w:rFonts w:ascii="Tahoma" w:hAnsi="Tahoma" w:cs="Tahoma"/>
      <w:sz w:val="16"/>
      <w:szCs w:val="16"/>
    </w:rPr>
  </w:style>
  <w:style w:type="paragraph" w:customStyle="1" w:styleId="Zkladnodstavec">
    <w:name w:val="[Základní odstavec]"/>
    <w:link w:val="ZkladnodstavecChar"/>
    <w:uiPriority w:val="99"/>
    <w:rsid w:val="0008263E"/>
    <w:pPr>
      <w:autoSpaceDE w:val="0"/>
      <w:autoSpaceDN w:val="0"/>
      <w:adjustRightInd w:val="0"/>
      <w:spacing w:line="276" w:lineRule="auto"/>
      <w:textAlignment w:val="center"/>
    </w:pPr>
    <w:rPr>
      <w:rFonts w:ascii="Arial" w:hAnsi="Arial" w:cs="Minion Pro"/>
      <w:color w:val="000000"/>
      <w:szCs w:val="24"/>
      <w:lang w:eastAsia="cs-CZ"/>
    </w:rPr>
  </w:style>
  <w:style w:type="character" w:customStyle="1" w:styleId="ZkladnodstavecChar">
    <w:name w:val="[Základní odstavec] Char"/>
    <w:link w:val="Zkladnodstavec"/>
    <w:uiPriority w:val="99"/>
    <w:rsid w:val="0008263E"/>
    <w:rPr>
      <w:rFonts w:ascii="Arial" w:hAnsi="Arial" w:cs="Minion Pro"/>
      <w:color w:val="000000"/>
      <w:szCs w:val="24"/>
    </w:rPr>
  </w:style>
  <w:style w:type="paragraph" w:styleId="Obsah1">
    <w:name w:val="toc 1"/>
    <w:basedOn w:val="Obsahpoloky"/>
    <w:next w:val="Obsahpoloky"/>
    <w:autoRedefine/>
    <w:uiPriority w:val="39"/>
    <w:unhideWhenUsed/>
    <w:rsid w:val="00FC1A95"/>
  </w:style>
  <w:style w:type="paragraph" w:customStyle="1" w:styleId="TLIdentifikace-sted">
    <w:name w:val="TL Identifikace - střed"/>
    <w:qFormat/>
    <w:rsid w:val="009A60D1"/>
    <w:pPr>
      <w:spacing w:after="200" w:line="288" w:lineRule="auto"/>
    </w:pPr>
    <w:rPr>
      <w:rFonts w:ascii="Arial" w:eastAsia="Times New Roman" w:hAnsi="Arial"/>
      <w:sz w:val="24"/>
      <w:szCs w:val="24"/>
      <w:lang w:eastAsia="cs-CZ"/>
    </w:rPr>
  </w:style>
  <w:style w:type="paragraph" w:customStyle="1" w:styleId="Obsah">
    <w:name w:val="Obsah"/>
    <w:next w:val="Normln"/>
    <w:qFormat/>
    <w:rsid w:val="000A57D4"/>
    <w:pPr>
      <w:spacing w:after="80" w:line="288" w:lineRule="auto"/>
    </w:pPr>
    <w:rPr>
      <w:rFonts w:ascii="Arial" w:eastAsia="Times New Roman" w:hAnsi="Arial"/>
      <w:b/>
      <w:color w:val="86BF5E"/>
      <w:sz w:val="32"/>
      <w:szCs w:val="24"/>
      <w:lang w:eastAsia="cs-CZ"/>
    </w:rPr>
  </w:style>
  <w:style w:type="paragraph" w:customStyle="1" w:styleId="Obsahpoloky">
    <w:name w:val="Obsah položky"/>
    <w:qFormat/>
    <w:rsid w:val="00616E05"/>
    <w:pPr>
      <w:tabs>
        <w:tab w:val="right" w:leader="dot" w:pos="9639"/>
      </w:tabs>
      <w:spacing w:line="288" w:lineRule="auto"/>
    </w:pPr>
    <w:rPr>
      <w:rFonts w:ascii="Arial" w:eastAsia="Times New Roman" w:hAnsi="Arial"/>
      <w:szCs w:val="24"/>
      <w:lang w:eastAsia="cs-CZ"/>
    </w:rPr>
  </w:style>
  <w:style w:type="paragraph" w:customStyle="1" w:styleId="A-Box1">
    <w:name w:val="A-Box 1"/>
    <w:next w:val="Normln"/>
    <w:qFormat/>
    <w:rsid w:val="00EA0987"/>
    <w:pPr>
      <w:shd w:val="clear" w:color="auto" w:fill="F0F6E9"/>
      <w:spacing w:before="240" w:after="240" w:line="276" w:lineRule="auto"/>
      <w:contextualSpacing/>
      <w:jc w:val="both"/>
    </w:pPr>
    <w:rPr>
      <w:rFonts w:ascii="Arial" w:hAnsi="Arial" w:cs="Arial"/>
      <w:lang w:eastAsia="cs-CZ"/>
    </w:rPr>
  </w:style>
  <w:style w:type="paragraph" w:customStyle="1" w:styleId="A-Box2">
    <w:name w:val="A-Box 2"/>
    <w:next w:val="Normln"/>
    <w:qFormat/>
    <w:rsid w:val="00EA0987"/>
    <w:pPr>
      <w:spacing w:before="240" w:after="240" w:line="276" w:lineRule="auto"/>
      <w:contextualSpacing/>
      <w:jc w:val="both"/>
    </w:pPr>
    <w:rPr>
      <w:rFonts w:ascii="Arial" w:hAnsi="Arial" w:cs="Arial"/>
      <w:color w:val="86BF5E"/>
      <w:lang w:eastAsia="cs-CZ"/>
    </w:rPr>
  </w:style>
  <w:style w:type="paragraph" w:styleId="Seznam">
    <w:name w:val="List"/>
    <w:basedOn w:val="Normln"/>
    <w:uiPriority w:val="99"/>
    <w:unhideWhenUsed/>
    <w:qFormat/>
    <w:rsid w:val="00481E40"/>
    <w:pPr>
      <w:contextualSpacing/>
    </w:pPr>
  </w:style>
  <w:style w:type="character" w:styleId="Siln">
    <w:name w:val="Strong"/>
    <w:aliases w:val="Tučné"/>
    <w:uiPriority w:val="22"/>
    <w:qFormat/>
    <w:rsid w:val="00EC03D7"/>
    <w:rPr>
      <w:rFonts w:ascii="Arial" w:hAnsi="Arial"/>
      <w:b/>
      <w:bCs/>
      <w:sz w:val="20"/>
    </w:rPr>
  </w:style>
  <w:style w:type="paragraph" w:customStyle="1" w:styleId="TLKontaktyerven">
    <w:name w:val="TL Kontakty červené"/>
    <w:basedOn w:val="Normln"/>
    <w:qFormat/>
    <w:rsid w:val="000A57D4"/>
    <w:pPr>
      <w:spacing w:after="40"/>
      <w:contextualSpacing/>
    </w:pPr>
    <w:rPr>
      <w:b/>
      <w:caps/>
      <w:sz w:val="24"/>
    </w:rPr>
  </w:style>
  <w:style w:type="paragraph" w:customStyle="1" w:styleId="TLKontakty">
    <w:name w:val="TL Kontakty"/>
    <w:qFormat/>
    <w:rsid w:val="000A57D4"/>
    <w:pPr>
      <w:spacing w:after="160" w:line="259" w:lineRule="auto"/>
      <w:contextualSpacing/>
    </w:pPr>
    <w:rPr>
      <w:rFonts w:ascii="Arial" w:eastAsia="Times New Roman" w:hAnsi="Arial"/>
      <w:b/>
      <w:color w:val="86BF5E"/>
      <w:lang w:eastAsia="cs-CZ"/>
    </w:rPr>
  </w:style>
  <w:style w:type="paragraph" w:styleId="Nzev">
    <w:name w:val="Title"/>
    <w:link w:val="NzevChar"/>
    <w:uiPriority w:val="10"/>
    <w:qFormat/>
    <w:rsid w:val="001E6062"/>
    <w:pPr>
      <w:spacing w:line="288" w:lineRule="auto"/>
    </w:pPr>
    <w:rPr>
      <w:rFonts w:ascii="Arial" w:eastAsia="Times New Roman" w:hAnsi="Arial"/>
      <w:b/>
      <w:bCs/>
      <w:caps/>
      <w:color w:val="000000" w:themeColor="text1"/>
      <w:kern w:val="28"/>
      <w:sz w:val="56"/>
      <w:szCs w:val="32"/>
      <w:lang w:eastAsia="cs-CZ"/>
    </w:rPr>
  </w:style>
  <w:style w:type="character" w:customStyle="1" w:styleId="NzevChar">
    <w:name w:val="Název Char"/>
    <w:link w:val="Nzev"/>
    <w:uiPriority w:val="10"/>
    <w:rsid w:val="001E6062"/>
    <w:rPr>
      <w:rFonts w:ascii="Arial" w:eastAsia="Times New Roman" w:hAnsi="Arial"/>
      <w:b/>
      <w:bCs/>
      <w:caps/>
      <w:color w:val="000000" w:themeColor="text1"/>
      <w:kern w:val="28"/>
      <w:sz w:val="56"/>
      <w:szCs w:val="32"/>
      <w:lang w:eastAsia="cs-CZ"/>
    </w:rPr>
  </w:style>
  <w:style w:type="paragraph" w:styleId="Podnadpis">
    <w:name w:val="Subtitle"/>
    <w:link w:val="PodnadpisChar"/>
    <w:uiPriority w:val="11"/>
    <w:qFormat/>
    <w:rsid w:val="001E6062"/>
    <w:pPr>
      <w:spacing w:line="288" w:lineRule="auto"/>
    </w:pPr>
    <w:rPr>
      <w:rFonts w:ascii="Arial" w:eastAsia="Times New Roman" w:hAnsi="Arial" w:cs="Arial"/>
      <w:b/>
      <w:color w:val="000000" w:themeColor="text1"/>
      <w:sz w:val="28"/>
      <w:szCs w:val="24"/>
      <w:lang w:eastAsia="cs-CZ"/>
    </w:rPr>
  </w:style>
  <w:style w:type="character" w:customStyle="1" w:styleId="PodnadpisChar">
    <w:name w:val="Podnadpis Char"/>
    <w:link w:val="Podnadpis"/>
    <w:uiPriority w:val="11"/>
    <w:rsid w:val="001E6062"/>
    <w:rPr>
      <w:rFonts w:ascii="Arial" w:eastAsia="Times New Roman" w:hAnsi="Arial" w:cs="Arial"/>
      <w:b/>
      <w:color w:val="000000" w:themeColor="text1"/>
      <w:sz w:val="28"/>
      <w:szCs w:val="24"/>
      <w:lang w:eastAsia="cs-CZ"/>
    </w:rPr>
  </w:style>
  <w:style w:type="paragraph" w:styleId="Obsah2">
    <w:name w:val="toc 2"/>
    <w:basedOn w:val="Obsahpoloky"/>
    <w:next w:val="Obsahpoloky"/>
    <w:autoRedefine/>
    <w:uiPriority w:val="39"/>
    <w:unhideWhenUsed/>
    <w:rsid w:val="00FC1A95"/>
    <w:pPr>
      <w:ind w:left="200"/>
    </w:pPr>
  </w:style>
  <w:style w:type="paragraph" w:styleId="Obsah3">
    <w:name w:val="toc 3"/>
    <w:basedOn w:val="Obsahpoloky"/>
    <w:next w:val="Obsahpoloky"/>
    <w:autoRedefine/>
    <w:uiPriority w:val="39"/>
    <w:unhideWhenUsed/>
    <w:rsid w:val="00FC1A95"/>
    <w:pPr>
      <w:ind w:left="400"/>
    </w:pPr>
  </w:style>
  <w:style w:type="paragraph" w:styleId="Obsah4">
    <w:name w:val="toc 4"/>
    <w:basedOn w:val="Obsahpoloky"/>
    <w:next w:val="Obsahpoloky"/>
    <w:autoRedefine/>
    <w:uiPriority w:val="39"/>
    <w:unhideWhenUsed/>
    <w:rsid w:val="00FC1A95"/>
    <w:pPr>
      <w:ind w:left="600"/>
    </w:pPr>
  </w:style>
  <w:style w:type="paragraph" w:styleId="Obsah5">
    <w:name w:val="toc 5"/>
    <w:basedOn w:val="Obsahpoloky"/>
    <w:next w:val="Obsahpoloky"/>
    <w:autoRedefine/>
    <w:uiPriority w:val="39"/>
    <w:semiHidden/>
    <w:unhideWhenUsed/>
    <w:rsid w:val="00FC1A95"/>
    <w:pPr>
      <w:ind w:left="800"/>
    </w:pPr>
  </w:style>
  <w:style w:type="paragraph" w:styleId="Obsah6">
    <w:name w:val="toc 6"/>
    <w:basedOn w:val="Obsahpoloky"/>
    <w:next w:val="Obsahpoloky"/>
    <w:autoRedefine/>
    <w:uiPriority w:val="39"/>
    <w:semiHidden/>
    <w:unhideWhenUsed/>
    <w:rsid w:val="00FC1A95"/>
    <w:pPr>
      <w:ind w:left="1000"/>
    </w:pPr>
  </w:style>
  <w:style w:type="paragraph" w:styleId="Obsah7">
    <w:name w:val="toc 7"/>
    <w:basedOn w:val="Obsahpoloky"/>
    <w:next w:val="Obsahpoloky"/>
    <w:autoRedefine/>
    <w:uiPriority w:val="39"/>
    <w:semiHidden/>
    <w:unhideWhenUsed/>
    <w:rsid w:val="00FC1A95"/>
    <w:pPr>
      <w:ind w:left="1200"/>
    </w:pPr>
  </w:style>
  <w:style w:type="paragraph" w:styleId="Obsah8">
    <w:name w:val="toc 8"/>
    <w:basedOn w:val="Obsahpoloky"/>
    <w:next w:val="Obsahpoloky"/>
    <w:autoRedefine/>
    <w:uiPriority w:val="39"/>
    <w:semiHidden/>
    <w:unhideWhenUsed/>
    <w:rsid w:val="00FC1A95"/>
    <w:pPr>
      <w:ind w:left="1400"/>
    </w:pPr>
  </w:style>
  <w:style w:type="paragraph" w:styleId="Obsah9">
    <w:name w:val="toc 9"/>
    <w:basedOn w:val="Obsahpoloky"/>
    <w:next w:val="Obsahpoloky"/>
    <w:autoRedefine/>
    <w:uiPriority w:val="39"/>
    <w:semiHidden/>
    <w:unhideWhenUsed/>
    <w:rsid w:val="00924AC8"/>
    <w:pPr>
      <w:ind w:left="1600"/>
    </w:pPr>
  </w:style>
  <w:style w:type="character" w:customStyle="1" w:styleId="Nadpis5Char">
    <w:name w:val="Nadpis 5 Char"/>
    <w:basedOn w:val="Standardnpsmoodstavce"/>
    <w:link w:val="Nadpis5"/>
    <w:uiPriority w:val="9"/>
    <w:semiHidden/>
    <w:rsid w:val="007A516D"/>
    <w:rPr>
      <w:rFonts w:asciiTheme="majorHAnsi" w:eastAsiaTheme="majorEastAsia" w:hAnsiTheme="majorHAnsi" w:cstheme="majorBidi"/>
      <w:color w:val="243F60" w:themeColor="accent1" w:themeShade="7F"/>
      <w:szCs w:val="24"/>
      <w:lang w:eastAsia="cs-CZ"/>
    </w:rPr>
  </w:style>
  <w:style w:type="character" w:customStyle="1" w:styleId="Nadpis6Char">
    <w:name w:val="Nadpis 6 Char"/>
    <w:basedOn w:val="Standardnpsmoodstavce"/>
    <w:link w:val="Nadpis6"/>
    <w:uiPriority w:val="9"/>
    <w:semiHidden/>
    <w:rsid w:val="007A516D"/>
    <w:rPr>
      <w:rFonts w:asciiTheme="majorHAnsi" w:eastAsiaTheme="majorEastAsia" w:hAnsiTheme="majorHAnsi" w:cstheme="majorBidi"/>
      <w:i/>
      <w:iCs/>
      <w:color w:val="243F60" w:themeColor="accent1" w:themeShade="7F"/>
      <w:szCs w:val="24"/>
      <w:lang w:eastAsia="cs-CZ"/>
    </w:rPr>
  </w:style>
  <w:style w:type="character" w:customStyle="1" w:styleId="Nadpis7Char">
    <w:name w:val="Nadpis 7 Char"/>
    <w:basedOn w:val="Standardnpsmoodstavce"/>
    <w:link w:val="Nadpis7"/>
    <w:uiPriority w:val="9"/>
    <w:semiHidden/>
    <w:rsid w:val="007A516D"/>
    <w:rPr>
      <w:rFonts w:asciiTheme="majorHAnsi" w:eastAsiaTheme="majorEastAsia" w:hAnsiTheme="majorHAnsi" w:cstheme="majorBidi"/>
      <w:i/>
      <w:iCs/>
      <w:color w:val="404040" w:themeColor="text1" w:themeTint="BF"/>
      <w:szCs w:val="24"/>
      <w:lang w:eastAsia="cs-CZ"/>
    </w:rPr>
  </w:style>
  <w:style w:type="character" w:customStyle="1" w:styleId="Nadpis8Char">
    <w:name w:val="Nadpis 8 Char"/>
    <w:basedOn w:val="Standardnpsmoodstavce"/>
    <w:link w:val="Nadpis8"/>
    <w:uiPriority w:val="9"/>
    <w:semiHidden/>
    <w:rsid w:val="007A516D"/>
    <w:rPr>
      <w:rFonts w:asciiTheme="majorHAnsi" w:eastAsiaTheme="majorEastAsia" w:hAnsiTheme="majorHAnsi" w:cstheme="majorBidi"/>
      <w:color w:val="404040" w:themeColor="text1" w:themeTint="BF"/>
      <w:lang w:eastAsia="cs-CZ"/>
    </w:rPr>
  </w:style>
  <w:style w:type="paragraph" w:styleId="Textpoznpodarou">
    <w:name w:val="footnote text"/>
    <w:aliases w:val="Text pozn. pod čarou_martin_ang"/>
    <w:basedOn w:val="Normln"/>
    <w:link w:val="TextpoznpodarouChar"/>
    <w:qFormat/>
    <w:rsid w:val="008E7FC9"/>
    <w:pPr>
      <w:spacing w:after="0" w:line="240" w:lineRule="auto"/>
      <w:jc w:val="left"/>
    </w:pPr>
    <w:rPr>
      <w:rFonts w:eastAsia="Calibri"/>
      <w:szCs w:val="20"/>
    </w:rPr>
  </w:style>
  <w:style w:type="character" w:customStyle="1" w:styleId="TextpoznpodarouChar">
    <w:name w:val="Text pozn. pod čarou Char"/>
    <w:aliases w:val="Text pozn. pod čarou_martin_ang Char"/>
    <w:basedOn w:val="Standardnpsmoodstavce"/>
    <w:link w:val="Textpoznpodarou"/>
    <w:qFormat/>
    <w:rsid w:val="008E7FC9"/>
    <w:rPr>
      <w:rFonts w:ascii="Arial" w:hAnsi="Arial"/>
      <w:lang w:eastAsia="cs-CZ"/>
    </w:rPr>
  </w:style>
  <w:style w:type="paragraph" w:styleId="Bezmezer">
    <w:name w:val="No Spacing"/>
    <w:uiPriority w:val="1"/>
    <w:qFormat/>
    <w:rsid w:val="00AD68C4"/>
    <w:pPr>
      <w:jc w:val="both"/>
    </w:pPr>
    <w:rPr>
      <w:rFonts w:ascii="Arial" w:eastAsia="Times New Roman" w:hAnsi="Arial"/>
      <w:szCs w:val="24"/>
      <w:lang w:eastAsia="cs-CZ"/>
    </w:rPr>
  </w:style>
  <w:style w:type="paragraph" w:customStyle="1" w:styleId="Marginlie">
    <w:name w:val="Marginálie"/>
    <w:basedOn w:val="Normln"/>
    <w:qFormat/>
    <w:rsid w:val="0089296D"/>
    <w:pPr>
      <w:spacing w:after="0"/>
      <w:jc w:val="left"/>
    </w:pPr>
    <w:rPr>
      <w:spacing w:val="-2"/>
      <w:sz w:val="16"/>
      <w:szCs w:val="16"/>
    </w:rPr>
  </w:style>
  <w:style w:type="paragraph" w:styleId="Odstavecseseznamem">
    <w:name w:val="List Paragraph"/>
    <w:basedOn w:val="Normln"/>
    <w:link w:val="OdstavecseseznamemChar"/>
    <w:uiPriority w:val="34"/>
    <w:qFormat/>
    <w:rsid w:val="006B0F92"/>
    <w:pPr>
      <w:ind w:left="720"/>
      <w:contextualSpacing/>
    </w:pPr>
  </w:style>
  <w:style w:type="paragraph" w:customStyle="1" w:styleId="Normalodrka">
    <w:name w:val="Normal odrážka"/>
    <w:qFormat/>
    <w:rsid w:val="006B0F92"/>
    <w:pPr>
      <w:numPr>
        <w:numId w:val="20"/>
      </w:numPr>
      <w:spacing w:after="240" w:line="276" w:lineRule="auto"/>
      <w:ind w:left="357" w:hanging="357"/>
      <w:jc w:val="both"/>
    </w:pPr>
    <w:rPr>
      <w:rFonts w:ascii="Arial" w:eastAsia="Times New Roman" w:hAnsi="Arial"/>
      <w:szCs w:val="24"/>
      <w:lang w:eastAsia="cs-CZ"/>
    </w:rPr>
  </w:style>
  <w:style w:type="paragraph" w:customStyle="1" w:styleId="Box1">
    <w:name w:val="Box 1"/>
    <w:next w:val="Normln"/>
    <w:qFormat/>
    <w:rsid w:val="00EA0987"/>
    <w:pPr>
      <w:shd w:val="clear" w:color="auto" w:fill="F0F6E9"/>
      <w:spacing w:before="240" w:after="240" w:line="276" w:lineRule="auto"/>
      <w:ind w:left="709"/>
      <w:contextualSpacing/>
      <w:jc w:val="both"/>
    </w:pPr>
    <w:rPr>
      <w:rFonts w:ascii="Arial" w:hAnsi="Arial" w:cs="Arial"/>
      <w:lang w:eastAsia="cs-CZ"/>
    </w:rPr>
  </w:style>
  <w:style w:type="paragraph" w:customStyle="1" w:styleId="Box2">
    <w:name w:val="Box 2"/>
    <w:next w:val="Normln"/>
    <w:qFormat/>
    <w:rsid w:val="00EA0987"/>
    <w:pPr>
      <w:spacing w:before="240" w:after="240" w:line="276" w:lineRule="auto"/>
      <w:ind w:left="709"/>
      <w:contextualSpacing/>
      <w:jc w:val="both"/>
    </w:pPr>
    <w:rPr>
      <w:rFonts w:ascii="Arial" w:hAnsi="Arial" w:cs="Arial"/>
      <w:b/>
      <w:color w:val="86BF5E"/>
      <w:lang w:eastAsia="cs-CZ"/>
    </w:rPr>
  </w:style>
  <w:style w:type="character" w:styleId="Zdraznnintenzivn">
    <w:name w:val="Intense Emphasis"/>
    <w:basedOn w:val="Standardnpsmoodstavce"/>
    <w:uiPriority w:val="21"/>
    <w:qFormat/>
    <w:rsid w:val="001E6062"/>
    <w:rPr>
      <w:i/>
      <w:iCs/>
      <w:color w:val="000000" w:themeColor="text1"/>
    </w:rPr>
  </w:style>
  <w:style w:type="character" w:styleId="Odkazintenzivn">
    <w:name w:val="Intense Reference"/>
    <w:basedOn w:val="Standardnpsmoodstavce"/>
    <w:uiPriority w:val="32"/>
    <w:qFormat/>
    <w:rsid w:val="001E6062"/>
    <w:rPr>
      <w:b/>
      <w:bCs/>
      <w:smallCaps/>
      <w:color w:val="000000" w:themeColor="text1"/>
      <w:spacing w:val="5"/>
    </w:rPr>
  </w:style>
  <w:style w:type="character" w:styleId="Znakapoznpodarou">
    <w:name w:val="footnote reference"/>
    <w:basedOn w:val="Standardnpsmoodstavce"/>
    <w:rsid w:val="009324EF"/>
    <w:rPr>
      <w:rFonts w:cs="Times New Roman"/>
      <w:vertAlign w:val="superscript"/>
    </w:rPr>
  </w:style>
  <w:style w:type="paragraph" w:customStyle="1" w:styleId="Nadpis11">
    <w:name w:val="Nadpis 11"/>
    <w:basedOn w:val="Normln"/>
    <w:uiPriority w:val="9"/>
    <w:qFormat/>
    <w:rsid w:val="009324EF"/>
    <w:pPr>
      <w:keepNext/>
      <w:keepLines/>
      <w:spacing w:after="100"/>
      <w:contextualSpacing/>
      <w:jc w:val="left"/>
      <w:outlineLvl w:val="0"/>
    </w:pPr>
    <w:rPr>
      <w:rFonts w:eastAsia="MS Gothic"/>
      <w:b/>
      <w:bCs/>
      <w:color w:val="71818C"/>
      <w:sz w:val="32"/>
      <w:szCs w:val="28"/>
    </w:rPr>
  </w:style>
  <w:style w:type="paragraph" w:customStyle="1" w:styleId="Textpoznpodarou1">
    <w:name w:val="Text pozn. pod čarou1"/>
    <w:basedOn w:val="Normln"/>
    <w:qFormat/>
    <w:rsid w:val="009324EF"/>
    <w:pPr>
      <w:spacing w:after="0" w:line="240" w:lineRule="auto"/>
      <w:jc w:val="left"/>
    </w:pPr>
    <w:rPr>
      <w:rFonts w:eastAsia="Calibri"/>
      <w:szCs w:val="20"/>
    </w:rPr>
  </w:style>
  <w:style w:type="character" w:styleId="Zdraznn">
    <w:name w:val="Emphasis"/>
    <w:basedOn w:val="Standardnpsmoodstavce"/>
    <w:uiPriority w:val="20"/>
    <w:qFormat/>
    <w:rsid w:val="009324EF"/>
    <w:rPr>
      <w:i/>
      <w:iCs/>
    </w:rPr>
  </w:style>
  <w:style w:type="character" w:customStyle="1" w:styleId="normaltextrun">
    <w:name w:val="normaltextrun"/>
    <w:basedOn w:val="Standardnpsmoodstavce"/>
    <w:rsid w:val="009324EF"/>
  </w:style>
  <w:style w:type="paragraph" w:customStyle="1" w:styleId="paragraph">
    <w:name w:val="paragraph"/>
    <w:basedOn w:val="Normln"/>
    <w:rsid w:val="009324EF"/>
    <w:pPr>
      <w:spacing w:before="100" w:beforeAutospacing="1" w:after="100" w:afterAutospacing="1" w:line="240" w:lineRule="auto"/>
      <w:jc w:val="left"/>
    </w:pPr>
    <w:rPr>
      <w:rFonts w:ascii="Times New Roman" w:hAnsi="Times New Roman"/>
      <w:sz w:val="24"/>
    </w:rPr>
  </w:style>
  <w:style w:type="character" w:customStyle="1" w:styleId="eop">
    <w:name w:val="eop"/>
    <w:basedOn w:val="Standardnpsmoodstavce"/>
    <w:rsid w:val="009324EF"/>
  </w:style>
  <w:style w:type="table" w:styleId="Mkatabulky">
    <w:name w:val="Table Grid"/>
    <w:basedOn w:val="Normlntabulka"/>
    <w:uiPriority w:val="59"/>
    <w:rsid w:val="009324E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adpisobsahu">
    <w:name w:val="TOC Heading"/>
    <w:basedOn w:val="Nadpis1"/>
    <w:next w:val="Normln"/>
    <w:uiPriority w:val="39"/>
    <w:unhideWhenUsed/>
    <w:qFormat/>
    <w:rsid w:val="009324EF"/>
    <w:pPr>
      <w:spacing w:before="240" w:after="0" w:line="259" w:lineRule="auto"/>
      <w:contextualSpacing w:val="0"/>
      <w:outlineLvl w:val="9"/>
    </w:pPr>
    <w:rPr>
      <w:rFonts w:asciiTheme="majorHAnsi" w:eastAsiaTheme="majorEastAsia" w:hAnsiTheme="majorHAnsi" w:cstheme="majorBidi"/>
      <w:b w:val="0"/>
      <w:bCs w:val="0"/>
      <w:color w:val="365F91" w:themeColor="accent1" w:themeShade="BF"/>
      <w:szCs w:val="32"/>
    </w:rPr>
  </w:style>
  <w:style w:type="character" w:styleId="Odkaznakoment">
    <w:name w:val="annotation reference"/>
    <w:basedOn w:val="Standardnpsmoodstavce"/>
    <w:uiPriority w:val="99"/>
    <w:semiHidden/>
    <w:unhideWhenUsed/>
    <w:rsid w:val="009324EF"/>
    <w:rPr>
      <w:sz w:val="16"/>
      <w:szCs w:val="16"/>
    </w:rPr>
  </w:style>
  <w:style w:type="paragraph" w:styleId="Textkomente">
    <w:name w:val="annotation text"/>
    <w:basedOn w:val="Normln"/>
    <w:link w:val="TextkomenteChar"/>
    <w:uiPriority w:val="99"/>
    <w:unhideWhenUsed/>
    <w:rsid w:val="009324EF"/>
    <w:pPr>
      <w:spacing w:line="240" w:lineRule="auto"/>
    </w:pPr>
    <w:rPr>
      <w:szCs w:val="20"/>
    </w:rPr>
  </w:style>
  <w:style w:type="character" w:customStyle="1" w:styleId="TextkomenteChar">
    <w:name w:val="Text komentáře Char"/>
    <w:basedOn w:val="Standardnpsmoodstavce"/>
    <w:link w:val="Textkomente"/>
    <w:uiPriority w:val="99"/>
    <w:rsid w:val="009324EF"/>
    <w:rPr>
      <w:rFonts w:ascii="Arial" w:eastAsia="Times New Roman" w:hAnsi="Arial"/>
      <w:lang w:eastAsia="cs-CZ"/>
    </w:rPr>
  </w:style>
  <w:style w:type="paragraph" w:styleId="Pedmtkomente">
    <w:name w:val="annotation subject"/>
    <w:basedOn w:val="Textkomente"/>
    <w:next w:val="Textkomente"/>
    <w:link w:val="PedmtkomenteChar"/>
    <w:uiPriority w:val="99"/>
    <w:semiHidden/>
    <w:unhideWhenUsed/>
    <w:rsid w:val="009324EF"/>
    <w:rPr>
      <w:b/>
      <w:bCs/>
    </w:rPr>
  </w:style>
  <w:style w:type="character" w:customStyle="1" w:styleId="PedmtkomenteChar">
    <w:name w:val="Předmět komentáře Char"/>
    <w:basedOn w:val="TextkomenteChar"/>
    <w:link w:val="Pedmtkomente"/>
    <w:uiPriority w:val="99"/>
    <w:semiHidden/>
    <w:rsid w:val="009324EF"/>
    <w:rPr>
      <w:rFonts w:ascii="Arial" w:eastAsia="Times New Roman" w:hAnsi="Arial"/>
      <w:b/>
      <w:bCs/>
      <w:lang w:eastAsia="cs-CZ"/>
    </w:rPr>
  </w:style>
  <w:style w:type="paragraph" w:styleId="Rozloendokumentu">
    <w:name w:val="Document Map"/>
    <w:basedOn w:val="Normln"/>
    <w:link w:val="RozloendokumentuChar"/>
    <w:uiPriority w:val="99"/>
    <w:semiHidden/>
    <w:rsid w:val="009324EF"/>
    <w:pPr>
      <w:spacing w:after="0" w:line="288" w:lineRule="auto"/>
      <w:jc w:val="left"/>
    </w:pPr>
    <w:rPr>
      <w:rFonts w:ascii="Tahoma" w:eastAsia="Calibri" w:hAnsi="Tahoma" w:cs="Tahoma"/>
      <w:sz w:val="16"/>
      <w:szCs w:val="16"/>
    </w:rPr>
  </w:style>
  <w:style w:type="character" w:customStyle="1" w:styleId="RozloendokumentuChar">
    <w:name w:val="Rozložení dokumentu Char"/>
    <w:basedOn w:val="Standardnpsmoodstavce"/>
    <w:link w:val="Rozloendokumentu"/>
    <w:uiPriority w:val="99"/>
    <w:semiHidden/>
    <w:rsid w:val="009324EF"/>
    <w:rPr>
      <w:rFonts w:ascii="Tahoma" w:hAnsi="Tahoma" w:cs="Tahoma"/>
      <w:sz w:val="16"/>
      <w:szCs w:val="16"/>
      <w:lang w:eastAsia="cs-CZ"/>
    </w:rPr>
  </w:style>
  <w:style w:type="paragraph" w:customStyle="1" w:styleId="Nadpis12">
    <w:name w:val="Nadpis 12"/>
    <w:basedOn w:val="Normln"/>
    <w:uiPriority w:val="9"/>
    <w:qFormat/>
    <w:rsid w:val="009324EF"/>
    <w:pPr>
      <w:keepNext/>
      <w:keepLines/>
      <w:spacing w:after="100"/>
      <w:contextualSpacing/>
      <w:jc w:val="left"/>
      <w:outlineLvl w:val="0"/>
    </w:pPr>
    <w:rPr>
      <w:rFonts w:eastAsia="MS Gothic"/>
      <w:b/>
      <w:bCs/>
      <w:color w:val="71818C"/>
      <w:sz w:val="32"/>
      <w:szCs w:val="28"/>
    </w:rPr>
  </w:style>
  <w:style w:type="character" w:customStyle="1" w:styleId="spelle">
    <w:name w:val="spelle"/>
    <w:basedOn w:val="Standardnpsmoodstavce"/>
    <w:rsid w:val="009324EF"/>
  </w:style>
  <w:style w:type="paragraph" w:styleId="Revize">
    <w:name w:val="Revision"/>
    <w:hidden/>
    <w:uiPriority w:val="99"/>
    <w:semiHidden/>
    <w:rsid w:val="009324EF"/>
    <w:rPr>
      <w:rFonts w:ascii="Arial" w:eastAsia="Times New Roman" w:hAnsi="Arial"/>
      <w:szCs w:val="24"/>
      <w:lang w:eastAsia="cs-CZ"/>
    </w:rPr>
  </w:style>
  <w:style w:type="character" w:customStyle="1" w:styleId="odkaz-style-wrapper">
    <w:name w:val="odkaz-style-wrapper"/>
    <w:basedOn w:val="Standardnpsmoodstavce"/>
    <w:rsid w:val="009324EF"/>
  </w:style>
  <w:style w:type="character" w:customStyle="1" w:styleId="tabulka">
    <w:name w:val="tabulka"/>
    <w:basedOn w:val="Standardnpsmoodstavce"/>
    <w:rsid w:val="009324EF"/>
  </w:style>
  <w:style w:type="paragraph" w:customStyle="1" w:styleId="Default">
    <w:name w:val="Default"/>
    <w:rsid w:val="009324EF"/>
    <w:pPr>
      <w:autoSpaceDE w:val="0"/>
      <w:autoSpaceDN w:val="0"/>
      <w:adjustRightInd w:val="0"/>
    </w:pPr>
    <w:rPr>
      <w:rFonts w:cs="Calibri"/>
      <w:color w:val="000000"/>
      <w:sz w:val="24"/>
      <w:szCs w:val="24"/>
    </w:rPr>
  </w:style>
  <w:style w:type="paragraph" w:styleId="Normlnweb">
    <w:name w:val="Normal (Web)"/>
    <w:basedOn w:val="Normln"/>
    <w:uiPriority w:val="99"/>
    <w:semiHidden/>
    <w:unhideWhenUsed/>
    <w:rsid w:val="009324EF"/>
    <w:pPr>
      <w:spacing w:before="100" w:beforeAutospacing="1" w:after="100" w:afterAutospacing="1" w:line="240" w:lineRule="auto"/>
      <w:jc w:val="left"/>
    </w:pPr>
    <w:rPr>
      <w:rFonts w:ascii="Times New Roman" w:hAnsi="Times New Roman"/>
      <w:sz w:val="24"/>
    </w:rPr>
  </w:style>
  <w:style w:type="paragraph" w:styleId="FormtovanvHTML">
    <w:name w:val="HTML Preformatted"/>
    <w:basedOn w:val="Normln"/>
    <w:link w:val="FormtovanvHTMLChar"/>
    <w:uiPriority w:val="99"/>
    <w:semiHidden/>
    <w:unhideWhenUsed/>
    <w:rsid w:val="009324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Cs w:val="20"/>
    </w:rPr>
  </w:style>
  <w:style w:type="character" w:customStyle="1" w:styleId="FormtovanvHTMLChar">
    <w:name w:val="Formátovaný v HTML Char"/>
    <w:basedOn w:val="Standardnpsmoodstavce"/>
    <w:link w:val="FormtovanvHTML"/>
    <w:uiPriority w:val="99"/>
    <w:semiHidden/>
    <w:rsid w:val="009324EF"/>
    <w:rPr>
      <w:rFonts w:ascii="Courier New" w:eastAsia="Times New Roman" w:hAnsi="Courier New" w:cs="Courier New"/>
      <w:lang w:eastAsia="cs-CZ"/>
    </w:rPr>
  </w:style>
  <w:style w:type="paragraph" w:customStyle="1" w:styleId="cay">
    <w:name w:val="c_ay"/>
    <w:basedOn w:val="Normln"/>
    <w:rsid w:val="009324EF"/>
    <w:pPr>
      <w:spacing w:before="100" w:beforeAutospacing="1" w:after="100" w:afterAutospacing="1" w:line="240" w:lineRule="auto"/>
      <w:jc w:val="left"/>
    </w:pPr>
    <w:rPr>
      <w:rFonts w:ascii="Times New Roman" w:hAnsi="Times New Roman"/>
      <w:sz w:val="24"/>
    </w:rPr>
  </w:style>
  <w:style w:type="character" w:customStyle="1" w:styleId="cew">
    <w:name w:val="c_ew"/>
    <w:basedOn w:val="Standardnpsmoodstavce"/>
    <w:rsid w:val="009324EF"/>
  </w:style>
  <w:style w:type="character" w:styleId="Sledovanodkaz">
    <w:name w:val="FollowedHyperlink"/>
    <w:basedOn w:val="Standardnpsmoodstavce"/>
    <w:uiPriority w:val="99"/>
    <w:semiHidden/>
    <w:unhideWhenUsed/>
    <w:rsid w:val="009324EF"/>
    <w:rPr>
      <w:color w:val="800080" w:themeColor="followedHyperlink"/>
      <w:u w:val="single"/>
    </w:rPr>
  </w:style>
  <w:style w:type="character" w:customStyle="1" w:styleId="cfu">
    <w:name w:val="c_fu"/>
    <w:basedOn w:val="Standardnpsmoodstavce"/>
    <w:rsid w:val="009324EF"/>
  </w:style>
  <w:style w:type="character" w:customStyle="1" w:styleId="OdstavecseseznamemChar">
    <w:name w:val="Odstavec se seznamem Char"/>
    <w:basedOn w:val="Standardnpsmoodstavce"/>
    <w:link w:val="Odstavecseseznamem"/>
    <w:uiPriority w:val="34"/>
    <w:rsid w:val="009324EF"/>
    <w:rPr>
      <w:rFonts w:ascii="Arial" w:eastAsia="Times New Roman" w:hAnsi="Arial"/>
      <w:szCs w:val="24"/>
      <w:lang w:eastAsia="cs-CZ"/>
    </w:rPr>
  </w:style>
  <w:style w:type="paragraph" w:styleId="Textvysvtlivek">
    <w:name w:val="endnote text"/>
    <w:basedOn w:val="Normln"/>
    <w:link w:val="TextvysvtlivekChar"/>
    <w:uiPriority w:val="99"/>
    <w:semiHidden/>
    <w:unhideWhenUsed/>
    <w:rsid w:val="00BB2F43"/>
    <w:pPr>
      <w:spacing w:after="0" w:line="240" w:lineRule="auto"/>
    </w:pPr>
    <w:rPr>
      <w:szCs w:val="20"/>
    </w:rPr>
  </w:style>
  <w:style w:type="character" w:customStyle="1" w:styleId="TextvysvtlivekChar">
    <w:name w:val="Text vysvětlivek Char"/>
    <w:basedOn w:val="Standardnpsmoodstavce"/>
    <w:link w:val="Textvysvtlivek"/>
    <w:uiPriority w:val="99"/>
    <w:semiHidden/>
    <w:rsid w:val="00BB2F43"/>
    <w:rPr>
      <w:rFonts w:ascii="Arial" w:eastAsia="Times New Roman" w:hAnsi="Arial"/>
      <w:lang w:eastAsia="cs-CZ"/>
    </w:rPr>
  </w:style>
  <w:style w:type="character" w:styleId="Odkaznavysvtlivky">
    <w:name w:val="endnote reference"/>
    <w:basedOn w:val="Standardnpsmoodstavce"/>
    <w:uiPriority w:val="99"/>
    <w:semiHidden/>
    <w:unhideWhenUsed/>
    <w:rsid w:val="00BB2F43"/>
    <w:rPr>
      <w:vertAlign w:val="superscript"/>
    </w:rPr>
  </w:style>
  <w:style w:type="character" w:customStyle="1" w:styleId="ts-alignment-element">
    <w:name w:val="ts-alignment-element"/>
    <w:basedOn w:val="Standardnpsmoodstavce"/>
    <w:rsid w:val="00EB42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699">
      <w:bodyDiv w:val="1"/>
      <w:marLeft w:val="0"/>
      <w:marRight w:val="0"/>
      <w:marTop w:val="0"/>
      <w:marBottom w:val="0"/>
      <w:divBdr>
        <w:top w:val="none" w:sz="0" w:space="0" w:color="auto"/>
        <w:left w:val="none" w:sz="0" w:space="0" w:color="auto"/>
        <w:bottom w:val="none" w:sz="0" w:space="0" w:color="auto"/>
        <w:right w:val="none" w:sz="0" w:space="0" w:color="auto"/>
      </w:divBdr>
    </w:div>
    <w:div w:id="112676334">
      <w:bodyDiv w:val="1"/>
      <w:marLeft w:val="0"/>
      <w:marRight w:val="0"/>
      <w:marTop w:val="0"/>
      <w:marBottom w:val="0"/>
      <w:divBdr>
        <w:top w:val="none" w:sz="0" w:space="0" w:color="auto"/>
        <w:left w:val="none" w:sz="0" w:space="0" w:color="auto"/>
        <w:bottom w:val="none" w:sz="0" w:space="0" w:color="auto"/>
        <w:right w:val="none" w:sz="0" w:space="0" w:color="auto"/>
      </w:divBdr>
    </w:div>
    <w:div w:id="243729605">
      <w:bodyDiv w:val="1"/>
      <w:marLeft w:val="0"/>
      <w:marRight w:val="0"/>
      <w:marTop w:val="0"/>
      <w:marBottom w:val="0"/>
      <w:divBdr>
        <w:top w:val="none" w:sz="0" w:space="0" w:color="auto"/>
        <w:left w:val="none" w:sz="0" w:space="0" w:color="auto"/>
        <w:bottom w:val="none" w:sz="0" w:space="0" w:color="auto"/>
        <w:right w:val="none" w:sz="0" w:space="0" w:color="auto"/>
      </w:divBdr>
    </w:div>
    <w:div w:id="255015632">
      <w:bodyDiv w:val="1"/>
      <w:marLeft w:val="0"/>
      <w:marRight w:val="0"/>
      <w:marTop w:val="0"/>
      <w:marBottom w:val="0"/>
      <w:divBdr>
        <w:top w:val="none" w:sz="0" w:space="0" w:color="auto"/>
        <w:left w:val="none" w:sz="0" w:space="0" w:color="auto"/>
        <w:bottom w:val="none" w:sz="0" w:space="0" w:color="auto"/>
        <w:right w:val="none" w:sz="0" w:space="0" w:color="auto"/>
      </w:divBdr>
    </w:div>
    <w:div w:id="264115308">
      <w:bodyDiv w:val="1"/>
      <w:marLeft w:val="0"/>
      <w:marRight w:val="0"/>
      <w:marTop w:val="0"/>
      <w:marBottom w:val="0"/>
      <w:divBdr>
        <w:top w:val="none" w:sz="0" w:space="0" w:color="auto"/>
        <w:left w:val="none" w:sz="0" w:space="0" w:color="auto"/>
        <w:bottom w:val="none" w:sz="0" w:space="0" w:color="auto"/>
        <w:right w:val="none" w:sz="0" w:space="0" w:color="auto"/>
      </w:divBdr>
    </w:div>
    <w:div w:id="493226895">
      <w:bodyDiv w:val="1"/>
      <w:marLeft w:val="0"/>
      <w:marRight w:val="0"/>
      <w:marTop w:val="0"/>
      <w:marBottom w:val="0"/>
      <w:divBdr>
        <w:top w:val="none" w:sz="0" w:space="0" w:color="auto"/>
        <w:left w:val="none" w:sz="0" w:space="0" w:color="auto"/>
        <w:bottom w:val="none" w:sz="0" w:space="0" w:color="auto"/>
        <w:right w:val="none" w:sz="0" w:space="0" w:color="auto"/>
      </w:divBdr>
    </w:div>
    <w:div w:id="533806547">
      <w:bodyDiv w:val="1"/>
      <w:marLeft w:val="0"/>
      <w:marRight w:val="0"/>
      <w:marTop w:val="0"/>
      <w:marBottom w:val="0"/>
      <w:divBdr>
        <w:top w:val="none" w:sz="0" w:space="0" w:color="auto"/>
        <w:left w:val="none" w:sz="0" w:space="0" w:color="auto"/>
        <w:bottom w:val="none" w:sz="0" w:space="0" w:color="auto"/>
        <w:right w:val="none" w:sz="0" w:space="0" w:color="auto"/>
      </w:divBdr>
    </w:div>
    <w:div w:id="683020579">
      <w:bodyDiv w:val="1"/>
      <w:marLeft w:val="0"/>
      <w:marRight w:val="0"/>
      <w:marTop w:val="0"/>
      <w:marBottom w:val="0"/>
      <w:divBdr>
        <w:top w:val="none" w:sz="0" w:space="0" w:color="auto"/>
        <w:left w:val="none" w:sz="0" w:space="0" w:color="auto"/>
        <w:bottom w:val="none" w:sz="0" w:space="0" w:color="auto"/>
        <w:right w:val="none" w:sz="0" w:space="0" w:color="auto"/>
      </w:divBdr>
    </w:div>
    <w:div w:id="883518353">
      <w:bodyDiv w:val="1"/>
      <w:marLeft w:val="0"/>
      <w:marRight w:val="0"/>
      <w:marTop w:val="0"/>
      <w:marBottom w:val="0"/>
      <w:divBdr>
        <w:top w:val="none" w:sz="0" w:space="0" w:color="auto"/>
        <w:left w:val="none" w:sz="0" w:space="0" w:color="auto"/>
        <w:bottom w:val="none" w:sz="0" w:space="0" w:color="auto"/>
        <w:right w:val="none" w:sz="0" w:space="0" w:color="auto"/>
      </w:divBdr>
    </w:div>
    <w:div w:id="932319695">
      <w:bodyDiv w:val="1"/>
      <w:marLeft w:val="0"/>
      <w:marRight w:val="0"/>
      <w:marTop w:val="0"/>
      <w:marBottom w:val="0"/>
      <w:divBdr>
        <w:top w:val="none" w:sz="0" w:space="0" w:color="auto"/>
        <w:left w:val="none" w:sz="0" w:space="0" w:color="auto"/>
        <w:bottom w:val="none" w:sz="0" w:space="0" w:color="auto"/>
        <w:right w:val="none" w:sz="0" w:space="0" w:color="auto"/>
      </w:divBdr>
    </w:div>
    <w:div w:id="1208487203">
      <w:bodyDiv w:val="1"/>
      <w:marLeft w:val="0"/>
      <w:marRight w:val="0"/>
      <w:marTop w:val="0"/>
      <w:marBottom w:val="0"/>
      <w:divBdr>
        <w:top w:val="none" w:sz="0" w:space="0" w:color="auto"/>
        <w:left w:val="none" w:sz="0" w:space="0" w:color="auto"/>
        <w:bottom w:val="none" w:sz="0" w:space="0" w:color="auto"/>
        <w:right w:val="none" w:sz="0" w:space="0" w:color="auto"/>
      </w:divBdr>
    </w:div>
    <w:div w:id="1276136441">
      <w:bodyDiv w:val="1"/>
      <w:marLeft w:val="0"/>
      <w:marRight w:val="0"/>
      <w:marTop w:val="0"/>
      <w:marBottom w:val="0"/>
      <w:divBdr>
        <w:top w:val="none" w:sz="0" w:space="0" w:color="auto"/>
        <w:left w:val="none" w:sz="0" w:space="0" w:color="auto"/>
        <w:bottom w:val="none" w:sz="0" w:space="0" w:color="auto"/>
        <w:right w:val="none" w:sz="0" w:space="0" w:color="auto"/>
      </w:divBdr>
    </w:div>
    <w:div w:id="1283000633">
      <w:bodyDiv w:val="1"/>
      <w:marLeft w:val="0"/>
      <w:marRight w:val="0"/>
      <w:marTop w:val="0"/>
      <w:marBottom w:val="0"/>
      <w:divBdr>
        <w:top w:val="none" w:sz="0" w:space="0" w:color="auto"/>
        <w:left w:val="none" w:sz="0" w:space="0" w:color="auto"/>
        <w:bottom w:val="none" w:sz="0" w:space="0" w:color="auto"/>
        <w:right w:val="none" w:sz="0" w:space="0" w:color="auto"/>
      </w:divBdr>
    </w:div>
    <w:div w:id="1405689476">
      <w:bodyDiv w:val="1"/>
      <w:marLeft w:val="0"/>
      <w:marRight w:val="0"/>
      <w:marTop w:val="0"/>
      <w:marBottom w:val="0"/>
      <w:divBdr>
        <w:top w:val="none" w:sz="0" w:space="0" w:color="auto"/>
        <w:left w:val="none" w:sz="0" w:space="0" w:color="auto"/>
        <w:bottom w:val="none" w:sz="0" w:space="0" w:color="auto"/>
        <w:right w:val="none" w:sz="0" w:space="0" w:color="auto"/>
      </w:divBdr>
    </w:div>
    <w:div w:id="1486582325">
      <w:bodyDiv w:val="1"/>
      <w:marLeft w:val="0"/>
      <w:marRight w:val="0"/>
      <w:marTop w:val="0"/>
      <w:marBottom w:val="0"/>
      <w:divBdr>
        <w:top w:val="none" w:sz="0" w:space="0" w:color="auto"/>
        <w:left w:val="none" w:sz="0" w:space="0" w:color="auto"/>
        <w:bottom w:val="none" w:sz="0" w:space="0" w:color="auto"/>
        <w:right w:val="none" w:sz="0" w:space="0" w:color="auto"/>
      </w:divBdr>
    </w:div>
    <w:div w:id="1856962653">
      <w:bodyDiv w:val="1"/>
      <w:marLeft w:val="0"/>
      <w:marRight w:val="0"/>
      <w:marTop w:val="0"/>
      <w:marBottom w:val="0"/>
      <w:divBdr>
        <w:top w:val="none" w:sz="0" w:space="0" w:color="auto"/>
        <w:left w:val="none" w:sz="0" w:space="0" w:color="auto"/>
        <w:bottom w:val="none" w:sz="0" w:space="0" w:color="auto"/>
        <w:right w:val="none" w:sz="0" w:space="0" w:color="auto"/>
      </w:divBdr>
    </w:div>
    <w:div w:id="1893350832">
      <w:bodyDiv w:val="1"/>
      <w:marLeft w:val="0"/>
      <w:marRight w:val="0"/>
      <w:marTop w:val="0"/>
      <w:marBottom w:val="0"/>
      <w:divBdr>
        <w:top w:val="none" w:sz="0" w:space="0" w:color="auto"/>
        <w:left w:val="none" w:sz="0" w:space="0" w:color="auto"/>
        <w:bottom w:val="none" w:sz="0" w:space="0" w:color="auto"/>
        <w:right w:val="none" w:sz="0" w:space="0" w:color="auto"/>
      </w:divBdr>
    </w:div>
    <w:div w:id="2088262363">
      <w:bodyDiv w:val="1"/>
      <w:marLeft w:val="0"/>
      <w:marRight w:val="0"/>
      <w:marTop w:val="0"/>
      <w:marBottom w:val="0"/>
      <w:divBdr>
        <w:top w:val="none" w:sz="0" w:space="0" w:color="auto"/>
        <w:left w:val="none" w:sz="0" w:space="0" w:color="auto"/>
        <w:bottom w:val="none" w:sz="0" w:space="0" w:color="auto"/>
        <w:right w:val="none" w:sz="0" w:space="0" w:color="auto"/>
      </w:divBdr>
    </w:div>
    <w:div w:id="21109235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csu.gov.cz/produkty/analyza-ctvrtletnich-sektorovych-uctu-1-ctvrtleti-202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abojnikova31519.CZSO\Downloads\Form_c444_Publikace_regiony%20a%20zeme%20-%20analyzy.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E:\Qmakro-2026\2q-2026\ENGL-verze\ENGL-rozpo&#269;et-grafy-2q-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1" Type="http://schemas.openxmlformats.org/officeDocument/2006/relationships/oleObject" Target="file:///E:\Qmakro-2026\2q-2026\ENGL-verze\ENGL-rozpo&#269;et-grafy-2q-2026.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Qmakro-2026\2q-2026\ENGL-verze\ENGL-rozpo&#269;et-grafy-2q-2026.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0655893706870088E-2"/>
          <c:y val="2.0804998806967311E-2"/>
          <c:w val="0.90468575230254245"/>
          <c:h val="0.81643005563375559"/>
        </c:manualLayout>
      </c:layout>
      <c:barChart>
        <c:barDir val="col"/>
        <c:grouping val="clustered"/>
        <c:varyColors val="0"/>
        <c:ser>
          <c:idx val="0"/>
          <c:order val="0"/>
          <c:tx>
            <c:strRef>
              <c:f>'pro graf-3'!$A$122</c:f>
              <c:strCache>
                <c:ptCount val="1"/>
                <c:pt idx="0">
                  <c:v>EU27</c:v>
                </c:pt>
              </c:strCache>
            </c:strRef>
          </c:tx>
          <c:spPr>
            <a:solidFill>
              <a:srgbClr val="EBECED"/>
            </a:solidFill>
            <a:ln>
              <a:solidFill>
                <a:schemeClr val="bg2">
                  <a:lumMod val="75000"/>
                </a:schemeClr>
              </a:solidFill>
            </a:ln>
            <a:effectLst/>
          </c:spPr>
          <c:invertIfNegative val="0"/>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graf-3'!$B$122:$V$122</c:f>
              <c:numCache>
                <c:formatCode>0.0</c:formatCode>
                <c:ptCount val="21"/>
                <c:pt idx="0">
                  <c:v>-6.2</c:v>
                </c:pt>
                <c:pt idx="1">
                  <c:v>-5.8</c:v>
                </c:pt>
                <c:pt idx="2">
                  <c:v>-3.4</c:v>
                </c:pt>
                <c:pt idx="3">
                  <c:v>-3.1</c:v>
                </c:pt>
                <c:pt idx="4">
                  <c:v>-2.2999999999999998</c:v>
                </c:pt>
                <c:pt idx="5">
                  <c:v>-2.2000000000000002</c:v>
                </c:pt>
                <c:pt idx="6">
                  <c:v>-3.6</c:v>
                </c:pt>
                <c:pt idx="7">
                  <c:v>-4.5</c:v>
                </c:pt>
                <c:pt idx="8">
                  <c:v>-3.1</c:v>
                </c:pt>
                <c:pt idx="9">
                  <c:v>-3.2</c:v>
                </c:pt>
                <c:pt idx="10">
                  <c:v>-3.4</c:v>
                </c:pt>
                <c:pt idx="11">
                  <c:v>-3.9</c:v>
                </c:pt>
                <c:pt idx="12">
                  <c:v>-3</c:v>
                </c:pt>
                <c:pt idx="13">
                  <c:v>-3.1</c:v>
                </c:pt>
                <c:pt idx="14">
                  <c:v>-3</c:v>
                </c:pt>
                <c:pt idx="15">
                  <c:v>-3.4</c:v>
                </c:pt>
                <c:pt idx="16">
                  <c:v>-2.9</c:v>
                </c:pt>
                <c:pt idx="17">
                  <c:v>-2.9</c:v>
                </c:pt>
                <c:pt idx="18">
                  <c:v>-3.2</c:v>
                </c:pt>
                <c:pt idx="19">
                  <c:v>-3.4</c:v>
                </c:pt>
                <c:pt idx="20">
                  <c:v>-3.1</c:v>
                </c:pt>
              </c:numCache>
            </c:numRef>
          </c:val>
          <c:extLst>
            <c:ext xmlns:c16="http://schemas.microsoft.com/office/drawing/2014/chart" uri="{C3380CC4-5D6E-409C-BE32-E72D297353CC}">
              <c16:uniqueId val="{00000000-6FA6-4B31-A66D-A83F24C34A92}"/>
            </c:ext>
          </c:extLst>
        </c:ser>
        <c:ser>
          <c:idx val="1"/>
          <c:order val="1"/>
          <c:tx>
            <c:strRef>
              <c:f>'pro graf-3'!$A$123</c:f>
              <c:strCache>
                <c:ptCount val="1"/>
                <c:pt idx="0">
                  <c:v>Czech Republic</c:v>
                </c:pt>
              </c:strCache>
            </c:strRef>
          </c:tx>
          <c:spPr>
            <a:solidFill>
              <a:srgbClr val="B8BBC2"/>
            </a:solidFill>
            <a:ln>
              <a:noFill/>
            </a:ln>
            <a:effectLst/>
          </c:spPr>
          <c:invertIfNegative val="0"/>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graf-3'!$B$123:$V$123</c:f>
              <c:numCache>
                <c:formatCode>0.0</c:formatCode>
                <c:ptCount val="21"/>
                <c:pt idx="0">
                  <c:v>-7.4</c:v>
                </c:pt>
                <c:pt idx="1">
                  <c:v>-5.4</c:v>
                </c:pt>
                <c:pt idx="2">
                  <c:v>-3.7</c:v>
                </c:pt>
                <c:pt idx="3">
                  <c:v>-3.4</c:v>
                </c:pt>
                <c:pt idx="4">
                  <c:v>-2.2999999999999998</c:v>
                </c:pt>
                <c:pt idx="5">
                  <c:v>-2.6</c:v>
                </c:pt>
                <c:pt idx="6">
                  <c:v>-3.9</c:v>
                </c:pt>
                <c:pt idx="7">
                  <c:v>-3.3</c:v>
                </c:pt>
                <c:pt idx="8">
                  <c:v>-4.5</c:v>
                </c:pt>
                <c:pt idx="9">
                  <c:v>-3.4</c:v>
                </c:pt>
                <c:pt idx="10">
                  <c:v>-3.2</c:v>
                </c:pt>
                <c:pt idx="11">
                  <c:v>-3.9</c:v>
                </c:pt>
                <c:pt idx="12">
                  <c:v>-1.8</c:v>
                </c:pt>
                <c:pt idx="13">
                  <c:v>-2.2999999999999998</c:v>
                </c:pt>
                <c:pt idx="14">
                  <c:v>-2.4</c:v>
                </c:pt>
                <c:pt idx="15">
                  <c:v>-1.7</c:v>
                </c:pt>
                <c:pt idx="16">
                  <c:v>-2.2000000000000002</c:v>
                </c:pt>
                <c:pt idx="17">
                  <c:v>-2.1</c:v>
                </c:pt>
                <c:pt idx="18">
                  <c:v>-2.1</c:v>
                </c:pt>
                <c:pt idx="19">
                  <c:v>-2.2000000000000002</c:v>
                </c:pt>
                <c:pt idx="20">
                  <c:v>-2.2999999999999998</c:v>
                </c:pt>
              </c:numCache>
            </c:numRef>
          </c:val>
          <c:extLst>
            <c:ext xmlns:c16="http://schemas.microsoft.com/office/drawing/2014/chart" uri="{C3380CC4-5D6E-409C-BE32-E72D297353CC}">
              <c16:uniqueId val="{00000001-6FA6-4B31-A66D-A83F24C34A92}"/>
            </c:ext>
          </c:extLst>
        </c:ser>
        <c:dLbls>
          <c:showLegendKey val="0"/>
          <c:showVal val="0"/>
          <c:showCatName val="0"/>
          <c:showSerName val="0"/>
          <c:showPercent val="0"/>
          <c:showBubbleSize val="0"/>
        </c:dLbls>
        <c:gapWidth val="150"/>
        <c:axId val="531992144"/>
        <c:axId val="531997552"/>
      </c:barChart>
      <c:lineChart>
        <c:grouping val="standard"/>
        <c:varyColors val="0"/>
        <c:ser>
          <c:idx val="3"/>
          <c:order val="2"/>
          <c:tx>
            <c:strRef>
              <c:f>'pro graf-3'!$A$124</c:f>
              <c:strCache>
                <c:ptCount val="1"/>
                <c:pt idx="0">
                  <c:v>Germany</c:v>
                </c:pt>
              </c:strCache>
            </c:strRef>
          </c:tx>
          <c:spPr>
            <a:ln w="15875" cap="rnd">
              <a:noFill/>
              <a:prstDash val="dash"/>
              <a:round/>
            </a:ln>
            <a:effectLst/>
          </c:spPr>
          <c:marker>
            <c:symbol val="dash"/>
            <c:size val="8"/>
            <c:spPr>
              <a:solidFill>
                <a:srgbClr val="BC5B80"/>
              </a:solidFill>
              <a:ln w="9525">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graf-3'!$B$124:$V$124</c:f>
              <c:numCache>
                <c:formatCode>0.0</c:formatCode>
                <c:ptCount val="21"/>
                <c:pt idx="0">
                  <c:v>-4.3</c:v>
                </c:pt>
                <c:pt idx="1">
                  <c:v>-4.9000000000000004</c:v>
                </c:pt>
                <c:pt idx="2">
                  <c:v>-1.9</c:v>
                </c:pt>
                <c:pt idx="3">
                  <c:v>-1.7</c:v>
                </c:pt>
                <c:pt idx="4">
                  <c:v>-0.2</c:v>
                </c:pt>
                <c:pt idx="5">
                  <c:v>-0.7</c:v>
                </c:pt>
                <c:pt idx="6">
                  <c:v>-2.5</c:v>
                </c:pt>
                <c:pt idx="7">
                  <c:v>-4.2</c:v>
                </c:pt>
                <c:pt idx="8">
                  <c:v>-2.6</c:v>
                </c:pt>
                <c:pt idx="9">
                  <c:v>-2.2000000000000002</c:v>
                </c:pt>
                <c:pt idx="10">
                  <c:v>-2.2999999999999998</c:v>
                </c:pt>
                <c:pt idx="11">
                  <c:v>-2.9</c:v>
                </c:pt>
                <c:pt idx="12">
                  <c:v>-3.1</c:v>
                </c:pt>
                <c:pt idx="13">
                  <c:v>-2.7</c:v>
                </c:pt>
                <c:pt idx="14">
                  <c:v>-2.6</c:v>
                </c:pt>
                <c:pt idx="15">
                  <c:v>-2.2999999999999998</c:v>
                </c:pt>
                <c:pt idx="16">
                  <c:v>-2.1</c:v>
                </c:pt>
                <c:pt idx="17">
                  <c:v>-2</c:v>
                </c:pt>
                <c:pt idx="18">
                  <c:v>-2.7</c:v>
                </c:pt>
                <c:pt idx="19">
                  <c:v>-4.2</c:v>
                </c:pt>
                <c:pt idx="20">
                  <c:v>-3.6</c:v>
                </c:pt>
              </c:numCache>
            </c:numRef>
          </c:val>
          <c:smooth val="0"/>
          <c:extLst>
            <c:ext xmlns:c16="http://schemas.microsoft.com/office/drawing/2014/chart" uri="{C3380CC4-5D6E-409C-BE32-E72D297353CC}">
              <c16:uniqueId val="{00000002-6FA6-4B31-A66D-A83F24C34A92}"/>
            </c:ext>
          </c:extLst>
        </c:ser>
        <c:ser>
          <c:idx val="4"/>
          <c:order val="3"/>
          <c:tx>
            <c:strRef>
              <c:f>'pro graf-3'!$A$125</c:f>
              <c:strCache>
                <c:ptCount val="1"/>
                <c:pt idx="0">
                  <c:v>Poland</c:v>
                </c:pt>
              </c:strCache>
            </c:strRef>
          </c:tx>
          <c:spPr>
            <a:ln w="12700" cap="rnd">
              <a:noFill/>
              <a:prstDash val="sysDot"/>
              <a:round/>
            </a:ln>
            <a:effectLst/>
          </c:spPr>
          <c:marker>
            <c:symbol val="dash"/>
            <c:size val="8"/>
            <c:spPr>
              <a:solidFill>
                <a:srgbClr val="92D050"/>
              </a:solidFill>
              <a:ln w="6350">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graf-3'!$B$125:$V$125</c:f>
              <c:numCache>
                <c:formatCode>0.0</c:formatCode>
                <c:ptCount val="21"/>
                <c:pt idx="0">
                  <c:v>-2.6</c:v>
                </c:pt>
                <c:pt idx="1">
                  <c:v>-1.5</c:v>
                </c:pt>
                <c:pt idx="2">
                  <c:v>-0.1</c:v>
                </c:pt>
                <c:pt idx="3">
                  <c:v>-2.4</c:v>
                </c:pt>
                <c:pt idx="4">
                  <c:v>-1.1000000000000001</c:v>
                </c:pt>
                <c:pt idx="5">
                  <c:v>-2</c:v>
                </c:pt>
                <c:pt idx="6">
                  <c:v>-2.8</c:v>
                </c:pt>
                <c:pt idx="7">
                  <c:v>-6.2</c:v>
                </c:pt>
                <c:pt idx="8">
                  <c:v>-3</c:v>
                </c:pt>
                <c:pt idx="9">
                  <c:v>-4.4000000000000004</c:v>
                </c:pt>
                <c:pt idx="10">
                  <c:v>-5.5</c:v>
                </c:pt>
                <c:pt idx="11">
                  <c:v>-5.7</c:v>
                </c:pt>
                <c:pt idx="12">
                  <c:v>-5.0999999999999996</c:v>
                </c:pt>
                <c:pt idx="13">
                  <c:v>-6</c:v>
                </c:pt>
                <c:pt idx="14">
                  <c:v>-6.7</c:v>
                </c:pt>
                <c:pt idx="15">
                  <c:v>-7.1</c:v>
                </c:pt>
                <c:pt idx="16">
                  <c:v>-6.7</c:v>
                </c:pt>
                <c:pt idx="17">
                  <c:v>-7.1</c:v>
                </c:pt>
                <c:pt idx="18">
                  <c:v>-7</c:v>
                </c:pt>
                <c:pt idx="19">
                  <c:v>-7.8</c:v>
                </c:pt>
                <c:pt idx="20">
                  <c:v>-5.9</c:v>
                </c:pt>
              </c:numCache>
            </c:numRef>
          </c:val>
          <c:smooth val="0"/>
          <c:extLst>
            <c:ext xmlns:c16="http://schemas.microsoft.com/office/drawing/2014/chart" uri="{C3380CC4-5D6E-409C-BE32-E72D297353CC}">
              <c16:uniqueId val="{00000003-6FA6-4B31-A66D-A83F24C34A92}"/>
            </c:ext>
          </c:extLst>
        </c:ser>
        <c:ser>
          <c:idx val="2"/>
          <c:order val="4"/>
          <c:tx>
            <c:strRef>
              <c:f>'pro graf-3'!$A$126</c:f>
              <c:strCache>
                <c:ptCount val="1"/>
                <c:pt idx="0">
                  <c:v>Hungary</c:v>
                </c:pt>
              </c:strCache>
            </c:strRef>
          </c:tx>
          <c:spPr>
            <a:ln w="25400" cap="rnd">
              <a:noFill/>
              <a:round/>
            </a:ln>
            <a:effectLst/>
          </c:spPr>
          <c:marker>
            <c:symbol val="dash"/>
            <c:size val="8"/>
            <c:spPr>
              <a:solidFill>
                <a:srgbClr val="009CB5"/>
              </a:solidFill>
              <a:ln w="9525">
                <a:noFill/>
              </a:ln>
              <a:effectLst/>
            </c:spPr>
          </c:marker>
          <c:cat>
            <c:multiLvlStrRef>
              <c:f>'pro graf-3'!$B$120:$V$121</c:f>
              <c:multiLvlStrCache>
                <c:ptCount val="21"/>
                <c:lvl>
                  <c:pt idx="0">
                    <c:v>1</c:v>
                  </c:pt>
                  <c:pt idx="1">
                    <c:v>2</c:v>
                  </c:pt>
                  <c:pt idx="2">
                    <c:v>3</c:v>
                  </c:pt>
                  <c:pt idx="3">
                    <c:v>4</c:v>
                  </c:pt>
                  <c:pt idx="4">
                    <c:v>1</c:v>
                  </c:pt>
                  <c:pt idx="5">
                    <c:v>2</c:v>
                  </c:pt>
                  <c:pt idx="6">
                    <c:v>3</c:v>
                  </c:pt>
                  <c:pt idx="7">
                    <c:v>4</c:v>
                  </c:pt>
                  <c:pt idx="8">
                    <c:v>1</c:v>
                  </c:pt>
                  <c:pt idx="9">
                    <c:v>2</c:v>
                  </c:pt>
                  <c:pt idx="10">
                    <c:v>3</c:v>
                  </c:pt>
                  <c:pt idx="11">
                    <c:v>4</c:v>
                  </c:pt>
                  <c:pt idx="12">
                    <c:v>1</c:v>
                  </c:pt>
                  <c:pt idx="13">
                    <c:v>2</c:v>
                  </c:pt>
                  <c:pt idx="14">
                    <c:v>3</c:v>
                  </c:pt>
                  <c:pt idx="15">
                    <c:v>4</c:v>
                  </c:pt>
                  <c:pt idx="16">
                    <c:v>1</c:v>
                  </c:pt>
                  <c:pt idx="17">
                    <c:v>2</c:v>
                  </c:pt>
                  <c:pt idx="18">
                    <c:v>3</c:v>
                  </c:pt>
                  <c:pt idx="19">
                    <c:v>4</c:v>
                  </c:pt>
                  <c:pt idx="20">
                    <c:v>1</c:v>
                  </c:pt>
                </c:lvl>
                <c:lvl>
                  <c:pt idx="0">
                    <c:v>2021</c:v>
                  </c:pt>
                  <c:pt idx="4">
                    <c:v>2022</c:v>
                  </c:pt>
                  <c:pt idx="8">
                    <c:v>2023</c:v>
                  </c:pt>
                  <c:pt idx="12">
                    <c:v>2024</c:v>
                  </c:pt>
                  <c:pt idx="16">
                    <c:v>2025</c:v>
                  </c:pt>
                  <c:pt idx="20">
                    <c:v>2026</c:v>
                  </c:pt>
                </c:lvl>
              </c:multiLvlStrCache>
            </c:multiLvlStrRef>
          </c:cat>
          <c:val>
            <c:numRef>
              <c:f>'pro graf-3'!$B$126:$V$126</c:f>
              <c:numCache>
                <c:formatCode>0.0</c:formatCode>
                <c:ptCount val="21"/>
                <c:pt idx="0">
                  <c:v>-9.4</c:v>
                </c:pt>
                <c:pt idx="1">
                  <c:v>-7.4</c:v>
                </c:pt>
                <c:pt idx="2">
                  <c:v>-6.9</c:v>
                </c:pt>
                <c:pt idx="3">
                  <c:v>-5</c:v>
                </c:pt>
                <c:pt idx="4">
                  <c:v>-3.9</c:v>
                </c:pt>
                <c:pt idx="5">
                  <c:v>-5.2</c:v>
                </c:pt>
                <c:pt idx="6">
                  <c:v>-7.3</c:v>
                </c:pt>
                <c:pt idx="7">
                  <c:v>-8.1999999999999993</c:v>
                </c:pt>
                <c:pt idx="8">
                  <c:v>-9</c:v>
                </c:pt>
                <c:pt idx="9">
                  <c:v>-7.1</c:v>
                </c:pt>
                <c:pt idx="10">
                  <c:v>-5.9</c:v>
                </c:pt>
                <c:pt idx="11">
                  <c:v>-6.1</c:v>
                </c:pt>
                <c:pt idx="12">
                  <c:v>-4.9000000000000004</c:v>
                </c:pt>
                <c:pt idx="13">
                  <c:v>-6</c:v>
                </c:pt>
                <c:pt idx="14">
                  <c:v>-5.0999999999999996</c:v>
                </c:pt>
                <c:pt idx="15">
                  <c:v>-4.5</c:v>
                </c:pt>
                <c:pt idx="16">
                  <c:v>-4.4000000000000004</c:v>
                </c:pt>
                <c:pt idx="17">
                  <c:v>-3.8</c:v>
                </c:pt>
                <c:pt idx="18">
                  <c:v>-5.3</c:v>
                </c:pt>
                <c:pt idx="19">
                  <c:v>-5.2</c:v>
                </c:pt>
                <c:pt idx="20">
                  <c:v>-6.6</c:v>
                </c:pt>
              </c:numCache>
            </c:numRef>
          </c:val>
          <c:smooth val="0"/>
          <c:extLst>
            <c:ext xmlns:c16="http://schemas.microsoft.com/office/drawing/2014/chart" uri="{C3380CC4-5D6E-409C-BE32-E72D297353CC}">
              <c16:uniqueId val="{00000004-6FA6-4B31-A66D-A83F24C34A92}"/>
            </c:ext>
          </c:extLst>
        </c:ser>
        <c:dLbls>
          <c:showLegendKey val="0"/>
          <c:showVal val="0"/>
          <c:showCatName val="0"/>
          <c:showSerName val="0"/>
          <c:showPercent val="0"/>
          <c:showBubbleSize val="0"/>
        </c:dLbls>
        <c:marker val="1"/>
        <c:smooth val="0"/>
        <c:axId val="531992144"/>
        <c:axId val="531997552"/>
      </c:lineChart>
      <c:catAx>
        <c:axId val="53199214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531997552"/>
        <c:crosses val="autoZero"/>
        <c:auto val="1"/>
        <c:lblAlgn val="ctr"/>
        <c:lblOffset val="0"/>
        <c:noMultiLvlLbl val="0"/>
      </c:catAx>
      <c:valAx>
        <c:axId val="531997552"/>
        <c:scaling>
          <c:orientation val="minMax"/>
          <c:max val="1"/>
          <c:min val="-1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531992144"/>
        <c:crosses val="autoZero"/>
        <c:crossBetween val="between"/>
        <c:majorUnit val="1"/>
      </c:valAx>
      <c:spPr>
        <a:noFill/>
        <a:ln w="6350">
          <a:solidFill>
            <a:schemeClr val="tx1"/>
          </a:solidFill>
        </a:ln>
        <a:effectLst/>
      </c:spPr>
    </c:plotArea>
    <c:legend>
      <c:legendPos val="b"/>
      <c:layout>
        <c:manualLayout>
          <c:xMode val="edge"/>
          <c:yMode val="edge"/>
          <c:x val="7.0799761296405722E-2"/>
          <c:y val="0.93679796828801454"/>
          <c:w val="0.90607039647393917"/>
          <c:h val="5.1594164041379002E-2"/>
        </c:manualLayout>
      </c:layout>
      <c:overlay val="0"/>
      <c:spPr>
        <a:noFill/>
        <a:ln w="6350">
          <a:solidFill>
            <a:schemeClr val="tx1"/>
          </a:solidFill>
        </a:ln>
        <a:effectLst/>
      </c:spPr>
      <c:txPr>
        <a:bodyPr rot="0" spcFirstLastPara="1" vertOverflow="ellipsis" vert="horz" wrap="square" anchor="ctr" anchorCtr="1"/>
        <a:lstStyle/>
        <a:p>
          <a:pPr>
            <a:defRPr sz="7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chart>
  <c:spPr>
    <a:solidFill>
      <a:schemeClr val="bg1"/>
    </a:solidFill>
    <a:ln w="6350" cap="flat" cmpd="sng" algn="ctr">
      <a:no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3398957747256767E-2"/>
          <c:y val="1.7107287133586922E-2"/>
          <c:w val="0.91993550268004531"/>
          <c:h val="0.73189574563932891"/>
        </c:manualLayout>
      </c:layout>
      <c:barChart>
        <c:barDir val="col"/>
        <c:grouping val="stacked"/>
        <c:varyColors val="0"/>
        <c:ser>
          <c:idx val="1"/>
          <c:order val="1"/>
          <c:tx>
            <c:strRef>
              <c:f>'G1-nové pojetí'!$A$6</c:f>
              <c:strCache>
                <c:ptCount val="1"/>
                <c:pt idx="0">
                  <c:v>Other taxes and fees**</c:v>
                </c:pt>
              </c:strCache>
            </c:strRef>
          </c:tx>
          <c:spPr>
            <a:solidFill>
              <a:srgbClr val="D7D9DB"/>
            </a:solidFill>
            <a:ln w="12700">
              <a:noFill/>
              <a:prstDash val="solid"/>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pojetí'!$B$6:$G$6</c:f>
              <c:numCache>
                <c:formatCode>0.0</c:formatCode>
                <c:ptCount val="6"/>
                <c:pt idx="0">
                  <c:v>-0.57557094156431787</c:v>
                </c:pt>
                <c:pt idx="1">
                  <c:v>0.78502585428938398</c:v>
                </c:pt>
                <c:pt idx="2">
                  <c:v>2.2309684611061136</c:v>
                </c:pt>
                <c:pt idx="3">
                  <c:v>2.5085325698876204</c:v>
                </c:pt>
                <c:pt idx="4">
                  <c:v>1.0188718231456477</c:v>
                </c:pt>
                <c:pt idx="5">
                  <c:v>-2.4640057124266739</c:v>
                </c:pt>
              </c:numCache>
            </c:numRef>
          </c:val>
          <c:extLst>
            <c:ext xmlns:c16="http://schemas.microsoft.com/office/drawing/2014/chart" uri="{C3380CC4-5D6E-409C-BE32-E72D297353CC}">
              <c16:uniqueId val="{00000000-698B-4CF2-AADF-E6B562DF33CA}"/>
            </c:ext>
          </c:extLst>
        </c:ser>
        <c:ser>
          <c:idx val="3"/>
          <c:order val="2"/>
          <c:tx>
            <c:strRef>
              <c:f>'G1-nové pojetí'!$A$7</c:f>
              <c:strCache>
                <c:ptCount val="1"/>
                <c:pt idx="0">
                  <c:v>Personal income tax of NP (paid by payers)*</c:v>
                </c:pt>
              </c:strCache>
            </c:strRef>
          </c:tx>
          <c:spPr>
            <a:solidFill>
              <a:srgbClr val="9FC9D7"/>
            </a:solidFill>
            <a:ln w="19050">
              <a:noFill/>
              <a:prstDash val="sysDot"/>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pojetí'!$B$7:$G$7</c:f>
              <c:numCache>
                <c:formatCode>0.0</c:formatCode>
                <c:ptCount val="6"/>
                <c:pt idx="0">
                  <c:v>-6.0198084538983654</c:v>
                </c:pt>
                <c:pt idx="1">
                  <c:v>1.4133532159550959</c:v>
                </c:pt>
                <c:pt idx="2">
                  <c:v>2.7818509745347071</c:v>
                </c:pt>
                <c:pt idx="3">
                  <c:v>2.0000217898978092</c:v>
                </c:pt>
                <c:pt idx="4">
                  <c:v>1.6295716820137303</c:v>
                </c:pt>
                <c:pt idx="5">
                  <c:v>1.5726928655649646</c:v>
                </c:pt>
              </c:numCache>
            </c:numRef>
          </c:val>
          <c:extLst>
            <c:ext xmlns:c16="http://schemas.microsoft.com/office/drawing/2014/chart" uri="{C3380CC4-5D6E-409C-BE32-E72D297353CC}">
              <c16:uniqueId val="{00000001-698B-4CF2-AADF-E6B562DF33CA}"/>
            </c:ext>
          </c:extLst>
        </c:ser>
        <c:ser>
          <c:idx val="4"/>
          <c:order val="3"/>
          <c:tx>
            <c:strRef>
              <c:f>'G1-nové pojetí'!$A$8</c:f>
              <c:strCache>
                <c:ptCount val="1"/>
                <c:pt idx="0">
                  <c:v>Personal income tax of natural persons (NP), other</c:v>
                </c:pt>
              </c:strCache>
            </c:strRef>
          </c:tx>
          <c:spPr>
            <a:solidFill>
              <a:srgbClr val="009CB5"/>
            </a:solidFill>
            <a:ln w="19050">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pojetí'!$B$8:$G$8</c:f>
              <c:numCache>
                <c:formatCode>0.0</c:formatCode>
                <c:ptCount val="6"/>
                <c:pt idx="0">
                  <c:v>1.1905445188146151</c:v>
                </c:pt>
                <c:pt idx="1">
                  <c:v>1.0848278620336691</c:v>
                </c:pt>
                <c:pt idx="2">
                  <c:v>0.87429381000186324</c:v>
                </c:pt>
                <c:pt idx="3">
                  <c:v>0.56500660654026003</c:v>
                </c:pt>
                <c:pt idx="4">
                  <c:v>0.50153227402904321</c:v>
                </c:pt>
                <c:pt idx="5">
                  <c:v>0.63214709284510495</c:v>
                </c:pt>
              </c:numCache>
            </c:numRef>
          </c:val>
          <c:extLst>
            <c:ext xmlns:c16="http://schemas.microsoft.com/office/drawing/2014/chart" uri="{C3380CC4-5D6E-409C-BE32-E72D297353CC}">
              <c16:uniqueId val="{00000002-698B-4CF2-AADF-E6B562DF33CA}"/>
            </c:ext>
          </c:extLst>
        </c:ser>
        <c:ser>
          <c:idx val="2"/>
          <c:order val="4"/>
          <c:tx>
            <c:strRef>
              <c:f>'G1-nové pojetí'!$A$9</c:f>
              <c:strCache>
                <c:ptCount val="1"/>
                <c:pt idx="0">
                  <c:v>Corporate tax</c:v>
                </c:pt>
              </c:strCache>
            </c:strRef>
          </c:tx>
          <c:spPr>
            <a:solidFill>
              <a:srgbClr val="86BF5E"/>
            </a:solidFill>
            <a:ln>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pojetí'!$B$9:$G$9</c:f>
              <c:numCache>
                <c:formatCode>0.0</c:formatCode>
                <c:ptCount val="6"/>
                <c:pt idx="0">
                  <c:v>8.0545419061014698</c:v>
                </c:pt>
                <c:pt idx="1">
                  <c:v>3.4196071209305705</c:v>
                </c:pt>
                <c:pt idx="2">
                  <c:v>5.0089986951406535</c:v>
                </c:pt>
                <c:pt idx="3">
                  <c:v>0.33728578848166757</c:v>
                </c:pt>
                <c:pt idx="4">
                  <c:v>2.0136854346303958</c:v>
                </c:pt>
                <c:pt idx="5">
                  <c:v>2.0865302263270777</c:v>
                </c:pt>
              </c:numCache>
            </c:numRef>
          </c:val>
          <c:extLst>
            <c:ext xmlns:c16="http://schemas.microsoft.com/office/drawing/2014/chart" uri="{C3380CC4-5D6E-409C-BE32-E72D297353CC}">
              <c16:uniqueId val="{00000003-698B-4CF2-AADF-E6B562DF33CA}"/>
            </c:ext>
          </c:extLst>
        </c:ser>
        <c:ser>
          <c:idx val="5"/>
          <c:order val="5"/>
          <c:tx>
            <c:strRef>
              <c:f>'G1-nové pojetí'!$A$10</c:f>
              <c:strCache>
                <c:ptCount val="1"/>
                <c:pt idx="0">
                  <c:v>Consumption tax</c:v>
                </c:pt>
              </c:strCache>
            </c:strRef>
          </c:tx>
          <c:spPr>
            <a:solidFill>
              <a:srgbClr val="CC9610"/>
            </a:solidFill>
            <a:ln>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pojetí'!$B$10:$G$10</c:f>
              <c:numCache>
                <c:formatCode>0.0</c:formatCode>
                <c:ptCount val="6"/>
                <c:pt idx="0">
                  <c:v>-1.71432256636205</c:v>
                </c:pt>
                <c:pt idx="1">
                  <c:v>2.2001267292613349</c:v>
                </c:pt>
                <c:pt idx="2">
                  <c:v>-1.0170175871507856</c:v>
                </c:pt>
                <c:pt idx="3">
                  <c:v>1.1174683098590457</c:v>
                </c:pt>
                <c:pt idx="4">
                  <c:v>0.65579664171622742</c:v>
                </c:pt>
                <c:pt idx="5">
                  <c:v>0.21402873457603214</c:v>
                </c:pt>
              </c:numCache>
            </c:numRef>
          </c:val>
          <c:extLst>
            <c:ext xmlns:c16="http://schemas.microsoft.com/office/drawing/2014/chart" uri="{C3380CC4-5D6E-409C-BE32-E72D297353CC}">
              <c16:uniqueId val="{00000004-698B-4CF2-AADF-E6B562DF33CA}"/>
            </c:ext>
          </c:extLst>
        </c:ser>
        <c:ser>
          <c:idx val="6"/>
          <c:order val="6"/>
          <c:tx>
            <c:strRef>
              <c:f>'G1-nové pojetí'!$A$11</c:f>
              <c:strCache>
                <c:ptCount val="1"/>
                <c:pt idx="0">
                  <c:v>Value added tax</c:v>
                </c:pt>
              </c:strCache>
            </c:strRef>
          </c:tx>
          <c:spPr>
            <a:solidFill>
              <a:srgbClr val="E6C483"/>
            </a:solidFill>
            <a:ln w="19050">
              <a:noFill/>
            </a:ln>
          </c:spPr>
          <c:invertIfNegative val="0"/>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pojetí'!$B$11:$G$11</c:f>
              <c:numCache>
                <c:formatCode>0.0</c:formatCode>
                <c:ptCount val="6"/>
                <c:pt idx="0">
                  <c:v>3.7083912152981675</c:v>
                </c:pt>
                <c:pt idx="1">
                  <c:v>9.7528438385958296</c:v>
                </c:pt>
                <c:pt idx="2">
                  <c:v>2.6897010351263342</c:v>
                </c:pt>
                <c:pt idx="3">
                  <c:v>1.293470941428116</c:v>
                </c:pt>
                <c:pt idx="4">
                  <c:v>2.3000161390613152</c:v>
                </c:pt>
                <c:pt idx="5">
                  <c:v>2.9999614622061479</c:v>
                </c:pt>
              </c:numCache>
            </c:numRef>
          </c:val>
          <c:extLst>
            <c:ext xmlns:c16="http://schemas.microsoft.com/office/drawing/2014/chart" uri="{C3380CC4-5D6E-409C-BE32-E72D297353CC}">
              <c16:uniqueId val="{00000005-698B-4CF2-AADF-E6B562DF33CA}"/>
            </c:ext>
          </c:extLst>
        </c:ser>
        <c:dLbls>
          <c:showLegendKey val="0"/>
          <c:showVal val="0"/>
          <c:showCatName val="0"/>
          <c:showSerName val="0"/>
          <c:showPercent val="0"/>
          <c:showBubbleSize val="0"/>
        </c:dLbls>
        <c:gapWidth val="90"/>
        <c:overlap val="100"/>
        <c:axId val="194467712"/>
        <c:axId val="194473984"/>
      </c:barChart>
      <c:lineChart>
        <c:grouping val="standard"/>
        <c:varyColors val="0"/>
        <c:ser>
          <c:idx val="0"/>
          <c:order val="0"/>
          <c:tx>
            <c:strRef>
              <c:f>'G1-nové pojetí'!$A$5</c:f>
              <c:strCache>
                <c:ptCount val="1"/>
                <c:pt idx="0">
                  <c:v>Total tax income (excl. soc.security premiums)***</c:v>
                </c:pt>
              </c:strCache>
            </c:strRef>
          </c:tx>
          <c:spPr>
            <a:ln w="19050">
              <a:noFill/>
            </a:ln>
          </c:spPr>
          <c:marker>
            <c:symbol val="circle"/>
            <c:size val="7"/>
            <c:spPr>
              <a:solidFill>
                <a:schemeClr val="bg1"/>
              </a:solidFill>
              <a:ln>
                <a:solidFill>
                  <a:schemeClr val="tx1">
                    <a:lumMod val="95000"/>
                    <a:lumOff val="5000"/>
                  </a:schemeClr>
                </a:solidFill>
              </a:ln>
            </c:spPr>
          </c:marker>
          <c:cat>
            <c:strRef>
              <c:f>'G1-nové pojetí'!$B$4:$G$4</c:f>
              <c:strCache>
                <c:ptCount val="6"/>
                <c:pt idx="0">
                  <c:v>2021
1st half-year</c:v>
                </c:pt>
                <c:pt idx="1">
                  <c:v>2022
1st half-year</c:v>
                </c:pt>
                <c:pt idx="2">
                  <c:v>2023
1st half-year</c:v>
                </c:pt>
                <c:pt idx="3">
                  <c:v>2024
1st half-year</c:v>
                </c:pt>
                <c:pt idx="4">
                  <c:v>2025
1st half-year</c:v>
                </c:pt>
                <c:pt idx="5">
                  <c:v>2026
1st half-year</c:v>
                </c:pt>
              </c:strCache>
            </c:strRef>
          </c:cat>
          <c:val>
            <c:numRef>
              <c:f>'G1-nové pojetí'!$B$5:$G$5</c:f>
              <c:numCache>
                <c:formatCode>0.0</c:formatCode>
                <c:ptCount val="6"/>
                <c:pt idx="0">
                  <c:v>4.6437756783895168</c:v>
                </c:pt>
                <c:pt idx="1">
                  <c:v>18.655784621065891</c:v>
                </c:pt>
                <c:pt idx="2">
                  <c:v>12.568795388758886</c:v>
                </c:pt>
                <c:pt idx="3">
                  <c:v>7.8217860060945128</c:v>
                </c:pt>
                <c:pt idx="4">
                  <c:v>8.1194739945963619</c:v>
                </c:pt>
                <c:pt idx="5">
                  <c:v>5.0413546690926552</c:v>
                </c:pt>
              </c:numCache>
            </c:numRef>
          </c:val>
          <c:smooth val="0"/>
          <c:extLst>
            <c:ext xmlns:c16="http://schemas.microsoft.com/office/drawing/2014/chart" uri="{C3380CC4-5D6E-409C-BE32-E72D297353CC}">
              <c16:uniqueId val="{00000006-698B-4CF2-AADF-E6B562DF33CA}"/>
            </c:ext>
          </c:extLst>
        </c:ser>
        <c:dLbls>
          <c:showLegendKey val="0"/>
          <c:showVal val="0"/>
          <c:showCatName val="0"/>
          <c:showSerName val="0"/>
          <c:showPercent val="0"/>
          <c:showBubbleSize val="0"/>
        </c:dLbls>
        <c:marker val="1"/>
        <c:smooth val="0"/>
        <c:axId val="194467712"/>
        <c:axId val="194473984"/>
      </c:lineChart>
      <c:catAx>
        <c:axId val="194467712"/>
        <c:scaling>
          <c:orientation val="minMax"/>
        </c:scaling>
        <c:delete val="0"/>
        <c:axPos val="b"/>
        <c:numFmt formatCode="General" sourceLinked="1"/>
        <c:majorTickMark val="out"/>
        <c:minorTickMark val="none"/>
        <c:tickLblPos val="low"/>
        <c:spPr>
          <a:ln w="6350">
            <a:solidFill>
              <a:schemeClr val="tx1"/>
            </a:solidFill>
          </a:ln>
        </c:spPr>
        <c:txPr>
          <a:bodyPr rot="0"/>
          <a:lstStyle/>
          <a:p>
            <a:pPr>
              <a:defRPr sz="800" b="0" i="0"/>
            </a:pPr>
            <a:endParaRPr lang="cs-CZ"/>
          </a:p>
        </c:txPr>
        <c:crossAx val="194473984"/>
        <c:crosses val="autoZero"/>
        <c:auto val="1"/>
        <c:lblAlgn val="ctr"/>
        <c:lblOffset val="0"/>
        <c:noMultiLvlLbl val="0"/>
      </c:catAx>
      <c:valAx>
        <c:axId val="194473984"/>
        <c:scaling>
          <c:orientation val="minMax"/>
          <c:max val="20"/>
          <c:min val="-16"/>
        </c:scaling>
        <c:delete val="0"/>
        <c:axPos val="l"/>
        <c:majorGridlines>
          <c:spPr>
            <a:ln w="6350">
              <a:solidFill>
                <a:schemeClr val="bg1">
                  <a:lumMod val="75000"/>
                </a:schemeClr>
              </a:solidFill>
            </a:ln>
          </c:spPr>
        </c:majorGridlines>
        <c:numFmt formatCode="0" sourceLinked="0"/>
        <c:majorTickMark val="out"/>
        <c:minorTickMark val="none"/>
        <c:tickLblPos val="nextTo"/>
        <c:spPr>
          <a:ln w="6350">
            <a:solidFill>
              <a:schemeClr val="tx1"/>
            </a:solidFill>
          </a:ln>
        </c:spPr>
        <c:txPr>
          <a:bodyPr/>
          <a:lstStyle/>
          <a:p>
            <a:pPr>
              <a:defRPr sz="800" b="0" i="0"/>
            </a:pPr>
            <a:endParaRPr lang="cs-CZ"/>
          </a:p>
        </c:txPr>
        <c:crossAx val="194467712"/>
        <c:crosses val="autoZero"/>
        <c:crossBetween val="between"/>
        <c:majorUnit val="4"/>
      </c:valAx>
      <c:spPr>
        <a:ln w="6350">
          <a:solidFill>
            <a:schemeClr val="tx1"/>
          </a:solidFill>
        </a:ln>
      </c:spPr>
    </c:plotArea>
    <c:legend>
      <c:legendPos val="b"/>
      <c:layout>
        <c:manualLayout>
          <c:xMode val="edge"/>
          <c:yMode val="edge"/>
          <c:x val="9.7221826109827707E-3"/>
          <c:y val="0.83529139647686679"/>
          <c:w val="0.97670605608317729"/>
          <c:h val="0.1536733294810981"/>
        </c:manualLayout>
      </c:layout>
      <c:overlay val="0"/>
      <c:spPr>
        <a:ln w="6350">
          <a:solidFill>
            <a:schemeClr val="tx1"/>
          </a:solidFill>
        </a:ln>
      </c:spPr>
      <c:txPr>
        <a:bodyPr/>
        <a:lstStyle/>
        <a:p>
          <a:pPr>
            <a:defRPr sz="750" b="0" i="0"/>
          </a:pPr>
          <a:endParaRPr lang="cs-CZ"/>
        </a:p>
      </c:txPr>
    </c:legend>
    <c:plotVisOnly val="1"/>
    <c:dispBlanksAs val="gap"/>
    <c:showDLblsOverMax val="0"/>
  </c:chart>
  <c:spPr>
    <a:ln>
      <a:noFill/>
    </a:ln>
  </c:spPr>
  <c:txPr>
    <a:bodyPr/>
    <a:lstStyle/>
    <a:p>
      <a:pPr>
        <a:defRPr sz="700" b="1" i="1">
          <a:latin typeface="Arial" panose="020B0604020202020204" pitchFamily="34" charset="0"/>
          <a:cs typeface="Arial" panose="020B0604020202020204" pitchFamily="34" charset="0"/>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7152891877126683E-2"/>
          <c:y val="1.7107287133586922E-2"/>
          <c:w val="0.91930188496019538"/>
          <c:h val="0.700740253926736"/>
        </c:manualLayout>
      </c:layout>
      <c:barChart>
        <c:barDir val="col"/>
        <c:grouping val="stacked"/>
        <c:varyColors val="0"/>
        <c:ser>
          <c:idx val="0"/>
          <c:order val="0"/>
          <c:tx>
            <c:strRef>
              <c:f>'G-2-nový -přísp'!$M$172</c:f>
              <c:strCache>
                <c:ptCount val="1"/>
                <c:pt idx="0">
                  <c:v>Capital expenditures</c:v>
                </c:pt>
              </c:strCache>
            </c:strRef>
          </c:tx>
          <c:spPr>
            <a:solidFill>
              <a:srgbClr val="8390A7"/>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-přísp'!$N$172:$S$172</c:f>
              <c:numCache>
                <c:formatCode>#\ ##0.0</c:formatCode>
                <c:ptCount val="6"/>
                <c:pt idx="0">
                  <c:v>-0.58903031132553563</c:v>
                </c:pt>
                <c:pt idx="1">
                  <c:v>0.8555103759267676</c:v>
                </c:pt>
                <c:pt idx="2">
                  <c:v>1.1378323210553873</c:v>
                </c:pt>
                <c:pt idx="3">
                  <c:v>-0.2210580199357926</c:v>
                </c:pt>
                <c:pt idx="4">
                  <c:v>0.35742461409413834</c:v>
                </c:pt>
                <c:pt idx="5">
                  <c:v>2.2173570785535355</c:v>
                </c:pt>
              </c:numCache>
            </c:numRef>
          </c:val>
          <c:extLst>
            <c:ext xmlns:c16="http://schemas.microsoft.com/office/drawing/2014/chart" uri="{C3380CC4-5D6E-409C-BE32-E72D297353CC}">
              <c16:uniqueId val="{00000000-D14B-491E-9EAF-2342AE590881}"/>
            </c:ext>
          </c:extLst>
        </c:ser>
        <c:ser>
          <c:idx val="1"/>
          <c:order val="1"/>
          <c:tx>
            <c:strRef>
              <c:f>'G-2-nový -přísp'!$M$173</c:f>
              <c:strCache>
                <c:ptCount val="1"/>
                <c:pt idx="0">
                  <c:v>Other current expenditures*****</c:v>
                </c:pt>
              </c:strCache>
            </c:strRef>
          </c:tx>
          <c:spPr>
            <a:solidFill>
              <a:srgbClr val="B8BBC2"/>
            </a:solidFill>
            <a:ln w="12700">
              <a:noFill/>
              <a:prstDash val="solid"/>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-přísp'!$N$173:$S$173</c:f>
              <c:numCache>
                <c:formatCode>#\ ##0.0</c:formatCode>
                <c:ptCount val="6"/>
                <c:pt idx="0">
                  <c:v>-6.9514068579071275E-2</c:v>
                </c:pt>
                <c:pt idx="1">
                  <c:v>0.23015825211366989</c:v>
                </c:pt>
                <c:pt idx="2">
                  <c:v>0.18180844366078761</c:v>
                </c:pt>
                <c:pt idx="3">
                  <c:v>-0.41361902785904742</c:v>
                </c:pt>
                <c:pt idx="4">
                  <c:v>4.234465471491383E-3</c:v>
                </c:pt>
                <c:pt idx="5">
                  <c:v>1.3165243012349284</c:v>
                </c:pt>
              </c:numCache>
            </c:numRef>
          </c:val>
          <c:extLst>
            <c:ext xmlns:c16="http://schemas.microsoft.com/office/drawing/2014/chart" uri="{C3380CC4-5D6E-409C-BE32-E72D297353CC}">
              <c16:uniqueId val="{00000001-D14B-491E-9EAF-2342AE590881}"/>
            </c:ext>
          </c:extLst>
        </c:ser>
        <c:ser>
          <c:idx val="3"/>
          <c:order val="2"/>
          <c:tx>
            <c:strRef>
              <c:f>'G-2-nový -přísp'!$M$174</c:f>
              <c:strCache>
                <c:ptCount val="1"/>
                <c:pt idx="0">
                  <c:v>Other social benefits (excluding pensions)****</c:v>
                </c:pt>
              </c:strCache>
            </c:strRef>
          </c:tx>
          <c:spPr>
            <a:solidFill>
              <a:srgbClr val="86BF5E"/>
            </a:solidFill>
            <a:ln w="19050">
              <a:noFill/>
              <a:prstDash val="sysDot"/>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-přísp'!$N$174:$S$174</c:f>
              <c:numCache>
                <c:formatCode>#\ ##0.0</c:formatCode>
                <c:ptCount val="6"/>
                <c:pt idx="0">
                  <c:v>-0.19608773251686876</c:v>
                </c:pt>
                <c:pt idx="1">
                  <c:v>0.31640378214155945</c:v>
                </c:pt>
                <c:pt idx="2">
                  <c:v>0.62810938678398587</c:v>
                </c:pt>
                <c:pt idx="3">
                  <c:v>0.2275665437687617</c:v>
                </c:pt>
                <c:pt idx="4">
                  <c:v>0.72603072049179063</c:v>
                </c:pt>
                <c:pt idx="5">
                  <c:v>0.53216833616864778</c:v>
                </c:pt>
              </c:numCache>
            </c:numRef>
          </c:val>
          <c:extLst>
            <c:ext xmlns:c16="http://schemas.microsoft.com/office/drawing/2014/chart" uri="{C3380CC4-5D6E-409C-BE32-E72D297353CC}">
              <c16:uniqueId val="{00000002-D14B-491E-9EAF-2342AE590881}"/>
            </c:ext>
          </c:extLst>
        </c:ser>
        <c:ser>
          <c:idx val="4"/>
          <c:order val="3"/>
          <c:tx>
            <c:strRef>
              <c:f>'G-2-nový -přísp'!$M$175</c:f>
              <c:strCache>
                <c:ptCount val="1"/>
                <c:pt idx="0">
                  <c:v>Pensions</c:v>
                </c:pt>
              </c:strCache>
            </c:strRef>
          </c:tx>
          <c:spPr>
            <a:solidFill>
              <a:srgbClr val="C3DDAC"/>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-přísp'!$N$175:$S$175</c:f>
              <c:numCache>
                <c:formatCode>#\ ##0.0</c:formatCode>
                <c:ptCount val="6"/>
                <c:pt idx="0">
                  <c:v>1.5874089636109858</c:v>
                </c:pt>
                <c:pt idx="1">
                  <c:v>1.8586436047439359</c:v>
                </c:pt>
                <c:pt idx="2">
                  <c:v>5.8084204557645389</c:v>
                </c:pt>
                <c:pt idx="3">
                  <c:v>1.2848762395065934</c:v>
                </c:pt>
                <c:pt idx="4">
                  <c:v>0.11633088038591927</c:v>
                </c:pt>
                <c:pt idx="5">
                  <c:v>1.2032301754918788</c:v>
                </c:pt>
              </c:numCache>
            </c:numRef>
          </c:val>
          <c:extLst>
            <c:ext xmlns:c16="http://schemas.microsoft.com/office/drawing/2014/chart" uri="{C3380CC4-5D6E-409C-BE32-E72D297353CC}">
              <c16:uniqueId val="{00000003-D14B-491E-9EAF-2342AE590881}"/>
            </c:ext>
          </c:extLst>
        </c:ser>
        <c:ser>
          <c:idx val="2"/>
          <c:order val="4"/>
          <c:tx>
            <c:strRef>
              <c:f>'G-2-nový -přísp'!$M$176</c:f>
              <c:strCache>
                <c:ptCount val="1"/>
                <c:pt idx="0">
                  <c:v>Non-investment transfers to regional budgets</c:v>
                </c:pt>
              </c:strCache>
            </c:strRef>
          </c:tx>
          <c:spPr>
            <a:solidFill>
              <a:srgbClr val="BC5B80"/>
            </a:solidFill>
            <a:ln>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-přísp'!$N$176:$S$176</c:f>
              <c:numCache>
                <c:formatCode>#\ ##0.0</c:formatCode>
                <c:ptCount val="6"/>
                <c:pt idx="0">
                  <c:v>2.1037058739173262</c:v>
                </c:pt>
                <c:pt idx="1">
                  <c:v>-1.1344676610275661E-2</c:v>
                </c:pt>
                <c:pt idx="2">
                  <c:v>2.614137006574635</c:v>
                </c:pt>
                <c:pt idx="3">
                  <c:v>-0.58965642163444709</c:v>
                </c:pt>
                <c:pt idx="4">
                  <c:v>1.1992892156283173</c:v>
                </c:pt>
                <c:pt idx="5">
                  <c:v>-0.96650420340559917</c:v>
                </c:pt>
              </c:numCache>
            </c:numRef>
          </c:val>
          <c:extLst>
            <c:ext xmlns:c16="http://schemas.microsoft.com/office/drawing/2014/chart" uri="{C3380CC4-5D6E-409C-BE32-E72D297353CC}">
              <c16:uniqueId val="{00000004-D14B-491E-9EAF-2342AE590881}"/>
            </c:ext>
          </c:extLst>
        </c:ser>
        <c:ser>
          <c:idx val="5"/>
          <c:order val="5"/>
          <c:tx>
            <c:strRef>
              <c:f>'G-2-nový -přísp'!$M$177</c:f>
              <c:strCache>
                <c:ptCount val="1"/>
                <c:pt idx="0">
                  <c:v>Non-invest. transf. to funds of soc.&amp; publ.health insur.</c:v>
                </c:pt>
              </c:strCache>
            </c:strRef>
          </c:tx>
          <c:spPr>
            <a:solidFill>
              <a:srgbClr val="D8A7B7"/>
            </a:solidFill>
            <a:ln>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-přísp'!$N$177:$S$177</c:f>
              <c:numCache>
                <c:formatCode>#\ ##0.0</c:formatCode>
                <c:ptCount val="6"/>
                <c:pt idx="0">
                  <c:v>2.5031090203322646</c:v>
                </c:pt>
                <c:pt idx="1">
                  <c:v>0.84093665212436786</c:v>
                </c:pt>
                <c:pt idx="2">
                  <c:v>-0.23463679627763118</c:v>
                </c:pt>
                <c:pt idx="3">
                  <c:v>0.58885485363367707</c:v>
                </c:pt>
                <c:pt idx="4">
                  <c:v>9.1191190558826865E-2</c:v>
                </c:pt>
                <c:pt idx="5">
                  <c:v>1.3326543822411687</c:v>
                </c:pt>
              </c:numCache>
            </c:numRef>
          </c:val>
          <c:extLst>
            <c:ext xmlns:c16="http://schemas.microsoft.com/office/drawing/2014/chart" uri="{C3380CC4-5D6E-409C-BE32-E72D297353CC}">
              <c16:uniqueId val="{00000005-D14B-491E-9EAF-2342AE590881}"/>
            </c:ext>
          </c:extLst>
        </c:ser>
        <c:ser>
          <c:idx val="6"/>
          <c:order val="6"/>
          <c:tx>
            <c:strRef>
              <c:f>'G-2-nový -přísp'!$M$178</c:f>
              <c:strCache>
                <c:ptCount val="1"/>
                <c:pt idx="0">
                  <c:v>Other non-investment transfers***</c:v>
                </c:pt>
              </c:strCache>
            </c:strRef>
          </c:tx>
          <c:spPr>
            <a:solidFill>
              <a:srgbClr val="009CB5"/>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-přísp'!$N$178:$S$178</c:f>
              <c:numCache>
                <c:formatCode>#\ ##0.0</c:formatCode>
                <c:ptCount val="6"/>
                <c:pt idx="0">
                  <c:v>-4.3539378280694298E-2</c:v>
                </c:pt>
                <c:pt idx="1">
                  <c:v>-0.87186193126853773</c:v>
                </c:pt>
                <c:pt idx="2">
                  <c:v>0.55420230173723817</c:v>
                </c:pt>
                <c:pt idx="3">
                  <c:v>1.6022844707240993</c:v>
                </c:pt>
                <c:pt idx="4">
                  <c:v>-0.3554151902175936</c:v>
                </c:pt>
                <c:pt idx="5">
                  <c:v>-0.66405139830011495</c:v>
                </c:pt>
              </c:numCache>
            </c:numRef>
          </c:val>
          <c:extLst>
            <c:ext xmlns:c16="http://schemas.microsoft.com/office/drawing/2014/chart" uri="{C3380CC4-5D6E-409C-BE32-E72D297353CC}">
              <c16:uniqueId val="{00000006-D14B-491E-9EAF-2342AE590881}"/>
            </c:ext>
          </c:extLst>
        </c:ser>
        <c:ser>
          <c:idx val="7"/>
          <c:order val="7"/>
          <c:tx>
            <c:strRef>
              <c:f>'G-2-nový -přísp'!$M$179</c:f>
              <c:strCache>
                <c:ptCount val="1"/>
                <c:pt idx="0">
                  <c:v>Non-investment transfers to commercial entities</c:v>
                </c:pt>
              </c:strCache>
            </c:strRef>
          </c:tx>
          <c:spPr>
            <a:solidFill>
              <a:srgbClr val="9FC9D7"/>
            </a:solidFill>
            <a:ln w="6350">
              <a:noFill/>
              <a:prstDash val="dash"/>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-přísp'!$N$179:$S$179</c:f>
              <c:numCache>
                <c:formatCode>#\ ##0.0</c:formatCode>
                <c:ptCount val="6"/>
                <c:pt idx="0">
                  <c:v>3.6148852456816498</c:v>
                </c:pt>
                <c:pt idx="1">
                  <c:v>-5.229086691640541</c:v>
                </c:pt>
                <c:pt idx="2">
                  <c:v>4.506646725506867</c:v>
                </c:pt>
                <c:pt idx="3">
                  <c:v>-3.2892058284050982</c:v>
                </c:pt>
                <c:pt idx="4">
                  <c:v>-0.58554343379710094</c:v>
                </c:pt>
                <c:pt idx="5">
                  <c:v>9.9216404794933363E-2</c:v>
                </c:pt>
              </c:numCache>
            </c:numRef>
          </c:val>
          <c:extLst>
            <c:ext xmlns:c16="http://schemas.microsoft.com/office/drawing/2014/chart" uri="{C3380CC4-5D6E-409C-BE32-E72D297353CC}">
              <c16:uniqueId val="{00000007-D14B-491E-9EAF-2342AE590881}"/>
            </c:ext>
          </c:extLst>
        </c:ser>
        <c:ser>
          <c:idx val="8"/>
          <c:order val="8"/>
          <c:tx>
            <c:strRef>
              <c:f>'G-2-nový -přísp'!$M$180</c:f>
              <c:strCache>
                <c:ptCount val="1"/>
                <c:pt idx="0">
                  <c:v>Non-investment purchases and associated expend.**</c:v>
                </c:pt>
              </c:strCache>
            </c:strRef>
          </c:tx>
          <c:spPr>
            <a:solidFill>
              <a:srgbClr val="CC9610"/>
            </a:solidFill>
            <a:ln w="19050">
              <a:noFill/>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-přísp'!$N$180:$S$180</c:f>
              <c:numCache>
                <c:formatCode>#\ ##0.0</c:formatCode>
                <c:ptCount val="6"/>
                <c:pt idx="0">
                  <c:v>0.28031549320184307</c:v>
                </c:pt>
                <c:pt idx="1">
                  <c:v>1.1875633018489464</c:v>
                </c:pt>
                <c:pt idx="2">
                  <c:v>0.92670507095350174</c:v>
                </c:pt>
                <c:pt idx="3">
                  <c:v>0.95454238820623494</c:v>
                </c:pt>
                <c:pt idx="4">
                  <c:v>0.58551867096455679</c:v>
                </c:pt>
                <c:pt idx="5">
                  <c:v>0.56313145931096054</c:v>
                </c:pt>
              </c:numCache>
            </c:numRef>
          </c:val>
          <c:extLst>
            <c:ext xmlns:c16="http://schemas.microsoft.com/office/drawing/2014/chart" uri="{C3380CC4-5D6E-409C-BE32-E72D297353CC}">
              <c16:uniqueId val="{00000008-D14B-491E-9EAF-2342AE590881}"/>
            </c:ext>
          </c:extLst>
        </c:ser>
        <c:ser>
          <c:idx val="9"/>
          <c:order val="9"/>
          <c:tx>
            <c:strRef>
              <c:f>'G-2-nový -přísp'!$M$181</c:f>
              <c:strCache>
                <c:ptCount val="1"/>
                <c:pt idx="0">
                  <c:v>Wages and associated expenditures*</c:v>
                </c:pt>
              </c:strCache>
            </c:strRef>
          </c:tx>
          <c:spPr>
            <a:solidFill>
              <a:srgbClr val="E6C483"/>
            </a:solidFill>
            <a:ln w="19050">
              <a:noFill/>
              <a:prstDash val="sysDash"/>
            </a:ln>
          </c:spPr>
          <c:invertIfNegative val="0"/>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-přísp'!$N$181:$S$181</c:f>
              <c:numCache>
                <c:formatCode>#\ ##0.0</c:formatCode>
                <c:ptCount val="6"/>
                <c:pt idx="0">
                  <c:v>7.4095727894276944E-2</c:v>
                </c:pt>
                <c:pt idx="1">
                  <c:v>1.8894292552087692E-2</c:v>
                </c:pt>
                <c:pt idx="2">
                  <c:v>0.64116253722028793</c:v>
                </c:pt>
                <c:pt idx="3">
                  <c:v>5.0573170896554387E-2</c:v>
                </c:pt>
                <c:pt idx="4">
                  <c:v>0.3584799087795888</c:v>
                </c:pt>
                <c:pt idx="5">
                  <c:v>0.55067281266322765</c:v>
                </c:pt>
              </c:numCache>
            </c:numRef>
          </c:val>
          <c:extLst>
            <c:ext xmlns:c16="http://schemas.microsoft.com/office/drawing/2014/chart" uri="{C3380CC4-5D6E-409C-BE32-E72D297353CC}">
              <c16:uniqueId val="{00000009-D14B-491E-9EAF-2342AE590881}"/>
            </c:ext>
          </c:extLst>
        </c:ser>
        <c:dLbls>
          <c:showLegendKey val="0"/>
          <c:showVal val="0"/>
          <c:showCatName val="0"/>
          <c:showSerName val="0"/>
          <c:showPercent val="0"/>
          <c:showBubbleSize val="0"/>
        </c:dLbls>
        <c:gapWidth val="90"/>
        <c:overlap val="100"/>
        <c:axId val="194467712"/>
        <c:axId val="194473984"/>
      </c:barChart>
      <c:lineChart>
        <c:grouping val="standard"/>
        <c:varyColors val="0"/>
        <c:ser>
          <c:idx val="10"/>
          <c:order val="10"/>
          <c:tx>
            <c:strRef>
              <c:f>'G-2-nový -přísp'!$M$182</c:f>
              <c:strCache>
                <c:ptCount val="1"/>
                <c:pt idx="0">
                  <c:v>Total expenditures</c:v>
                </c:pt>
              </c:strCache>
            </c:strRef>
          </c:tx>
          <c:spPr>
            <a:ln w="22225">
              <a:noFill/>
            </a:ln>
          </c:spPr>
          <c:marker>
            <c:symbol val="circle"/>
            <c:size val="7"/>
            <c:spPr>
              <a:solidFill>
                <a:schemeClr val="bg1"/>
              </a:solidFill>
              <a:ln>
                <a:solidFill>
                  <a:schemeClr val="tx1">
                    <a:lumMod val="95000"/>
                    <a:lumOff val="5000"/>
                  </a:schemeClr>
                </a:solidFill>
              </a:ln>
            </c:spPr>
          </c:marker>
          <c:cat>
            <c:strRef>
              <c:f>'G-2-nový -přísp'!$N$171:$S$171</c:f>
              <c:strCache>
                <c:ptCount val="6"/>
                <c:pt idx="0">
                  <c:v>2021
1st half-year</c:v>
                </c:pt>
                <c:pt idx="1">
                  <c:v>2022
1st half-year</c:v>
                </c:pt>
                <c:pt idx="2">
                  <c:v>2023
1st half-year</c:v>
                </c:pt>
                <c:pt idx="3">
                  <c:v>2024
1st half-year</c:v>
                </c:pt>
                <c:pt idx="4">
                  <c:v>2025
1st half-year</c:v>
                </c:pt>
                <c:pt idx="5">
                  <c:v>2026
1st half-year</c:v>
                </c:pt>
              </c:strCache>
            </c:strRef>
          </c:cat>
          <c:val>
            <c:numRef>
              <c:f>'G-2-nový -přísp'!$N$182:$S$182</c:f>
              <c:numCache>
                <c:formatCode>#\ ##0.0</c:formatCode>
                <c:ptCount val="6"/>
                <c:pt idx="0">
                  <c:v>9.2653488339361871</c:v>
                </c:pt>
                <c:pt idx="1">
                  <c:v>-0.80418303806801816</c:v>
                </c:pt>
                <c:pt idx="2">
                  <c:v>16.764387452979605</c:v>
                </c:pt>
                <c:pt idx="3">
                  <c:v>0.19515836890151661</c:v>
                </c:pt>
                <c:pt idx="4">
                  <c:v>2.4975410423599556</c:v>
                </c:pt>
                <c:pt idx="5">
                  <c:v>6.1843993487535727</c:v>
                </c:pt>
              </c:numCache>
            </c:numRef>
          </c:val>
          <c:smooth val="0"/>
          <c:extLst>
            <c:ext xmlns:c16="http://schemas.microsoft.com/office/drawing/2014/chart" uri="{C3380CC4-5D6E-409C-BE32-E72D297353CC}">
              <c16:uniqueId val="{0000000A-D14B-491E-9EAF-2342AE590881}"/>
            </c:ext>
          </c:extLst>
        </c:ser>
        <c:dLbls>
          <c:showLegendKey val="0"/>
          <c:showVal val="0"/>
          <c:showCatName val="0"/>
          <c:showSerName val="0"/>
          <c:showPercent val="0"/>
          <c:showBubbleSize val="0"/>
        </c:dLbls>
        <c:marker val="1"/>
        <c:smooth val="0"/>
        <c:axId val="194467712"/>
        <c:axId val="194473984"/>
      </c:lineChart>
      <c:catAx>
        <c:axId val="194467712"/>
        <c:scaling>
          <c:orientation val="minMax"/>
        </c:scaling>
        <c:delete val="0"/>
        <c:axPos val="b"/>
        <c:numFmt formatCode="General" sourceLinked="1"/>
        <c:majorTickMark val="out"/>
        <c:minorTickMark val="none"/>
        <c:tickLblPos val="low"/>
        <c:spPr>
          <a:ln w="6350">
            <a:solidFill>
              <a:schemeClr val="tx1"/>
            </a:solidFill>
          </a:ln>
        </c:spPr>
        <c:txPr>
          <a:bodyPr rot="0"/>
          <a:lstStyle/>
          <a:p>
            <a:pPr>
              <a:defRPr sz="800" b="0" i="0"/>
            </a:pPr>
            <a:endParaRPr lang="cs-CZ"/>
          </a:p>
        </c:txPr>
        <c:crossAx val="194473984"/>
        <c:crosses val="autoZero"/>
        <c:auto val="1"/>
        <c:lblAlgn val="ctr"/>
        <c:lblOffset val="0"/>
        <c:noMultiLvlLbl val="0"/>
      </c:catAx>
      <c:valAx>
        <c:axId val="194473984"/>
        <c:scaling>
          <c:orientation val="minMax"/>
          <c:max val="18"/>
          <c:min val="-10"/>
        </c:scaling>
        <c:delete val="0"/>
        <c:axPos val="l"/>
        <c:majorGridlines>
          <c:spPr>
            <a:ln w="6350">
              <a:solidFill>
                <a:schemeClr val="bg1">
                  <a:lumMod val="75000"/>
                </a:schemeClr>
              </a:solidFill>
            </a:ln>
          </c:spPr>
        </c:majorGridlines>
        <c:numFmt formatCode="0" sourceLinked="0"/>
        <c:majorTickMark val="out"/>
        <c:minorTickMark val="none"/>
        <c:tickLblPos val="nextTo"/>
        <c:spPr>
          <a:ln w="6350">
            <a:solidFill>
              <a:schemeClr val="tx1"/>
            </a:solidFill>
          </a:ln>
        </c:spPr>
        <c:txPr>
          <a:bodyPr/>
          <a:lstStyle/>
          <a:p>
            <a:pPr>
              <a:defRPr sz="800" b="0" i="0"/>
            </a:pPr>
            <a:endParaRPr lang="cs-CZ"/>
          </a:p>
        </c:txPr>
        <c:crossAx val="194467712"/>
        <c:crosses val="autoZero"/>
        <c:crossBetween val="between"/>
        <c:majorUnit val="2"/>
      </c:valAx>
      <c:spPr>
        <a:noFill/>
        <a:ln w="6350">
          <a:solidFill>
            <a:schemeClr val="tx1">
              <a:lumMod val="95000"/>
              <a:lumOff val="5000"/>
            </a:schemeClr>
          </a:solidFill>
        </a:ln>
      </c:spPr>
    </c:plotArea>
    <c:legend>
      <c:legendPos val="b"/>
      <c:layout>
        <c:manualLayout>
          <c:xMode val="edge"/>
          <c:yMode val="edge"/>
          <c:x val="0"/>
          <c:y val="0.79951182007887844"/>
          <c:w val="0.99222376130547185"/>
          <c:h val="0.18975430700172502"/>
        </c:manualLayout>
      </c:layout>
      <c:overlay val="0"/>
      <c:spPr>
        <a:ln w="6350">
          <a:solidFill>
            <a:schemeClr val="tx1"/>
          </a:solidFill>
        </a:ln>
      </c:spPr>
      <c:txPr>
        <a:bodyPr/>
        <a:lstStyle/>
        <a:p>
          <a:pPr>
            <a:defRPr sz="730" b="0" i="0"/>
          </a:pPr>
          <a:endParaRPr lang="cs-CZ"/>
        </a:p>
      </c:txPr>
    </c:legend>
    <c:plotVisOnly val="1"/>
    <c:dispBlanksAs val="gap"/>
    <c:showDLblsOverMax val="0"/>
  </c:chart>
  <c:spPr>
    <a:ln>
      <a:noFill/>
    </a:ln>
  </c:spPr>
  <c:txPr>
    <a:bodyPr/>
    <a:lstStyle/>
    <a:p>
      <a:pPr>
        <a:defRPr sz="700" b="1" i="1">
          <a:latin typeface="Arial" panose="020B0604020202020204" pitchFamily="34" charset="0"/>
          <a:cs typeface="Arial" panose="020B0604020202020204" pitchFamily="34" charset="0"/>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Historieverze xmlns="8675fb2b-b414-4bad-b4c4-d9349268b5a1" xsi:nil="true"/>
    <Verzeform xmlns="8675fb2b-b414-4bad-b4c4-d9349268b5a1">v1.2</Verzeform>
    <Forma xmlns="8675fb2b-b414-4bad-b4c4-d9349268b5a1">
      <Value>Elektronická</Value>
    </Forma>
    <Vazbanaproces xmlns="8675fb2b-b414-4bad-b4c4-d9349268b5a1">179. Vnější komunikace
</Vazbanaproces>
    <Gestor xmlns="8675fb2b-b414-4bad-b4c4-d9349268b5a1">
      <UserInfo>
        <DisplayName>Novotný Michal</DisplayName>
        <AccountId>24</AccountId>
        <AccountType/>
      </UserInfo>
    </Gestor>
    <Form_c xmlns="8675fb2b-b414-4bad-b4c4-d9349268b5a1">444</Form_c>
    <NazevForm xmlns="8675fb2b-b414-4bad-b4c4-d9349268b5a1">Publikace CZ barevná - regiony a země - analýzy</NazevForm>
    <UcinnostOdForm xmlns="8675fb2b-b414-4bad-b4c4-d9349268b5a1">2026-09-06T22:00:00+00:00</UcinnostOdForm>
    <PredpisForm xmlns="8675fb2b-b414-4bad-b4c4-d9349268b5a1">Manuál značky a jednotného vizuálního stylu Českého statistického úřadu</PredpisForm>
    <UstanoveniForm xmlns="8675fb2b-b414-4bad-b4c4-d9349268b5a1" xsi:nil="true"/>
    <PoznForm xmlns="8675fb2b-b414-4bad-b4c4-d9349268b5a1" xsi:nil="true"/>
    <Oznaceni xmlns="8675fb2b-b414-4bad-b4c4-d9349268b5a1">Form_c444</Oznaceni>
    <UcinnostDoForm xmlns="8675fb2b-b414-4bad-b4c4-d9349268b5a1" xsi:nil="true"/>
    <Platnost xmlns="8675fb2b-b414-4bad-b4c4-d9349268b5a1">true</Platnost>
    <Odkaz xmlns="8675fb2b-b414-4bad-b4c4-d9349268b5a1">
      <Url xsi:nil="true"/>
      <Description xsi:nil="true"/>
    </Odkaz>
    <lcf76f155ced4ddcb4097134ff3c332f xmlns="8675fb2b-b414-4bad-b4c4-d9349268b5a1">
      <Terms xmlns="http://schemas.microsoft.com/office/infopath/2007/PartnerControls"/>
    </lcf76f155ced4ddcb4097134ff3c332f>
    <TaxCatchAll xmlns="406a38fe-c53c-4047-b0f8-c641386931ae" xsi:nil="true"/>
    <ProcDomena xmlns="406a38fe-c53c-4047-b0f8-c641386931ae">
      <Value>P4 Komunikace a propagace</Value>
    </ProcDomena>
    <DomenaForm xmlns="8675fb2b-b414-4bad-b4c4-d9349268b5a1" xsi:nil="true"/>
    <SiteKnihDok xmlns="406a38fe-c53c-4047-b0f8-c641386931ae">Vnitřní předpisy</SiteKnihDok>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BD76F913C5B1A4797255AD7259AA9ED" ma:contentTypeVersion="40" ma:contentTypeDescription="Vytvoří nový dokument" ma:contentTypeScope="" ma:versionID="110421115ddc15f999b8bb81d2de1ec1">
  <xsd:schema xmlns:xsd="http://www.w3.org/2001/XMLSchema" xmlns:xs="http://www.w3.org/2001/XMLSchema" xmlns:p="http://schemas.microsoft.com/office/2006/metadata/properties" xmlns:ns2="8675fb2b-b414-4bad-b4c4-d9349268b5a1" xmlns:ns3="406a38fe-c53c-4047-b0f8-c641386931ae" targetNamespace="http://schemas.microsoft.com/office/2006/metadata/properties" ma:root="true" ma:fieldsID="68ff216229c3f5ed4e0b6e8627bc5742" ns2:_="" ns3:_="">
    <xsd:import namespace="8675fb2b-b414-4bad-b4c4-d9349268b5a1"/>
    <xsd:import namespace="406a38fe-c53c-4047-b0f8-c641386931ae"/>
    <xsd:element name="properties">
      <xsd:complexType>
        <xsd:sequence>
          <xsd:element name="documentManagement">
            <xsd:complexType>
              <xsd:all>
                <xsd:element ref="ns2:Forma" minOccurs="0"/>
                <xsd:element ref="ns2:Verzeform" minOccurs="0"/>
                <xsd:element ref="ns2:Vazbanaproces" minOccurs="0"/>
                <xsd:element ref="ns2:Gestor" minOccurs="0"/>
                <xsd:element ref="ns2:Historieverze" minOccurs="0"/>
                <xsd:element ref="ns2:MediaServiceMetadata" minOccurs="0"/>
                <xsd:element ref="ns2:MediaServiceFastMetadata" minOccurs="0"/>
                <xsd:element ref="ns2:Form_c" minOccurs="0"/>
                <xsd:element ref="ns2:NazevForm" minOccurs="0"/>
                <xsd:element ref="ns2:UcinnostOdForm" minOccurs="0"/>
                <xsd:element ref="ns2:DomenaForm" minOccurs="0"/>
                <xsd:element ref="ns2:PredpisForm" minOccurs="0"/>
                <xsd:element ref="ns2:UstanoveniForm" minOccurs="0"/>
                <xsd:element ref="ns2:PoznForm" minOccurs="0"/>
                <xsd:element ref="ns2:Oznaceni" minOccurs="0"/>
                <xsd:element ref="ns2:UcinnostDoForm" minOccurs="0"/>
                <xsd:element ref="ns2:MediaServiceObjectDetectorVersions" minOccurs="0"/>
                <xsd:element ref="ns2:Platnost" minOccurs="0"/>
                <xsd:element ref="ns2:Odkaz"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3:SiteKnihDok" minOccurs="0"/>
                <xsd:element ref="ns3:ProcDomen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75fb2b-b414-4bad-b4c4-d9349268b5a1" elementFormDefault="qualified">
    <xsd:import namespace="http://schemas.microsoft.com/office/2006/documentManagement/types"/>
    <xsd:import namespace="http://schemas.microsoft.com/office/infopath/2007/PartnerControls"/>
    <xsd:element name="Forma" ma:index="8" nillable="true" ma:displayName="Forma" ma:description="Forma formuláře" ma:format="Dropdown" ma:internalName="Forma">
      <xsd:complexType>
        <xsd:complexContent>
          <xsd:extension base="dms:MultiChoice">
            <xsd:sequence>
              <xsd:element name="Value" maxOccurs="unbounded" minOccurs="0" nillable="true">
                <xsd:simpleType>
                  <xsd:restriction base="dms:Choice">
                    <xsd:enumeration value="Listinná  (analogová)"/>
                    <xsd:enumeration value="Elektronická"/>
                    <xsd:enumeration value="Formulář IS"/>
                  </xsd:restriction>
                </xsd:simpleType>
              </xsd:element>
            </xsd:sequence>
          </xsd:extension>
        </xsd:complexContent>
      </xsd:complexType>
    </xsd:element>
    <xsd:element name="Verzeform" ma:index="9" nillable="true" ma:displayName="Ver." ma:format="Dropdown" ma:internalName="Verzeform">
      <xsd:simpleType>
        <xsd:restriction base="dms:Text">
          <xsd:maxLength value="255"/>
        </xsd:restriction>
      </xsd:simpleType>
    </xsd:element>
    <xsd:element name="Vazbanaproces" ma:index="10" nillable="true" ma:displayName="Vazba na proces" ma:format="Dropdown" ma:internalName="Vazbanaproces">
      <xsd:simpleType>
        <xsd:restriction base="dms:Note">
          <xsd:maxLength value="255"/>
        </xsd:restriction>
      </xsd:simpleType>
    </xsd:element>
    <xsd:element name="Gestor" ma:index="11" nillable="true" ma:displayName="Gestor" ma:format="Dropdown" ma:list="UserInfo" ma:SharePointGroup="0" ma:internalName="Gest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istorieverze" ma:index="12" nillable="true" ma:displayName="Historie verze" ma:format="Dropdown" ma:internalName="Historieverze">
      <xsd:simpleType>
        <xsd:restriction base="dms:Note">
          <xsd:maxLength value="255"/>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Form_c" ma:index="15" nillable="true" ma:displayName="Form_c" ma:format="Dropdown" ma:internalName="Form_c" ma:percentage="FALSE">
      <xsd:simpleType>
        <xsd:restriction base="dms:Number"/>
      </xsd:simpleType>
    </xsd:element>
    <xsd:element name="NazevForm" ma:index="16" nillable="true" ma:displayName="Název formuláře" ma:internalName="NazevForm">
      <xsd:simpleType>
        <xsd:restriction base="dms:Text">
          <xsd:maxLength value="255"/>
        </xsd:restriction>
      </xsd:simpleType>
    </xsd:element>
    <xsd:element name="UcinnostOdForm" ma:index="17" nillable="true" ma:displayName="Účinnost od" ma:description="Datum účinnosti formuláře" ma:format="DateOnly" ma:internalName="UcinnostOdForm">
      <xsd:simpleType>
        <xsd:restriction base="dms:DateTime"/>
      </xsd:simpleType>
    </xsd:element>
    <xsd:element name="DomenaForm" ma:index="18" nillable="true" ma:displayName="Doména_old" ma:description="Na formuláře na procesní doménu" ma:format="Dropdown" ma:internalName="DomenaForm">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element name="PredpisForm" ma:index="19" nillable="true" ma:displayName="Definiční předpis" ma:description="Definiční předpis formuláře" ma:format="Dropdown" ma:internalName="PredpisForm">
      <xsd:simpleType>
        <xsd:restriction base="dms:Text">
          <xsd:maxLength value="255"/>
        </xsd:restriction>
      </xsd:simpleType>
    </xsd:element>
    <xsd:element name="UstanoveniForm" ma:index="20" nillable="true" ma:displayName="Ustanovení" ma:description="Ustanovení (čl., odst., písm.)" ma:format="Dropdown" ma:internalName="UstanoveniForm">
      <xsd:simpleType>
        <xsd:restriction base="dms:Note">
          <xsd:maxLength value="255"/>
        </xsd:restriction>
      </xsd:simpleType>
    </xsd:element>
    <xsd:element name="PoznForm" ma:index="21" nillable="true" ma:displayName="Poznámka" ma:description="Poznámka k formuláři" ma:format="Dropdown" ma:internalName="PoznForm">
      <xsd:simpleType>
        <xsd:restriction base="dms:Note">
          <xsd:maxLength value="255"/>
        </xsd:restriction>
      </xsd:simpleType>
    </xsd:element>
    <xsd:element name="Oznaceni" ma:index="22" nillable="true" ma:displayName="Označení" ma:description="Označení formuláře" ma:format="Dropdown" ma:internalName="Oznaceni">
      <xsd:simpleType>
        <xsd:restriction base="dms:Text">
          <xsd:maxLength value="12"/>
        </xsd:restriction>
      </xsd:simpleType>
    </xsd:element>
    <xsd:element name="UcinnostDoForm" ma:index="23" nillable="true" ma:displayName="Účinnost do" ma:format="DateOnly" ma:internalName="UcinnostDoForm">
      <xsd:simpleType>
        <xsd:restriction base="dms:DateTim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Platnost" ma:index="25" nillable="true" ma:displayName="Platnost" ma:default="1" ma:internalName="Platnost">
      <xsd:simpleType>
        <xsd:restriction base="dms:Boolean"/>
      </xsd:simpleType>
    </xsd:element>
    <xsd:element name="Odkaz" ma:index="26" nillable="true" ma:displayName="Odkaz" ma:format="Hyperlink" ma:internalName="Odkaz">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lcf76f155ced4ddcb4097134ff3c332f" ma:index="31" nillable="true" ma:taxonomy="true" ma:internalName="lcf76f155ced4ddcb4097134ff3c332f" ma:taxonomyFieldName="MediaServiceImageTags" ma:displayName="Značky obrázků" ma:readOnly="false" ma:fieldId="{5cf76f15-5ced-4ddc-b409-7134ff3c332f}" ma:taxonomyMulti="true" ma:sspId="ba8a29a4-82ad-4cdb-8b82-dfa74bb481e8" ma:termSetId="09814cd3-568e-fe90-9814-8d621ff8fb84" ma:anchorId="fba54fb3-c3e1-fe81-a776-ca4b69148c4d" ma:open="true" ma:isKeyword="false">
      <xsd:complexType>
        <xsd:sequence>
          <xsd:element ref="pc:Terms" minOccurs="0" maxOccurs="1"/>
        </xsd:sequence>
      </xsd:complexType>
    </xsd:element>
    <xsd:element name="MediaServiceDateTaken" ma:index="33" nillable="true" ma:displayName="MediaServiceDateTaken" ma:hidden="true" ma:indexed="true" ma:internalName="MediaServiceDateTake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6a38fe-c53c-4047-b0f8-c641386931ae" elementFormDefault="qualified">
    <xsd:import namespace="http://schemas.microsoft.com/office/2006/documentManagement/types"/>
    <xsd:import namespace="http://schemas.microsoft.com/office/infopath/2007/PartnerControls"/>
    <xsd:element name="SharedWithUsers" ma:index="2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9" nillable="true" ma:displayName="Sdílené s podrobnostmi" ma:internalName="SharedWithDetails" ma:readOnly="true">
      <xsd:simpleType>
        <xsd:restriction base="dms:Note">
          <xsd:maxLength value="255"/>
        </xsd:restriction>
      </xsd:simpleType>
    </xsd:element>
    <xsd:element name="TaxCatchAll" ma:index="32" nillable="true" ma:displayName="Taxonomy Catch All Column" ma:hidden="true" ma:list="{d4d15468-1f14-4f0d-947e-4bef9f86f2ae}" ma:internalName="TaxCatchAll" ma:showField="CatchAllData" ma:web="406a38fe-c53c-4047-b0f8-c641386931ae">
      <xsd:complexType>
        <xsd:complexContent>
          <xsd:extension base="dms:MultiChoiceLookup">
            <xsd:sequence>
              <xsd:element name="Value" type="dms:Lookup" maxOccurs="unbounded" minOccurs="0" nillable="true"/>
            </xsd:sequence>
          </xsd:extension>
        </xsd:complexContent>
      </xsd:complexType>
    </xsd:element>
    <xsd:element name="SiteKnihDok" ma:index="37" nillable="true" ma:displayName="SiteKnihDok" ma:default="Vnitřní předpisy" ma:description="Seznam knihoven v Site Knihovna dokumentů ČSÚ" ma:format="Dropdown" ma:internalName="SiteKnihDok">
      <xsd:simpleType>
        <xsd:restriction base="dms:Choice">
          <xsd:enumeration value="Vnitřní předpisy"/>
          <xsd:enumeration value="Formuláře"/>
          <xsd:enumeration value="Návody a manuály"/>
          <xsd:enumeration value="Zápisy a reporty"/>
        </xsd:restriction>
      </xsd:simpleType>
    </xsd:element>
    <xsd:element name="ProcDomena" ma:index="38" nillable="true" ma:displayName="Procesní doména" ma:default="P1 Bezpečnost" ma:internalName="ProcDomena">
      <xsd:complexType>
        <xsd:complexContent>
          <xsd:extension base="dms:MultiChoice">
            <xsd:sequence>
              <xsd:element name="Value" maxOccurs="unbounded" minOccurs="0" nillable="true">
                <xsd:simpleType>
                  <xsd:restriction base="dms:Choice">
                    <xsd:enumeration value="P1 Bezpečnost"/>
                    <xsd:enumeration value="P2 Účetnictví"/>
                    <xsd:enumeration value="P3 Správa dokumentů"/>
                    <xsd:enumeration value="P4 Komunikace a propagace"/>
                    <xsd:enumeration value="P5 Právní služby"/>
                    <xsd:enumeration value="P6 Personalistika"/>
                    <xsd:enumeration value="P7 Nákup a investice"/>
                    <xsd:enumeration value="P8 Projektové řízení"/>
                    <xsd:enumeration value="P9 IT"/>
                    <xsd:enumeration value="P10 Hospodaření, nakládání s majetkem a jeho správa"/>
                    <xsd:enumeration value="P11 Služební a pracovní tuzemské a zahraniční cesty"/>
                    <xsd:enumeration value="P12 Mezinárodní spolupráce"/>
                    <xsd:enumeration value="P13 Legislativa"/>
                    <xsd:enumeration value="R1 Interní audit"/>
                    <xsd:enumeration value="R2 Řízení a plánování"/>
                    <xsd:enumeration value="R3 Ochrana osobních údajů"/>
                    <xsd:enumeration value="R4 Finanční řízení"/>
                    <xsd:enumeration value="H1 Koordinace a správa metodiky"/>
                    <xsd:enumeration value="H2 Posouzení požadavků"/>
                    <xsd:enumeration value="H3 Specifikace úlohy"/>
                    <xsd:enumeration value="H4 Příprava zpracování"/>
                    <xsd:enumeration value="H5 Sběr dat"/>
                    <xsd:enumeration value="H6 Statistické zpracování"/>
                    <xsd:enumeration value="H7 Analýza a tvorba výstupů"/>
                    <xsd:enumeration value="H8 Diseminace"/>
                    <xsd:enumeration value="H9 Evaluace"/>
                    <xsd:enumeration value="H10 Zpracování voleb"/>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4A6635-18E5-4C5D-A03B-290B098117D4}">
  <ds:schemaRefs>
    <ds:schemaRef ds:uri="http://schemas.openxmlformats.org/officeDocument/2006/bibliography"/>
  </ds:schemaRefs>
</ds:datastoreItem>
</file>

<file path=customXml/itemProps2.xml><?xml version="1.0" encoding="utf-8"?>
<ds:datastoreItem xmlns:ds="http://schemas.openxmlformats.org/officeDocument/2006/customXml" ds:itemID="{1E7681AD-41B0-431A-9D34-CF6700A12FAC}">
  <ds:schemaRefs>
    <ds:schemaRef ds:uri="http://schemas.microsoft.com/office/2006/metadata/properties"/>
    <ds:schemaRef ds:uri="http://schemas.microsoft.com/office/infopath/2007/PartnerControls"/>
    <ds:schemaRef ds:uri="8675fb2b-b414-4bad-b4c4-d9349268b5a1"/>
    <ds:schemaRef ds:uri="406a38fe-c53c-4047-b0f8-c641386931ae"/>
  </ds:schemaRefs>
</ds:datastoreItem>
</file>

<file path=customXml/itemProps3.xml><?xml version="1.0" encoding="utf-8"?>
<ds:datastoreItem xmlns:ds="http://schemas.openxmlformats.org/officeDocument/2006/customXml" ds:itemID="{4520BFF4-F202-41B8-B99D-38B5B95117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75fb2b-b414-4bad-b4c4-d9349268b5a1"/>
    <ds:schemaRef ds:uri="406a38fe-c53c-4047-b0f8-c64138693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A8A1E1-1E99-4B4F-B9B5-70567730AA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Form_c444_Publikace_regiony a zeme - analyzy.dotx</Template>
  <TotalTime>567</TotalTime>
  <Pages>8</Pages>
  <Words>3593</Words>
  <Characters>21204</Characters>
  <Application>Microsoft Office Word</Application>
  <DocSecurity>0</DocSecurity>
  <Lines>176</Lines>
  <Paragraphs>49</Paragraphs>
  <ScaleCrop>false</ScaleCrop>
  <HeadingPairs>
    <vt:vector size="6" baseType="variant">
      <vt:variant>
        <vt:lpstr>Název</vt:lpstr>
      </vt:variant>
      <vt:variant>
        <vt:i4>1</vt:i4>
      </vt:variant>
      <vt:variant>
        <vt:lpstr>Title</vt:lpstr>
      </vt:variant>
      <vt:variant>
        <vt:i4>1</vt:i4>
      </vt:variant>
      <vt:variant>
        <vt:lpstr>Headings</vt:lpstr>
      </vt:variant>
      <vt:variant>
        <vt:i4>8</vt:i4>
      </vt:variant>
    </vt:vector>
  </HeadingPairs>
  <TitlesOfParts>
    <vt:vector size="10" baseType="lpstr">
      <vt:lpstr/>
      <vt:lpstr/>
      <vt:lpstr>Styl: Nadpis 1</vt:lpstr>
      <vt:lpstr>    Styl: Nadpis 2</vt:lpstr>
      <vt:lpstr>        Styl: Nadpis 3</vt:lpstr>
      <vt:lpstr>        Styl: Nadpis 3</vt:lpstr>
      <vt:lpstr>    Styl: Nadpis 2</vt:lpstr>
      <vt:lpstr>        Styl: Nadpis 3</vt:lpstr>
      <vt:lpstr>    Styl: Nadpis 2</vt:lpstr>
      <vt:lpstr>        Styl: Nadpis 3</vt:lpstr>
    </vt:vector>
  </TitlesOfParts>
  <Company>CSU</Company>
  <LinksUpToDate>false</LinksUpToDate>
  <CharactersWithSpaces>24748</CharactersWithSpaces>
  <SharedDoc>false</SharedDoc>
  <HLinks>
    <vt:vector size="18" baseType="variant">
      <vt:variant>
        <vt:i4>7602181</vt:i4>
      </vt:variant>
      <vt:variant>
        <vt:i4>11092</vt:i4>
      </vt:variant>
      <vt:variant>
        <vt:i4>1025</vt:i4>
      </vt:variant>
      <vt:variant>
        <vt:i4>1</vt:i4>
      </vt:variant>
      <vt:variant>
        <vt:lpwstr>msoFAAF</vt:lpwstr>
      </vt:variant>
      <vt:variant>
        <vt:lpwstr/>
      </vt:variant>
      <vt:variant>
        <vt:i4>7995509</vt:i4>
      </vt:variant>
      <vt:variant>
        <vt:i4>-1</vt:i4>
      </vt:variant>
      <vt:variant>
        <vt:i4>2058</vt:i4>
      </vt:variant>
      <vt:variant>
        <vt:i4>1</vt:i4>
      </vt:variant>
      <vt:variant>
        <vt:lpwstr>CSU RGB CZ logo-02</vt:lpwstr>
      </vt:variant>
      <vt:variant>
        <vt:lpwstr/>
      </vt:variant>
      <vt:variant>
        <vt:i4>7929973</vt:i4>
      </vt:variant>
      <vt:variant>
        <vt:i4>-1</vt:i4>
      </vt:variant>
      <vt:variant>
        <vt:i4>2059</vt:i4>
      </vt:variant>
      <vt:variant>
        <vt:i4>1</vt:i4>
      </vt:variant>
      <vt:variant>
        <vt:lpwstr>CSU RGB CZ logo-01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Publikace CZ barevná - regiony a země - analýzy</dc:title>
  <dc:subject/>
  <dc:creator>Zábojníková Karolína</dc:creator>
  <cp:keywords/>
  <cp:lastModifiedBy>Zábojníková Karolína</cp:lastModifiedBy>
  <cp:revision>71</cp:revision>
  <cp:lastPrinted>2014-07-17T14:07:00Z</cp:lastPrinted>
  <dcterms:created xsi:type="dcterms:W3CDTF">2026-10-09T10:57:00Z</dcterms:created>
  <dcterms:modified xsi:type="dcterms:W3CDTF">2026-10-15T10:27:00Z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0x010100FBD76F913C5B1A4797255AD7259AA9ED</vt:lpwstr>
  </property>
  <property fmtid="{D5CDD505-2E9C-101B-9397-08002B2CF9AE}" pid="3" name="Názevformuláře">
    <vt:lpwstr>Publikace CZ barevné - vícetematické analýzy
</vt:lpwstr>
  </property>
  <property fmtid="{D5CDD505-2E9C-101B-9397-08002B2CF9AE}" pid="4" name="Vazbanaprocesnídoménu">
    <vt:lpwstr>;#4. Komunikace a propagace;#</vt:lpwstr>
  </property>
  <property fmtid="{D5CDD505-2E9C-101B-9397-08002B2CF9AE}" pid="5" name="Vazbanadefiničnípředpis">
    <vt:lpwstr>Manuál ke zveřejňování produktů ČSÚ
</vt:lpwstr>
  </property>
  <property fmtid="{D5CDD505-2E9C-101B-9397-08002B2CF9AE}" pid="6" name="Ustanovení">
    <vt:lpwstr>část první čl. 2, odst. 3b,c; část pátá; příloha 1
</vt:lpwstr>
  </property>
  <property fmtid="{D5CDD505-2E9C-101B-9397-08002B2CF9AE}" pid="7" name="Účinnostod">
    <vt:filetime>2018-04-17T07:00:00Z</vt:filetime>
  </property>
  <property fmtid="{D5CDD505-2E9C-101B-9397-08002B2CF9AE}" pid="8" name="Označení">
    <vt:lpwstr>Form_c444</vt:lpwstr>
  </property>
  <property fmtid="{D5CDD505-2E9C-101B-9397-08002B2CF9AE}" pid="9" name="MediaServiceImageTags">
    <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6" name="MSIP_Label_29db9e61-aac5-4f6e-805d-ceb8cb9983a1_Enabled">
    <vt:lpwstr>true</vt:lpwstr>
  </property>
  <property fmtid="{D5CDD505-2E9C-101B-9397-08002B2CF9AE}" pid="17" name="MSIP_Label_29db9e61-aac5-4f6e-805d-ceb8cb9983a1_SetDate">
    <vt:lpwstr>2026-09-16T09:02:17Z</vt:lpwstr>
  </property>
  <property fmtid="{D5CDD505-2E9C-101B-9397-08002B2CF9AE}" pid="18" name="MSIP_Label_29db9e61-aac5-4f6e-805d-ceb8cb9983a1_Method">
    <vt:lpwstr>Standard</vt:lpwstr>
  </property>
  <property fmtid="{D5CDD505-2E9C-101B-9397-08002B2CF9AE}" pid="19" name="MSIP_Label_29db9e61-aac5-4f6e-805d-ceb8cb9983a1_Name">
    <vt:lpwstr>UniCredit - Internal Use Only - no visual markings</vt:lpwstr>
  </property>
  <property fmtid="{D5CDD505-2E9C-101B-9397-08002B2CF9AE}" pid="20" name="MSIP_Label_29db9e61-aac5-4f6e-805d-ceb8cb9983a1_SiteId">
    <vt:lpwstr>2cc49ce9-66a1-41ac-a96b-bdc54247696a</vt:lpwstr>
  </property>
  <property fmtid="{D5CDD505-2E9C-101B-9397-08002B2CF9AE}" pid="21" name="MSIP_Label_29db9e61-aac5-4f6e-805d-ceb8cb9983a1_ActionId">
    <vt:lpwstr>dd88b259-0c19-43b2-b8a9-ca92370eeaec</vt:lpwstr>
  </property>
  <property fmtid="{D5CDD505-2E9C-101B-9397-08002B2CF9AE}" pid="22" name="MSIP_Label_29db9e61-aac5-4f6e-805d-ceb8cb9983a1_ContentBits">
    <vt:lpwstr>0</vt:lpwstr>
  </property>
  <property fmtid="{D5CDD505-2E9C-101B-9397-08002B2CF9AE}" pid="23" name="MSIP_Label_29db9e61-aac5-4f6e-805d-ceb8cb9983a1_Tag">
    <vt:lpwstr>10, 3, 0, 1</vt:lpwstr>
  </property>
</Properties>
</file>