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4F088" w14:textId="7F7F07AC" w:rsidR="006B0FD8" w:rsidRPr="00AE6D5B" w:rsidRDefault="00A144F2" w:rsidP="006B0FD8">
      <w:pPr>
        <w:pStyle w:val="Datum"/>
      </w:pPr>
      <w:r>
        <w:t>17</w:t>
      </w:r>
      <w:r w:rsidR="006B0FD8">
        <w:t xml:space="preserve">. </w:t>
      </w:r>
      <w:r>
        <w:t>června</w:t>
      </w:r>
      <w:r w:rsidR="006B0FD8">
        <w:t xml:space="preserve"> 202</w:t>
      </w:r>
      <w:r w:rsidR="000771B3">
        <w:t>5</w:t>
      </w:r>
    </w:p>
    <w:p w14:paraId="2EAC4363" w14:textId="5AC8DDB1" w:rsidR="006B0FD8" w:rsidRPr="00AE6D5B" w:rsidRDefault="006B4C6A" w:rsidP="006B0FD8">
      <w:pPr>
        <w:pStyle w:val="Nzev"/>
      </w:pPr>
      <w:r>
        <w:t>Ekonomický růst zrychlil</w:t>
      </w:r>
    </w:p>
    <w:p w14:paraId="21A1E65D" w14:textId="0DD39769" w:rsidR="006B0FD8" w:rsidRPr="00AE6D5B" w:rsidRDefault="006B4C6A" w:rsidP="006B0FD8">
      <w:pPr>
        <w:pStyle w:val="Perex"/>
      </w:pPr>
      <w:r>
        <w:t>Č</w:t>
      </w:r>
      <w:r w:rsidR="00D51198">
        <w:t>esk</w:t>
      </w:r>
      <w:r>
        <w:t>á</w:t>
      </w:r>
      <w:r w:rsidR="00D51198">
        <w:t xml:space="preserve"> ekonomik</w:t>
      </w:r>
      <w:r>
        <w:t>a</w:t>
      </w:r>
      <w:r w:rsidR="00D51198">
        <w:t xml:space="preserve"> </w:t>
      </w:r>
      <w:r w:rsidR="006B0FD8">
        <w:t>v</w:t>
      </w:r>
      <w:r>
        <w:t> 1. čtvrtletí</w:t>
      </w:r>
      <w:r w:rsidR="007E0193">
        <w:t xml:space="preserve"> 202</w:t>
      </w:r>
      <w:r>
        <w:t>5</w:t>
      </w:r>
      <w:r w:rsidR="00B338CA">
        <w:t xml:space="preserve"> </w:t>
      </w:r>
      <w:r>
        <w:t>dál posilovala</w:t>
      </w:r>
      <w:r w:rsidR="00D51198">
        <w:t>.</w:t>
      </w:r>
      <w:r w:rsidR="007E0193">
        <w:t xml:space="preserve"> </w:t>
      </w:r>
      <w:r w:rsidR="00B338CA">
        <w:t>Z</w:t>
      </w:r>
      <w:r w:rsidR="00CE7B39">
        <w:t>lepš</w:t>
      </w:r>
      <w:r w:rsidR="00B338CA">
        <w:t>ovaly se v</w:t>
      </w:r>
      <w:r w:rsidR="00CE7B39">
        <w:t>ýsledk</w:t>
      </w:r>
      <w:r w:rsidR="00B338CA">
        <w:t>y</w:t>
      </w:r>
      <w:r w:rsidR="00CE7B39">
        <w:t xml:space="preserve"> ve službách</w:t>
      </w:r>
      <w:r w:rsidR="00B338CA">
        <w:t xml:space="preserve"> i stavebnictví</w:t>
      </w:r>
      <w:r w:rsidR="00CE7B39">
        <w:t>.</w:t>
      </w:r>
      <w:r w:rsidR="00B338CA">
        <w:t xml:space="preserve"> Dynamika p</w:t>
      </w:r>
      <w:r w:rsidR="00CE7B39">
        <w:t>růmysl</w:t>
      </w:r>
      <w:r w:rsidR="00B338CA">
        <w:t>u</w:t>
      </w:r>
      <w:r w:rsidR="00CE7B39">
        <w:t xml:space="preserve"> ale </w:t>
      </w:r>
      <w:r w:rsidR="00B338CA">
        <w:t xml:space="preserve">zaostávala za zbytkem ekonomiky. </w:t>
      </w:r>
      <w:r w:rsidR="00D57446">
        <w:t>P</w:t>
      </w:r>
      <w:r w:rsidR="00B338CA">
        <w:t>otravin</w:t>
      </w:r>
      <w:r w:rsidR="00D57446">
        <w:t>y</w:t>
      </w:r>
      <w:r w:rsidR="00B338CA">
        <w:t xml:space="preserve"> byly hlavním tahounem růstu spotřebitelských cen.</w:t>
      </w:r>
    </w:p>
    <w:p w14:paraId="5B0F3681" w14:textId="62691EA7" w:rsidR="006B0FD8" w:rsidRPr="003D2DF2" w:rsidRDefault="006B0FD8" w:rsidP="00EC7D98">
      <w:pPr>
        <w:spacing w:after="240" w:line="264" w:lineRule="auto"/>
        <w:rPr>
          <w:i/>
        </w:rPr>
      </w:pPr>
      <w:r>
        <w:t xml:space="preserve">Hrubý domácí produkt </w:t>
      </w:r>
      <w:r w:rsidR="000A6A17">
        <w:t xml:space="preserve">se </w:t>
      </w:r>
      <w:r>
        <w:t>v</w:t>
      </w:r>
      <w:r w:rsidR="00D57446">
        <w:t xml:space="preserve"> 1. čtvrtletí </w:t>
      </w:r>
      <w:r w:rsidR="000A6A17">
        <w:t>202</w:t>
      </w:r>
      <w:r w:rsidR="00D57446">
        <w:t>5</w:t>
      </w:r>
      <w:r w:rsidR="000A6A17">
        <w:t xml:space="preserve"> zvýšil</w:t>
      </w:r>
      <w:r w:rsidR="00D57446">
        <w:t xml:space="preserve"> mezičtvrtletně o 0,8 % a meziročně o 2,2 %.</w:t>
      </w:r>
      <w:r w:rsidR="00376936">
        <w:t xml:space="preserve"> </w:t>
      </w:r>
      <w:r w:rsidR="008B6125">
        <w:t xml:space="preserve">Mezičtvrtletní růst ekonomiky potřetí v řadě zrychlil. </w:t>
      </w:r>
      <w:r w:rsidRPr="00AE558D">
        <w:rPr>
          <w:i/>
        </w:rPr>
        <w:t>„</w:t>
      </w:r>
      <w:r w:rsidR="00760F35">
        <w:rPr>
          <w:rStyle w:val="normaltextrun"/>
          <w:rFonts w:cs="Arial"/>
          <w:i/>
          <w:iCs/>
          <w:color w:val="000000"/>
          <w:szCs w:val="20"/>
        </w:rPr>
        <w:t>V prvním čtvrtletí letošního roku táhly naši ekonomiku zejména investice a spotřeba. Vliv bilance zahraničního obchodu byl neutrální, neboť i přes oživení exportu docházelo k vyššímu nárůstu dovozu.</w:t>
      </w:r>
      <w:r w:rsidR="008B4D4B">
        <w:rPr>
          <w:rStyle w:val="normaltextrun"/>
          <w:rFonts w:cs="Arial"/>
          <w:i/>
          <w:iCs/>
          <w:color w:val="000000"/>
          <w:szCs w:val="20"/>
        </w:rPr>
        <w:t xml:space="preserve"> Výsledkem bylo, že meziročně vzr</w:t>
      </w:r>
      <w:r w:rsidR="00760F35">
        <w:rPr>
          <w:rStyle w:val="normaltextrun"/>
          <w:rFonts w:cs="Arial"/>
          <w:i/>
          <w:iCs/>
          <w:color w:val="000000"/>
          <w:szCs w:val="20"/>
        </w:rPr>
        <w:t>ostl HDP o 2,2 %</w:t>
      </w:r>
      <w:r>
        <w:rPr>
          <w:i/>
        </w:rPr>
        <w:t>,</w:t>
      </w:r>
      <w:r w:rsidRPr="007776BD">
        <w:rPr>
          <w:i/>
        </w:rPr>
        <w:t>“</w:t>
      </w:r>
      <w:r w:rsidRPr="0028700A">
        <w:t xml:space="preserve"> říká </w:t>
      </w:r>
      <w:r w:rsidR="00C55FB9">
        <w:t>Jaroslav Sixta, místopředseda Českého statistického úřadu</w:t>
      </w:r>
      <w:r w:rsidR="006C5C06">
        <w:t xml:space="preserve">. </w:t>
      </w:r>
      <w:r w:rsidR="006C5C06" w:rsidRPr="006C5C06">
        <w:t xml:space="preserve">Vývoz zboží a služeb se v 1. čtvrtletí </w:t>
      </w:r>
      <w:r w:rsidR="00BE78B4">
        <w:t xml:space="preserve">reálně </w:t>
      </w:r>
      <w:r w:rsidR="006C5C06" w:rsidRPr="006C5C06">
        <w:t xml:space="preserve">zvýšil mezičtvrtletně o 2,8 % a dovoz </w:t>
      </w:r>
      <w:r w:rsidR="00760F35">
        <w:br/>
      </w:r>
      <w:r w:rsidR="006C5C06" w:rsidRPr="006C5C06">
        <w:t xml:space="preserve">o 2,1 %. Bilance zahraničního obchodu se zbožím a službami v běžných cenách dosáhla </w:t>
      </w:r>
      <w:r w:rsidR="00760F35">
        <w:br/>
      </w:r>
      <w:r w:rsidR="006C5C06" w:rsidRPr="006C5C06">
        <w:t>v 1. čtvrtletí přebytku 1</w:t>
      </w:r>
      <w:bookmarkStart w:id="0" w:name="_GoBack"/>
      <w:bookmarkEnd w:id="0"/>
      <w:r w:rsidR="006C5C06" w:rsidRPr="006C5C06">
        <w:t xml:space="preserve">40,8 mld. korun a ten se tak meziročně zvýšil o 3,3 mld. </w:t>
      </w:r>
      <w:r w:rsidR="005B5FF2">
        <w:rPr>
          <w:rFonts w:cs="Arial"/>
          <w:szCs w:val="18"/>
        </w:rPr>
        <w:t xml:space="preserve"> </w:t>
      </w:r>
    </w:p>
    <w:p w14:paraId="70E54D60" w14:textId="05C62AC3" w:rsidR="006601E0" w:rsidRDefault="006601E0" w:rsidP="00EC7D98">
      <w:pPr>
        <w:spacing w:after="240" w:line="264" w:lineRule="auto"/>
      </w:pPr>
      <w:r>
        <w:t>H</w:t>
      </w:r>
      <w:r w:rsidRPr="006601E0">
        <w:t>rubá přidaná hodnota</w:t>
      </w:r>
      <w:r w:rsidR="00F26434">
        <w:t xml:space="preserve"> </w:t>
      </w:r>
      <w:r w:rsidR="0079321E">
        <w:t xml:space="preserve">v 1. čtvrtletí </w:t>
      </w:r>
      <w:r w:rsidR="00F26434">
        <w:t>vzrostla</w:t>
      </w:r>
      <w:r w:rsidR="0079321E">
        <w:t xml:space="preserve"> mezičtvrtletně</w:t>
      </w:r>
      <w:r w:rsidR="00F26434">
        <w:t xml:space="preserve"> o </w:t>
      </w:r>
      <w:r w:rsidR="0079321E">
        <w:t>1</w:t>
      </w:r>
      <w:r w:rsidR="00F26434">
        <w:t>,3 %</w:t>
      </w:r>
      <w:r w:rsidR="0079321E">
        <w:t xml:space="preserve">. </w:t>
      </w:r>
      <w:r w:rsidR="0079321E" w:rsidRPr="0079321E">
        <w:t>K růstu přispíval</w:t>
      </w:r>
      <w:r w:rsidR="00717706">
        <w:t xml:space="preserve">y zejména služby, z nichž </w:t>
      </w:r>
      <w:r w:rsidR="00C55FB9">
        <w:t>hrubá přidaná hodnota</w:t>
      </w:r>
      <w:r w:rsidR="0079321E" w:rsidRPr="0079321E">
        <w:t xml:space="preserve"> </w:t>
      </w:r>
      <w:r w:rsidR="00C55FB9">
        <w:t xml:space="preserve">(HPH) </w:t>
      </w:r>
      <w:r w:rsidR="00717706">
        <w:t xml:space="preserve">klesla </w:t>
      </w:r>
      <w:r w:rsidR="0079321E" w:rsidRPr="0079321E">
        <w:t>jen v uskupení obchod, doprava, ubytování a pohostinství. Dařilo se také stavebnictví a oživení zaznamenal průmysl</w:t>
      </w:r>
      <w:r w:rsidR="00717706">
        <w:t xml:space="preserve"> jako celek</w:t>
      </w:r>
      <w:r w:rsidR="0079321E" w:rsidRPr="0079321E">
        <w:t>, ačkoli samotn</w:t>
      </w:r>
      <w:r w:rsidR="00717706">
        <w:t>ý</w:t>
      </w:r>
      <w:r w:rsidR="0079321E" w:rsidRPr="0079321E">
        <w:t xml:space="preserve"> zpracovatelsk</w:t>
      </w:r>
      <w:r w:rsidR="00717706">
        <w:t>ý</w:t>
      </w:r>
      <w:r w:rsidR="0079321E" w:rsidRPr="0079321E">
        <w:t xml:space="preserve"> průmysl</w:t>
      </w:r>
      <w:r w:rsidR="00717706">
        <w:t xml:space="preserve"> vykázal mírný pokles.</w:t>
      </w:r>
      <w:r w:rsidR="0079321E" w:rsidRPr="0079321E">
        <w:t xml:space="preserve"> Meziročně HPH vzrostla o 2,5 %, přičemž největší příspěvek přinesly služby, zejména obchod, doprava, ubytování a pohostinství. Počtvrté v řadě meziročně vzrostl</w:t>
      </w:r>
      <w:r w:rsidR="00717706">
        <w:t xml:space="preserve">o </w:t>
      </w:r>
      <w:r w:rsidR="0079321E" w:rsidRPr="0079321E">
        <w:t>stavebnictví.</w:t>
      </w:r>
      <w:r w:rsidR="00717706">
        <w:t xml:space="preserve"> Hrubá přidaná hodnota v průmyslu rostla jen mírně.</w:t>
      </w:r>
      <w:r w:rsidR="0079321E" w:rsidRPr="0079321E">
        <w:t xml:space="preserve"> </w:t>
      </w:r>
      <w:r w:rsidR="00E5530E">
        <w:t xml:space="preserve"> </w:t>
      </w:r>
      <w:r w:rsidR="005B5FF2">
        <w:t xml:space="preserve"> </w:t>
      </w:r>
      <w:r w:rsidR="00D76377">
        <w:t xml:space="preserve"> </w:t>
      </w:r>
      <w:r w:rsidRPr="006601E0">
        <w:t xml:space="preserve">   </w:t>
      </w:r>
      <w:r w:rsidR="00C55FB9">
        <w:t xml:space="preserve"> </w:t>
      </w:r>
    </w:p>
    <w:p w14:paraId="435EA5D3" w14:textId="6A73094A" w:rsidR="006B0FD8" w:rsidRDefault="006C5C06" w:rsidP="00EC7D98">
      <w:pPr>
        <w:spacing w:after="240" w:line="264" w:lineRule="auto"/>
      </w:pPr>
      <w:r>
        <w:t>Meziroční p</w:t>
      </w:r>
      <w:r w:rsidR="002C7C84">
        <w:t xml:space="preserve">řírůstek spotřebitelských cen </w:t>
      </w:r>
      <w:r w:rsidR="00385642">
        <w:t>v 1. čtvrtletí mírně zpomalil na 2,7 %. Mezičtvrtletně se ceny zvýšily o 1,3 %, což odpovídalo obvyklé úrovni pro první kvartál roku.</w:t>
      </w:r>
      <w:r w:rsidR="00385642" w:rsidRPr="00385642">
        <w:t xml:space="preserve"> </w:t>
      </w:r>
      <w:r w:rsidR="00AE558D">
        <w:t>Ve směru p</w:t>
      </w:r>
      <w:r w:rsidR="00385642" w:rsidRPr="00385642">
        <w:t xml:space="preserve">osílení celkového meziročního růstu cen </w:t>
      </w:r>
      <w:r w:rsidR="00AE558D">
        <w:t>působily</w:t>
      </w:r>
      <w:r w:rsidR="00385642" w:rsidRPr="00385642">
        <w:t xml:space="preserve"> zejména potraviny a nealkoholické nápoje, jejichž ceny na konec roku 2024 navázaly dalším </w:t>
      </w:r>
      <w:r w:rsidR="00AE558D">
        <w:t>zrychlením</w:t>
      </w:r>
      <w:r w:rsidR="00385642" w:rsidRPr="00385642">
        <w:t xml:space="preserve"> </w:t>
      </w:r>
      <w:r w:rsidR="00385642">
        <w:t>přírůstku.</w:t>
      </w:r>
      <w:r w:rsidR="00385642" w:rsidRPr="00385642">
        <w:t xml:space="preserve"> Naopak </w:t>
      </w:r>
      <w:r w:rsidR="00385642">
        <w:t>dynamika</w:t>
      </w:r>
      <w:r w:rsidR="00385642" w:rsidRPr="00385642">
        <w:t xml:space="preserve"> cen bydlení a energií oslabil</w:t>
      </w:r>
      <w:r w:rsidR="00385642">
        <w:t xml:space="preserve">a. </w:t>
      </w:r>
      <w:r w:rsidR="00385642" w:rsidRPr="00385642">
        <w:t xml:space="preserve">Jako jediné meziročně klesly ceny odívání a obuvi. Dál posiloval růst nabídkových i realizovaných cen bytů.  </w:t>
      </w:r>
    </w:p>
    <w:p w14:paraId="210C782E" w14:textId="019BE14C" w:rsidR="006B0FD8" w:rsidRPr="00CB4154" w:rsidRDefault="006B0FD8" w:rsidP="00EC7D98">
      <w:pPr>
        <w:spacing w:after="240" w:line="264" w:lineRule="auto"/>
      </w:pPr>
      <w:r>
        <w:t>P</w:t>
      </w:r>
      <w:r w:rsidRPr="000A2586">
        <w:t xml:space="preserve">růměrná hrubá měsíční mzda </w:t>
      </w:r>
      <w:r>
        <w:t xml:space="preserve">zaměstnanců </w:t>
      </w:r>
      <w:r w:rsidR="0099537B">
        <w:t xml:space="preserve">v 1. čtvrtletí </w:t>
      </w:r>
      <w:r w:rsidR="00144416">
        <w:t xml:space="preserve">vzrostla </w:t>
      </w:r>
      <w:r w:rsidR="0099537B">
        <w:t>meziročně</w:t>
      </w:r>
      <w:r w:rsidR="00904985">
        <w:t xml:space="preserve"> </w:t>
      </w:r>
      <w:r w:rsidR="00144416">
        <w:t xml:space="preserve">o </w:t>
      </w:r>
      <w:r w:rsidR="0099537B">
        <w:t>6,7</w:t>
      </w:r>
      <w:r w:rsidR="00144416">
        <w:t xml:space="preserve"> % </w:t>
      </w:r>
      <w:r w:rsidR="0099537B">
        <w:t>na 46 924 korun. R</w:t>
      </w:r>
      <w:r w:rsidR="00144416">
        <w:t xml:space="preserve">eálně </w:t>
      </w:r>
      <w:r w:rsidR="0099537B">
        <w:t xml:space="preserve">se průměrná mzda zvýšila </w:t>
      </w:r>
      <w:r w:rsidR="00144416">
        <w:t xml:space="preserve">o </w:t>
      </w:r>
      <w:r w:rsidR="0099537B">
        <w:t>3,9</w:t>
      </w:r>
      <w:r w:rsidR="00144416">
        <w:t xml:space="preserve"> %</w:t>
      </w:r>
      <w:r w:rsidR="0099537B">
        <w:t xml:space="preserve"> a k</w:t>
      </w:r>
      <w:r w:rsidR="0099537B" w:rsidRPr="001A20D9">
        <w:rPr>
          <w:rStyle w:val="normaltextrun"/>
          <w:rFonts w:eastAsiaTheme="majorEastAsia" w:cs="Arial"/>
          <w:color w:val="000000"/>
          <w:szCs w:val="20"/>
        </w:rPr>
        <w:t xml:space="preserve"> navýšení došlo ve všech hlavních odvětvích</w:t>
      </w:r>
      <w:r w:rsidR="0099537B">
        <w:rPr>
          <w:rStyle w:val="normaltextrun"/>
          <w:rFonts w:eastAsiaTheme="majorEastAsia" w:cs="Arial"/>
          <w:color w:val="000000"/>
          <w:szCs w:val="20"/>
        </w:rPr>
        <w:t>. O</w:t>
      </w:r>
      <w:r w:rsidR="0066758F">
        <w:t>pro</w:t>
      </w:r>
      <w:r w:rsidR="0032414A">
        <w:t xml:space="preserve">ti </w:t>
      </w:r>
      <w:r w:rsidR="0099537B">
        <w:t>4</w:t>
      </w:r>
      <w:r w:rsidR="0032414A">
        <w:t>. čtvrtletí byla</w:t>
      </w:r>
      <w:r w:rsidR="0099537B">
        <w:t xml:space="preserve"> průměrná mzda nominálně</w:t>
      </w:r>
      <w:r w:rsidR="0032414A">
        <w:t xml:space="preserve"> vyšší o 1,7 %.</w:t>
      </w:r>
      <w:r w:rsidR="0099537B">
        <w:t xml:space="preserve"> </w:t>
      </w:r>
      <w:r w:rsidR="0099537B" w:rsidRPr="0099537B">
        <w:t xml:space="preserve">Celková zaměstnanost v 1. čtvrtletí meziročně </w:t>
      </w:r>
      <w:r w:rsidR="0099537B">
        <w:t>vzrostla</w:t>
      </w:r>
      <w:r w:rsidR="0099537B" w:rsidRPr="0099537B">
        <w:t xml:space="preserve"> o 1,1 % a mezičtvrtletně se zvýšila o 0,7 %.</w:t>
      </w:r>
    </w:p>
    <w:p w14:paraId="766B3F18" w14:textId="5E4531ED" w:rsidR="006B0FD8" w:rsidRPr="00C024A9" w:rsidRDefault="006B0FD8" w:rsidP="00EC7D98">
      <w:pPr>
        <w:spacing w:line="264" w:lineRule="auto"/>
      </w:pPr>
      <w:r>
        <w:t xml:space="preserve">Další detaily přináší aktuální analýza </w:t>
      </w:r>
      <w:hyperlink r:id="rId10" w:history="1">
        <w:r w:rsidR="00144416">
          <w:rPr>
            <w:rStyle w:val="Hypertextovodkaz"/>
            <w:i/>
          </w:rPr>
          <w:t>Vývoj ekonomiky ČR v</w:t>
        </w:r>
        <w:r w:rsidR="00A144F2">
          <w:rPr>
            <w:rStyle w:val="Hypertextovodkaz"/>
            <w:i/>
          </w:rPr>
          <w:t> 1. čtvrtletí</w:t>
        </w:r>
        <w:r w:rsidR="00144416">
          <w:rPr>
            <w:rStyle w:val="Hypertextovodkaz"/>
            <w:i/>
          </w:rPr>
          <w:t xml:space="preserve"> 202</w:t>
        </w:r>
      </w:hyperlink>
      <w:r w:rsidR="00A144F2">
        <w:rPr>
          <w:rStyle w:val="Hypertextovodkaz"/>
          <w:i/>
        </w:rPr>
        <w:t>5</w:t>
      </w:r>
      <w:r w:rsidRPr="00B873C2">
        <w:rPr>
          <w:rStyle w:val="Hypertextovodkaz"/>
          <w:color w:val="auto"/>
          <w:u w:val="none"/>
        </w:rPr>
        <w:t>.</w:t>
      </w:r>
    </w:p>
    <w:p w14:paraId="5026D2E9" w14:textId="77777777" w:rsidR="006B0FD8" w:rsidRDefault="006B0FD8" w:rsidP="00AE6D5B">
      <w:pPr>
        <w:rPr>
          <w:b/>
        </w:rPr>
      </w:pPr>
    </w:p>
    <w:p w14:paraId="09135848" w14:textId="71652419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462E7F99" w14:textId="77777777" w:rsidR="00261708" w:rsidRPr="00220E59" w:rsidRDefault="00261708" w:rsidP="00261708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00E1E854" w14:textId="77777777" w:rsidR="00261708" w:rsidRPr="00220E59" w:rsidRDefault="00261708" w:rsidP="00261708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759A8686" w14:textId="77777777" w:rsidR="00261708" w:rsidRPr="00220E59" w:rsidRDefault="00261708" w:rsidP="00261708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   |  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4427C2BC" w14:textId="715CCB7D" w:rsidR="00261708" w:rsidRPr="00B0284E" w:rsidRDefault="00261708" w:rsidP="00B0284E">
      <w:pPr>
        <w:spacing w:line="240" w:lineRule="auto"/>
      </w:pPr>
      <w:r w:rsidRPr="00220E59">
        <w:rPr>
          <w:rFonts w:cs="Arial"/>
          <w:color w:val="0070C0"/>
        </w:rPr>
        <w:t xml:space="preserve">E </w:t>
      </w:r>
      <w:r>
        <w:rPr>
          <w:rFonts w:cs="Arial"/>
        </w:rPr>
        <w:t>jan.cieslar@csu.gov.cz</w:t>
      </w:r>
      <w:r w:rsidRPr="00220E59">
        <w:rPr>
          <w:rFonts w:cs="Arial"/>
        </w:rPr>
        <w:t xml:space="preserve">   |   </w:t>
      </w:r>
      <w:r>
        <w:rPr>
          <w:rFonts w:cs="Arial"/>
          <w:color w:val="0070C0"/>
        </w:rPr>
        <w:t>X</w:t>
      </w:r>
      <w:r w:rsidR="001930D5">
        <w:rPr>
          <w:rFonts w:cs="Arial"/>
        </w:rPr>
        <w:t xml:space="preserve"> @czstatistika</w:t>
      </w:r>
    </w:p>
    <w:sectPr w:rsidR="00261708" w:rsidRPr="00B0284E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4CCC4" w14:textId="77777777" w:rsidR="00563EC4" w:rsidRDefault="00563EC4" w:rsidP="00BA6370">
      <w:r>
        <w:separator/>
      </w:r>
    </w:p>
  </w:endnote>
  <w:endnote w:type="continuationSeparator" w:id="0">
    <w:p w14:paraId="61964511" w14:textId="77777777" w:rsidR="00563EC4" w:rsidRDefault="00563EC4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FD612" w14:textId="77777777" w:rsidR="00C036A1" w:rsidRDefault="00C036A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2C3F61" wp14:editId="60885117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1B95" w14:textId="77777777" w:rsidR="00C036A1" w:rsidRPr="000842D2" w:rsidRDefault="00C036A1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453BDCAD" w14:textId="77777777" w:rsidR="00C036A1" w:rsidRPr="000842D2" w:rsidRDefault="00C036A1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248D9F82" w14:textId="44C957C0" w:rsidR="00C036A1" w:rsidRPr="00E600D3" w:rsidRDefault="00C036A1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B66F4E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563EC4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C3F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23711B95" w14:textId="77777777" w:rsidR="00C036A1" w:rsidRPr="000842D2" w:rsidRDefault="00C036A1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453BDCAD" w14:textId="77777777" w:rsidR="00C036A1" w:rsidRPr="000842D2" w:rsidRDefault="00C036A1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248D9F82" w14:textId="44C957C0" w:rsidR="00C036A1" w:rsidRPr="00E600D3" w:rsidRDefault="00C036A1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B66F4E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563EC4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9BCC13" wp14:editId="3BF0E43F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98A2C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4ADD" w14:textId="77777777" w:rsidR="00563EC4" w:rsidRDefault="00563EC4" w:rsidP="00BA6370">
      <w:r>
        <w:separator/>
      </w:r>
    </w:p>
  </w:footnote>
  <w:footnote w:type="continuationSeparator" w:id="0">
    <w:p w14:paraId="132C84A3" w14:textId="77777777" w:rsidR="00563EC4" w:rsidRDefault="00563EC4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CECD" w14:textId="77777777" w:rsidR="00C036A1" w:rsidRDefault="00C036A1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D8D2C74" wp14:editId="0BEF3E0D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C7B71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08"/>
    <w:rsid w:val="000277CE"/>
    <w:rsid w:val="0003658F"/>
    <w:rsid w:val="00043BF4"/>
    <w:rsid w:val="00054373"/>
    <w:rsid w:val="00075C9F"/>
    <w:rsid w:val="000771B3"/>
    <w:rsid w:val="000842D2"/>
    <w:rsid w:val="000843A5"/>
    <w:rsid w:val="000A6A17"/>
    <w:rsid w:val="000B6F63"/>
    <w:rsid w:val="000C435D"/>
    <w:rsid w:val="00100C55"/>
    <w:rsid w:val="001146B2"/>
    <w:rsid w:val="001353AB"/>
    <w:rsid w:val="00135DDB"/>
    <w:rsid w:val="001404AB"/>
    <w:rsid w:val="00144416"/>
    <w:rsid w:val="00146745"/>
    <w:rsid w:val="001658A9"/>
    <w:rsid w:val="0017231D"/>
    <w:rsid w:val="001776E2"/>
    <w:rsid w:val="001810DC"/>
    <w:rsid w:val="00183C7E"/>
    <w:rsid w:val="001877D9"/>
    <w:rsid w:val="00191006"/>
    <w:rsid w:val="001930D5"/>
    <w:rsid w:val="001A214A"/>
    <w:rsid w:val="001A59BF"/>
    <w:rsid w:val="001B607F"/>
    <w:rsid w:val="001D369A"/>
    <w:rsid w:val="001E7868"/>
    <w:rsid w:val="002070FB"/>
    <w:rsid w:val="00213729"/>
    <w:rsid w:val="002272A6"/>
    <w:rsid w:val="00230687"/>
    <w:rsid w:val="002406FA"/>
    <w:rsid w:val="002460EA"/>
    <w:rsid w:val="00261708"/>
    <w:rsid w:val="002848DA"/>
    <w:rsid w:val="002B2E47"/>
    <w:rsid w:val="002C7C84"/>
    <w:rsid w:val="002D6A6C"/>
    <w:rsid w:val="00300097"/>
    <w:rsid w:val="00322412"/>
    <w:rsid w:val="0032414A"/>
    <w:rsid w:val="003301A3"/>
    <w:rsid w:val="0035578A"/>
    <w:rsid w:val="0036225E"/>
    <w:rsid w:val="0036777B"/>
    <w:rsid w:val="00376936"/>
    <w:rsid w:val="0038282A"/>
    <w:rsid w:val="00385642"/>
    <w:rsid w:val="00397580"/>
    <w:rsid w:val="003A1794"/>
    <w:rsid w:val="003A45C8"/>
    <w:rsid w:val="003C0536"/>
    <w:rsid w:val="003C2DCF"/>
    <w:rsid w:val="003C7FE7"/>
    <w:rsid w:val="003D02AA"/>
    <w:rsid w:val="003D0499"/>
    <w:rsid w:val="003D4080"/>
    <w:rsid w:val="003E7A53"/>
    <w:rsid w:val="003F526A"/>
    <w:rsid w:val="00405244"/>
    <w:rsid w:val="00413A9D"/>
    <w:rsid w:val="00422A74"/>
    <w:rsid w:val="004436EE"/>
    <w:rsid w:val="0045547F"/>
    <w:rsid w:val="004920AD"/>
    <w:rsid w:val="004D05B3"/>
    <w:rsid w:val="004E479E"/>
    <w:rsid w:val="004E583B"/>
    <w:rsid w:val="004F0931"/>
    <w:rsid w:val="004F4A5B"/>
    <w:rsid w:val="004F78E6"/>
    <w:rsid w:val="00512D99"/>
    <w:rsid w:val="00527583"/>
    <w:rsid w:val="00531DBB"/>
    <w:rsid w:val="00563EC4"/>
    <w:rsid w:val="005A27A9"/>
    <w:rsid w:val="005B5FF2"/>
    <w:rsid w:val="005F493E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4139A"/>
    <w:rsid w:val="006601E0"/>
    <w:rsid w:val="0066127C"/>
    <w:rsid w:val="0066758F"/>
    <w:rsid w:val="00675D16"/>
    <w:rsid w:val="00677587"/>
    <w:rsid w:val="006A36F1"/>
    <w:rsid w:val="006B0FD8"/>
    <w:rsid w:val="006B4C6A"/>
    <w:rsid w:val="006C5C06"/>
    <w:rsid w:val="006E024F"/>
    <w:rsid w:val="006E4E81"/>
    <w:rsid w:val="006E5504"/>
    <w:rsid w:val="00707F7D"/>
    <w:rsid w:val="00717706"/>
    <w:rsid w:val="00717EC5"/>
    <w:rsid w:val="00727525"/>
    <w:rsid w:val="00737B80"/>
    <w:rsid w:val="00752101"/>
    <w:rsid w:val="00755D38"/>
    <w:rsid w:val="00760F35"/>
    <w:rsid w:val="007769A7"/>
    <w:rsid w:val="007914B5"/>
    <w:rsid w:val="0079321E"/>
    <w:rsid w:val="007A54B2"/>
    <w:rsid w:val="007A57F2"/>
    <w:rsid w:val="007B1333"/>
    <w:rsid w:val="007C347F"/>
    <w:rsid w:val="007D01A8"/>
    <w:rsid w:val="007D4442"/>
    <w:rsid w:val="007D7DEE"/>
    <w:rsid w:val="007E0193"/>
    <w:rsid w:val="007F4AEB"/>
    <w:rsid w:val="007F75B2"/>
    <w:rsid w:val="007F7819"/>
    <w:rsid w:val="008043C4"/>
    <w:rsid w:val="00831B1B"/>
    <w:rsid w:val="00861D0E"/>
    <w:rsid w:val="00867569"/>
    <w:rsid w:val="008A6191"/>
    <w:rsid w:val="008A750A"/>
    <w:rsid w:val="008B4D4B"/>
    <w:rsid w:val="008B6125"/>
    <w:rsid w:val="008C384C"/>
    <w:rsid w:val="008D0F11"/>
    <w:rsid w:val="008F35B4"/>
    <w:rsid w:val="008F73B4"/>
    <w:rsid w:val="00904985"/>
    <w:rsid w:val="00904D45"/>
    <w:rsid w:val="009058FC"/>
    <w:rsid w:val="00931DB8"/>
    <w:rsid w:val="00933141"/>
    <w:rsid w:val="0094402F"/>
    <w:rsid w:val="009646E4"/>
    <w:rsid w:val="009668FF"/>
    <w:rsid w:val="00986278"/>
    <w:rsid w:val="0099456F"/>
    <w:rsid w:val="0099537B"/>
    <w:rsid w:val="009B1787"/>
    <w:rsid w:val="009B55B1"/>
    <w:rsid w:val="009E4070"/>
    <w:rsid w:val="00A00672"/>
    <w:rsid w:val="00A144F2"/>
    <w:rsid w:val="00A365FE"/>
    <w:rsid w:val="00A4177F"/>
    <w:rsid w:val="00A4343D"/>
    <w:rsid w:val="00A502F1"/>
    <w:rsid w:val="00A54F3D"/>
    <w:rsid w:val="00A70A83"/>
    <w:rsid w:val="00A81EB3"/>
    <w:rsid w:val="00A841DD"/>
    <w:rsid w:val="00A842CF"/>
    <w:rsid w:val="00AB6655"/>
    <w:rsid w:val="00AE558D"/>
    <w:rsid w:val="00AE6D5B"/>
    <w:rsid w:val="00B00C1D"/>
    <w:rsid w:val="00B0284E"/>
    <w:rsid w:val="00B036DA"/>
    <w:rsid w:val="00B03E21"/>
    <w:rsid w:val="00B2525F"/>
    <w:rsid w:val="00B31BE8"/>
    <w:rsid w:val="00B338CA"/>
    <w:rsid w:val="00B529C5"/>
    <w:rsid w:val="00B53219"/>
    <w:rsid w:val="00B565EB"/>
    <w:rsid w:val="00B64188"/>
    <w:rsid w:val="00BA439F"/>
    <w:rsid w:val="00BA6370"/>
    <w:rsid w:val="00BE78B4"/>
    <w:rsid w:val="00C036A1"/>
    <w:rsid w:val="00C11641"/>
    <w:rsid w:val="00C269D4"/>
    <w:rsid w:val="00C4160D"/>
    <w:rsid w:val="00C42C08"/>
    <w:rsid w:val="00C52466"/>
    <w:rsid w:val="00C52599"/>
    <w:rsid w:val="00C55FB9"/>
    <w:rsid w:val="00C8406E"/>
    <w:rsid w:val="00C872BB"/>
    <w:rsid w:val="00CA663C"/>
    <w:rsid w:val="00CB2709"/>
    <w:rsid w:val="00CB4154"/>
    <w:rsid w:val="00CB6535"/>
    <w:rsid w:val="00CB6F89"/>
    <w:rsid w:val="00CC1DBC"/>
    <w:rsid w:val="00CD4431"/>
    <w:rsid w:val="00CE228C"/>
    <w:rsid w:val="00CE3498"/>
    <w:rsid w:val="00CE7B39"/>
    <w:rsid w:val="00CF545B"/>
    <w:rsid w:val="00D018F0"/>
    <w:rsid w:val="00D27074"/>
    <w:rsid w:val="00D27D69"/>
    <w:rsid w:val="00D36464"/>
    <w:rsid w:val="00D448C2"/>
    <w:rsid w:val="00D51198"/>
    <w:rsid w:val="00D57446"/>
    <w:rsid w:val="00D666C3"/>
    <w:rsid w:val="00D76377"/>
    <w:rsid w:val="00DB3587"/>
    <w:rsid w:val="00DB7F4C"/>
    <w:rsid w:val="00DC0D7B"/>
    <w:rsid w:val="00DF47FE"/>
    <w:rsid w:val="00E15790"/>
    <w:rsid w:val="00E2374E"/>
    <w:rsid w:val="00E26704"/>
    <w:rsid w:val="00E27C40"/>
    <w:rsid w:val="00E31980"/>
    <w:rsid w:val="00E54008"/>
    <w:rsid w:val="00E5530E"/>
    <w:rsid w:val="00E57646"/>
    <w:rsid w:val="00E6314E"/>
    <w:rsid w:val="00E6423C"/>
    <w:rsid w:val="00E916D9"/>
    <w:rsid w:val="00E93830"/>
    <w:rsid w:val="00E93E0E"/>
    <w:rsid w:val="00EB1ED3"/>
    <w:rsid w:val="00EC2D51"/>
    <w:rsid w:val="00EC7D98"/>
    <w:rsid w:val="00F26395"/>
    <w:rsid w:val="00F26434"/>
    <w:rsid w:val="00F310DD"/>
    <w:rsid w:val="00F32A3B"/>
    <w:rsid w:val="00F46D88"/>
    <w:rsid w:val="00F46F18"/>
    <w:rsid w:val="00F5096E"/>
    <w:rsid w:val="00FB005B"/>
    <w:rsid w:val="00FB687C"/>
    <w:rsid w:val="00FC2692"/>
    <w:rsid w:val="00FF2E5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810A1ED"/>
  <w15:docId w15:val="{A04061DB-3927-4007-97BD-A26E6C7F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E7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A5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7A53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A53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99537B"/>
  </w:style>
  <w:style w:type="paragraph" w:styleId="Revize">
    <w:name w:val="Revision"/>
    <w:hidden/>
    <w:uiPriority w:val="99"/>
    <w:semiHidden/>
    <w:rsid w:val="00BE78B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su.gov.cz/produkty/vyvoj-ekonomiky-ceske-republiky-1-ctvrtleti-202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ieslar35132\Documents\Tiskov&#233;%20konference\2024\TK-240929_&#352;koly%20a%20&#353;kolsk&#225;%20za&#345;&#237;zen&#237;\Form_c469_Tiskova%20zpra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B68C66-D9B2-4984-A276-E00C80A26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6184C-98B0-4521-BFFF-2C566A72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4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2692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 Jan</dc:creator>
  <cp:lastModifiedBy>Cieslar Jan</cp:lastModifiedBy>
  <cp:revision>5</cp:revision>
  <dcterms:created xsi:type="dcterms:W3CDTF">2025-06-11T06:30:00Z</dcterms:created>
  <dcterms:modified xsi:type="dcterms:W3CDTF">2025-06-18T09:01:00Z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