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charts/chart4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F78" w:rsidRPr="00535F78" w:rsidRDefault="00F853A5" w:rsidP="00AC39B0">
      <w:pPr>
        <w:pStyle w:val="Nadpis1"/>
        <w:numPr>
          <w:ilvl w:val="0"/>
          <w:numId w:val="20"/>
        </w:numPr>
        <w:jc w:val="both"/>
      </w:pPr>
      <w:bookmarkStart w:id="0" w:name="_Toc485271461"/>
      <w:r w:rsidRPr="00A74192">
        <w:t>Státní rozpočet</w:t>
      </w:r>
      <w:bookmarkEnd w:id="0"/>
    </w:p>
    <w:tbl>
      <w:tblPr>
        <w:tblW w:w="4995" w:type="pct"/>
        <w:tblInd w:w="108" w:type="dxa"/>
        <w:tblLayout w:type="fixed"/>
        <w:tblLook w:val="00A0"/>
      </w:tblPr>
      <w:tblGrid>
        <w:gridCol w:w="2000"/>
        <w:gridCol w:w="284"/>
        <w:gridCol w:w="7560"/>
      </w:tblGrid>
      <w:tr w:rsidR="00424D9B" w:rsidRPr="00F06A1D" w:rsidTr="00A0172C">
        <w:trPr>
          <w:trHeight w:val="145"/>
        </w:trPr>
        <w:tc>
          <w:tcPr>
            <w:tcW w:w="1016" w:type="pct"/>
            <w:shd w:val="clear" w:color="auto" w:fill="auto"/>
          </w:tcPr>
          <w:p w:rsidR="00424D9B" w:rsidRPr="00D607C1" w:rsidRDefault="00424D9B" w:rsidP="00A0172C">
            <w:pPr>
              <w:spacing w:line="240" w:lineRule="auto"/>
              <w:rPr>
                <w:rFonts w:cs="Arial"/>
                <w:color w:val="0D0D0D" w:themeColor="text1" w:themeTint="F2"/>
                <w:spacing w:val="-4"/>
                <w:sz w:val="16"/>
                <w:szCs w:val="16"/>
              </w:rPr>
            </w:pPr>
            <w:r>
              <w:rPr>
                <w:rFonts w:cs="Arial"/>
                <w:color w:val="0D0D0D" w:themeColor="text1" w:themeTint="F2"/>
                <w:spacing w:val="-4"/>
                <w:sz w:val="16"/>
                <w:szCs w:val="16"/>
              </w:rPr>
              <w:t>Státní rozpočet dosáhl mírného přebytku. Ten byl podobně jako v loňském roce</w:t>
            </w:r>
          </w:p>
          <w:p w:rsidR="00424D9B" w:rsidRDefault="00424D9B" w:rsidP="00A0172C">
            <w:pPr>
              <w:spacing w:line="240" w:lineRule="auto"/>
              <w:rPr>
                <w:rFonts w:cs="Arial"/>
                <w:color w:val="0D0D0D" w:themeColor="text1" w:themeTint="F2"/>
                <w:spacing w:val="-4"/>
                <w:sz w:val="16"/>
                <w:szCs w:val="16"/>
              </w:rPr>
            </w:pPr>
            <w:r>
              <w:rPr>
                <w:rFonts w:cs="Arial"/>
                <w:color w:val="0D0D0D" w:themeColor="text1" w:themeTint="F2"/>
                <w:spacing w:val="-4"/>
                <w:sz w:val="16"/>
                <w:szCs w:val="16"/>
              </w:rPr>
              <w:t xml:space="preserve">ovlivněn především nepravidelnostmi v čerpání </w:t>
            </w:r>
          </w:p>
          <w:p w:rsidR="00424D9B" w:rsidRDefault="00424D9B" w:rsidP="00A0172C">
            <w:pPr>
              <w:spacing w:line="240" w:lineRule="auto"/>
              <w:rPr>
                <w:rFonts w:cs="Arial"/>
                <w:color w:val="0D0D0D" w:themeColor="text1" w:themeTint="F2"/>
                <w:spacing w:val="-4"/>
                <w:sz w:val="16"/>
                <w:szCs w:val="16"/>
              </w:rPr>
            </w:pPr>
            <w:r w:rsidRPr="00D607C1">
              <w:rPr>
                <w:rFonts w:cs="Arial"/>
                <w:color w:val="0D0D0D" w:themeColor="text1" w:themeTint="F2"/>
                <w:spacing w:val="-4"/>
                <w:sz w:val="16"/>
                <w:szCs w:val="16"/>
              </w:rPr>
              <w:t>prostředků z evropských fondů</w:t>
            </w:r>
            <w:r>
              <w:rPr>
                <w:rFonts w:cs="Arial"/>
                <w:color w:val="0D0D0D" w:themeColor="text1" w:themeTint="F2"/>
                <w:spacing w:val="-4"/>
                <w:sz w:val="16"/>
                <w:szCs w:val="16"/>
              </w:rPr>
              <w:t xml:space="preserve"> a také efekty svižného ekonomického růstu.</w:t>
            </w:r>
          </w:p>
          <w:p w:rsidR="00424D9B" w:rsidRPr="00D607C1" w:rsidRDefault="00424D9B" w:rsidP="00A0172C">
            <w:pPr>
              <w:spacing w:line="240" w:lineRule="auto"/>
              <w:rPr>
                <w:rFonts w:cs="Arial"/>
                <w:color w:val="0D0D0D" w:themeColor="text1" w:themeTint="F2"/>
                <w:spacing w:val="-4"/>
                <w:sz w:val="16"/>
                <w:szCs w:val="16"/>
              </w:rPr>
            </w:pPr>
          </w:p>
        </w:tc>
        <w:tc>
          <w:tcPr>
            <w:tcW w:w="144" w:type="pct"/>
          </w:tcPr>
          <w:p w:rsidR="00424D9B" w:rsidRPr="00A90EFD" w:rsidRDefault="00424D9B" w:rsidP="00A0172C">
            <w:pPr>
              <w:pStyle w:val="Textpoznpodarou"/>
              <w:jc w:val="both"/>
              <w:rPr>
                <w:rFonts w:cs="Arial"/>
                <w:color w:val="0D0D0D" w:themeColor="text1" w:themeTint="F2"/>
              </w:rPr>
            </w:pPr>
          </w:p>
        </w:tc>
        <w:tc>
          <w:tcPr>
            <w:tcW w:w="3840" w:type="pct"/>
          </w:tcPr>
          <w:p w:rsidR="00424D9B" w:rsidRPr="00AC39B0" w:rsidRDefault="00424D9B" w:rsidP="00A0172C">
            <w:pPr>
              <w:pStyle w:val="Textpoznpodarou"/>
              <w:jc w:val="both"/>
              <w:rPr>
                <w:rFonts w:cs="Arial"/>
                <w:color w:val="000000" w:themeColor="text1"/>
                <w:spacing w:val="-2"/>
              </w:rPr>
            </w:pPr>
            <w:r w:rsidRPr="00AC39B0">
              <w:rPr>
                <w:rFonts w:cs="Arial"/>
                <w:color w:val="0D0D0D" w:themeColor="text1" w:themeTint="F2"/>
                <w:spacing w:val="-2"/>
              </w:rPr>
              <w:t xml:space="preserve">Přestože státní rozpočet (SR) docílil v 1. čtvrtletí 2017 (dle </w:t>
            </w:r>
            <w:r w:rsidR="00D42E15" w:rsidRPr="00AC39B0">
              <w:rPr>
                <w:rFonts w:cs="Arial"/>
                <w:color w:val="0D0D0D" w:themeColor="text1" w:themeTint="F2"/>
                <w:spacing w:val="-2"/>
              </w:rPr>
              <w:t>údajů Ministerstva financí o </w:t>
            </w:r>
            <w:r w:rsidRPr="00AC39B0">
              <w:rPr>
                <w:rFonts w:cs="Arial"/>
                <w:color w:val="0D0D0D" w:themeColor="text1" w:themeTint="F2"/>
                <w:spacing w:val="-2"/>
              </w:rPr>
              <w:t>pokladním plnění) kladného salda ve výši 4,7 mld. korun, šlo v rámci tohoto období roku o nejslabší výsledek za posledních pět let. Za nižším přebytkem stál meziroční pokles příjmů SR (o desetinu) vlivem značně nepravidelného toku prostředků z rozpočtu EU</w:t>
            </w:r>
            <w:r w:rsidRPr="00AC39B0">
              <w:rPr>
                <w:rStyle w:val="Znakapoznpodarou"/>
                <w:color w:val="0D0D0D" w:themeColor="text1" w:themeTint="F2"/>
                <w:spacing w:val="-2"/>
              </w:rPr>
              <w:footnoteReference w:id="1"/>
            </w:r>
            <w:r w:rsidRPr="00AC39B0">
              <w:rPr>
                <w:rFonts w:cs="Arial"/>
                <w:color w:val="0D0D0D" w:themeColor="text1" w:themeTint="F2"/>
                <w:spacing w:val="-2"/>
              </w:rPr>
              <w:t>. Zatímco v 1. loňském čtvrtletí z něj do SR doputovalo 79,2 mld. korun (většinou vztažených j</w:t>
            </w:r>
            <w:r w:rsidR="00E77FEA" w:rsidRPr="00AC39B0">
              <w:rPr>
                <w:rFonts w:cs="Arial"/>
                <w:color w:val="0D0D0D" w:themeColor="text1" w:themeTint="F2"/>
                <w:spacing w:val="-2"/>
              </w:rPr>
              <w:t>eště k programovému období 2007</w:t>
            </w:r>
            <w:r w:rsidR="00E77FEA" w:rsidRPr="00AC39B0">
              <w:rPr>
                <w:spacing w:val="-2"/>
              </w:rPr>
              <w:t>–</w:t>
            </w:r>
            <w:r w:rsidRPr="00AC39B0">
              <w:rPr>
                <w:rFonts w:cs="Arial"/>
                <w:color w:val="0D0D0D" w:themeColor="text1" w:themeTint="F2"/>
                <w:spacing w:val="-2"/>
              </w:rPr>
              <w:t>13), o rok později jen 26,5 mld. Dosud slabé čerpání v současném programovém období letos dokládá i rekordně nízký objem kapitálových výdajů. SR tak udržel v přebytku především přetrvávající růst ekonomiky, jenž podpořil výběr přímých daní, ale i DPH. Saldo SR, které tvoří rozhodující složku deficitu či přebytku sektoru vládních institucí, činilo letos ve vztahu k</w:t>
            </w:r>
            <w:r w:rsidRPr="00AC39B0">
              <w:rPr>
                <w:color w:val="0D0D0D" w:themeColor="text1" w:themeTint="F2"/>
                <w:spacing w:val="-2"/>
              </w:rPr>
              <w:t> </w:t>
            </w:r>
            <w:r w:rsidRPr="00AC39B0">
              <w:rPr>
                <w:rFonts w:cs="Arial"/>
                <w:color w:val="000000" w:themeColor="text1"/>
                <w:spacing w:val="-2"/>
              </w:rPr>
              <w:t>nominálnímu HDP +0,4 %. (o rok dříve +4,0 %).</w:t>
            </w:r>
          </w:p>
          <w:p w:rsidR="00424D9B" w:rsidRPr="00AC39B0" w:rsidRDefault="00424D9B" w:rsidP="00A0172C">
            <w:pPr>
              <w:pStyle w:val="Textpoznpodarou"/>
              <w:jc w:val="both"/>
              <w:rPr>
                <w:rFonts w:cs="Arial"/>
                <w:color w:val="0D0D0D" w:themeColor="text1" w:themeTint="F2"/>
                <w:spacing w:val="-2"/>
                <w:sz w:val="14"/>
                <w:szCs w:val="14"/>
              </w:rPr>
            </w:pPr>
          </w:p>
        </w:tc>
      </w:tr>
      <w:tr w:rsidR="00424D9B" w:rsidRPr="0094422D" w:rsidTr="00A0172C">
        <w:trPr>
          <w:trHeight w:val="145"/>
        </w:trPr>
        <w:tc>
          <w:tcPr>
            <w:tcW w:w="1016" w:type="pct"/>
            <w:shd w:val="clear" w:color="auto" w:fill="auto"/>
          </w:tcPr>
          <w:p w:rsidR="00424D9B" w:rsidRDefault="00424D9B" w:rsidP="00A0172C">
            <w:pPr>
              <w:spacing w:line="240" w:lineRule="auto"/>
              <w:rPr>
                <w:rFonts w:cs="Arial"/>
                <w:bCs/>
                <w:iCs/>
                <w:color w:val="0D0D0D" w:themeColor="text1" w:themeTint="F2"/>
                <w:spacing w:val="-2"/>
                <w:sz w:val="16"/>
                <w:szCs w:val="16"/>
              </w:rPr>
            </w:pPr>
            <w:r w:rsidRPr="001C4DD3">
              <w:rPr>
                <w:rFonts w:cs="Arial"/>
                <w:bCs/>
                <w:iCs/>
                <w:color w:val="0D0D0D" w:themeColor="text1" w:themeTint="F2"/>
                <w:spacing w:val="-2"/>
                <w:sz w:val="16"/>
                <w:szCs w:val="16"/>
              </w:rPr>
              <w:t xml:space="preserve">Výběr DPH na úrovni veřejných rozpočtů meziročně posílil o 8,6 %, </w:t>
            </w:r>
          </w:p>
          <w:p w:rsidR="00424D9B" w:rsidRPr="001C4DD3" w:rsidRDefault="00424D9B" w:rsidP="00A0172C">
            <w:pPr>
              <w:spacing w:line="240" w:lineRule="auto"/>
              <w:rPr>
                <w:rFonts w:cs="Arial"/>
                <w:color w:val="0D0D0D" w:themeColor="text1" w:themeTint="F2"/>
                <w:spacing w:val="-2"/>
                <w:sz w:val="16"/>
                <w:szCs w:val="16"/>
              </w:rPr>
            </w:pPr>
            <w:r>
              <w:rPr>
                <w:rFonts w:cs="Arial"/>
                <w:bCs/>
                <w:iCs/>
                <w:color w:val="0D0D0D" w:themeColor="text1" w:themeTint="F2"/>
                <w:spacing w:val="-2"/>
                <w:sz w:val="16"/>
                <w:szCs w:val="16"/>
              </w:rPr>
              <w:t xml:space="preserve">jeho tempo </w:t>
            </w:r>
            <w:r w:rsidRPr="001C4DD3">
              <w:rPr>
                <w:rFonts w:cs="Arial"/>
                <w:bCs/>
                <w:iCs/>
                <w:color w:val="0D0D0D" w:themeColor="text1" w:themeTint="F2"/>
                <w:spacing w:val="-2"/>
                <w:sz w:val="16"/>
                <w:szCs w:val="16"/>
              </w:rPr>
              <w:t xml:space="preserve">na rozdíl od loňského </w:t>
            </w:r>
            <w:r>
              <w:rPr>
                <w:rFonts w:cs="Arial"/>
                <w:bCs/>
                <w:iCs/>
                <w:color w:val="0D0D0D" w:themeColor="text1" w:themeTint="F2"/>
                <w:spacing w:val="-2"/>
                <w:sz w:val="16"/>
                <w:szCs w:val="16"/>
              </w:rPr>
              <w:t xml:space="preserve">roku zatím </w:t>
            </w:r>
            <w:r w:rsidRPr="001C4DD3">
              <w:rPr>
                <w:rFonts w:cs="Arial"/>
                <w:bCs/>
                <w:iCs/>
                <w:color w:val="0D0D0D" w:themeColor="text1" w:themeTint="F2"/>
                <w:spacing w:val="-2"/>
                <w:sz w:val="16"/>
                <w:szCs w:val="16"/>
              </w:rPr>
              <w:t>plnil</w:t>
            </w:r>
            <w:r>
              <w:rPr>
                <w:rFonts w:cs="Arial"/>
                <w:bCs/>
                <w:iCs/>
                <w:color w:val="0D0D0D" w:themeColor="text1" w:themeTint="F2"/>
                <w:spacing w:val="-2"/>
                <w:sz w:val="16"/>
                <w:szCs w:val="16"/>
              </w:rPr>
              <w:t>o rozpočtové</w:t>
            </w:r>
            <w:r w:rsidRPr="001C4DD3">
              <w:rPr>
                <w:rFonts w:cs="Arial"/>
                <w:bCs/>
                <w:iCs/>
                <w:color w:val="0D0D0D" w:themeColor="text1" w:themeTint="F2"/>
                <w:spacing w:val="-2"/>
                <w:sz w:val="16"/>
                <w:szCs w:val="16"/>
              </w:rPr>
              <w:t xml:space="preserve"> očekávání</w:t>
            </w:r>
            <w:r>
              <w:rPr>
                <w:rFonts w:cs="Arial"/>
                <w:bCs/>
                <w:iCs/>
                <w:color w:val="0D0D0D" w:themeColor="text1" w:themeTint="F2"/>
                <w:spacing w:val="-2"/>
                <w:sz w:val="16"/>
                <w:szCs w:val="16"/>
              </w:rPr>
              <w:t>.</w:t>
            </w:r>
          </w:p>
        </w:tc>
        <w:tc>
          <w:tcPr>
            <w:tcW w:w="144" w:type="pct"/>
          </w:tcPr>
          <w:p w:rsidR="00424D9B" w:rsidRPr="00A90EFD" w:rsidRDefault="00424D9B" w:rsidP="00A0172C">
            <w:pPr>
              <w:pStyle w:val="Textpoznpodarou"/>
              <w:jc w:val="both"/>
              <w:rPr>
                <w:rFonts w:cs="Arial"/>
                <w:color w:val="0D0D0D" w:themeColor="text1" w:themeTint="F2"/>
              </w:rPr>
            </w:pPr>
          </w:p>
        </w:tc>
        <w:tc>
          <w:tcPr>
            <w:tcW w:w="3840" w:type="pct"/>
          </w:tcPr>
          <w:p w:rsidR="00424D9B" w:rsidRPr="00AC39B0" w:rsidRDefault="00424D9B" w:rsidP="00A0172C">
            <w:pPr>
              <w:pStyle w:val="Textpoznpodarou"/>
              <w:jc w:val="both"/>
              <w:rPr>
                <w:rFonts w:cs="Arial"/>
                <w:color w:val="000000" w:themeColor="text1"/>
                <w:spacing w:val="-2"/>
              </w:rPr>
            </w:pPr>
            <w:r w:rsidRPr="00AC39B0">
              <w:rPr>
                <w:rFonts w:cs="Arial"/>
                <w:color w:val="000000" w:themeColor="text1"/>
                <w:spacing w:val="-2"/>
              </w:rPr>
              <w:t>Celostátní výběr váhově nejvýznamnější daně – DPH – meziročně posílil o 8,6 % (na úrovni SR o 7,4 %)</w:t>
            </w:r>
            <w:r w:rsidRPr="00AC39B0">
              <w:rPr>
                <w:rStyle w:val="Znakapoznpodarou"/>
                <w:color w:val="000000" w:themeColor="text1"/>
                <w:spacing w:val="-2"/>
              </w:rPr>
              <w:footnoteReference w:id="2"/>
            </w:r>
            <w:r w:rsidRPr="00AC39B0">
              <w:rPr>
                <w:rFonts w:cs="Arial"/>
                <w:color w:val="000000" w:themeColor="text1"/>
                <w:spacing w:val="-2"/>
              </w:rPr>
              <w:t>. Vysoká tempa souvisela s příznivým vývojem ekonomiky, který stimuloval podnikatelskou aktivitu a projevoval se m</w:t>
            </w:r>
            <w:r w:rsidR="00BA56C9" w:rsidRPr="00AC39B0">
              <w:rPr>
                <w:rFonts w:cs="Arial"/>
                <w:color w:val="000000" w:themeColor="text1"/>
                <w:spacing w:val="-2"/>
              </w:rPr>
              <w:t>j.</w:t>
            </w:r>
            <w:r w:rsidRPr="00AC39B0">
              <w:rPr>
                <w:rFonts w:cs="Arial"/>
                <w:color w:val="000000" w:themeColor="text1"/>
                <w:spacing w:val="-2"/>
              </w:rPr>
              <w:t xml:space="preserve"> svižným růstem výdajů na konečnou spotřebu (u domácností nominálně o 6,2 %, u vládních institucí o 5,4 %). Dílčí negativní dopad na výběr daně mělo snížení sazby DPH na stravovací služby, podobně jako meziroční redukce zadržované částky prověřovaných nadměrných odpočtů DPH. Letošní růst inkasa DPH ovlivňuje i fakt, že jeho loňský výběr (na rozdíl od ostatních objemově významných daní) těsně nenaplnil rozpočtová očekávání. </w:t>
            </w:r>
          </w:p>
          <w:p w:rsidR="00424D9B" w:rsidRPr="00AC39B0" w:rsidRDefault="00424D9B" w:rsidP="00A0172C">
            <w:pPr>
              <w:pStyle w:val="Textpoznpodarou"/>
              <w:jc w:val="both"/>
              <w:rPr>
                <w:rFonts w:cs="Arial"/>
                <w:color w:val="000000" w:themeColor="text1"/>
                <w:spacing w:val="-2"/>
                <w:sz w:val="14"/>
                <w:szCs w:val="14"/>
              </w:rPr>
            </w:pPr>
          </w:p>
        </w:tc>
      </w:tr>
      <w:tr w:rsidR="00424D9B" w:rsidRPr="00AD0FC0" w:rsidTr="00A0172C">
        <w:trPr>
          <w:trHeight w:val="145"/>
        </w:trPr>
        <w:tc>
          <w:tcPr>
            <w:tcW w:w="1016" w:type="pct"/>
            <w:shd w:val="clear" w:color="auto" w:fill="auto"/>
          </w:tcPr>
          <w:p w:rsidR="00424D9B" w:rsidRPr="00585580" w:rsidRDefault="00424D9B" w:rsidP="00A0172C">
            <w:pPr>
              <w:spacing w:line="240" w:lineRule="auto"/>
              <w:rPr>
                <w:rFonts w:cs="Arial"/>
                <w:bCs/>
                <w:iCs/>
                <w:color w:val="0D0D0D" w:themeColor="text1" w:themeTint="F2"/>
                <w:spacing w:val="-2"/>
                <w:sz w:val="16"/>
                <w:szCs w:val="16"/>
              </w:rPr>
            </w:pPr>
            <w:r w:rsidRPr="00585580">
              <w:rPr>
                <w:rFonts w:cs="Arial"/>
                <w:bCs/>
                <w:iCs/>
                <w:color w:val="0D0D0D" w:themeColor="text1" w:themeTint="F2"/>
                <w:sz w:val="16"/>
                <w:szCs w:val="16"/>
              </w:rPr>
              <w:t>Výběr spotřebních daní mírně rostl, neboť snížení inkasa u tabákových výrobků (vyvolané administrativními vlivy) bylo plně kompenzováno svižnějším růstem u váhově dominantní daně z minerálních olejů</w:t>
            </w:r>
            <w:r>
              <w:rPr>
                <w:rFonts w:cs="Arial"/>
                <w:bCs/>
                <w:iCs/>
                <w:color w:val="0D0D0D" w:themeColor="text1" w:themeTint="F2"/>
                <w:sz w:val="16"/>
                <w:szCs w:val="16"/>
              </w:rPr>
              <w:t>.</w:t>
            </w:r>
          </w:p>
        </w:tc>
        <w:tc>
          <w:tcPr>
            <w:tcW w:w="144" w:type="pct"/>
          </w:tcPr>
          <w:p w:rsidR="00424D9B" w:rsidRPr="00A90EFD" w:rsidRDefault="00424D9B" w:rsidP="00A0172C">
            <w:pPr>
              <w:pStyle w:val="Textpoznpodarou"/>
              <w:jc w:val="both"/>
              <w:rPr>
                <w:rFonts w:cs="Arial"/>
                <w:color w:val="0D0D0D" w:themeColor="text1" w:themeTint="F2"/>
              </w:rPr>
            </w:pPr>
          </w:p>
        </w:tc>
        <w:tc>
          <w:tcPr>
            <w:tcW w:w="3840" w:type="pct"/>
          </w:tcPr>
          <w:p w:rsidR="00424D9B" w:rsidRPr="00AC39B0" w:rsidRDefault="00424D9B" w:rsidP="00A0172C">
            <w:pPr>
              <w:pStyle w:val="Textpoznpodarou"/>
              <w:jc w:val="both"/>
              <w:rPr>
                <w:rFonts w:cs="Arial"/>
                <w:color w:val="0D0D0D" w:themeColor="text1" w:themeTint="F2"/>
                <w:spacing w:val="-2"/>
              </w:rPr>
            </w:pPr>
            <w:r w:rsidRPr="00AC39B0">
              <w:rPr>
                <w:rFonts w:cs="Arial"/>
                <w:color w:val="0D0D0D" w:themeColor="text1" w:themeTint="F2"/>
                <w:spacing w:val="-2"/>
              </w:rPr>
              <w:t>Ze spotřebních daní získal stát meziročně o 2,1 % více (za celý loňský rok o 5,2 %). Slabší letošní výsledek byl ovlivněn snížením inkasa daně z tabákových výrobků působením administrativních vlivů</w:t>
            </w:r>
            <w:r w:rsidRPr="00AC39B0">
              <w:rPr>
                <w:rStyle w:val="Znakapoznpodarou"/>
                <w:color w:val="0D0D0D" w:themeColor="text1" w:themeTint="F2"/>
                <w:spacing w:val="-2"/>
              </w:rPr>
              <w:footnoteReference w:id="3"/>
            </w:r>
            <w:r w:rsidRPr="00AC39B0">
              <w:rPr>
                <w:rFonts w:cs="Arial"/>
                <w:color w:val="0D0D0D" w:themeColor="text1" w:themeTint="F2"/>
                <w:spacing w:val="-2"/>
              </w:rPr>
              <w:t>. Šlo zároveň o jedinou objemově významnější daň, u níž letošní dynamika inkasa zaostávala za rozpočtovým očekáváním. Dařilo se naopak výběru klíčové spotřební daně  z minerálních olejů, jenž posílil o 6,9 %. Projevil se zde vliv rostoucích výkonů osobní i nákladní dopravy s následným dopadem do spotřeby motorové nafty i benzínu. Z váhově méně významných daní se navýšilo inkaso energetických daní (vlivem chladnější zimy), rostl i výběr spotřební daně z piva (u lihu pouze stagnoval).</w:t>
            </w:r>
          </w:p>
          <w:p w:rsidR="00424D9B" w:rsidRPr="00AC39B0" w:rsidRDefault="00424D9B" w:rsidP="00A0172C">
            <w:pPr>
              <w:pStyle w:val="Textpoznpodarou"/>
              <w:jc w:val="both"/>
              <w:rPr>
                <w:rFonts w:cs="Arial"/>
                <w:color w:val="0D0D0D" w:themeColor="text1" w:themeTint="F2"/>
                <w:spacing w:val="-2"/>
                <w:sz w:val="14"/>
                <w:szCs w:val="14"/>
              </w:rPr>
            </w:pPr>
          </w:p>
        </w:tc>
      </w:tr>
      <w:tr w:rsidR="00424D9B" w:rsidRPr="00F06A1D" w:rsidTr="00F853A5">
        <w:trPr>
          <w:trHeight w:val="145"/>
        </w:trPr>
        <w:tc>
          <w:tcPr>
            <w:tcW w:w="1016" w:type="pct"/>
            <w:shd w:val="clear" w:color="auto" w:fill="auto"/>
          </w:tcPr>
          <w:p w:rsidR="00424D9B" w:rsidRPr="00D02B7C" w:rsidRDefault="00424D9B" w:rsidP="00A0172C">
            <w:pPr>
              <w:spacing w:line="240" w:lineRule="auto"/>
              <w:rPr>
                <w:rFonts w:cs="Arial"/>
                <w:bCs/>
                <w:iCs/>
                <w:color w:val="0D0D0D" w:themeColor="text1" w:themeTint="F2"/>
                <w:sz w:val="16"/>
                <w:szCs w:val="16"/>
              </w:rPr>
            </w:pPr>
            <w:r>
              <w:rPr>
                <w:rFonts w:cs="Arial"/>
                <w:bCs/>
                <w:iCs/>
                <w:color w:val="0D0D0D" w:themeColor="text1" w:themeTint="F2"/>
                <w:sz w:val="16"/>
                <w:szCs w:val="16"/>
              </w:rPr>
              <w:t>Dobrá finanční situace podniků udržovala výběr korporátní daně výrazně nad rozpočtovým očekáváním.</w:t>
            </w:r>
          </w:p>
        </w:tc>
        <w:tc>
          <w:tcPr>
            <w:tcW w:w="144" w:type="pct"/>
          </w:tcPr>
          <w:p w:rsidR="00424D9B" w:rsidRPr="00A90EFD" w:rsidRDefault="00424D9B" w:rsidP="00A0172C">
            <w:pPr>
              <w:pStyle w:val="Textpoznpodarou"/>
              <w:jc w:val="both"/>
              <w:rPr>
                <w:rFonts w:cs="Arial"/>
                <w:color w:val="0D0D0D" w:themeColor="text1" w:themeTint="F2"/>
              </w:rPr>
            </w:pPr>
          </w:p>
        </w:tc>
        <w:tc>
          <w:tcPr>
            <w:tcW w:w="3840" w:type="pct"/>
          </w:tcPr>
          <w:p w:rsidR="00424D9B" w:rsidRPr="00AC39B0" w:rsidRDefault="00424D9B" w:rsidP="00A0172C">
            <w:pPr>
              <w:pStyle w:val="Textpoznpodarou"/>
              <w:jc w:val="both"/>
              <w:rPr>
                <w:rFonts w:cs="Arial"/>
                <w:color w:val="0D0D0D" w:themeColor="text1" w:themeTint="F2"/>
                <w:spacing w:val="-2"/>
              </w:rPr>
            </w:pPr>
            <w:r w:rsidRPr="00AC39B0">
              <w:rPr>
                <w:rFonts w:cs="Arial"/>
                <w:color w:val="0D0D0D" w:themeColor="text1" w:themeTint="F2"/>
                <w:spacing w:val="-2"/>
              </w:rPr>
              <w:t>Celostátní výběr korporátních daní pokračoval v silném růstu z předchozích dvou let. Ve</w:t>
            </w:r>
            <w:r w:rsidR="00F4351C" w:rsidRPr="00AC39B0">
              <w:rPr>
                <w:rFonts w:cs="Arial"/>
                <w:color w:val="0D0D0D" w:themeColor="text1" w:themeTint="F2"/>
                <w:spacing w:val="-2"/>
              </w:rPr>
              <w:t xml:space="preserve"> srovnání s 1. loňským čtvrtlet</w:t>
            </w:r>
            <w:r w:rsidRPr="00AC39B0">
              <w:rPr>
                <w:rFonts w:cs="Arial"/>
                <w:color w:val="0D0D0D" w:themeColor="text1" w:themeTint="F2"/>
                <w:spacing w:val="-2"/>
              </w:rPr>
              <w:t>ím posílil o 10,2 %. Jeho letošní výběr zároveň poprvé převýšil dosavadní předkrizové maximum (1. čtvrtletí 2008), když překonal vliv silného propadu z roku 2009 i následného snížení sazeb daně (z 21 % na současných 19 %). Loňská i dosavadní letošní</w:t>
            </w:r>
            <w:r w:rsidRPr="00AC39B0">
              <w:rPr>
                <w:rStyle w:val="Znakapoznpodarou"/>
                <w:color w:val="0D0D0D" w:themeColor="text1" w:themeTint="F2"/>
                <w:spacing w:val="-2"/>
              </w:rPr>
              <w:footnoteReference w:id="4"/>
            </w:r>
            <w:r w:rsidRPr="00AC39B0">
              <w:rPr>
                <w:rFonts w:cs="Arial"/>
                <w:color w:val="0D0D0D" w:themeColor="text1" w:themeTint="F2"/>
                <w:spacing w:val="-2"/>
              </w:rPr>
              <w:t xml:space="preserve"> tempa výběru výrazně překračovala rozpočtová očekávání a dokládala přetrvávající vysokou míru ziskovosti podniků.</w:t>
            </w:r>
          </w:p>
          <w:p w:rsidR="00424D9B" w:rsidRPr="00AC39B0" w:rsidRDefault="00424D9B" w:rsidP="00A0172C">
            <w:pPr>
              <w:pStyle w:val="Textpoznpodarou"/>
              <w:jc w:val="both"/>
              <w:rPr>
                <w:rFonts w:cs="Arial"/>
                <w:color w:val="0D0D0D" w:themeColor="text1" w:themeTint="F2"/>
                <w:spacing w:val="-2"/>
                <w:sz w:val="14"/>
                <w:szCs w:val="14"/>
              </w:rPr>
            </w:pPr>
          </w:p>
        </w:tc>
      </w:tr>
      <w:tr w:rsidR="00424D9B" w:rsidRPr="0094422D" w:rsidTr="00F853A5">
        <w:trPr>
          <w:trHeight w:val="145"/>
        </w:trPr>
        <w:tc>
          <w:tcPr>
            <w:tcW w:w="1016" w:type="pct"/>
            <w:shd w:val="clear" w:color="auto" w:fill="auto"/>
          </w:tcPr>
          <w:p w:rsidR="00424D9B" w:rsidRPr="00F4351C" w:rsidRDefault="00424D9B" w:rsidP="00A0172C">
            <w:pPr>
              <w:spacing w:line="240" w:lineRule="auto"/>
              <w:rPr>
                <w:rFonts w:cs="Arial"/>
                <w:bCs/>
                <w:iCs/>
                <w:color w:val="0D0D0D" w:themeColor="text1" w:themeTint="F2"/>
                <w:spacing w:val="-2"/>
                <w:sz w:val="16"/>
                <w:szCs w:val="16"/>
              </w:rPr>
            </w:pPr>
            <w:r w:rsidRPr="00F4351C">
              <w:rPr>
                <w:rFonts w:cs="Arial"/>
                <w:bCs/>
                <w:iCs/>
                <w:color w:val="0D0D0D" w:themeColor="text1" w:themeTint="F2"/>
                <w:spacing w:val="-2"/>
                <w:sz w:val="16"/>
                <w:szCs w:val="16"/>
              </w:rPr>
              <w:t xml:space="preserve">Inkaso daně z příjmů fyzických osob ze závislé činnosti těžilo z příznivé </w:t>
            </w:r>
            <w:r w:rsidR="00F4351C" w:rsidRPr="00F4351C">
              <w:rPr>
                <w:rFonts w:cs="Arial"/>
                <w:bCs/>
                <w:iCs/>
                <w:color w:val="0D0D0D" w:themeColor="text1" w:themeTint="F2"/>
                <w:spacing w:val="-2"/>
                <w:sz w:val="16"/>
                <w:szCs w:val="16"/>
              </w:rPr>
              <w:t>situace na pracovním trhu, v 1. </w:t>
            </w:r>
            <w:r w:rsidRPr="00F4351C">
              <w:rPr>
                <w:rFonts w:cs="Arial"/>
                <w:bCs/>
                <w:iCs/>
                <w:color w:val="0D0D0D" w:themeColor="text1" w:themeTint="F2"/>
                <w:spacing w:val="-2"/>
                <w:sz w:val="16"/>
                <w:szCs w:val="16"/>
              </w:rPr>
              <w:t>čtvrtletí rostlo druhým nejvyšším tempem od konce roku 2009.</w:t>
            </w:r>
          </w:p>
        </w:tc>
        <w:tc>
          <w:tcPr>
            <w:tcW w:w="144" w:type="pct"/>
          </w:tcPr>
          <w:p w:rsidR="00424D9B" w:rsidRPr="00807B25" w:rsidRDefault="00424D9B" w:rsidP="00A0172C">
            <w:pPr>
              <w:pStyle w:val="Textpoznpodarou"/>
              <w:jc w:val="both"/>
              <w:rPr>
                <w:rFonts w:cs="Arial"/>
                <w:color w:val="0D0D0D" w:themeColor="text1" w:themeTint="F2"/>
                <w:spacing w:val="-4"/>
              </w:rPr>
            </w:pPr>
          </w:p>
        </w:tc>
        <w:tc>
          <w:tcPr>
            <w:tcW w:w="3840" w:type="pct"/>
          </w:tcPr>
          <w:p w:rsidR="00424D9B" w:rsidRPr="00AC39B0" w:rsidRDefault="00424D9B" w:rsidP="00A0172C">
            <w:pPr>
              <w:pStyle w:val="Textpoznpodarou"/>
              <w:jc w:val="both"/>
              <w:rPr>
                <w:rFonts w:cs="Arial"/>
                <w:spacing w:val="-2"/>
              </w:rPr>
            </w:pPr>
            <w:r w:rsidRPr="00AC39B0">
              <w:rPr>
                <w:rFonts w:cs="Arial"/>
                <w:spacing w:val="-2"/>
              </w:rPr>
              <w:t>Na dani z příjmu fyzických osob (DPFO) ze závislé činnosti inkasoval stát meziročně o desetinu více. Ve výběru se plně projevovala příznivá situace na trhu práce (vysoký růst zaměstnanosti, navyšování průměrných mezd ve firemní sféře i v odvětvích s dominancí státu). Meziročně příznivější byl letos i celostátní výběr DPFO ze samostatné výdělečné činnosti, který do značné míry odráží finanční situaci drobných podnikatelů</w:t>
            </w:r>
            <w:r w:rsidRPr="00AC39B0">
              <w:rPr>
                <w:rStyle w:val="Znakapoznpodarou"/>
                <w:spacing w:val="-2"/>
              </w:rPr>
              <w:footnoteReference w:id="5"/>
            </w:r>
            <w:r w:rsidRPr="00AC39B0">
              <w:rPr>
                <w:rFonts w:cs="Arial"/>
                <w:spacing w:val="-2"/>
              </w:rPr>
              <w:t xml:space="preserve">. </w:t>
            </w:r>
          </w:p>
          <w:p w:rsidR="00424D9B" w:rsidRPr="00AC39B0" w:rsidRDefault="00424D9B" w:rsidP="00A0172C">
            <w:pPr>
              <w:pStyle w:val="Textpoznpodarou"/>
              <w:jc w:val="both"/>
              <w:rPr>
                <w:rFonts w:cs="Arial"/>
                <w:spacing w:val="-2"/>
                <w:sz w:val="14"/>
                <w:szCs w:val="14"/>
              </w:rPr>
            </w:pPr>
          </w:p>
        </w:tc>
      </w:tr>
      <w:tr w:rsidR="00BF7F08" w:rsidRPr="0094422D" w:rsidTr="00A0172C">
        <w:trPr>
          <w:trHeight w:val="145"/>
        </w:trPr>
        <w:tc>
          <w:tcPr>
            <w:tcW w:w="1016" w:type="pct"/>
            <w:shd w:val="clear" w:color="auto" w:fill="auto"/>
          </w:tcPr>
          <w:p w:rsidR="00BF7F08" w:rsidRPr="006B23FE" w:rsidRDefault="00F4351C" w:rsidP="00A0172C">
            <w:pPr>
              <w:spacing w:line="240" w:lineRule="auto"/>
              <w:rPr>
                <w:rFonts w:cs="Arial"/>
                <w:bCs/>
                <w:iCs/>
                <w:color w:val="0D0D0D" w:themeColor="text1" w:themeTint="F2"/>
                <w:sz w:val="16"/>
                <w:szCs w:val="16"/>
              </w:rPr>
            </w:pPr>
            <w:r>
              <w:rPr>
                <w:rFonts w:cs="Arial"/>
                <w:bCs/>
                <w:iCs/>
                <w:color w:val="0D0D0D" w:themeColor="text1" w:themeTint="F2"/>
                <w:sz w:val="16"/>
                <w:szCs w:val="16"/>
              </w:rPr>
              <w:t>V</w:t>
            </w:r>
            <w:r w:rsidR="00BF7F08" w:rsidRPr="006B23FE">
              <w:rPr>
                <w:rFonts w:cs="Arial"/>
                <w:bCs/>
                <w:iCs/>
                <w:color w:val="0D0D0D" w:themeColor="text1" w:themeTint="F2"/>
                <w:sz w:val="16"/>
                <w:szCs w:val="16"/>
              </w:rPr>
              <w:t>ysoká růstová tempa celkov</w:t>
            </w:r>
            <w:r w:rsidR="00BF7F08">
              <w:rPr>
                <w:rFonts w:cs="Arial"/>
                <w:bCs/>
                <w:iCs/>
                <w:color w:val="0D0D0D" w:themeColor="text1" w:themeTint="F2"/>
                <w:sz w:val="16"/>
                <w:szCs w:val="16"/>
              </w:rPr>
              <w:t>ých daň</w:t>
            </w:r>
            <w:r>
              <w:rPr>
                <w:rFonts w:cs="Arial"/>
                <w:bCs/>
                <w:iCs/>
                <w:color w:val="0D0D0D" w:themeColor="text1" w:themeTint="F2"/>
                <w:sz w:val="16"/>
                <w:szCs w:val="16"/>
              </w:rPr>
              <w:t>ových příjmů</w:t>
            </w:r>
            <w:r w:rsidR="00BF7F08" w:rsidRPr="006B23FE">
              <w:rPr>
                <w:rFonts w:cs="Arial"/>
                <w:bCs/>
                <w:iCs/>
                <w:color w:val="0D0D0D" w:themeColor="text1" w:themeTint="F2"/>
                <w:sz w:val="16"/>
                <w:szCs w:val="16"/>
              </w:rPr>
              <w:t xml:space="preserve"> kontrastovala </w:t>
            </w:r>
            <w:r w:rsidR="00BF7F08">
              <w:rPr>
                <w:rFonts w:cs="Arial"/>
                <w:bCs/>
                <w:iCs/>
                <w:color w:val="0D0D0D" w:themeColor="text1" w:themeTint="F2"/>
                <w:sz w:val="16"/>
                <w:szCs w:val="16"/>
              </w:rPr>
              <w:t>s nízkými toky z rozpočtu EU.</w:t>
            </w:r>
          </w:p>
        </w:tc>
        <w:tc>
          <w:tcPr>
            <w:tcW w:w="144" w:type="pct"/>
          </w:tcPr>
          <w:p w:rsidR="00BF7F08" w:rsidRPr="00807B25" w:rsidRDefault="00BF7F08" w:rsidP="00A0172C">
            <w:pPr>
              <w:pStyle w:val="Textpoznpodarou"/>
              <w:jc w:val="both"/>
              <w:rPr>
                <w:rFonts w:cs="Arial"/>
                <w:color w:val="0D0D0D" w:themeColor="text1" w:themeTint="F2"/>
                <w:spacing w:val="-4"/>
              </w:rPr>
            </w:pPr>
          </w:p>
        </w:tc>
        <w:tc>
          <w:tcPr>
            <w:tcW w:w="3840" w:type="pct"/>
          </w:tcPr>
          <w:p w:rsidR="00BF7F08" w:rsidRPr="00AC39B0" w:rsidRDefault="00BF7F08" w:rsidP="00A0172C">
            <w:pPr>
              <w:pStyle w:val="Textpoznpodarou"/>
              <w:jc w:val="both"/>
              <w:rPr>
                <w:rFonts w:cs="Arial"/>
                <w:color w:val="0D0D0D" w:themeColor="text1" w:themeTint="F2"/>
                <w:spacing w:val="-2"/>
              </w:rPr>
            </w:pPr>
            <w:r w:rsidRPr="00AC39B0">
              <w:rPr>
                <w:rFonts w:cs="Arial"/>
                <w:color w:val="0D0D0D" w:themeColor="text1" w:themeTint="F2"/>
                <w:spacing w:val="-2"/>
              </w:rPr>
              <w:t>Celkové daňov</w:t>
            </w:r>
            <w:r w:rsidR="00F4351C" w:rsidRPr="00AC39B0">
              <w:rPr>
                <w:rFonts w:cs="Arial"/>
                <w:color w:val="0D0D0D" w:themeColor="text1" w:themeTint="F2"/>
                <w:spacing w:val="-2"/>
              </w:rPr>
              <w:t>é příjmy (vč. pojistného na sociálním</w:t>
            </w:r>
            <w:r w:rsidRPr="00AC39B0">
              <w:rPr>
                <w:rFonts w:cs="Arial"/>
                <w:color w:val="0D0D0D" w:themeColor="text1" w:themeTint="F2"/>
                <w:spacing w:val="-2"/>
              </w:rPr>
              <w:t xml:space="preserve"> zabezpečení) v 1. čtvrtletí meziročně posílily o 7,5 %, téměř dvojnásobným tempem než celoroční rozpočtové očekávání. To neb</w:t>
            </w:r>
            <w:r w:rsidR="00F4351C" w:rsidRPr="00AC39B0">
              <w:rPr>
                <w:rFonts w:cs="Arial"/>
                <w:color w:val="0D0D0D" w:themeColor="text1" w:themeTint="F2"/>
                <w:spacing w:val="-2"/>
              </w:rPr>
              <w:t>ylo naplněno u nedaňových a ostatních</w:t>
            </w:r>
            <w:r w:rsidRPr="00AC39B0">
              <w:rPr>
                <w:rFonts w:cs="Arial"/>
                <w:color w:val="0D0D0D" w:themeColor="text1" w:themeTint="F2"/>
                <w:spacing w:val="-2"/>
              </w:rPr>
              <w:t xml:space="preserve"> příjmů, za jejichž prudkým meziročním poklesem (o 53 mld. korun) stál výpadek příjmů z rozpočtu EU. Z něj bylo letos nejvíce získáno na společnou zemědělskou politiku (17,3 mld.). Na krytí </w:t>
            </w:r>
            <w:r w:rsidRPr="00AC39B0">
              <w:rPr>
                <w:rFonts w:cs="Arial"/>
                <w:color w:val="0D0D0D" w:themeColor="text1" w:themeTint="F2"/>
                <w:spacing w:val="-2"/>
              </w:rPr>
              <w:lastRenderedPageBreak/>
              <w:t>vý</w:t>
            </w:r>
            <w:r w:rsidR="00F4351C" w:rsidRPr="00AC39B0">
              <w:rPr>
                <w:rFonts w:cs="Arial"/>
                <w:color w:val="0D0D0D" w:themeColor="text1" w:themeTint="F2"/>
                <w:spacing w:val="-2"/>
              </w:rPr>
              <w:t>dajů, jimiž SR předfinancoval operační programy</w:t>
            </w:r>
            <w:r w:rsidRPr="00AC39B0">
              <w:rPr>
                <w:rFonts w:cs="Arial"/>
                <w:color w:val="0D0D0D" w:themeColor="text1" w:themeTint="F2"/>
                <w:spacing w:val="-2"/>
              </w:rPr>
              <w:t xml:space="preserve"> ze současného programového období, pak přišlo 6,3 mld. </w:t>
            </w:r>
          </w:p>
          <w:p w:rsidR="00BF7F08" w:rsidRPr="00AC39B0" w:rsidRDefault="00BF7F08" w:rsidP="00A0172C">
            <w:pPr>
              <w:pStyle w:val="Textpoznpodarou"/>
              <w:jc w:val="both"/>
              <w:rPr>
                <w:rFonts w:cs="Arial"/>
                <w:color w:val="0D0D0D" w:themeColor="text1" w:themeTint="F2"/>
                <w:spacing w:val="-2"/>
                <w:sz w:val="6"/>
                <w:szCs w:val="6"/>
              </w:rPr>
            </w:pPr>
          </w:p>
        </w:tc>
      </w:tr>
    </w:tbl>
    <w:p w:rsidR="00BF7F08" w:rsidRDefault="00BF7F08" w:rsidP="008A03DE">
      <w:pPr>
        <w:pStyle w:val="Textpoznpodarou"/>
        <w:jc w:val="both"/>
        <w:rPr>
          <w:rFonts w:cs="Arial"/>
          <w:color w:val="000000"/>
          <w:spacing w:val="-2"/>
          <w:sz w:val="18"/>
          <w:szCs w:val="18"/>
        </w:rPr>
      </w:pPr>
    </w:p>
    <w:tbl>
      <w:tblPr>
        <w:tblW w:w="4963" w:type="pct"/>
        <w:tblInd w:w="108" w:type="dxa"/>
        <w:tblLayout w:type="fixed"/>
        <w:tblLook w:val="00A0"/>
      </w:tblPr>
      <w:tblGrid>
        <w:gridCol w:w="1997"/>
        <w:gridCol w:w="284"/>
        <w:gridCol w:w="1119"/>
        <w:gridCol w:w="6381"/>
      </w:tblGrid>
      <w:tr w:rsidR="0007324C" w:rsidRPr="00AA4A76" w:rsidTr="00A0172C">
        <w:trPr>
          <w:trHeight w:val="145"/>
        </w:trPr>
        <w:tc>
          <w:tcPr>
            <w:tcW w:w="1021" w:type="pct"/>
            <w:shd w:val="clear" w:color="auto" w:fill="auto"/>
          </w:tcPr>
          <w:p w:rsidR="0007324C" w:rsidRPr="00AA4A76" w:rsidRDefault="0007324C" w:rsidP="00A0172C">
            <w:pPr>
              <w:spacing w:line="240" w:lineRule="auto"/>
              <w:jc w:val="center"/>
              <w:rPr>
                <w:color w:val="000000"/>
                <w:szCs w:val="20"/>
              </w:rPr>
            </w:pPr>
          </w:p>
        </w:tc>
        <w:tc>
          <w:tcPr>
            <w:tcW w:w="145" w:type="pct"/>
          </w:tcPr>
          <w:p w:rsidR="0007324C" w:rsidRPr="00AA4A76" w:rsidRDefault="0007324C" w:rsidP="00A0172C">
            <w:pPr>
              <w:pStyle w:val="Textpoznpodarou"/>
              <w:jc w:val="both"/>
              <w:rPr>
                <w:highlight w:val="yellow"/>
              </w:rPr>
            </w:pPr>
          </w:p>
        </w:tc>
        <w:tc>
          <w:tcPr>
            <w:tcW w:w="572" w:type="pct"/>
          </w:tcPr>
          <w:p w:rsidR="0007324C" w:rsidRPr="00AA4A76" w:rsidRDefault="0007324C" w:rsidP="00A0172C">
            <w:pPr>
              <w:pStyle w:val="Textpoznpodarou"/>
              <w:jc w:val="both"/>
              <w:rPr>
                <w:highlight w:val="yellow"/>
              </w:rPr>
            </w:pPr>
            <w:r>
              <w:rPr>
                <w:color w:val="000000"/>
              </w:rPr>
              <w:t>Graf č. 19</w:t>
            </w:r>
          </w:p>
        </w:tc>
        <w:tc>
          <w:tcPr>
            <w:tcW w:w="3262" w:type="pct"/>
          </w:tcPr>
          <w:p w:rsidR="00535F78" w:rsidRDefault="0007324C" w:rsidP="0007324C">
            <w:pPr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/>
                <w:bCs/>
              </w:rPr>
              <w:t xml:space="preserve">Celostátní inkasa </w:t>
            </w:r>
            <w:r w:rsidR="00535F78">
              <w:rPr>
                <w:rFonts w:cs="Arial"/>
                <w:b/>
                <w:bCs/>
              </w:rPr>
              <w:t xml:space="preserve">vybraných </w:t>
            </w:r>
            <w:r>
              <w:rPr>
                <w:rFonts w:cs="Arial"/>
                <w:b/>
                <w:bCs/>
              </w:rPr>
              <w:t xml:space="preserve">daňových příjmů </w:t>
            </w:r>
            <w:r w:rsidR="00535F78">
              <w:rPr>
                <w:rFonts w:cs="Arial"/>
                <w:bCs/>
              </w:rPr>
              <w:t>(</w:t>
            </w:r>
            <w:r w:rsidR="00535F78" w:rsidRPr="00E62A33">
              <w:rPr>
                <w:spacing w:val="-2"/>
              </w:rPr>
              <w:t>meziročně</w:t>
            </w:r>
            <w:r w:rsidR="00535F78" w:rsidRPr="00E62A33">
              <w:rPr>
                <w:bCs/>
                <w:spacing w:val="-2"/>
              </w:rPr>
              <w:t xml:space="preserve"> v %)</w:t>
            </w:r>
            <w:r>
              <w:rPr>
                <w:rFonts w:cs="Arial"/>
                <w:bCs/>
              </w:rPr>
              <w:t xml:space="preserve"> </w:t>
            </w:r>
          </w:p>
          <w:p w:rsidR="0007324C" w:rsidRPr="0007324C" w:rsidRDefault="0007324C" w:rsidP="0007324C">
            <w:pPr>
              <w:spacing w:line="240" w:lineRule="auto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a saldo státního rozpočtu</w:t>
            </w:r>
            <w:r>
              <w:t xml:space="preserve"> </w:t>
            </w:r>
            <w:r>
              <w:rPr>
                <w:rFonts w:cs="Arial"/>
                <w:bCs/>
              </w:rPr>
              <w:t xml:space="preserve">(v mld. korun) </w:t>
            </w:r>
            <w:r w:rsidRPr="006808C5">
              <w:rPr>
                <w:rFonts w:cs="Arial"/>
                <w:b/>
                <w:bCs/>
              </w:rPr>
              <w:t>v 1. čtvrtletích roku</w:t>
            </w:r>
            <w:r>
              <w:rPr>
                <w:rFonts w:cs="Arial"/>
                <w:b/>
                <w:bCs/>
              </w:rPr>
              <w:t xml:space="preserve"> </w:t>
            </w:r>
          </w:p>
        </w:tc>
      </w:tr>
      <w:tr w:rsidR="0007324C" w:rsidRPr="00AA4A76" w:rsidTr="00A0172C">
        <w:trPr>
          <w:trHeight w:val="145"/>
        </w:trPr>
        <w:tc>
          <w:tcPr>
            <w:tcW w:w="1021" w:type="pct"/>
            <w:shd w:val="clear" w:color="auto" w:fill="auto"/>
          </w:tcPr>
          <w:p w:rsidR="0007324C" w:rsidRPr="006D3F53" w:rsidRDefault="0007324C" w:rsidP="00A0172C">
            <w:pPr>
              <w:spacing w:line="240" w:lineRule="auto"/>
              <w:rPr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45" w:type="pct"/>
          </w:tcPr>
          <w:p w:rsidR="0007324C" w:rsidRPr="00A74192" w:rsidRDefault="0007324C" w:rsidP="00A0172C">
            <w:pPr>
              <w:pStyle w:val="Textpoznpodarou"/>
              <w:jc w:val="both"/>
            </w:pPr>
          </w:p>
        </w:tc>
        <w:tc>
          <w:tcPr>
            <w:tcW w:w="3833" w:type="pct"/>
            <w:gridSpan w:val="2"/>
          </w:tcPr>
          <w:p w:rsidR="0007324C" w:rsidRDefault="00535F78" w:rsidP="00A0172C">
            <w:pPr>
              <w:pStyle w:val="Textpoznpodarou"/>
              <w:ind w:left="-124"/>
              <w:jc w:val="both"/>
              <w:rPr>
                <w:sz w:val="16"/>
                <w:szCs w:val="16"/>
              </w:rPr>
            </w:pPr>
            <w:r w:rsidRPr="00535F78">
              <w:rPr>
                <w:noProof/>
                <w:sz w:val="16"/>
                <w:szCs w:val="16"/>
              </w:rPr>
              <w:drawing>
                <wp:inline distT="0" distB="0" distL="0" distR="0">
                  <wp:extent cx="4737600" cy="3553200"/>
                  <wp:effectExtent l="19050" t="0" r="5850" b="0"/>
                  <wp:docPr id="14" name="Graf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</w:p>
          <w:p w:rsidR="0007324C" w:rsidRPr="00535F78" w:rsidRDefault="0007324C" w:rsidP="00A0172C">
            <w:pPr>
              <w:pStyle w:val="Textpoznpodarou"/>
              <w:ind w:left="-124"/>
              <w:jc w:val="right"/>
              <w:rPr>
                <w:sz w:val="14"/>
                <w:szCs w:val="14"/>
              </w:rPr>
            </w:pPr>
            <w:r w:rsidRPr="00535F78">
              <w:rPr>
                <w:rFonts w:cs="Arial"/>
                <w:sz w:val="14"/>
                <w:szCs w:val="14"/>
              </w:rPr>
              <w:t>Zdroj: MF ČR</w:t>
            </w:r>
          </w:p>
        </w:tc>
      </w:tr>
    </w:tbl>
    <w:p w:rsidR="0007324C" w:rsidRPr="0007324C" w:rsidRDefault="0007324C" w:rsidP="008A03DE">
      <w:pPr>
        <w:pStyle w:val="Textpoznpodarou"/>
        <w:jc w:val="both"/>
        <w:rPr>
          <w:rFonts w:cs="Arial"/>
          <w:color w:val="000000"/>
          <w:spacing w:val="-2"/>
          <w:sz w:val="18"/>
          <w:szCs w:val="18"/>
        </w:rPr>
      </w:pPr>
    </w:p>
    <w:tbl>
      <w:tblPr>
        <w:tblW w:w="4995" w:type="pct"/>
        <w:tblInd w:w="108" w:type="dxa"/>
        <w:tblLayout w:type="fixed"/>
        <w:tblLook w:val="00A0"/>
      </w:tblPr>
      <w:tblGrid>
        <w:gridCol w:w="2000"/>
        <w:gridCol w:w="284"/>
        <w:gridCol w:w="7560"/>
      </w:tblGrid>
      <w:tr w:rsidR="00BF7F08" w:rsidRPr="00AD0FC0" w:rsidTr="00A0172C">
        <w:trPr>
          <w:trHeight w:val="145"/>
        </w:trPr>
        <w:tc>
          <w:tcPr>
            <w:tcW w:w="1016" w:type="pct"/>
            <w:shd w:val="clear" w:color="auto" w:fill="auto"/>
          </w:tcPr>
          <w:p w:rsidR="00BF7F08" w:rsidRPr="00F745A4" w:rsidRDefault="00BF7F08" w:rsidP="00A0172C">
            <w:pPr>
              <w:spacing w:line="240" w:lineRule="auto"/>
              <w:rPr>
                <w:rFonts w:cs="Arial"/>
                <w:bCs/>
                <w:iCs/>
                <w:color w:val="0D0D0D" w:themeColor="text1" w:themeTint="F2"/>
                <w:spacing w:val="-4"/>
                <w:sz w:val="16"/>
                <w:szCs w:val="16"/>
              </w:rPr>
            </w:pPr>
            <w:r>
              <w:rPr>
                <w:rFonts w:cs="Arial"/>
                <w:bCs/>
                <w:iCs/>
                <w:color w:val="0D0D0D" w:themeColor="text1" w:themeTint="F2"/>
                <w:spacing w:val="-4"/>
                <w:sz w:val="16"/>
                <w:szCs w:val="16"/>
              </w:rPr>
              <w:t>Čerpání investic v novém programovém období EU bylo loni stejně jako na počátku roku 2017 omezené vlivem celkově nižší připravenosti hlavně větších dopravních projektů.</w:t>
            </w:r>
          </w:p>
        </w:tc>
        <w:tc>
          <w:tcPr>
            <w:tcW w:w="144" w:type="pct"/>
          </w:tcPr>
          <w:p w:rsidR="00BF7F08" w:rsidRPr="00782BA5" w:rsidRDefault="00BF7F08" w:rsidP="00A0172C">
            <w:pPr>
              <w:pStyle w:val="Textpoznpodarou"/>
              <w:jc w:val="both"/>
              <w:rPr>
                <w:rFonts w:cs="Arial"/>
                <w:color w:val="000000" w:themeColor="text1"/>
                <w:spacing w:val="-4"/>
              </w:rPr>
            </w:pPr>
          </w:p>
        </w:tc>
        <w:tc>
          <w:tcPr>
            <w:tcW w:w="3840" w:type="pct"/>
          </w:tcPr>
          <w:p w:rsidR="00BF7F08" w:rsidRPr="005B0BEF" w:rsidRDefault="00BF7F08" w:rsidP="00A0172C">
            <w:pPr>
              <w:pStyle w:val="Textpoznpodarou"/>
              <w:jc w:val="both"/>
              <w:rPr>
                <w:rFonts w:cs="Arial"/>
                <w:color w:val="000000" w:themeColor="text1"/>
                <w:spacing w:val="-4"/>
              </w:rPr>
            </w:pPr>
            <w:r w:rsidRPr="005B0BEF">
              <w:rPr>
                <w:rFonts w:cs="Arial"/>
                <w:color w:val="000000" w:themeColor="text1"/>
                <w:spacing w:val="-4"/>
              </w:rPr>
              <w:t>Celkové výdaje SR vzrostly od ledna do března meziročně o střídmých 1,6 %. Přesto šlo v rámci 1. čtvrtletí o druhé nejvyšší tempo za posledních sedm let. Růst běžných výdajů (o 6,6 %) byl na rozdíl od propadu investic (o 69 %) rozpočtem očekávaný. Kapitálové výdaje SR činily za první tři letošní měsíce jen 6,2 mld. korun (společně s dubnem 9,6 mld.). Polovina investic směřovala na společné projekty ČR a EU</w:t>
            </w:r>
            <w:r w:rsidRPr="005B0BEF">
              <w:rPr>
                <w:rStyle w:val="Znakapoznpodarou"/>
                <w:color w:val="000000" w:themeColor="text1"/>
                <w:spacing w:val="-4"/>
              </w:rPr>
              <w:footnoteReference w:id="6"/>
            </w:r>
            <w:r>
              <w:rPr>
                <w:rFonts w:cs="Arial"/>
                <w:color w:val="000000" w:themeColor="text1"/>
                <w:spacing w:val="-4"/>
              </w:rPr>
              <w:t xml:space="preserve"> (zejm.</w:t>
            </w:r>
            <w:r w:rsidRPr="005B0BEF">
              <w:rPr>
                <w:rFonts w:cs="Arial"/>
                <w:color w:val="000000" w:themeColor="text1"/>
                <w:spacing w:val="-4"/>
              </w:rPr>
              <w:t xml:space="preserve"> do OP Doprava).</w:t>
            </w:r>
            <w:r w:rsidRPr="005B0BEF">
              <w:rPr>
                <w:rFonts w:cs="Arial"/>
                <w:color w:val="000000" w:themeColor="text1"/>
                <w:spacing w:val="-5"/>
              </w:rPr>
              <w:t xml:space="preserve"> Podíl investic na všech výdajích SR činil v 1. čtvrtletí jen 2,1 %. </w:t>
            </w:r>
          </w:p>
          <w:p w:rsidR="00BF7F08" w:rsidRPr="005B0BEF" w:rsidRDefault="00BF7F08" w:rsidP="00A0172C">
            <w:pPr>
              <w:pStyle w:val="Textpoznpodarou"/>
              <w:jc w:val="both"/>
              <w:rPr>
                <w:rFonts w:cs="Arial"/>
                <w:color w:val="000000" w:themeColor="text1"/>
                <w:spacing w:val="-4"/>
                <w:sz w:val="14"/>
                <w:szCs w:val="14"/>
              </w:rPr>
            </w:pPr>
          </w:p>
        </w:tc>
      </w:tr>
      <w:tr w:rsidR="00BF7F08" w:rsidRPr="00AD0FC0" w:rsidTr="00A0172C">
        <w:trPr>
          <w:trHeight w:val="145"/>
        </w:trPr>
        <w:tc>
          <w:tcPr>
            <w:tcW w:w="1016" w:type="pct"/>
            <w:shd w:val="clear" w:color="auto" w:fill="auto"/>
          </w:tcPr>
          <w:p w:rsidR="00BF7F08" w:rsidRPr="006E7FAA" w:rsidRDefault="00BF7F08" w:rsidP="00A0172C">
            <w:pPr>
              <w:spacing w:line="240" w:lineRule="auto"/>
              <w:rPr>
                <w:rFonts w:cs="Arial"/>
                <w:color w:val="0D0D0D" w:themeColor="text1" w:themeTint="F2"/>
                <w:spacing w:val="-2"/>
                <w:sz w:val="16"/>
                <w:szCs w:val="16"/>
              </w:rPr>
            </w:pPr>
            <w:r>
              <w:rPr>
                <w:rFonts w:cs="Arial"/>
                <w:color w:val="0D0D0D" w:themeColor="text1" w:themeTint="F2"/>
                <w:spacing w:val="-2"/>
                <w:sz w:val="16"/>
                <w:szCs w:val="16"/>
              </w:rPr>
              <w:t>K růstu běžných výdajů přispěly zejména vyšší sociální dávky a výdaje na mzdy zaměstnancům v odvětvích s dominancí státu.</w:t>
            </w:r>
          </w:p>
        </w:tc>
        <w:tc>
          <w:tcPr>
            <w:tcW w:w="144" w:type="pct"/>
          </w:tcPr>
          <w:p w:rsidR="00BF7F08" w:rsidRPr="00A90EFD" w:rsidRDefault="00BF7F08" w:rsidP="00A0172C">
            <w:pPr>
              <w:pStyle w:val="Textpoznpodarou"/>
              <w:jc w:val="both"/>
              <w:rPr>
                <w:rFonts w:cs="Arial"/>
                <w:color w:val="0D0D0D" w:themeColor="text1" w:themeTint="F2"/>
              </w:rPr>
            </w:pPr>
          </w:p>
        </w:tc>
        <w:tc>
          <w:tcPr>
            <w:tcW w:w="3840" w:type="pct"/>
          </w:tcPr>
          <w:p w:rsidR="00BF7F08" w:rsidRPr="00D667A0" w:rsidRDefault="00BF7F08" w:rsidP="00A0172C">
            <w:pPr>
              <w:pStyle w:val="Textpoznpodarou"/>
              <w:jc w:val="both"/>
              <w:rPr>
                <w:rFonts w:cs="Arial"/>
                <w:color w:val="0D0D0D" w:themeColor="text1" w:themeTint="F2"/>
                <w:spacing w:val="-4"/>
              </w:rPr>
            </w:pPr>
            <w:r w:rsidRPr="005B0BEF">
              <w:rPr>
                <w:rFonts w:cs="Arial"/>
                <w:color w:val="0D0D0D" w:themeColor="text1" w:themeTint="F2"/>
                <w:spacing w:val="-4"/>
              </w:rPr>
              <w:t>Ke zvýšení běžných výdajů (</w:t>
            </w:r>
            <w:r>
              <w:rPr>
                <w:rFonts w:cs="Arial"/>
                <w:color w:val="0D0D0D" w:themeColor="text1" w:themeTint="F2"/>
                <w:spacing w:val="-4"/>
              </w:rPr>
              <w:t>o</w:t>
            </w:r>
            <w:r w:rsidR="00F4351C">
              <w:rPr>
                <w:rFonts w:cs="Arial"/>
                <w:color w:val="0D0D0D" w:themeColor="text1" w:themeTint="F2"/>
                <w:spacing w:val="-4"/>
              </w:rPr>
              <w:t xml:space="preserve"> </w:t>
            </w:r>
            <w:r w:rsidRPr="005B0BEF">
              <w:rPr>
                <w:rFonts w:cs="Arial"/>
                <w:color w:val="0D0D0D" w:themeColor="text1" w:themeTint="F2"/>
                <w:spacing w:val="-4"/>
              </w:rPr>
              <w:t xml:space="preserve">18,4 mld. korun meziročně) nejvíce přispěly sociální dávky (s růstem o 5,2 %) a </w:t>
            </w:r>
            <w:r w:rsidRPr="005B0BEF">
              <w:rPr>
                <w:bCs/>
                <w:spacing w:val="-4"/>
                <w:szCs w:val="24"/>
              </w:rPr>
              <w:t xml:space="preserve">neinvestiční transfery veřejným </w:t>
            </w:r>
            <w:r>
              <w:rPr>
                <w:bCs/>
                <w:spacing w:val="-4"/>
                <w:szCs w:val="24"/>
              </w:rPr>
              <w:t xml:space="preserve">rozpočtům územní úrovně (+10,2 </w:t>
            </w:r>
            <w:r w:rsidRPr="005B0BEF">
              <w:rPr>
                <w:bCs/>
                <w:spacing w:val="-4"/>
                <w:szCs w:val="24"/>
              </w:rPr>
              <w:t>%), je</w:t>
            </w:r>
            <w:r>
              <w:rPr>
                <w:bCs/>
                <w:spacing w:val="-4"/>
                <w:szCs w:val="24"/>
              </w:rPr>
              <w:t>jichž svižné tempo souviselo zejména s navýšením</w:t>
            </w:r>
            <w:r w:rsidRPr="005B0BEF">
              <w:rPr>
                <w:spacing w:val="-4"/>
              </w:rPr>
              <w:t xml:space="preserve"> platů </w:t>
            </w:r>
            <w:r>
              <w:rPr>
                <w:spacing w:val="-4"/>
              </w:rPr>
              <w:t xml:space="preserve">v regionálním školství </w:t>
            </w:r>
            <w:r w:rsidRPr="005B0BEF">
              <w:rPr>
                <w:spacing w:val="-4"/>
              </w:rPr>
              <w:t>od 1. září 2016</w:t>
            </w:r>
            <w:r>
              <w:rPr>
                <w:spacing w:val="-4"/>
              </w:rPr>
              <w:t xml:space="preserve"> (</w:t>
            </w:r>
            <w:r w:rsidRPr="005B0BEF">
              <w:rPr>
                <w:spacing w:val="-4"/>
              </w:rPr>
              <w:t>pracovníkům pedagogickým o 8 % a nepedagogickým o</w:t>
            </w:r>
            <w:r w:rsidRPr="005B0BEF">
              <w:rPr>
                <w:rFonts w:cs="Arial"/>
                <w:color w:val="000000" w:themeColor="text1"/>
                <w:spacing w:val="-4"/>
              </w:rPr>
              <w:t> </w:t>
            </w:r>
            <w:r w:rsidRPr="005B0BEF">
              <w:rPr>
                <w:spacing w:val="-4"/>
              </w:rPr>
              <w:t>5</w:t>
            </w:r>
            <w:r w:rsidRPr="005B0BEF">
              <w:rPr>
                <w:rFonts w:cs="Arial"/>
                <w:color w:val="000000" w:themeColor="text1"/>
                <w:spacing w:val="-4"/>
              </w:rPr>
              <w:t> </w:t>
            </w:r>
            <w:r w:rsidRPr="005B0BEF">
              <w:rPr>
                <w:spacing w:val="-4"/>
              </w:rPr>
              <w:t>%</w:t>
            </w:r>
            <w:r>
              <w:rPr>
                <w:spacing w:val="-4"/>
              </w:rPr>
              <w:t>)</w:t>
            </w:r>
            <w:r w:rsidRPr="005B0BEF">
              <w:rPr>
                <w:spacing w:val="-4"/>
              </w:rPr>
              <w:t>. Výdaje na platy zaměstnanců státu se navýšily o 6 % (stejně jako o rok dříve). O třetinu meziročně posílily také neinvestiční transfery podnikatelským subjektům. Naopak ve směru redukce běžných výdajů v 1. čtvrtletí působily nižší odvody státu do rozpočtu EU</w:t>
            </w:r>
            <w:r>
              <w:rPr>
                <w:spacing w:val="-4"/>
              </w:rPr>
              <w:t xml:space="preserve"> a</w:t>
            </w:r>
            <w:r w:rsidRPr="005B0BEF">
              <w:rPr>
                <w:spacing w:val="-4"/>
              </w:rPr>
              <w:t xml:space="preserve"> zejména </w:t>
            </w:r>
            <w:r>
              <w:rPr>
                <w:spacing w:val="-4"/>
              </w:rPr>
              <w:t xml:space="preserve">pak </w:t>
            </w:r>
            <w:r w:rsidRPr="005B0BEF">
              <w:rPr>
                <w:spacing w:val="-4"/>
              </w:rPr>
              <w:t>výdaje na státní dluh (o 3 mld.)</w:t>
            </w:r>
            <w:r w:rsidRPr="005B0BEF">
              <w:rPr>
                <w:rStyle w:val="Znakapoznpodarou"/>
                <w:spacing w:val="-4"/>
              </w:rPr>
              <w:footnoteReference w:id="7"/>
            </w:r>
            <w:r w:rsidRPr="005B0BEF">
              <w:rPr>
                <w:spacing w:val="-4"/>
              </w:rPr>
              <w:t xml:space="preserve">. </w:t>
            </w:r>
          </w:p>
        </w:tc>
      </w:tr>
    </w:tbl>
    <w:p w:rsidR="00BF7F08" w:rsidRDefault="00BF7F08" w:rsidP="008A03DE">
      <w:pPr>
        <w:pStyle w:val="Textpoznpodarou"/>
        <w:jc w:val="both"/>
        <w:rPr>
          <w:rFonts w:cs="Arial"/>
          <w:color w:val="000000"/>
          <w:spacing w:val="-2"/>
          <w:sz w:val="16"/>
          <w:szCs w:val="16"/>
        </w:rPr>
      </w:pPr>
    </w:p>
    <w:p w:rsidR="00AC39B0" w:rsidRDefault="00AC39B0" w:rsidP="008A03DE">
      <w:pPr>
        <w:pStyle w:val="Textpoznpodarou"/>
        <w:jc w:val="both"/>
        <w:rPr>
          <w:rFonts w:cs="Arial"/>
          <w:color w:val="000000"/>
          <w:spacing w:val="-2"/>
          <w:sz w:val="16"/>
          <w:szCs w:val="16"/>
        </w:rPr>
      </w:pPr>
    </w:p>
    <w:p w:rsidR="00AC39B0" w:rsidRDefault="00AC39B0" w:rsidP="008A03DE">
      <w:pPr>
        <w:pStyle w:val="Textpoznpodarou"/>
        <w:jc w:val="both"/>
        <w:rPr>
          <w:rFonts w:cs="Arial"/>
          <w:color w:val="000000"/>
          <w:spacing w:val="-2"/>
          <w:sz w:val="16"/>
          <w:szCs w:val="16"/>
        </w:rPr>
      </w:pPr>
    </w:p>
    <w:p w:rsidR="00AC39B0" w:rsidRDefault="00AC39B0" w:rsidP="008A03DE">
      <w:pPr>
        <w:pStyle w:val="Textpoznpodarou"/>
        <w:jc w:val="both"/>
        <w:rPr>
          <w:rFonts w:cs="Arial"/>
          <w:color w:val="000000"/>
          <w:spacing w:val="-2"/>
          <w:sz w:val="16"/>
          <w:szCs w:val="16"/>
        </w:rPr>
      </w:pPr>
    </w:p>
    <w:p w:rsidR="00AC39B0" w:rsidRDefault="00AC39B0" w:rsidP="008A03DE">
      <w:pPr>
        <w:pStyle w:val="Textpoznpodarou"/>
        <w:jc w:val="both"/>
        <w:rPr>
          <w:rFonts w:cs="Arial"/>
          <w:color w:val="000000"/>
          <w:spacing w:val="-2"/>
          <w:sz w:val="16"/>
          <w:szCs w:val="16"/>
        </w:rPr>
      </w:pPr>
    </w:p>
    <w:p w:rsidR="00AC39B0" w:rsidRDefault="00AC39B0" w:rsidP="008A03DE">
      <w:pPr>
        <w:pStyle w:val="Textpoznpodarou"/>
        <w:jc w:val="both"/>
        <w:rPr>
          <w:rFonts w:cs="Arial"/>
          <w:color w:val="000000"/>
          <w:spacing w:val="-2"/>
          <w:sz w:val="16"/>
          <w:szCs w:val="16"/>
        </w:rPr>
      </w:pPr>
    </w:p>
    <w:p w:rsidR="00AC39B0" w:rsidRDefault="00AC39B0" w:rsidP="008A03DE">
      <w:pPr>
        <w:pStyle w:val="Textpoznpodarou"/>
        <w:jc w:val="both"/>
        <w:rPr>
          <w:rFonts w:cs="Arial"/>
          <w:color w:val="000000"/>
          <w:spacing w:val="-2"/>
          <w:sz w:val="16"/>
          <w:szCs w:val="16"/>
        </w:rPr>
      </w:pPr>
    </w:p>
    <w:p w:rsidR="00AC39B0" w:rsidRDefault="00AC39B0" w:rsidP="008A03DE">
      <w:pPr>
        <w:pStyle w:val="Textpoznpodarou"/>
        <w:jc w:val="both"/>
        <w:rPr>
          <w:rFonts w:cs="Arial"/>
          <w:color w:val="000000"/>
          <w:spacing w:val="-2"/>
          <w:sz w:val="16"/>
          <w:szCs w:val="16"/>
        </w:rPr>
      </w:pPr>
    </w:p>
    <w:p w:rsidR="00AC39B0" w:rsidRDefault="00AC39B0" w:rsidP="008A03DE">
      <w:pPr>
        <w:pStyle w:val="Textpoznpodarou"/>
        <w:jc w:val="both"/>
        <w:rPr>
          <w:rFonts w:cs="Arial"/>
          <w:color w:val="000000"/>
          <w:spacing w:val="-2"/>
          <w:sz w:val="16"/>
          <w:szCs w:val="16"/>
        </w:rPr>
      </w:pPr>
    </w:p>
    <w:p w:rsidR="00AC39B0" w:rsidRDefault="00AC39B0" w:rsidP="008A03DE">
      <w:pPr>
        <w:pStyle w:val="Textpoznpodarou"/>
        <w:jc w:val="both"/>
        <w:rPr>
          <w:rFonts w:cs="Arial"/>
          <w:color w:val="000000"/>
          <w:spacing w:val="-2"/>
          <w:sz w:val="16"/>
          <w:szCs w:val="16"/>
        </w:rPr>
      </w:pPr>
    </w:p>
    <w:p w:rsidR="00AC39B0" w:rsidRDefault="00AC39B0" w:rsidP="008A03DE">
      <w:pPr>
        <w:pStyle w:val="Textpoznpodarou"/>
        <w:jc w:val="both"/>
        <w:rPr>
          <w:rFonts w:cs="Arial"/>
          <w:color w:val="000000"/>
          <w:spacing w:val="-2"/>
          <w:sz w:val="16"/>
          <w:szCs w:val="16"/>
        </w:rPr>
      </w:pPr>
    </w:p>
    <w:p w:rsidR="00AC39B0" w:rsidRDefault="00AC39B0" w:rsidP="008A03DE">
      <w:pPr>
        <w:pStyle w:val="Textpoznpodarou"/>
        <w:jc w:val="both"/>
        <w:rPr>
          <w:rFonts w:cs="Arial"/>
          <w:color w:val="000000"/>
          <w:spacing w:val="-2"/>
          <w:sz w:val="16"/>
          <w:szCs w:val="16"/>
        </w:rPr>
      </w:pPr>
    </w:p>
    <w:p w:rsidR="00AC39B0" w:rsidRDefault="00AC39B0" w:rsidP="008A03DE">
      <w:pPr>
        <w:pStyle w:val="Textpoznpodarou"/>
        <w:jc w:val="both"/>
        <w:rPr>
          <w:rFonts w:cs="Arial"/>
          <w:color w:val="000000"/>
          <w:spacing w:val="-2"/>
          <w:sz w:val="16"/>
          <w:szCs w:val="16"/>
        </w:rPr>
      </w:pPr>
    </w:p>
    <w:p w:rsidR="00AC39B0" w:rsidRDefault="00AC39B0" w:rsidP="008A03DE">
      <w:pPr>
        <w:pStyle w:val="Textpoznpodarou"/>
        <w:jc w:val="both"/>
        <w:rPr>
          <w:rFonts w:cs="Arial"/>
          <w:color w:val="000000"/>
          <w:spacing w:val="-2"/>
          <w:sz w:val="16"/>
          <w:szCs w:val="16"/>
        </w:rPr>
      </w:pPr>
    </w:p>
    <w:p w:rsidR="00AC39B0" w:rsidRDefault="00AC39B0" w:rsidP="008A03DE">
      <w:pPr>
        <w:pStyle w:val="Textpoznpodarou"/>
        <w:jc w:val="both"/>
        <w:rPr>
          <w:rFonts w:cs="Arial"/>
          <w:color w:val="000000"/>
          <w:spacing w:val="-2"/>
          <w:sz w:val="16"/>
          <w:szCs w:val="16"/>
        </w:rPr>
      </w:pPr>
    </w:p>
    <w:tbl>
      <w:tblPr>
        <w:tblW w:w="4963" w:type="pct"/>
        <w:tblInd w:w="108" w:type="dxa"/>
        <w:tblLayout w:type="fixed"/>
        <w:tblLook w:val="00A0"/>
      </w:tblPr>
      <w:tblGrid>
        <w:gridCol w:w="1997"/>
        <w:gridCol w:w="284"/>
        <w:gridCol w:w="1119"/>
        <w:gridCol w:w="6381"/>
      </w:tblGrid>
      <w:tr w:rsidR="0007324C" w:rsidRPr="00AA4A76" w:rsidTr="00A0172C">
        <w:trPr>
          <w:trHeight w:val="145"/>
        </w:trPr>
        <w:tc>
          <w:tcPr>
            <w:tcW w:w="1021" w:type="pct"/>
            <w:shd w:val="clear" w:color="auto" w:fill="auto"/>
          </w:tcPr>
          <w:p w:rsidR="0007324C" w:rsidRPr="00AA4A76" w:rsidRDefault="0007324C" w:rsidP="00A0172C">
            <w:pPr>
              <w:spacing w:line="240" w:lineRule="auto"/>
              <w:jc w:val="center"/>
              <w:rPr>
                <w:color w:val="000000"/>
                <w:szCs w:val="20"/>
              </w:rPr>
            </w:pPr>
          </w:p>
        </w:tc>
        <w:tc>
          <w:tcPr>
            <w:tcW w:w="145" w:type="pct"/>
          </w:tcPr>
          <w:p w:rsidR="0007324C" w:rsidRPr="00AA4A76" w:rsidRDefault="0007324C" w:rsidP="00A0172C">
            <w:pPr>
              <w:pStyle w:val="Textpoznpodarou"/>
              <w:jc w:val="both"/>
              <w:rPr>
                <w:highlight w:val="yellow"/>
              </w:rPr>
            </w:pPr>
          </w:p>
        </w:tc>
        <w:tc>
          <w:tcPr>
            <w:tcW w:w="572" w:type="pct"/>
          </w:tcPr>
          <w:p w:rsidR="0007324C" w:rsidRPr="00AA4A76" w:rsidRDefault="0007324C" w:rsidP="00A0172C">
            <w:pPr>
              <w:pStyle w:val="Textpoznpodarou"/>
              <w:jc w:val="both"/>
              <w:rPr>
                <w:highlight w:val="yellow"/>
              </w:rPr>
            </w:pPr>
            <w:r>
              <w:rPr>
                <w:color w:val="000000"/>
              </w:rPr>
              <w:t>Graf č. 20</w:t>
            </w:r>
          </w:p>
        </w:tc>
        <w:tc>
          <w:tcPr>
            <w:tcW w:w="3262" w:type="pct"/>
          </w:tcPr>
          <w:p w:rsidR="00CD5493" w:rsidRDefault="0007324C" w:rsidP="0007324C">
            <w:pPr>
              <w:spacing w:line="240" w:lineRule="auto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Vybrané výdaje státního rozpočtu </w:t>
            </w:r>
            <w:r w:rsidRPr="006808C5">
              <w:rPr>
                <w:rFonts w:cs="Arial"/>
                <w:b/>
                <w:bCs/>
              </w:rPr>
              <w:t>v 1. čtvrtletích roku</w:t>
            </w:r>
            <w:r>
              <w:rPr>
                <w:rFonts w:cs="Arial"/>
                <w:b/>
                <w:bCs/>
              </w:rPr>
              <w:t xml:space="preserve"> </w:t>
            </w:r>
          </w:p>
          <w:p w:rsidR="0007324C" w:rsidRPr="0007324C" w:rsidRDefault="0007324C" w:rsidP="0007324C">
            <w:pPr>
              <w:spacing w:line="240" w:lineRule="auto"/>
              <w:rPr>
                <w:rFonts w:cs="Arial"/>
                <w:b/>
                <w:bCs/>
              </w:rPr>
            </w:pPr>
            <w:r>
              <w:rPr>
                <w:rFonts w:cs="Arial"/>
                <w:bCs/>
              </w:rPr>
              <w:t>(</w:t>
            </w:r>
            <w:r w:rsidRPr="00DB06E9">
              <w:rPr>
                <w:rFonts w:cs="Arial"/>
                <w:bCs/>
              </w:rPr>
              <w:t>v mld. korun</w:t>
            </w:r>
            <w:r>
              <w:rPr>
                <w:rFonts w:cs="Arial"/>
                <w:bCs/>
              </w:rPr>
              <w:t>)</w:t>
            </w:r>
          </w:p>
        </w:tc>
      </w:tr>
      <w:tr w:rsidR="0007324C" w:rsidRPr="00AA4A76" w:rsidTr="00A0172C">
        <w:trPr>
          <w:trHeight w:val="145"/>
        </w:trPr>
        <w:tc>
          <w:tcPr>
            <w:tcW w:w="1021" w:type="pct"/>
            <w:shd w:val="clear" w:color="auto" w:fill="auto"/>
          </w:tcPr>
          <w:p w:rsidR="0007324C" w:rsidRPr="006D3F53" w:rsidRDefault="0007324C" w:rsidP="00A0172C">
            <w:pPr>
              <w:spacing w:line="240" w:lineRule="auto"/>
              <w:rPr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45" w:type="pct"/>
          </w:tcPr>
          <w:p w:rsidR="0007324C" w:rsidRPr="00A74192" w:rsidRDefault="0007324C" w:rsidP="00A0172C">
            <w:pPr>
              <w:pStyle w:val="Textpoznpodarou"/>
              <w:jc w:val="both"/>
            </w:pPr>
          </w:p>
        </w:tc>
        <w:tc>
          <w:tcPr>
            <w:tcW w:w="3833" w:type="pct"/>
            <w:gridSpan w:val="2"/>
          </w:tcPr>
          <w:p w:rsidR="0007324C" w:rsidRDefault="007E5880" w:rsidP="00A0172C">
            <w:pPr>
              <w:pStyle w:val="Textpoznpodarou"/>
              <w:ind w:left="-124"/>
              <w:jc w:val="both"/>
              <w:rPr>
                <w:sz w:val="16"/>
                <w:szCs w:val="16"/>
              </w:rPr>
            </w:pPr>
            <w:r w:rsidRPr="007E5880">
              <w:rPr>
                <w:noProof/>
                <w:sz w:val="16"/>
                <w:szCs w:val="16"/>
              </w:rPr>
              <w:drawing>
                <wp:inline distT="0" distB="0" distL="0" distR="0">
                  <wp:extent cx="4737600" cy="3410325"/>
                  <wp:effectExtent l="0" t="0" r="5850" b="0"/>
                  <wp:docPr id="17" name="Graf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0"/>
                    </a:graphicData>
                  </a:graphic>
                </wp:inline>
              </w:drawing>
            </w:r>
          </w:p>
          <w:p w:rsidR="00CD5493" w:rsidRPr="007E5880" w:rsidRDefault="00F4351C" w:rsidP="007E5880">
            <w:pPr>
              <w:pStyle w:val="Textpoznpodarou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*Vč. dávek pěstounské péče.</w:t>
            </w:r>
          </w:p>
          <w:p w:rsidR="00CD5493" w:rsidRPr="007E5880" w:rsidRDefault="00F4351C" w:rsidP="007E5880">
            <w:pPr>
              <w:pStyle w:val="Textpoznpodarou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**Jde</w:t>
            </w:r>
            <w:r w:rsidR="00CD5493" w:rsidRPr="007E5880">
              <w:rPr>
                <w:sz w:val="14"/>
                <w:szCs w:val="14"/>
              </w:rPr>
              <w:t xml:space="preserve"> o čisté výdaje, ve výdajích jsou započteny i příjmy kapitoly Státní dluh</w:t>
            </w:r>
            <w:r>
              <w:rPr>
                <w:sz w:val="14"/>
                <w:szCs w:val="14"/>
              </w:rPr>
              <w:t>.</w:t>
            </w:r>
          </w:p>
          <w:p w:rsidR="007E5880" w:rsidRDefault="00F4351C" w:rsidP="007E5880">
            <w:pPr>
              <w:pStyle w:val="Textpoznpodarou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***D</w:t>
            </w:r>
            <w:r w:rsidR="00CD5493" w:rsidRPr="007E5880">
              <w:rPr>
                <w:sz w:val="14"/>
                <w:szCs w:val="14"/>
              </w:rPr>
              <w:t>ávky pomoci</w:t>
            </w:r>
            <w:r w:rsidR="007E5880">
              <w:rPr>
                <w:sz w:val="14"/>
                <w:szCs w:val="14"/>
              </w:rPr>
              <w:t xml:space="preserve"> v hmot.</w:t>
            </w:r>
            <w:r w:rsidR="00CD5493" w:rsidRPr="007E5880">
              <w:rPr>
                <w:sz w:val="14"/>
                <w:szCs w:val="14"/>
              </w:rPr>
              <w:t xml:space="preserve"> nouzi,</w:t>
            </w:r>
            <w:r w:rsidR="007E5880">
              <w:rPr>
                <w:sz w:val="14"/>
                <w:szCs w:val="14"/>
              </w:rPr>
              <w:t xml:space="preserve"> dávky osobám </w:t>
            </w:r>
            <w:proofErr w:type="gramStart"/>
            <w:r w:rsidR="007E5880">
              <w:rPr>
                <w:sz w:val="14"/>
                <w:szCs w:val="14"/>
              </w:rPr>
              <w:t>se zdravot.</w:t>
            </w:r>
            <w:r w:rsidR="00CD5493" w:rsidRPr="007E5880">
              <w:rPr>
                <w:sz w:val="14"/>
                <w:szCs w:val="14"/>
              </w:rPr>
              <w:t xml:space="preserve"> postižením</w:t>
            </w:r>
            <w:proofErr w:type="gramEnd"/>
            <w:r w:rsidR="00CD5493" w:rsidRPr="007E5880">
              <w:rPr>
                <w:sz w:val="14"/>
                <w:szCs w:val="14"/>
              </w:rPr>
              <w:t>, příspěvek na péči dle zákona o soc.</w:t>
            </w:r>
            <w:r w:rsidR="007E5880">
              <w:rPr>
                <w:sz w:val="14"/>
                <w:szCs w:val="14"/>
              </w:rPr>
              <w:t xml:space="preserve"> službách.</w:t>
            </w:r>
          </w:p>
          <w:p w:rsidR="0007324C" w:rsidRPr="007E5880" w:rsidRDefault="00CD5493" w:rsidP="007E5880">
            <w:pPr>
              <w:pStyle w:val="Textpoznpodarou"/>
              <w:jc w:val="right"/>
              <w:rPr>
                <w:sz w:val="14"/>
                <w:szCs w:val="14"/>
              </w:rPr>
            </w:pPr>
            <w:r w:rsidRPr="007E5880">
              <w:rPr>
                <w:rFonts w:cs="Arial"/>
                <w:sz w:val="14"/>
                <w:szCs w:val="14"/>
              </w:rPr>
              <w:t>Zdroj: MF ČR, MPSV</w:t>
            </w:r>
          </w:p>
        </w:tc>
      </w:tr>
    </w:tbl>
    <w:p w:rsidR="00CD5493" w:rsidRPr="0007324C" w:rsidRDefault="00CD5493" w:rsidP="008A03DE">
      <w:pPr>
        <w:pStyle w:val="Textpoznpodarou"/>
        <w:jc w:val="both"/>
        <w:rPr>
          <w:rFonts w:cs="Arial"/>
          <w:color w:val="000000"/>
          <w:spacing w:val="-2"/>
          <w:sz w:val="18"/>
          <w:szCs w:val="18"/>
        </w:rPr>
      </w:pPr>
    </w:p>
    <w:tbl>
      <w:tblPr>
        <w:tblW w:w="4995" w:type="pct"/>
        <w:tblInd w:w="108" w:type="dxa"/>
        <w:tblLayout w:type="fixed"/>
        <w:tblLook w:val="00A0"/>
      </w:tblPr>
      <w:tblGrid>
        <w:gridCol w:w="2000"/>
        <w:gridCol w:w="284"/>
        <w:gridCol w:w="7560"/>
      </w:tblGrid>
      <w:tr w:rsidR="00BF7F08" w:rsidRPr="00AD0FC0" w:rsidTr="00A0172C">
        <w:trPr>
          <w:trHeight w:val="145"/>
        </w:trPr>
        <w:tc>
          <w:tcPr>
            <w:tcW w:w="1016" w:type="pct"/>
            <w:shd w:val="clear" w:color="auto" w:fill="auto"/>
          </w:tcPr>
          <w:p w:rsidR="00BF7F08" w:rsidRPr="00674567" w:rsidRDefault="00BF7F08" w:rsidP="00A0172C">
            <w:pPr>
              <w:spacing w:line="240" w:lineRule="auto"/>
              <w:rPr>
                <w:rFonts w:cs="Arial"/>
                <w:bCs/>
                <w:iCs/>
                <w:color w:val="0D0D0D" w:themeColor="text1" w:themeTint="F2"/>
                <w:sz w:val="16"/>
                <w:szCs w:val="16"/>
              </w:rPr>
            </w:pPr>
            <w:r w:rsidRPr="00674567">
              <w:rPr>
                <w:rFonts w:cs="Arial"/>
                <w:bCs/>
                <w:iCs/>
                <w:color w:val="0D0D0D" w:themeColor="text1" w:themeTint="F2"/>
                <w:sz w:val="16"/>
                <w:szCs w:val="16"/>
              </w:rPr>
              <w:t>Meziroční růst výběru</w:t>
            </w:r>
            <w:r>
              <w:rPr>
                <w:rFonts w:cs="Arial"/>
                <w:bCs/>
                <w:iCs/>
                <w:color w:val="0D0D0D" w:themeColor="text1" w:themeTint="F2"/>
                <w:sz w:val="16"/>
                <w:szCs w:val="16"/>
              </w:rPr>
              <w:t xml:space="preserve"> pojistného na sociální</w:t>
            </w:r>
            <w:r w:rsidRPr="00674567">
              <w:rPr>
                <w:rFonts w:cs="Arial"/>
                <w:bCs/>
                <w:iCs/>
                <w:color w:val="0D0D0D" w:themeColor="text1" w:themeTint="F2"/>
                <w:sz w:val="16"/>
                <w:szCs w:val="16"/>
              </w:rPr>
              <w:t xml:space="preserve"> zabezpečení byl letos nejvyšší za posledních devět let, deficit důchodového účtu se přesto nesnížil</w:t>
            </w:r>
            <w:r>
              <w:rPr>
                <w:rFonts w:cs="Arial"/>
                <w:bCs/>
                <w:iCs/>
                <w:color w:val="0D0D0D" w:themeColor="text1" w:themeTint="F2"/>
                <w:sz w:val="16"/>
                <w:szCs w:val="16"/>
              </w:rPr>
              <w:t>.</w:t>
            </w:r>
          </w:p>
        </w:tc>
        <w:tc>
          <w:tcPr>
            <w:tcW w:w="144" w:type="pct"/>
          </w:tcPr>
          <w:p w:rsidR="00BF7F08" w:rsidRPr="00A90EFD" w:rsidRDefault="00BF7F08" w:rsidP="00A0172C">
            <w:pPr>
              <w:pStyle w:val="Textpoznpodarou"/>
              <w:jc w:val="both"/>
              <w:rPr>
                <w:rFonts w:cs="Arial"/>
                <w:color w:val="0D0D0D" w:themeColor="text1" w:themeTint="F2"/>
              </w:rPr>
            </w:pPr>
          </w:p>
        </w:tc>
        <w:tc>
          <w:tcPr>
            <w:tcW w:w="3840" w:type="pct"/>
          </w:tcPr>
          <w:p w:rsidR="00BF7F08" w:rsidRDefault="00BF7F08" w:rsidP="00A0172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Arial"/>
                <w:color w:val="000000" w:themeColor="text1"/>
                <w:spacing w:val="-4"/>
              </w:rPr>
            </w:pPr>
            <w:r w:rsidRPr="005B0BEF">
              <w:rPr>
                <w:rFonts w:cs="Arial"/>
                <w:color w:val="0D0D0D" w:themeColor="text1" w:themeTint="F2"/>
                <w:spacing w:val="-4"/>
                <w:szCs w:val="20"/>
              </w:rPr>
              <w:t xml:space="preserve">Sociální dávky vzrostly o 5,2 % (v 1. loňském čtvrtletí činil meziroční růst 5,7 %) a na celkových výdajích SR se podílely 43,7 % (nejvíce za posledních šest let). Táhly je především objemově dominantní výdaje na důchody (+5,4 %), </w:t>
            </w:r>
            <w:r w:rsidR="00E06E17">
              <w:rPr>
                <w:rFonts w:cs="Arial"/>
                <w:color w:val="0D0D0D" w:themeColor="text1" w:themeTint="F2"/>
                <w:spacing w:val="-4"/>
                <w:szCs w:val="20"/>
              </w:rPr>
              <w:t>neboť bylo využito</w:t>
            </w:r>
            <w:r>
              <w:rPr>
                <w:rFonts w:cs="Arial"/>
                <w:color w:val="0D0D0D" w:themeColor="text1" w:themeTint="F2"/>
                <w:spacing w:val="-4"/>
                <w:szCs w:val="20"/>
              </w:rPr>
              <w:t xml:space="preserve"> </w:t>
            </w:r>
            <w:r w:rsidRPr="005B0BEF">
              <w:rPr>
                <w:rFonts w:cs="Arial"/>
                <w:color w:val="0D0D0D" w:themeColor="text1" w:themeTint="F2"/>
                <w:spacing w:val="-4"/>
                <w:szCs w:val="20"/>
              </w:rPr>
              <w:t xml:space="preserve">nové legislativní úpravy </w:t>
            </w:r>
            <w:r>
              <w:rPr>
                <w:rFonts w:cs="Arial"/>
                <w:color w:val="0D0D0D" w:themeColor="text1" w:themeTint="F2"/>
                <w:spacing w:val="-4"/>
                <w:szCs w:val="20"/>
              </w:rPr>
              <w:t xml:space="preserve">umožňující </w:t>
            </w:r>
            <w:r w:rsidRPr="005B0BEF">
              <w:rPr>
                <w:rFonts w:cs="Arial"/>
                <w:color w:val="0D0D0D" w:themeColor="text1" w:themeTint="F2"/>
                <w:spacing w:val="-4"/>
                <w:szCs w:val="20"/>
              </w:rPr>
              <w:t>zvýšit důchody nad rámec standardní valorizace</w:t>
            </w:r>
            <w:r w:rsidRPr="005B0BEF">
              <w:rPr>
                <w:rStyle w:val="Znakapoznpodarou"/>
                <w:rFonts w:cs="Arial"/>
                <w:color w:val="0D0D0D" w:themeColor="text1" w:themeTint="F2"/>
                <w:spacing w:val="-4"/>
                <w:szCs w:val="20"/>
              </w:rPr>
              <w:footnoteReference w:id="8"/>
            </w:r>
            <w:r w:rsidRPr="005B0BEF">
              <w:rPr>
                <w:rFonts w:cs="Arial"/>
                <w:color w:val="0D0D0D" w:themeColor="text1" w:themeTint="F2"/>
                <w:spacing w:val="-4"/>
                <w:szCs w:val="20"/>
              </w:rPr>
              <w:t>. Vedle toho na výši důchodů působil</w:t>
            </w:r>
            <w:r>
              <w:rPr>
                <w:rFonts w:cs="Arial"/>
                <w:spacing w:val="-4"/>
                <w:szCs w:val="20"/>
              </w:rPr>
              <w:t xml:space="preserve"> i růst mezd</w:t>
            </w:r>
            <w:r w:rsidRPr="005B0BEF">
              <w:rPr>
                <w:rFonts w:cs="Arial"/>
                <w:spacing w:val="-4"/>
                <w:szCs w:val="20"/>
              </w:rPr>
              <w:t xml:space="preserve"> (z nichž jsou důchody vyměřovány) a</w:t>
            </w:r>
            <w:r w:rsidRPr="005B0BEF">
              <w:rPr>
                <w:rFonts w:cs="Arial"/>
                <w:color w:val="000000" w:themeColor="text1"/>
                <w:spacing w:val="-5"/>
              </w:rPr>
              <w:t> </w:t>
            </w:r>
            <w:r w:rsidRPr="005B0BEF">
              <w:rPr>
                <w:rFonts w:cs="Arial"/>
                <w:spacing w:val="-4"/>
                <w:szCs w:val="20"/>
              </w:rPr>
              <w:t xml:space="preserve">také měnící se mezigenerační struktura důchodců. Počet všech příjemců důchodů meziročně stagnoval (v kategorii starobních důchodců ale došlo ke zvýšení o 0,6 %). </w:t>
            </w:r>
            <w:r w:rsidRPr="005B0BEF">
              <w:rPr>
                <w:rFonts w:cs="Arial"/>
                <w:color w:val="000000" w:themeColor="text1"/>
                <w:spacing w:val="-4"/>
              </w:rPr>
              <w:t>Deficit salda důchodového účtu (rozdíl mezi příjmy a výdaji na důchody ze SR)</w:t>
            </w:r>
            <w:r>
              <w:rPr>
                <w:rFonts w:cs="Arial"/>
                <w:color w:val="000000" w:themeColor="text1"/>
                <w:spacing w:val="-4"/>
              </w:rPr>
              <w:t xml:space="preserve"> čítal 4,6 mld. korun (v rámci 1. čtvrtletí v posledních čtyřech letech stagnoval). Pozitivně působil sílící růst výběru pojistného (+6,6 %, nejvyšší tempo od 1. čtvrtletí 2008), jenž reflektoval velmi dobrou kondici pracovního trhu.</w:t>
            </w:r>
          </w:p>
          <w:p w:rsidR="00BF7F08" w:rsidRPr="00D667A0" w:rsidRDefault="00BF7F08" w:rsidP="00A0172C">
            <w:pPr>
              <w:pStyle w:val="Textpoznpodarou"/>
              <w:jc w:val="both"/>
              <w:rPr>
                <w:rFonts w:cs="Arial"/>
                <w:color w:val="0D0D0D" w:themeColor="text1" w:themeTint="F2"/>
                <w:spacing w:val="-4"/>
                <w:sz w:val="14"/>
                <w:szCs w:val="14"/>
              </w:rPr>
            </w:pPr>
          </w:p>
        </w:tc>
      </w:tr>
      <w:tr w:rsidR="00BF7F08" w:rsidRPr="00AD0FC0" w:rsidTr="00A0172C">
        <w:trPr>
          <w:trHeight w:val="145"/>
        </w:trPr>
        <w:tc>
          <w:tcPr>
            <w:tcW w:w="1016" w:type="pct"/>
            <w:shd w:val="clear" w:color="auto" w:fill="auto"/>
          </w:tcPr>
          <w:p w:rsidR="00BF7F08" w:rsidRDefault="00BF7F08" w:rsidP="00A0172C">
            <w:pPr>
              <w:spacing w:line="240" w:lineRule="auto"/>
              <w:rPr>
                <w:rFonts w:cs="Arial"/>
                <w:bCs/>
                <w:iCs/>
                <w:color w:val="000000" w:themeColor="text1"/>
                <w:sz w:val="16"/>
                <w:szCs w:val="16"/>
              </w:rPr>
            </w:pPr>
            <w:r w:rsidRPr="009A6353">
              <w:rPr>
                <w:rFonts w:cs="Arial"/>
                <w:bCs/>
                <w:iCs/>
                <w:color w:val="000000" w:themeColor="text1"/>
                <w:sz w:val="16"/>
                <w:szCs w:val="16"/>
              </w:rPr>
              <w:t xml:space="preserve">Pokračoval růst dávek nemocenského pojištění, legislativní úpravou narostly </w:t>
            </w:r>
            <w:r>
              <w:rPr>
                <w:rFonts w:cs="Arial"/>
                <w:bCs/>
                <w:iCs/>
                <w:color w:val="000000" w:themeColor="text1"/>
                <w:sz w:val="16"/>
                <w:szCs w:val="16"/>
              </w:rPr>
              <w:t xml:space="preserve">také </w:t>
            </w:r>
            <w:r w:rsidRPr="009A6353">
              <w:rPr>
                <w:rFonts w:cs="Arial"/>
                <w:bCs/>
                <w:iCs/>
                <w:color w:val="000000" w:themeColor="text1"/>
                <w:sz w:val="16"/>
                <w:szCs w:val="16"/>
              </w:rPr>
              <w:t>příspěvky na péči</w:t>
            </w:r>
            <w:r>
              <w:rPr>
                <w:rFonts w:cs="Arial"/>
                <w:bCs/>
                <w:iCs/>
                <w:color w:val="000000" w:themeColor="text1"/>
                <w:sz w:val="16"/>
                <w:szCs w:val="16"/>
              </w:rPr>
              <w:t>…</w:t>
            </w:r>
          </w:p>
          <w:p w:rsidR="00BF7F08" w:rsidRDefault="00BF7F08" w:rsidP="00A0172C">
            <w:pPr>
              <w:spacing w:line="240" w:lineRule="auto"/>
              <w:rPr>
                <w:rFonts w:cs="Arial"/>
                <w:bCs/>
                <w:iCs/>
                <w:color w:val="000000" w:themeColor="text1"/>
                <w:sz w:val="16"/>
                <w:szCs w:val="16"/>
              </w:rPr>
            </w:pPr>
          </w:p>
          <w:p w:rsidR="00BF7F08" w:rsidRPr="009A6353" w:rsidRDefault="00BF7F08" w:rsidP="00A0172C">
            <w:pPr>
              <w:spacing w:line="240" w:lineRule="auto"/>
              <w:rPr>
                <w:rFonts w:cs="Arial"/>
                <w:bCs/>
                <w:iCs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bCs/>
                <w:iCs/>
                <w:color w:val="000000" w:themeColor="text1"/>
                <w:sz w:val="16"/>
                <w:szCs w:val="16"/>
              </w:rPr>
              <w:t>…příznivější finanční situace domácností se odrazila v redukci objemu dávek hmotné nouze, státní sociální podpory i podpory nezaměstnaným.</w:t>
            </w:r>
          </w:p>
        </w:tc>
        <w:tc>
          <w:tcPr>
            <w:tcW w:w="144" w:type="pct"/>
          </w:tcPr>
          <w:p w:rsidR="00BF7F08" w:rsidRPr="00A90EFD" w:rsidRDefault="00BF7F08" w:rsidP="00A0172C">
            <w:pPr>
              <w:pStyle w:val="Textpoznpodarou"/>
              <w:jc w:val="both"/>
              <w:rPr>
                <w:rFonts w:cs="Arial"/>
                <w:color w:val="0D0D0D" w:themeColor="text1" w:themeTint="F2"/>
              </w:rPr>
            </w:pPr>
          </w:p>
        </w:tc>
        <w:tc>
          <w:tcPr>
            <w:tcW w:w="3840" w:type="pct"/>
          </w:tcPr>
          <w:p w:rsidR="00BF7F08" w:rsidRPr="00424D9B" w:rsidRDefault="00BF7F08" w:rsidP="00A0172C">
            <w:pPr>
              <w:pStyle w:val="Default"/>
              <w:jc w:val="both"/>
              <w:rPr>
                <w:sz w:val="20"/>
                <w:szCs w:val="20"/>
              </w:rPr>
            </w:pPr>
            <w:r w:rsidRPr="00424D9B">
              <w:rPr>
                <w:color w:val="0D0D0D" w:themeColor="text1" w:themeTint="F2"/>
                <w:sz w:val="20"/>
                <w:szCs w:val="20"/>
              </w:rPr>
              <w:t xml:space="preserve">Výdaje na ostatní sociální dávky činily 30 mld. korun (meziroční zvýšení o 4,3 %). Za zrychlením růstu stály především vyšší </w:t>
            </w:r>
            <w:r w:rsidRPr="00424D9B">
              <w:rPr>
                <w:color w:val="000000" w:themeColor="text1"/>
                <w:sz w:val="20"/>
                <w:szCs w:val="20"/>
              </w:rPr>
              <w:t xml:space="preserve">výdaje na dávky nemocenského pojištění (za poslední tři roky o více než třetinu). Souviselo to s růstem pracovní neschopnosti, mezd (ovlivňujících </w:t>
            </w:r>
            <w:r w:rsidRPr="00424D9B">
              <w:rPr>
                <w:sz w:val="20"/>
                <w:szCs w:val="20"/>
              </w:rPr>
              <w:t>výši p</w:t>
            </w:r>
            <w:r w:rsidR="00E06E17">
              <w:rPr>
                <w:sz w:val="20"/>
                <w:szCs w:val="20"/>
              </w:rPr>
              <w:t>růměrné denní dávky nemocenské</w:t>
            </w:r>
            <w:r w:rsidRPr="00424D9B">
              <w:rPr>
                <w:sz w:val="20"/>
                <w:szCs w:val="20"/>
              </w:rPr>
              <w:t>) i</w:t>
            </w:r>
            <w:r w:rsidRPr="00424D9B">
              <w:rPr>
                <w:color w:val="000000" w:themeColor="text1"/>
                <w:sz w:val="20"/>
                <w:szCs w:val="20"/>
              </w:rPr>
              <w:t> </w:t>
            </w:r>
            <w:r w:rsidRPr="00424D9B">
              <w:rPr>
                <w:sz w:val="20"/>
                <w:szCs w:val="20"/>
              </w:rPr>
              <w:t xml:space="preserve">vyšším čerpáním peněžité pomoci v mateřství. O 6 % posílily i dávky sociální péče (působením vyšších dávek pro </w:t>
            </w:r>
            <w:r w:rsidR="00E06E17">
              <w:rPr>
                <w:sz w:val="20"/>
                <w:szCs w:val="20"/>
              </w:rPr>
              <w:t>zdravotně postižené a valorizace</w:t>
            </w:r>
            <w:r w:rsidRPr="00424D9B">
              <w:rPr>
                <w:sz w:val="20"/>
                <w:szCs w:val="20"/>
              </w:rPr>
              <w:t xml:space="preserve"> příspěvků na péči, které převýšily efekt poklesu dávek pomoci v hmotné nouzi o 15 %). Váhově významné dávky státní sociální podpory, obdobně jako podpora v nezaměstnanosti, se mírně snížily (o</w:t>
            </w:r>
            <w:r w:rsidRPr="00424D9B">
              <w:rPr>
                <w:color w:val="000000" w:themeColor="text1"/>
                <w:sz w:val="20"/>
                <w:szCs w:val="20"/>
              </w:rPr>
              <w:t> </w:t>
            </w:r>
            <w:r w:rsidRPr="00424D9B">
              <w:rPr>
                <w:sz w:val="20"/>
                <w:szCs w:val="20"/>
              </w:rPr>
              <w:t>1</w:t>
            </w:r>
            <w:r w:rsidRPr="00424D9B">
              <w:rPr>
                <w:color w:val="000000" w:themeColor="text1"/>
                <w:sz w:val="20"/>
                <w:szCs w:val="20"/>
              </w:rPr>
              <w:t> </w:t>
            </w:r>
            <w:r w:rsidRPr="00424D9B">
              <w:rPr>
                <w:sz w:val="20"/>
                <w:szCs w:val="20"/>
              </w:rPr>
              <w:t>%). Obě tak odrážely příznivější finanční situaci domácností.</w:t>
            </w:r>
          </w:p>
          <w:p w:rsidR="00BF7F08" w:rsidRPr="00D479D5" w:rsidRDefault="00BF7F08" w:rsidP="00A0172C">
            <w:pPr>
              <w:pStyle w:val="Textpoznpodarou"/>
              <w:jc w:val="both"/>
              <w:rPr>
                <w:rFonts w:cs="Arial"/>
                <w:color w:val="0D0D0D" w:themeColor="text1" w:themeTint="F2"/>
                <w:spacing w:val="-4"/>
                <w:sz w:val="14"/>
                <w:szCs w:val="14"/>
              </w:rPr>
            </w:pPr>
          </w:p>
        </w:tc>
      </w:tr>
    </w:tbl>
    <w:p w:rsidR="00BF7F08" w:rsidRDefault="00BF7F08" w:rsidP="008A03DE">
      <w:pPr>
        <w:pStyle w:val="Textpoznpodarou"/>
        <w:jc w:val="both"/>
        <w:rPr>
          <w:rFonts w:cs="Arial"/>
          <w:color w:val="000000"/>
          <w:spacing w:val="-2"/>
          <w:sz w:val="16"/>
          <w:szCs w:val="16"/>
        </w:rPr>
      </w:pPr>
    </w:p>
    <w:p w:rsidR="00AC39B0" w:rsidRDefault="00AC39B0" w:rsidP="008A03DE">
      <w:pPr>
        <w:pStyle w:val="Textpoznpodarou"/>
        <w:jc w:val="both"/>
        <w:rPr>
          <w:rFonts w:cs="Arial"/>
          <w:color w:val="000000"/>
          <w:spacing w:val="-2"/>
          <w:sz w:val="16"/>
          <w:szCs w:val="16"/>
        </w:rPr>
      </w:pPr>
    </w:p>
    <w:p w:rsidR="00AC39B0" w:rsidRDefault="00AC39B0" w:rsidP="008A03DE">
      <w:pPr>
        <w:pStyle w:val="Textpoznpodarou"/>
        <w:jc w:val="both"/>
        <w:rPr>
          <w:rFonts w:cs="Arial"/>
          <w:color w:val="000000"/>
          <w:spacing w:val="-2"/>
          <w:sz w:val="16"/>
          <w:szCs w:val="16"/>
        </w:rPr>
      </w:pPr>
    </w:p>
    <w:p w:rsidR="00AC39B0" w:rsidRDefault="00AC39B0" w:rsidP="008A03DE">
      <w:pPr>
        <w:pStyle w:val="Textpoznpodarou"/>
        <w:jc w:val="both"/>
        <w:rPr>
          <w:rFonts w:cs="Arial"/>
          <w:color w:val="000000"/>
          <w:spacing w:val="-2"/>
          <w:sz w:val="16"/>
          <w:szCs w:val="16"/>
        </w:rPr>
      </w:pPr>
    </w:p>
    <w:p w:rsidR="00AC39B0" w:rsidRDefault="00AC39B0" w:rsidP="008A03DE">
      <w:pPr>
        <w:pStyle w:val="Textpoznpodarou"/>
        <w:jc w:val="both"/>
        <w:rPr>
          <w:rFonts w:cs="Arial"/>
          <w:color w:val="000000"/>
          <w:spacing w:val="-2"/>
          <w:sz w:val="16"/>
          <w:szCs w:val="16"/>
        </w:rPr>
      </w:pPr>
    </w:p>
    <w:p w:rsidR="00AC39B0" w:rsidRDefault="00AC39B0" w:rsidP="008A03DE">
      <w:pPr>
        <w:pStyle w:val="Textpoznpodarou"/>
        <w:jc w:val="both"/>
        <w:rPr>
          <w:rFonts w:cs="Arial"/>
          <w:color w:val="000000"/>
          <w:spacing w:val="-2"/>
          <w:sz w:val="16"/>
          <w:szCs w:val="16"/>
        </w:rPr>
      </w:pPr>
    </w:p>
    <w:tbl>
      <w:tblPr>
        <w:tblW w:w="4963" w:type="pct"/>
        <w:tblInd w:w="108" w:type="dxa"/>
        <w:tblLayout w:type="fixed"/>
        <w:tblLook w:val="00A0"/>
      </w:tblPr>
      <w:tblGrid>
        <w:gridCol w:w="1997"/>
        <w:gridCol w:w="284"/>
        <w:gridCol w:w="1119"/>
        <w:gridCol w:w="6381"/>
      </w:tblGrid>
      <w:tr w:rsidR="0007324C" w:rsidRPr="00AA4A76" w:rsidTr="00A0172C">
        <w:trPr>
          <w:trHeight w:val="145"/>
        </w:trPr>
        <w:tc>
          <w:tcPr>
            <w:tcW w:w="1021" w:type="pct"/>
            <w:shd w:val="clear" w:color="auto" w:fill="auto"/>
          </w:tcPr>
          <w:p w:rsidR="0007324C" w:rsidRPr="00AA4A76" w:rsidRDefault="0007324C" w:rsidP="00A0172C">
            <w:pPr>
              <w:spacing w:line="240" w:lineRule="auto"/>
              <w:jc w:val="center"/>
              <w:rPr>
                <w:color w:val="000000"/>
                <w:szCs w:val="20"/>
              </w:rPr>
            </w:pPr>
          </w:p>
        </w:tc>
        <w:tc>
          <w:tcPr>
            <w:tcW w:w="145" w:type="pct"/>
          </w:tcPr>
          <w:p w:rsidR="0007324C" w:rsidRPr="00AA4A76" w:rsidRDefault="0007324C" w:rsidP="00A0172C">
            <w:pPr>
              <w:pStyle w:val="Textpoznpodarou"/>
              <w:jc w:val="both"/>
              <w:rPr>
                <w:highlight w:val="yellow"/>
              </w:rPr>
            </w:pPr>
          </w:p>
        </w:tc>
        <w:tc>
          <w:tcPr>
            <w:tcW w:w="572" w:type="pct"/>
          </w:tcPr>
          <w:p w:rsidR="0007324C" w:rsidRPr="00AA4A76" w:rsidRDefault="0007324C" w:rsidP="00A0172C">
            <w:pPr>
              <w:pStyle w:val="Textpoznpodarou"/>
              <w:jc w:val="both"/>
              <w:rPr>
                <w:highlight w:val="yellow"/>
              </w:rPr>
            </w:pPr>
            <w:r>
              <w:rPr>
                <w:color w:val="000000"/>
              </w:rPr>
              <w:t xml:space="preserve">Graf č. </w:t>
            </w:r>
            <w:r w:rsidR="00CD5493">
              <w:rPr>
                <w:color w:val="000000"/>
              </w:rPr>
              <w:t>21</w:t>
            </w:r>
          </w:p>
        </w:tc>
        <w:tc>
          <w:tcPr>
            <w:tcW w:w="3262" w:type="pct"/>
          </w:tcPr>
          <w:p w:rsidR="0007324C" w:rsidRPr="007E5880" w:rsidRDefault="001C0E66" w:rsidP="00A0172C">
            <w:pPr>
              <w:pStyle w:val="Textpoznpodarou"/>
              <w:rPr>
                <w:spacing w:val="-2"/>
                <w:lang w:eastAsia="en-US"/>
              </w:rPr>
            </w:pPr>
            <w:r w:rsidRPr="007E5880">
              <w:rPr>
                <w:rFonts w:cs="Arial"/>
                <w:b/>
                <w:bCs/>
                <w:spacing w:val="-2"/>
              </w:rPr>
              <w:t>Příjemci důchodů</w:t>
            </w:r>
            <w:r w:rsidRPr="007E5880">
              <w:rPr>
                <w:rFonts w:cs="Arial"/>
                <w:bCs/>
                <w:spacing w:val="-2"/>
              </w:rPr>
              <w:t>,</w:t>
            </w:r>
            <w:r w:rsidRPr="007E5880">
              <w:rPr>
                <w:rFonts w:cs="Arial"/>
                <w:b/>
                <w:bCs/>
                <w:spacing w:val="-2"/>
              </w:rPr>
              <w:t xml:space="preserve"> příjmy </w:t>
            </w:r>
            <w:r w:rsidR="007E5880" w:rsidRPr="007E5880">
              <w:rPr>
                <w:rFonts w:cs="Arial"/>
                <w:b/>
                <w:bCs/>
                <w:spacing w:val="-2"/>
              </w:rPr>
              <w:t>i</w:t>
            </w:r>
            <w:r w:rsidRPr="007E5880">
              <w:rPr>
                <w:rFonts w:cs="Arial"/>
                <w:b/>
                <w:bCs/>
                <w:spacing w:val="-2"/>
              </w:rPr>
              <w:t xml:space="preserve"> výdaje na důchody ze SR </w:t>
            </w:r>
            <w:r w:rsidR="007E5880" w:rsidRPr="007E5880">
              <w:rPr>
                <w:rFonts w:cs="Arial"/>
                <w:bCs/>
                <w:spacing w:val="-2"/>
              </w:rPr>
              <w:t>(</w:t>
            </w:r>
            <w:proofErr w:type="spellStart"/>
            <w:r w:rsidR="007E5880" w:rsidRPr="007E5880">
              <w:rPr>
                <w:spacing w:val="-2"/>
              </w:rPr>
              <w:t>meziroč</w:t>
            </w:r>
            <w:proofErr w:type="spellEnd"/>
            <w:r w:rsidR="007E5880" w:rsidRPr="007E5880">
              <w:rPr>
                <w:spacing w:val="-2"/>
              </w:rPr>
              <w:t>.</w:t>
            </w:r>
            <w:r w:rsidR="007E5880" w:rsidRPr="007E5880">
              <w:rPr>
                <w:bCs/>
                <w:spacing w:val="-2"/>
              </w:rPr>
              <w:t xml:space="preserve"> v %)</w:t>
            </w:r>
            <w:r w:rsidR="007E5880" w:rsidRPr="007E5880">
              <w:rPr>
                <w:rFonts w:cs="Arial"/>
                <w:bCs/>
                <w:spacing w:val="-2"/>
              </w:rPr>
              <w:t xml:space="preserve"> </w:t>
            </w:r>
            <w:r w:rsidRPr="007E5880">
              <w:rPr>
                <w:rFonts w:cs="Arial"/>
                <w:b/>
                <w:bCs/>
                <w:spacing w:val="-2"/>
              </w:rPr>
              <w:t xml:space="preserve">a bilance důchodového účtu </w:t>
            </w:r>
            <w:r w:rsidRPr="007E5880">
              <w:rPr>
                <w:rFonts w:cs="Arial"/>
                <w:bCs/>
                <w:spacing w:val="-2"/>
              </w:rPr>
              <w:t xml:space="preserve">(v mld. korun) </w:t>
            </w:r>
            <w:r w:rsidRPr="007E5880">
              <w:rPr>
                <w:rFonts w:cs="Arial"/>
                <w:b/>
                <w:bCs/>
                <w:spacing w:val="-2"/>
              </w:rPr>
              <w:t>v 1. čtvrtletích roku</w:t>
            </w:r>
          </w:p>
        </w:tc>
      </w:tr>
      <w:tr w:rsidR="0007324C" w:rsidRPr="00AA4A76" w:rsidTr="00A0172C">
        <w:trPr>
          <w:trHeight w:val="145"/>
        </w:trPr>
        <w:tc>
          <w:tcPr>
            <w:tcW w:w="1021" w:type="pct"/>
            <w:shd w:val="clear" w:color="auto" w:fill="auto"/>
          </w:tcPr>
          <w:p w:rsidR="0007324C" w:rsidRPr="006D3F53" w:rsidRDefault="0007324C" w:rsidP="00A0172C">
            <w:pPr>
              <w:spacing w:line="240" w:lineRule="auto"/>
              <w:rPr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45" w:type="pct"/>
          </w:tcPr>
          <w:p w:rsidR="0007324C" w:rsidRPr="00A74192" w:rsidRDefault="0007324C" w:rsidP="00A0172C">
            <w:pPr>
              <w:pStyle w:val="Textpoznpodarou"/>
              <w:jc w:val="both"/>
            </w:pPr>
          </w:p>
        </w:tc>
        <w:tc>
          <w:tcPr>
            <w:tcW w:w="3833" w:type="pct"/>
            <w:gridSpan w:val="2"/>
          </w:tcPr>
          <w:p w:rsidR="0007324C" w:rsidRDefault="007E5880" w:rsidP="00A0172C">
            <w:pPr>
              <w:pStyle w:val="Textpoznpodarou"/>
              <w:ind w:left="-124"/>
              <w:jc w:val="both"/>
              <w:rPr>
                <w:sz w:val="16"/>
                <w:szCs w:val="16"/>
              </w:rPr>
            </w:pPr>
            <w:r w:rsidRPr="007E5880">
              <w:rPr>
                <w:noProof/>
                <w:sz w:val="16"/>
                <w:szCs w:val="16"/>
              </w:rPr>
              <w:drawing>
                <wp:inline distT="0" distB="0" distL="0" distR="0">
                  <wp:extent cx="4735115" cy="3553200"/>
                  <wp:effectExtent l="0" t="0" r="0" b="0"/>
                  <wp:docPr id="18" name="Graf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1"/>
                    </a:graphicData>
                  </a:graphic>
                </wp:inline>
              </w:drawing>
            </w:r>
          </w:p>
          <w:p w:rsidR="0007324C" w:rsidRPr="007E5880" w:rsidRDefault="001C0E66" w:rsidP="00A0172C">
            <w:pPr>
              <w:pStyle w:val="Textpoznpodarou"/>
              <w:ind w:left="-124"/>
              <w:jc w:val="right"/>
              <w:rPr>
                <w:sz w:val="14"/>
                <w:szCs w:val="14"/>
              </w:rPr>
            </w:pPr>
            <w:r w:rsidRPr="007E5880">
              <w:rPr>
                <w:sz w:val="14"/>
                <w:szCs w:val="14"/>
              </w:rPr>
              <w:t>Zdroj: MF, ČSSZ</w:t>
            </w:r>
          </w:p>
        </w:tc>
      </w:tr>
    </w:tbl>
    <w:p w:rsidR="00CE7158" w:rsidRPr="0007324C" w:rsidRDefault="00CE7158" w:rsidP="008A03DE">
      <w:pPr>
        <w:pStyle w:val="Textpoznpodarou"/>
        <w:jc w:val="both"/>
        <w:rPr>
          <w:rFonts w:cs="Arial"/>
          <w:color w:val="000000"/>
          <w:spacing w:val="-2"/>
          <w:sz w:val="18"/>
          <w:szCs w:val="18"/>
        </w:rPr>
      </w:pPr>
    </w:p>
    <w:tbl>
      <w:tblPr>
        <w:tblW w:w="4995" w:type="pct"/>
        <w:tblInd w:w="108" w:type="dxa"/>
        <w:tblLayout w:type="fixed"/>
        <w:tblLook w:val="00A0"/>
      </w:tblPr>
      <w:tblGrid>
        <w:gridCol w:w="2000"/>
        <w:gridCol w:w="284"/>
        <w:gridCol w:w="7560"/>
      </w:tblGrid>
      <w:tr w:rsidR="00BF7F08" w:rsidRPr="00F06A1D" w:rsidTr="00A0172C">
        <w:trPr>
          <w:trHeight w:val="145"/>
        </w:trPr>
        <w:tc>
          <w:tcPr>
            <w:tcW w:w="1016" w:type="pct"/>
            <w:shd w:val="clear" w:color="auto" w:fill="auto"/>
          </w:tcPr>
          <w:p w:rsidR="00BF7F08" w:rsidRDefault="00BF7F08" w:rsidP="00A0172C">
            <w:pPr>
              <w:spacing w:line="240" w:lineRule="auto"/>
              <w:rPr>
                <w:rFonts w:cs="Arial"/>
                <w:bCs/>
                <w:iCs/>
                <w:color w:val="0D0D0D" w:themeColor="text1" w:themeTint="F2"/>
                <w:sz w:val="16"/>
                <w:szCs w:val="16"/>
              </w:rPr>
            </w:pPr>
            <w:r>
              <w:rPr>
                <w:rFonts w:cs="Arial"/>
                <w:bCs/>
                <w:iCs/>
                <w:color w:val="0D0D0D" w:themeColor="text1" w:themeTint="F2"/>
                <w:sz w:val="16"/>
                <w:szCs w:val="16"/>
              </w:rPr>
              <w:t>Výše státního dluhu během 1. čtvrtletí prudce narostla a dosáhla nejvyšší hodnoty v historii ČR</w:t>
            </w:r>
            <w:r w:rsidR="00E06E17">
              <w:rPr>
                <w:rFonts w:cs="Arial"/>
                <w:bCs/>
                <w:iCs/>
                <w:color w:val="0D0D0D" w:themeColor="text1" w:themeTint="F2"/>
                <w:sz w:val="16"/>
                <w:szCs w:val="16"/>
              </w:rPr>
              <w:t>,</w:t>
            </w:r>
            <w:r>
              <w:rPr>
                <w:rFonts w:cs="Arial"/>
                <w:bCs/>
                <w:iCs/>
                <w:color w:val="0D0D0D" w:themeColor="text1" w:themeTint="F2"/>
                <w:sz w:val="16"/>
                <w:szCs w:val="16"/>
              </w:rPr>
              <w:t>…</w:t>
            </w:r>
          </w:p>
          <w:p w:rsidR="00BF7F08" w:rsidRDefault="00BF7F08" w:rsidP="00A0172C">
            <w:pPr>
              <w:spacing w:line="240" w:lineRule="auto"/>
              <w:rPr>
                <w:rFonts w:cs="Arial"/>
                <w:bCs/>
                <w:iCs/>
                <w:color w:val="0D0D0D" w:themeColor="text1" w:themeTint="F2"/>
                <w:sz w:val="16"/>
                <w:szCs w:val="16"/>
              </w:rPr>
            </w:pPr>
          </w:p>
          <w:p w:rsidR="00BF7F08" w:rsidRDefault="00BF7F08" w:rsidP="00A0172C">
            <w:pPr>
              <w:spacing w:line="240" w:lineRule="auto"/>
              <w:rPr>
                <w:rFonts w:cs="Arial"/>
                <w:bCs/>
                <w:iCs/>
                <w:color w:val="0D0D0D" w:themeColor="text1" w:themeTint="F2"/>
                <w:sz w:val="16"/>
                <w:szCs w:val="16"/>
              </w:rPr>
            </w:pPr>
          </w:p>
          <w:p w:rsidR="00BF7F08" w:rsidRDefault="00BF7F08" w:rsidP="00A0172C">
            <w:pPr>
              <w:spacing w:line="240" w:lineRule="auto"/>
              <w:rPr>
                <w:rFonts w:cs="Arial"/>
                <w:bCs/>
                <w:iCs/>
                <w:color w:val="0D0D0D" w:themeColor="text1" w:themeTint="F2"/>
                <w:sz w:val="16"/>
                <w:szCs w:val="16"/>
              </w:rPr>
            </w:pPr>
            <w:r>
              <w:rPr>
                <w:rFonts w:cs="Arial"/>
                <w:bCs/>
                <w:iCs/>
                <w:color w:val="0D0D0D" w:themeColor="text1" w:themeTint="F2"/>
                <w:sz w:val="16"/>
                <w:szCs w:val="16"/>
              </w:rPr>
              <w:t>…byla však ovlivněna specifickou situací na dluhopisovém trhu odrážející očekávání blížícího se ukončení režimu devizových intervencí.</w:t>
            </w:r>
          </w:p>
          <w:p w:rsidR="00BF7F08" w:rsidRPr="00DB3D34" w:rsidRDefault="00BF7F08" w:rsidP="00A0172C">
            <w:pPr>
              <w:spacing w:line="240" w:lineRule="auto"/>
              <w:rPr>
                <w:rFonts w:cs="Arial"/>
                <w:bCs/>
                <w:iCs/>
                <w:color w:val="0D0D0D" w:themeColor="text1" w:themeTint="F2"/>
                <w:sz w:val="16"/>
                <w:szCs w:val="16"/>
              </w:rPr>
            </w:pPr>
            <w:r>
              <w:rPr>
                <w:rFonts w:cs="Arial"/>
                <w:bCs/>
                <w:iCs/>
                <w:color w:val="0D0D0D" w:themeColor="text1" w:themeTint="F2"/>
                <w:sz w:val="16"/>
                <w:szCs w:val="16"/>
              </w:rPr>
              <w:t>.</w:t>
            </w:r>
          </w:p>
        </w:tc>
        <w:tc>
          <w:tcPr>
            <w:tcW w:w="144" w:type="pct"/>
          </w:tcPr>
          <w:p w:rsidR="00BF7F08" w:rsidRPr="00A90EFD" w:rsidRDefault="00BF7F08" w:rsidP="00A0172C">
            <w:pPr>
              <w:pStyle w:val="Textpoznpodarou"/>
              <w:jc w:val="both"/>
              <w:rPr>
                <w:rFonts w:cs="Arial"/>
                <w:color w:val="0D0D0D" w:themeColor="text1" w:themeTint="F2"/>
              </w:rPr>
            </w:pPr>
          </w:p>
        </w:tc>
        <w:tc>
          <w:tcPr>
            <w:tcW w:w="3840" w:type="pct"/>
          </w:tcPr>
          <w:p w:rsidR="00BF7F08" w:rsidRPr="00E06E17" w:rsidRDefault="00BF7F08" w:rsidP="00A0172C">
            <w:pPr>
              <w:pStyle w:val="Textpoznpodarou"/>
              <w:jc w:val="both"/>
              <w:rPr>
                <w:color w:val="000000" w:themeColor="text1"/>
                <w:spacing w:val="-2"/>
              </w:rPr>
            </w:pPr>
            <w:r w:rsidRPr="00E06E17">
              <w:rPr>
                <w:spacing w:val="-2"/>
              </w:rPr>
              <w:t>Státní dluh dosáhl na konci března 1789 mld. korun a během 1. čtvrtletí se navýšil o</w:t>
            </w:r>
            <w:r w:rsidRPr="00E06E17">
              <w:rPr>
                <w:rFonts w:cs="Arial"/>
                <w:color w:val="000000" w:themeColor="text1"/>
                <w:spacing w:val="-2"/>
              </w:rPr>
              <w:t> </w:t>
            </w:r>
            <w:r w:rsidRPr="00E06E17">
              <w:rPr>
                <w:spacing w:val="-2"/>
              </w:rPr>
              <w:t xml:space="preserve">téměř </w:t>
            </w:r>
            <w:r w:rsidRPr="00E06E17">
              <w:rPr>
                <w:rFonts w:cs="Arial"/>
                <w:spacing w:val="-2"/>
              </w:rPr>
              <w:t>11 % (po většinu loňského roku se přitom dluh redukoval). Dosud nejvyšší úroveň zadlužení (z konce března 2013) tak převýšil o 73 mld. Prudký nárůst dluhu souvisel s větším objemem vydaných střednědobých a dlouhodobých státních dluhopisů (SDD) určených na krytí splátek SDD, které se očekává ve zbývající části letošního roku. V 1. čtvrtletí došlo také k emisi státních pokladničních poukázek (za 70 mld. korun) realizované jen z důvodu využití záporných výnosů</w:t>
            </w:r>
            <w:r w:rsidRPr="00E06E17">
              <w:rPr>
                <w:rStyle w:val="Znakapoznpodarou"/>
                <w:rFonts w:cs="Arial"/>
                <w:spacing w:val="-2"/>
              </w:rPr>
              <w:footnoteReference w:id="9"/>
            </w:r>
            <w:r w:rsidRPr="00E06E17">
              <w:rPr>
                <w:rFonts w:cs="Arial"/>
                <w:spacing w:val="-2"/>
              </w:rPr>
              <w:t>. Tyto operace měly vliv pouze na vnitřní zadluženost, neboť korunová hodnota vnějšího dluhu při minimálním pohybu na straně výpůjček i splátek fakticky stagnovala (</w:t>
            </w:r>
            <w:r w:rsidRPr="00E06E17">
              <w:rPr>
                <w:color w:val="000000" w:themeColor="text1"/>
                <w:spacing w:val="-2"/>
              </w:rPr>
              <w:t>vnější dluh se na celkové zadluženosti státu podílel 15,1</w:t>
            </w:r>
            <w:r w:rsidRPr="00E06E17">
              <w:rPr>
                <w:rFonts w:cs="Arial"/>
                <w:color w:val="000000" w:themeColor="text1"/>
                <w:spacing w:val="-2"/>
              </w:rPr>
              <w:t> </w:t>
            </w:r>
            <w:r w:rsidRPr="00E06E17">
              <w:rPr>
                <w:color w:val="000000" w:themeColor="text1"/>
                <w:spacing w:val="-2"/>
              </w:rPr>
              <w:t xml:space="preserve">% </w:t>
            </w:r>
            <w:r w:rsidRPr="00E06E17">
              <w:rPr>
                <w:rFonts w:cs="Arial"/>
                <w:color w:val="000000" w:themeColor="text1"/>
                <w:spacing w:val="-2"/>
              </w:rPr>
              <w:t xml:space="preserve">– </w:t>
            </w:r>
            <w:r w:rsidRPr="00E06E17">
              <w:rPr>
                <w:color w:val="000000" w:themeColor="text1"/>
                <w:spacing w:val="-2"/>
              </w:rPr>
              <w:t>nejméně od konce roku 2004). V první třetině roku vrcholil příliv spekulativního kapitálu do ČR v souvislosti s očekávaným ukončením režimu devizových</w:t>
            </w:r>
            <w:r w:rsidR="00E06E17" w:rsidRPr="00E06E17">
              <w:rPr>
                <w:color w:val="000000" w:themeColor="text1"/>
                <w:spacing w:val="-2"/>
              </w:rPr>
              <w:t xml:space="preserve"> intervencí. Vypovídá o tom i siln</w:t>
            </w:r>
            <w:r w:rsidRPr="00E06E17">
              <w:rPr>
                <w:color w:val="000000" w:themeColor="text1"/>
                <w:spacing w:val="-2"/>
              </w:rPr>
              <w:t>ý růst objemu českých dluhopisů v držbě zahraničních investorů. Zatímco ti na konci roku 2016 vlastnili korunové dluhopisy v hodnotě</w:t>
            </w:r>
            <w:r w:rsidR="00E06E17" w:rsidRPr="00E06E17">
              <w:rPr>
                <w:color w:val="000000" w:themeColor="text1"/>
                <w:spacing w:val="-2"/>
              </w:rPr>
              <w:t xml:space="preserve"> 424 </w:t>
            </w:r>
            <w:r w:rsidRPr="00E06E17">
              <w:rPr>
                <w:color w:val="000000" w:themeColor="text1"/>
                <w:spacing w:val="-2"/>
              </w:rPr>
              <w:t>mld. korun, na konci letošního dubna již za 718 mld. korun (což odpovídalo bezmála polovině hodnoty všech korunových dluhopisů).</w:t>
            </w:r>
          </w:p>
          <w:p w:rsidR="00BF7F08" w:rsidRPr="00BF7F08" w:rsidRDefault="00BF7F08" w:rsidP="00A0172C">
            <w:pPr>
              <w:pStyle w:val="Textpoznpodarou"/>
              <w:jc w:val="both"/>
              <w:rPr>
                <w:rFonts w:cs="Arial"/>
                <w:color w:val="000000" w:themeColor="text1"/>
                <w:sz w:val="14"/>
                <w:szCs w:val="14"/>
              </w:rPr>
            </w:pPr>
          </w:p>
        </w:tc>
      </w:tr>
      <w:tr w:rsidR="00BF7F08" w:rsidRPr="0094422D" w:rsidTr="00A0172C">
        <w:trPr>
          <w:trHeight w:val="145"/>
        </w:trPr>
        <w:tc>
          <w:tcPr>
            <w:tcW w:w="1016" w:type="pct"/>
            <w:shd w:val="clear" w:color="auto" w:fill="auto"/>
          </w:tcPr>
          <w:p w:rsidR="00BF7F08" w:rsidRPr="00513B29" w:rsidRDefault="00BF7F08" w:rsidP="00A0172C">
            <w:pPr>
              <w:spacing w:line="240" w:lineRule="auto"/>
              <w:rPr>
                <w:rFonts w:cs="Arial"/>
                <w:bCs/>
                <w:iCs/>
                <w:color w:val="0D0D0D" w:themeColor="text1" w:themeTint="F2"/>
                <w:sz w:val="16"/>
                <w:szCs w:val="16"/>
              </w:rPr>
            </w:pPr>
            <w:r w:rsidRPr="00513B29">
              <w:rPr>
                <w:rFonts w:cs="Arial"/>
                <w:bCs/>
                <w:iCs/>
                <w:color w:val="0D0D0D" w:themeColor="text1" w:themeTint="F2"/>
                <w:sz w:val="16"/>
                <w:szCs w:val="16"/>
              </w:rPr>
              <w:t xml:space="preserve">Relativní výše dluhu sektoru vládních institucí klesla </w:t>
            </w:r>
            <w:r w:rsidR="00E06E17">
              <w:rPr>
                <w:rFonts w:cs="Arial"/>
                <w:bCs/>
                <w:iCs/>
                <w:color w:val="0D0D0D" w:themeColor="text1" w:themeTint="F2"/>
                <w:sz w:val="16"/>
                <w:szCs w:val="16"/>
              </w:rPr>
              <w:t>v Česku loni o 3,1 </w:t>
            </w:r>
            <w:proofErr w:type="spellStart"/>
            <w:proofErr w:type="gramStart"/>
            <w:r>
              <w:rPr>
                <w:rFonts w:cs="Arial"/>
                <w:bCs/>
                <w:iCs/>
                <w:color w:val="0D0D0D" w:themeColor="text1" w:themeTint="F2"/>
                <w:sz w:val="16"/>
                <w:szCs w:val="16"/>
              </w:rPr>
              <w:t>p.b</w:t>
            </w:r>
            <w:proofErr w:type="spellEnd"/>
            <w:r>
              <w:rPr>
                <w:rFonts w:cs="Arial"/>
                <w:bCs/>
                <w:iCs/>
                <w:color w:val="0D0D0D" w:themeColor="text1" w:themeTint="F2"/>
                <w:sz w:val="16"/>
                <w:szCs w:val="16"/>
              </w:rPr>
              <w:t>., především</w:t>
            </w:r>
            <w:proofErr w:type="gramEnd"/>
            <w:r>
              <w:rPr>
                <w:rFonts w:cs="Arial"/>
                <w:bCs/>
                <w:iCs/>
                <w:color w:val="0D0D0D" w:themeColor="text1" w:themeTint="F2"/>
                <w:sz w:val="16"/>
                <w:szCs w:val="16"/>
              </w:rPr>
              <w:t xml:space="preserve"> vlivem redukce nominální hodnoty dluhu.</w:t>
            </w:r>
          </w:p>
          <w:p w:rsidR="00BF7F08" w:rsidRDefault="00BF7F08" w:rsidP="00A0172C">
            <w:pPr>
              <w:spacing w:line="240" w:lineRule="auto"/>
              <w:rPr>
                <w:rFonts w:cs="Arial"/>
                <w:bCs/>
                <w:iCs/>
                <w:color w:val="0D0D0D" w:themeColor="text1" w:themeTint="F2"/>
                <w:sz w:val="16"/>
                <w:szCs w:val="16"/>
              </w:rPr>
            </w:pPr>
          </w:p>
          <w:p w:rsidR="006F3A90" w:rsidRPr="00513B29" w:rsidRDefault="006F3A90" w:rsidP="00A0172C">
            <w:pPr>
              <w:spacing w:line="240" w:lineRule="auto"/>
              <w:rPr>
                <w:rFonts w:cs="Arial"/>
                <w:bCs/>
                <w:iCs/>
                <w:color w:val="0D0D0D" w:themeColor="text1" w:themeTint="F2"/>
                <w:sz w:val="16"/>
                <w:szCs w:val="16"/>
              </w:rPr>
            </w:pPr>
          </w:p>
          <w:p w:rsidR="00BF7F08" w:rsidRPr="00513B29" w:rsidRDefault="00BF7F08" w:rsidP="00A0172C">
            <w:pPr>
              <w:spacing w:line="240" w:lineRule="auto"/>
              <w:rPr>
                <w:rFonts w:cs="Arial"/>
                <w:bCs/>
                <w:iCs/>
                <w:color w:val="0D0D0D" w:themeColor="text1" w:themeTint="F2"/>
                <w:sz w:val="16"/>
                <w:szCs w:val="16"/>
              </w:rPr>
            </w:pPr>
          </w:p>
          <w:p w:rsidR="00BF7F08" w:rsidRDefault="00BF7F08" w:rsidP="00A0172C">
            <w:pPr>
              <w:spacing w:line="240" w:lineRule="auto"/>
              <w:rPr>
                <w:rFonts w:cs="Arial"/>
                <w:bCs/>
                <w:iCs/>
                <w:color w:val="0D0D0D" w:themeColor="text1" w:themeTint="F2"/>
                <w:sz w:val="16"/>
                <w:szCs w:val="16"/>
              </w:rPr>
            </w:pPr>
            <w:r>
              <w:rPr>
                <w:rFonts w:cs="Arial"/>
                <w:bCs/>
                <w:iCs/>
                <w:color w:val="0D0D0D" w:themeColor="text1" w:themeTint="F2"/>
                <w:sz w:val="16"/>
                <w:szCs w:val="16"/>
              </w:rPr>
              <w:t>Česko bylo čtvrtou relativně nejméně zadluženou zemí Unie.</w:t>
            </w:r>
          </w:p>
          <w:p w:rsidR="00BF7F08" w:rsidRPr="00DB3D34" w:rsidRDefault="00BF7F08" w:rsidP="00A0172C">
            <w:pPr>
              <w:spacing w:line="240" w:lineRule="auto"/>
              <w:rPr>
                <w:rFonts w:cs="Arial"/>
                <w:bCs/>
                <w:iCs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44" w:type="pct"/>
          </w:tcPr>
          <w:p w:rsidR="00BF7F08" w:rsidRPr="00A90EFD" w:rsidRDefault="00BF7F08" w:rsidP="00A0172C">
            <w:pPr>
              <w:pStyle w:val="Textpoznpodarou"/>
              <w:jc w:val="both"/>
              <w:rPr>
                <w:rFonts w:cs="Arial"/>
                <w:color w:val="0D0D0D" w:themeColor="text1" w:themeTint="F2"/>
              </w:rPr>
            </w:pPr>
          </w:p>
        </w:tc>
        <w:tc>
          <w:tcPr>
            <w:tcW w:w="3840" w:type="pct"/>
          </w:tcPr>
          <w:p w:rsidR="00BF7F08" w:rsidRDefault="00BF7F08" w:rsidP="006F3A90">
            <w:pPr>
              <w:pStyle w:val="Textpoznpodarou"/>
              <w:jc w:val="both"/>
              <w:rPr>
                <w:color w:val="0D0D0D" w:themeColor="text1" w:themeTint="F2"/>
                <w:spacing w:val="-4"/>
              </w:rPr>
            </w:pPr>
            <w:r>
              <w:rPr>
                <w:color w:val="000000" w:themeColor="text1"/>
                <w:spacing w:val="-4"/>
              </w:rPr>
              <w:t xml:space="preserve">Dluh </w:t>
            </w:r>
            <w:r w:rsidRPr="00020A28">
              <w:rPr>
                <w:color w:val="000000" w:themeColor="text1"/>
                <w:spacing w:val="-4"/>
              </w:rPr>
              <w:t>sektoru vládních institucí</w:t>
            </w:r>
            <w:r>
              <w:rPr>
                <w:color w:val="000000" w:themeColor="text1"/>
                <w:spacing w:val="-4"/>
              </w:rPr>
              <w:t xml:space="preserve"> (zohledňující</w:t>
            </w:r>
            <w:r w:rsidRPr="00741F3C">
              <w:rPr>
                <w:color w:val="000000" w:themeColor="text1"/>
                <w:spacing w:val="-4"/>
              </w:rPr>
              <w:t xml:space="preserve"> i hospodaření územně správních celků</w:t>
            </w:r>
            <w:r>
              <w:rPr>
                <w:color w:val="000000" w:themeColor="text1"/>
                <w:spacing w:val="-4"/>
              </w:rPr>
              <w:t xml:space="preserve"> či zdravotních pojišťoven</w:t>
            </w:r>
            <w:r w:rsidRPr="00741F3C">
              <w:rPr>
                <w:color w:val="000000" w:themeColor="text1"/>
                <w:spacing w:val="-4"/>
              </w:rPr>
              <w:t>) dosáhl dle aktuálních dat ČSÚ na konci 4. čtvrtletí 201</w:t>
            </w:r>
            <w:r>
              <w:rPr>
                <w:color w:val="000000" w:themeColor="text1"/>
                <w:spacing w:val="-4"/>
              </w:rPr>
              <w:t>6</w:t>
            </w:r>
            <w:r w:rsidRPr="00741F3C">
              <w:rPr>
                <w:rStyle w:val="Znakapoznpodarou"/>
                <w:color w:val="000000" w:themeColor="text1"/>
                <w:spacing w:val="-4"/>
              </w:rPr>
              <w:footnoteReference w:id="10"/>
            </w:r>
            <w:r>
              <w:rPr>
                <w:color w:val="000000" w:themeColor="text1"/>
                <w:spacing w:val="-4"/>
              </w:rPr>
              <w:t xml:space="preserve"> výše 1 755</w:t>
            </w:r>
            <w:r w:rsidRPr="00741F3C">
              <w:rPr>
                <w:color w:val="000000" w:themeColor="text1"/>
                <w:spacing w:val="-4"/>
              </w:rPr>
              <w:t xml:space="preserve"> mld. </w:t>
            </w:r>
            <w:r>
              <w:rPr>
                <w:color w:val="000000" w:themeColor="text1"/>
                <w:spacing w:val="-4"/>
              </w:rPr>
              <w:t>korun a ve vztahu k HDP činil 37,2</w:t>
            </w:r>
            <w:r w:rsidRPr="00741F3C">
              <w:rPr>
                <w:color w:val="000000" w:themeColor="text1"/>
                <w:spacing w:val="-4"/>
              </w:rPr>
              <w:t xml:space="preserve"> %</w:t>
            </w:r>
            <w:r>
              <w:rPr>
                <w:color w:val="000000" w:themeColor="text1"/>
                <w:spacing w:val="-4"/>
              </w:rPr>
              <w:t xml:space="preserve">. Na meziročním snížení relativní zadluženosti (o 3,1 </w:t>
            </w:r>
            <w:proofErr w:type="spellStart"/>
            <w:proofErr w:type="gramStart"/>
            <w:r>
              <w:rPr>
                <w:color w:val="000000" w:themeColor="text1"/>
                <w:spacing w:val="-4"/>
              </w:rPr>
              <w:t>p.b</w:t>
            </w:r>
            <w:proofErr w:type="spellEnd"/>
            <w:r>
              <w:rPr>
                <w:color w:val="000000" w:themeColor="text1"/>
                <w:spacing w:val="-4"/>
              </w:rPr>
              <w:t>.) se</w:t>
            </w:r>
            <w:proofErr w:type="gramEnd"/>
            <w:r>
              <w:rPr>
                <w:color w:val="000000" w:themeColor="text1"/>
                <w:spacing w:val="-4"/>
              </w:rPr>
              <w:t xml:space="preserve"> z větší části podílela redukce nominální hodnoty dluhu (o</w:t>
            </w:r>
            <w:r>
              <w:rPr>
                <w:spacing w:val="-4"/>
              </w:rPr>
              <w:t> </w:t>
            </w:r>
            <w:r>
              <w:rPr>
                <w:color w:val="000000" w:themeColor="text1"/>
                <w:spacing w:val="-4"/>
              </w:rPr>
              <w:t xml:space="preserve">81 mld.), projevil se ale i vliv vyššího HDP. </w:t>
            </w:r>
            <w:r>
              <w:rPr>
                <w:color w:val="0D0D0D" w:themeColor="text1" w:themeTint="F2"/>
                <w:spacing w:val="-4"/>
              </w:rPr>
              <w:t>Česko bylo na sklonku roku 2016 čtvrtou relativně nejméně zadluženou zemí EU (za Estonskem, Lucemburskem a</w:t>
            </w:r>
            <w:r>
              <w:rPr>
                <w:color w:val="000000" w:themeColor="text1"/>
                <w:spacing w:val="-4"/>
              </w:rPr>
              <w:t> </w:t>
            </w:r>
            <w:r>
              <w:rPr>
                <w:color w:val="0D0D0D" w:themeColor="text1" w:themeTint="F2"/>
                <w:spacing w:val="-4"/>
              </w:rPr>
              <w:t xml:space="preserve">Bulharskem), šlo o nejlepší postavení od roku 1995. Svou relativní zadluženost loni (stejně jako během roku 2015) zredukovaly dvě třetiny zemí EU. Z desítky nejvíce zasažených států však podobné </w:t>
            </w:r>
            <w:r w:rsidR="00E06E17">
              <w:rPr>
                <w:color w:val="0D0D0D" w:themeColor="text1" w:themeTint="F2"/>
                <w:spacing w:val="-4"/>
              </w:rPr>
              <w:t xml:space="preserve">dokázalo </w:t>
            </w:r>
            <w:r>
              <w:rPr>
                <w:color w:val="0D0D0D" w:themeColor="text1" w:themeTint="F2"/>
                <w:spacing w:val="-4"/>
              </w:rPr>
              <w:t xml:space="preserve">ve větší míře jen Chorvatsko (o 2,5 </w:t>
            </w:r>
            <w:proofErr w:type="spellStart"/>
            <w:proofErr w:type="gramStart"/>
            <w:r>
              <w:rPr>
                <w:color w:val="0D0D0D" w:themeColor="text1" w:themeTint="F2"/>
                <w:spacing w:val="-4"/>
              </w:rPr>
              <w:t>p.b</w:t>
            </w:r>
            <w:proofErr w:type="spellEnd"/>
            <w:r>
              <w:rPr>
                <w:color w:val="0D0D0D" w:themeColor="text1" w:themeTint="F2"/>
                <w:spacing w:val="-4"/>
              </w:rPr>
              <w:t>.).</w:t>
            </w:r>
            <w:proofErr w:type="gramEnd"/>
            <w:r>
              <w:rPr>
                <w:color w:val="0D0D0D" w:themeColor="text1" w:themeTint="F2"/>
                <w:spacing w:val="-4"/>
              </w:rPr>
              <w:t xml:space="preserve"> Z velkých ekonomik se v tomto směru nejvíce dařilo Německu, jehož zadluženost za posledních pět let klesla ze 79,9 % na 68,3 % HDP. </w:t>
            </w:r>
          </w:p>
          <w:p w:rsidR="006F3A90" w:rsidRPr="006F3A90" w:rsidRDefault="006F3A90" w:rsidP="006F3A90">
            <w:pPr>
              <w:pStyle w:val="Textpoznpodarou"/>
              <w:jc w:val="both"/>
              <w:rPr>
                <w:spacing w:val="-4"/>
                <w:sz w:val="14"/>
                <w:szCs w:val="14"/>
              </w:rPr>
            </w:pPr>
          </w:p>
        </w:tc>
      </w:tr>
      <w:tr w:rsidR="00BF7F08" w:rsidRPr="00AD0FC0" w:rsidTr="00A0172C">
        <w:trPr>
          <w:trHeight w:val="145"/>
        </w:trPr>
        <w:tc>
          <w:tcPr>
            <w:tcW w:w="1016" w:type="pct"/>
            <w:shd w:val="clear" w:color="auto" w:fill="auto"/>
          </w:tcPr>
          <w:p w:rsidR="00BF7F08" w:rsidRPr="006D5608" w:rsidRDefault="006F3A90" w:rsidP="00A0172C">
            <w:pPr>
              <w:spacing w:line="240" w:lineRule="auto"/>
              <w:rPr>
                <w:color w:val="000000" w:themeColor="text1"/>
                <w:sz w:val="16"/>
                <w:szCs w:val="16"/>
                <w:highlight w:val="yellow"/>
              </w:rPr>
            </w:pPr>
            <w:r>
              <w:rPr>
                <w:rFonts w:cs="Arial"/>
                <w:bCs/>
                <w:iCs/>
                <w:color w:val="0D0D0D" w:themeColor="text1" w:themeTint="F2"/>
                <w:sz w:val="16"/>
                <w:szCs w:val="16"/>
              </w:rPr>
              <w:lastRenderedPageBreak/>
              <w:t xml:space="preserve">Sektor vládních institucí dosáhl v roce 2016 poprvé v historii ČR kladného salda hospodaření, </w:t>
            </w:r>
            <w:proofErr w:type="spellStart"/>
            <w:r>
              <w:rPr>
                <w:rFonts w:cs="Arial"/>
                <w:bCs/>
                <w:iCs/>
                <w:color w:val="0D0D0D" w:themeColor="text1" w:themeTint="F2"/>
                <w:sz w:val="16"/>
                <w:szCs w:val="16"/>
              </w:rPr>
              <w:t>subsektor</w:t>
            </w:r>
            <w:proofErr w:type="spellEnd"/>
            <w:r>
              <w:rPr>
                <w:rFonts w:cs="Arial"/>
                <w:bCs/>
                <w:iCs/>
                <w:color w:val="0D0D0D" w:themeColor="text1" w:themeTint="F2"/>
                <w:sz w:val="16"/>
                <w:szCs w:val="16"/>
              </w:rPr>
              <w:t xml:space="preserve"> místních vládních institucí vykázal přebytek již čtvrtý rok v řadě.</w:t>
            </w:r>
          </w:p>
        </w:tc>
        <w:tc>
          <w:tcPr>
            <w:tcW w:w="144" w:type="pct"/>
          </w:tcPr>
          <w:p w:rsidR="00BF7F08" w:rsidRPr="003E6E0D" w:rsidRDefault="00BF7F08" w:rsidP="00A0172C">
            <w:pPr>
              <w:pStyle w:val="Textpoznpodarou"/>
              <w:jc w:val="both"/>
              <w:rPr>
                <w:highlight w:val="yellow"/>
              </w:rPr>
            </w:pPr>
          </w:p>
        </w:tc>
        <w:tc>
          <w:tcPr>
            <w:tcW w:w="3840" w:type="pct"/>
          </w:tcPr>
          <w:p w:rsidR="00BF7F08" w:rsidRPr="00AD0FC0" w:rsidRDefault="006F3A90" w:rsidP="00A0172C">
            <w:pPr>
              <w:pStyle w:val="Textpoznpodarou"/>
              <w:jc w:val="both"/>
              <w:rPr>
                <w:sz w:val="16"/>
                <w:szCs w:val="16"/>
              </w:rPr>
            </w:pPr>
            <w:r>
              <w:rPr>
                <w:color w:val="0D0D0D" w:themeColor="text1" w:themeTint="F2"/>
                <w:spacing w:val="-4"/>
              </w:rPr>
              <w:t xml:space="preserve">Sektor </w:t>
            </w:r>
            <w:r w:rsidRPr="001162E9">
              <w:rPr>
                <w:color w:val="0D0D0D" w:themeColor="text1" w:themeTint="F2"/>
                <w:spacing w:val="-4"/>
              </w:rPr>
              <w:t xml:space="preserve">vládních institucí </w:t>
            </w:r>
            <w:r>
              <w:rPr>
                <w:color w:val="0D0D0D" w:themeColor="text1" w:themeTint="F2"/>
                <w:spacing w:val="-4"/>
              </w:rPr>
              <w:t>v ČR loni vykázal (v </w:t>
            </w:r>
            <w:proofErr w:type="spellStart"/>
            <w:r>
              <w:rPr>
                <w:color w:val="0D0D0D" w:themeColor="text1" w:themeTint="F2"/>
                <w:spacing w:val="-4"/>
              </w:rPr>
              <w:t>akr</w:t>
            </w:r>
            <w:r w:rsidRPr="001162E9">
              <w:rPr>
                <w:color w:val="0D0D0D" w:themeColor="text1" w:themeTint="F2"/>
                <w:spacing w:val="-4"/>
              </w:rPr>
              <w:t>ualizovaném</w:t>
            </w:r>
            <w:proofErr w:type="spellEnd"/>
            <w:r w:rsidRPr="001162E9">
              <w:rPr>
                <w:color w:val="0D0D0D" w:themeColor="text1" w:themeTint="F2"/>
                <w:spacing w:val="-4"/>
              </w:rPr>
              <w:t xml:space="preserve"> vyjádření)</w:t>
            </w:r>
            <w:r>
              <w:rPr>
                <w:rStyle w:val="Znakapoznpodarou"/>
                <w:color w:val="0D0D0D" w:themeColor="text1" w:themeTint="F2"/>
                <w:spacing w:val="-4"/>
              </w:rPr>
              <w:footnoteReference w:id="11"/>
            </w:r>
            <w:r>
              <w:rPr>
                <w:color w:val="0D0D0D" w:themeColor="text1" w:themeTint="F2"/>
                <w:spacing w:val="-4"/>
              </w:rPr>
              <w:t xml:space="preserve"> poprvé v historii přebytek, jenž činil 27,6 mld. korun (resp. 0,58 % HDP). K meziročně příznivějšímu výsledku (o 56,5 mld.) pomohly místní vládní instituce, jejichž saldo hospodaření (+44,8 mld.) však do značné míry souviselo s omezením investiční aktivity. Deficit ústředních vládních institucí se meziročně snížil o tři pětiny (na 22,1 mld.). Sektor vládních institucí loni docílil přebytku hospodaření v desítce zemí EU (vedle Česka např. i v Německu či Švédsku).</w:t>
            </w:r>
          </w:p>
        </w:tc>
      </w:tr>
    </w:tbl>
    <w:p w:rsidR="00BF7F08" w:rsidRDefault="00BF7F08" w:rsidP="008A03DE">
      <w:pPr>
        <w:pStyle w:val="Textpoznpodarou"/>
        <w:jc w:val="both"/>
        <w:rPr>
          <w:rFonts w:cs="Arial"/>
          <w:color w:val="000000"/>
          <w:spacing w:val="-2"/>
          <w:sz w:val="16"/>
          <w:szCs w:val="16"/>
        </w:rPr>
      </w:pPr>
    </w:p>
    <w:tbl>
      <w:tblPr>
        <w:tblW w:w="4963" w:type="pct"/>
        <w:tblInd w:w="108" w:type="dxa"/>
        <w:tblLayout w:type="fixed"/>
        <w:tblLook w:val="00A0"/>
      </w:tblPr>
      <w:tblGrid>
        <w:gridCol w:w="1997"/>
        <w:gridCol w:w="284"/>
        <w:gridCol w:w="1119"/>
        <w:gridCol w:w="6381"/>
      </w:tblGrid>
      <w:tr w:rsidR="0007324C" w:rsidRPr="00AA4A76" w:rsidTr="00A0172C">
        <w:trPr>
          <w:trHeight w:val="145"/>
        </w:trPr>
        <w:tc>
          <w:tcPr>
            <w:tcW w:w="1021" w:type="pct"/>
            <w:shd w:val="clear" w:color="auto" w:fill="auto"/>
          </w:tcPr>
          <w:p w:rsidR="0007324C" w:rsidRPr="00AA4A76" w:rsidRDefault="0007324C" w:rsidP="00A0172C">
            <w:pPr>
              <w:spacing w:line="240" w:lineRule="auto"/>
              <w:jc w:val="center"/>
              <w:rPr>
                <w:color w:val="000000"/>
                <w:szCs w:val="20"/>
              </w:rPr>
            </w:pPr>
          </w:p>
        </w:tc>
        <w:tc>
          <w:tcPr>
            <w:tcW w:w="145" w:type="pct"/>
          </w:tcPr>
          <w:p w:rsidR="0007324C" w:rsidRPr="00AA4A76" w:rsidRDefault="0007324C" w:rsidP="00A0172C">
            <w:pPr>
              <w:pStyle w:val="Textpoznpodarou"/>
              <w:jc w:val="both"/>
              <w:rPr>
                <w:highlight w:val="yellow"/>
              </w:rPr>
            </w:pPr>
          </w:p>
        </w:tc>
        <w:tc>
          <w:tcPr>
            <w:tcW w:w="572" w:type="pct"/>
          </w:tcPr>
          <w:p w:rsidR="0007324C" w:rsidRPr="00AA4A76" w:rsidRDefault="0007324C" w:rsidP="00A0172C">
            <w:pPr>
              <w:pStyle w:val="Textpoznpodarou"/>
              <w:jc w:val="both"/>
              <w:rPr>
                <w:highlight w:val="yellow"/>
              </w:rPr>
            </w:pPr>
            <w:r>
              <w:rPr>
                <w:color w:val="000000"/>
              </w:rPr>
              <w:t xml:space="preserve">Graf č. </w:t>
            </w:r>
            <w:r w:rsidR="001C0E66">
              <w:rPr>
                <w:color w:val="000000"/>
              </w:rPr>
              <w:t>22</w:t>
            </w:r>
          </w:p>
        </w:tc>
        <w:tc>
          <w:tcPr>
            <w:tcW w:w="3262" w:type="pct"/>
          </w:tcPr>
          <w:p w:rsidR="0007324C" w:rsidRPr="00E4793B" w:rsidRDefault="001C0E66" w:rsidP="00A0172C">
            <w:pPr>
              <w:pStyle w:val="Textpoznpodarou"/>
              <w:rPr>
                <w:rFonts w:cs="Arial"/>
                <w:bCs/>
              </w:rPr>
            </w:pPr>
            <w:r w:rsidRPr="006808C5">
              <w:rPr>
                <w:rFonts w:cs="Arial"/>
                <w:b/>
                <w:bCs/>
              </w:rPr>
              <w:t xml:space="preserve">Struktura státního dluh ČR </w:t>
            </w:r>
            <w:r w:rsidRPr="006808C5">
              <w:rPr>
                <w:rFonts w:cs="Arial"/>
                <w:bCs/>
              </w:rPr>
              <w:t xml:space="preserve">(stav na konci čtvrtletí, v mld. korun) </w:t>
            </w:r>
            <w:r w:rsidRPr="006808C5">
              <w:rPr>
                <w:rFonts w:cs="Arial"/>
                <w:b/>
                <w:bCs/>
              </w:rPr>
              <w:t xml:space="preserve">a podíl korunových dluhopisů v držbě nerezidentů </w:t>
            </w:r>
            <w:r w:rsidRPr="006808C5">
              <w:rPr>
                <w:rFonts w:cs="Arial"/>
                <w:bCs/>
              </w:rPr>
              <w:t>(v %</w:t>
            </w:r>
            <w:r w:rsidR="00E4793B">
              <w:rPr>
                <w:rFonts w:cs="Arial"/>
                <w:bCs/>
              </w:rPr>
              <w:t>, pravá osa</w:t>
            </w:r>
            <w:r w:rsidRPr="006808C5">
              <w:rPr>
                <w:rFonts w:cs="Arial"/>
                <w:bCs/>
              </w:rPr>
              <w:t>)</w:t>
            </w:r>
          </w:p>
        </w:tc>
      </w:tr>
      <w:tr w:rsidR="0007324C" w:rsidRPr="00AA4A76" w:rsidTr="006F3A90">
        <w:trPr>
          <w:trHeight w:val="145"/>
        </w:trPr>
        <w:tc>
          <w:tcPr>
            <w:tcW w:w="1021" w:type="pct"/>
            <w:shd w:val="clear" w:color="auto" w:fill="auto"/>
          </w:tcPr>
          <w:p w:rsidR="0007324C" w:rsidRPr="006D3F53" w:rsidRDefault="0007324C" w:rsidP="00A0172C">
            <w:pPr>
              <w:spacing w:line="240" w:lineRule="auto"/>
              <w:rPr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45" w:type="pct"/>
          </w:tcPr>
          <w:p w:rsidR="0007324C" w:rsidRPr="00A74192" w:rsidRDefault="0007324C" w:rsidP="00A0172C">
            <w:pPr>
              <w:pStyle w:val="Textpoznpodarou"/>
              <w:jc w:val="both"/>
            </w:pPr>
          </w:p>
        </w:tc>
        <w:tc>
          <w:tcPr>
            <w:tcW w:w="3834" w:type="pct"/>
            <w:gridSpan w:val="2"/>
          </w:tcPr>
          <w:p w:rsidR="0007324C" w:rsidRDefault="006F3A90" w:rsidP="00A0172C">
            <w:pPr>
              <w:pStyle w:val="Textpoznpodarou"/>
              <w:ind w:left="-124"/>
              <w:jc w:val="both"/>
              <w:rPr>
                <w:sz w:val="16"/>
                <w:szCs w:val="16"/>
              </w:rPr>
            </w:pPr>
            <w:r w:rsidRPr="006F3A90">
              <w:rPr>
                <w:noProof/>
                <w:sz w:val="16"/>
                <w:szCs w:val="16"/>
              </w:rPr>
              <w:drawing>
                <wp:inline distT="0" distB="0" distL="0" distR="0">
                  <wp:extent cx="4737600" cy="3553200"/>
                  <wp:effectExtent l="19050" t="0" r="5850" b="0"/>
                  <wp:docPr id="28" name="Graf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2"/>
                    </a:graphicData>
                  </a:graphic>
                </wp:inline>
              </w:drawing>
            </w:r>
          </w:p>
          <w:p w:rsidR="0007324C" w:rsidRPr="006F3A90" w:rsidRDefault="001C0E66" w:rsidP="00A0172C">
            <w:pPr>
              <w:pStyle w:val="Textpoznpodarou"/>
              <w:ind w:left="-124"/>
              <w:jc w:val="right"/>
              <w:rPr>
                <w:sz w:val="14"/>
                <w:szCs w:val="14"/>
              </w:rPr>
            </w:pPr>
            <w:r w:rsidRPr="006F3A90">
              <w:rPr>
                <w:sz w:val="14"/>
                <w:szCs w:val="14"/>
              </w:rPr>
              <w:t>Zdroj: MF</w:t>
            </w:r>
          </w:p>
        </w:tc>
      </w:tr>
    </w:tbl>
    <w:p w:rsidR="008A03DE" w:rsidRPr="00CE7158" w:rsidRDefault="008A03DE" w:rsidP="008A03DE">
      <w:pPr>
        <w:pStyle w:val="Textpoznpodarou"/>
        <w:jc w:val="both"/>
        <w:rPr>
          <w:rFonts w:cs="Arial"/>
          <w:color w:val="000000"/>
          <w:sz w:val="10"/>
          <w:szCs w:val="10"/>
        </w:rPr>
      </w:pPr>
    </w:p>
    <w:sectPr w:rsidR="008A03DE" w:rsidRPr="00CE7158" w:rsidSect="00AC39B0">
      <w:headerReference w:type="even" r:id="rId13"/>
      <w:headerReference w:type="default" r:id="rId14"/>
      <w:footerReference w:type="even" r:id="rId15"/>
      <w:footerReference w:type="default" r:id="rId16"/>
      <w:type w:val="continuous"/>
      <w:pgSz w:w="11906" w:h="16838" w:code="9"/>
      <w:pgMar w:top="1134" w:right="1134" w:bottom="1418" w:left="1134" w:header="680" w:footer="680" w:gutter="0"/>
      <w:pgNumType w:start="26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7312" w:rsidRDefault="00027312" w:rsidP="00E71A58">
      <w:r>
        <w:separator/>
      </w:r>
    </w:p>
  </w:endnote>
  <w:endnote w:type="continuationSeparator" w:id="0">
    <w:p w:rsidR="00027312" w:rsidRDefault="00027312" w:rsidP="00E71A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7A0" w:rsidRDefault="00D667A0" w:rsidP="00357449">
    <w:pPr>
      <w:pStyle w:val="Zpat"/>
      <w:tabs>
        <w:tab w:val="clear" w:pos="4536"/>
        <w:tab w:val="clear" w:pos="9072"/>
        <w:tab w:val="center" w:pos="4820"/>
        <w:tab w:val="right" w:pos="9639"/>
      </w:tabs>
    </w:pPr>
    <w:r>
      <w:rPr>
        <w:noProof/>
        <w:lang w:eastAsia="cs-CZ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5660390</wp:posOffset>
          </wp:positionH>
          <wp:positionV relativeFrom="paragraph">
            <wp:posOffset>-52070</wp:posOffset>
          </wp:positionV>
          <wp:extent cx="466725" cy="219075"/>
          <wp:effectExtent l="19050" t="0" r="9525" b="0"/>
          <wp:wrapNone/>
          <wp:docPr id="2" name="obrázek 4" descr="Description: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Description: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219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22B3F" w:rsidRPr="005A21E0">
      <w:rPr>
        <w:rFonts w:ascii="Arial" w:hAnsi="Arial" w:cs="Arial"/>
        <w:sz w:val="16"/>
        <w:szCs w:val="16"/>
      </w:rPr>
      <w:fldChar w:fldCharType="begin"/>
    </w:r>
    <w:r w:rsidRPr="005A21E0">
      <w:rPr>
        <w:rFonts w:ascii="Arial" w:hAnsi="Arial" w:cs="Arial"/>
        <w:sz w:val="16"/>
        <w:szCs w:val="16"/>
      </w:rPr>
      <w:instrText>PAGE   \* MERGEFORMAT</w:instrText>
    </w:r>
    <w:r w:rsidR="00922B3F" w:rsidRPr="005A21E0">
      <w:rPr>
        <w:rFonts w:ascii="Arial" w:hAnsi="Arial" w:cs="Arial"/>
        <w:sz w:val="16"/>
        <w:szCs w:val="16"/>
      </w:rPr>
      <w:fldChar w:fldCharType="separate"/>
    </w:r>
    <w:r w:rsidR="00AC39B0">
      <w:rPr>
        <w:rFonts w:ascii="Arial" w:hAnsi="Arial" w:cs="Arial"/>
        <w:noProof/>
        <w:sz w:val="16"/>
        <w:szCs w:val="16"/>
      </w:rPr>
      <w:t>30</w:t>
    </w:r>
    <w:r w:rsidR="00922B3F" w:rsidRPr="005A21E0"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ab/>
      <w:t>2017</w:t>
    </w:r>
    <w:r>
      <w:tab/>
    </w: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7A0" w:rsidRDefault="00D667A0" w:rsidP="00357449">
    <w:pPr>
      <w:pStyle w:val="Zpat"/>
      <w:tabs>
        <w:tab w:val="clear" w:pos="4536"/>
        <w:tab w:val="clear" w:pos="9072"/>
        <w:tab w:val="left" w:pos="1134"/>
        <w:tab w:val="left" w:pos="1920"/>
        <w:tab w:val="center" w:pos="4820"/>
        <w:tab w:val="right" w:pos="9639"/>
      </w:tabs>
    </w:pPr>
    <w:r>
      <w:rPr>
        <w:noProof/>
        <w:lang w:eastAsia="cs-CZ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90170</wp:posOffset>
          </wp:positionV>
          <wp:extent cx="495300" cy="266700"/>
          <wp:effectExtent l="19050" t="0" r="0" b="0"/>
          <wp:wrapNone/>
          <wp:docPr id="3" name="obrázek 3" descr="Description: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Description: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266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>
      <w:tab/>
    </w:r>
    <w:r w:rsidRPr="00DC5B3B">
      <w:t xml:space="preserve">                              </w:t>
    </w:r>
  </w:p>
  <w:p w:rsidR="00D667A0" w:rsidRPr="00223E00" w:rsidRDefault="00D667A0" w:rsidP="00357449">
    <w:pPr>
      <w:pStyle w:val="Zpat"/>
      <w:tabs>
        <w:tab w:val="clear" w:pos="4536"/>
        <w:tab w:val="clear" w:pos="9072"/>
        <w:tab w:val="left" w:pos="1134"/>
        <w:tab w:val="left" w:pos="1920"/>
        <w:tab w:val="center" w:pos="4820"/>
        <w:tab w:val="left" w:pos="9262"/>
        <w:tab w:val="left" w:pos="9495"/>
        <w:tab w:val="right" w:pos="9639"/>
      </w:tabs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  <w:t>2017</w:t>
    </w:r>
    <w:r>
      <w:rPr>
        <w:rFonts w:ascii="Arial" w:hAnsi="Arial" w:cs="Arial"/>
        <w:sz w:val="16"/>
        <w:szCs w:val="16"/>
      </w:rPr>
      <w:tab/>
    </w:r>
    <w:r w:rsidR="00922B3F" w:rsidRPr="00223E00">
      <w:rPr>
        <w:rFonts w:ascii="Arial" w:hAnsi="Arial" w:cs="Arial"/>
        <w:sz w:val="16"/>
        <w:szCs w:val="16"/>
      </w:rPr>
      <w:fldChar w:fldCharType="begin"/>
    </w:r>
    <w:r w:rsidRPr="00223E00">
      <w:rPr>
        <w:rFonts w:ascii="Arial" w:hAnsi="Arial" w:cs="Arial"/>
        <w:sz w:val="16"/>
        <w:szCs w:val="16"/>
      </w:rPr>
      <w:instrText xml:space="preserve"> PAGE   \* MERGEFORMAT </w:instrText>
    </w:r>
    <w:r w:rsidR="00922B3F" w:rsidRPr="00223E00">
      <w:rPr>
        <w:rFonts w:ascii="Arial" w:hAnsi="Arial" w:cs="Arial"/>
        <w:sz w:val="16"/>
        <w:szCs w:val="16"/>
      </w:rPr>
      <w:fldChar w:fldCharType="separate"/>
    </w:r>
    <w:r w:rsidR="00AC39B0">
      <w:rPr>
        <w:rFonts w:ascii="Arial" w:hAnsi="Arial" w:cs="Arial"/>
        <w:noProof/>
        <w:sz w:val="16"/>
        <w:szCs w:val="16"/>
      </w:rPr>
      <w:t>29</w:t>
    </w:r>
    <w:r w:rsidR="00922B3F" w:rsidRPr="00223E00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7312" w:rsidRDefault="00027312" w:rsidP="00E71A58">
      <w:r>
        <w:separator/>
      </w:r>
    </w:p>
  </w:footnote>
  <w:footnote w:type="continuationSeparator" w:id="0">
    <w:p w:rsidR="00027312" w:rsidRDefault="00027312" w:rsidP="00E71A58">
      <w:r>
        <w:continuationSeparator/>
      </w:r>
    </w:p>
  </w:footnote>
  <w:footnote w:id="1">
    <w:p w:rsidR="00D667A0" w:rsidRPr="00E9220F" w:rsidRDefault="00D667A0" w:rsidP="00A0172C">
      <w:pPr>
        <w:pStyle w:val="Textpoznpodarou"/>
        <w:jc w:val="both"/>
        <w:rPr>
          <w:color w:val="0D0D0D" w:themeColor="text1" w:themeTint="F2"/>
          <w:spacing w:val="-2"/>
          <w:sz w:val="16"/>
          <w:szCs w:val="16"/>
        </w:rPr>
      </w:pPr>
      <w:r w:rsidRPr="00E9220F">
        <w:rPr>
          <w:rStyle w:val="Znakapoznpodarou"/>
          <w:color w:val="0D0D0D" w:themeColor="text1" w:themeTint="F2"/>
          <w:spacing w:val="-2"/>
          <w:sz w:val="16"/>
          <w:szCs w:val="16"/>
        </w:rPr>
        <w:footnoteRef/>
      </w:r>
      <w:r w:rsidRPr="00E9220F">
        <w:rPr>
          <w:color w:val="0D0D0D" w:themeColor="text1" w:themeTint="F2"/>
          <w:spacing w:val="-2"/>
          <w:sz w:val="16"/>
          <w:szCs w:val="16"/>
        </w:rPr>
        <w:t xml:space="preserve"> Dle propočtů MF by hospodaření státního rozpočtu (SR) očištěné na příjmové i výdajové straně o prostředky z rozpočtu EU (a finančních mechanismů) skončilo letos schodkem 4,6 mld. korun (v 1. čtvrtletí roku 2016 by takto očištěný výsledek představoval schodek 12,0 mld.).</w:t>
      </w:r>
    </w:p>
  </w:footnote>
  <w:footnote w:id="2">
    <w:p w:rsidR="00D667A0" w:rsidRPr="00E9220F" w:rsidRDefault="00D667A0" w:rsidP="00A0172C">
      <w:pPr>
        <w:pStyle w:val="Textpoznpodarou"/>
        <w:jc w:val="both"/>
        <w:rPr>
          <w:color w:val="0D0D0D" w:themeColor="text1" w:themeTint="F2"/>
          <w:spacing w:val="-2"/>
          <w:sz w:val="16"/>
          <w:szCs w:val="16"/>
        </w:rPr>
      </w:pPr>
      <w:r w:rsidRPr="00E9220F">
        <w:rPr>
          <w:rStyle w:val="Znakapoznpodarou"/>
          <w:color w:val="0D0D0D" w:themeColor="text1" w:themeTint="F2"/>
          <w:spacing w:val="-2"/>
          <w:sz w:val="16"/>
          <w:szCs w:val="16"/>
        </w:rPr>
        <w:footnoteRef/>
      </w:r>
      <w:r w:rsidRPr="00E9220F">
        <w:rPr>
          <w:color w:val="0D0D0D" w:themeColor="text1" w:themeTint="F2"/>
          <w:spacing w:val="-2"/>
          <w:sz w:val="16"/>
          <w:szCs w:val="16"/>
        </w:rPr>
        <w:t xml:space="preserve"> Od 1.</w:t>
      </w:r>
      <w:r>
        <w:rPr>
          <w:color w:val="0D0D0D" w:themeColor="text1" w:themeTint="F2"/>
          <w:spacing w:val="-2"/>
          <w:sz w:val="16"/>
          <w:szCs w:val="16"/>
        </w:rPr>
        <w:t xml:space="preserve"> 1. </w:t>
      </w:r>
      <w:r w:rsidRPr="00E9220F">
        <w:rPr>
          <w:color w:val="0D0D0D" w:themeColor="text1" w:themeTint="F2"/>
          <w:spacing w:val="-2"/>
          <w:sz w:val="16"/>
          <w:szCs w:val="16"/>
        </w:rPr>
        <w:t>2017 klesl změnou rozpočtového určení daní podíl SR na celostátním výnosu DPH ze 70,25 % na 69,68 % ve prospěch podílu obcí. Recipročně došlo k úpravě procentního podílu u výnosu daně z příjmu fyzických osob z přiznání, a to ve prospěch SR.</w:t>
      </w:r>
    </w:p>
  </w:footnote>
  <w:footnote w:id="3">
    <w:p w:rsidR="00D667A0" w:rsidRPr="002A52AF" w:rsidRDefault="00D667A0" w:rsidP="00A0172C">
      <w:pPr>
        <w:pStyle w:val="Textpoznpodarou"/>
        <w:jc w:val="both"/>
        <w:rPr>
          <w:color w:val="0D0D0D" w:themeColor="text1" w:themeTint="F2"/>
          <w:sz w:val="16"/>
          <w:szCs w:val="16"/>
        </w:rPr>
      </w:pPr>
      <w:r w:rsidRPr="002A52AF">
        <w:rPr>
          <w:rStyle w:val="Znakapoznpodarou"/>
          <w:color w:val="0D0D0D" w:themeColor="text1" w:themeTint="F2"/>
          <w:sz w:val="16"/>
          <w:szCs w:val="16"/>
        </w:rPr>
        <w:footnoteRef/>
      </w:r>
      <w:r w:rsidRPr="002A52AF">
        <w:rPr>
          <w:color w:val="0D0D0D" w:themeColor="text1" w:themeTint="F2"/>
          <w:sz w:val="16"/>
          <w:szCs w:val="16"/>
        </w:rPr>
        <w:t xml:space="preserve"> Došlo k </w:t>
      </w:r>
      <w:r w:rsidRPr="002A52AF">
        <w:rPr>
          <w:rFonts w:cs="Arial"/>
          <w:color w:val="0D0D0D" w:themeColor="text1" w:themeTint="F2"/>
          <w:sz w:val="16"/>
          <w:szCs w:val="16"/>
        </w:rPr>
        <w:t>vrácení daně za staré krabičky cigaret, jež bylo nutno stáhnout z oběhu.</w:t>
      </w:r>
      <w:r w:rsidRPr="002A52AF">
        <w:rPr>
          <w:color w:val="0D0D0D" w:themeColor="text1" w:themeTint="F2"/>
          <w:sz w:val="16"/>
          <w:szCs w:val="16"/>
        </w:rPr>
        <w:t xml:space="preserve"> Stažení cigaret souviselo s uvedením nových produktů zatížených vyšší sazbou daně a obsahujících důslednější zdravotní varování.</w:t>
      </w:r>
    </w:p>
  </w:footnote>
  <w:footnote w:id="4">
    <w:p w:rsidR="00D667A0" w:rsidRPr="00E9220F" w:rsidRDefault="00D667A0" w:rsidP="00A0172C">
      <w:pPr>
        <w:pStyle w:val="Textpoznpodarou"/>
        <w:jc w:val="both"/>
        <w:rPr>
          <w:color w:val="0D0D0D" w:themeColor="text1" w:themeTint="F2"/>
          <w:spacing w:val="-2"/>
          <w:sz w:val="16"/>
          <w:szCs w:val="16"/>
        </w:rPr>
      </w:pPr>
      <w:r w:rsidRPr="00E9220F">
        <w:rPr>
          <w:rStyle w:val="Znakapoznpodarou"/>
          <w:color w:val="0D0D0D" w:themeColor="text1" w:themeTint="F2"/>
          <w:spacing w:val="-2"/>
          <w:sz w:val="16"/>
          <w:szCs w:val="16"/>
        </w:rPr>
        <w:footnoteRef/>
      </w:r>
      <w:r w:rsidRPr="00E9220F">
        <w:rPr>
          <w:color w:val="0D0D0D" w:themeColor="text1" w:themeTint="F2"/>
          <w:spacing w:val="-2"/>
          <w:sz w:val="16"/>
          <w:szCs w:val="16"/>
        </w:rPr>
        <w:t xml:space="preserve"> Silnější vypovídající hodnotu</w:t>
      </w:r>
      <w:r w:rsidRPr="00E9220F">
        <w:rPr>
          <w:rFonts w:cs="Arial"/>
          <w:color w:val="0D0D0D" w:themeColor="text1" w:themeTint="F2"/>
          <w:spacing w:val="-2"/>
          <w:sz w:val="16"/>
          <w:szCs w:val="16"/>
        </w:rPr>
        <w:t xml:space="preserve"> vzhledem k roku 2017 však bude mít až údaj za 2. čtvrtletí, ve kterém již budou zahrnuty i výsledky přiznání největších plátců daně (většina těchto plátců využívá služby </w:t>
      </w:r>
      <w:r w:rsidRPr="00E9220F">
        <w:rPr>
          <w:color w:val="0D0D0D" w:themeColor="text1" w:themeTint="F2"/>
          <w:spacing w:val="-2"/>
          <w:sz w:val="16"/>
          <w:szCs w:val="16"/>
        </w:rPr>
        <w:t>daňových poradců s odkladem podání přiznání na červen).</w:t>
      </w:r>
    </w:p>
  </w:footnote>
  <w:footnote w:id="5">
    <w:p w:rsidR="00D667A0" w:rsidRPr="00A27277" w:rsidRDefault="00D667A0" w:rsidP="00A0172C">
      <w:pPr>
        <w:pStyle w:val="Textpoznpodarou"/>
        <w:jc w:val="both"/>
        <w:rPr>
          <w:spacing w:val="-4"/>
          <w:sz w:val="16"/>
          <w:szCs w:val="16"/>
        </w:rPr>
      </w:pPr>
      <w:r w:rsidRPr="00E9220F">
        <w:rPr>
          <w:rStyle w:val="Znakapoznpodarou"/>
          <w:color w:val="0D0D0D" w:themeColor="text1" w:themeTint="F2"/>
          <w:spacing w:val="-4"/>
          <w:sz w:val="16"/>
          <w:szCs w:val="16"/>
        </w:rPr>
        <w:footnoteRef/>
      </w:r>
      <w:r w:rsidRPr="00E9220F">
        <w:rPr>
          <w:color w:val="0D0D0D" w:themeColor="text1" w:themeTint="F2"/>
          <w:spacing w:val="-4"/>
          <w:sz w:val="16"/>
          <w:szCs w:val="16"/>
        </w:rPr>
        <w:t xml:space="preserve"> Ten v 1. čtvrtletí 2016 činil 7 mld. korun a byl meziročně o osminu vyšší. Meziročně příznivější bylo inkaso této daně i za čtyři letošní měsíce (o</w:t>
      </w:r>
      <w:r w:rsidRPr="00E9220F">
        <w:rPr>
          <w:color w:val="0D0D0D" w:themeColor="text1" w:themeTint="F2"/>
          <w:spacing w:val="-2"/>
          <w:sz w:val="16"/>
          <w:szCs w:val="16"/>
        </w:rPr>
        <w:t> </w:t>
      </w:r>
      <w:r w:rsidRPr="00E9220F">
        <w:rPr>
          <w:color w:val="0D0D0D" w:themeColor="text1" w:themeTint="F2"/>
          <w:spacing w:val="-4"/>
          <w:sz w:val="16"/>
          <w:szCs w:val="16"/>
        </w:rPr>
        <w:t>1,3 mld.), a to navzdory skutečnosti, že dosáhlo záporné hodnoty (-0,9 mld., v souvislosti s vratkami daně při ročním zúčtování záloh).</w:t>
      </w:r>
    </w:p>
  </w:footnote>
  <w:footnote w:id="6">
    <w:p w:rsidR="00D667A0" w:rsidRPr="00E9220F" w:rsidRDefault="00D667A0" w:rsidP="00A0172C">
      <w:pPr>
        <w:pStyle w:val="Textpoznpodarou"/>
        <w:jc w:val="both"/>
        <w:rPr>
          <w:color w:val="0D0D0D" w:themeColor="text1" w:themeTint="F2"/>
          <w:sz w:val="16"/>
          <w:szCs w:val="16"/>
        </w:rPr>
      </w:pPr>
      <w:r w:rsidRPr="00E9220F">
        <w:rPr>
          <w:rStyle w:val="Znakapoznpodarou"/>
          <w:color w:val="0D0D0D" w:themeColor="text1" w:themeTint="F2"/>
          <w:sz w:val="16"/>
          <w:szCs w:val="16"/>
        </w:rPr>
        <w:footnoteRef/>
      </w:r>
      <w:r w:rsidRPr="00E9220F">
        <w:rPr>
          <w:color w:val="0D0D0D" w:themeColor="text1" w:themeTint="F2"/>
          <w:sz w:val="16"/>
          <w:szCs w:val="16"/>
        </w:rPr>
        <w:t xml:space="preserve"> V 1. čtvrtletí 2016 bylo na spolufinancování alokováno 15,7 mld. korun, z toho bezmála 90 % se týkalo v současnosti již skon</w:t>
      </w:r>
      <w:r>
        <w:rPr>
          <w:color w:val="0D0D0D" w:themeColor="text1" w:themeTint="F2"/>
          <w:sz w:val="16"/>
          <w:szCs w:val="16"/>
        </w:rPr>
        <w:t xml:space="preserve">čeného programového období 2007 až </w:t>
      </w:r>
      <w:r w:rsidRPr="00E9220F">
        <w:rPr>
          <w:color w:val="0D0D0D" w:themeColor="text1" w:themeTint="F2"/>
          <w:sz w:val="16"/>
          <w:szCs w:val="16"/>
        </w:rPr>
        <w:t>2013.</w:t>
      </w:r>
    </w:p>
  </w:footnote>
  <w:footnote w:id="7">
    <w:p w:rsidR="00D667A0" w:rsidRPr="00E9220F" w:rsidRDefault="00D667A0" w:rsidP="00A0172C">
      <w:pPr>
        <w:pStyle w:val="Textpoznpodarou"/>
        <w:jc w:val="both"/>
        <w:rPr>
          <w:color w:val="0D0D0D" w:themeColor="text1" w:themeTint="F2"/>
          <w:spacing w:val="-2"/>
          <w:sz w:val="16"/>
          <w:szCs w:val="16"/>
        </w:rPr>
      </w:pPr>
      <w:r w:rsidRPr="00E9220F">
        <w:rPr>
          <w:rStyle w:val="Znakapoznpodarou"/>
          <w:color w:val="0D0D0D" w:themeColor="text1" w:themeTint="F2"/>
          <w:spacing w:val="-2"/>
          <w:sz w:val="16"/>
          <w:szCs w:val="16"/>
        </w:rPr>
        <w:footnoteRef/>
      </w:r>
      <w:r w:rsidRPr="00E9220F">
        <w:rPr>
          <w:color w:val="0D0D0D" w:themeColor="text1" w:themeTint="F2"/>
          <w:spacing w:val="-2"/>
          <w:sz w:val="16"/>
          <w:szCs w:val="16"/>
        </w:rPr>
        <w:t xml:space="preserve"> Zatímco v 1. loňském čtvrtletí vykázala rozpočtová kapitola Státní dluh čisté výdaje 3,1 mld. korun, o rok později čisté příjmy za 0,3 mld. </w:t>
      </w:r>
    </w:p>
  </w:footnote>
  <w:footnote w:id="8">
    <w:p w:rsidR="00D667A0" w:rsidRPr="00E9220F" w:rsidRDefault="00D667A0" w:rsidP="00A0172C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D0D0D" w:themeColor="text1" w:themeTint="F2"/>
          <w:sz w:val="16"/>
          <w:szCs w:val="16"/>
        </w:rPr>
      </w:pPr>
      <w:r w:rsidRPr="00E9220F">
        <w:rPr>
          <w:rStyle w:val="Znakapoznpodarou"/>
          <w:rFonts w:cs="Arial"/>
          <w:color w:val="0D0D0D" w:themeColor="text1" w:themeTint="F2"/>
          <w:sz w:val="16"/>
          <w:szCs w:val="16"/>
        </w:rPr>
        <w:footnoteRef/>
      </w:r>
      <w:r w:rsidRPr="00E9220F">
        <w:rPr>
          <w:rFonts w:cs="Arial"/>
          <w:color w:val="0D0D0D" w:themeColor="text1" w:themeTint="F2"/>
          <w:sz w:val="16"/>
          <w:szCs w:val="16"/>
        </w:rPr>
        <w:t xml:space="preserve"> Od roku 2015 došlo k návratu k tradičnímu valorizačnímu schématu důchodů, který opět plně zohledňuje nárůst spotřebitelských cen a</w:t>
      </w:r>
      <w:r w:rsidRPr="00E9220F">
        <w:rPr>
          <w:color w:val="0D0D0D" w:themeColor="text1" w:themeTint="F2"/>
          <w:sz w:val="16"/>
          <w:szCs w:val="16"/>
        </w:rPr>
        <w:t> </w:t>
      </w:r>
      <w:r>
        <w:rPr>
          <w:rFonts w:cs="Arial"/>
          <w:color w:val="0D0D0D" w:themeColor="text1" w:themeTint="F2"/>
          <w:sz w:val="16"/>
          <w:szCs w:val="16"/>
        </w:rPr>
        <w:t>dále třetinu</w:t>
      </w:r>
      <w:r w:rsidRPr="00E9220F">
        <w:rPr>
          <w:rFonts w:cs="Arial"/>
          <w:color w:val="0D0D0D" w:themeColor="text1" w:themeTint="F2"/>
          <w:sz w:val="16"/>
          <w:szCs w:val="16"/>
        </w:rPr>
        <w:t xml:space="preserve"> nárůstu reálné mzdy. Loni byl navíc schválen nový zák</w:t>
      </w:r>
      <w:r>
        <w:rPr>
          <w:rFonts w:cs="Arial"/>
          <w:color w:val="0D0D0D" w:themeColor="text1" w:themeTint="F2"/>
          <w:sz w:val="16"/>
          <w:szCs w:val="16"/>
        </w:rPr>
        <w:t>on o důchodovém připojištění</w:t>
      </w:r>
      <w:r w:rsidRPr="00E9220F">
        <w:rPr>
          <w:rFonts w:cs="Arial"/>
          <w:color w:val="0D0D0D" w:themeColor="text1" w:themeTint="F2"/>
          <w:sz w:val="16"/>
          <w:szCs w:val="16"/>
        </w:rPr>
        <w:t>, který umožňuje vládě navýšit důchody až o 2,7 %, pokud by zvýšení vyplácených důchodů dle obecných pravidel (standardního valorizačního schématu) bylo příliš nízké. Tato možnost byla pro rok 2017 použita. V roce 2016, kdy tento postup ještě nebylo možno využít, došlo k navýšení důchodů nad rámec běžné valorizace prostřednictvím jednorázového příspěvku (1200 korun), jenž byl vyplacen v únoru 2016.</w:t>
      </w:r>
    </w:p>
  </w:footnote>
  <w:footnote w:id="9">
    <w:p w:rsidR="00D667A0" w:rsidRPr="00B514A5" w:rsidRDefault="00D667A0" w:rsidP="00A0172C">
      <w:pPr>
        <w:autoSpaceDE w:val="0"/>
        <w:autoSpaceDN w:val="0"/>
        <w:adjustRightInd w:val="0"/>
        <w:spacing w:line="240" w:lineRule="auto"/>
        <w:rPr>
          <w:rFonts w:cs="Arial"/>
          <w:sz w:val="16"/>
          <w:szCs w:val="16"/>
        </w:rPr>
      </w:pPr>
      <w:r w:rsidRPr="00E9220F">
        <w:rPr>
          <w:rStyle w:val="Znakapoznpodarou"/>
          <w:rFonts w:cs="Arial"/>
          <w:color w:val="0D0D0D" w:themeColor="text1" w:themeTint="F2"/>
          <w:sz w:val="16"/>
          <w:szCs w:val="16"/>
        </w:rPr>
        <w:footnoteRef/>
      </w:r>
      <w:r w:rsidRPr="00E9220F">
        <w:rPr>
          <w:rFonts w:cs="Arial"/>
          <w:color w:val="0D0D0D" w:themeColor="text1" w:themeTint="F2"/>
          <w:sz w:val="16"/>
          <w:szCs w:val="16"/>
        </w:rPr>
        <w:t xml:space="preserve"> Tyto státní pokladniční poukázky vydané v průběhu 1. čtvrtletí roku 2017 neslouží ke krytí potřeby financování v roce 2017, neboť se předpokládá jejich splacení ještě během letošního roku.</w:t>
      </w:r>
    </w:p>
  </w:footnote>
  <w:footnote w:id="10">
    <w:p w:rsidR="00D667A0" w:rsidRPr="00E9220F" w:rsidRDefault="00D667A0" w:rsidP="00A0172C">
      <w:pPr>
        <w:pStyle w:val="Textpoznpodarou"/>
        <w:rPr>
          <w:color w:val="0D0D0D" w:themeColor="text1" w:themeTint="F2"/>
          <w:spacing w:val="-2"/>
          <w:sz w:val="16"/>
          <w:szCs w:val="16"/>
        </w:rPr>
      </w:pPr>
      <w:r w:rsidRPr="00E9220F">
        <w:rPr>
          <w:rStyle w:val="Znakapoznpodarou"/>
          <w:color w:val="0D0D0D" w:themeColor="text1" w:themeTint="F2"/>
          <w:spacing w:val="-2"/>
          <w:sz w:val="16"/>
          <w:szCs w:val="16"/>
        </w:rPr>
        <w:footnoteRef/>
      </w:r>
      <w:r w:rsidRPr="00E9220F">
        <w:rPr>
          <w:color w:val="0D0D0D" w:themeColor="text1" w:themeTint="F2"/>
          <w:spacing w:val="-2"/>
          <w:sz w:val="16"/>
          <w:szCs w:val="16"/>
        </w:rPr>
        <w:t xml:space="preserve"> Předběžné údaje o dluhu a deficitu sektoru vládních institucí za 1. čtvrtletí 2017 zveřejní ČSÚ 3. </w:t>
      </w:r>
      <w:r>
        <w:rPr>
          <w:color w:val="0D0D0D" w:themeColor="text1" w:themeTint="F2"/>
          <w:spacing w:val="-2"/>
          <w:sz w:val="16"/>
          <w:szCs w:val="16"/>
        </w:rPr>
        <w:t>č</w:t>
      </w:r>
      <w:r w:rsidRPr="00E9220F">
        <w:rPr>
          <w:color w:val="0D0D0D" w:themeColor="text1" w:themeTint="F2"/>
          <w:spacing w:val="-2"/>
          <w:sz w:val="16"/>
          <w:szCs w:val="16"/>
        </w:rPr>
        <w:t>ervence</w:t>
      </w:r>
      <w:r>
        <w:rPr>
          <w:color w:val="0D0D0D" w:themeColor="text1" w:themeTint="F2"/>
          <w:spacing w:val="-2"/>
          <w:sz w:val="16"/>
          <w:szCs w:val="16"/>
        </w:rPr>
        <w:t xml:space="preserve"> 2017</w:t>
      </w:r>
      <w:r w:rsidRPr="00E9220F">
        <w:rPr>
          <w:color w:val="0D0D0D" w:themeColor="text1" w:themeTint="F2"/>
          <w:spacing w:val="-2"/>
          <w:sz w:val="16"/>
          <w:szCs w:val="16"/>
        </w:rPr>
        <w:t xml:space="preserve">, </w:t>
      </w:r>
      <w:proofErr w:type="spellStart"/>
      <w:r w:rsidRPr="00E9220F">
        <w:rPr>
          <w:color w:val="0D0D0D" w:themeColor="text1" w:themeTint="F2"/>
          <w:spacing w:val="-2"/>
          <w:sz w:val="16"/>
          <w:szCs w:val="16"/>
        </w:rPr>
        <w:t>Eurostat</w:t>
      </w:r>
      <w:proofErr w:type="spellEnd"/>
      <w:r w:rsidRPr="00E9220F">
        <w:rPr>
          <w:color w:val="0D0D0D" w:themeColor="text1" w:themeTint="F2"/>
          <w:spacing w:val="-2"/>
          <w:sz w:val="16"/>
          <w:szCs w:val="16"/>
        </w:rPr>
        <w:t xml:space="preserve"> </w:t>
      </w:r>
      <w:r>
        <w:rPr>
          <w:color w:val="0D0D0D" w:themeColor="text1" w:themeTint="F2"/>
          <w:spacing w:val="-2"/>
          <w:sz w:val="16"/>
          <w:szCs w:val="16"/>
        </w:rPr>
        <w:t xml:space="preserve">pak </w:t>
      </w:r>
      <w:r w:rsidRPr="00E9220F">
        <w:rPr>
          <w:color w:val="0D0D0D" w:themeColor="text1" w:themeTint="F2"/>
          <w:spacing w:val="-2"/>
          <w:sz w:val="16"/>
          <w:szCs w:val="16"/>
        </w:rPr>
        <w:t>20.</w:t>
      </w:r>
      <w:r>
        <w:rPr>
          <w:color w:val="0D0D0D" w:themeColor="text1" w:themeTint="F2"/>
          <w:spacing w:val="-2"/>
          <w:sz w:val="16"/>
          <w:szCs w:val="16"/>
        </w:rPr>
        <w:t> </w:t>
      </w:r>
      <w:r w:rsidRPr="00E9220F">
        <w:rPr>
          <w:color w:val="0D0D0D" w:themeColor="text1" w:themeTint="F2"/>
          <w:spacing w:val="-2"/>
          <w:sz w:val="16"/>
          <w:szCs w:val="16"/>
        </w:rPr>
        <w:t>července 2017.</w:t>
      </w:r>
    </w:p>
  </w:footnote>
  <w:footnote w:id="11">
    <w:p w:rsidR="00D667A0" w:rsidRPr="00552EAB" w:rsidRDefault="00D667A0" w:rsidP="006F3A90">
      <w:pPr>
        <w:pStyle w:val="Textpoznpodarou"/>
        <w:jc w:val="both"/>
        <w:rPr>
          <w:sz w:val="16"/>
          <w:szCs w:val="16"/>
        </w:rPr>
      </w:pPr>
      <w:r w:rsidRPr="00E9220F">
        <w:rPr>
          <w:rStyle w:val="Znakapoznpodarou"/>
          <w:rFonts w:cs="Arial"/>
          <w:color w:val="0D0D0D" w:themeColor="text1" w:themeTint="F2"/>
          <w:sz w:val="16"/>
          <w:szCs w:val="16"/>
        </w:rPr>
        <w:footnoteRef/>
      </w:r>
      <w:r w:rsidRPr="00E9220F">
        <w:rPr>
          <w:rFonts w:cs="Arial"/>
          <w:color w:val="0D0D0D" w:themeColor="text1" w:themeTint="F2"/>
          <w:sz w:val="16"/>
          <w:szCs w:val="16"/>
        </w:rPr>
        <w:t xml:space="preserve"> Indikátory salda hospodaření a dluhu vládních institucí jsou založeny na </w:t>
      </w:r>
      <w:proofErr w:type="spellStart"/>
      <w:r w:rsidRPr="00E9220F">
        <w:rPr>
          <w:rFonts w:cs="Arial"/>
          <w:color w:val="0D0D0D" w:themeColor="text1" w:themeTint="F2"/>
          <w:sz w:val="16"/>
          <w:szCs w:val="16"/>
        </w:rPr>
        <w:t>akruálním</w:t>
      </w:r>
      <w:proofErr w:type="spellEnd"/>
      <w:r w:rsidRPr="00E9220F">
        <w:rPr>
          <w:rFonts w:cs="Arial"/>
          <w:color w:val="0D0D0D" w:themeColor="text1" w:themeTint="F2"/>
          <w:sz w:val="16"/>
          <w:szCs w:val="16"/>
        </w:rPr>
        <w:t xml:space="preserve"> principu. Dle něj jsou příjmy i výdaje přiřazeny období, se kterým věcně souvisí, tj. bez ohledu na období uskutečnění hotovostního toku (jak je tomu v případě pokladního plnění).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7A0" w:rsidRPr="00C00831" w:rsidRDefault="00D667A0" w:rsidP="00D766EF">
    <w:pPr>
      <w:pStyle w:val="Zhlav"/>
      <w:tabs>
        <w:tab w:val="clear" w:pos="4536"/>
        <w:tab w:val="clear" w:pos="9072"/>
        <w:tab w:val="left" w:pos="-6379"/>
        <w:tab w:val="center" w:pos="4820"/>
        <w:tab w:val="right" w:pos="9639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Vývoj ekonomiky České republiky v 1. čtvrtletí 2017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7A0" w:rsidRPr="0030768C" w:rsidRDefault="00D667A0" w:rsidP="0030768C">
    <w:pPr>
      <w:pStyle w:val="Zhlav"/>
      <w:tabs>
        <w:tab w:val="clear" w:pos="4536"/>
        <w:tab w:val="clear" w:pos="9072"/>
        <w:tab w:val="left" w:pos="-6379"/>
        <w:tab w:val="center" w:pos="4820"/>
        <w:tab w:val="right" w:pos="9639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Vývoj ekonomiky České republiky v 1. čtvrtletí 2017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F5BAB"/>
    <w:multiLevelType w:val="hybridMultilevel"/>
    <w:tmpl w:val="4150E6BA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FB457C"/>
    <w:multiLevelType w:val="hybridMultilevel"/>
    <w:tmpl w:val="991072C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9714A0B"/>
    <w:multiLevelType w:val="hybridMultilevel"/>
    <w:tmpl w:val="11CE6D64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CF62C9"/>
    <w:multiLevelType w:val="hybridMultilevel"/>
    <w:tmpl w:val="FFCA852E"/>
    <w:lvl w:ilvl="0" w:tplc="040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23A7708B"/>
    <w:multiLevelType w:val="hybridMultilevel"/>
    <w:tmpl w:val="9CF6FB5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1AD014E"/>
    <w:multiLevelType w:val="hybridMultilevel"/>
    <w:tmpl w:val="5A5ABD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3B18EA"/>
    <w:multiLevelType w:val="hybridMultilevel"/>
    <w:tmpl w:val="CFC2F5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E20C48"/>
    <w:multiLevelType w:val="hybridMultilevel"/>
    <w:tmpl w:val="991072C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C534B5E"/>
    <w:multiLevelType w:val="hybridMultilevel"/>
    <w:tmpl w:val="1180B7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D4D0FE2"/>
    <w:multiLevelType w:val="hybridMultilevel"/>
    <w:tmpl w:val="ECDE86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393E7F"/>
    <w:multiLevelType w:val="hybridMultilevel"/>
    <w:tmpl w:val="CEA2AC42"/>
    <w:lvl w:ilvl="0" w:tplc="040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690D45"/>
    <w:multiLevelType w:val="hybridMultilevel"/>
    <w:tmpl w:val="7810A3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96F0669"/>
    <w:multiLevelType w:val="hybridMultilevel"/>
    <w:tmpl w:val="6B98091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9C501C8"/>
    <w:multiLevelType w:val="hybridMultilevel"/>
    <w:tmpl w:val="0C043E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ACE37F5"/>
    <w:multiLevelType w:val="hybridMultilevel"/>
    <w:tmpl w:val="0B18EB9A"/>
    <w:lvl w:ilvl="0" w:tplc="040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805D16"/>
    <w:multiLevelType w:val="hybridMultilevel"/>
    <w:tmpl w:val="A12480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5261EC"/>
    <w:multiLevelType w:val="hybridMultilevel"/>
    <w:tmpl w:val="BFC0B0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6C940DA"/>
    <w:multiLevelType w:val="hybridMultilevel"/>
    <w:tmpl w:val="D2C67DD0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BC47DB"/>
    <w:multiLevelType w:val="hybridMultilevel"/>
    <w:tmpl w:val="AA50650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C550A0F"/>
    <w:multiLevelType w:val="hybridMultilevel"/>
    <w:tmpl w:val="A6E66A4C"/>
    <w:lvl w:ilvl="0" w:tplc="040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9"/>
  </w:num>
  <w:num w:numId="3">
    <w:abstractNumId w:val="9"/>
  </w:num>
  <w:num w:numId="4">
    <w:abstractNumId w:val="17"/>
  </w:num>
  <w:num w:numId="5">
    <w:abstractNumId w:val="10"/>
  </w:num>
  <w:num w:numId="6">
    <w:abstractNumId w:val="13"/>
  </w:num>
  <w:num w:numId="7">
    <w:abstractNumId w:val="3"/>
  </w:num>
  <w:num w:numId="8">
    <w:abstractNumId w:val="8"/>
  </w:num>
  <w:num w:numId="9">
    <w:abstractNumId w:val="16"/>
  </w:num>
  <w:num w:numId="10">
    <w:abstractNumId w:val="2"/>
  </w:num>
  <w:num w:numId="11">
    <w:abstractNumId w:val="6"/>
  </w:num>
  <w:num w:numId="12">
    <w:abstractNumId w:val="1"/>
  </w:num>
  <w:num w:numId="13">
    <w:abstractNumId w:val="5"/>
  </w:num>
  <w:num w:numId="14">
    <w:abstractNumId w:val="0"/>
  </w:num>
  <w:num w:numId="15">
    <w:abstractNumId w:val="15"/>
  </w:num>
  <w:num w:numId="16">
    <w:abstractNumId w:val="11"/>
  </w:num>
  <w:num w:numId="17">
    <w:abstractNumId w:val="4"/>
  </w:num>
  <w:num w:numId="18">
    <w:abstractNumId w:val="18"/>
  </w:num>
  <w:num w:numId="19">
    <w:abstractNumId w:val="7"/>
  </w:num>
  <w:num w:numId="20">
    <w:abstractNumId w:val="14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attachedTemplate r:id="rId1"/>
  <w:stylePaneFormatFilter w:val="1024"/>
  <w:defaultTabStop w:val="708"/>
  <w:hyphenationZone w:val="425"/>
  <w:evenAndOddHeaders/>
  <w:drawingGridHorizontalSpacing w:val="100"/>
  <w:displayHorizontalDrawingGridEvery w:val="2"/>
  <w:characterSpacingControl w:val="doNotCompress"/>
  <w:hdrShapeDefaults>
    <o:shapedefaults v:ext="edit" spidmax="41986"/>
  </w:hdrShapeDefaults>
  <w:footnotePr>
    <w:footnote w:id="-1"/>
    <w:footnote w:id="0"/>
  </w:footnotePr>
  <w:endnotePr>
    <w:endnote w:id="-1"/>
    <w:endnote w:id="0"/>
  </w:endnotePr>
  <w:compat/>
  <w:rsids>
    <w:rsidRoot w:val="009B70BD"/>
    <w:rsid w:val="00000FA7"/>
    <w:rsid w:val="00001EFF"/>
    <w:rsid w:val="00003687"/>
    <w:rsid w:val="00003C43"/>
    <w:rsid w:val="00004C5D"/>
    <w:rsid w:val="00004EB0"/>
    <w:rsid w:val="00007498"/>
    <w:rsid w:val="0000767A"/>
    <w:rsid w:val="000101F5"/>
    <w:rsid w:val="000104B9"/>
    <w:rsid w:val="00010702"/>
    <w:rsid w:val="00010770"/>
    <w:rsid w:val="00010982"/>
    <w:rsid w:val="00011191"/>
    <w:rsid w:val="0001159B"/>
    <w:rsid w:val="000117CA"/>
    <w:rsid w:val="00012986"/>
    <w:rsid w:val="00014028"/>
    <w:rsid w:val="00015195"/>
    <w:rsid w:val="0001519F"/>
    <w:rsid w:val="0001572B"/>
    <w:rsid w:val="0001573E"/>
    <w:rsid w:val="000157DA"/>
    <w:rsid w:val="0001589D"/>
    <w:rsid w:val="00016033"/>
    <w:rsid w:val="000162DB"/>
    <w:rsid w:val="00017F05"/>
    <w:rsid w:val="000202C6"/>
    <w:rsid w:val="000208B1"/>
    <w:rsid w:val="00020946"/>
    <w:rsid w:val="00022081"/>
    <w:rsid w:val="0002292C"/>
    <w:rsid w:val="00022B41"/>
    <w:rsid w:val="00023FB5"/>
    <w:rsid w:val="0002434F"/>
    <w:rsid w:val="00024887"/>
    <w:rsid w:val="00024CBA"/>
    <w:rsid w:val="00025501"/>
    <w:rsid w:val="00026998"/>
    <w:rsid w:val="00026B06"/>
    <w:rsid w:val="00027312"/>
    <w:rsid w:val="000304C4"/>
    <w:rsid w:val="0003066A"/>
    <w:rsid w:val="00030F14"/>
    <w:rsid w:val="000311C5"/>
    <w:rsid w:val="00032838"/>
    <w:rsid w:val="00032C12"/>
    <w:rsid w:val="00032E0C"/>
    <w:rsid w:val="00035CCF"/>
    <w:rsid w:val="00035FC6"/>
    <w:rsid w:val="0003705E"/>
    <w:rsid w:val="00037667"/>
    <w:rsid w:val="0003780E"/>
    <w:rsid w:val="0004075D"/>
    <w:rsid w:val="000411E1"/>
    <w:rsid w:val="00041E9C"/>
    <w:rsid w:val="00043C68"/>
    <w:rsid w:val="00043E05"/>
    <w:rsid w:val="00045681"/>
    <w:rsid w:val="0004694F"/>
    <w:rsid w:val="00046E43"/>
    <w:rsid w:val="000500DC"/>
    <w:rsid w:val="000509FD"/>
    <w:rsid w:val="00051ADE"/>
    <w:rsid w:val="00052052"/>
    <w:rsid w:val="00052172"/>
    <w:rsid w:val="000534FD"/>
    <w:rsid w:val="00053CBA"/>
    <w:rsid w:val="00054E43"/>
    <w:rsid w:val="00055059"/>
    <w:rsid w:val="000553E4"/>
    <w:rsid w:val="0005619C"/>
    <w:rsid w:val="000567FA"/>
    <w:rsid w:val="00056B26"/>
    <w:rsid w:val="00057C16"/>
    <w:rsid w:val="00060F26"/>
    <w:rsid w:val="00062D43"/>
    <w:rsid w:val="00062EC5"/>
    <w:rsid w:val="00064256"/>
    <w:rsid w:val="000706A4"/>
    <w:rsid w:val="00070A0C"/>
    <w:rsid w:val="00071F80"/>
    <w:rsid w:val="00072118"/>
    <w:rsid w:val="00073173"/>
    <w:rsid w:val="0007324C"/>
    <w:rsid w:val="000779AC"/>
    <w:rsid w:val="00080A41"/>
    <w:rsid w:val="00080AA8"/>
    <w:rsid w:val="00081851"/>
    <w:rsid w:val="0008330A"/>
    <w:rsid w:val="00083803"/>
    <w:rsid w:val="00083D7F"/>
    <w:rsid w:val="00084393"/>
    <w:rsid w:val="0008716A"/>
    <w:rsid w:val="00087634"/>
    <w:rsid w:val="00091237"/>
    <w:rsid w:val="000916B1"/>
    <w:rsid w:val="0009191B"/>
    <w:rsid w:val="000920EC"/>
    <w:rsid w:val="000921B6"/>
    <w:rsid w:val="00092208"/>
    <w:rsid w:val="00092505"/>
    <w:rsid w:val="000927EB"/>
    <w:rsid w:val="00092C9A"/>
    <w:rsid w:val="00093F4B"/>
    <w:rsid w:val="000973B6"/>
    <w:rsid w:val="00097BFC"/>
    <w:rsid w:val="00097D02"/>
    <w:rsid w:val="000A1183"/>
    <w:rsid w:val="000A2121"/>
    <w:rsid w:val="000A2484"/>
    <w:rsid w:val="000A2929"/>
    <w:rsid w:val="000A36CE"/>
    <w:rsid w:val="000A59BF"/>
    <w:rsid w:val="000A66C2"/>
    <w:rsid w:val="000A68A7"/>
    <w:rsid w:val="000B1CFE"/>
    <w:rsid w:val="000B210A"/>
    <w:rsid w:val="000B249B"/>
    <w:rsid w:val="000B2ADE"/>
    <w:rsid w:val="000B3B01"/>
    <w:rsid w:val="000B3DB9"/>
    <w:rsid w:val="000B3F02"/>
    <w:rsid w:val="000B48A2"/>
    <w:rsid w:val="000B48E7"/>
    <w:rsid w:val="000B4F41"/>
    <w:rsid w:val="000B7663"/>
    <w:rsid w:val="000C1106"/>
    <w:rsid w:val="000C11D3"/>
    <w:rsid w:val="000C12F5"/>
    <w:rsid w:val="000C3408"/>
    <w:rsid w:val="000C54AF"/>
    <w:rsid w:val="000C5C0F"/>
    <w:rsid w:val="000C5D56"/>
    <w:rsid w:val="000C60D8"/>
    <w:rsid w:val="000C6498"/>
    <w:rsid w:val="000D0B22"/>
    <w:rsid w:val="000D0D51"/>
    <w:rsid w:val="000D14B3"/>
    <w:rsid w:val="000D1BFB"/>
    <w:rsid w:val="000D1F52"/>
    <w:rsid w:val="000D208B"/>
    <w:rsid w:val="000D263E"/>
    <w:rsid w:val="000D2B8D"/>
    <w:rsid w:val="000D2E41"/>
    <w:rsid w:val="000D342A"/>
    <w:rsid w:val="000D43CB"/>
    <w:rsid w:val="000D5E7A"/>
    <w:rsid w:val="000D5FAA"/>
    <w:rsid w:val="000D65A4"/>
    <w:rsid w:val="000D6AEF"/>
    <w:rsid w:val="000D7414"/>
    <w:rsid w:val="000E025B"/>
    <w:rsid w:val="000E0ECB"/>
    <w:rsid w:val="000E153A"/>
    <w:rsid w:val="000E19A8"/>
    <w:rsid w:val="000E1EEA"/>
    <w:rsid w:val="000E4241"/>
    <w:rsid w:val="000E4A42"/>
    <w:rsid w:val="000E6184"/>
    <w:rsid w:val="000E6476"/>
    <w:rsid w:val="000E70F7"/>
    <w:rsid w:val="000E78D2"/>
    <w:rsid w:val="000F3332"/>
    <w:rsid w:val="000F33EE"/>
    <w:rsid w:val="000F401E"/>
    <w:rsid w:val="000F5445"/>
    <w:rsid w:val="000F5598"/>
    <w:rsid w:val="000F5673"/>
    <w:rsid w:val="000F67B2"/>
    <w:rsid w:val="000F6CFB"/>
    <w:rsid w:val="000F74B6"/>
    <w:rsid w:val="000F790F"/>
    <w:rsid w:val="000F7E1B"/>
    <w:rsid w:val="00100014"/>
    <w:rsid w:val="0010039A"/>
    <w:rsid w:val="00101E94"/>
    <w:rsid w:val="00101FB2"/>
    <w:rsid w:val="00102CB8"/>
    <w:rsid w:val="00102F02"/>
    <w:rsid w:val="0010385D"/>
    <w:rsid w:val="00103E41"/>
    <w:rsid w:val="001041B6"/>
    <w:rsid w:val="001070EA"/>
    <w:rsid w:val="0011002A"/>
    <w:rsid w:val="001107CE"/>
    <w:rsid w:val="001109F0"/>
    <w:rsid w:val="0011110A"/>
    <w:rsid w:val="001118AF"/>
    <w:rsid w:val="00111CA5"/>
    <w:rsid w:val="0011256E"/>
    <w:rsid w:val="0011352E"/>
    <w:rsid w:val="00114FC0"/>
    <w:rsid w:val="00115496"/>
    <w:rsid w:val="00116DB9"/>
    <w:rsid w:val="00116F28"/>
    <w:rsid w:val="00117CE8"/>
    <w:rsid w:val="00121C39"/>
    <w:rsid w:val="00123255"/>
    <w:rsid w:val="00124D2D"/>
    <w:rsid w:val="00124DA1"/>
    <w:rsid w:val="00125326"/>
    <w:rsid w:val="00125CB5"/>
    <w:rsid w:val="00127535"/>
    <w:rsid w:val="001307BE"/>
    <w:rsid w:val="00130C8F"/>
    <w:rsid w:val="001314F2"/>
    <w:rsid w:val="001317DA"/>
    <w:rsid w:val="001323BA"/>
    <w:rsid w:val="0013254D"/>
    <w:rsid w:val="00133AAC"/>
    <w:rsid w:val="00133FBD"/>
    <w:rsid w:val="00134DFD"/>
    <w:rsid w:val="00136561"/>
    <w:rsid w:val="001400E1"/>
    <w:rsid w:val="001405FA"/>
    <w:rsid w:val="001413B3"/>
    <w:rsid w:val="001425C3"/>
    <w:rsid w:val="00142F16"/>
    <w:rsid w:val="00143E03"/>
    <w:rsid w:val="00143E93"/>
    <w:rsid w:val="00143FA3"/>
    <w:rsid w:val="0014428D"/>
    <w:rsid w:val="0014731B"/>
    <w:rsid w:val="00147E55"/>
    <w:rsid w:val="001500FC"/>
    <w:rsid w:val="00151AC0"/>
    <w:rsid w:val="00151B27"/>
    <w:rsid w:val="00152046"/>
    <w:rsid w:val="00152488"/>
    <w:rsid w:val="00152E53"/>
    <w:rsid w:val="00154147"/>
    <w:rsid w:val="001550F3"/>
    <w:rsid w:val="00155746"/>
    <w:rsid w:val="00156318"/>
    <w:rsid w:val="0015639A"/>
    <w:rsid w:val="0016081D"/>
    <w:rsid w:val="00160CF3"/>
    <w:rsid w:val="00160E61"/>
    <w:rsid w:val="00161300"/>
    <w:rsid w:val="001620FA"/>
    <w:rsid w:val="00162853"/>
    <w:rsid w:val="00163793"/>
    <w:rsid w:val="00167FB2"/>
    <w:rsid w:val="001707DE"/>
    <w:rsid w:val="00170B04"/>
    <w:rsid w:val="00170F47"/>
    <w:rsid w:val="001711F2"/>
    <w:rsid w:val="001714F2"/>
    <w:rsid w:val="001718C2"/>
    <w:rsid w:val="00173642"/>
    <w:rsid w:val="00173AF4"/>
    <w:rsid w:val="00173CB0"/>
    <w:rsid w:val="00174CE8"/>
    <w:rsid w:val="00174E7D"/>
    <w:rsid w:val="001752CB"/>
    <w:rsid w:val="00175351"/>
    <w:rsid w:val="00175F60"/>
    <w:rsid w:val="00176050"/>
    <w:rsid w:val="001764D8"/>
    <w:rsid w:val="00176A8F"/>
    <w:rsid w:val="00180D58"/>
    <w:rsid w:val="00181938"/>
    <w:rsid w:val="00182981"/>
    <w:rsid w:val="00184CF9"/>
    <w:rsid w:val="00185010"/>
    <w:rsid w:val="001852EC"/>
    <w:rsid w:val="00186447"/>
    <w:rsid w:val="001874CF"/>
    <w:rsid w:val="00190214"/>
    <w:rsid w:val="00190D9B"/>
    <w:rsid w:val="00191BAE"/>
    <w:rsid w:val="00193432"/>
    <w:rsid w:val="0019346C"/>
    <w:rsid w:val="00194AE3"/>
    <w:rsid w:val="00195335"/>
    <w:rsid w:val="00195444"/>
    <w:rsid w:val="0019579E"/>
    <w:rsid w:val="00197806"/>
    <w:rsid w:val="001A199D"/>
    <w:rsid w:val="001A2855"/>
    <w:rsid w:val="001A2BDB"/>
    <w:rsid w:val="001A30F4"/>
    <w:rsid w:val="001A47AB"/>
    <w:rsid w:val="001A4C0D"/>
    <w:rsid w:val="001A552F"/>
    <w:rsid w:val="001A56F3"/>
    <w:rsid w:val="001A737B"/>
    <w:rsid w:val="001A750C"/>
    <w:rsid w:val="001B1D89"/>
    <w:rsid w:val="001B2143"/>
    <w:rsid w:val="001B3110"/>
    <w:rsid w:val="001B4198"/>
    <w:rsid w:val="001B44BC"/>
    <w:rsid w:val="001B5215"/>
    <w:rsid w:val="001B5888"/>
    <w:rsid w:val="001B5A75"/>
    <w:rsid w:val="001B618F"/>
    <w:rsid w:val="001B6277"/>
    <w:rsid w:val="001B6545"/>
    <w:rsid w:val="001B681B"/>
    <w:rsid w:val="001B6A49"/>
    <w:rsid w:val="001B7231"/>
    <w:rsid w:val="001B74FB"/>
    <w:rsid w:val="001B77A1"/>
    <w:rsid w:val="001C0422"/>
    <w:rsid w:val="001C0E0E"/>
    <w:rsid w:val="001C0E66"/>
    <w:rsid w:val="001C0EB9"/>
    <w:rsid w:val="001C1219"/>
    <w:rsid w:val="001C357A"/>
    <w:rsid w:val="001C3A37"/>
    <w:rsid w:val="001C4384"/>
    <w:rsid w:val="001C55F5"/>
    <w:rsid w:val="001C65FF"/>
    <w:rsid w:val="001C6747"/>
    <w:rsid w:val="001D3787"/>
    <w:rsid w:val="001D47E5"/>
    <w:rsid w:val="001D584C"/>
    <w:rsid w:val="001D5E1B"/>
    <w:rsid w:val="001D66C1"/>
    <w:rsid w:val="001D6EF6"/>
    <w:rsid w:val="001D7C6F"/>
    <w:rsid w:val="001E0024"/>
    <w:rsid w:val="001E0C65"/>
    <w:rsid w:val="001E23E3"/>
    <w:rsid w:val="001E29AF"/>
    <w:rsid w:val="001E387A"/>
    <w:rsid w:val="001E3DA4"/>
    <w:rsid w:val="001E5469"/>
    <w:rsid w:val="001E5830"/>
    <w:rsid w:val="001E684C"/>
    <w:rsid w:val="001E701C"/>
    <w:rsid w:val="001E7552"/>
    <w:rsid w:val="001E7C03"/>
    <w:rsid w:val="001F02AF"/>
    <w:rsid w:val="001F0649"/>
    <w:rsid w:val="001F28F4"/>
    <w:rsid w:val="001F2902"/>
    <w:rsid w:val="001F2CC6"/>
    <w:rsid w:val="001F3055"/>
    <w:rsid w:val="001F31BC"/>
    <w:rsid w:val="001F378E"/>
    <w:rsid w:val="001F3C79"/>
    <w:rsid w:val="001F3E68"/>
    <w:rsid w:val="001F4597"/>
    <w:rsid w:val="001F56A9"/>
    <w:rsid w:val="001F5C6A"/>
    <w:rsid w:val="001F63A7"/>
    <w:rsid w:val="001F670A"/>
    <w:rsid w:val="00200D15"/>
    <w:rsid w:val="0020223B"/>
    <w:rsid w:val="0020294A"/>
    <w:rsid w:val="00203074"/>
    <w:rsid w:val="00203B46"/>
    <w:rsid w:val="00203FCB"/>
    <w:rsid w:val="002048E1"/>
    <w:rsid w:val="002070AB"/>
    <w:rsid w:val="00207DB6"/>
    <w:rsid w:val="00210278"/>
    <w:rsid w:val="00210CC2"/>
    <w:rsid w:val="00210F5B"/>
    <w:rsid w:val="00210FFA"/>
    <w:rsid w:val="00211262"/>
    <w:rsid w:val="0021139C"/>
    <w:rsid w:val="002115F5"/>
    <w:rsid w:val="00211AC9"/>
    <w:rsid w:val="0021329E"/>
    <w:rsid w:val="0021355B"/>
    <w:rsid w:val="00215061"/>
    <w:rsid w:val="00215A2C"/>
    <w:rsid w:val="002161D6"/>
    <w:rsid w:val="00217980"/>
    <w:rsid w:val="002179F9"/>
    <w:rsid w:val="002205F2"/>
    <w:rsid w:val="0022080E"/>
    <w:rsid w:val="00220895"/>
    <w:rsid w:val="00220B20"/>
    <w:rsid w:val="0022139E"/>
    <w:rsid w:val="0022272B"/>
    <w:rsid w:val="00222A99"/>
    <w:rsid w:val="00223678"/>
    <w:rsid w:val="002236F7"/>
    <w:rsid w:val="00223E00"/>
    <w:rsid w:val="002252E0"/>
    <w:rsid w:val="002255F6"/>
    <w:rsid w:val="00225F36"/>
    <w:rsid w:val="00226466"/>
    <w:rsid w:val="002266D0"/>
    <w:rsid w:val="00226887"/>
    <w:rsid w:val="00227991"/>
    <w:rsid w:val="00230DAD"/>
    <w:rsid w:val="0023229C"/>
    <w:rsid w:val="0023301B"/>
    <w:rsid w:val="002334DF"/>
    <w:rsid w:val="0023355C"/>
    <w:rsid w:val="00234280"/>
    <w:rsid w:val="00234DD5"/>
    <w:rsid w:val="00235000"/>
    <w:rsid w:val="002350E3"/>
    <w:rsid w:val="00235330"/>
    <w:rsid w:val="00236443"/>
    <w:rsid w:val="00240773"/>
    <w:rsid w:val="00240815"/>
    <w:rsid w:val="00240A5B"/>
    <w:rsid w:val="00240C76"/>
    <w:rsid w:val="002411EF"/>
    <w:rsid w:val="00241446"/>
    <w:rsid w:val="00242730"/>
    <w:rsid w:val="002436BA"/>
    <w:rsid w:val="002444ED"/>
    <w:rsid w:val="00244A15"/>
    <w:rsid w:val="00244D40"/>
    <w:rsid w:val="00246AE9"/>
    <w:rsid w:val="0024799E"/>
    <w:rsid w:val="00250C59"/>
    <w:rsid w:val="00250E0D"/>
    <w:rsid w:val="002518F6"/>
    <w:rsid w:val="00251D59"/>
    <w:rsid w:val="00252602"/>
    <w:rsid w:val="00252609"/>
    <w:rsid w:val="00252FDC"/>
    <w:rsid w:val="002532E2"/>
    <w:rsid w:val="002550D8"/>
    <w:rsid w:val="00257613"/>
    <w:rsid w:val="00261A0F"/>
    <w:rsid w:val="00261E5B"/>
    <w:rsid w:val="00262F34"/>
    <w:rsid w:val="00263470"/>
    <w:rsid w:val="00263733"/>
    <w:rsid w:val="00264676"/>
    <w:rsid w:val="00265536"/>
    <w:rsid w:val="00265E54"/>
    <w:rsid w:val="00266F3E"/>
    <w:rsid w:val="00270785"/>
    <w:rsid w:val="00272464"/>
    <w:rsid w:val="00272B0B"/>
    <w:rsid w:val="00272CC5"/>
    <w:rsid w:val="00273C60"/>
    <w:rsid w:val="00273DCD"/>
    <w:rsid w:val="00274291"/>
    <w:rsid w:val="00276C09"/>
    <w:rsid w:val="00276CFE"/>
    <w:rsid w:val="00277071"/>
    <w:rsid w:val="0027786C"/>
    <w:rsid w:val="00277BF7"/>
    <w:rsid w:val="00281416"/>
    <w:rsid w:val="00283C61"/>
    <w:rsid w:val="00284C6F"/>
    <w:rsid w:val="00285CD3"/>
    <w:rsid w:val="0028633E"/>
    <w:rsid w:val="0028686A"/>
    <w:rsid w:val="00286E66"/>
    <w:rsid w:val="002870B7"/>
    <w:rsid w:val="002919B5"/>
    <w:rsid w:val="00293441"/>
    <w:rsid w:val="00294238"/>
    <w:rsid w:val="0029493E"/>
    <w:rsid w:val="002962E0"/>
    <w:rsid w:val="00296C2E"/>
    <w:rsid w:val="002A1B05"/>
    <w:rsid w:val="002A267F"/>
    <w:rsid w:val="002A3354"/>
    <w:rsid w:val="002A35EA"/>
    <w:rsid w:val="002A37B6"/>
    <w:rsid w:val="002A3BD5"/>
    <w:rsid w:val="002A43A2"/>
    <w:rsid w:val="002A44ED"/>
    <w:rsid w:val="002A4612"/>
    <w:rsid w:val="002A4F70"/>
    <w:rsid w:val="002A5263"/>
    <w:rsid w:val="002A63B9"/>
    <w:rsid w:val="002A6821"/>
    <w:rsid w:val="002A74D2"/>
    <w:rsid w:val="002A7CDA"/>
    <w:rsid w:val="002A7F47"/>
    <w:rsid w:val="002B1544"/>
    <w:rsid w:val="002B1DC1"/>
    <w:rsid w:val="002B36C8"/>
    <w:rsid w:val="002B385B"/>
    <w:rsid w:val="002B6B7A"/>
    <w:rsid w:val="002B71B4"/>
    <w:rsid w:val="002B7240"/>
    <w:rsid w:val="002C0FF4"/>
    <w:rsid w:val="002C125A"/>
    <w:rsid w:val="002C2668"/>
    <w:rsid w:val="002C43BD"/>
    <w:rsid w:val="002C493D"/>
    <w:rsid w:val="002C5261"/>
    <w:rsid w:val="002C6091"/>
    <w:rsid w:val="002C63C1"/>
    <w:rsid w:val="002D0562"/>
    <w:rsid w:val="002D1B5A"/>
    <w:rsid w:val="002D2500"/>
    <w:rsid w:val="002D338A"/>
    <w:rsid w:val="002D3F00"/>
    <w:rsid w:val="002D4D59"/>
    <w:rsid w:val="002D54BF"/>
    <w:rsid w:val="002D5C3D"/>
    <w:rsid w:val="002D5E94"/>
    <w:rsid w:val="002D632D"/>
    <w:rsid w:val="002D6B01"/>
    <w:rsid w:val="002D6B11"/>
    <w:rsid w:val="002D6FC7"/>
    <w:rsid w:val="002D7EF4"/>
    <w:rsid w:val="002E02A1"/>
    <w:rsid w:val="002E0982"/>
    <w:rsid w:val="002E0DB9"/>
    <w:rsid w:val="002E2CE4"/>
    <w:rsid w:val="002E34F3"/>
    <w:rsid w:val="002E4217"/>
    <w:rsid w:val="002E435E"/>
    <w:rsid w:val="002E73F2"/>
    <w:rsid w:val="002F33FB"/>
    <w:rsid w:val="002F663A"/>
    <w:rsid w:val="002F68A4"/>
    <w:rsid w:val="002F7594"/>
    <w:rsid w:val="002F7902"/>
    <w:rsid w:val="003003E7"/>
    <w:rsid w:val="00300D6F"/>
    <w:rsid w:val="00301357"/>
    <w:rsid w:val="0030192C"/>
    <w:rsid w:val="00301D04"/>
    <w:rsid w:val="00302A94"/>
    <w:rsid w:val="003035D4"/>
    <w:rsid w:val="00303A3C"/>
    <w:rsid w:val="00303DCB"/>
    <w:rsid w:val="00304771"/>
    <w:rsid w:val="00305736"/>
    <w:rsid w:val="00305C33"/>
    <w:rsid w:val="00306C5B"/>
    <w:rsid w:val="00306E3B"/>
    <w:rsid w:val="0030768C"/>
    <w:rsid w:val="00310ADB"/>
    <w:rsid w:val="003119B6"/>
    <w:rsid w:val="00312C3D"/>
    <w:rsid w:val="00314331"/>
    <w:rsid w:val="00317E31"/>
    <w:rsid w:val="00320214"/>
    <w:rsid w:val="003209D6"/>
    <w:rsid w:val="0032109A"/>
    <w:rsid w:val="0032214F"/>
    <w:rsid w:val="00322164"/>
    <w:rsid w:val="00323CF7"/>
    <w:rsid w:val="00323E61"/>
    <w:rsid w:val="0032513D"/>
    <w:rsid w:val="00326251"/>
    <w:rsid w:val="0032739C"/>
    <w:rsid w:val="003276D1"/>
    <w:rsid w:val="00327DEE"/>
    <w:rsid w:val="003302DA"/>
    <w:rsid w:val="00330EB0"/>
    <w:rsid w:val="00331574"/>
    <w:rsid w:val="0033229B"/>
    <w:rsid w:val="003329F3"/>
    <w:rsid w:val="0033352E"/>
    <w:rsid w:val="00333690"/>
    <w:rsid w:val="00333D20"/>
    <w:rsid w:val="00333F53"/>
    <w:rsid w:val="003340EF"/>
    <w:rsid w:val="00334A49"/>
    <w:rsid w:val="0033536F"/>
    <w:rsid w:val="00335BB0"/>
    <w:rsid w:val="0033627B"/>
    <w:rsid w:val="003406BD"/>
    <w:rsid w:val="00343474"/>
    <w:rsid w:val="00343F84"/>
    <w:rsid w:val="00344135"/>
    <w:rsid w:val="003450E2"/>
    <w:rsid w:val="00351B63"/>
    <w:rsid w:val="00352E57"/>
    <w:rsid w:val="003541B0"/>
    <w:rsid w:val="0035457E"/>
    <w:rsid w:val="00355885"/>
    <w:rsid w:val="00355CAA"/>
    <w:rsid w:val="0035605E"/>
    <w:rsid w:val="00356244"/>
    <w:rsid w:val="00357449"/>
    <w:rsid w:val="00357C28"/>
    <w:rsid w:val="00361F76"/>
    <w:rsid w:val="0036238B"/>
    <w:rsid w:val="00362408"/>
    <w:rsid w:val="003630B0"/>
    <w:rsid w:val="003649FC"/>
    <w:rsid w:val="003651A4"/>
    <w:rsid w:val="00365680"/>
    <w:rsid w:val="003657F3"/>
    <w:rsid w:val="00365E26"/>
    <w:rsid w:val="00366D4D"/>
    <w:rsid w:val="00366F77"/>
    <w:rsid w:val="00367038"/>
    <w:rsid w:val="00370963"/>
    <w:rsid w:val="0037144E"/>
    <w:rsid w:val="00372272"/>
    <w:rsid w:val="0037290D"/>
    <w:rsid w:val="003736B5"/>
    <w:rsid w:val="00374F1E"/>
    <w:rsid w:val="003750CF"/>
    <w:rsid w:val="003769F0"/>
    <w:rsid w:val="00376DEC"/>
    <w:rsid w:val="00377200"/>
    <w:rsid w:val="00377666"/>
    <w:rsid w:val="0038034A"/>
    <w:rsid w:val="00380E04"/>
    <w:rsid w:val="00380E6C"/>
    <w:rsid w:val="00383227"/>
    <w:rsid w:val="003839C9"/>
    <w:rsid w:val="0038422D"/>
    <w:rsid w:val="00384D8F"/>
    <w:rsid w:val="003857A2"/>
    <w:rsid w:val="00385D98"/>
    <w:rsid w:val="00385EC5"/>
    <w:rsid w:val="0038658E"/>
    <w:rsid w:val="003875C2"/>
    <w:rsid w:val="0039066E"/>
    <w:rsid w:val="00391C95"/>
    <w:rsid w:val="00392110"/>
    <w:rsid w:val="00393D74"/>
    <w:rsid w:val="003948D7"/>
    <w:rsid w:val="00394D49"/>
    <w:rsid w:val="00396DAC"/>
    <w:rsid w:val="003971D0"/>
    <w:rsid w:val="003A0214"/>
    <w:rsid w:val="003A027D"/>
    <w:rsid w:val="003A1D74"/>
    <w:rsid w:val="003A2B4D"/>
    <w:rsid w:val="003A2D2B"/>
    <w:rsid w:val="003A2DD4"/>
    <w:rsid w:val="003A3982"/>
    <w:rsid w:val="003A3B1C"/>
    <w:rsid w:val="003A4088"/>
    <w:rsid w:val="003A478C"/>
    <w:rsid w:val="003A4F82"/>
    <w:rsid w:val="003A5525"/>
    <w:rsid w:val="003A6B38"/>
    <w:rsid w:val="003B2142"/>
    <w:rsid w:val="003B2580"/>
    <w:rsid w:val="003B293F"/>
    <w:rsid w:val="003B2E63"/>
    <w:rsid w:val="003B3189"/>
    <w:rsid w:val="003B3A9D"/>
    <w:rsid w:val="003B3DDD"/>
    <w:rsid w:val="003B5031"/>
    <w:rsid w:val="003B5A32"/>
    <w:rsid w:val="003B6105"/>
    <w:rsid w:val="003C03CC"/>
    <w:rsid w:val="003C04C4"/>
    <w:rsid w:val="003C0B96"/>
    <w:rsid w:val="003C26F4"/>
    <w:rsid w:val="003C3686"/>
    <w:rsid w:val="003C4852"/>
    <w:rsid w:val="003C5BC7"/>
    <w:rsid w:val="003C601E"/>
    <w:rsid w:val="003C66C4"/>
    <w:rsid w:val="003C6DB9"/>
    <w:rsid w:val="003D2393"/>
    <w:rsid w:val="003D2C4E"/>
    <w:rsid w:val="003D3600"/>
    <w:rsid w:val="003D3825"/>
    <w:rsid w:val="003D3EC4"/>
    <w:rsid w:val="003D44E2"/>
    <w:rsid w:val="003D4760"/>
    <w:rsid w:val="003D49DC"/>
    <w:rsid w:val="003D4DD9"/>
    <w:rsid w:val="003D4FB5"/>
    <w:rsid w:val="003D59BE"/>
    <w:rsid w:val="003D5D7A"/>
    <w:rsid w:val="003D5E4B"/>
    <w:rsid w:val="003D653F"/>
    <w:rsid w:val="003D6B55"/>
    <w:rsid w:val="003E0663"/>
    <w:rsid w:val="003E133F"/>
    <w:rsid w:val="003E49F6"/>
    <w:rsid w:val="003E699C"/>
    <w:rsid w:val="003E69F3"/>
    <w:rsid w:val="003E782E"/>
    <w:rsid w:val="003E7A0B"/>
    <w:rsid w:val="003E7B2B"/>
    <w:rsid w:val="003F0293"/>
    <w:rsid w:val="003F116D"/>
    <w:rsid w:val="003F181F"/>
    <w:rsid w:val="003F1A48"/>
    <w:rsid w:val="003F1E23"/>
    <w:rsid w:val="003F22F6"/>
    <w:rsid w:val="003F2B0A"/>
    <w:rsid w:val="003F313C"/>
    <w:rsid w:val="003F32AB"/>
    <w:rsid w:val="003F341B"/>
    <w:rsid w:val="003F37FC"/>
    <w:rsid w:val="003F3A26"/>
    <w:rsid w:val="003F49A6"/>
    <w:rsid w:val="003F5047"/>
    <w:rsid w:val="003F5098"/>
    <w:rsid w:val="003F5568"/>
    <w:rsid w:val="003F5A95"/>
    <w:rsid w:val="003F6D19"/>
    <w:rsid w:val="004000D5"/>
    <w:rsid w:val="00400244"/>
    <w:rsid w:val="004005C1"/>
    <w:rsid w:val="00400BBD"/>
    <w:rsid w:val="00401716"/>
    <w:rsid w:val="004018F7"/>
    <w:rsid w:val="00401A09"/>
    <w:rsid w:val="0040273A"/>
    <w:rsid w:val="00402C25"/>
    <w:rsid w:val="004036FB"/>
    <w:rsid w:val="004050D7"/>
    <w:rsid w:val="004078BD"/>
    <w:rsid w:val="00410132"/>
    <w:rsid w:val="004104E4"/>
    <w:rsid w:val="00410A97"/>
    <w:rsid w:val="00410BCD"/>
    <w:rsid w:val="00410DE5"/>
    <w:rsid w:val="0041175D"/>
    <w:rsid w:val="004117CE"/>
    <w:rsid w:val="004123BE"/>
    <w:rsid w:val="00414CE5"/>
    <w:rsid w:val="00416673"/>
    <w:rsid w:val="00420AE6"/>
    <w:rsid w:val="0042160D"/>
    <w:rsid w:val="00423A3C"/>
    <w:rsid w:val="00423C04"/>
    <w:rsid w:val="00424D9B"/>
    <w:rsid w:val="0042681B"/>
    <w:rsid w:val="00427193"/>
    <w:rsid w:val="0043068A"/>
    <w:rsid w:val="004306E0"/>
    <w:rsid w:val="00431D54"/>
    <w:rsid w:val="00431F98"/>
    <w:rsid w:val="004329BE"/>
    <w:rsid w:val="00432C38"/>
    <w:rsid w:val="004342EC"/>
    <w:rsid w:val="00437C76"/>
    <w:rsid w:val="00437F4A"/>
    <w:rsid w:val="0044105C"/>
    <w:rsid w:val="00442197"/>
    <w:rsid w:val="00443E95"/>
    <w:rsid w:val="004441A0"/>
    <w:rsid w:val="00444268"/>
    <w:rsid w:val="00444326"/>
    <w:rsid w:val="004443BF"/>
    <w:rsid w:val="00444C19"/>
    <w:rsid w:val="00445218"/>
    <w:rsid w:val="00445CDD"/>
    <w:rsid w:val="004464DC"/>
    <w:rsid w:val="00446892"/>
    <w:rsid w:val="00447267"/>
    <w:rsid w:val="00447E36"/>
    <w:rsid w:val="00450700"/>
    <w:rsid w:val="00450C30"/>
    <w:rsid w:val="004529C7"/>
    <w:rsid w:val="004540FF"/>
    <w:rsid w:val="004541F1"/>
    <w:rsid w:val="00455ECA"/>
    <w:rsid w:val="00457296"/>
    <w:rsid w:val="00457320"/>
    <w:rsid w:val="00460164"/>
    <w:rsid w:val="0046039A"/>
    <w:rsid w:val="00460A6B"/>
    <w:rsid w:val="00461977"/>
    <w:rsid w:val="00461A3F"/>
    <w:rsid w:val="004620C7"/>
    <w:rsid w:val="004629FD"/>
    <w:rsid w:val="00462AD2"/>
    <w:rsid w:val="00463B4B"/>
    <w:rsid w:val="00463F4D"/>
    <w:rsid w:val="00464658"/>
    <w:rsid w:val="0046471F"/>
    <w:rsid w:val="00464BE8"/>
    <w:rsid w:val="00465019"/>
    <w:rsid w:val="00465FA4"/>
    <w:rsid w:val="0046613F"/>
    <w:rsid w:val="0046655D"/>
    <w:rsid w:val="00466808"/>
    <w:rsid w:val="00466AAE"/>
    <w:rsid w:val="0046765E"/>
    <w:rsid w:val="004676E2"/>
    <w:rsid w:val="00471EDD"/>
    <w:rsid w:val="00473E94"/>
    <w:rsid w:val="0047400C"/>
    <w:rsid w:val="00474471"/>
    <w:rsid w:val="004745D9"/>
    <w:rsid w:val="00474B94"/>
    <w:rsid w:val="004761D2"/>
    <w:rsid w:val="004762D8"/>
    <w:rsid w:val="004765B3"/>
    <w:rsid w:val="00476D29"/>
    <w:rsid w:val="00477241"/>
    <w:rsid w:val="0047728F"/>
    <w:rsid w:val="004774F5"/>
    <w:rsid w:val="00477EAF"/>
    <w:rsid w:val="00477EE0"/>
    <w:rsid w:val="00480AB8"/>
    <w:rsid w:val="0048139F"/>
    <w:rsid w:val="00481C00"/>
    <w:rsid w:val="00483053"/>
    <w:rsid w:val="00484874"/>
    <w:rsid w:val="00485230"/>
    <w:rsid w:val="00487127"/>
    <w:rsid w:val="004879E9"/>
    <w:rsid w:val="00487F81"/>
    <w:rsid w:val="00490082"/>
    <w:rsid w:val="00490247"/>
    <w:rsid w:val="0049104F"/>
    <w:rsid w:val="00491218"/>
    <w:rsid w:val="00491CFD"/>
    <w:rsid w:val="00492991"/>
    <w:rsid w:val="00493362"/>
    <w:rsid w:val="00494343"/>
    <w:rsid w:val="00494AAB"/>
    <w:rsid w:val="00496C2F"/>
    <w:rsid w:val="0049740D"/>
    <w:rsid w:val="004978D3"/>
    <w:rsid w:val="004A06A6"/>
    <w:rsid w:val="004A11F8"/>
    <w:rsid w:val="004A22BD"/>
    <w:rsid w:val="004A22FA"/>
    <w:rsid w:val="004A269A"/>
    <w:rsid w:val="004A26DB"/>
    <w:rsid w:val="004A30FB"/>
    <w:rsid w:val="004A35DD"/>
    <w:rsid w:val="004A37D3"/>
    <w:rsid w:val="004A3AD6"/>
    <w:rsid w:val="004A3BCE"/>
    <w:rsid w:val="004A5865"/>
    <w:rsid w:val="004A7670"/>
    <w:rsid w:val="004A77DF"/>
    <w:rsid w:val="004B0295"/>
    <w:rsid w:val="004B0803"/>
    <w:rsid w:val="004B10A8"/>
    <w:rsid w:val="004B1F58"/>
    <w:rsid w:val="004B1F9D"/>
    <w:rsid w:val="004B22DA"/>
    <w:rsid w:val="004B3CB7"/>
    <w:rsid w:val="004B3D55"/>
    <w:rsid w:val="004B55B7"/>
    <w:rsid w:val="004B5836"/>
    <w:rsid w:val="004B5F05"/>
    <w:rsid w:val="004C00A6"/>
    <w:rsid w:val="004C0243"/>
    <w:rsid w:val="004C0BBB"/>
    <w:rsid w:val="004C1AD6"/>
    <w:rsid w:val="004C1B86"/>
    <w:rsid w:val="004C1DEE"/>
    <w:rsid w:val="004C3382"/>
    <w:rsid w:val="004C3867"/>
    <w:rsid w:val="004C4AB7"/>
    <w:rsid w:val="004C4B88"/>
    <w:rsid w:val="004C4CD0"/>
    <w:rsid w:val="004C57B5"/>
    <w:rsid w:val="004C5C25"/>
    <w:rsid w:val="004C6717"/>
    <w:rsid w:val="004C6CFF"/>
    <w:rsid w:val="004C70DC"/>
    <w:rsid w:val="004C7268"/>
    <w:rsid w:val="004C7C50"/>
    <w:rsid w:val="004D0211"/>
    <w:rsid w:val="004D1C9C"/>
    <w:rsid w:val="004D2A0E"/>
    <w:rsid w:val="004D458D"/>
    <w:rsid w:val="004D4F13"/>
    <w:rsid w:val="004D504B"/>
    <w:rsid w:val="004D536E"/>
    <w:rsid w:val="004D58CE"/>
    <w:rsid w:val="004D70B1"/>
    <w:rsid w:val="004D76CC"/>
    <w:rsid w:val="004E1415"/>
    <w:rsid w:val="004E1839"/>
    <w:rsid w:val="004E4A75"/>
    <w:rsid w:val="004E541A"/>
    <w:rsid w:val="004E5A5C"/>
    <w:rsid w:val="004E7007"/>
    <w:rsid w:val="004E76D6"/>
    <w:rsid w:val="004E7F57"/>
    <w:rsid w:val="004F06F5"/>
    <w:rsid w:val="004F191F"/>
    <w:rsid w:val="004F2A4D"/>
    <w:rsid w:val="004F2A73"/>
    <w:rsid w:val="004F33A0"/>
    <w:rsid w:val="004F353A"/>
    <w:rsid w:val="004F4353"/>
    <w:rsid w:val="004F447D"/>
    <w:rsid w:val="004F4C28"/>
    <w:rsid w:val="004F4E82"/>
    <w:rsid w:val="004F5470"/>
    <w:rsid w:val="004F5CC5"/>
    <w:rsid w:val="004F6350"/>
    <w:rsid w:val="004F7170"/>
    <w:rsid w:val="005028E1"/>
    <w:rsid w:val="00505493"/>
    <w:rsid w:val="00505989"/>
    <w:rsid w:val="00506309"/>
    <w:rsid w:val="0050692E"/>
    <w:rsid w:val="00507040"/>
    <w:rsid w:val="005079F8"/>
    <w:rsid w:val="00510189"/>
    <w:rsid w:val="005108C0"/>
    <w:rsid w:val="00511873"/>
    <w:rsid w:val="00512603"/>
    <w:rsid w:val="0051367B"/>
    <w:rsid w:val="00513A89"/>
    <w:rsid w:val="00513B7E"/>
    <w:rsid w:val="005140DE"/>
    <w:rsid w:val="00514474"/>
    <w:rsid w:val="005147E9"/>
    <w:rsid w:val="0051507D"/>
    <w:rsid w:val="0051593C"/>
    <w:rsid w:val="00517567"/>
    <w:rsid w:val="0051778E"/>
    <w:rsid w:val="005215EF"/>
    <w:rsid w:val="00524637"/>
    <w:rsid w:val="00524FDD"/>
    <w:rsid w:val="00525137"/>
    <w:rsid w:val="005251DD"/>
    <w:rsid w:val="00526DB6"/>
    <w:rsid w:val="0053017A"/>
    <w:rsid w:val="00530492"/>
    <w:rsid w:val="005308E4"/>
    <w:rsid w:val="005325A8"/>
    <w:rsid w:val="00532854"/>
    <w:rsid w:val="005350F2"/>
    <w:rsid w:val="00535152"/>
    <w:rsid w:val="00535359"/>
    <w:rsid w:val="005357A2"/>
    <w:rsid w:val="005359E3"/>
    <w:rsid w:val="00535D87"/>
    <w:rsid w:val="00535EF0"/>
    <w:rsid w:val="00535F78"/>
    <w:rsid w:val="005363DF"/>
    <w:rsid w:val="0053734B"/>
    <w:rsid w:val="005375B1"/>
    <w:rsid w:val="00537AFD"/>
    <w:rsid w:val="00537CB4"/>
    <w:rsid w:val="00540CB3"/>
    <w:rsid w:val="00541822"/>
    <w:rsid w:val="00542D19"/>
    <w:rsid w:val="0054516B"/>
    <w:rsid w:val="0054559E"/>
    <w:rsid w:val="005459BD"/>
    <w:rsid w:val="00546833"/>
    <w:rsid w:val="0054787A"/>
    <w:rsid w:val="005513D5"/>
    <w:rsid w:val="005523B9"/>
    <w:rsid w:val="00553C88"/>
    <w:rsid w:val="005545E0"/>
    <w:rsid w:val="00554865"/>
    <w:rsid w:val="00554E57"/>
    <w:rsid w:val="00557E6A"/>
    <w:rsid w:val="00562749"/>
    <w:rsid w:val="00562DE9"/>
    <w:rsid w:val="005638A5"/>
    <w:rsid w:val="00564137"/>
    <w:rsid w:val="00566381"/>
    <w:rsid w:val="00566A03"/>
    <w:rsid w:val="00571932"/>
    <w:rsid w:val="00573C97"/>
    <w:rsid w:val="00574240"/>
    <w:rsid w:val="0057454C"/>
    <w:rsid w:val="005752EB"/>
    <w:rsid w:val="005755FE"/>
    <w:rsid w:val="00575CDC"/>
    <w:rsid w:val="005765D5"/>
    <w:rsid w:val="00576A3E"/>
    <w:rsid w:val="0057703D"/>
    <w:rsid w:val="00581892"/>
    <w:rsid w:val="0058366F"/>
    <w:rsid w:val="00583D5B"/>
    <w:rsid w:val="00583FFD"/>
    <w:rsid w:val="00587CCD"/>
    <w:rsid w:val="005908AE"/>
    <w:rsid w:val="005914F2"/>
    <w:rsid w:val="0059176E"/>
    <w:rsid w:val="00592854"/>
    <w:rsid w:val="00593152"/>
    <w:rsid w:val="005934CE"/>
    <w:rsid w:val="00593CA3"/>
    <w:rsid w:val="00594161"/>
    <w:rsid w:val="00594969"/>
    <w:rsid w:val="00594B91"/>
    <w:rsid w:val="00595035"/>
    <w:rsid w:val="00596C5E"/>
    <w:rsid w:val="005A2194"/>
    <w:rsid w:val="005A21E0"/>
    <w:rsid w:val="005A3210"/>
    <w:rsid w:val="005A33A1"/>
    <w:rsid w:val="005A3687"/>
    <w:rsid w:val="005A54EE"/>
    <w:rsid w:val="005A563B"/>
    <w:rsid w:val="005A5F82"/>
    <w:rsid w:val="005A61D1"/>
    <w:rsid w:val="005A6E85"/>
    <w:rsid w:val="005A7500"/>
    <w:rsid w:val="005A77E4"/>
    <w:rsid w:val="005B0262"/>
    <w:rsid w:val="005B0B8F"/>
    <w:rsid w:val="005B1BDB"/>
    <w:rsid w:val="005B22A7"/>
    <w:rsid w:val="005B2BAA"/>
    <w:rsid w:val="005B2D53"/>
    <w:rsid w:val="005B3247"/>
    <w:rsid w:val="005B3409"/>
    <w:rsid w:val="005B498A"/>
    <w:rsid w:val="005B7B12"/>
    <w:rsid w:val="005C16CB"/>
    <w:rsid w:val="005C21D6"/>
    <w:rsid w:val="005C3F9F"/>
    <w:rsid w:val="005C406F"/>
    <w:rsid w:val="005C40BA"/>
    <w:rsid w:val="005C4A23"/>
    <w:rsid w:val="005C562C"/>
    <w:rsid w:val="005C5812"/>
    <w:rsid w:val="005C6400"/>
    <w:rsid w:val="005C7B4D"/>
    <w:rsid w:val="005C7F1E"/>
    <w:rsid w:val="005D073B"/>
    <w:rsid w:val="005D25B4"/>
    <w:rsid w:val="005D374F"/>
    <w:rsid w:val="005D5802"/>
    <w:rsid w:val="005D6CFC"/>
    <w:rsid w:val="005D73E2"/>
    <w:rsid w:val="005D757A"/>
    <w:rsid w:val="005D7C4B"/>
    <w:rsid w:val="005E1871"/>
    <w:rsid w:val="005E1E4B"/>
    <w:rsid w:val="005E362D"/>
    <w:rsid w:val="005E3A0C"/>
    <w:rsid w:val="005E3FAC"/>
    <w:rsid w:val="005E4483"/>
    <w:rsid w:val="005E492C"/>
    <w:rsid w:val="005E4BAA"/>
    <w:rsid w:val="005E52EF"/>
    <w:rsid w:val="005E5B56"/>
    <w:rsid w:val="005E6088"/>
    <w:rsid w:val="005E61DF"/>
    <w:rsid w:val="005E6AB8"/>
    <w:rsid w:val="005E6B65"/>
    <w:rsid w:val="005E6B78"/>
    <w:rsid w:val="005E75B8"/>
    <w:rsid w:val="005F0976"/>
    <w:rsid w:val="005F26CE"/>
    <w:rsid w:val="005F38D3"/>
    <w:rsid w:val="005F3F04"/>
    <w:rsid w:val="005F4057"/>
    <w:rsid w:val="005F4088"/>
    <w:rsid w:val="005F42F4"/>
    <w:rsid w:val="005F4C83"/>
    <w:rsid w:val="005F5916"/>
    <w:rsid w:val="005F601D"/>
    <w:rsid w:val="005F6119"/>
    <w:rsid w:val="005F7940"/>
    <w:rsid w:val="00600712"/>
    <w:rsid w:val="0060107A"/>
    <w:rsid w:val="00601AFF"/>
    <w:rsid w:val="00602D1D"/>
    <w:rsid w:val="00604307"/>
    <w:rsid w:val="0060487F"/>
    <w:rsid w:val="00605814"/>
    <w:rsid w:val="00606B93"/>
    <w:rsid w:val="00607727"/>
    <w:rsid w:val="00607934"/>
    <w:rsid w:val="00610BD5"/>
    <w:rsid w:val="00611363"/>
    <w:rsid w:val="00611531"/>
    <w:rsid w:val="006118AA"/>
    <w:rsid w:val="00611C28"/>
    <w:rsid w:val="006139C7"/>
    <w:rsid w:val="006150EA"/>
    <w:rsid w:val="006153E3"/>
    <w:rsid w:val="006167AB"/>
    <w:rsid w:val="0061718A"/>
    <w:rsid w:val="00617D2D"/>
    <w:rsid w:val="00617D83"/>
    <w:rsid w:val="00620430"/>
    <w:rsid w:val="00620AC5"/>
    <w:rsid w:val="00621575"/>
    <w:rsid w:val="006215FC"/>
    <w:rsid w:val="00624093"/>
    <w:rsid w:val="006260B8"/>
    <w:rsid w:val="00630F66"/>
    <w:rsid w:val="00631FC2"/>
    <w:rsid w:val="00632171"/>
    <w:rsid w:val="0063332A"/>
    <w:rsid w:val="006347F9"/>
    <w:rsid w:val="0063494E"/>
    <w:rsid w:val="00634C90"/>
    <w:rsid w:val="00635818"/>
    <w:rsid w:val="00635E79"/>
    <w:rsid w:val="00636E5E"/>
    <w:rsid w:val="006379E0"/>
    <w:rsid w:val="00637D0E"/>
    <w:rsid w:val="006404A7"/>
    <w:rsid w:val="006407F3"/>
    <w:rsid w:val="006408EC"/>
    <w:rsid w:val="0064129B"/>
    <w:rsid w:val="00641DF7"/>
    <w:rsid w:val="00643497"/>
    <w:rsid w:val="00643735"/>
    <w:rsid w:val="00643A80"/>
    <w:rsid w:val="00644DFC"/>
    <w:rsid w:val="006451E4"/>
    <w:rsid w:val="006454B4"/>
    <w:rsid w:val="00645A9C"/>
    <w:rsid w:val="006460B8"/>
    <w:rsid w:val="00646448"/>
    <w:rsid w:val="006467D0"/>
    <w:rsid w:val="006504A0"/>
    <w:rsid w:val="00650784"/>
    <w:rsid w:val="006520C7"/>
    <w:rsid w:val="006520D5"/>
    <w:rsid w:val="00652179"/>
    <w:rsid w:val="00652CBB"/>
    <w:rsid w:val="006530B8"/>
    <w:rsid w:val="006535D6"/>
    <w:rsid w:val="00656716"/>
    <w:rsid w:val="006572ED"/>
    <w:rsid w:val="00657E87"/>
    <w:rsid w:val="0066026B"/>
    <w:rsid w:val="00660457"/>
    <w:rsid w:val="00660CB4"/>
    <w:rsid w:val="00660E1E"/>
    <w:rsid w:val="006637B1"/>
    <w:rsid w:val="00663CFD"/>
    <w:rsid w:val="006647AD"/>
    <w:rsid w:val="00664B64"/>
    <w:rsid w:val="00665691"/>
    <w:rsid w:val="00665D67"/>
    <w:rsid w:val="00665D77"/>
    <w:rsid w:val="006660CD"/>
    <w:rsid w:val="00666883"/>
    <w:rsid w:val="00666EC8"/>
    <w:rsid w:val="00666F4B"/>
    <w:rsid w:val="006676D0"/>
    <w:rsid w:val="0066796E"/>
    <w:rsid w:val="00670FAC"/>
    <w:rsid w:val="006710C9"/>
    <w:rsid w:val="006716A5"/>
    <w:rsid w:val="006717CC"/>
    <w:rsid w:val="006743E8"/>
    <w:rsid w:val="00675E37"/>
    <w:rsid w:val="00675F0F"/>
    <w:rsid w:val="006764ED"/>
    <w:rsid w:val="00676AFC"/>
    <w:rsid w:val="00676F11"/>
    <w:rsid w:val="00680079"/>
    <w:rsid w:val="00680ECC"/>
    <w:rsid w:val="00680F68"/>
    <w:rsid w:val="0068260E"/>
    <w:rsid w:val="00682D98"/>
    <w:rsid w:val="0068373D"/>
    <w:rsid w:val="00683B2A"/>
    <w:rsid w:val="00683BFE"/>
    <w:rsid w:val="0068437D"/>
    <w:rsid w:val="006857DF"/>
    <w:rsid w:val="00685E66"/>
    <w:rsid w:val="00686B72"/>
    <w:rsid w:val="00686BF1"/>
    <w:rsid w:val="00687AE5"/>
    <w:rsid w:val="00690A09"/>
    <w:rsid w:val="00690A25"/>
    <w:rsid w:val="006936AD"/>
    <w:rsid w:val="00693EA1"/>
    <w:rsid w:val="00693FEA"/>
    <w:rsid w:val="00694930"/>
    <w:rsid w:val="00695170"/>
    <w:rsid w:val="00695BEF"/>
    <w:rsid w:val="006960D6"/>
    <w:rsid w:val="006963FB"/>
    <w:rsid w:val="00696AA5"/>
    <w:rsid w:val="006977F6"/>
    <w:rsid w:val="0069789D"/>
    <w:rsid w:val="00697A13"/>
    <w:rsid w:val="006A109C"/>
    <w:rsid w:val="006A18AE"/>
    <w:rsid w:val="006A2EE8"/>
    <w:rsid w:val="006A3CF3"/>
    <w:rsid w:val="006A568F"/>
    <w:rsid w:val="006A65EF"/>
    <w:rsid w:val="006A672B"/>
    <w:rsid w:val="006B1781"/>
    <w:rsid w:val="006B23A9"/>
    <w:rsid w:val="006B23D8"/>
    <w:rsid w:val="006B281D"/>
    <w:rsid w:val="006B3F8A"/>
    <w:rsid w:val="006B59D7"/>
    <w:rsid w:val="006B5CA3"/>
    <w:rsid w:val="006B6B3B"/>
    <w:rsid w:val="006B7248"/>
    <w:rsid w:val="006B7714"/>
    <w:rsid w:val="006B78D8"/>
    <w:rsid w:val="006B7CCE"/>
    <w:rsid w:val="006C090F"/>
    <w:rsid w:val="006C0935"/>
    <w:rsid w:val="006C0BCE"/>
    <w:rsid w:val="006C113F"/>
    <w:rsid w:val="006C2AED"/>
    <w:rsid w:val="006C38DD"/>
    <w:rsid w:val="006C457F"/>
    <w:rsid w:val="006C53C7"/>
    <w:rsid w:val="006C5577"/>
    <w:rsid w:val="006C559A"/>
    <w:rsid w:val="006C58FA"/>
    <w:rsid w:val="006C6197"/>
    <w:rsid w:val="006D004F"/>
    <w:rsid w:val="006D042D"/>
    <w:rsid w:val="006D06EF"/>
    <w:rsid w:val="006D142E"/>
    <w:rsid w:val="006D3B87"/>
    <w:rsid w:val="006D4497"/>
    <w:rsid w:val="006D4E6F"/>
    <w:rsid w:val="006D61F6"/>
    <w:rsid w:val="006D710C"/>
    <w:rsid w:val="006E0EB0"/>
    <w:rsid w:val="006E182C"/>
    <w:rsid w:val="006E1F4C"/>
    <w:rsid w:val="006E22C8"/>
    <w:rsid w:val="006E279A"/>
    <w:rsid w:val="006E2C28"/>
    <w:rsid w:val="006E2F3F"/>
    <w:rsid w:val="006E313B"/>
    <w:rsid w:val="006E442A"/>
    <w:rsid w:val="006E4434"/>
    <w:rsid w:val="006E4A1B"/>
    <w:rsid w:val="006E59FC"/>
    <w:rsid w:val="006E5CFD"/>
    <w:rsid w:val="006E7E2C"/>
    <w:rsid w:val="006F1326"/>
    <w:rsid w:val="006F2280"/>
    <w:rsid w:val="006F2BEE"/>
    <w:rsid w:val="006F3708"/>
    <w:rsid w:val="006F376C"/>
    <w:rsid w:val="006F3A90"/>
    <w:rsid w:val="006F3E6B"/>
    <w:rsid w:val="006F4619"/>
    <w:rsid w:val="006F4A59"/>
    <w:rsid w:val="006F6968"/>
    <w:rsid w:val="00700232"/>
    <w:rsid w:val="00701382"/>
    <w:rsid w:val="007014C7"/>
    <w:rsid w:val="00702100"/>
    <w:rsid w:val="00702D6F"/>
    <w:rsid w:val="007031C6"/>
    <w:rsid w:val="00703B6C"/>
    <w:rsid w:val="00703C6B"/>
    <w:rsid w:val="007047D5"/>
    <w:rsid w:val="00705D98"/>
    <w:rsid w:val="00707891"/>
    <w:rsid w:val="00707D43"/>
    <w:rsid w:val="00710F7C"/>
    <w:rsid w:val="00711EF1"/>
    <w:rsid w:val="0071229A"/>
    <w:rsid w:val="00712572"/>
    <w:rsid w:val="00713495"/>
    <w:rsid w:val="00713EEB"/>
    <w:rsid w:val="007142C1"/>
    <w:rsid w:val="00715487"/>
    <w:rsid w:val="007159D2"/>
    <w:rsid w:val="00716DCC"/>
    <w:rsid w:val="00717726"/>
    <w:rsid w:val="0072050E"/>
    <w:rsid w:val="00720958"/>
    <w:rsid w:val="00720FA2"/>
    <w:rsid w:val="007211F5"/>
    <w:rsid w:val="007240C5"/>
    <w:rsid w:val="00724666"/>
    <w:rsid w:val="00724ADE"/>
    <w:rsid w:val="00724E80"/>
    <w:rsid w:val="00725492"/>
    <w:rsid w:val="007256B7"/>
    <w:rsid w:val="00726043"/>
    <w:rsid w:val="0072704A"/>
    <w:rsid w:val="007279B9"/>
    <w:rsid w:val="00730AE8"/>
    <w:rsid w:val="007315DA"/>
    <w:rsid w:val="00731963"/>
    <w:rsid w:val="00732706"/>
    <w:rsid w:val="00734321"/>
    <w:rsid w:val="00734597"/>
    <w:rsid w:val="00735044"/>
    <w:rsid w:val="0073532E"/>
    <w:rsid w:val="00735B01"/>
    <w:rsid w:val="007367F6"/>
    <w:rsid w:val="00740310"/>
    <w:rsid w:val="00740652"/>
    <w:rsid w:val="00740F02"/>
    <w:rsid w:val="00740FEC"/>
    <w:rsid w:val="0074132E"/>
    <w:rsid w:val="00741493"/>
    <w:rsid w:val="007426B3"/>
    <w:rsid w:val="007426FD"/>
    <w:rsid w:val="007430AB"/>
    <w:rsid w:val="0074329D"/>
    <w:rsid w:val="00744376"/>
    <w:rsid w:val="007449EA"/>
    <w:rsid w:val="00744D00"/>
    <w:rsid w:val="00744D2B"/>
    <w:rsid w:val="00745273"/>
    <w:rsid w:val="00745F3C"/>
    <w:rsid w:val="00746DD9"/>
    <w:rsid w:val="0075057A"/>
    <w:rsid w:val="00751771"/>
    <w:rsid w:val="00751C1C"/>
    <w:rsid w:val="00752180"/>
    <w:rsid w:val="007521A1"/>
    <w:rsid w:val="00752BC3"/>
    <w:rsid w:val="0075315D"/>
    <w:rsid w:val="007538F9"/>
    <w:rsid w:val="00754253"/>
    <w:rsid w:val="007552BB"/>
    <w:rsid w:val="007558D3"/>
    <w:rsid w:val="007559D7"/>
    <w:rsid w:val="00755D3A"/>
    <w:rsid w:val="00760141"/>
    <w:rsid w:val="007609C6"/>
    <w:rsid w:val="007610A0"/>
    <w:rsid w:val="00762036"/>
    <w:rsid w:val="007620F2"/>
    <w:rsid w:val="00762EBA"/>
    <w:rsid w:val="0076359D"/>
    <w:rsid w:val="00763A13"/>
    <w:rsid w:val="00763D86"/>
    <w:rsid w:val="0077058D"/>
    <w:rsid w:val="00770931"/>
    <w:rsid w:val="00772536"/>
    <w:rsid w:val="00773613"/>
    <w:rsid w:val="0077430F"/>
    <w:rsid w:val="00774782"/>
    <w:rsid w:val="00776476"/>
    <w:rsid w:val="00776527"/>
    <w:rsid w:val="00777DB1"/>
    <w:rsid w:val="007805E1"/>
    <w:rsid w:val="00780DDF"/>
    <w:rsid w:val="0078113E"/>
    <w:rsid w:val="00781834"/>
    <w:rsid w:val="007821DB"/>
    <w:rsid w:val="00782818"/>
    <w:rsid w:val="007838F1"/>
    <w:rsid w:val="007841BB"/>
    <w:rsid w:val="00784C4A"/>
    <w:rsid w:val="00787432"/>
    <w:rsid w:val="00787507"/>
    <w:rsid w:val="0078778C"/>
    <w:rsid w:val="007879F2"/>
    <w:rsid w:val="00790393"/>
    <w:rsid w:val="00791804"/>
    <w:rsid w:val="0079197F"/>
    <w:rsid w:val="00791CF8"/>
    <w:rsid w:val="00791EF9"/>
    <w:rsid w:val="00792262"/>
    <w:rsid w:val="00793387"/>
    <w:rsid w:val="00793BAE"/>
    <w:rsid w:val="007941C3"/>
    <w:rsid w:val="00794870"/>
    <w:rsid w:val="00794E0A"/>
    <w:rsid w:val="00795B04"/>
    <w:rsid w:val="00796642"/>
    <w:rsid w:val="007A11D9"/>
    <w:rsid w:val="007A327B"/>
    <w:rsid w:val="007A4048"/>
    <w:rsid w:val="007A45B1"/>
    <w:rsid w:val="007A4606"/>
    <w:rsid w:val="007A4D58"/>
    <w:rsid w:val="007A5039"/>
    <w:rsid w:val="007B04E8"/>
    <w:rsid w:val="007B0D67"/>
    <w:rsid w:val="007B0F90"/>
    <w:rsid w:val="007B1966"/>
    <w:rsid w:val="007B2257"/>
    <w:rsid w:val="007B2779"/>
    <w:rsid w:val="007B2AF7"/>
    <w:rsid w:val="007B3DCC"/>
    <w:rsid w:val="007B4518"/>
    <w:rsid w:val="007B5031"/>
    <w:rsid w:val="007B573F"/>
    <w:rsid w:val="007B72AC"/>
    <w:rsid w:val="007B78F8"/>
    <w:rsid w:val="007C0065"/>
    <w:rsid w:val="007C010B"/>
    <w:rsid w:val="007C32B6"/>
    <w:rsid w:val="007C3AE3"/>
    <w:rsid w:val="007C605B"/>
    <w:rsid w:val="007C6EBA"/>
    <w:rsid w:val="007D2A5A"/>
    <w:rsid w:val="007D2AD8"/>
    <w:rsid w:val="007D2C47"/>
    <w:rsid w:val="007D2C61"/>
    <w:rsid w:val="007D2DA3"/>
    <w:rsid w:val="007D2F81"/>
    <w:rsid w:val="007D3167"/>
    <w:rsid w:val="007D3CF7"/>
    <w:rsid w:val="007D4128"/>
    <w:rsid w:val="007D4281"/>
    <w:rsid w:val="007D42F5"/>
    <w:rsid w:val="007D44C3"/>
    <w:rsid w:val="007D5947"/>
    <w:rsid w:val="007D65C1"/>
    <w:rsid w:val="007E030F"/>
    <w:rsid w:val="007E0D49"/>
    <w:rsid w:val="007E0E59"/>
    <w:rsid w:val="007E0F4B"/>
    <w:rsid w:val="007E12C1"/>
    <w:rsid w:val="007E1EF7"/>
    <w:rsid w:val="007E3715"/>
    <w:rsid w:val="007E5880"/>
    <w:rsid w:val="007E5F3D"/>
    <w:rsid w:val="007E6588"/>
    <w:rsid w:val="007E7063"/>
    <w:rsid w:val="007E7E61"/>
    <w:rsid w:val="007F0316"/>
    <w:rsid w:val="007F0845"/>
    <w:rsid w:val="007F1092"/>
    <w:rsid w:val="007F16F9"/>
    <w:rsid w:val="007F2801"/>
    <w:rsid w:val="007F3E3E"/>
    <w:rsid w:val="007F42E0"/>
    <w:rsid w:val="007F500D"/>
    <w:rsid w:val="007F5F14"/>
    <w:rsid w:val="007F7B54"/>
    <w:rsid w:val="007F7C60"/>
    <w:rsid w:val="00800073"/>
    <w:rsid w:val="008005D7"/>
    <w:rsid w:val="00801FDD"/>
    <w:rsid w:val="008020C2"/>
    <w:rsid w:val="0080255C"/>
    <w:rsid w:val="008054FB"/>
    <w:rsid w:val="00806088"/>
    <w:rsid w:val="00806D07"/>
    <w:rsid w:val="0081019B"/>
    <w:rsid w:val="0081187C"/>
    <w:rsid w:val="00811E24"/>
    <w:rsid w:val="008120C5"/>
    <w:rsid w:val="00812386"/>
    <w:rsid w:val="00812E2B"/>
    <w:rsid w:val="00813A70"/>
    <w:rsid w:val="00813CB4"/>
    <w:rsid w:val="00813DB0"/>
    <w:rsid w:val="00813FE6"/>
    <w:rsid w:val="00815B82"/>
    <w:rsid w:val="00815C6E"/>
    <w:rsid w:val="00815DD0"/>
    <w:rsid w:val="00815F10"/>
    <w:rsid w:val="0081645F"/>
    <w:rsid w:val="00816A28"/>
    <w:rsid w:val="008174A3"/>
    <w:rsid w:val="00817755"/>
    <w:rsid w:val="008178C2"/>
    <w:rsid w:val="008178CF"/>
    <w:rsid w:val="00817C98"/>
    <w:rsid w:val="00820C9F"/>
    <w:rsid w:val="00821AAE"/>
    <w:rsid w:val="00821FF6"/>
    <w:rsid w:val="00823AAF"/>
    <w:rsid w:val="00824081"/>
    <w:rsid w:val="0082409A"/>
    <w:rsid w:val="008252D7"/>
    <w:rsid w:val="00825C0F"/>
    <w:rsid w:val="00826376"/>
    <w:rsid w:val="00826ED1"/>
    <w:rsid w:val="00827181"/>
    <w:rsid w:val="0082733C"/>
    <w:rsid w:val="00827746"/>
    <w:rsid w:val="0083102D"/>
    <w:rsid w:val="0083143E"/>
    <w:rsid w:val="0083159D"/>
    <w:rsid w:val="008318FF"/>
    <w:rsid w:val="00832187"/>
    <w:rsid w:val="00832493"/>
    <w:rsid w:val="008329BD"/>
    <w:rsid w:val="008334C3"/>
    <w:rsid w:val="008336D8"/>
    <w:rsid w:val="008339C4"/>
    <w:rsid w:val="00834F0A"/>
    <w:rsid w:val="00834FAA"/>
    <w:rsid w:val="00835181"/>
    <w:rsid w:val="00835991"/>
    <w:rsid w:val="00836086"/>
    <w:rsid w:val="00840699"/>
    <w:rsid w:val="00841D9F"/>
    <w:rsid w:val="00842078"/>
    <w:rsid w:val="00842604"/>
    <w:rsid w:val="00843ECF"/>
    <w:rsid w:val="00845AB1"/>
    <w:rsid w:val="00846673"/>
    <w:rsid w:val="008508A9"/>
    <w:rsid w:val="0085188D"/>
    <w:rsid w:val="008518D8"/>
    <w:rsid w:val="008525F9"/>
    <w:rsid w:val="0085281A"/>
    <w:rsid w:val="00853F33"/>
    <w:rsid w:val="008548EA"/>
    <w:rsid w:val="008550EA"/>
    <w:rsid w:val="008559FE"/>
    <w:rsid w:val="0085686D"/>
    <w:rsid w:val="00857339"/>
    <w:rsid w:val="00860706"/>
    <w:rsid w:val="00862A7A"/>
    <w:rsid w:val="00862FBD"/>
    <w:rsid w:val="00863104"/>
    <w:rsid w:val="008636CD"/>
    <w:rsid w:val="00863702"/>
    <w:rsid w:val="00863D9E"/>
    <w:rsid w:val="00863FDC"/>
    <w:rsid w:val="008642AF"/>
    <w:rsid w:val="00865286"/>
    <w:rsid w:val="00865729"/>
    <w:rsid w:val="00865EA8"/>
    <w:rsid w:val="00865ED4"/>
    <w:rsid w:val="008669A7"/>
    <w:rsid w:val="00867464"/>
    <w:rsid w:val="00867D15"/>
    <w:rsid w:val="00867E29"/>
    <w:rsid w:val="00870F2B"/>
    <w:rsid w:val="00873B2E"/>
    <w:rsid w:val="00874097"/>
    <w:rsid w:val="008746E6"/>
    <w:rsid w:val="0087515D"/>
    <w:rsid w:val="0087594C"/>
    <w:rsid w:val="00876086"/>
    <w:rsid w:val="008765FA"/>
    <w:rsid w:val="008768D6"/>
    <w:rsid w:val="008775D1"/>
    <w:rsid w:val="008777BB"/>
    <w:rsid w:val="00877D68"/>
    <w:rsid w:val="00877E5D"/>
    <w:rsid w:val="00880150"/>
    <w:rsid w:val="00880ABA"/>
    <w:rsid w:val="00883A67"/>
    <w:rsid w:val="00883D45"/>
    <w:rsid w:val="00884D69"/>
    <w:rsid w:val="0088503D"/>
    <w:rsid w:val="00885EC6"/>
    <w:rsid w:val="008869D2"/>
    <w:rsid w:val="00886A8F"/>
    <w:rsid w:val="00886DE2"/>
    <w:rsid w:val="0088733A"/>
    <w:rsid w:val="008901CC"/>
    <w:rsid w:val="00891BE0"/>
    <w:rsid w:val="00893302"/>
    <w:rsid w:val="00893648"/>
    <w:rsid w:val="00893D83"/>
    <w:rsid w:val="00893F0C"/>
    <w:rsid w:val="00893F3C"/>
    <w:rsid w:val="008945A1"/>
    <w:rsid w:val="00894A63"/>
    <w:rsid w:val="00894F71"/>
    <w:rsid w:val="00895A54"/>
    <w:rsid w:val="00896776"/>
    <w:rsid w:val="00896916"/>
    <w:rsid w:val="00896BDE"/>
    <w:rsid w:val="0089763E"/>
    <w:rsid w:val="008A03DE"/>
    <w:rsid w:val="008A0861"/>
    <w:rsid w:val="008A0BB2"/>
    <w:rsid w:val="008A1AB3"/>
    <w:rsid w:val="008A1D5C"/>
    <w:rsid w:val="008A3292"/>
    <w:rsid w:val="008A3A85"/>
    <w:rsid w:val="008A43E9"/>
    <w:rsid w:val="008A4CB1"/>
    <w:rsid w:val="008A615E"/>
    <w:rsid w:val="008A632B"/>
    <w:rsid w:val="008A6BFE"/>
    <w:rsid w:val="008A6F21"/>
    <w:rsid w:val="008A73DA"/>
    <w:rsid w:val="008B00C2"/>
    <w:rsid w:val="008B05E8"/>
    <w:rsid w:val="008B07EF"/>
    <w:rsid w:val="008B16DE"/>
    <w:rsid w:val="008B190E"/>
    <w:rsid w:val="008B1A8A"/>
    <w:rsid w:val="008B1FC9"/>
    <w:rsid w:val="008B531F"/>
    <w:rsid w:val="008B54A3"/>
    <w:rsid w:val="008B634C"/>
    <w:rsid w:val="008B6B67"/>
    <w:rsid w:val="008B7306"/>
    <w:rsid w:val="008B775F"/>
    <w:rsid w:val="008B7C02"/>
    <w:rsid w:val="008B7D13"/>
    <w:rsid w:val="008B7F9E"/>
    <w:rsid w:val="008C034E"/>
    <w:rsid w:val="008C0E88"/>
    <w:rsid w:val="008C1399"/>
    <w:rsid w:val="008C17B8"/>
    <w:rsid w:val="008C18A5"/>
    <w:rsid w:val="008C1AA8"/>
    <w:rsid w:val="008C22A8"/>
    <w:rsid w:val="008C5B43"/>
    <w:rsid w:val="008C63FD"/>
    <w:rsid w:val="008C6CB8"/>
    <w:rsid w:val="008C6D92"/>
    <w:rsid w:val="008C777A"/>
    <w:rsid w:val="008C7815"/>
    <w:rsid w:val="008C7A07"/>
    <w:rsid w:val="008C7E90"/>
    <w:rsid w:val="008C7EB3"/>
    <w:rsid w:val="008D0171"/>
    <w:rsid w:val="008D0632"/>
    <w:rsid w:val="008D0E3B"/>
    <w:rsid w:val="008D13EA"/>
    <w:rsid w:val="008D2671"/>
    <w:rsid w:val="008D2A16"/>
    <w:rsid w:val="008D2ECF"/>
    <w:rsid w:val="008D347D"/>
    <w:rsid w:val="008D3F3D"/>
    <w:rsid w:val="008D4376"/>
    <w:rsid w:val="008E0367"/>
    <w:rsid w:val="008E2DCD"/>
    <w:rsid w:val="008E308D"/>
    <w:rsid w:val="008E31FF"/>
    <w:rsid w:val="008E46A3"/>
    <w:rsid w:val="008E5DE6"/>
    <w:rsid w:val="008E6113"/>
    <w:rsid w:val="008E6AB3"/>
    <w:rsid w:val="008E6AD3"/>
    <w:rsid w:val="008E6EBD"/>
    <w:rsid w:val="008E71A6"/>
    <w:rsid w:val="008E77B6"/>
    <w:rsid w:val="008E7C55"/>
    <w:rsid w:val="008F032E"/>
    <w:rsid w:val="008F0F14"/>
    <w:rsid w:val="008F1638"/>
    <w:rsid w:val="008F2097"/>
    <w:rsid w:val="008F2F44"/>
    <w:rsid w:val="008F4FCE"/>
    <w:rsid w:val="008F5301"/>
    <w:rsid w:val="008F6967"/>
    <w:rsid w:val="008F6A0C"/>
    <w:rsid w:val="008F6F38"/>
    <w:rsid w:val="008F7721"/>
    <w:rsid w:val="008F7D28"/>
    <w:rsid w:val="009003A8"/>
    <w:rsid w:val="009010A7"/>
    <w:rsid w:val="009010E3"/>
    <w:rsid w:val="00901703"/>
    <w:rsid w:val="00901AF3"/>
    <w:rsid w:val="00902CBE"/>
    <w:rsid w:val="00902D74"/>
    <w:rsid w:val="00902EFF"/>
    <w:rsid w:val="00902FAC"/>
    <w:rsid w:val="00903E06"/>
    <w:rsid w:val="009045D1"/>
    <w:rsid w:val="00904B9D"/>
    <w:rsid w:val="00905A11"/>
    <w:rsid w:val="00905FE8"/>
    <w:rsid w:val="009066E1"/>
    <w:rsid w:val="00906F67"/>
    <w:rsid w:val="00907A41"/>
    <w:rsid w:val="009102BD"/>
    <w:rsid w:val="00910F93"/>
    <w:rsid w:val="0091255A"/>
    <w:rsid w:val="00914426"/>
    <w:rsid w:val="0091675F"/>
    <w:rsid w:val="00917709"/>
    <w:rsid w:val="00917918"/>
    <w:rsid w:val="00920874"/>
    <w:rsid w:val="00921F14"/>
    <w:rsid w:val="00922B3F"/>
    <w:rsid w:val="00923750"/>
    <w:rsid w:val="009243A5"/>
    <w:rsid w:val="0092500F"/>
    <w:rsid w:val="009250D2"/>
    <w:rsid w:val="0092519D"/>
    <w:rsid w:val="0092540B"/>
    <w:rsid w:val="009256C5"/>
    <w:rsid w:val="00926283"/>
    <w:rsid w:val="009306BE"/>
    <w:rsid w:val="00934836"/>
    <w:rsid w:val="00934963"/>
    <w:rsid w:val="00937B11"/>
    <w:rsid w:val="00940F1F"/>
    <w:rsid w:val="00941250"/>
    <w:rsid w:val="00941339"/>
    <w:rsid w:val="0094396E"/>
    <w:rsid w:val="0094427A"/>
    <w:rsid w:val="00944380"/>
    <w:rsid w:val="009459C5"/>
    <w:rsid w:val="00945E5E"/>
    <w:rsid w:val="0094626C"/>
    <w:rsid w:val="0095013A"/>
    <w:rsid w:val="00953AEF"/>
    <w:rsid w:val="009551E2"/>
    <w:rsid w:val="00955783"/>
    <w:rsid w:val="009558A6"/>
    <w:rsid w:val="00955E5F"/>
    <w:rsid w:val="009560B0"/>
    <w:rsid w:val="00956F23"/>
    <w:rsid w:val="009576AC"/>
    <w:rsid w:val="00957871"/>
    <w:rsid w:val="00960077"/>
    <w:rsid w:val="00960769"/>
    <w:rsid w:val="00962D2E"/>
    <w:rsid w:val="00963724"/>
    <w:rsid w:val="00964498"/>
    <w:rsid w:val="0096504D"/>
    <w:rsid w:val="00965795"/>
    <w:rsid w:val="00965A2D"/>
    <w:rsid w:val="009663EB"/>
    <w:rsid w:val="0096650F"/>
    <w:rsid w:val="00967801"/>
    <w:rsid w:val="00967AD2"/>
    <w:rsid w:val="009700DB"/>
    <w:rsid w:val="00971DC6"/>
    <w:rsid w:val="00972263"/>
    <w:rsid w:val="00972502"/>
    <w:rsid w:val="00972D8D"/>
    <w:rsid w:val="00973AAE"/>
    <w:rsid w:val="009742F7"/>
    <w:rsid w:val="0097476C"/>
    <w:rsid w:val="00974923"/>
    <w:rsid w:val="00974D48"/>
    <w:rsid w:val="00974D5F"/>
    <w:rsid w:val="00975017"/>
    <w:rsid w:val="009759DF"/>
    <w:rsid w:val="00980373"/>
    <w:rsid w:val="00980621"/>
    <w:rsid w:val="0098095B"/>
    <w:rsid w:val="00982072"/>
    <w:rsid w:val="009833FA"/>
    <w:rsid w:val="00983DBB"/>
    <w:rsid w:val="00983ECF"/>
    <w:rsid w:val="00985157"/>
    <w:rsid w:val="00986745"/>
    <w:rsid w:val="009867BC"/>
    <w:rsid w:val="00987109"/>
    <w:rsid w:val="00987309"/>
    <w:rsid w:val="0099012D"/>
    <w:rsid w:val="00990363"/>
    <w:rsid w:val="00991266"/>
    <w:rsid w:val="009928AE"/>
    <w:rsid w:val="00993BE6"/>
    <w:rsid w:val="00993D9C"/>
    <w:rsid w:val="00993F56"/>
    <w:rsid w:val="009954FF"/>
    <w:rsid w:val="0099571E"/>
    <w:rsid w:val="00995E2F"/>
    <w:rsid w:val="009961BC"/>
    <w:rsid w:val="00996355"/>
    <w:rsid w:val="0099788F"/>
    <w:rsid w:val="00997ADD"/>
    <w:rsid w:val="009A05A2"/>
    <w:rsid w:val="009A0979"/>
    <w:rsid w:val="009A1374"/>
    <w:rsid w:val="009A13FA"/>
    <w:rsid w:val="009A2014"/>
    <w:rsid w:val="009A2030"/>
    <w:rsid w:val="009A3A87"/>
    <w:rsid w:val="009A4E12"/>
    <w:rsid w:val="009A5C68"/>
    <w:rsid w:val="009A5DE2"/>
    <w:rsid w:val="009A6EF7"/>
    <w:rsid w:val="009B04D0"/>
    <w:rsid w:val="009B052C"/>
    <w:rsid w:val="009B0975"/>
    <w:rsid w:val="009B0EF2"/>
    <w:rsid w:val="009B23A3"/>
    <w:rsid w:val="009B2C0E"/>
    <w:rsid w:val="009B4925"/>
    <w:rsid w:val="009B4B4B"/>
    <w:rsid w:val="009B4CE3"/>
    <w:rsid w:val="009B6FD3"/>
    <w:rsid w:val="009B70BD"/>
    <w:rsid w:val="009C07A5"/>
    <w:rsid w:val="009C24A3"/>
    <w:rsid w:val="009C3705"/>
    <w:rsid w:val="009C7388"/>
    <w:rsid w:val="009C74C2"/>
    <w:rsid w:val="009D0CFF"/>
    <w:rsid w:val="009D1551"/>
    <w:rsid w:val="009D2859"/>
    <w:rsid w:val="009D36EC"/>
    <w:rsid w:val="009D3CD0"/>
    <w:rsid w:val="009D4173"/>
    <w:rsid w:val="009D51CA"/>
    <w:rsid w:val="009D6095"/>
    <w:rsid w:val="009D6306"/>
    <w:rsid w:val="009E048A"/>
    <w:rsid w:val="009E1124"/>
    <w:rsid w:val="009E1FBA"/>
    <w:rsid w:val="009E2C54"/>
    <w:rsid w:val="009E3710"/>
    <w:rsid w:val="009E6F65"/>
    <w:rsid w:val="009E7340"/>
    <w:rsid w:val="009E7B1F"/>
    <w:rsid w:val="009F346F"/>
    <w:rsid w:val="009F371A"/>
    <w:rsid w:val="009F3F25"/>
    <w:rsid w:val="009F3FC3"/>
    <w:rsid w:val="009F41C4"/>
    <w:rsid w:val="009F5846"/>
    <w:rsid w:val="009F63D2"/>
    <w:rsid w:val="009F777A"/>
    <w:rsid w:val="009F7B52"/>
    <w:rsid w:val="009F7D77"/>
    <w:rsid w:val="00A004D2"/>
    <w:rsid w:val="00A015EA"/>
    <w:rsid w:val="00A0172C"/>
    <w:rsid w:val="00A05B91"/>
    <w:rsid w:val="00A10D66"/>
    <w:rsid w:val="00A12BA8"/>
    <w:rsid w:val="00A133F2"/>
    <w:rsid w:val="00A13993"/>
    <w:rsid w:val="00A1420C"/>
    <w:rsid w:val="00A1456C"/>
    <w:rsid w:val="00A14821"/>
    <w:rsid w:val="00A14C9D"/>
    <w:rsid w:val="00A17754"/>
    <w:rsid w:val="00A2055B"/>
    <w:rsid w:val="00A20E22"/>
    <w:rsid w:val="00A2253C"/>
    <w:rsid w:val="00A23545"/>
    <w:rsid w:val="00A23A55"/>
    <w:rsid w:val="00A23E43"/>
    <w:rsid w:val="00A23EF0"/>
    <w:rsid w:val="00A24F8C"/>
    <w:rsid w:val="00A262BF"/>
    <w:rsid w:val="00A271AD"/>
    <w:rsid w:val="00A276D5"/>
    <w:rsid w:val="00A30336"/>
    <w:rsid w:val="00A30BB5"/>
    <w:rsid w:val="00A3128F"/>
    <w:rsid w:val="00A326D0"/>
    <w:rsid w:val="00A35287"/>
    <w:rsid w:val="00A355F2"/>
    <w:rsid w:val="00A378F8"/>
    <w:rsid w:val="00A40965"/>
    <w:rsid w:val="00A40B19"/>
    <w:rsid w:val="00A41D07"/>
    <w:rsid w:val="00A424F8"/>
    <w:rsid w:val="00A42883"/>
    <w:rsid w:val="00A437B7"/>
    <w:rsid w:val="00A43EA2"/>
    <w:rsid w:val="00A46C70"/>
    <w:rsid w:val="00A46D48"/>
    <w:rsid w:val="00A46DE0"/>
    <w:rsid w:val="00A4778A"/>
    <w:rsid w:val="00A47C94"/>
    <w:rsid w:val="00A504C0"/>
    <w:rsid w:val="00A5067F"/>
    <w:rsid w:val="00A517C1"/>
    <w:rsid w:val="00A518E0"/>
    <w:rsid w:val="00A5408A"/>
    <w:rsid w:val="00A55301"/>
    <w:rsid w:val="00A572FB"/>
    <w:rsid w:val="00A57B3C"/>
    <w:rsid w:val="00A57F1B"/>
    <w:rsid w:val="00A600D2"/>
    <w:rsid w:val="00A6128E"/>
    <w:rsid w:val="00A62CE1"/>
    <w:rsid w:val="00A631FA"/>
    <w:rsid w:val="00A64203"/>
    <w:rsid w:val="00A64348"/>
    <w:rsid w:val="00A644E1"/>
    <w:rsid w:val="00A6766C"/>
    <w:rsid w:val="00A711B0"/>
    <w:rsid w:val="00A71279"/>
    <w:rsid w:val="00A721FB"/>
    <w:rsid w:val="00A727BA"/>
    <w:rsid w:val="00A72D4B"/>
    <w:rsid w:val="00A732AE"/>
    <w:rsid w:val="00A74192"/>
    <w:rsid w:val="00A75837"/>
    <w:rsid w:val="00A75E40"/>
    <w:rsid w:val="00A76B12"/>
    <w:rsid w:val="00A76EF2"/>
    <w:rsid w:val="00A7727E"/>
    <w:rsid w:val="00A77EB2"/>
    <w:rsid w:val="00A81094"/>
    <w:rsid w:val="00A82B66"/>
    <w:rsid w:val="00A82C52"/>
    <w:rsid w:val="00A83B58"/>
    <w:rsid w:val="00A84D7D"/>
    <w:rsid w:val="00A84FAF"/>
    <w:rsid w:val="00A851B6"/>
    <w:rsid w:val="00A85729"/>
    <w:rsid w:val="00A8574B"/>
    <w:rsid w:val="00A857C0"/>
    <w:rsid w:val="00A85F5E"/>
    <w:rsid w:val="00A90343"/>
    <w:rsid w:val="00A91336"/>
    <w:rsid w:val="00A9221C"/>
    <w:rsid w:val="00A92277"/>
    <w:rsid w:val="00A92916"/>
    <w:rsid w:val="00A929D1"/>
    <w:rsid w:val="00A94628"/>
    <w:rsid w:val="00A94954"/>
    <w:rsid w:val="00A9497A"/>
    <w:rsid w:val="00A949A6"/>
    <w:rsid w:val="00A96463"/>
    <w:rsid w:val="00A97E3F"/>
    <w:rsid w:val="00AA09D3"/>
    <w:rsid w:val="00AA1356"/>
    <w:rsid w:val="00AA220F"/>
    <w:rsid w:val="00AA23FB"/>
    <w:rsid w:val="00AA34FE"/>
    <w:rsid w:val="00AA42AB"/>
    <w:rsid w:val="00AA4A76"/>
    <w:rsid w:val="00AA559A"/>
    <w:rsid w:val="00AA57A4"/>
    <w:rsid w:val="00AA5F10"/>
    <w:rsid w:val="00AB0BB9"/>
    <w:rsid w:val="00AB104D"/>
    <w:rsid w:val="00AB1441"/>
    <w:rsid w:val="00AB1653"/>
    <w:rsid w:val="00AB2AF1"/>
    <w:rsid w:val="00AB440B"/>
    <w:rsid w:val="00AB47E3"/>
    <w:rsid w:val="00AB74C5"/>
    <w:rsid w:val="00AB7BEE"/>
    <w:rsid w:val="00AB7DF2"/>
    <w:rsid w:val="00AC1E3F"/>
    <w:rsid w:val="00AC219A"/>
    <w:rsid w:val="00AC39B0"/>
    <w:rsid w:val="00AC3D02"/>
    <w:rsid w:val="00AC4F18"/>
    <w:rsid w:val="00AD0B46"/>
    <w:rsid w:val="00AD1094"/>
    <w:rsid w:val="00AD2565"/>
    <w:rsid w:val="00AD306C"/>
    <w:rsid w:val="00AD3424"/>
    <w:rsid w:val="00AD3E3F"/>
    <w:rsid w:val="00AD4FEF"/>
    <w:rsid w:val="00AD50D1"/>
    <w:rsid w:val="00AD59BB"/>
    <w:rsid w:val="00AD5D68"/>
    <w:rsid w:val="00AD6C73"/>
    <w:rsid w:val="00AD7D49"/>
    <w:rsid w:val="00AE06D0"/>
    <w:rsid w:val="00AE1B8A"/>
    <w:rsid w:val="00AE39DC"/>
    <w:rsid w:val="00AE3CDA"/>
    <w:rsid w:val="00AE481D"/>
    <w:rsid w:val="00AE6734"/>
    <w:rsid w:val="00AE6CDA"/>
    <w:rsid w:val="00AE7968"/>
    <w:rsid w:val="00AE7B2B"/>
    <w:rsid w:val="00AE7DFF"/>
    <w:rsid w:val="00AF128B"/>
    <w:rsid w:val="00AF1AEA"/>
    <w:rsid w:val="00AF2536"/>
    <w:rsid w:val="00AF2852"/>
    <w:rsid w:val="00AF3225"/>
    <w:rsid w:val="00AF4983"/>
    <w:rsid w:val="00AF4CA7"/>
    <w:rsid w:val="00AF518B"/>
    <w:rsid w:val="00AF5275"/>
    <w:rsid w:val="00AF5D62"/>
    <w:rsid w:val="00AF6367"/>
    <w:rsid w:val="00AF6A79"/>
    <w:rsid w:val="00AF6B7C"/>
    <w:rsid w:val="00AF724E"/>
    <w:rsid w:val="00AF73A9"/>
    <w:rsid w:val="00B01436"/>
    <w:rsid w:val="00B01C2C"/>
    <w:rsid w:val="00B0231C"/>
    <w:rsid w:val="00B07372"/>
    <w:rsid w:val="00B07C2A"/>
    <w:rsid w:val="00B128E5"/>
    <w:rsid w:val="00B13681"/>
    <w:rsid w:val="00B13BCE"/>
    <w:rsid w:val="00B15DCD"/>
    <w:rsid w:val="00B16201"/>
    <w:rsid w:val="00B17E71"/>
    <w:rsid w:val="00B17FDE"/>
    <w:rsid w:val="00B208FC"/>
    <w:rsid w:val="00B20C65"/>
    <w:rsid w:val="00B22E17"/>
    <w:rsid w:val="00B25567"/>
    <w:rsid w:val="00B25E31"/>
    <w:rsid w:val="00B266C5"/>
    <w:rsid w:val="00B27293"/>
    <w:rsid w:val="00B300E8"/>
    <w:rsid w:val="00B301BB"/>
    <w:rsid w:val="00B321E3"/>
    <w:rsid w:val="00B3229E"/>
    <w:rsid w:val="00B32DDB"/>
    <w:rsid w:val="00B3447A"/>
    <w:rsid w:val="00B3448C"/>
    <w:rsid w:val="00B34931"/>
    <w:rsid w:val="00B35174"/>
    <w:rsid w:val="00B35BEA"/>
    <w:rsid w:val="00B37915"/>
    <w:rsid w:val="00B3793D"/>
    <w:rsid w:val="00B41BE6"/>
    <w:rsid w:val="00B42831"/>
    <w:rsid w:val="00B428A4"/>
    <w:rsid w:val="00B457E7"/>
    <w:rsid w:val="00B45D1B"/>
    <w:rsid w:val="00B45DE5"/>
    <w:rsid w:val="00B46D25"/>
    <w:rsid w:val="00B47430"/>
    <w:rsid w:val="00B47AC6"/>
    <w:rsid w:val="00B52D2D"/>
    <w:rsid w:val="00B534EF"/>
    <w:rsid w:val="00B548DA"/>
    <w:rsid w:val="00B55BA8"/>
    <w:rsid w:val="00B55F15"/>
    <w:rsid w:val="00B561A6"/>
    <w:rsid w:val="00B57CC4"/>
    <w:rsid w:val="00B60062"/>
    <w:rsid w:val="00B62960"/>
    <w:rsid w:val="00B63A11"/>
    <w:rsid w:val="00B63FD0"/>
    <w:rsid w:val="00B6553E"/>
    <w:rsid w:val="00B65C84"/>
    <w:rsid w:val="00B6608F"/>
    <w:rsid w:val="00B73180"/>
    <w:rsid w:val="00B74317"/>
    <w:rsid w:val="00B75700"/>
    <w:rsid w:val="00B760C1"/>
    <w:rsid w:val="00B76D1E"/>
    <w:rsid w:val="00B77BC8"/>
    <w:rsid w:val="00B800EB"/>
    <w:rsid w:val="00B822D2"/>
    <w:rsid w:val="00B823F1"/>
    <w:rsid w:val="00B831B4"/>
    <w:rsid w:val="00B83D46"/>
    <w:rsid w:val="00B848B8"/>
    <w:rsid w:val="00B84A41"/>
    <w:rsid w:val="00B84D57"/>
    <w:rsid w:val="00B8504B"/>
    <w:rsid w:val="00B853C2"/>
    <w:rsid w:val="00B853DC"/>
    <w:rsid w:val="00B85689"/>
    <w:rsid w:val="00B86748"/>
    <w:rsid w:val="00B907EA"/>
    <w:rsid w:val="00B91EC9"/>
    <w:rsid w:val="00B924CA"/>
    <w:rsid w:val="00B92A4B"/>
    <w:rsid w:val="00B93384"/>
    <w:rsid w:val="00B93616"/>
    <w:rsid w:val="00B94417"/>
    <w:rsid w:val="00B95566"/>
    <w:rsid w:val="00B95940"/>
    <w:rsid w:val="00B95EF8"/>
    <w:rsid w:val="00B95F50"/>
    <w:rsid w:val="00B96BD9"/>
    <w:rsid w:val="00B979A0"/>
    <w:rsid w:val="00BA094F"/>
    <w:rsid w:val="00BA0DED"/>
    <w:rsid w:val="00BA0F99"/>
    <w:rsid w:val="00BA56C9"/>
    <w:rsid w:val="00BB0274"/>
    <w:rsid w:val="00BB0B13"/>
    <w:rsid w:val="00BB1CFD"/>
    <w:rsid w:val="00BB2C53"/>
    <w:rsid w:val="00BB32DA"/>
    <w:rsid w:val="00BB3A54"/>
    <w:rsid w:val="00BB462A"/>
    <w:rsid w:val="00BB4D26"/>
    <w:rsid w:val="00BB4E21"/>
    <w:rsid w:val="00BB7746"/>
    <w:rsid w:val="00BC22EB"/>
    <w:rsid w:val="00BC682B"/>
    <w:rsid w:val="00BC68BA"/>
    <w:rsid w:val="00BC6B04"/>
    <w:rsid w:val="00BC6D27"/>
    <w:rsid w:val="00BD059A"/>
    <w:rsid w:val="00BD0CBB"/>
    <w:rsid w:val="00BD186B"/>
    <w:rsid w:val="00BD1EAC"/>
    <w:rsid w:val="00BD254C"/>
    <w:rsid w:val="00BD3428"/>
    <w:rsid w:val="00BD366B"/>
    <w:rsid w:val="00BD5298"/>
    <w:rsid w:val="00BD534C"/>
    <w:rsid w:val="00BD55A9"/>
    <w:rsid w:val="00BD56BC"/>
    <w:rsid w:val="00BD5D91"/>
    <w:rsid w:val="00BD6445"/>
    <w:rsid w:val="00BD6615"/>
    <w:rsid w:val="00BD6D50"/>
    <w:rsid w:val="00BE0D79"/>
    <w:rsid w:val="00BE0DB0"/>
    <w:rsid w:val="00BE15B9"/>
    <w:rsid w:val="00BE2C15"/>
    <w:rsid w:val="00BE3381"/>
    <w:rsid w:val="00BE3F09"/>
    <w:rsid w:val="00BE670A"/>
    <w:rsid w:val="00BE6906"/>
    <w:rsid w:val="00BF18F4"/>
    <w:rsid w:val="00BF1A69"/>
    <w:rsid w:val="00BF3BC8"/>
    <w:rsid w:val="00BF3DF1"/>
    <w:rsid w:val="00BF4C31"/>
    <w:rsid w:val="00BF4E57"/>
    <w:rsid w:val="00BF53B8"/>
    <w:rsid w:val="00BF786A"/>
    <w:rsid w:val="00BF7CB8"/>
    <w:rsid w:val="00BF7F08"/>
    <w:rsid w:val="00C00831"/>
    <w:rsid w:val="00C00F20"/>
    <w:rsid w:val="00C01354"/>
    <w:rsid w:val="00C01700"/>
    <w:rsid w:val="00C01B84"/>
    <w:rsid w:val="00C034E6"/>
    <w:rsid w:val="00C05715"/>
    <w:rsid w:val="00C05926"/>
    <w:rsid w:val="00C0784A"/>
    <w:rsid w:val="00C10B28"/>
    <w:rsid w:val="00C10D62"/>
    <w:rsid w:val="00C10FAE"/>
    <w:rsid w:val="00C1135D"/>
    <w:rsid w:val="00C11DAF"/>
    <w:rsid w:val="00C123B4"/>
    <w:rsid w:val="00C12A69"/>
    <w:rsid w:val="00C13150"/>
    <w:rsid w:val="00C13737"/>
    <w:rsid w:val="00C150BE"/>
    <w:rsid w:val="00C158B0"/>
    <w:rsid w:val="00C15A0C"/>
    <w:rsid w:val="00C15CEB"/>
    <w:rsid w:val="00C15DCB"/>
    <w:rsid w:val="00C16208"/>
    <w:rsid w:val="00C16971"/>
    <w:rsid w:val="00C1711F"/>
    <w:rsid w:val="00C17E38"/>
    <w:rsid w:val="00C2038A"/>
    <w:rsid w:val="00C205BF"/>
    <w:rsid w:val="00C20744"/>
    <w:rsid w:val="00C20B1C"/>
    <w:rsid w:val="00C20C4D"/>
    <w:rsid w:val="00C21D46"/>
    <w:rsid w:val="00C21F94"/>
    <w:rsid w:val="00C222A1"/>
    <w:rsid w:val="00C22C59"/>
    <w:rsid w:val="00C23371"/>
    <w:rsid w:val="00C23CBD"/>
    <w:rsid w:val="00C23D22"/>
    <w:rsid w:val="00C2463B"/>
    <w:rsid w:val="00C24E77"/>
    <w:rsid w:val="00C2732D"/>
    <w:rsid w:val="00C273C6"/>
    <w:rsid w:val="00C27913"/>
    <w:rsid w:val="00C300C6"/>
    <w:rsid w:val="00C30828"/>
    <w:rsid w:val="00C30924"/>
    <w:rsid w:val="00C31DD8"/>
    <w:rsid w:val="00C3271C"/>
    <w:rsid w:val="00C34FDE"/>
    <w:rsid w:val="00C35C16"/>
    <w:rsid w:val="00C36EC3"/>
    <w:rsid w:val="00C40E09"/>
    <w:rsid w:val="00C40F81"/>
    <w:rsid w:val="00C41463"/>
    <w:rsid w:val="00C41A72"/>
    <w:rsid w:val="00C42D45"/>
    <w:rsid w:val="00C43CB1"/>
    <w:rsid w:val="00C4422D"/>
    <w:rsid w:val="00C476C5"/>
    <w:rsid w:val="00C503B0"/>
    <w:rsid w:val="00C511C2"/>
    <w:rsid w:val="00C527C6"/>
    <w:rsid w:val="00C53CDB"/>
    <w:rsid w:val="00C53D82"/>
    <w:rsid w:val="00C54748"/>
    <w:rsid w:val="00C574CF"/>
    <w:rsid w:val="00C575FB"/>
    <w:rsid w:val="00C60696"/>
    <w:rsid w:val="00C60943"/>
    <w:rsid w:val="00C60EEF"/>
    <w:rsid w:val="00C610C5"/>
    <w:rsid w:val="00C6121D"/>
    <w:rsid w:val="00C615F1"/>
    <w:rsid w:val="00C61627"/>
    <w:rsid w:val="00C63B1A"/>
    <w:rsid w:val="00C64E60"/>
    <w:rsid w:val="00C657A4"/>
    <w:rsid w:val="00C66589"/>
    <w:rsid w:val="00C6736C"/>
    <w:rsid w:val="00C7179C"/>
    <w:rsid w:val="00C71A1D"/>
    <w:rsid w:val="00C71EC4"/>
    <w:rsid w:val="00C7410A"/>
    <w:rsid w:val="00C74791"/>
    <w:rsid w:val="00C7591E"/>
    <w:rsid w:val="00C75C7E"/>
    <w:rsid w:val="00C75C9B"/>
    <w:rsid w:val="00C76D8E"/>
    <w:rsid w:val="00C77833"/>
    <w:rsid w:val="00C80C9B"/>
    <w:rsid w:val="00C8180B"/>
    <w:rsid w:val="00C8335E"/>
    <w:rsid w:val="00C83F9C"/>
    <w:rsid w:val="00C84CE3"/>
    <w:rsid w:val="00C85614"/>
    <w:rsid w:val="00C86127"/>
    <w:rsid w:val="00C9003C"/>
    <w:rsid w:val="00C90CF4"/>
    <w:rsid w:val="00C91C19"/>
    <w:rsid w:val="00C929A0"/>
    <w:rsid w:val="00C930FB"/>
    <w:rsid w:val="00C93389"/>
    <w:rsid w:val="00C937DB"/>
    <w:rsid w:val="00C94519"/>
    <w:rsid w:val="00C94E11"/>
    <w:rsid w:val="00C94E83"/>
    <w:rsid w:val="00C9567E"/>
    <w:rsid w:val="00C97038"/>
    <w:rsid w:val="00CA02B2"/>
    <w:rsid w:val="00CA0883"/>
    <w:rsid w:val="00CA1085"/>
    <w:rsid w:val="00CA140F"/>
    <w:rsid w:val="00CA25C2"/>
    <w:rsid w:val="00CA37BB"/>
    <w:rsid w:val="00CA37CA"/>
    <w:rsid w:val="00CA39E1"/>
    <w:rsid w:val="00CA5016"/>
    <w:rsid w:val="00CA5724"/>
    <w:rsid w:val="00CA6508"/>
    <w:rsid w:val="00CA6BA1"/>
    <w:rsid w:val="00CA6CD5"/>
    <w:rsid w:val="00CA6D0B"/>
    <w:rsid w:val="00CB1910"/>
    <w:rsid w:val="00CB2150"/>
    <w:rsid w:val="00CB28EE"/>
    <w:rsid w:val="00CB2B15"/>
    <w:rsid w:val="00CB2EEA"/>
    <w:rsid w:val="00CB43A7"/>
    <w:rsid w:val="00CB4DF1"/>
    <w:rsid w:val="00CB5996"/>
    <w:rsid w:val="00CB6809"/>
    <w:rsid w:val="00CB7452"/>
    <w:rsid w:val="00CC0E10"/>
    <w:rsid w:val="00CC1DAF"/>
    <w:rsid w:val="00CC2642"/>
    <w:rsid w:val="00CC2967"/>
    <w:rsid w:val="00CC2A1E"/>
    <w:rsid w:val="00CC2A36"/>
    <w:rsid w:val="00CC2E15"/>
    <w:rsid w:val="00CC3440"/>
    <w:rsid w:val="00CC351B"/>
    <w:rsid w:val="00CC3908"/>
    <w:rsid w:val="00CC4F3D"/>
    <w:rsid w:val="00CC62AD"/>
    <w:rsid w:val="00CC6CA2"/>
    <w:rsid w:val="00CC7086"/>
    <w:rsid w:val="00CC7B80"/>
    <w:rsid w:val="00CD0779"/>
    <w:rsid w:val="00CD2B3C"/>
    <w:rsid w:val="00CD30F6"/>
    <w:rsid w:val="00CD4B29"/>
    <w:rsid w:val="00CD5493"/>
    <w:rsid w:val="00CD67CA"/>
    <w:rsid w:val="00CD6954"/>
    <w:rsid w:val="00CD6DA3"/>
    <w:rsid w:val="00CD6EF1"/>
    <w:rsid w:val="00CD7E35"/>
    <w:rsid w:val="00CE21C7"/>
    <w:rsid w:val="00CE2682"/>
    <w:rsid w:val="00CE2756"/>
    <w:rsid w:val="00CE442A"/>
    <w:rsid w:val="00CE4DEB"/>
    <w:rsid w:val="00CE57D8"/>
    <w:rsid w:val="00CE5F03"/>
    <w:rsid w:val="00CE617A"/>
    <w:rsid w:val="00CE6E3C"/>
    <w:rsid w:val="00CE7158"/>
    <w:rsid w:val="00CE797F"/>
    <w:rsid w:val="00CF107E"/>
    <w:rsid w:val="00CF15BF"/>
    <w:rsid w:val="00CF25D2"/>
    <w:rsid w:val="00CF28C2"/>
    <w:rsid w:val="00CF3D3A"/>
    <w:rsid w:val="00CF42BD"/>
    <w:rsid w:val="00CF51EC"/>
    <w:rsid w:val="00CF6A9D"/>
    <w:rsid w:val="00CF6CD7"/>
    <w:rsid w:val="00CF7276"/>
    <w:rsid w:val="00CF75EC"/>
    <w:rsid w:val="00D002DF"/>
    <w:rsid w:val="00D0037A"/>
    <w:rsid w:val="00D0061E"/>
    <w:rsid w:val="00D00DAF"/>
    <w:rsid w:val="00D017EC"/>
    <w:rsid w:val="00D01CDA"/>
    <w:rsid w:val="00D020FC"/>
    <w:rsid w:val="00D03866"/>
    <w:rsid w:val="00D040DD"/>
    <w:rsid w:val="00D04E1B"/>
    <w:rsid w:val="00D0547B"/>
    <w:rsid w:val="00D076DB"/>
    <w:rsid w:val="00D07EFF"/>
    <w:rsid w:val="00D1067C"/>
    <w:rsid w:val="00D11CBB"/>
    <w:rsid w:val="00D136D4"/>
    <w:rsid w:val="00D13830"/>
    <w:rsid w:val="00D13ECF"/>
    <w:rsid w:val="00D142E5"/>
    <w:rsid w:val="00D148CD"/>
    <w:rsid w:val="00D1611E"/>
    <w:rsid w:val="00D163CC"/>
    <w:rsid w:val="00D16E69"/>
    <w:rsid w:val="00D17F4A"/>
    <w:rsid w:val="00D205A9"/>
    <w:rsid w:val="00D217EE"/>
    <w:rsid w:val="00D24299"/>
    <w:rsid w:val="00D245BA"/>
    <w:rsid w:val="00D26923"/>
    <w:rsid w:val="00D27856"/>
    <w:rsid w:val="00D27D34"/>
    <w:rsid w:val="00D3006B"/>
    <w:rsid w:val="00D301CA"/>
    <w:rsid w:val="00D30740"/>
    <w:rsid w:val="00D31075"/>
    <w:rsid w:val="00D31445"/>
    <w:rsid w:val="00D31932"/>
    <w:rsid w:val="00D32AE0"/>
    <w:rsid w:val="00D360DA"/>
    <w:rsid w:val="00D374B3"/>
    <w:rsid w:val="00D37689"/>
    <w:rsid w:val="00D378CC"/>
    <w:rsid w:val="00D4042C"/>
    <w:rsid w:val="00D40B9E"/>
    <w:rsid w:val="00D41281"/>
    <w:rsid w:val="00D42312"/>
    <w:rsid w:val="00D42E15"/>
    <w:rsid w:val="00D433F5"/>
    <w:rsid w:val="00D43998"/>
    <w:rsid w:val="00D439C2"/>
    <w:rsid w:val="00D451E0"/>
    <w:rsid w:val="00D45A1D"/>
    <w:rsid w:val="00D4615E"/>
    <w:rsid w:val="00D4651F"/>
    <w:rsid w:val="00D478E2"/>
    <w:rsid w:val="00D5264C"/>
    <w:rsid w:val="00D547BA"/>
    <w:rsid w:val="00D55626"/>
    <w:rsid w:val="00D556BC"/>
    <w:rsid w:val="00D5626D"/>
    <w:rsid w:val="00D56631"/>
    <w:rsid w:val="00D577A4"/>
    <w:rsid w:val="00D57E4B"/>
    <w:rsid w:val="00D60277"/>
    <w:rsid w:val="00D60336"/>
    <w:rsid w:val="00D61B06"/>
    <w:rsid w:val="00D61F88"/>
    <w:rsid w:val="00D62688"/>
    <w:rsid w:val="00D62901"/>
    <w:rsid w:val="00D6345E"/>
    <w:rsid w:val="00D6470C"/>
    <w:rsid w:val="00D64853"/>
    <w:rsid w:val="00D64CB5"/>
    <w:rsid w:val="00D667A0"/>
    <w:rsid w:val="00D66D48"/>
    <w:rsid w:val="00D7162F"/>
    <w:rsid w:val="00D72897"/>
    <w:rsid w:val="00D72948"/>
    <w:rsid w:val="00D73256"/>
    <w:rsid w:val="00D73A30"/>
    <w:rsid w:val="00D73E6F"/>
    <w:rsid w:val="00D74ABF"/>
    <w:rsid w:val="00D74C65"/>
    <w:rsid w:val="00D74E97"/>
    <w:rsid w:val="00D74F21"/>
    <w:rsid w:val="00D758D0"/>
    <w:rsid w:val="00D75DC2"/>
    <w:rsid w:val="00D75DC3"/>
    <w:rsid w:val="00D766EF"/>
    <w:rsid w:val="00D76C03"/>
    <w:rsid w:val="00D77F8D"/>
    <w:rsid w:val="00D80E07"/>
    <w:rsid w:val="00D8119B"/>
    <w:rsid w:val="00D81B44"/>
    <w:rsid w:val="00D82462"/>
    <w:rsid w:val="00D831C6"/>
    <w:rsid w:val="00D83EF3"/>
    <w:rsid w:val="00D84BD1"/>
    <w:rsid w:val="00D85886"/>
    <w:rsid w:val="00D868CE"/>
    <w:rsid w:val="00D86DAE"/>
    <w:rsid w:val="00D875B6"/>
    <w:rsid w:val="00D90116"/>
    <w:rsid w:val="00D90C1E"/>
    <w:rsid w:val="00D91BDF"/>
    <w:rsid w:val="00D91F2C"/>
    <w:rsid w:val="00D93F09"/>
    <w:rsid w:val="00D94859"/>
    <w:rsid w:val="00D954C2"/>
    <w:rsid w:val="00D97BB8"/>
    <w:rsid w:val="00DA1318"/>
    <w:rsid w:val="00DA1382"/>
    <w:rsid w:val="00DA28B7"/>
    <w:rsid w:val="00DA2FE8"/>
    <w:rsid w:val="00DA4AF6"/>
    <w:rsid w:val="00DA7AB2"/>
    <w:rsid w:val="00DB016E"/>
    <w:rsid w:val="00DB06E9"/>
    <w:rsid w:val="00DB0BF3"/>
    <w:rsid w:val="00DB19BD"/>
    <w:rsid w:val="00DB1D55"/>
    <w:rsid w:val="00DB378E"/>
    <w:rsid w:val="00DB3C0D"/>
    <w:rsid w:val="00DB3E9D"/>
    <w:rsid w:val="00DB47B9"/>
    <w:rsid w:val="00DB4FB8"/>
    <w:rsid w:val="00DB53CE"/>
    <w:rsid w:val="00DB549D"/>
    <w:rsid w:val="00DB5792"/>
    <w:rsid w:val="00DB6A88"/>
    <w:rsid w:val="00DB7BA4"/>
    <w:rsid w:val="00DB7D77"/>
    <w:rsid w:val="00DC08D7"/>
    <w:rsid w:val="00DC0B8D"/>
    <w:rsid w:val="00DC226A"/>
    <w:rsid w:val="00DC257F"/>
    <w:rsid w:val="00DC2A9F"/>
    <w:rsid w:val="00DC2FA9"/>
    <w:rsid w:val="00DC350B"/>
    <w:rsid w:val="00DC3790"/>
    <w:rsid w:val="00DC408A"/>
    <w:rsid w:val="00DC436D"/>
    <w:rsid w:val="00DC519B"/>
    <w:rsid w:val="00DC5B3B"/>
    <w:rsid w:val="00DC6796"/>
    <w:rsid w:val="00DC6CC6"/>
    <w:rsid w:val="00DC78DF"/>
    <w:rsid w:val="00DC7D4C"/>
    <w:rsid w:val="00DD0821"/>
    <w:rsid w:val="00DD0E32"/>
    <w:rsid w:val="00DD1878"/>
    <w:rsid w:val="00DD2872"/>
    <w:rsid w:val="00DD2A62"/>
    <w:rsid w:val="00DD2BD0"/>
    <w:rsid w:val="00DD2BFE"/>
    <w:rsid w:val="00DD373E"/>
    <w:rsid w:val="00DD3867"/>
    <w:rsid w:val="00DD57AD"/>
    <w:rsid w:val="00DD7435"/>
    <w:rsid w:val="00DD7C6D"/>
    <w:rsid w:val="00DE009B"/>
    <w:rsid w:val="00DE08F8"/>
    <w:rsid w:val="00DE0C31"/>
    <w:rsid w:val="00DE0E40"/>
    <w:rsid w:val="00DE1460"/>
    <w:rsid w:val="00DE2ED9"/>
    <w:rsid w:val="00DE319A"/>
    <w:rsid w:val="00DF0615"/>
    <w:rsid w:val="00DF0DC3"/>
    <w:rsid w:val="00DF21FD"/>
    <w:rsid w:val="00DF2873"/>
    <w:rsid w:val="00DF293C"/>
    <w:rsid w:val="00DF34B2"/>
    <w:rsid w:val="00DF4C74"/>
    <w:rsid w:val="00DF5578"/>
    <w:rsid w:val="00DF6CF8"/>
    <w:rsid w:val="00DF78DD"/>
    <w:rsid w:val="00DF7FEC"/>
    <w:rsid w:val="00E01B16"/>
    <w:rsid w:val="00E01C0E"/>
    <w:rsid w:val="00E02086"/>
    <w:rsid w:val="00E023BE"/>
    <w:rsid w:val="00E02740"/>
    <w:rsid w:val="00E03B27"/>
    <w:rsid w:val="00E0446B"/>
    <w:rsid w:val="00E04694"/>
    <w:rsid w:val="00E049F6"/>
    <w:rsid w:val="00E04CA9"/>
    <w:rsid w:val="00E05B2B"/>
    <w:rsid w:val="00E05EAD"/>
    <w:rsid w:val="00E06A2A"/>
    <w:rsid w:val="00E06E17"/>
    <w:rsid w:val="00E07F05"/>
    <w:rsid w:val="00E106A2"/>
    <w:rsid w:val="00E127E1"/>
    <w:rsid w:val="00E12BCE"/>
    <w:rsid w:val="00E144D2"/>
    <w:rsid w:val="00E144D6"/>
    <w:rsid w:val="00E15346"/>
    <w:rsid w:val="00E15B7D"/>
    <w:rsid w:val="00E16D20"/>
    <w:rsid w:val="00E17C5F"/>
    <w:rsid w:val="00E2097E"/>
    <w:rsid w:val="00E215EA"/>
    <w:rsid w:val="00E21CAB"/>
    <w:rsid w:val="00E221FC"/>
    <w:rsid w:val="00E22E78"/>
    <w:rsid w:val="00E24619"/>
    <w:rsid w:val="00E25223"/>
    <w:rsid w:val="00E25999"/>
    <w:rsid w:val="00E263A8"/>
    <w:rsid w:val="00E30BEA"/>
    <w:rsid w:val="00E31764"/>
    <w:rsid w:val="00E3288A"/>
    <w:rsid w:val="00E32BC2"/>
    <w:rsid w:val="00E34985"/>
    <w:rsid w:val="00E34E4A"/>
    <w:rsid w:val="00E365B3"/>
    <w:rsid w:val="00E366BB"/>
    <w:rsid w:val="00E372FD"/>
    <w:rsid w:val="00E37C45"/>
    <w:rsid w:val="00E40AAA"/>
    <w:rsid w:val="00E41A59"/>
    <w:rsid w:val="00E42444"/>
    <w:rsid w:val="00E438CF"/>
    <w:rsid w:val="00E43B06"/>
    <w:rsid w:val="00E43C41"/>
    <w:rsid w:val="00E4500E"/>
    <w:rsid w:val="00E450CE"/>
    <w:rsid w:val="00E45A00"/>
    <w:rsid w:val="00E45CE7"/>
    <w:rsid w:val="00E4631F"/>
    <w:rsid w:val="00E46A4A"/>
    <w:rsid w:val="00E4793B"/>
    <w:rsid w:val="00E47CB8"/>
    <w:rsid w:val="00E522BB"/>
    <w:rsid w:val="00E52A3D"/>
    <w:rsid w:val="00E533B7"/>
    <w:rsid w:val="00E539E4"/>
    <w:rsid w:val="00E53C14"/>
    <w:rsid w:val="00E569C7"/>
    <w:rsid w:val="00E571F2"/>
    <w:rsid w:val="00E57429"/>
    <w:rsid w:val="00E60FCE"/>
    <w:rsid w:val="00E61EA8"/>
    <w:rsid w:val="00E62A33"/>
    <w:rsid w:val="00E63221"/>
    <w:rsid w:val="00E63EC6"/>
    <w:rsid w:val="00E64AE4"/>
    <w:rsid w:val="00E64CFF"/>
    <w:rsid w:val="00E64EA1"/>
    <w:rsid w:val="00E6582D"/>
    <w:rsid w:val="00E669C7"/>
    <w:rsid w:val="00E67611"/>
    <w:rsid w:val="00E70510"/>
    <w:rsid w:val="00E71262"/>
    <w:rsid w:val="00E71A58"/>
    <w:rsid w:val="00E737F6"/>
    <w:rsid w:val="00E7568F"/>
    <w:rsid w:val="00E764AE"/>
    <w:rsid w:val="00E7724B"/>
    <w:rsid w:val="00E77FEA"/>
    <w:rsid w:val="00E80E31"/>
    <w:rsid w:val="00E83DAB"/>
    <w:rsid w:val="00E84F21"/>
    <w:rsid w:val="00E8618A"/>
    <w:rsid w:val="00E90A4B"/>
    <w:rsid w:val="00E90D67"/>
    <w:rsid w:val="00E90F73"/>
    <w:rsid w:val="00E910A7"/>
    <w:rsid w:val="00E91607"/>
    <w:rsid w:val="00E921C7"/>
    <w:rsid w:val="00E92995"/>
    <w:rsid w:val="00E9446C"/>
    <w:rsid w:val="00E94612"/>
    <w:rsid w:val="00E95797"/>
    <w:rsid w:val="00E9682F"/>
    <w:rsid w:val="00E96A8D"/>
    <w:rsid w:val="00E972BA"/>
    <w:rsid w:val="00E97FA2"/>
    <w:rsid w:val="00EA06CB"/>
    <w:rsid w:val="00EA0AF3"/>
    <w:rsid w:val="00EA0C68"/>
    <w:rsid w:val="00EA19E2"/>
    <w:rsid w:val="00EA2169"/>
    <w:rsid w:val="00EA3EBE"/>
    <w:rsid w:val="00EA3FAC"/>
    <w:rsid w:val="00EA4153"/>
    <w:rsid w:val="00EA421A"/>
    <w:rsid w:val="00EA5CD6"/>
    <w:rsid w:val="00EA76FD"/>
    <w:rsid w:val="00EA77CA"/>
    <w:rsid w:val="00EA78FE"/>
    <w:rsid w:val="00EB03D4"/>
    <w:rsid w:val="00EB0555"/>
    <w:rsid w:val="00EB20A0"/>
    <w:rsid w:val="00EB2CE9"/>
    <w:rsid w:val="00EB30B6"/>
    <w:rsid w:val="00EB4FA4"/>
    <w:rsid w:val="00EB5146"/>
    <w:rsid w:val="00EB522B"/>
    <w:rsid w:val="00EB55E9"/>
    <w:rsid w:val="00EB5641"/>
    <w:rsid w:val="00EB5CA9"/>
    <w:rsid w:val="00EB5ED4"/>
    <w:rsid w:val="00EB6537"/>
    <w:rsid w:val="00EB70E1"/>
    <w:rsid w:val="00EB7EB5"/>
    <w:rsid w:val="00EC0860"/>
    <w:rsid w:val="00EC0EC1"/>
    <w:rsid w:val="00EC424C"/>
    <w:rsid w:val="00EC454B"/>
    <w:rsid w:val="00EC4941"/>
    <w:rsid w:val="00EC6153"/>
    <w:rsid w:val="00EC7F92"/>
    <w:rsid w:val="00ED00A8"/>
    <w:rsid w:val="00ED0A79"/>
    <w:rsid w:val="00ED2989"/>
    <w:rsid w:val="00ED2B0B"/>
    <w:rsid w:val="00ED2CA5"/>
    <w:rsid w:val="00ED336F"/>
    <w:rsid w:val="00ED3A94"/>
    <w:rsid w:val="00ED40F0"/>
    <w:rsid w:val="00ED4AC0"/>
    <w:rsid w:val="00ED54D6"/>
    <w:rsid w:val="00ED5726"/>
    <w:rsid w:val="00EE0113"/>
    <w:rsid w:val="00EE0298"/>
    <w:rsid w:val="00EE0384"/>
    <w:rsid w:val="00EE043A"/>
    <w:rsid w:val="00EE0473"/>
    <w:rsid w:val="00EE1057"/>
    <w:rsid w:val="00EE10AA"/>
    <w:rsid w:val="00EE1637"/>
    <w:rsid w:val="00EE3547"/>
    <w:rsid w:val="00EE3B7A"/>
    <w:rsid w:val="00EE3E78"/>
    <w:rsid w:val="00EE4534"/>
    <w:rsid w:val="00EE495A"/>
    <w:rsid w:val="00EE5E02"/>
    <w:rsid w:val="00EE617D"/>
    <w:rsid w:val="00EE61BF"/>
    <w:rsid w:val="00EE6538"/>
    <w:rsid w:val="00EE6748"/>
    <w:rsid w:val="00EE6C6B"/>
    <w:rsid w:val="00EF0E75"/>
    <w:rsid w:val="00EF1D92"/>
    <w:rsid w:val="00EF1F5A"/>
    <w:rsid w:val="00EF3486"/>
    <w:rsid w:val="00EF3CF0"/>
    <w:rsid w:val="00EF4685"/>
    <w:rsid w:val="00EF5397"/>
    <w:rsid w:val="00EF6BE3"/>
    <w:rsid w:val="00F00D0E"/>
    <w:rsid w:val="00F00D3C"/>
    <w:rsid w:val="00F020EA"/>
    <w:rsid w:val="00F02A72"/>
    <w:rsid w:val="00F04811"/>
    <w:rsid w:val="00F0488C"/>
    <w:rsid w:val="00F0496E"/>
    <w:rsid w:val="00F04D10"/>
    <w:rsid w:val="00F053EA"/>
    <w:rsid w:val="00F0625B"/>
    <w:rsid w:val="00F06944"/>
    <w:rsid w:val="00F06C6F"/>
    <w:rsid w:val="00F0732D"/>
    <w:rsid w:val="00F101FF"/>
    <w:rsid w:val="00F104DF"/>
    <w:rsid w:val="00F10A33"/>
    <w:rsid w:val="00F10B64"/>
    <w:rsid w:val="00F1186C"/>
    <w:rsid w:val="00F11AD5"/>
    <w:rsid w:val="00F126D0"/>
    <w:rsid w:val="00F12A83"/>
    <w:rsid w:val="00F14ACD"/>
    <w:rsid w:val="00F15309"/>
    <w:rsid w:val="00F15BEF"/>
    <w:rsid w:val="00F172BE"/>
    <w:rsid w:val="00F1776C"/>
    <w:rsid w:val="00F2037E"/>
    <w:rsid w:val="00F20D17"/>
    <w:rsid w:val="00F2103E"/>
    <w:rsid w:val="00F214FC"/>
    <w:rsid w:val="00F21C31"/>
    <w:rsid w:val="00F23825"/>
    <w:rsid w:val="00F2389A"/>
    <w:rsid w:val="00F23FFF"/>
    <w:rsid w:val="00F2441D"/>
    <w:rsid w:val="00F24FAA"/>
    <w:rsid w:val="00F25226"/>
    <w:rsid w:val="00F25860"/>
    <w:rsid w:val="00F26197"/>
    <w:rsid w:val="00F273D4"/>
    <w:rsid w:val="00F307DD"/>
    <w:rsid w:val="00F30C2E"/>
    <w:rsid w:val="00F30CB4"/>
    <w:rsid w:val="00F30EBF"/>
    <w:rsid w:val="00F318FC"/>
    <w:rsid w:val="00F31D53"/>
    <w:rsid w:val="00F31F76"/>
    <w:rsid w:val="00F325A3"/>
    <w:rsid w:val="00F3364D"/>
    <w:rsid w:val="00F339D0"/>
    <w:rsid w:val="00F353AE"/>
    <w:rsid w:val="00F35ACD"/>
    <w:rsid w:val="00F365BF"/>
    <w:rsid w:val="00F36BF8"/>
    <w:rsid w:val="00F375BA"/>
    <w:rsid w:val="00F37760"/>
    <w:rsid w:val="00F403D1"/>
    <w:rsid w:val="00F4351C"/>
    <w:rsid w:val="00F43921"/>
    <w:rsid w:val="00F44E1B"/>
    <w:rsid w:val="00F4524F"/>
    <w:rsid w:val="00F45530"/>
    <w:rsid w:val="00F4591F"/>
    <w:rsid w:val="00F47321"/>
    <w:rsid w:val="00F4736B"/>
    <w:rsid w:val="00F47804"/>
    <w:rsid w:val="00F47997"/>
    <w:rsid w:val="00F47D05"/>
    <w:rsid w:val="00F50030"/>
    <w:rsid w:val="00F502F5"/>
    <w:rsid w:val="00F50B9D"/>
    <w:rsid w:val="00F51FC9"/>
    <w:rsid w:val="00F52AE1"/>
    <w:rsid w:val="00F53243"/>
    <w:rsid w:val="00F541ED"/>
    <w:rsid w:val="00F54B31"/>
    <w:rsid w:val="00F54FD3"/>
    <w:rsid w:val="00F554F9"/>
    <w:rsid w:val="00F55605"/>
    <w:rsid w:val="00F56375"/>
    <w:rsid w:val="00F57CD7"/>
    <w:rsid w:val="00F6080A"/>
    <w:rsid w:val="00F61BFE"/>
    <w:rsid w:val="00F6260B"/>
    <w:rsid w:val="00F62F02"/>
    <w:rsid w:val="00F6339F"/>
    <w:rsid w:val="00F63DDE"/>
    <w:rsid w:val="00F63FB7"/>
    <w:rsid w:val="00F64726"/>
    <w:rsid w:val="00F64F44"/>
    <w:rsid w:val="00F6561A"/>
    <w:rsid w:val="00F66243"/>
    <w:rsid w:val="00F67BDA"/>
    <w:rsid w:val="00F70309"/>
    <w:rsid w:val="00F7078A"/>
    <w:rsid w:val="00F70E45"/>
    <w:rsid w:val="00F71F0F"/>
    <w:rsid w:val="00F727D5"/>
    <w:rsid w:val="00F72F44"/>
    <w:rsid w:val="00F73A0C"/>
    <w:rsid w:val="00F7593B"/>
    <w:rsid w:val="00F759DC"/>
    <w:rsid w:val="00F76563"/>
    <w:rsid w:val="00F7717C"/>
    <w:rsid w:val="00F771A5"/>
    <w:rsid w:val="00F80D1E"/>
    <w:rsid w:val="00F817A4"/>
    <w:rsid w:val="00F81C3A"/>
    <w:rsid w:val="00F835E1"/>
    <w:rsid w:val="00F835FC"/>
    <w:rsid w:val="00F8373A"/>
    <w:rsid w:val="00F83E21"/>
    <w:rsid w:val="00F83FA4"/>
    <w:rsid w:val="00F8410C"/>
    <w:rsid w:val="00F84E18"/>
    <w:rsid w:val="00F852E5"/>
    <w:rsid w:val="00F853A5"/>
    <w:rsid w:val="00F90350"/>
    <w:rsid w:val="00F91EAF"/>
    <w:rsid w:val="00F9310A"/>
    <w:rsid w:val="00F94681"/>
    <w:rsid w:val="00F95117"/>
    <w:rsid w:val="00F97ED2"/>
    <w:rsid w:val="00FA05D7"/>
    <w:rsid w:val="00FA16BD"/>
    <w:rsid w:val="00FA1992"/>
    <w:rsid w:val="00FA1C6C"/>
    <w:rsid w:val="00FA2447"/>
    <w:rsid w:val="00FA2A4A"/>
    <w:rsid w:val="00FA2BDE"/>
    <w:rsid w:val="00FA2C2A"/>
    <w:rsid w:val="00FA309A"/>
    <w:rsid w:val="00FA6B3F"/>
    <w:rsid w:val="00FA7644"/>
    <w:rsid w:val="00FB0A9A"/>
    <w:rsid w:val="00FB16AD"/>
    <w:rsid w:val="00FB1F21"/>
    <w:rsid w:val="00FB3763"/>
    <w:rsid w:val="00FB483B"/>
    <w:rsid w:val="00FB56F1"/>
    <w:rsid w:val="00FB5FD4"/>
    <w:rsid w:val="00FB6398"/>
    <w:rsid w:val="00FB67F3"/>
    <w:rsid w:val="00FB6AF4"/>
    <w:rsid w:val="00FC0D8A"/>
    <w:rsid w:val="00FC0E5F"/>
    <w:rsid w:val="00FC135D"/>
    <w:rsid w:val="00FC26FB"/>
    <w:rsid w:val="00FC2CF4"/>
    <w:rsid w:val="00FC3C84"/>
    <w:rsid w:val="00FC4660"/>
    <w:rsid w:val="00FC56DE"/>
    <w:rsid w:val="00FC5E01"/>
    <w:rsid w:val="00FC6140"/>
    <w:rsid w:val="00FC6DB5"/>
    <w:rsid w:val="00FD1261"/>
    <w:rsid w:val="00FD1627"/>
    <w:rsid w:val="00FD1BBD"/>
    <w:rsid w:val="00FD38B2"/>
    <w:rsid w:val="00FD43A0"/>
    <w:rsid w:val="00FD473D"/>
    <w:rsid w:val="00FD55BA"/>
    <w:rsid w:val="00FD61C8"/>
    <w:rsid w:val="00FD63CE"/>
    <w:rsid w:val="00FD7D49"/>
    <w:rsid w:val="00FE1251"/>
    <w:rsid w:val="00FE16E6"/>
    <w:rsid w:val="00FE2F78"/>
    <w:rsid w:val="00FE3510"/>
    <w:rsid w:val="00FE371D"/>
    <w:rsid w:val="00FE375F"/>
    <w:rsid w:val="00FE3D8B"/>
    <w:rsid w:val="00FE4FCB"/>
    <w:rsid w:val="00FE688F"/>
    <w:rsid w:val="00FE705E"/>
    <w:rsid w:val="00FF02EB"/>
    <w:rsid w:val="00FF28E0"/>
    <w:rsid w:val="00FF2FB4"/>
    <w:rsid w:val="00FF30B3"/>
    <w:rsid w:val="00FF3DF3"/>
    <w:rsid w:val="00FF4027"/>
    <w:rsid w:val="00FF45A2"/>
    <w:rsid w:val="00FF54B4"/>
    <w:rsid w:val="00FF55B1"/>
    <w:rsid w:val="00FF65DF"/>
    <w:rsid w:val="00FF7D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nhideWhenUsed="0" w:qFormat="1"/>
  </w:latentStyles>
  <w:style w:type="paragraph" w:default="1" w:styleId="Normln">
    <w:name w:val="Normal"/>
    <w:qFormat/>
    <w:rsid w:val="005E492C"/>
    <w:pPr>
      <w:spacing w:line="288" w:lineRule="auto"/>
    </w:pPr>
    <w:rPr>
      <w:rFonts w:ascii="Arial" w:hAnsi="Arial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5E492C"/>
    <w:pPr>
      <w:keepNext/>
      <w:keepLines/>
      <w:spacing w:after="200"/>
      <w:outlineLvl w:val="0"/>
    </w:pPr>
    <w:rPr>
      <w:rFonts w:eastAsia="MS Gothic"/>
      <w:b/>
      <w:bCs/>
      <w:color w:val="71818C"/>
      <w:sz w:val="32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5E492C"/>
    <w:pPr>
      <w:keepNext/>
      <w:keepLines/>
      <w:outlineLvl w:val="1"/>
    </w:pPr>
    <w:rPr>
      <w:rFonts w:eastAsia="MS Gothic"/>
      <w:b/>
      <w:bCs/>
      <w:color w:val="71818C"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99"/>
    <w:qFormat/>
    <w:rsid w:val="005E492C"/>
    <w:pPr>
      <w:keepNext/>
      <w:keepLines/>
      <w:outlineLvl w:val="2"/>
    </w:pPr>
    <w:rPr>
      <w:rFonts w:eastAsia="MS Gothic"/>
      <w:b/>
      <w:bCs/>
      <w:color w:val="71818C"/>
      <w:sz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5E492C"/>
    <w:pPr>
      <w:keepNext/>
      <w:keepLines/>
      <w:outlineLvl w:val="3"/>
    </w:pPr>
    <w:rPr>
      <w:rFonts w:eastAsia="MS Gothic"/>
      <w:b/>
      <w:bCs/>
      <w:iCs/>
    </w:rPr>
  </w:style>
  <w:style w:type="paragraph" w:styleId="Nadpis5">
    <w:name w:val="heading 5"/>
    <w:basedOn w:val="Normln"/>
    <w:next w:val="Normln"/>
    <w:link w:val="Nadpis5Char"/>
    <w:uiPriority w:val="99"/>
    <w:qFormat/>
    <w:rsid w:val="007521A1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rsid w:val="007521A1"/>
    <w:pPr>
      <w:spacing w:before="240" w:after="60"/>
      <w:outlineLvl w:val="5"/>
    </w:pPr>
    <w:rPr>
      <w:rFonts w:ascii="Calibri" w:eastAsia="Times New Roman" w:hAnsi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5E492C"/>
    <w:rPr>
      <w:rFonts w:ascii="Arial" w:eastAsia="MS Gothic" w:hAnsi="Arial" w:cs="Times New Roman"/>
      <w:b/>
      <w:color w:val="71818C"/>
      <w:sz w:val="28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5E492C"/>
    <w:rPr>
      <w:rFonts w:ascii="Arial" w:eastAsia="MS Gothic" w:hAnsi="Arial" w:cs="Times New Roman"/>
      <w:b/>
      <w:color w:val="71818C"/>
      <w:sz w:val="26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5E492C"/>
    <w:rPr>
      <w:rFonts w:ascii="Arial" w:eastAsia="MS Gothic" w:hAnsi="Arial" w:cs="Times New Roman"/>
      <w:b/>
      <w:color w:val="71818C"/>
      <w:sz w:val="24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5E492C"/>
    <w:rPr>
      <w:rFonts w:ascii="Arial" w:eastAsia="MS Gothic" w:hAnsi="Arial" w:cs="Times New Roman"/>
      <w:b/>
      <w:sz w:val="24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7521A1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sid w:val="007521A1"/>
    <w:rPr>
      <w:rFonts w:ascii="Calibri" w:hAnsi="Calibri" w:cs="Times New Roman"/>
      <w:b/>
      <w:bCs/>
      <w:sz w:val="22"/>
      <w:szCs w:val="22"/>
    </w:rPr>
  </w:style>
  <w:style w:type="character" w:styleId="Hypertextovodkaz">
    <w:name w:val="Hyperlink"/>
    <w:basedOn w:val="Standardnpsmoodstavce"/>
    <w:uiPriority w:val="99"/>
    <w:rsid w:val="00E71A58"/>
    <w:rPr>
      <w:rFonts w:cs="Times New Roman"/>
      <w:color w:val="0000FF"/>
      <w:u w:val="single"/>
    </w:rPr>
  </w:style>
  <w:style w:type="paragraph" w:customStyle="1" w:styleId="Styl1">
    <w:name w:val="Styl1"/>
    <w:uiPriority w:val="99"/>
    <w:rsid w:val="00E71A58"/>
    <w:pPr>
      <w:suppressAutoHyphens/>
      <w:autoSpaceDE w:val="0"/>
    </w:pPr>
    <w:rPr>
      <w:rFonts w:ascii="Arial" w:eastAsia="Times New Roman" w:hAnsi="Arial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rsid w:val="00E71A58"/>
    <w:pPr>
      <w:tabs>
        <w:tab w:val="center" w:pos="4536"/>
        <w:tab w:val="right" w:pos="9072"/>
      </w:tabs>
    </w:pPr>
    <w:rPr>
      <w:rFonts w:ascii="Calibri" w:hAnsi="Calibr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E71A58"/>
    <w:rPr>
      <w:rFonts w:cs="Times New Roman"/>
    </w:rPr>
  </w:style>
  <w:style w:type="paragraph" w:styleId="Zpat">
    <w:name w:val="footer"/>
    <w:basedOn w:val="Normln"/>
    <w:link w:val="ZpatChar"/>
    <w:uiPriority w:val="99"/>
    <w:rsid w:val="00E71A58"/>
    <w:pPr>
      <w:tabs>
        <w:tab w:val="center" w:pos="4536"/>
        <w:tab w:val="right" w:pos="9072"/>
      </w:tabs>
    </w:pPr>
    <w:rPr>
      <w:rFonts w:ascii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E71A58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rsid w:val="00E71A58"/>
    <w:rPr>
      <w:rFonts w:ascii="Tahoma" w:hAnsi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E71A58"/>
    <w:rPr>
      <w:rFonts w:ascii="Tahoma" w:hAnsi="Tahoma" w:cs="Times New Roman"/>
      <w:sz w:val="16"/>
    </w:rPr>
  </w:style>
  <w:style w:type="paragraph" w:customStyle="1" w:styleId="Zkladnodstavec">
    <w:name w:val="[Základní odstavec]"/>
    <w:basedOn w:val="Normln"/>
    <w:link w:val="ZkladnodstavecChar"/>
    <w:uiPriority w:val="99"/>
    <w:rsid w:val="001714F2"/>
    <w:pPr>
      <w:autoSpaceDE w:val="0"/>
      <w:autoSpaceDN w:val="0"/>
      <w:adjustRightInd w:val="0"/>
      <w:textAlignment w:val="center"/>
    </w:pPr>
    <w:rPr>
      <w:rFonts w:ascii="Minion Pro" w:hAnsi="Minion Pro"/>
      <w:color w:val="000000"/>
      <w:sz w:val="24"/>
      <w:szCs w:val="20"/>
    </w:rPr>
  </w:style>
  <w:style w:type="paragraph" w:styleId="Nzev">
    <w:name w:val="Title"/>
    <w:basedOn w:val="Normln"/>
    <w:next w:val="Normln"/>
    <w:link w:val="NzevChar"/>
    <w:uiPriority w:val="99"/>
    <w:qFormat/>
    <w:rsid w:val="005E492C"/>
    <w:pPr>
      <w:contextualSpacing/>
      <w:outlineLvl w:val="0"/>
    </w:pPr>
    <w:rPr>
      <w:rFonts w:eastAsia="MS Gothic"/>
      <w:b/>
      <w:caps/>
      <w:color w:val="71818C"/>
      <w:sz w:val="56"/>
      <w:szCs w:val="52"/>
    </w:rPr>
  </w:style>
  <w:style w:type="character" w:customStyle="1" w:styleId="NzevChar">
    <w:name w:val="Název Char"/>
    <w:basedOn w:val="Standardnpsmoodstavce"/>
    <w:link w:val="Nzev"/>
    <w:uiPriority w:val="99"/>
    <w:locked/>
    <w:rsid w:val="005E492C"/>
    <w:rPr>
      <w:rFonts w:ascii="Arial" w:eastAsia="MS Gothic" w:hAnsi="Arial" w:cs="Times New Roman"/>
      <w:b/>
      <w:caps/>
      <w:color w:val="71818C"/>
      <w:sz w:val="52"/>
    </w:rPr>
  </w:style>
  <w:style w:type="paragraph" w:styleId="Podtitul">
    <w:name w:val="Subtitle"/>
    <w:basedOn w:val="Normln"/>
    <w:next w:val="Normln"/>
    <w:link w:val="PodtitulChar"/>
    <w:uiPriority w:val="99"/>
    <w:qFormat/>
    <w:rsid w:val="005E492C"/>
    <w:pPr>
      <w:numPr>
        <w:ilvl w:val="1"/>
      </w:numPr>
    </w:pPr>
    <w:rPr>
      <w:rFonts w:eastAsia="MS Gothic"/>
      <w:b/>
      <w:iCs/>
      <w:color w:val="71818C"/>
      <w:sz w:val="28"/>
    </w:rPr>
  </w:style>
  <w:style w:type="character" w:customStyle="1" w:styleId="PodtitulChar">
    <w:name w:val="Podtitul Char"/>
    <w:basedOn w:val="Standardnpsmoodstavce"/>
    <w:link w:val="Podtitul"/>
    <w:uiPriority w:val="99"/>
    <w:locked/>
    <w:rsid w:val="005E492C"/>
    <w:rPr>
      <w:rFonts w:ascii="Arial" w:eastAsia="MS Gothic" w:hAnsi="Arial" w:cs="Times New Roman"/>
      <w:b/>
      <w:color w:val="71818C"/>
      <w:sz w:val="24"/>
    </w:rPr>
  </w:style>
  <w:style w:type="paragraph" w:customStyle="1" w:styleId="Bezmezer1">
    <w:name w:val="Bez mezer1"/>
    <w:aliases w:val="Bez zarážky"/>
    <w:link w:val="NoSpacingChar"/>
    <w:uiPriority w:val="99"/>
    <w:rsid w:val="005E492C"/>
    <w:pPr>
      <w:spacing w:line="288" w:lineRule="auto"/>
    </w:pPr>
    <w:rPr>
      <w:rFonts w:ascii="Arial" w:hAnsi="Arial"/>
      <w:sz w:val="22"/>
      <w:szCs w:val="22"/>
    </w:rPr>
  </w:style>
  <w:style w:type="paragraph" w:customStyle="1" w:styleId="Box1">
    <w:name w:val="Box 1"/>
    <w:basedOn w:val="Zkladnodstavec"/>
    <w:next w:val="Normln"/>
    <w:uiPriority w:val="99"/>
    <w:rsid w:val="005E492C"/>
    <w:pPr>
      <w:ind w:left="1134"/>
    </w:pPr>
    <w:rPr>
      <w:rFonts w:ascii="Arial" w:hAnsi="Arial" w:cs="Arial"/>
      <w:color w:val="71818C"/>
      <w:sz w:val="20"/>
    </w:rPr>
  </w:style>
  <w:style w:type="paragraph" w:customStyle="1" w:styleId="Box2">
    <w:name w:val="Box 2"/>
    <w:basedOn w:val="Zkladnodstavec"/>
    <w:link w:val="Box2Char"/>
    <w:uiPriority w:val="99"/>
    <w:rsid w:val="00010702"/>
    <w:pPr>
      <w:shd w:val="clear" w:color="auto" w:fill="CCC0D9"/>
      <w:tabs>
        <w:tab w:val="left" w:pos="9638"/>
      </w:tabs>
      <w:ind w:left="1134" w:right="-1"/>
      <w:jc w:val="both"/>
    </w:pPr>
    <w:rPr>
      <w:rFonts w:ascii="Arial" w:hAnsi="Arial"/>
      <w:b/>
    </w:rPr>
  </w:style>
  <w:style w:type="paragraph" w:customStyle="1" w:styleId="Box">
    <w:name w:val="Box"/>
    <w:next w:val="Normln"/>
    <w:link w:val="BoxChar"/>
    <w:uiPriority w:val="99"/>
    <w:rsid w:val="005E492C"/>
    <w:pPr>
      <w:shd w:val="clear" w:color="auto" w:fill="EAECEE"/>
      <w:spacing w:line="288" w:lineRule="auto"/>
      <w:ind w:left="1134"/>
    </w:pPr>
    <w:rPr>
      <w:rFonts w:ascii="Arial" w:hAnsi="Arial"/>
      <w:color w:val="000000"/>
      <w:sz w:val="22"/>
      <w:szCs w:val="22"/>
    </w:rPr>
  </w:style>
  <w:style w:type="paragraph" w:customStyle="1" w:styleId="TL-Kontakty">
    <w:name w:val="TL - Kontakty"/>
    <w:next w:val="Normln"/>
    <w:link w:val="TL-KontaktyChar"/>
    <w:uiPriority w:val="99"/>
    <w:rsid w:val="005E492C"/>
    <w:pPr>
      <w:spacing w:after="80"/>
    </w:pPr>
    <w:rPr>
      <w:rFonts w:ascii="Arial" w:hAnsi="Arial"/>
      <w:b/>
      <w:caps/>
      <w:color w:val="BD1B21"/>
      <w:sz w:val="22"/>
      <w:szCs w:val="22"/>
    </w:rPr>
  </w:style>
  <w:style w:type="character" w:customStyle="1" w:styleId="ZkladnodstavecChar">
    <w:name w:val="[Základní odstavec] Char"/>
    <w:link w:val="Zkladnodstavec"/>
    <w:uiPriority w:val="99"/>
    <w:locked/>
    <w:rsid w:val="006710C9"/>
    <w:rPr>
      <w:rFonts w:ascii="Minion Pro" w:hAnsi="Minion Pro"/>
      <w:color w:val="000000"/>
      <w:sz w:val="24"/>
    </w:rPr>
  </w:style>
  <w:style w:type="character" w:customStyle="1" w:styleId="Box2Char">
    <w:name w:val="Box 2 Char"/>
    <w:link w:val="Box2"/>
    <w:uiPriority w:val="99"/>
    <w:locked/>
    <w:rsid w:val="006710C9"/>
    <w:rPr>
      <w:rFonts w:ascii="Arial" w:hAnsi="Arial"/>
      <w:b/>
      <w:color w:val="000000"/>
      <w:sz w:val="24"/>
      <w:shd w:val="clear" w:color="auto" w:fill="CCC0D9"/>
    </w:rPr>
  </w:style>
  <w:style w:type="character" w:customStyle="1" w:styleId="BoxChar">
    <w:name w:val="Box Char"/>
    <w:link w:val="Box"/>
    <w:uiPriority w:val="99"/>
    <w:locked/>
    <w:rsid w:val="005E492C"/>
    <w:rPr>
      <w:rFonts w:ascii="Arial" w:hAnsi="Arial"/>
      <w:color w:val="000000"/>
      <w:sz w:val="22"/>
      <w:szCs w:val="22"/>
      <w:shd w:val="clear" w:color="auto" w:fill="EAECEE"/>
      <w:lang w:bidi="ar-SA"/>
    </w:rPr>
  </w:style>
  <w:style w:type="paragraph" w:customStyle="1" w:styleId="TL-Identifikace">
    <w:name w:val="TL - Identifikace"/>
    <w:next w:val="Normln"/>
    <w:link w:val="TL-IdentifikaceChar"/>
    <w:uiPriority w:val="99"/>
    <w:rsid w:val="005E492C"/>
    <w:pPr>
      <w:spacing w:after="200" w:line="288" w:lineRule="auto"/>
    </w:pPr>
    <w:rPr>
      <w:rFonts w:ascii="Arial" w:hAnsi="Arial"/>
      <w:sz w:val="22"/>
      <w:szCs w:val="22"/>
    </w:rPr>
  </w:style>
  <w:style w:type="character" w:customStyle="1" w:styleId="TL-KontaktyChar">
    <w:name w:val="TL - Kontakty Char"/>
    <w:link w:val="TL-Kontakty"/>
    <w:uiPriority w:val="99"/>
    <w:locked/>
    <w:rsid w:val="005E492C"/>
    <w:rPr>
      <w:rFonts w:ascii="Arial" w:hAnsi="Arial"/>
      <w:b/>
      <w:caps/>
      <w:color w:val="BD1B21"/>
      <w:sz w:val="22"/>
      <w:szCs w:val="22"/>
      <w:lang w:bidi="ar-SA"/>
    </w:rPr>
  </w:style>
  <w:style w:type="character" w:customStyle="1" w:styleId="TL-IdentifikaceChar">
    <w:name w:val="TL - Identifikace Char"/>
    <w:link w:val="TL-Identifikace"/>
    <w:uiPriority w:val="99"/>
    <w:locked/>
    <w:rsid w:val="005E492C"/>
    <w:rPr>
      <w:rFonts w:ascii="Arial" w:hAnsi="Arial"/>
      <w:sz w:val="22"/>
      <w:szCs w:val="22"/>
      <w:lang w:bidi="ar-SA"/>
    </w:rPr>
  </w:style>
  <w:style w:type="paragraph" w:customStyle="1" w:styleId="3372873BB58A4DED866D2BE34882C06C">
    <w:name w:val="3372873BB58A4DED866D2BE34882C06C"/>
    <w:uiPriority w:val="99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233E5CD5853943F4BD7E8C4B124C0E1D">
    <w:name w:val="233E5CD5853943F4BD7E8C4B124C0E1D"/>
    <w:uiPriority w:val="99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D345FF3D873148C5AE3FBF3267827368">
    <w:name w:val="D345FF3D873148C5AE3FBF3267827368"/>
    <w:uiPriority w:val="99"/>
    <w:rsid w:val="00EE3E78"/>
    <w:pPr>
      <w:spacing w:after="200" w:line="276" w:lineRule="auto"/>
    </w:pPr>
    <w:rPr>
      <w:rFonts w:eastAsia="MS Mincho"/>
      <w:sz w:val="22"/>
      <w:szCs w:val="22"/>
    </w:rPr>
  </w:style>
  <w:style w:type="character" w:customStyle="1" w:styleId="NoSpacingChar">
    <w:name w:val="No Spacing Char"/>
    <w:aliases w:val="Bez zarážky Char"/>
    <w:link w:val="Bezmezer1"/>
    <w:uiPriority w:val="99"/>
    <w:locked/>
    <w:rsid w:val="005E492C"/>
    <w:rPr>
      <w:rFonts w:ascii="Arial" w:hAnsi="Arial"/>
      <w:sz w:val="22"/>
      <w:szCs w:val="22"/>
      <w:lang w:bidi="ar-SA"/>
    </w:rPr>
  </w:style>
  <w:style w:type="paragraph" w:customStyle="1" w:styleId="TL-identifikace-sted">
    <w:name w:val="TL - identifikace - střed"/>
    <w:basedOn w:val="Normln"/>
    <w:link w:val="TL-identifikace-stedChar"/>
    <w:uiPriority w:val="99"/>
    <w:rsid w:val="005E492C"/>
    <w:pPr>
      <w:spacing w:after="200"/>
    </w:pPr>
    <w:rPr>
      <w:sz w:val="24"/>
      <w:szCs w:val="20"/>
    </w:rPr>
  </w:style>
  <w:style w:type="paragraph" w:customStyle="1" w:styleId="TL-Identifikace-dole">
    <w:name w:val="TL - Identifikace - dole"/>
    <w:basedOn w:val="Normln"/>
    <w:link w:val="TL-Identifikace-doleChar"/>
    <w:uiPriority w:val="99"/>
    <w:rsid w:val="005E492C"/>
    <w:pPr>
      <w:spacing w:after="200"/>
    </w:pPr>
    <w:rPr>
      <w:szCs w:val="20"/>
      <w:lang w:eastAsia="ar-SA"/>
    </w:rPr>
  </w:style>
  <w:style w:type="character" w:customStyle="1" w:styleId="TL-identifikace-stedChar">
    <w:name w:val="TL - identifikace - střed Char"/>
    <w:link w:val="TL-identifikace-sted"/>
    <w:uiPriority w:val="99"/>
    <w:locked/>
    <w:rsid w:val="005E492C"/>
    <w:rPr>
      <w:rFonts w:ascii="Arial" w:hAnsi="Arial"/>
      <w:sz w:val="24"/>
    </w:rPr>
  </w:style>
  <w:style w:type="character" w:customStyle="1" w:styleId="TL-Identifikace-doleChar">
    <w:name w:val="TL - Identifikace - dole Char"/>
    <w:link w:val="TL-Identifikace-dole"/>
    <w:uiPriority w:val="99"/>
    <w:locked/>
    <w:rsid w:val="005E492C"/>
    <w:rPr>
      <w:rFonts w:ascii="Arial" w:hAnsi="Arial"/>
      <w:lang w:eastAsia="ar-SA" w:bidi="ar-SA"/>
    </w:rPr>
  </w:style>
  <w:style w:type="paragraph" w:styleId="Nadpisobsahu">
    <w:name w:val="TOC Heading"/>
    <w:basedOn w:val="Nadpis1"/>
    <w:next w:val="Normln"/>
    <w:uiPriority w:val="99"/>
    <w:qFormat/>
    <w:rsid w:val="007521A1"/>
    <w:pPr>
      <w:keepLines w:val="0"/>
      <w:spacing w:before="240" w:after="60"/>
      <w:outlineLvl w:val="9"/>
    </w:pPr>
    <w:rPr>
      <w:rFonts w:ascii="Cambria" w:eastAsia="Times New Roman" w:hAnsi="Cambria"/>
      <w:color w:val="auto"/>
      <w:kern w:val="32"/>
      <w:szCs w:val="32"/>
    </w:rPr>
  </w:style>
  <w:style w:type="paragraph" w:styleId="Obsah1">
    <w:name w:val="toc 1"/>
    <w:basedOn w:val="Normln"/>
    <w:next w:val="Normln"/>
    <w:autoRedefine/>
    <w:uiPriority w:val="39"/>
    <w:rsid w:val="005B22A7"/>
    <w:pPr>
      <w:tabs>
        <w:tab w:val="left" w:pos="660"/>
        <w:tab w:val="right" w:leader="dot" w:pos="9628"/>
      </w:tabs>
      <w:spacing w:after="100" w:line="360" w:lineRule="auto"/>
      <w:jc w:val="both"/>
    </w:pPr>
    <w:rPr>
      <w:rFonts w:cs="Arial"/>
      <w:b/>
      <w:noProof/>
      <w:szCs w:val="20"/>
      <w:lang w:eastAsia="en-US"/>
    </w:rPr>
  </w:style>
  <w:style w:type="paragraph" w:styleId="Obsah2">
    <w:name w:val="toc 2"/>
    <w:basedOn w:val="Normln"/>
    <w:next w:val="Normln"/>
    <w:autoRedefine/>
    <w:uiPriority w:val="99"/>
    <w:rsid w:val="00D142E5"/>
    <w:pPr>
      <w:ind w:left="200"/>
    </w:pPr>
  </w:style>
  <w:style w:type="paragraph" w:styleId="Obsah3">
    <w:name w:val="toc 3"/>
    <w:basedOn w:val="Normln"/>
    <w:next w:val="Normln"/>
    <w:autoRedefine/>
    <w:uiPriority w:val="99"/>
    <w:rsid w:val="00D142E5"/>
    <w:pPr>
      <w:ind w:left="400"/>
    </w:pPr>
  </w:style>
  <w:style w:type="paragraph" w:styleId="Textpoznpodarou">
    <w:name w:val="footnote text"/>
    <w:aliases w:val="Text pozn. pod čarou_martin_ang"/>
    <w:basedOn w:val="Normln"/>
    <w:link w:val="TextpoznpodarouChar"/>
    <w:rsid w:val="00972263"/>
    <w:pPr>
      <w:spacing w:line="240" w:lineRule="auto"/>
    </w:pPr>
    <w:rPr>
      <w:szCs w:val="20"/>
    </w:rPr>
  </w:style>
  <w:style w:type="character" w:customStyle="1" w:styleId="TextpoznpodarouChar">
    <w:name w:val="Text pozn. pod čarou Char"/>
    <w:aliases w:val="Text pozn. pod čarou_martin_ang Char"/>
    <w:basedOn w:val="Standardnpsmoodstavce"/>
    <w:link w:val="Textpoznpodarou"/>
    <w:locked/>
    <w:rsid w:val="00972263"/>
    <w:rPr>
      <w:rFonts w:ascii="Arial" w:hAnsi="Arial" w:cs="Times New Roman"/>
    </w:rPr>
  </w:style>
  <w:style w:type="character" w:styleId="Znakapoznpodarou">
    <w:name w:val="footnote reference"/>
    <w:basedOn w:val="Standardnpsmoodstavce"/>
    <w:rsid w:val="00972263"/>
    <w:rPr>
      <w:rFonts w:cs="Times New Roman"/>
      <w:vertAlign w:val="superscript"/>
    </w:rPr>
  </w:style>
  <w:style w:type="paragraph" w:styleId="Rozvrendokumentu">
    <w:name w:val="Document Map"/>
    <w:basedOn w:val="Normln"/>
    <w:link w:val="RozvrendokumentuChar"/>
    <w:uiPriority w:val="99"/>
    <w:semiHidden/>
    <w:rsid w:val="00D5626D"/>
    <w:rPr>
      <w:rFonts w:ascii="Tahoma" w:hAnsi="Tahoma" w:cs="Tahoma"/>
      <w:sz w:val="16"/>
      <w:szCs w:val="16"/>
    </w:rPr>
  </w:style>
  <w:style w:type="character" w:customStyle="1" w:styleId="RozvrendokumentuChar">
    <w:name w:val="Rozvržení dokumentu Char"/>
    <w:basedOn w:val="Standardnpsmoodstavce"/>
    <w:link w:val="Rozvrendokumentu"/>
    <w:uiPriority w:val="99"/>
    <w:semiHidden/>
    <w:locked/>
    <w:rsid w:val="00D5626D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99"/>
    <w:qFormat/>
    <w:rsid w:val="00E921C7"/>
    <w:rPr>
      <w:rFonts w:cs="Times New Roman"/>
      <w:b/>
      <w:bCs/>
    </w:rPr>
  </w:style>
  <w:style w:type="paragraph" w:styleId="Odstavecseseznamem">
    <w:name w:val="List Paragraph"/>
    <w:basedOn w:val="Normln"/>
    <w:uiPriority w:val="34"/>
    <w:qFormat/>
    <w:rsid w:val="0046039A"/>
    <w:pPr>
      <w:ind w:left="708"/>
    </w:pPr>
  </w:style>
  <w:style w:type="table" w:styleId="Mkatabulky">
    <w:name w:val="Table Grid"/>
    <w:basedOn w:val="Normlntabulka"/>
    <w:uiPriority w:val="59"/>
    <w:rsid w:val="000779AC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katabulky1">
    <w:name w:val="Mřížka tabulky1"/>
    <w:uiPriority w:val="59"/>
    <w:rsid w:val="003D476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mezer">
    <w:name w:val="No Spacing"/>
    <w:uiPriority w:val="1"/>
    <w:qFormat/>
    <w:rsid w:val="007D4281"/>
    <w:pPr>
      <w:jc w:val="both"/>
    </w:pPr>
    <w:rPr>
      <w:rFonts w:ascii="Arial" w:eastAsia="Times New Roman" w:hAnsi="Arial"/>
      <w:szCs w:val="24"/>
    </w:rPr>
  </w:style>
  <w:style w:type="character" w:customStyle="1" w:styleId="ssfpaarticletext">
    <w:name w:val="ssfpaarticletext"/>
    <w:basedOn w:val="Standardnpsmoodstavce"/>
    <w:rsid w:val="00EE0473"/>
  </w:style>
  <w:style w:type="paragraph" w:customStyle="1" w:styleId="Default">
    <w:name w:val="Default"/>
    <w:rsid w:val="00424D9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locked/>
    <w:rsid w:val="005A61D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locked/>
    <w:rsid w:val="005A61D1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A61D1"/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159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59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59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59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59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59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59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59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59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59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59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59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17" Type="http://schemas.openxmlformats.org/officeDocument/2006/relationships/fontTable" Target="fontTable.xml"/><Relationship Id="rId46" Type="http://schemas.microsoft.com/office/2007/relationships/stylesWithEffects" Target="stylesWithEffects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chart" Target="charts/chart2.xml"/><Relationship Id="rId4" Type="http://schemas.openxmlformats.org/officeDocument/2006/relationships/styles" Target="styles.xml"/><Relationship Id="rId9" Type="http://schemas.openxmlformats.org/officeDocument/2006/relationships/chart" Target="charts/chart1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SOVA~1\AppData\Local\Temp\publikace%20bar_vicetematicke.dot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JKAM%20CSU\PUBLIKACE\PUBLIKACE\2017\QMakro\Makroanal&#253;za%20grafy-vzory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JKAM%20CSU\PUBLIKACE\PUBLIKACE\2017\QMakro\Makroanal&#253;za%20grafy-vzory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JKAM%20CSU\PUBLIKACE\PUBLIKACE\2017\QMakro\Makroanal&#253;za%20grafy-vzory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D:\JKAM%20CSU\PUBLIKACE\PUBLIKACE\2017\QMakro\Makroanal&#253;za%20grafy-vzory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chart>
    <c:plotArea>
      <c:layout>
        <c:manualLayout>
          <c:layoutTarget val="inner"/>
          <c:xMode val="edge"/>
          <c:yMode val="edge"/>
          <c:x val="4.5577477727787412E-2"/>
          <c:y val="1.7107238390107405E-2"/>
          <c:w val="0.90191712370542332"/>
          <c:h val="0.80441995947315093"/>
        </c:manualLayout>
      </c:layout>
      <c:barChart>
        <c:barDir val="col"/>
        <c:grouping val="clustered"/>
        <c:ser>
          <c:idx val="4"/>
          <c:order val="4"/>
          <c:tx>
            <c:strRef>
              <c:f>'Státní rozpočet 1'!$A$37</c:f>
              <c:strCache>
                <c:ptCount val="1"/>
                <c:pt idx="0">
                  <c:v>Saldo státního rozpočtu (pravá osa)</c:v>
                </c:pt>
              </c:strCache>
            </c:strRef>
          </c:tx>
          <c:spPr>
            <a:solidFill>
              <a:srgbClr val="BFBFBF"/>
            </a:solidFill>
          </c:spPr>
          <c:cat>
            <c:numRef>
              <c:f>'Státní rozpočet 1'!$B$32:$N$32</c:f>
              <c:numCache>
                <c:formatCode>General</c:formatCode>
                <c:ptCount val="13"/>
                <c:pt idx="0">
                  <c:v>2005</c:v>
                </c:pt>
                <c:pt idx="1">
                  <c:v>2006</c:v>
                </c:pt>
                <c:pt idx="2">
                  <c:v>2007</c:v>
                </c:pt>
                <c:pt idx="3">
                  <c:v>2008</c:v>
                </c:pt>
                <c:pt idx="4">
                  <c:v>2009</c:v>
                </c:pt>
                <c:pt idx="5">
                  <c:v>2010</c:v>
                </c:pt>
                <c:pt idx="6">
                  <c:v>2011</c:v>
                </c:pt>
                <c:pt idx="7">
                  <c:v>2012</c:v>
                </c:pt>
                <c:pt idx="8">
                  <c:v>2013</c:v>
                </c:pt>
                <c:pt idx="9">
                  <c:v>2014</c:v>
                </c:pt>
                <c:pt idx="10">
                  <c:v>2015</c:v>
                </c:pt>
                <c:pt idx="11">
                  <c:v>2016</c:v>
                </c:pt>
                <c:pt idx="12">
                  <c:v>2017</c:v>
                </c:pt>
              </c:numCache>
            </c:numRef>
          </c:cat>
          <c:val>
            <c:numRef>
              <c:f>'Státní rozpočet 1'!$B$37:$N$37</c:f>
              <c:numCache>
                <c:formatCode>#,##0.0</c:formatCode>
                <c:ptCount val="13"/>
                <c:pt idx="0">
                  <c:v>8.25</c:v>
                </c:pt>
                <c:pt idx="1">
                  <c:v>15.75</c:v>
                </c:pt>
                <c:pt idx="2">
                  <c:v>11.26</c:v>
                </c:pt>
                <c:pt idx="3">
                  <c:v>-13.347</c:v>
                </c:pt>
                <c:pt idx="4">
                  <c:v>-2.3459999999999988</c:v>
                </c:pt>
                <c:pt idx="5">
                  <c:v>-45.942</c:v>
                </c:pt>
                <c:pt idx="6">
                  <c:v>-25.202000000000002</c:v>
                </c:pt>
                <c:pt idx="7">
                  <c:v>-22.69</c:v>
                </c:pt>
                <c:pt idx="8">
                  <c:v>13.97</c:v>
                </c:pt>
                <c:pt idx="9">
                  <c:v>43.59</c:v>
                </c:pt>
                <c:pt idx="10">
                  <c:v>19.91</c:v>
                </c:pt>
                <c:pt idx="11">
                  <c:v>43.6</c:v>
                </c:pt>
                <c:pt idx="12">
                  <c:v>4.68</c:v>
                </c:pt>
              </c:numCache>
            </c:numRef>
          </c:val>
        </c:ser>
        <c:gapWidth val="43"/>
        <c:axId val="161906688"/>
        <c:axId val="161790976"/>
      </c:barChart>
      <c:lineChart>
        <c:grouping val="standard"/>
        <c:ser>
          <c:idx val="0"/>
          <c:order val="0"/>
          <c:tx>
            <c:strRef>
              <c:f>'Státní rozpočet 1'!$A$33</c:f>
              <c:strCache>
                <c:ptCount val="1"/>
                <c:pt idx="0">
                  <c:v>DPH</c:v>
                </c:pt>
              </c:strCache>
            </c:strRef>
          </c:tx>
          <c:spPr>
            <a:ln w="19050">
              <a:solidFill>
                <a:srgbClr val="BD1B21"/>
              </a:solidFill>
            </a:ln>
          </c:spPr>
          <c:marker>
            <c:symbol val="none"/>
          </c:marker>
          <c:cat>
            <c:numRef>
              <c:f>'Státní rozpočet 1'!$B$32:$N$32</c:f>
              <c:numCache>
                <c:formatCode>General</c:formatCode>
                <c:ptCount val="13"/>
                <c:pt idx="0">
                  <c:v>2005</c:v>
                </c:pt>
                <c:pt idx="1">
                  <c:v>2006</c:v>
                </c:pt>
                <c:pt idx="2">
                  <c:v>2007</c:v>
                </c:pt>
                <c:pt idx="3">
                  <c:v>2008</c:v>
                </c:pt>
                <c:pt idx="4">
                  <c:v>2009</c:v>
                </c:pt>
                <c:pt idx="5">
                  <c:v>2010</c:v>
                </c:pt>
                <c:pt idx="6">
                  <c:v>2011</c:v>
                </c:pt>
                <c:pt idx="7">
                  <c:v>2012</c:v>
                </c:pt>
                <c:pt idx="8">
                  <c:v>2013</c:v>
                </c:pt>
                <c:pt idx="9">
                  <c:v>2014</c:v>
                </c:pt>
                <c:pt idx="10">
                  <c:v>2015</c:v>
                </c:pt>
                <c:pt idx="11">
                  <c:v>2016</c:v>
                </c:pt>
                <c:pt idx="12">
                  <c:v>2017</c:v>
                </c:pt>
              </c:numCache>
            </c:numRef>
          </c:cat>
          <c:val>
            <c:numRef>
              <c:f>'Státní rozpočet 1'!$B$33:$N$33</c:f>
              <c:numCache>
                <c:formatCode>0.0</c:formatCode>
                <c:ptCount val="13"/>
                <c:pt idx="0">
                  <c:v>-5.6</c:v>
                </c:pt>
                <c:pt idx="1">
                  <c:v>27.9</c:v>
                </c:pt>
                <c:pt idx="2">
                  <c:v>4.2</c:v>
                </c:pt>
                <c:pt idx="3">
                  <c:v>4.3689320388349362</c:v>
                </c:pt>
                <c:pt idx="4">
                  <c:v>-6.4254952627045565</c:v>
                </c:pt>
                <c:pt idx="5">
                  <c:v>11.616347569955821</c:v>
                </c:pt>
                <c:pt idx="6">
                  <c:v>-6.6138875144318066</c:v>
                </c:pt>
                <c:pt idx="7">
                  <c:v>3.2144118685976899</c:v>
                </c:pt>
                <c:pt idx="8">
                  <c:v>25.496235455167689</c:v>
                </c:pt>
                <c:pt idx="9">
                  <c:v>15.121352604308711</c:v>
                </c:pt>
                <c:pt idx="10">
                  <c:v>-14.307710529432686</c:v>
                </c:pt>
                <c:pt idx="11">
                  <c:v>4.1879751209398677</c:v>
                </c:pt>
                <c:pt idx="12">
                  <c:v>8.6229769169541015</c:v>
                </c:pt>
              </c:numCache>
            </c:numRef>
          </c:val>
        </c:ser>
        <c:ser>
          <c:idx val="1"/>
          <c:order val="1"/>
          <c:tx>
            <c:strRef>
              <c:f>'Státní rozpočet 1'!$A$34</c:f>
              <c:strCache>
                <c:ptCount val="1"/>
                <c:pt idx="0">
                  <c:v>Spotřební daň</c:v>
                </c:pt>
              </c:strCache>
            </c:strRef>
          </c:tx>
          <c:spPr>
            <a:ln w="19050">
              <a:noFill/>
              <a:prstDash val="solid"/>
            </a:ln>
          </c:spPr>
          <c:marker>
            <c:symbol val="diamond"/>
            <c:size val="5"/>
            <c:spPr>
              <a:solidFill>
                <a:schemeClr val="tx1">
                  <a:lumMod val="95000"/>
                  <a:lumOff val="5000"/>
                </a:schemeClr>
              </a:solidFill>
              <a:ln>
                <a:noFill/>
              </a:ln>
            </c:spPr>
          </c:marker>
          <c:cat>
            <c:numRef>
              <c:f>'Státní rozpočet 1'!$B$32:$N$32</c:f>
              <c:numCache>
                <c:formatCode>General</c:formatCode>
                <c:ptCount val="13"/>
                <c:pt idx="0">
                  <c:v>2005</c:v>
                </c:pt>
                <c:pt idx="1">
                  <c:v>2006</c:v>
                </c:pt>
                <c:pt idx="2">
                  <c:v>2007</c:v>
                </c:pt>
                <c:pt idx="3">
                  <c:v>2008</c:v>
                </c:pt>
                <c:pt idx="4">
                  <c:v>2009</c:v>
                </c:pt>
                <c:pt idx="5">
                  <c:v>2010</c:v>
                </c:pt>
                <c:pt idx="6">
                  <c:v>2011</c:v>
                </c:pt>
                <c:pt idx="7">
                  <c:v>2012</c:v>
                </c:pt>
                <c:pt idx="8">
                  <c:v>2013</c:v>
                </c:pt>
                <c:pt idx="9">
                  <c:v>2014</c:v>
                </c:pt>
                <c:pt idx="10">
                  <c:v>2015</c:v>
                </c:pt>
                <c:pt idx="11">
                  <c:v>2016</c:v>
                </c:pt>
                <c:pt idx="12">
                  <c:v>2017</c:v>
                </c:pt>
              </c:numCache>
            </c:numRef>
          </c:cat>
          <c:val>
            <c:numRef>
              <c:f>'Státní rozpočet 1'!$B$34:$N$34</c:f>
              <c:numCache>
                <c:formatCode>0.0</c:formatCode>
                <c:ptCount val="13"/>
                <c:pt idx="0">
                  <c:v>19.899999999999999</c:v>
                </c:pt>
                <c:pt idx="1">
                  <c:v>5</c:v>
                </c:pt>
                <c:pt idx="2">
                  <c:v>4.3</c:v>
                </c:pt>
                <c:pt idx="3">
                  <c:v>-0.9807023093957502</c:v>
                </c:pt>
                <c:pt idx="4">
                  <c:v>-13.322683706070302</c:v>
                </c:pt>
                <c:pt idx="5">
                  <c:v>28.603022484334673</c:v>
                </c:pt>
                <c:pt idx="6">
                  <c:v>-3.6113499570077332</c:v>
                </c:pt>
                <c:pt idx="7">
                  <c:v>9.5450490633363074</c:v>
                </c:pt>
                <c:pt idx="8">
                  <c:v>9.9077090119435525</c:v>
                </c:pt>
                <c:pt idx="9">
                  <c:v>13.879970363052593</c:v>
                </c:pt>
                <c:pt idx="10">
                  <c:v>-27.998265018434193</c:v>
                </c:pt>
                <c:pt idx="11">
                  <c:v>8.162650602409661</c:v>
                </c:pt>
                <c:pt idx="12">
                  <c:v>2.339181286549703</c:v>
                </c:pt>
              </c:numCache>
            </c:numRef>
          </c:val>
        </c:ser>
        <c:ser>
          <c:idx val="3"/>
          <c:order val="2"/>
          <c:tx>
            <c:strRef>
              <c:f>'Státní rozpočet 1'!$A$35</c:f>
              <c:strCache>
                <c:ptCount val="1"/>
                <c:pt idx="0">
                  <c:v>Daně z příjmů právnických osob</c:v>
                </c:pt>
              </c:strCache>
            </c:strRef>
          </c:tx>
          <c:spPr>
            <a:ln w="19050">
              <a:solidFill>
                <a:srgbClr val="0071BC"/>
              </a:solidFill>
              <a:prstDash val="solid"/>
            </a:ln>
          </c:spPr>
          <c:marker>
            <c:symbol val="none"/>
          </c:marker>
          <c:cat>
            <c:numRef>
              <c:f>'Státní rozpočet 1'!$B$32:$N$32</c:f>
              <c:numCache>
                <c:formatCode>General</c:formatCode>
                <c:ptCount val="13"/>
                <c:pt idx="0">
                  <c:v>2005</c:v>
                </c:pt>
                <c:pt idx="1">
                  <c:v>2006</c:v>
                </c:pt>
                <c:pt idx="2">
                  <c:v>2007</c:v>
                </c:pt>
                <c:pt idx="3">
                  <c:v>2008</c:v>
                </c:pt>
                <c:pt idx="4">
                  <c:v>2009</c:v>
                </c:pt>
                <c:pt idx="5">
                  <c:v>2010</c:v>
                </c:pt>
                <c:pt idx="6">
                  <c:v>2011</c:v>
                </c:pt>
                <c:pt idx="7">
                  <c:v>2012</c:v>
                </c:pt>
                <c:pt idx="8">
                  <c:v>2013</c:v>
                </c:pt>
                <c:pt idx="9">
                  <c:v>2014</c:v>
                </c:pt>
                <c:pt idx="10">
                  <c:v>2015</c:v>
                </c:pt>
                <c:pt idx="11">
                  <c:v>2016</c:v>
                </c:pt>
                <c:pt idx="12">
                  <c:v>2017</c:v>
                </c:pt>
              </c:numCache>
            </c:numRef>
          </c:cat>
          <c:val>
            <c:numRef>
              <c:f>'Státní rozpočet 1'!$B$35:$N$35</c:f>
              <c:numCache>
                <c:formatCode>0.0</c:formatCode>
                <c:ptCount val="13"/>
                <c:pt idx="0">
                  <c:v>17.3</c:v>
                </c:pt>
                <c:pt idx="1">
                  <c:v>18.100000000000001</c:v>
                </c:pt>
                <c:pt idx="2">
                  <c:v>2.1</c:v>
                </c:pt>
                <c:pt idx="3">
                  <c:v>18.382591750568302</c:v>
                </c:pt>
                <c:pt idx="4">
                  <c:v>-14.074074074074073</c:v>
                </c:pt>
                <c:pt idx="5">
                  <c:v>-3.1928480204342587E-2</c:v>
                </c:pt>
                <c:pt idx="6">
                  <c:v>-8.6234429894602567</c:v>
                </c:pt>
                <c:pt idx="7">
                  <c:v>-0.66410346032855061</c:v>
                </c:pt>
                <c:pt idx="8">
                  <c:v>-0.49261083743842032</c:v>
                </c:pt>
                <c:pt idx="9">
                  <c:v>2.5813295615276095</c:v>
                </c:pt>
                <c:pt idx="10">
                  <c:v>7.2388831437435446</c:v>
                </c:pt>
                <c:pt idx="11">
                  <c:v>12.600450016072022</c:v>
                </c:pt>
                <c:pt idx="12">
                  <c:v>10.248358549814366</c:v>
                </c:pt>
              </c:numCache>
            </c:numRef>
          </c:val>
        </c:ser>
        <c:ser>
          <c:idx val="2"/>
          <c:order val="3"/>
          <c:tx>
            <c:strRef>
              <c:f>'Státní rozpočet 1'!$A$36</c:f>
              <c:strCache>
                <c:ptCount val="1"/>
                <c:pt idx="0">
                  <c:v>Daně z příjmů FO ze závislé činnosti</c:v>
                </c:pt>
              </c:strCache>
            </c:strRef>
          </c:tx>
          <c:spPr>
            <a:ln w="19050"/>
          </c:spPr>
          <c:marker>
            <c:symbol val="none"/>
          </c:marker>
          <c:cat>
            <c:numRef>
              <c:f>'Státní rozpočet 1'!$B$32:$N$32</c:f>
              <c:numCache>
                <c:formatCode>General</c:formatCode>
                <c:ptCount val="13"/>
                <c:pt idx="0">
                  <c:v>2005</c:v>
                </c:pt>
                <c:pt idx="1">
                  <c:v>2006</c:v>
                </c:pt>
                <c:pt idx="2">
                  <c:v>2007</c:v>
                </c:pt>
                <c:pt idx="3">
                  <c:v>2008</c:v>
                </c:pt>
                <c:pt idx="4">
                  <c:v>2009</c:v>
                </c:pt>
                <c:pt idx="5">
                  <c:v>2010</c:v>
                </c:pt>
                <c:pt idx="6">
                  <c:v>2011</c:v>
                </c:pt>
                <c:pt idx="7">
                  <c:v>2012</c:v>
                </c:pt>
                <c:pt idx="8">
                  <c:v>2013</c:v>
                </c:pt>
                <c:pt idx="9">
                  <c:v>2014</c:v>
                </c:pt>
                <c:pt idx="10">
                  <c:v>2015</c:v>
                </c:pt>
                <c:pt idx="11">
                  <c:v>2016</c:v>
                </c:pt>
                <c:pt idx="12">
                  <c:v>2017</c:v>
                </c:pt>
              </c:numCache>
            </c:numRef>
          </c:cat>
          <c:val>
            <c:numRef>
              <c:f>'Státní rozpočet 1'!$B$36:$N$36</c:f>
              <c:numCache>
                <c:formatCode>0.0</c:formatCode>
                <c:ptCount val="13"/>
                <c:pt idx="0">
                  <c:v>6.9</c:v>
                </c:pt>
                <c:pt idx="1">
                  <c:v>4</c:v>
                </c:pt>
                <c:pt idx="2">
                  <c:v>9.1</c:v>
                </c:pt>
                <c:pt idx="3">
                  <c:v>1.2636612021857665</c:v>
                </c:pt>
                <c:pt idx="4">
                  <c:v>-4.5531197301854798</c:v>
                </c:pt>
                <c:pt idx="5">
                  <c:v>-1.7314487632508815</c:v>
                </c:pt>
                <c:pt idx="6">
                  <c:v>3.8475368572455997</c:v>
                </c:pt>
                <c:pt idx="7">
                  <c:v>3.8781163434903192</c:v>
                </c:pt>
                <c:pt idx="8">
                  <c:v>4.5000000000000142</c:v>
                </c:pt>
                <c:pt idx="9">
                  <c:v>0.76555023923444365</c:v>
                </c:pt>
                <c:pt idx="10">
                  <c:v>1.7727128838239861</c:v>
                </c:pt>
                <c:pt idx="11">
                  <c:v>8.2426127527216249</c:v>
                </c:pt>
                <c:pt idx="12">
                  <c:v>10.287356321839098</c:v>
                </c:pt>
              </c:numCache>
            </c:numRef>
          </c:val>
        </c:ser>
        <c:marker val="1"/>
        <c:axId val="161735808"/>
        <c:axId val="161737344"/>
      </c:lineChart>
      <c:catAx>
        <c:axId val="161735808"/>
        <c:scaling>
          <c:orientation val="minMax"/>
        </c:scaling>
        <c:axPos val="b"/>
        <c:numFmt formatCode="General" sourceLinked="1"/>
        <c:tickLblPos val="low"/>
        <c:spPr>
          <a:ln>
            <a:solidFill>
              <a:schemeClr val="tx1"/>
            </a:solidFill>
          </a:ln>
        </c:spPr>
        <c:crossAx val="161737344"/>
        <c:crosses val="autoZero"/>
        <c:auto val="1"/>
        <c:lblAlgn val="ctr"/>
        <c:lblOffset val="0"/>
      </c:catAx>
      <c:valAx>
        <c:axId val="161737344"/>
        <c:scaling>
          <c:orientation val="minMax"/>
          <c:max val="30"/>
          <c:min val="-30"/>
        </c:scaling>
        <c:axPos val="l"/>
        <c:majorGridlines>
          <c:spPr>
            <a:ln w="6350">
              <a:solidFill>
                <a:schemeClr val="bg1">
                  <a:lumMod val="75000"/>
                </a:schemeClr>
              </a:solidFill>
            </a:ln>
          </c:spPr>
        </c:majorGridlines>
        <c:numFmt formatCode="0" sourceLinked="0"/>
        <c:tickLblPos val="nextTo"/>
        <c:spPr>
          <a:ln>
            <a:solidFill>
              <a:schemeClr val="tx1"/>
            </a:solidFill>
          </a:ln>
        </c:spPr>
        <c:crossAx val="161735808"/>
        <c:crosses val="autoZero"/>
        <c:crossBetween val="between"/>
        <c:majorUnit val="5"/>
      </c:valAx>
      <c:valAx>
        <c:axId val="161790976"/>
        <c:scaling>
          <c:orientation val="minMax"/>
          <c:max val="60"/>
          <c:min val="-60"/>
        </c:scaling>
        <c:axPos val="r"/>
        <c:numFmt formatCode="#,##0" sourceLinked="0"/>
        <c:tickLblPos val="nextTo"/>
        <c:crossAx val="161906688"/>
        <c:crosses val="max"/>
        <c:crossBetween val="between"/>
        <c:majorUnit val="10"/>
      </c:valAx>
      <c:catAx>
        <c:axId val="161906688"/>
        <c:scaling>
          <c:orientation val="minMax"/>
        </c:scaling>
        <c:delete val="1"/>
        <c:axPos val="b"/>
        <c:numFmt formatCode="General" sourceLinked="1"/>
        <c:tickLblPos val="none"/>
        <c:crossAx val="161790976"/>
        <c:crosses val="autoZero"/>
        <c:auto val="1"/>
        <c:lblAlgn val="ctr"/>
        <c:lblOffset val="100"/>
      </c:catAx>
      <c:spPr>
        <a:ln>
          <a:solidFill>
            <a:schemeClr val="tx1"/>
          </a:solidFill>
        </a:ln>
      </c:spPr>
    </c:plotArea>
    <c:legend>
      <c:legendPos val="b"/>
      <c:layout>
        <c:manualLayout>
          <c:xMode val="edge"/>
          <c:yMode val="edge"/>
          <c:x val="5.1890408645727804E-2"/>
          <c:y val="0.87244427558257798"/>
          <c:w val="0.89314342209894193"/>
          <c:h val="0.11325875267364632"/>
        </c:manualLayout>
      </c:layout>
      <c:spPr>
        <a:ln w="6350">
          <a:solidFill>
            <a:schemeClr val="tx1"/>
          </a:solidFill>
        </a:ln>
      </c:spPr>
    </c:legend>
    <c:plotVisOnly val="1"/>
    <c:dispBlanksAs val="gap"/>
  </c:chart>
  <c:spPr>
    <a:ln>
      <a:noFill/>
    </a:ln>
  </c:spPr>
  <c:txPr>
    <a:bodyPr/>
    <a:lstStyle/>
    <a:p>
      <a:pPr>
        <a:defRPr sz="800">
          <a:latin typeface="Arial" panose="020B0604020202020204" pitchFamily="34" charset="0"/>
          <a:cs typeface="Arial" panose="020B0604020202020204" pitchFamily="34" charset="0"/>
        </a:defRPr>
      </a:pPr>
      <a:endParaRPr lang="cs-CZ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chart>
    <c:plotArea>
      <c:layout>
        <c:manualLayout>
          <c:layoutTarget val="inner"/>
          <c:xMode val="edge"/>
          <c:yMode val="edge"/>
          <c:x val="5.3654503640965086E-2"/>
          <c:y val="3.2774670270864031E-2"/>
          <c:w val="0.88351164495084356"/>
          <c:h val="0.71015836476683059"/>
        </c:manualLayout>
      </c:layout>
      <c:barChart>
        <c:barDir val="col"/>
        <c:grouping val="clustered"/>
        <c:ser>
          <c:idx val="0"/>
          <c:order val="0"/>
          <c:tx>
            <c:strRef>
              <c:f>'Státní rozpočet 2'!$B$21</c:f>
              <c:strCache>
                <c:ptCount val="1"/>
                <c:pt idx="0">
                  <c:v>Běžné výdaje (pravá osa)</c:v>
                </c:pt>
              </c:strCache>
            </c:strRef>
          </c:tx>
          <c:spPr>
            <a:solidFill>
              <a:schemeClr val="bg1">
                <a:lumMod val="75000"/>
              </a:schemeClr>
            </a:solidFill>
            <a:ln>
              <a:noFill/>
            </a:ln>
          </c:spPr>
          <c:cat>
            <c:numRef>
              <c:f>'Státní rozpočet 2'!$A$22:$A$34</c:f>
              <c:numCache>
                <c:formatCode>General</c:formatCode>
                <c:ptCount val="13"/>
                <c:pt idx="0">
                  <c:v>2005</c:v>
                </c:pt>
                <c:pt idx="1">
                  <c:v>2006</c:v>
                </c:pt>
                <c:pt idx="2">
                  <c:v>2007</c:v>
                </c:pt>
                <c:pt idx="3">
                  <c:v>2008</c:v>
                </c:pt>
                <c:pt idx="4">
                  <c:v>2009</c:v>
                </c:pt>
                <c:pt idx="5">
                  <c:v>2010</c:v>
                </c:pt>
                <c:pt idx="6">
                  <c:v>2011</c:v>
                </c:pt>
                <c:pt idx="7">
                  <c:v>2012</c:v>
                </c:pt>
                <c:pt idx="8">
                  <c:v>2013</c:v>
                </c:pt>
                <c:pt idx="9">
                  <c:v>2014</c:v>
                </c:pt>
                <c:pt idx="10">
                  <c:v>2015</c:v>
                </c:pt>
                <c:pt idx="11">
                  <c:v>2016</c:v>
                </c:pt>
                <c:pt idx="12">
                  <c:v>2017</c:v>
                </c:pt>
              </c:numCache>
            </c:numRef>
          </c:cat>
          <c:val>
            <c:numRef>
              <c:f>'Státní rozpočet 2'!$B$22:$B$34</c:f>
              <c:numCache>
                <c:formatCode>General</c:formatCode>
                <c:ptCount val="13"/>
                <c:pt idx="0">
                  <c:v>192.453</c:v>
                </c:pt>
                <c:pt idx="1">
                  <c:v>210.25</c:v>
                </c:pt>
                <c:pt idx="2">
                  <c:v>220.65</c:v>
                </c:pt>
                <c:pt idx="3">
                  <c:v>251.64</c:v>
                </c:pt>
                <c:pt idx="4" formatCode="#,##0.00">
                  <c:v>242.03</c:v>
                </c:pt>
                <c:pt idx="5" formatCode="#,##0.00">
                  <c:v>262.01</c:v>
                </c:pt>
                <c:pt idx="6" formatCode="#,##0.00">
                  <c:v>252.45000000000007</c:v>
                </c:pt>
                <c:pt idx="7" formatCode="#,##0.00">
                  <c:v>258.94</c:v>
                </c:pt>
                <c:pt idx="8" formatCode="#,##0.00">
                  <c:v>261.20999999999964</c:v>
                </c:pt>
                <c:pt idx="9" formatCode="#,##0.00">
                  <c:v>265.72000000000003</c:v>
                </c:pt>
                <c:pt idx="10" formatCode="#,##0.00">
                  <c:v>274.76</c:v>
                </c:pt>
                <c:pt idx="11" formatCode="#,##0.00">
                  <c:v>278.33</c:v>
                </c:pt>
                <c:pt idx="12" formatCode="#,##0.00">
                  <c:v>296.74</c:v>
                </c:pt>
              </c:numCache>
            </c:numRef>
          </c:val>
        </c:ser>
        <c:gapWidth val="70"/>
        <c:axId val="167619584"/>
        <c:axId val="167618048"/>
      </c:barChart>
      <c:lineChart>
        <c:grouping val="standard"/>
        <c:ser>
          <c:idx val="1"/>
          <c:order val="1"/>
          <c:tx>
            <c:strRef>
              <c:f>'Státní rozpočet 2'!$C$21</c:f>
              <c:strCache>
                <c:ptCount val="1"/>
                <c:pt idx="0">
                  <c:v>Platy státních zaměstnanců</c:v>
                </c:pt>
              </c:strCache>
            </c:strRef>
          </c:tx>
          <c:spPr>
            <a:ln w="19050">
              <a:solidFill>
                <a:srgbClr val="0071BC"/>
              </a:solidFill>
            </a:ln>
          </c:spPr>
          <c:marker>
            <c:symbol val="none"/>
          </c:marker>
          <c:cat>
            <c:numRef>
              <c:f>'Státní rozpočet 2'!$A$22:$A$34</c:f>
              <c:numCache>
                <c:formatCode>General</c:formatCode>
                <c:ptCount val="13"/>
                <c:pt idx="0">
                  <c:v>2005</c:v>
                </c:pt>
                <c:pt idx="1">
                  <c:v>2006</c:v>
                </c:pt>
                <c:pt idx="2">
                  <c:v>2007</c:v>
                </c:pt>
                <c:pt idx="3">
                  <c:v>2008</c:v>
                </c:pt>
                <c:pt idx="4">
                  <c:v>2009</c:v>
                </c:pt>
                <c:pt idx="5">
                  <c:v>2010</c:v>
                </c:pt>
                <c:pt idx="6">
                  <c:v>2011</c:v>
                </c:pt>
                <c:pt idx="7">
                  <c:v>2012</c:v>
                </c:pt>
                <c:pt idx="8">
                  <c:v>2013</c:v>
                </c:pt>
                <c:pt idx="9">
                  <c:v>2014</c:v>
                </c:pt>
                <c:pt idx="10">
                  <c:v>2015</c:v>
                </c:pt>
                <c:pt idx="11">
                  <c:v>2016</c:v>
                </c:pt>
                <c:pt idx="12">
                  <c:v>2017</c:v>
                </c:pt>
              </c:numCache>
            </c:numRef>
          </c:cat>
          <c:val>
            <c:numRef>
              <c:f>'Státní rozpočet 2'!$C$22:$C$34</c:f>
              <c:numCache>
                <c:formatCode>0.00</c:formatCode>
                <c:ptCount val="13"/>
                <c:pt idx="0">
                  <c:v>13.223999999999998</c:v>
                </c:pt>
                <c:pt idx="1">
                  <c:v>13.83</c:v>
                </c:pt>
                <c:pt idx="2" formatCode="General">
                  <c:v>14.850000000000026</c:v>
                </c:pt>
                <c:pt idx="3" formatCode="General">
                  <c:v>14.729999999999999</c:v>
                </c:pt>
                <c:pt idx="4" formatCode="General">
                  <c:v>15.139999999999999</c:v>
                </c:pt>
                <c:pt idx="5" formatCode="General">
                  <c:v>15.42</c:v>
                </c:pt>
                <c:pt idx="6" formatCode="General">
                  <c:v>14.05</c:v>
                </c:pt>
                <c:pt idx="7" formatCode="General">
                  <c:v>14.350000000000026</c:v>
                </c:pt>
                <c:pt idx="8" formatCode="General">
                  <c:v>14.46</c:v>
                </c:pt>
                <c:pt idx="9" formatCode="General">
                  <c:v>14.8</c:v>
                </c:pt>
                <c:pt idx="10" formatCode="General">
                  <c:v>15.8</c:v>
                </c:pt>
                <c:pt idx="11" formatCode="General">
                  <c:v>16.75</c:v>
                </c:pt>
                <c:pt idx="12" formatCode="General">
                  <c:v>17.75</c:v>
                </c:pt>
              </c:numCache>
            </c:numRef>
          </c:val>
        </c:ser>
        <c:ser>
          <c:idx val="2"/>
          <c:order val="2"/>
          <c:tx>
            <c:strRef>
              <c:f>'Státní rozpočet 2'!$D$21</c:f>
              <c:strCache>
                <c:ptCount val="1"/>
                <c:pt idx="0">
                  <c:v>Podpora v nezaměstn.</c:v>
                </c:pt>
              </c:strCache>
            </c:strRef>
          </c:tx>
          <c:spPr>
            <a:ln w="19050">
              <a:solidFill>
                <a:srgbClr val="984807"/>
              </a:solidFill>
            </a:ln>
          </c:spPr>
          <c:marker>
            <c:symbol val="none"/>
          </c:marker>
          <c:cat>
            <c:numRef>
              <c:f>'Státní rozpočet 2'!$A$22:$A$34</c:f>
              <c:numCache>
                <c:formatCode>General</c:formatCode>
                <c:ptCount val="13"/>
                <c:pt idx="0">
                  <c:v>2005</c:v>
                </c:pt>
                <c:pt idx="1">
                  <c:v>2006</c:v>
                </c:pt>
                <c:pt idx="2">
                  <c:v>2007</c:v>
                </c:pt>
                <c:pt idx="3">
                  <c:v>2008</c:v>
                </c:pt>
                <c:pt idx="4">
                  <c:v>2009</c:v>
                </c:pt>
                <c:pt idx="5">
                  <c:v>2010</c:v>
                </c:pt>
                <c:pt idx="6">
                  <c:v>2011</c:v>
                </c:pt>
                <c:pt idx="7">
                  <c:v>2012</c:v>
                </c:pt>
                <c:pt idx="8">
                  <c:v>2013</c:v>
                </c:pt>
                <c:pt idx="9">
                  <c:v>2014</c:v>
                </c:pt>
                <c:pt idx="10">
                  <c:v>2015</c:v>
                </c:pt>
                <c:pt idx="11">
                  <c:v>2016</c:v>
                </c:pt>
                <c:pt idx="12">
                  <c:v>2017</c:v>
                </c:pt>
              </c:numCache>
            </c:numRef>
          </c:cat>
          <c:val>
            <c:numRef>
              <c:f>'Státní rozpočet 2'!$D$22:$D$34</c:f>
              <c:numCache>
                <c:formatCode>General</c:formatCode>
                <c:ptCount val="13"/>
                <c:pt idx="0">
                  <c:v>1.903</c:v>
                </c:pt>
                <c:pt idx="1">
                  <c:v>2.0099999999999998</c:v>
                </c:pt>
                <c:pt idx="2">
                  <c:v>2.0099999999999998</c:v>
                </c:pt>
                <c:pt idx="3">
                  <c:v>1.87</c:v>
                </c:pt>
                <c:pt idx="4">
                  <c:v>3.07</c:v>
                </c:pt>
                <c:pt idx="5">
                  <c:v>4.21</c:v>
                </c:pt>
                <c:pt idx="6">
                  <c:v>3.62</c:v>
                </c:pt>
                <c:pt idx="7">
                  <c:v>2.63</c:v>
                </c:pt>
                <c:pt idx="8">
                  <c:v>2.82</c:v>
                </c:pt>
                <c:pt idx="9">
                  <c:v>2.86</c:v>
                </c:pt>
                <c:pt idx="10">
                  <c:v>2.56</c:v>
                </c:pt>
                <c:pt idx="11">
                  <c:v>2.4499999999999997</c:v>
                </c:pt>
                <c:pt idx="12">
                  <c:v>2.42</c:v>
                </c:pt>
              </c:numCache>
            </c:numRef>
          </c:val>
        </c:ser>
        <c:ser>
          <c:idx val="3"/>
          <c:order val="3"/>
          <c:tx>
            <c:strRef>
              <c:f>'Státní rozpočet 2'!$E$21</c:f>
              <c:strCache>
                <c:ptCount val="1"/>
                <c:pt idx="0">
                  <c:v>Státní sociální podpora*</c:v>
                </c:pt>
              </c:strCache>
            </c:strRef>
          </c:tx>
          <c:spPr>
            <a:ln w="19050">
              <a:solidFill>
                <a:srgbClr val="7DBB2D"/>
              </a:solidFill>
            </a:ln>
          </c:spPr>
          <c:marker>
            <c:symbol val="none"/>
          </c:marker>
          <c:cat>
            <c:numRef>
              <c:f>'Státní rozpočet 2'!$A$22:$A$34</c:f>
              <c:numCache>
                <c:formatCode>General</c:formatCode>
                <c:ptCount val="13"/>
                <c:pt idx="0">
                  <c:v>2005</c:v>
                </c:pt>
                <c:pt idx="1">
                  <c:v>2006</c:v>
                </c:pt>
                <c:pt idx="2">
                  <c:v>2007</c:v>
                </c:pt>
                <c:pt idx="3">
                  <c:v>2008</c:v>
                </c:pt>
                <c:pt idx="4">
                  <c:v>2009</c:v>
                </c:pt>
                <c:pt idx="5">
                  <c:v>2010</c:v>
                </c:pt>
                <c:pt idx="6">
                  <c:v>2011</c:v>
                </c:pt>
                <c:pt idx="7">
                  <c:v>2012</c:v>
                </c:pt>
                <c:pt idx="8">
                  <c:v>2013</c:v>
                </c:pt>
                <c:pt idx="9">
                  <c:v>2014</c:v>
                </c:pt>
                <c:pt idx="10">
                  <c:v>2015</c:v>
                </c:pt>
                <c:pt idx="11">
                  <c:v>2016</c:v>
                </c:pt>
                <c:pt idx="12">
                  <c:v>2017</c:v>
                </c:pt>
              </c:numCache>
            </c:numRef>
          </c:cat>
          <c:val>
            <c:numRef>
              <c:f>'Státní rozpočet 2'!$E$22:$E$34</c:f>
              <c:numCache>
                <c:formatCode>General</c:formatCode>
                <c:ptCount val="13"/>
                <c:pt idx="0">
                  <c:v>8.2420000000000009</c:v>
                </c:pt>
                <c:pt idx="1">
                  <c:v>8.39</c:v>
                </c:pt>
                <c:pt idx="2">
                  <c:v>11.18</c:v>
                </c:pt>
                <c:pt idx="3">
                  <c:v>11.07</c:v>
                </c:pt>
                <c:pt idx="4">
                  <c:v>10.200000000000001</c:v>
                </c:pt>
                <c:pt idx="5">
                  <c:v>10.3</c:v>
                </c:pt>
                <c:pt idx="6">
                  <c:v>9.3800000000000008</c:v>
                </c:pt>
                <c:pt idx="7">
                  <c:v>8.89</c:v>
                </c:pt>
                <c:pt idx="8">
                  <c:v>9.2199999999999989</c:v>
                </c:pt>
                <c:pt idx="9">
                  <c:v>9.3700000000000028</c:v>
                </c:pt>
                <c:pt idx="10">
                  <c:v>9.33</c:v>
                </c:pt>
                <c:pt idx="11">
                  <c:v>9.3800000000000008</c:v>
                </c:pt>
                <c:pt idx="12">
                  <c:v>9.32</c:v>
                </c:pt>
              </c:numCache>
            </c:numRef>
          </c:val>
        </c:ser>
        <c:ser>
          <c:idx val="4"/>
          <c:order val="4"/>
          <c:tx>
            <c:strRef>
              <c:f>'Státní rozpočet 2'!$F$21</c:f>
              <c:strCache>
                <c:ptCount val="1"/>
                <c:pt idx="0">
                  <c:v>Dávky nemocens.pojištění</c:v>
                </c:pt>
              </c:strCache>
            </c:strRef>
          </c:tx>
          <c:spPr>
            <a:ln w="19050">
              <a:solidFill>
                <a:srgbClr val="48AEE7"/>
              </a:solidFill>
            </a:ln>
          </c:spPr>
          <c:marker>
            <c:symbol val="none"/>
          </c:marker>
          <c:cat>
            <c:numRef>
              <c:f>'Státní rozpočet 2'!$A$22:$A$34</c:f>
              <c:numCache>
                <c:formatCode>General</c:formatCode>
                <c:ptCount val="13"/>
                <c:pt idx="0">
                  <c:v>2005</c:v>
                </c:pt>
                <c:pt idx="1">
                  <c:v>2006</c:v>
                </c:pt>
                <c:pt idx="2">
                  <c:v>2007</c:v>
                </c:pt>
                <c:pt idx="3">
                  <c:v>2008</c:v>
                </c:pt>
                <c:pt idx="4">
                  <c:v>2009</c:v>
                </c:pt>
                <c:pt idx="5">
                  <c:v>2010</c:v>
                </c:pt>
                <c:pt idx="6">
                  <c:v>2011</c:v>
                </c:pt>
                <c:pt idx="7">
                  <c:v>2012</c:v>
                </c:pt>
                <c:pt idx="8">
                  <c:v>2013</c:v>
                </c:pt>
                <c:pt idx="9">
                  <c:v>2014</c:v>
                </c:pt>
                <c:pt idx="10">
                  <c:v>2015</c:v>
                </c:pt>
                <c:pt idx="11">
                  <c:v>2016</c:v>
                </c:pt>
                <c:pt idx="12">
                  <c:v>2017</c:v>
                </c:pt>
              </c:numCache>
            </c:numRef>
          </c:cat>
          <c:val>
            <c:numRef>
              <c:f>'Státní rozpočet 2'!$F$22:$F$34</c:f>
              <c:numCache>
                <c:formatCode>0.00</c:formatCode>
                <c:ptCount val="13"/>
                <c:pt idx="0">
                  <c:v>8.9</c:v>
                </c:pt>
                <c:pt idx="1">
                  <c:v>9.6</c:v>
                </c:pt>
                <c:pt idx="2">
                  <c:v>9.6079999999999988</c:v>
                </c:pt>
                <c:pt idx="3" formatCode="General">
                  <c:v>9.09</c:v>
                </c:pt>
                <c:pt idx="4">
                  <c:v>7.2700000000000014</c:v>
                </c:pt>
                <c:pt idx="5">
                  <c:v>6.07</c:v>
                </c:pt>
                <c:pt idx="6">
                  <c:v>6.07</c:v>
                </c:pt>
                <c:pt idx="7">
                  <c:v>5.21</c:v>
                </c:pt>
                <c:pt idx="8">
                  <c:v>5.3</c:v>
                </c:pt>
                <c:pt idx="9">
                  <c:v>5.4700000000000024</c:v>
                </c:pt>
                <c:pt idx="10">
                  <c:v>6.21</c:v>
                </c:pt>
                <c:pt idx="11">
                  <c:v>6.67</c:v>
                </c:pt>
                <c:pt idx="12">
                  <c:v>7.4700000000000024</c:v>
                </c:pt>
              </c:numCache>
            </c:numRef>
          </c:val>
        </c:ser>
        <c:ser>
          <c:idx val="5"/>
          <c:order val="5"/>
          <c:tx>
            <c:strRef>
              <c:f>'Státní rozpočet 2'!$G$21</c:f>
              <c:strCache>
                <c:ptCount val="1"/>
                <c:pt idx="0">
                  <c:v>Dávky sociální péče***</c:v>
                </c:pt>
              </c:strCache>
            </c:strRef>
          </c:tx>
          <c:spPr>
            <a:ln w="19050">
              <a:solidFill>
                <a:srgbClr val="F8A124"/>
              </a:solidFill>
            </a:ln>
          </c:spPr>
          <c:marker>
            <c:symbol val="none"/>
          </c:marker>
          <c:cat>
            <c:numRef>
              <c:f>'Státní rozpočet 2'!$A$22:$A$34</c:f>
              <c:numCache>
                <c:formatCode>General</c:formatCode>
                <c:ptCount val="13"/>
                <c:pt idx="0">
                  <c:v>2005</c:v>
                </c:pt>
                <c:pt idx="1">
                  <c:v>2006</c:v>
                </c:pt>
                <c:pt idx="2">
                  <c:v>2007</c:v>
                </c:pt>
                <c:pt idx="3">
                  <c:v>2008</c:v>
                </c:pt>
                <c:pt idx="4">
                  <c:v>2009</c:v>
                </c:pt>
                <c:pt idx="5">
                  <c:v>2010</c:v>
                </c:pt>
                <c:pt idx="6">
                  <c:v>2011</c:v>
                </c:pt>
                <c:pt idx="7">
                  <c:v>2012</c:v>
                </c:pt>
                <c:pt idx="8">
                  <c:v>2013</c:v>
                </c:pt>
                <c:pt idx="9">
                  <c:v>2014</c:v>
                </c:pt>
                <c:pt idx="10">
                  <c:v>2015</c:v>
                </c:pt>
                <c:pt idx="11">
                  <c:v>2016</c:v>
                </c:pt>
                <c:pt idx="12">
                  <c:v>2017</c:v>
                </c:pt>
              </c:numCache>
            </c:numRef>
          </c:cat>
          <c:val>
            <c:numRef>
              <c:f>'Státní rozpočet 2'!$G$22:$G$34</c:f>
              <c:numCache>
                <c:formatCode>General</c:formatCode>
                <c:ptCount val="13"/>
                <c:pt idx="2">
                  <c:v>8.8000000000000007</c:v>
                </c:pt>
                <c:pt idx="3">
                  <c:v>7.8000000000000007</c:v>
                </c:pt>
                <c:pt idx="4">
                  <c:v>7.1</c:v>
                </c:pt>
                <c:pt idx="5">
                  <c:v>7.1999999999999975</c:v>
                </c:pt>
                <c:pt idx="6" formatCode="0.00">
                  <c:v>6.68</c:v>
                </c:pt>
                <c:pt idx="7" formatCode="0.00">
                  <c:v>6.37</c:v>
                </c:pt>
                <c:pt idx="8" formatCode="0.00">
                  <c:v>7.64</c:v>
                </c:pt>
                <c:pt idx="9" formatCode="0.00">
                  <c:v>8.2100000000000009</c:v>
                </c:pt>
                <c:pt idx="10" formatCode="0.00">
                  <c:v>8.44</c:v>
                </c:pt>
                <c:pt idx="11" formatCode="0.00">
                  <c:v>8.34</c:v>
                </c:pt>
                <c:pt idx="12" formatCode="0.00">
                  <c:v>8.8500000000000068</c:v>
                </c:pt>
              </c:numCache>
            </c:numRef>
          </c:val>
        </c:ser>
        <c:ser>
          <c:idx val="6"/>
          <c:order val="6"/>
          <c:tx>
            <c:strRef>
              <c:f>'Státní rozpočet 2'!$H$21</c:f>
              <c:strCache>
                <c:ptCount val="1"/>
                <c:pt idx="0">
                  <c:v>Státní dluh**</c:v>
                </c:pt>
              </c:strCache>
            </c:strRef>
          </c:tx>
          <c:spPr>
            <a:ln w="19050">
              <a:solidFill>
                <a:srgbClr val="7030A0"/>
              </a:solidFill>
            </a:ln>
          </c:spPr>
          <c:marker>
            <c:symbol val="none"/>
          </c:marker>
          <c:cat>
            <c:numRef>
              <c:f>'Státní rozpočet 2'!$A$22:$A$34</c:f>
              <c:numCache>
                <c:formatCode>General</c:formatCode>
                <c:ptCount val="13"/>
                <c:pt idx="0">
                  <c:v>2005</c:v>
                </c:pt>
                <c:pt idx="1">
                  <c:v>2006</c:v>
                </c:pt>
                <c:pt idx="2">
                  <c:v>2007</c:v>
                </c:pt>
                <c:pt idx="3">
                  <c:v>2008</c:v>
                </c:pt>
                <c:pt idx="4">
                  <c:v>2009</c:v>
                </c:pt>
                <c:pt idx="5">
                  <c:v>2010</c:v>
                </c:pt>
                <c:pt idx="6">
                  <c:v>2011</c:v>
                </c:pt>
                <c:pt idx="7">
                  <c:v>2012</c:v>
                </c:pt>
                <c:pt idx="8">
                  <c:v>2013</c:v>
                </c:pt>
                <c:pt idx="9">
                  <c:v>2014</c:v>
                </c:pt>
                <c:pt idx="10">
                  <c:v>2015</c:v>
                </c:pt>
                <c:pt idx="11">
                  <c:v>2016</c:v>
                </c:pt>
                <c:pt idx="12">
                  <c:v>2017</c:v>
                </c:pt>
              </c:numCache>
            </c:numRef>
          </c:cat>
          <c:val>
            <c:numRef>
              <c:f>'Státní rozpočet 2'!$H$22:$H$34</c:f>
              <c:numCache>
                <c:formatCode>0.0</c:formatCode>
                <c:ptCount val="13"/>
                <c:pt idx="0">
                  <c:v>9.4450000000000003</c:v>
                </c:pt>
                <c:pt idx="1">
                  <c:v>9.6399999999999988</c:v>
                </c:pt>
                <c:pt idx="2">
                  <c:v>8.620000000000001</c:v>
                </c:pt>
                <c:pt idx="3">
                  <c:v>6.4700000000000024</c:v>
                </c:pt>
                <c:pt idx="4">
                  <c:v>7.31</c:v>
                </c:pt>
                <c:pt idx="5">
                  <c:v>2.6399999999999997</c:v>
                </c:pt>
                <c:pt idx="6">
                  <c:v>3.4000000000000004</c:v>
                </c:pt>
                <c:pt idx="7">
                  <c:v>1.54</c:v>
                </c:pt>
                <c:pt idx="8">
                  <c:v>2.2599999999999998</c:v>
                </c:pt>
                <c:pt idx="9">
                  <c:v>2.13</c:v>
                </c:pt>
                <c:pt idx="10">
                  <c:v>0.96999999999999975</c:v>
                </c:pt>
                <c:pt idx="11">
                  <c:v>3.13</c:v>
                </c:pt>
                <c:pt idx="12">
                  <c:v>-0.31000000000000105</c:v>
                </c:pt>
              </c:numCache>
            </c:numRef>
          </c:val>
        </c:ser>
        <c:ser>
          <c:idx val="7"/>
          <c:order val="7"/>
          <c:tx>
            <c:strRef>
              <c:f>'Státní rozpočet 2'!$I$21</c:f>
              <c:strCache>
                <c:ptCount val="1"/>
                <c:pt idx="0">
                  <c:v>Kapitálové výdaje</c:v>
                </c:pt>
              </c:strCache>
            </c:strRef>
          </c:tx>
          <c:spPr>
            <a:ln w="19050">
              <a:solidFill>
                <a:srgbClr val="BD1B21"/>
              </a:solidFill>
            </a:ln>
          </c:spPr>
          <c:marker>
            <c:symbol val="none"/>
          </c:marker>
          <c:cat>
            <c:numRef>
              <c:f>'Státní rozpočet 2'!$A$22:$A$34</c:f>
              <c:numCache>
                <c:formatCode>General</c:formatCode>
                <c:ptCount val="13"/>
                <c:pt idx="0">
                  <c:v>2005</c:v>
                </c:pt>
                <c:pt idx="1">
                  <c:v>2006</c:v>
                </c:pt>
                <c:pt idx="2">
                  <c:v>2007</c:v>
                </c:pt>
                <c:pt idx="3">
                  <c:v>2008</c:v>
                </c:pt>
                <c:pt idx="4">
                  <c:v>2009</c:v>
                </c:pt>
                <c:pt idx="5">
                  <c:v>2010</c:v>
                </c:pt>
                <c:pt idx="6">
                  <c:v>2011</c:v>
                </c:pt>
                <c:pt idx="7">
                  <c:v>2012</c:v>
                </c:pt>
                <c:pt idx="8">
                  <c:v>2013</c:v>
                </c:pt>
                <c:pt idx="9">
                  <c:v>2014</c:v>
                </c:pt>
                <c:pt idx="10">
                  <c:v>2015</c:v>
                </c:pt>
                <c:pt idx="11">
                  <c:v>2016</c:v>
                </c:pt>
                <c:pt idx="12">
                  <c:v>2017</c:v>
                </c:pt>
              </c:numCache>
            </c:numRef>
          </c:cat>
          <c:val>
            <c:numRef>
              <c:f>'Státní rozpočet 2'!$I$22:$I$34</c:f>
              <c:numCache>
                <c:formatCode>General</c:formatCode>
                <c:ptCount val="13"/>
                <c:pt idx="0" formatCode="0.00">
                  <c:v>6.1209999999999845</c:v>
                </c:pt>
                <c:pt idx="1">
                  <c:v>9.93</c:v>
                </c:pt>
                <c:pt idx="2">
                  <c:v>10.07</c:v>
                </c:pt>
                <c:pt idx="3">
                  <c:v>31.85</c:v>
                </c:pt>
                <c:pt idx="4">
                  <c:v>31.88</c:v>
                </c:pt>
                <c:pt idx="5">
                  <c:v>33.1</c:v>
                </c:pt>
                <c:pt idx="6">
                  <c:v>26.12</c:v>
                </c:pt>
                <c:pt idx="7">
                  <c:v>22.19</c:v>
                </c:pt>
                <c:pt idx="8">
                  <c:v>17.690000000000001</c:v>
                </c:pt>
                <c:pt idx="9">
                  <c:v>14.93</c:v>
                </c:pt>
                <c:pt idx="10">
                  <c:v>19.779999999999987</c:v>
                </c:pt>
                <c:pt idx="11">
                  <c:v>20.02</c:v>
                </c:pt>
                <c:pt idx="12">
                  <c:v>6.24</c:v>
                </c:pt>
              </c:numCache>
            </c:numRef>
          </c:val>
        </c:ser>
        <c:marker val="1"/>
        <c:axId val="165024896"/>
        <c:axId val="165071872"/>
      </c:lineChart>
      <c:catAx>
        <c:axId val="165024896"/>
        <c:scaling>
          <c:orientation val="minMax"/>
        </c:scaling>
        <c:axPos val="b"/>
        <c:numFmt formatCode="General" sourceLinked="1"/>
        <c:tickLblPos val="nextTo"/>
        <c:spPr>
          <a:ln>
            <a:solidFill>
              <a:schemeClr val="bg1">
                <a:lumMod val="50000"/>
              </a:schemeClr>
            </a:solidFill>
          </a:ln>
        </c:spPr>
        <c:crossAx val="165071872"/>
        <c:crosses val="autoZero"/>
        <c:auto val="1"/>
        <c:lblAlgn val="ctr"/>
        <c:lblOffset val="100"/>
      </c:catAx>
      <c:valAx>
        <c:axId val="165071872"/>
        <c:scaling>
          <c:orientation val="minMax"/>
          <c:max val="35"/>
          <c:min val="0"/>
        </c:scaling>
        <c:axPos val="l"/>
        <c:majorGridlines>
          <c:spPr>
            <a:ln w="6350">
              <a:solidFill>
                <a:schemeClr val="bg1">
                  <a:lumMod val="75000"/>
                </a:schemeClr>
              </a:solidFill>
            </a:ln>
          </c:spPr>
        </c:majorGridlines>
        <c:numFmt formatCode="0" sourceLinked="0"/>
        <c:tickLblPos val="nextTo"/>
        <c:spPr>
          <a:ln>
            <a:solidFill>
              <a:schemeClr val="tx1"/>
            </a:solidFill>
          </a:ln>
        </c:spPr>
        <c:crossAx val="165024896"/>
        <c:crosses val="autoZero"/>
        <c:crossBetween val="between"/>
        <c:majorUnit val="5"/>
      </c:valAx>
      <c:valAx>
        <c:axId val="167618048"/>
        <c:scaling>
          <c:orientation val="minMax"/>
          <c:max val="300"/>
          <c:min val="0"/>
        </c:scaling>
        <c:axPos val="r"/>
        <c:numFmt formatCode="General" sourceLinked="1"/>
        <c:tickLblPos val="nextTo"/>
        <c:spPr>
          <a:ln>
            <a:solidFill>
              <a:schemeClr val="tx1"/>
            </a:solidFill>
          </a:ln>
        </c:spPr>
        <c:crossAx val="167619584"/>
        <c:crosses val="max"/>
        <c:crossBetween val="between"/>
        <c:majorUnit val="30"/>
      </c:valAx>
      <c:catAx>
        <c:axId val="167619584"/>
        <c:scaling>
          <c:orientation val="minMax"/>
        </c:scaling>
        <c:delete val="1"/>
        <c:axPos val="b"/>
        <c:numFmt formatCode="General" sourceLinked="1"/>
        <c:tickLblPos val="none"/>
        <c:crossAx val="167618048"/>
        <c:crosses val="autoZero"/>
        <c:auto val="1"/>
        <c:lblAlgn val="ctr"/>
        <c:lblOffset val="100"/>
      </c:catAx>
      <c:spPr>
        <a:ln>
          <a:solidFill>
            <a:schemeClr val="tx1"/>
          </a:solidFill>
        </a:ln>
      </c:spPr>
    </c:plotArea>
    <c:legend>
      <c:legendPos val="b"/>
      <c:layout>
        <c:manualLayout>
          <c:xMode val="edge"/>
          <c:yMode val="edge"/>
          <c:x val="5.3073638025823308E-2"/>
          <c:y val="0.81289114673821405"/>
          <c:w val="0.88356227363294515"/>
          <c:h val="0.17817011575143141"/>
        </c:manualLayout>
      </c:layout>
      <c:spPr>
        <a:ln w="6350">
          <a:solidFill>
            <a:schemeClr val="tx1"/>
          </a:solidFill>
        </a:ln>
      </c:spPr>
    </c:legend>
    <c:plotVisOnly val="1"/>
    <c:dispBlanksAs val="gap"/>
  </c:chart>
  <c:spPr>
    <a:ln>
      <a:noFill/>
    </a:ln>
  </c:spPr>
  <c:txPr>
    <a:bodyPr/>
    <a:lstStyle/>
    <a:p>
      <a:pPr>
        <a:defRPr sz="800">
          <a:latin typeface="Arial" panose="020B0604020202020204" pitchFamily="34" charset="0"/>
          <a:cs typeface="Arial" panose="020B0604020202020204" pitchFamily="34" charset="0"/>
        </a:defRPr>
      </a:pPr>
      <a:endParaRPr lang="cs-CZ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chart>
    <c:plotArea>
      <c:layout>
        <c:manualLayout>
          <c:layoutTarget val="inner"/>
          <c:xMode val="edge"/>
          <c:yMode val="edge"/>
          <c:x val="6.1857900718404552E-2"/>
          <c:y val="2.8528331508315932E-2"/>
          <c:w val="0.86855180193698733"/>
          <c:h val="0.76828858493752106"/>
        </c:manualLayout>
      </c:layout>
      <c:barChart>
        <c:barDir val="col"/>
        <c:grouping val="clustered"/>
        <c:ser>
          <c:idx val="4"/>
          <c:order val="4"/>
          <c:tx>
            <c:strRef>
              <c:f>'Státní rozpočet 4'!$F$22</c:f>
              <c:strCache>
                <c:ptCount val="1"/>
                <c:pt idx="0">
                  <c:v>Saldo příjmů a výdajů (pravá osa)</c:v>
                </c:pt>
              </c:strCache>
            </c:strRef>
          </c:tx>
          <c:spPr>
            <a:solidFill>
              <a:schemeClr val="bg1">
                <a:lumMod val="65000"/>
              </a:schemeClr>
            </a:solidFill>
            <a:ln>
              <a:noFill/>
            </a:ln>
          </c:spPr>
          <c:cat>
            <c:numRef>
              <c:f>'Státní rozpočet 4'!$A$23:$A$35</c:f>
              <c:numCache>
                <c:formatCode>General</c:formatCode>
                <c:ptCount val="13"/>
                <c:pt idx="0">
                  <c:v>2005</c:v>
                </c:pt>
                <c:pt idx="1">
                  <c:v>2006</c:v>
                </c:pt>
                <c:pt idx="2">
                  <c:v>2007</c:v>
                </c:pt>
                <c:pt idx="3">
                  <c:v>2008</c:v>
                </c:pt>
                <c:pt idx="4">
                  <c:v>2009</c:v>
                </c:pt>
                <c:pt idx="5">
                  <c:v>2010</c:v>
                </c:pt>
                <c:pt idx="6">
                  <c:v>2011</c:v>
                </c:pt>
                <c:pt idx="7">
                  <c:v>2012</c:v>
                </c:pt>
                <c:pt idx="8">
                  <c:v>2013</c:v>
                </c:pt>
                <c:pt idx="9">
                  <c:v>2014</c:v>
                </c:pt>
                <c:pt idx="10">
                  <c:v>2015</c:v>
                </c:pt>
                <c:pt idx="11">
                  <c:v>2016</c:v>
                </c:pt>
                <c:pt idx="12">
                  <c:v>2017</c:v>
                </c:pt>
              </c:numCache>
            </c:numRef>
          </c:cat>
          <c:val>
            <c:numRef>
              <c:f>'Státní rozpočet 4'!$F$23:$F$35</c:f>
              <c:numCache>
                <c:formatCode>0.0</c:formatCode>
                <c:ptCount val="13"/>
                <c:pt idx="0">
                  <c:v>-2.9710000000000027</c:v>
                </c:pt>
                <c:pt idx="1">
                  <c:v>-6.6470000000000056</c:v>
                </c:pt>
                <c:pt idx="2">
                  <c:v>-0.47000000000000008</c:v>
                </c:pt>
                <c:pt idx="3">
                  <c:v>3.039999999999992</c:v>
                </c:pt>
                <c:pt idx="4">
                  <c:v>-1.9699999999999978</c:v>
                </c:pt>
                <c:pt idx="5">
                  <c:v>-10.360000000000024</c:v>
                </c:pt>
                <c:pt idx="6">
                  <c:v>-13.05</c:v>
                </c:pt>
                <c:pt idx="7">
                  <c:v>-13.510000000000005</c:v>
                </c:pt>
                <c:pt idx="8">
                  <c:v>-7.9300000000000104</c:v>
                </c:pt>
                <c:pt idx="9">
                  <c:v>-5.0800000000000125</c:v>
                </c:pt>
                <c:pt idx="10">
                  <c:v>-3.6500000000000057</c:v>
                </c:pt>
                <c:pt idx="11">
                  <c:v>-5.3399999999999892</c:v>
                </c:pt>
                <c:pt idx="12">
                  <c:v>-4.6099999999999985</c:v>
                </c:pt>
              </c:numCache>
            </c:numRef>
          </c:val>
        </c:ser>
        <c:gapWidth val="43"/>
        <c:axId val="176907008"/>
        <c:axId val="168348672"/>
      </c:barChart>
      <c:lineChart>
        <c:grouping val="standard"/>
        <c:ser>
          <c:idx val="0"/>
          <c:order val="0"/>
          <c:tx>
            <c:strRef>
              <c:f>'Státní rozpočet 4'!$B$22</c:f>
              <c:strCache>
                <c:ptCount val="1"/>
                <c:pt idx="0">
                  <c:v>Příjemci důchodů celkem</c:v>
                </c:pt>
              </c:strCache>
            </c:strRef>
          </c:tx>
          <c:spPr>
            <a:ln w="19050">
              <a:solidFill>
                <a:srgbClr val="F8A124"/>
              </a:solidFill>
              <a:prstDash val="solid"/>
            </a:ln>
          </c:spPr>
          <c:marker>
            <c:symbol val="none"/>
          </c:marker>
          <c:cat>
            <c:numRef>
              <c:f>'Státní rozpočet 4'!$A$23:$A$35</c:f>
              <c:numCache>
                <c:formatCode>General</c:formatCode>
                <c:ptCount val="13"/>
                <c:pt idx="0">
                  <c:v>2005</c:v>
                </c:pt>
                <c:pt idx="1">
                  <c:v>2006</c:v>
                </c:pt>
                <c:pt idx="2">
                  <c:v>2007</c:v>
                </c:pt>
                <c:pt idx="3">
                  <c:v>2008</c:v>
                </c:pt>
                <c:pt idx="4">
                  <c:v>2009</c:v>
                </c:pt>
                <c:pt idx="5">
                  <c:v>2010</c:v>
                </c:pt>
                <c:pt idx="6">
                  <c:v>2011</c:v>
                </c:pt>
                <c:pt idx="7">
                  <c:v>2012</c:v>
                </c:pt>
                <c:pt idx="8">
                  <c:v>2013</c:v>
                </c:pt>
                <c:pt idx="9">
                  <c:v>2014</c:v>
                </c:pt>
                <c:pt idx="10">
                  <c:v>2015</c:v>
                </c:pt>
                <c:pt idx="11">
                  <c:v>2016</c:v>
                </c:pt>
                <c:pt idx="12">
                  <c:v>2017</c:v>
                </c:pt>
              </c:numCache>
            </c:numRef>
          </c:cat>
          <c:val>
            <c:numRef>
              <c:f>'Státní rozpočet 4'!$B$23:$B$35</c:f>
              <c:numCache>
                <c:formatCode>0.0</c:formatCode>
                <c:ptCount val="13"/>
                <c:pt idx="0">
                  <c:v>1.361891009431716</c:v>
                </c:pt>
                <c:pt idx="1">
                  <c:v>0.83226902558557725</c:v>
                </c:pt>
                <c:pt idx="2">
                  <c:v>1.3029945698195888</c:v>
                </c:pt>
                <c:pt idx="3">
                  <c:v>1.4568773673978086</c:v>
                </c:pt>
                <c:pt idx="4">
                  <c:v>1.193990994558618</c:v>
                </c:pt>
                <c:pt idx="5">
                  <c:v>1.3818377616083424</c:v>
                </c:pt>
                <c:pt idx="6">
                  <c:v>0.91653177571062061</c:v>
                </c:pt>
                <c:pt idx="7">
                  <c:v>1.6953636567439219</c:v>
                </c:pt>
                <c:pt idx="8">
                  <c:v>-0.29319651061673824</c:v>
                </c:pt>
                <c:pt idx="9">
                  <c:v>-0.14718651612241729</c:v>
                </c:pt>
                <c:pt idx="10">
                  <c:v>9.7627692544464323E-2</c:v>
                </c:pt>
                <c:pt idx="11">
                  <c:v>0.71823179321019648</c:v>
                </c:pt>
                <c:pt idx="12">
                  <c:v>0.19207789702457487</c:v>
                </c:pt>
              </c:numCache>
            </c:numRef>
          </c:val>
        </c:ser>
        <c:ser>
          <c:idx val="1"/>
          <c:order val="1"/>
          <c:tx>
            <c:strRef>
              <c:f>'Státní rozpočet 4'!$C$22</c:f>
              <c:strCache>
                <c:ptCount val="1"/>
                <c:pt idx="0">
                  <c:v>  z toho starob. trvale krácených</c:v>
                </c:pt>
              </c:strCache>
            </c:strRef>
          </c:tx>
          <c:spPr>
            <a:ln w="19050">
              <a:noFill/>
            </a:ln>
          </c:spPr>
          <c:marker>
            <c:symbol val="diamond"/>
            <c:size val="5"/>
            <c:spPr>
              <a:solidFill>
                <a:srgbClr val="F8A124"/>
              </a:solidFill>
              <a:ln>
                <a:noFill/>
              </a:ln>
            </c:spPr>
          </c:marker>
          <c:cat>
            <c:numRef>
              <c:f>'Státní rozpočet 4'!$A$23:$A$35</c:f>
              <c:numCache>
                <c:formatCode>General</c:formatCode>
                <c:ptCount val="13"/>
                <c:pt idx="0">
                  <c:v>2005</c:v>
                </c:pt>
                <c:pt idx="1">
                  <c:v>2006</c:v>
                </c:pt>
                <c:pt idx="2">
                  <c:v>2007</c:v>
                </c:pt>
                <c:pt idx="3">
                  <c:v>2008</c:v>
                </c:pt>
                <c:pt idx="4">
                  <c:v>2009</c:v>
                </c:pt>
                <c:pt idx="5">
                  <c:v>2010</c:v>
                </c:pt>
                <c:pt idx="6">
                  <c:v>2011</c:v>
                </c:pt>
                <c:pt idx="7">
                  <c:v>2012</c:v>
                </c:pt>
                <c:pt idx="8">
                  <c:v>2013</c:v>
                </c:pt>
                <c:pt idx="9">
                  <c:v>2014</c:v>
                </c:pt>
                <c:pt idx="10">
                  <c:v>2015</c:v>
                </c:pt>
                <c:pt idx="11">
                  <c:v>2016</c:v>
                </c:pt>
                <c:pt idx="12">
                  <c:v>2017</c:v>
                </c:pt>
              </c:numCache>
            </c:numRef>
          </c:cat>
          <c:val>
            <c:numRef>
              <c:f>'Státní rozpočet 4'!$C$23:$C$35</c:f>
              <c:numCache>
                <c:formatCode>0.0</c:formatCode>
                <c:ptCount val="13"/>
                <c:pt idx="0">
                  <c:v>4.9826926232793278</c:v>
                </c:pt>
                <c:pt idx="1">
                  <c:v>5.4332692314683477</c:v>
                </c:pt>
                <c:pt idx="2">
                  <c:v>9.2825200238597034</c:v>
                </c:pt>
                <c:pt idx="3">
                  <c:v>7.5172503005196214</c:v>
                </c:pt>
                <c:pt idx="4">
                  <c:v>7.4811386918718448</c:v>
                </c:pt>
                <c:pt idx="5">
                  <c:v>11.54800680370545</c:v>
                </c:pt>
                <c:pt idx="6">
                  <c:v>7.1493606939359093</c:v>
                </c:pt>
                <c:pt idx="7">
                  <c:v>16.525499225634849</c:v>
                </c:pt>
                <c:pt idx="8">
                  <c:v>3.5838415440981919</c:v>
                </c:pt>
                <c:pt idx="9">
                  <c:v>3.8474276359988977</c:v>
                </c:pt>
                <c:pt idx="10">
                  <c:v>4.1152833334851806</c:v>
                </c:pt>
                <c:pt idx="11">
                  <c:v>3.5115356273312397</c:v>
                </c:pt>
                <c:pt idx="12">
                  <c:v>2.7339489565912913</c:v>
                </c:pt>
              </c:numCache>
            </c:numRef>
          </c:val>
        </c:ser>
        <c:ser>
          <c:idx val="2"/>
          <c:order val="2"/>
          <c:tx>
            <c:strRef>
              <c:f>'Státní rozpočet 4'!$D$22</c:f>
              <c:strCache>
                <c:ptCount val="1"/>
                <c:pt idx="0">
                  <c:v>Příjmy na důchody</c:v>
                </c:pt>
              </c:strCache>
            </c:strRef>
          </c:tx>
          <c:spPr>
            <a:ln w="22225">
              <a:solidFill>
                <a:srgbClr val="BD1B21"/>
              </a:solidFill>
            </a:ln>
          </c:spPr>
          <c:marker>
            <c:symbol val="none"/>
          </c:marker>
          <c:cat>
            <c:numRef>
              <c:f>'Státní rozpočet 4'!$A$23:$A$35</c:f>
              <c:numCache>
                <c:formatCode>General</c:formatCode>
                <c:ptCount val="13"/>
                <c:pt idx="0">
                  <c:v>2005</c:v>
                </c:pt>
                <c:pt idx="1">
                  <c:v>2006</c:v>
                </c:pt>
                <c:pt idx="2">
                  <c:v>2007</c:v>
                </c:pt>
                <c:pt idx="3">
                  <c:v>2008</c:v>
                </c:pt>
                <c:pt idx="4">
                  <c:v>2009</c:v>
                </c:pt>
                <c:pt idx="5">
                  <c:v>2010</c:v>
                </c:pt>
                <c:pt idx="6">
                  <c:v>2011</c:v>
                </c:pt>
                <c:pt idx="7">
                  <c:v>2012</c:v>
                </c:pt>
                <c:pt idx="8">
                  <c:v>2013</c:v>
                </c:pt>
                <c:pt idx="9">
                  <c:v>2014</c:v>
                </c:pt>
                <c:pt idx="10">
                  <c:v>2015</c:v>
                </c:pt>
                <c:pt idx="11">
                  <c:v>2016</c:v>
                </c:pt>
                <c:pt idx="12">
                  <c:v>2017</c:v>
                </c:pt>
              </c:numCache>
            </c:numRef>
          </c:cat>
          <c:val>
            <c:numRef>
              <c:f>'Státní rozpočet 4'!$D$23:$D$35</c:f>
              <c:numCache>
                <c:formatCode>0.0</c:formatCode>
                <c:ptCount val="13"/>
                <c:pt idx="0">
                  <c:v>13.205080313784126</c:v>
                </c:pt>
                <c:pt idx="1">
                  <c:v>7.3750206236594664</c:v>
                </c:pt>
                <c:pt idx="2">
                  <c:v>9.7111247695143987</c:v>
                </c:pt>
                <c:pt idx="3">
                  <c:v>9.4677871148459847</c:v>
                </c:pt>
                <c:pt idx="4">
                  <c:v>3.1090071647901847</c:v>
                </c:pt>
                <c:pt idx="5">
                  <c:v>-5.8443975679364533</c:v>
                </c:pt>
                <c:pt idx="6">
                  <c:v>3.8218239325250347</c:v>
                </c:pt>
                <c:pt idx="7">
                  <c:v>3.6938309215536833</c:v>
                </c:pt>
                <c:pt idx="8">
                  <c:v>-0.55086301872934451</c:v>
                </c:pt>
                <c:pt idx="9">
                  <c:v>1.1939931068439193</c:v>
                </c:pt>
                <c:pt idx="10">
                  <c:v>5.7535579613185766</c:v>
                </c:pt>
                <c:pt idx="11">
                  <c:v>5.5440533701403467</c:v>
                </c:pt>
                <c:pt idx="12">
                  <c:v>6.5714908456844094</c:v>
                </c:pt>
              </c:numCache>
            </c:numRef>
          </c:val>
        </c:ser>
        <c:ser>
          <c:idx val="3"/>
          <c:order val="3"/>
          <c:tx>
            <c:strRef>
              <c:f>'Státní rozpočet 4'!$E$22</c:f>
              <c:strCache>
                <c:ptCount val="1"/>
                <c:pt idx="0">
                  <c:v>Výdaje na důchody</c:v>
                </c:pt>
              </c:strCache>
            </c:strRef>
          </c:tx>
          <c:spPr>
            <a:ln w="22225">
              <a:solidFill>
                <a:srgbClr val="0071BC"/>
              </a:solidFill>
            </a:ln>
          </c:spPr>
          <c:marker>
            <c:symbol val="none"/>
          </c:marker>
          <c:cat>
            <c:numRef>
              <c:f>'Státní rozpočet 4'!$A$23:$A$35</c:f>
              <c:numCache>
                <c:formatCode>General</c:formatCode>
                <c:ptCount val="13"/>
                <c:pt idx="0">
                  <c:v>2005</c:v>
                </c:pt>
                <c:pt idx="1">
                  <c:v>2006</c:v>
                </c:pt>
                <c:pt idx="2">
                  <c:v>2007</c:v>
                </c:pt>
                <c:pt idx="3">
                  <c:v>2008</c:v>
                </c:pt>
                <c:pt idx="4">
                  <c:v>2009</c:v>
                </c:pt>
                <c:pt idx="5">
                  <c:v>2010</c:v>
                </c:pt>
                <c:pt idx="6">
                  <c:v>2011</c:v>
                </c:pt>
                <c:pt idx="7">
                  <c:v>2012</c:v>
                </c:pt>
                <c:pt idx="8">
                  <c:v>2013</c:v>
                </c:pt>
                <c:pt idx="9">
                  <c:v>2014</c:v>
                </c:pt>
                <c:pt idx="10">
                  <c:v>2015</c:v>
                </c:pt>
                <c:pt idx="11">
                  <c:v>2016</c:v>
                </c:pt>
                <c:pt idx="12">
                  <c:v>2017</c:v>
                </c:pt>
              </c:numCache>
            </c:numRef>
          </c:cat>
          <c:val>
            <c:numRef>
              <c:f>'Státní rozpočet 4'!$E$23:$E$35</c:f>
              <c:numCache>
                <c:formatCode>0.0</c:formatCode>
                <c:ptCount val="13"/>
                <c:pt idx="0">
                  <c:v>11.655310480472018</c:v>
                </c:pt>
                <c:pt idx="1">
                  <c:v>12.812003585976974</c:v>
                </c:pt>
                <c:pt idx="2">
                  <c:v>0.19936704448812803</c:v>
                </c:pt>
                <c:pt idx="3">
                  <c:v>4.5220537080840444</c:v>
                </c:pt>
                <c:pt idx="4">
                  <c:v>9.9041533546325979</c:v>
                </c:pt>
                <c:pt idx="5">
                  <c:v>4.4573643410852455</c:v>
                </c:pt>
                <c:pt idx="6">
                  <c:v>6.4819109461966455</c:v>
                </c:pt>
                <c:pt idx="7">
                  <c:v>3.6698246760318085</c:v>
                </c:pt>
                <c:pt idx="8">
                  <c:v>-6.3340336134453707</c:v>
                </c:pt>
                <c:pt idx="9">
                  <c:v>-2.1083323987888352</c:v>
                </c:pt>
                <c:pt idx="10">
                  <c:v>3.7805017756902402</c:v>
                </c:pt>
                <c:pt idx="11">
                  <c:v>7.1862236449939498</c:v>
                </c:pt>
                <c:pt idx="12">
                  <c:v>5.458290422245148</c:v>
                </c:pt>
              </c:numCache>
            </c:numRef>
          </c:val>
        </c:ser>
        <c:marker val="1"/>
        <c:axId val="168286464"/>
        <c:axId val="168323328"/>
      </c:lineChart>
      <c:catAx>
        <c:axId val="168286464"/>
        <c:scaling>
          <c:orientation val="minMax"/>
        </c:scaling>
        <c:axPos val="b"/>
        <c:numFmt formatCode="General" sourceLinked="1"/>
        <c:tickLblPos val="low"/>
        <c:spPr>
          <a:ln>
            <a:solidFill>
              <a:schemeClr val="bg1">
                <a:lumMod val="50000"/>
              </a:schemeClr>
            </a:solidFill>
          </a:ln>
        </c:spPr>
        <c:crossAx val="168323328"/>
        <c:crossesAt val="0"/>
        <c:auto val="1"/>
        <c:lblAlgn val="ctr"/>
        <c:lblOffset val="0"/>
      </c:catAx>
      <c:valAx>
        <c:axId val="168323328"/>
        <c:scaling>
          <c:orientation val="minMax"/>
          <c:max val="18"/>
          <c:min val="-9"/>
        </c:scaling>
        <c:axPos val="l"/>
        <c:majorGridlines>
          <c:spPr>
            <a:ln w="6350">
              <a:solidFill>
                <a:schemeClr val="bg1">
                  <a:lumMod val="75000"/>
                </a:schemeClr>
              </a:solidFill>
            </a:ln>
          </c:spPr>
        </c:majorGridlines>
        <c:numFmt formatCode="0" sourceLinked="0"/>
        <c:tickLblPos val="nextTo"/>
        <c:spPr>
          <a:ln>
            <a:solidFill>
              <a:schemeClr val="tx1"/>
            </a:solidFill>
          </a:ln>
        </c:spPr>
        <c:crossAx val="168286464"/>
        <c:crosses val="autoZero"/>
        <c:crossBetween val="between"/>
        <c:majorUnit val="3"/>
      </c:valAx>
      <c:valAx>
        <c:axId val="168348672"/>
        <c:scaling>
          <c:orientation val="minMax"/>
          <c:max val="30"/>
          <c:min val="-15"/>
        </c:scaling>
        <c:axPos val="r"/>
        <c:numFmt formatCode="0" sourceLinked="0"/>
        <c:tickLblPos val="nextTo"/>
        <c:spPr>
          <a:ln>
            <a:solidFill>
              <a:schemeClr val="tx1"/>
            </a:solidFill>
          </a:ln>
        </c:spPr>
        <c:crossAx val="176907008"/>
        <c:crosses val="max"/>
        <c:crossBetween val="between"/>
        <c:majorUnit val="5"/>
      </c:valAx>
      <c:catAx>
        <c:axId val="176907008"/>
        <c:scaling>
          <c:orientation val="minMax"/>
        </c:scaling>
        <c:delete val="1"/>
        <c:axPos val="b"/>
        <c:numFmt formatCode="General" sourceLinked="1"/>
        <c:tickLblPos val="none"/>
        <c:crossAx val="168348672"/>
        <c:crosses val="autoZero"/>
        <c:auto val="1"/>
        <c:lblAlgn val="ctr"/>
        <c:lblOffset val="100"/>
      </c:catAx>
      <c:spPr>
        <a:ln>
          <a:solidFill>
            <a:schemeClr val="tx1"/>
          </a:solidFill>
        </a:ln>
      </c:spPr>
    </c:plotArea>
    <c:legend>
      <c:legendPos val="b"/>
      <c:layout>
        <c:manualLayout>
          <c:xMode val="edge"/>
          <c:yMode val="edge"/>
          <c:x val="6.0289876774241975E-2"/>
          <c:y val="0.84849656647528993"/>
          <c:w val="0.86388685022497624"/>
          <c:h val="0.13952690532477766"/>
        </c:manualLayout>
      </c:layout>
      <c:spPr>
        <a:ln w="6350">
          <a:solidFill>
            <a:schemeClr val="tx1"/>
          </a:solidFill>
        </a:ln>
      </c:spPr>
    </c:legend>
    <c:plotVisOnly val="1"/>
    <c:dispBlanksAs val="gap"/>
  </c:chart>
  <c:spPr>
    <a:ln>
      <a:noFill/>
    </a:ln>
  </c:spPr>
  <c:txPr>
    <a:bodyPr/>
    <a:lstStyle/>
    <a:p>
      <a:pPr>
        <a:defRPr sz="800">
          <a:latin typeface="Arial" panose="020B0604020202020204" pitchFamily="34" charset="0"/>
          <a:cs typeface="Arial" panose="020B0604020202020204" pitchFamily="34" charset="0"/>
        </a:defRPr>
      </a:pPr>
      <a:endParaRPr lang="cs-CZ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chart>
    <c:plotArea>
      <c:layout>
        <c:manualLayout>
          <c:layoutTarget val="inner"/>
          <c:xMode val="edge"/>
          <c:yMode val="edge"/>
          <c:x val="7.1717285298701194E-2"/>
          <c:y val="2.6167115147669277E-2"/>
          <c:w val="0.87842537233566564"/>
          <c:h val="0.69593999774851134"/>
        </c:manualLayout>
      </c:layout>
      <c:barChart>
        <c:barDir val="col"/>
        <c:grouping val="stacked"/>
        <c:ser>
          <c:idx val="0"/>
          <c:order val="0"/>
          <c:tx>
            <c:strRef>
              <c:f>'Státní rozpočet 3'!$B$28</c:f>
              <c:strCache>
                <c:ptCount val="1"/>
                <c:pt idx="0">
                  <c:v>Státní pokladniční poukázky</c:v>
                </c:pt>
              </c:strCache>
            </c:strRef>
          </c:tx>
          <c:spPr>
            <a:solidFill>
              <a:srgbClr val="BD1B21"/>
            </a:solidFill>
          </c:spPr>
          <c:cat>
            <c:multiLvlStrRef>
              <c:f>'Státní rozpočet 3'!$C$26:$AY$27</c:f>
              <c:multiLvlStrCache>
                <c:ptCount val="49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  <c:pt idx="22">
                    <c:v>3</c:v>
                  </c:pt>
                  <c:pt idx="23">
                    <c:v>4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  <c:pt idx="28">
                    <c:v>1</c:v>
                  </c:pt>
                  <c:pt idx="29">
                    <c:v>2</c:v>
                  </c:pt>
                  <c:pt idx="30">
                    <c:v>3</c:v>
                  </c:pt>
                  <c:pt idx="31">
                    <c:v>4</c:v>
                  </c:pt>
                  <c:pt idx="32">
                    <c:v>1</c:v>
                  </c:pt>
                  <c:pt idx="33">
                    <c:v>2</c:v>
                  </c:pt>
                  <c:pt idx="34">
                    <c:v>3</c:v>
                  </c:pt>
                  <c:pt idx="35">
                    <c:v>4</c:v>
                  </c:pt>
                  <c:pt idx="36">
                    <c:v>1</c:v>
                  </c:pt>
                  <c:pt idx="37">
                    <c:v>2</c:v>
                  </c:pt>
                  <c:pt idx="38">
                    <c:v>3</c:v>
                  </c:pt>
                  <c:pt idx="39">
                    <c:v>4</c:v>
                  </c:pt>
                  <c:pt idx="40">
                    <c:v>1</c:v>
                  </c:pt>
                  <c:pt idx="41">
                    <c:v>2</c:v>
                  </c:pt>
                  <c:pt idx="42">
                    <c:v>3</c:v>
                  </c:pt>
                  <c:pt idx="43">
                    <c:v>4</c:v>
                  </c:pt>
                  <c:pt idx="44">
                    <c:v>1</c:v>
                  </c:pt>
                  <c:pt idx="45">
                    <c:v>2</c:v>
                  </c:pt>
                  <c:pt idx="46">
                    <c:v>3</c:v>
                  </c:pt>
                  <c:pt idx="47">
                    <c:v>4</c:v>
                  </c:pt>
                  <c:pt idx="48">
                    <c:v>1</c:v>
                  </c:pt>
                </c:lvl>
                <c:lvl>
                  <c:pt idx="0">
                    <c:v>2005</c:v>
                  </c:pt>
                  <c:pt idx="4">
                    <c:v>2006</c:v>
                  </c:pt>
                  <c:pt idx="8">
                    <c:v>2007</c:v>
                  </c:pt>
                  <c:pt idx="12">
                    <c:v>2008</c:v>
                  </c:pt>
                  <c:pt idx="16">
                    <c:v>2009</c:v>
                  </c:pt>
                  <c:pt idx="20">
                    <c:v>2010</c:v>
                  </c:pt>
                  <c:pt idx="24">
                    <c:v>2011</c:v>
                  </c:pt>
                  <c:pt idx="28">
                    <c:v>2012</c:v>
                  </c:pt>
                  <c:pt idx="32">
                    <c:v>2013</c:v>
                  </c:pt>
                  <c:pt idx="36">
                    <c:v>2014</c:v>
                  </c:pt>
                  <c:pt idx="40">
                    <c:v>2015</c:v>
                  </c:pt>
                  <c:pt idx="44">
                    <c:v>2016</c:v>
                  </c:pt>
                  <c:pt idx="48">
                    <c:v>.</c:v>
                  </c:pt>
                </c:lvl>
              </c:multiLvlStrCache>
            </c:multiLvlStrRef>
          </c:cat>
          <c:val>
            <c:numRef>
              <c:f>'Státní rozpočet 3'!$C$28:$AY$28</c:f>
              <c:numCache>
                <c:formatCode>#,##0</c:formatCode>
                <c:ptCount val="49"/>
                <c:pt idx="0">
                  <c:v>126.545</c:v>
                </c:pt>
                <c:pt idx="1">
                  <c:v>109</c:v>
                </c:pt>
                <c:pt idx="2">
                  <c:v>98.034000000000006</c:v>
                </c:pt>
                <c:pt idx="3">
                  <c:v>94.248999999999995</c:v>
                </c:pt>
                <c:pt idx="4">
                  <c:v>86.825999999999979</c:v>
                </c:pt>
                <c:pt idx="5">
                  <c:v>79.324999999999989</c:v>
                </c:pt>
                <c:pt idx="6">
                  <c:v>71.884</c:v>
                </c:pt>
                <c:pt idx="7">
                  <c:v>89.568000000000012</c:v>
                </c:pt>
                <c:pt idx="8">
                  <c:v>78.144000000000005</c:v>
                </c:pt>
                <c:pt idx="9">
                  <c:v>66.144999999999996</c:v>
                </c:pt>
                <c:pt idx="10">
                  <c:v>54.649000000000001</c:v>
                </c:pt>
                <c:pt idx="11">
                  <c:v>82.167999999999992</c:v>
                </c:pt>
                <c:pt idx="12">
                  <c:v>46.833999999999996</c:v>
                </c:pt>
                <c:pt idx="13">
                  <c:v>32.875</c:v>
                </c:pt>
                <c:pt idx="14">
                  <c:v>45.340999999999994</c:v>
                </c:pt>
                <c:pt idx="15">
                  <c:v>78.748999999999995</c:v>
                </c:pt>
                <c:pt idx="16">
                  <c:v>60.950999999999993</c:v>
                </c:pt>
                <c:pt idx="17">
                  <c:v>79.837000000000003</c:v>
                </c:pt>
                <c:pt idx="18">
                  <c:v>79.491000000000227</c:v>
                </c:pt>
                <c:pt idx="19">
                  <c:v>88.183999999999983</c:v>
                </c:pt>
                <c:pt idx="20">
                  <c:v>87.545000000000002</c:v>
                </c:pt>
                <c:pt idx="21">
                  <c:v>89.194999999999993</c:v>
                </c:pt>
                <c:pt idx="22">
                  <c:v>128.47800000000001</c:v>
                </c:pt>
                <c:pt idx="23">
                  <c:v>113.331</c:v>
                </c:pt>
                <c:pt idx="24">
                  <c:v>137.54399999999998</c:v>
                </c:pt>
                <c:pt idx="25">
                  <c:v>141.077</c:v>
                </c:pt>
                <c:pt idx="26">
                  <c:v>143.268</c:v>
                </c:pt>
                <c:pt idx="27">
                  <c:v>162.60899999999998</c:v>
                </c:pt>
                <c:pt idx="28">
                  <c:v>177.10899999999998</c:v>
                </c:pt>
                <c:pt idx="29">
                  <c:v>163.38200000000066</c:v>
                </c:pt>
                <c:pt idx="30">
                  <c:v>172.06700000000001</c:v>
                </c:pt>
                <c:pt idx="31">
                  <c:v>189.13499999999999</c:v>
                </c:pt>
                <c:pt idx="32">
                  <c:v>185.86600000000001</c:v>
                </c:pt>
                <c:pt idx="33">
                  <c:v>161.66499999999999</c:v>
                </c:pt>
                <c:pt idx="34">
                  <c:v>137.51599999999999</c:v>
                </c:pt>
                <c:pt idx="35">
                  <c:v>120.89100000000002</c:v>
                </c:pt>
                <c:pt idx="36">
                  <c:v>97.57</c:v>
                </c:pt>
                <c:pt idx="37">
                  <c:v>98.149000000000001</c:v>
                </c:pt>
                <c:pt idx="38">
                  <c:v>90.838999999999999</c:v>
                </c:pt>
                <c:pt idx="39">
                  <c:v>107.627</c:v>
                </c:pt>
                <c:pt idx="40">
                  <c:v>81.661000000000001</c:v>
                </c:pt>
                <c:pt idx="41">
                  <c:v>88.458000000000013</c:v>
                </c:pt>
                <c:pt idx="42">
                  <c:v>104.687</c:v>
                </c:pt>
                <c:pt idx="43">
                  <c:v>84.432000000000002</c:v>
                </c:pt>
                <c:pt idx="44">
                  <c:v>79.186999999999998</c:v>
                </c:pt>
                <c:pt idx="45">
                  <c:v>58</c:v>
                </c:pt>
                <c:pt idx="46">
                  <c:v>17.7</c:v>
                </c:pt>
                <c:pt idx="47">
                  <c:v>4.22</c:v>
                </c:pt>
                <c:pt idx="48">
                  <c:v>70.343999999999994</c:v>
                </c:pt>
              </c:numCache>
            </c:numRef>
          </c:val>
        </c:ser>
        <c:ser>
          <c:idx val="1"/>
          <c:order val="1"/>
          <c:tx>
            <c:strRef>
              <c:f>'Státní rozpočet 3'!$B$29</c:f>
              <c:strCache>
                <c:ptCount val="1"/>
                <c:pt idx="0">
                  <c:v>Spořící státní dluhopisy</c:v>
                </c:pt>
              </c:strCache>
            </c:strRef>
          </c:tx>
          <c:spPr>
            <a:solidFill>
              <a:srgbClr val="E8AFB2"/>
            </a:solidFill>
          </c:spPr>
          <c:cat>
            <c:multiLvlStrRef>
              <c:f>'Státní rozpočet 3'!$C$26:$AY$27</c:f>
              <c:multiLvlStrCache>
                <c:ptCount val="49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  <c:pt idx="22">
                    <c:v>3</c:v>
                  </c:pt>
                  <c:pt idx="23">
                    <c:v>4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  <c:pt idx="28">
                    <c:v>1</c:v>
                  </c:pt>
                  <c:pt idx="29">
                    <c:v>2</c:v>
                  </c:pt>
                  <c:pt idx="30">
                    <c:v>3</c:v>
                  </c:pt>
                  <c:pt idx="31">
                    <c:v>4</c:v>
                  </c:pt>
                  <c:pt idx="32">
                    <c:v>1</c:v>
                  </c:pt>
                  <c:pt idx="33">
                    <c:v>2</c:v>
                  </c:pt>
                  <c:pt idx="34">
                    <c:v>3</c:v>
                  </c:pt>
                  <c:pt idx="35">
                    <c:v>4</c:v>
                  </c:pt>
                  <c:pt idx="36">
                    <c:v>1</c:v>
                  </c:pt>
                  <c:pt idx="37">
                    <c:v>2</c:v>
                  </c:pt>
                  <c:pt idx="38">
                    <c:v>3</c:v>
                  </c:pt>
                  <c:pt idx="39">
                    <c:v>4</c:v>
                  </c:pt>
                  <c:pt idx="40">
                    <c:v>1</c:v>
                  </c:pt>
                  <c:pt idx="41">
                    <c:v>2</c:v>
                  </c:pt>
                  <c:pt idx="42">
                    <c:v>3</c:v>
                  </c:pt>
                  <c:pt idx="43">
                    <c:v>4</c:v>
                  </c:pt>
                  <c:pt idx="44">
                    <c:v>1</c:v>
                  </c:pt>
                  <c:pt idx="45">
                    <c:v>2</c:v>
                  </c:pt>
                  <c:pt idx="46">
                    <c:v>3</c:v>
                  </c:pt>
                  <c:pt idx="47">
                    <c:v>4</c:v>
                  </c:pt>
                  <c:pt idx="48">
                    <c:v>1</c:v>
                  </c:pt>
                </c:lvl>
                <c:lvl>
                  <c:pt idx="0">
                    <c:v>2005</c:v>
                  </c:pt>
                  <c:pt idx="4">
                    <c:v>2006</c:v>
                  </c:pt>
                  <c:pt idx="8">
                    <c:v>2007</c:v>
                  </c:pt>
                  <c:pt idx="12">
                    <c:v>2008</c:v>
                  </c:pt>
                  <c:pt idx="16">
                    <c:v>2009</c:v>
                  </c:pt>
                  <c:pt idx="20">
                    <c:v>2010</c:v>
                  </c:pt>
                  <c:pt idx="24">
                    <c:v>2011</c:v>
                  </c:pt>
                  <c:pt idx="28">
                    <c:v>2012</c:v>
                  </c:pt>
                  <c:pt idx="32">
                    <c:v>2013</c:v>
                  </c:pt>
                  <c:pt idx="36">
                    <c:v>2014</c:v>
                  </c:pt>
                  <c:pt idx="40">
                    <c:v>2015</c:v>
                  </c:pt>
                  <c:pt idx="44">
                    <c:v>2016</c:v>
                  </c:pt>
                  <c:pt idx="48">
                    <c:v>.</c:v>
                  </c:pt>
                </c:lvl>
              </c:multiLvlStrCache>
            </c:multiLvlStrRef>
          </c:cat>
          <c:val>
            <c:numRef>
              <c:f>'Státní rozpočet 3'!$C$29:$AY$29</c:f>
              <c:numCache>
                <c:formatCode>#,##0</c:formatCode>
                <c:ptCount val="49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20.428999999999913</c:v>
                </c:pt>
                <c:pt idx="28">
                  <c:v>20.428999999999913</c:v>
                </c:pt>
                <c:pt idx="29">
                  <c:v>35.714000000000006</c:v>
                </c:pt>
                <c:pt idx="30">
                  <c:v>35.708000000000013</c:v>
                </c:pt>
                <c:pt idx="31">
                  <c:v>56.206000000000003</c:v>
                </c:pt>
                <c:pt idx="32">
                  <c:v>56.206000000000003</c:v>
                </c:pt>
                <c:pt idx="33">
                  <c:v>73.781999999999996</c:v>
                </c:pt>
                <c:pt idx="34">
                  <c:v>73.738</c:v>
                </c:pt>
                <c:pt idx="35">
                  <c:v>87.578999999999979</c:v>
                </c:pt>
                <c:pt idx="36">
                  <c:v>87.55</c:v>
                </c:pt>
                <c:pt idx="37">
                  <c:v>80.653999999999982</c:v>
                </c:pt>
                <c:pt idx="38">
                  <c:v>80.60899999999998</c:v>
                </c:pt>
                <c:pt idx="39">
                  <c:v>77.828999999999979</c:v>
                </c:pt>
                <c:pt idx="40">
                  <c:v>77.793000000000006</c:v>
                </c:pt>
                <c:pt idx="41">
                  <c:v>77.828999999999979</c:v>
                </c:pt>
                <c:pt idx="42">
                  <c:v>77.801000000000002</c:v>
                </c:pt>
                <c:pt idx="43">
                  <c:v>66.921999999999997</c:v>
                </c:pt>
                <c:pt idx="44">
                  <c:v>66.9110000000003</c:v>
                </c:pt>
                <c:pt idx="45">
                  <c:v>59.9</c:v>
                </c:pt>
                <c:pt idx="46">
                  <c:v>59.9</c:v>
                </c:pt>
                <c:pt idx="47">
                  <c:v>37.757373000000001</c:v>
                </c:pt>
                <c:pt idx="48">
                  <c:v>37.751000000000005</c:v>
                </c:pt>
              </c:numCache>
            </c:numRef>
          </c:val>
        </c:ser>
        <c:ser>
          <c:idx val="2"/>
          <c:order val="2"/>
          <c:tx>
            <c:strRef>
              <c:f>'Státní rozpočet 3'!$B$30</c:f>
              <c:strCache>
                <c:ptCount val="1"/>
                <c:pt idx="0">
                  <c:v>Dlouho(-středně)dobé st.dluhopisy</c:v>
                </c:pt>
              </c:strCache>
            </c:strRef>
          </c:tx>
          <c:spPr>
            <a:solidFill>
              <a:srgbClr val="A6CDE8"/>
            </a:solidFill>
          </c:spPr>
          <c:cat>
            <c:multiLvlStrRef>
              <c:f>'Státní rozpočet 3'!$C$26:$AY$27</c:f>
              <c:multiLvlStrCache>
                <c:ptCount val="49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  <c:pt idx="22">
                    <c:v>3</c:v>
                  </c:pt>
                  <c:pt idx="23">
                    <c:v>4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  <c:pt idx="28">
                    <c:v>1</c:v>
                  </c:pt>
                  <c:pt idx="29">
                    <c:v>2</c:v>
                  </c:pt>
                  <c:pt idx="30">
                    <c:v>3</c:v>
                  </c:pt>
                  <c:pt idx="31">
                    <c:v>4</c:v>
                  </c:pt>
                  <c:pt idx="32">
                    <c:v>1</c:v>
                  </c:pt>
                  <c:pt idx="33">
                    <c:v>2</c:v>
                  </c:pt>
                  <c:pt idx="34">
                    <c:v>3</c:v>
                  </c:pt>
                  <c:pt idx="35">
                    <c:v>4</c:v>
                  </c:pt>
                  <c:pt idx="36">
                    <c:v>1</c:v>
                  </c:pt>
                  <c:pt idx="37">
                    <c:v>2</c:v>
                  </c:pt>
                  <c:pt idx="38">
                    <c:v>3</c:v>
                  </c:pt>
                  <c:pt idx="39">
                    <c:v>4</c:v>
                  </c:pt>
                  <c:pt idx="40">
                    <c:v>1</c:v>
                  </c:pt>
                  <c:pt idx="41">
                    <c:v>2</c:v>
                  </c:pt>
                  <c:pt idx="42">
                    <c:v>3</c:v>
                  </c:pt>
                  <c:pt idx="43">
                    <c:v>4</c:v>
                  </c:pt>
                  <c:pt idx="44">
                    <c:v>1</c:v>
                  </c:pt>
                  <c:pt idx="45">
                    <c:v>2</c:v>
                  </c:pt>
                  <c:pt idx="46">
                    <c:v>3</c:v>
                  </c:pt>
                  <c:pt idx="47">
                    <c:v>4</c:v>
                  </c:pt>
                  <c:pt idx="48">
                    <c:v>1</c:v>
                  </c:pt>
                </c:lvl>
                <c:lvl>
                  <c:pt idx="0">
                    <c:v>2005</c:v>
                  </c:pt>
                  <c:pt idx="4">
                    <c:v>2006</c:v>
                  </c:pt>
                  <c:pt idx="8">
                    <c:v>2007</c:v>
                  </c:pt>
                  <c:pt idx="12">
                    <c:v>2008</c:v>
                  </c:pt>
                  <c:pt idx="16">
                    <c:v>2009</c:v>
                  </c:pt>
                  <c:pt idx="20">
                    <c:v>2010</c:v>
                  </c:pt>
                  <c:pt idx="24">
                    <c:v>2011</c:v>
                  </c:pt>
                  <c:pt idx="28">
                    <c:v>2012</c:v>
                  </c:pt>
                  <c:pt idx="32">
                    <c:v>2013</c:v>
                  </c:pt>
                  <c:pt idx="36">
                    <c:v>2014</c:v>
                  </c:pt>
                  <c:pt idx="40">
                    <c:v>2015</c:v>
                  </c:pt>
                  <c:pt idx="44">
                    <c:v>2016</c:v>
                  </c:pt>
                  <c:pt idx="48">
                    <c:v>.</c:v>
                  </c:pt>
                </c:lvl>
              </c:multiLvlStrCache>
            </c:multiLvlStrRef>
          </c:cat>
          <c:val>
            <c:numRef>
              <c:f>'Státní rozpočet 3'!$C$30:$AY$30</c:f>
              <c:numCache>
                <c:formatCode>#,##0</c:formatCode>
                <c:ptCount val="49"/>
                <c:pt idx="0">
                  <c:v>391.274</c:v>
                </c:pt>
                <c:pt idx="1">
                  <c:v>428.77099999999899</c:v>
                </c:pt>
                <c:pt idx="2">
                  <c:v>456.56</c:v>
                </c:pt>
                <c:pt idx="3">
                  <c:v>487.50299999999999</c:v>
                </c:pt>
                <c:pt idx="4">
                  <c:v>495.72099999999881</c:v>
                </c:pt>
                <c:pt idx="5">
                  <c:v>532.05399999999997</c:v>
                </c:pt>
                <c:pt idx="6">
                  <c:v>554.81699999999796</c:v>
                </c:pt>
                <c:pt idx="7">
                  <c:v>588.93499999999949</c:v>
                </c:pt>
                <c:pt idx="8">
                  <c:v>612.06099999999947</c:v>
                </c:pt>
                <c:pt idx="9">
                  <c:v>666.81999999999948</c:v>
                </c:pt>
                <c:pt idx="10">
                  <c:v>664.79500000000053</c:v>
                </c:pt>
                <c:pt idx="11">
                  <c:v>692.19400000000053</c:v>
                </c:pt>
                <c:pt idx="12">
                  <c:v>693.11500000000001</c:v>
                </c:pt>
                <c:pt idx="13">
                  <c:v>728.61800000000005</c:v>
                </c:pt>
                <c:pt idx="14">
                  <c:v>700.70399999999995</c:v>
                </c:pt>
                <c:pt idx="15">
                  <c:v>735.55099999999948</c:v>
                </c:pt>
                <c:pt idx="16">
                  <c:v>753.09699999999998</c:v>
                </c:pt>
                <c:pt idx="17">
                  <c:v>830.01</c:v>
                </c:pt>
                <c:pt idx="18">
                  <c:v>861.48699999999997</c:v>
                </c:pt>
                <c:pt idx="19">
                  <c:v>838.56699999999796</c:v>
                </c:pt>
                <c:pt idx="20">
                  <c:v>878.78000000000054</c:v>
                </c:pt>
                <c:pt idx="21">
                  <c:v>903.13300000000004</c:v>
                </c:pt>
                <c:pt idx="22">
                  <c:v>956.30699999999797</c:v>
                </c:pt>
                <c:pt idx="23">
                  <c:v>922.95099999999798</c:v>
                </c:pt>
                <c:pt idx="24">
                  <c:v>962.34499999999946</c:v>
                </c:pt>
                <c:pt idx="25">
                  <c:v>967.24099999999999</c:v>
                </c:pt>
                <c:pt idx="26">
                  <c:v>1003.614</c:v>
                </c:pt>
                <c:pt idx="27">
                  <c:v>999.13199999999949</c:v>
                </c:pt>
                <c:pt idx="28">
                  <c:v>1055.951</c:v>
                </c:pt>
                <c:pt idx="29">
                  <c:v>1063.3779999999999</c:v>
                </c:pt>
                <c:pt idx="30">
                  <c:v>1085.259</c:v>
                </c:pt>
                <c:pt idx="31">
                  <c:v>1042.0029999999999</c:v>
                </c:pt>
                <c:pt idx="32">
                  <c:v>1090.1229999999998</c:v>
                </c:pt>
                <c:pt idx="33">
                  <c:v>1060.3129999999999</c:v>
                </c:pt>
                <c:pt idx="34">
                  <c:v>1059.616</c:v>
                </c:pt>
                <c:pt idx="35">
                  <c:v>1079.675</c:v>
                </c:pt>
                <c:pt idx="36">
                  <c:v>1100.798</c:v>
                </c:pt>
                <c:pt idx="37">
                  <c:v>1150.5329999999999</c:v>
                </c:pt>
                <c:pt idx="38">
                  <c:v>1159.375</c:v>
                </c:pt>
                <c:pt idx="39">
                  <c:v>1175.655</c:v>
                </c:pt>
                <c:pt idx="40">
                  <c:v>1200.799</c:v>
                </c:pt>
                <c:pt idx="41">
                  <c:v>1189.82</c:v>
                </c:pt>
                <c:pt idx="42">
                  <c:v>1177.1919999999998</c:v>
                </c:pt>
                <c:pt idx="43">
                  <c:v>1235.1969999999999</c:v>
                </c:pt>
                <c:pt idx="44">
                  <c:v>1263.7760000000001</c:v>
                </c:pt>
                <c:pt idx="45">
                  <c:v>1288.8</c:v>
                </c:pt>
                <c:pt idx="46">
                  <c:v>1298.0999999999999</c:v>
                </c:pt>
                <c:pt idx="47">
                  <c:v>1301.5999999999999</c:v>
                </c:pt>
                <c:pt idx="48">
                  <c:v>1410.3129999999999</c:v>
                </c:pt>
              </c:numCache>
            </c:numRef>
          </c:val>
        </c:ser>
        <c:ser>
          <c:idx val="3"/>
          <c:order val="3"/>
          <c:tx>
            <c:strRef>
              <c:f>'Státní rozpočet 3'!$B$31</c:f>
              <c:strCache>
                <c:ptCount val="1"/>
                <c:pt idx="0">
                  <c:v>Krátkodobé zápůjčky a směnky</c:v>
                </c:pt>
              </c:strCache>
            </c:strRef>
          </c:tx>
          <c:spPr>
            <a:solidFill>
              <a:srgbClr val="0071BC"/>
            </a:solidFill>
          </c:spPr>
          <c:cat>
            <c:multiLvlStrRef>
              <c:f>'Státní rozpočet 3'!$C$26:$AY$27</c:f>
              <c:multiLvlStrCache>
                <c:ptCount val="49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  <c:pt idx="22">
                    <c:v>3</c:v>
                  </c:pt>
                  <c:pt idx="23">
                    <c:v>4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  <c:pt idx="28">
                    <c:v>1</c:v>
                  </c:pt>
                  <c:pt idx="29">
                    <c:v>2</c:v>
                  </c:pt>
                  <c:pt idx="30">
                    <c:v>3</c:v>
                  </c:pt>
                  <c:pt idx="31">
                    <c:v>4</c:v>
                  </c:pt>
                  <c:pt idx="32">
                    <c:v>1</c:v>
                  </c:pt>
                  <c:pt idx="33">
                    <c:v>2</c:v>
                  </c:pt>
                  <c:pt idx="34">
                    <c:v>3</c:v>
                  </c:pt>
                  <c:pt idx="35">
                    <c:v>4</c:v>
                  </c:pt>
                  <c:pt idx="36">
                    <c:v>1</c:v>
                  </c:pt>
                  <c:pt idx="37">
                    <c:v>2</c:v>
                  </c:pt>
                  <c:pt idx="38">
                    <c:v>3</c:v>
                  </c:pt>
                  <c:pt idx="39">
                    <c:v>4</c:v>
                  </c:pt>
                  <c:pt idx="40">
                    <c:v>1</c:v>
                  </c:pt>
                  <c:pt idx="41">
                    <c:v>2</c:v>
                  </c:pt>
                  <c:pt idx="42">
                    <c:v>3</c:v>
                  </c:pt>
                  <c:pt idx="43">
                    <c:v>4</c:v>
                  </c:pt>
                  <c:pt idx="44">
                    <c:v>1</c:v>
                  </c:pt>
                  <c:pt idx="45">
                    <c:v>2</c:v>
                  </c:pt>
                  <c:pt idx="46">
                    <c:v>3</c:v>
                  </c:pt>
                  <c:pt idx="47">
                    <c:v>4</c:v>
                  </c:pt>
                  <c:pt idx="48">
                    <c:v>1</c:v>
                  </c:pt>
                </c:lvl>
                <c:lvl>
                  <c:pt idx="0">
                    <c:v>2005</c:v>
                  </c:pt>
                  <c:pt idx="4">
                    <c:v>2006</c:v>
                  </c:pt>
                  <c:pt idx="8">
                    <c:v>2007</c:v>
                  </c:pt>
                  <c:pt idx="12">
                    <c:v>2008</c:v>
                  </c:pt>
                  <c:pt idx="16">
                    <c:v>2009</c:v>
                  </c:pt>
                  <c:pt idx="20">
                    <c:v>2010</c:v>
                  </c:pt>
                  <c:pt idx="24">
                    <c:v>2011</c:v>
                  </c:pt>
                  <c:pt idx="28">
                    <c:v>2012</c:v>
                  </c:pt>
                  <c:pt idx="32">
                    <c:v>2013</c:v>
                  </c:pt>
                  <c:pt idx="36">
                    <c:v>2014</c:v>
                  </c:pt>
                  <c:pt idx="40">
                    <c:v>2015</c:v>
                  </c:pt>
                  <c:pt idx="44">
                    <c:v>2016</c:v>
                  </c:pt>
                  <c:pt idx="48">
                    <c:v>.</c:v>
                  </c:pt>
                </c:lvl>
              </c:multiLvlStrCache>
            </c:multiLvlStrRef>
          </c:cat>
          <c:val>
            <c:numRef>
              <c:f>'Státní rozpočet 3'!$C$31:$AY$31</c:f>
              <c:numCache>
                <c:formatCode>#,##0</c:formatCode>
                <c:ptCount val="49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2.4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3.9000000000000014E-2</c:v>
                </c:pt>
                <c:pt idx="12">
                  <c:v>1.4E-2</c:v>
                </c:pt>
                <c:pt idx="13">
                  <c:v>0.79500000000000004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8.1</c:v>
                </c:pt>
                <c:pt idx="30">
                  <c:v>0</c:v>
                </c:pt>
                <c:pt idx="31">
                  <c:v>0</c:v>
                </c:pt>
                <c:pt idx="32">
                  <c:v>0</c:v>
                </c:pt>
                <c:pt idx="33">
                  <c:v>0</c:v>
                </c:pt>
                <c:pt idx="34">
                  <c:v>1.585</c:v>
                </c:pt>
                <c:pt idx="35">
                  <c:v>0</c:v>
                </c:pt>
                <c:pt idx="36">
                  <c:v>3.2600000000000002</c:v>
                </c:pt>
                <c:pt idx="37">
                  <c:v>11.620999999999999</c:v>
                </c:pt>
                <c:pt idx="38">
                  <c:v>12.352000000000045</c:v>
                </c:pt>
                <c:pt idx="39">
                  <c:v>2.5449999999999999</c:v>
                </c:pt>
                <c:pt idx="40">
                  <c:v>4.9930000000000003</c:v>
                </c:pt>
                <c:pt idx="41">
                  <c:v>11.764000000000001</c:v>
                </c:pt>
                <c:pt idx="42">
                  <c:v>10.553000000000004</c:v>
                </c:pt>
                <c:pt idx="43">
                  <c:v>2.8549999999999978</c:v>
                </c:pt>
                <c:pt idx="44">
                  <c:v>1.357</c:v>
                </c:pt>
                <c:pt idx="45">
                  <c:v>0</c:v>
                </c:pt>
                <c:pt idx="46">
                  <c:v>1.5</c:v>
                </c:pt>
                <c:pt idx="47">
                  <c:v>0</c:v>
                </c:pt>
                <c:pt idx="48">
                  <c:v>2.0000000000000052E-3</c:v>
                </c:pt>
              </c:numCache>
            </c:numRef>
          </c:val>
        </c:ser>
        <c:ser>
          <c:idx val="4"/>
          <c:order val="4"/>
          <c:tx>
            <c:strRef>
              <c:f>'Státní rozpočet 3'!$B$32</c:f>
              <c:strCache>
                <c:ptCount val="1"/>
                <c:pt idx="0">
                  <c:v>Zahraniční emise dluhopisů</c:v>
                </c:pt>
              </c:strCache>
            </c:strRef>
          </c:tx>
          <c:spPr>
            <a:solidFill>
              <a:srgbClr val="7DBB2D"/>
            </a:solidFill>
          </c:spPr>
          <c:cat>
            <c:multiLvlStrRef>
              <c:f>'Státní rozpočet 3'!$C$26:$AY$27</c:f>
              <c:multiLvlStrCache>
                <c:ptCount val="49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  <c:pt idx="22">
                    <c:v>3</c:v>
                  </c:pt>
                  <c:pt idx="23">
                    <c:v>4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  <c:pt idx="28">
                    <c:v>1</c:v>
                  </c:pt>
                  <c:pt idx="29">
                    <c:v>2</c:v>
                  </c:pt>
                  <c:pt idx="30">
                    <c:v>3</c:v>
                  </c:pt>
                  <c:pt idx="31">
                    <c:v>4</c:v>
                  </c:pt>
                  <c:pt idx="32">
                    <c:v>1</c:v>
                  </c:pt>
                  <c:pt idx="33">
                    <c:v>2</c:v>
                  </c:pt>
                  <c:pt idx="34">
                    <c:v>3</c:v>
                  </c:pt>
                  <c:pt idx="35">
                    <c:v>4</c:v>
                  </c:pt>
                  <c:pt idx="36">
                    <c:v>1</c:v>
                  </c:pt>
                  <c:pt idx="37">
                    <c:v>2</c:v>
                  </c:pt>
                  <c:pt idx="38">
                    <c:v>3</c:v>
                  </c:pt>
                  <c:pt idx="39">
                    <c:v>4</c:v>
                  </c:pt>
                  <c:pt idx="40">
                    <c:v>1</c:v>
                  </c:pt>
                  <c:pt idx="41">
                    <c:v>2</c:v>
                  </c:pt>
                  <c:pt idx="42">
                    <c:v>3</c:v>
                  </c:pt>
                  <c:pt idx="43">
                    <c:v>4</c:v>
                  </c:pt>
                  <c:pt idx="44">
                    <c:v>1</c:v>
                  </c:pt>
                  <c:pt idx="45">
                    <c:v>2</c:v>
                  </c:pt>
                  <c:pt idx="46">
                    <c:v>3</c:v>
                  </c:pt>
                  <c:pt idx="47">
                    <c:v>4</c:v>
                  </c:pt>
                  <c:pt idx="48">
                    <c:v>1</c:v>
                  </c:pt>
                </c:lvl>
                <c:lvl>
                  <c:pt idx="0">
                    <c:v>2005</c:v>
                  </c:pt>
                  <c:pt idx="4">
                    <c:v>2006</c:v>
                  </c:pt>
                  <c:pt idx="8">
                    <c:v>2007</c:v>
                  </c:pt>
                  <c:pt idx="12">
                    <c:v>2008</c:v>
                  </c:pt>
                  <c:pt idx="16">
                    <c:v>2009</c:v>
                  </c:pt>
                  <c:pt idx="20">
                    <c:v>2010</c:v>
                  </c:pt>
                  <c:pt idx="24">
                    <c:v>2011</c:v>
                  </c:pt>
                  <c:pt idx="28">
                    <c:v>2012</c:v>
                  </c:pt>
                  <c:pt idx="32">
                    <c:v>2013</c:v>
                  </c:pt>
                  <c:pt idx="36">
                    <c:v>2014</c:v>
                  </c:pt>
                  <c:pt idx="40">
                    <c:v>2015</c:v>
                  </c:pt>
                  <c:pt idx="44">
                    <c:v>2016</c:v>
                  </c:pt>
                  <c:pt idx="48">
                    <c:v>.</c:v>
                  </c:pt>
                </c:lvl>
              </c:multiLvlStrCache>
            </c:multiLvlStrRef>
          </c:cat>
          <c:val>
            <c:numRef>
              <c:f>'Státní rozpočet 3'!$C$32:$AY$32</c:f>
              <c:numCache>
                <c:formatCode>#,##0</c:formatCode>
                <c:ptCount val="49"/>
                <c:pt idx="0">
                  <c:v>78.884999999999991</c:v>
                </c:pt>
                <c:pt idx="1">
                  <c:v>78.885999999999981</c:v>
                </c:pt>
                <c:pt idx="2">
                  <c:v>78.88</c:v>
                </c:pt>
                <c:pt idx="3">
                  <c:v>78.873999999999981</c:v>
                </c:pt>
                <c:pt idx="4">
                  <c:v>84.891000000000005</c:v>
                </c:pt>
                <c:pt idx="5">
                  <c:v>84.733000000000004</c:v>
                </c:pt>
                <c:pt idx="6">
                  <c:v>84.557999999999993</c:v>
                </c:pt>
                <c:pt idx="7">
                  <c:v>84.111999999999995</c:v>
                </c:pt>
                <c:pt idx="8">
                  <c:v>84.200999999999993</c:v>
                </c:pt>
                <c:pt idx="9">
                  <c:v>84.04</c:v>
                </c:pt>
                <c:pt idx="10">
                  <c:v>83.929000000000002</c:v>
                </c:pt>
                <c:pt idx="11">
                  <c:v>83.685999999999979</c:v>
                </c:pt>
                <c:pt idx="12">
                  <c:v>83.658999999999978</c:v>
                </c:pt>
                <c:pt idx="13">
                  <c:v>131.55800000000053</c:v>
                </c:pt>
                <c:pt idx="14">
                  <c:v>133.07299999999998</c:v>
                </c:pt>
                <c:pt idx="15">
                  <c:v>137.87</c:v>
                </c:pt>
                <c:pt idx="16">
                  <c:v>138.38500000000047</c:v>
                </c:pt>
                <c:pt idx="17">
                  <c:v>175.62700000000001</c:v>
                </c:pt>
                <c:pt idx="18">
                  <c:v>173.05600000000001</c:v>
                </c:pt>
                <c:pt idx="19">
                  <c:v>193.018</c:v>
                </c:pt>
                <c:pt idx="20">
                  <c:v>189.80800000000053</c:v>
                </c:pt>
                <c:pt idx="21">
                  <c:v>192.506</c:v>
                </c:pt>
                <c:pt idx="22">
                  <c:v>237.06300000000002</c:v>
                </c:pt>
                <c:pt idx="23">
                  <c:v>240.29599999999999</c:v>
                </c:pt>
                <c:pt idx="24">
                  <c:v>237.41399999999999</c:v>
                </c:pt>
                <c:pt idx="25">
                  <c:v>237.08600000000001</c:v>
                </c:pt>
                <c:pt idx="26">
                  <c:v>240.11599999999999</c:v>
                </c:pt>
                <c:pt idx="27">
                  <c:v>245.74599999999998</c:v>
                </c:pt>
                <c:pt idx="28">
                  <c:v>288.46499999999969</c:v>
                </c:pt>
                <c:pt idx="29">
                  <c:v>295.37599999999969</c:v>
                </c:pt>
                <c:pt idx="30">
                  <c:v>290.82499999999999</c:v>
                </c:pt>
                <c:pt idx="31">
                  <c:v>310.28599999999881</c:v>
                </c:pt>
                <c:pt idx="32">
                  <c:v>313.73399999999845</c:v>
                </c:pt>
                <c:pt idx="33">
                  <c:v>314.565</c:v>
                </c:pt>
                <c:pt idx="34">
                  <c:v>313.14100000000002</c:v>
                </c:pt>
                <c:pt idx="35">
                  <c:v>323.68200000000002</c:v>
                </c:pt>
                <c:pt idx="36">
                  <c:v>323.94499999999999</c:v>
                </c:pt>
                <c:pt idx="37">
                  <c:v>275.38900000000001</c:v>
                </c:pt>
                <c:pt idx="38">
                  <c:v>275.81900000000002</c:v>
                </c:pt>
                <c:pt idx="39">
                  <c:v>239.57599999999999</c:v>
                </c:pt>
                <c:pt idx="40">
                  <c:v>238.19399999999999</c:v>
                </c:pt>
                <c:pt idx="41">
                  <c:v>235.67399999999998</c:v>
                </c:pt>
                <c:pt idx="42">
                  <c:v>234.67299999999997</c:v>
                </c:pt>
                <c:pt idx="43">
                  <c:v>225.61899999999997</c:v>
                </c:pt>
                <c:pt idx="44">
                  <c:v>225.89400000000001</c:v>
                </c:pt>
                <c:pt idx="45">
                  <c:v>227.3</c:v>
                </c:pt>
                <c:pt idx="46">
                  <c:v>226.5</c:v>
                </c:pt>
                <c:pt idx="47">
                  <c:v>213.524</c:v>
                </c:pt>
                <c:pt idx="48">
                  <c:v>213.786</c:v>
                </c:pt>
              </c:numCache>
            </c:numRef>
          </c:val>
        </c:ser>
        <c:ser>
          <c:idx val="5"/>
          <c:order val="5"/>
          <c:tx>
            <c:strRef>
              <c:f>'Státní rozpočet 3'!$B$33</c:f>
              <c:strCache>
                <c:ptCount val="1"/>
                <c:pt idx="0">
                  <c:v>Úvěry od EIB</c:v>
                </c:pt>
              </c:strCache>
            </c:strRef>
          </c:tx>
          <c:spPr>
            <a:solidFill>
              <a:srgbClr val="D2E7B6"/>
            </a:solidFill>
          </c:spPr>
          <c:cat>
            <c:multiLvlStrRef>
              <c:f>'Státní rozpočet 3'!$C$26:$AY$27</c:f>
              <c:multiLvlStrCache>
                <c:ptCount val="49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  <c:pt idx="22">
                    <c:v>3</c:v>
                  </c:pt>
                  <c:pt idx="23">
                    <c:v>4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  <c:pt idx="28">
                    <c:v>1</c:v>
                  </c:pt>
                  <c:pt idx="29">
                    <c:v>2</c:v>
                  </c:pt>
                  <c:pt idx="30">
                    <c:v>3</c:v>
                  </c:pt>
                  <c:pt idx="31">
                    <c:v>4</c:v>
                  </c:pt>
                  <c:pt idx="32">
                    <c:v>1</c:v>
                  </c:pt>
                  <c:pt idx="33">
                    <c:v>2</c:v>
                  </c:pt>
                  <c:pt idx="34">
                    <c:v>3</c:v>
                  </c:pt>
                  <c:pt idx="35">
                    <c:v>4</c:v>
                  </c:pt>
                  <c:pt idx="36">
                    <c:v>1</c:v>
                  </c:pt>
                  <c:pt idx="37">
                    <c:v>2</c:v>
                  </c:pt>
                  <c:pt idx="38">
                    <c:v>3</c:v>
                  </c:pt>
                  <c:pt idx="39">
                    <c:v>4</c:v>
                  </c:pt>
                  <c:pt idx="40">
                    <c:v>1</c:v>
                  </c:pt>
                  <c:pt idx="41">
                    <c:v>2</c:v>
                  </c:pt>
                  <c:pt idx="42">
                    <c:v>3</c:v>
                  </c:pt>
                  <c:pt idx="43">
                    <c:v>4</c:v>
                  </c:pt>
                  <c:pt idx="44">
                    <c:v>1</c:v>
                  </c:pt>
                  <c:pt idx="45">
                    <c:v>2</c:v>
                  </c:pt>
                  <c:pt idx="46">
                    <c:v>3</c:v>
                  </c:pt>
                  <c:pt idx="47">
                    <c:v>4</c:v>
                  </c:pt>
                  <c:pt idx="48">
                    <c:v>1</c:v>
                  </c:pt>
                </c:lvl>
                <c:lvl>
                  <c:pt idx="0">
                    <c:v>2005</c:v>
                  </c:pt>
                  <c:pt idx="4">
                    <c:v>2006</c:v>
                  </c:pt>
                  <c:pt idx="8">
                    <c:v>2007</c:v>
                  </c:pt>
                  <c:pt idx="12">
                    <c:v>2008</c:v>
                  </c:pt>
                  <c:pt idx="16">
                    <c:v>2009</c:v>
                  </c:pt>
                  <c:pt idx="20">
                    <c:v>2010</c:v>
                  </c:pt>
                  <c:pt idx="24">
                    <c:v>2011</c:v>
                  </c:pt>
                  <c:pt idx="28">
                    <c:v>2012</c:v>
                  </c:pt>
                  <c:pt idx="32">
                    <c:v>2013</c:v>
                  </c:pt>
                  <c:pt idx="36">
                    <c:v>2014</c:v>
                  </c:pt>
                  <c:pt idx="40">
                    <c:v>2015</c:v>
                  </c:pt>
                  <c:pt idx="44">
                    <c:v>2016</c:v>
                  </c:pt>
                  <c:pt idx="48">
                    <c:v>.</c:v>
                  </c:pt>
                </c:lvl>
              </c:multiLvlStrCache>
            </c:multiLvlStrRef>
          </c:cat>
          <c:val>
            <c:numRef>
              <c:f>'Státní rozpočet 3'!$C$33:$AY$33</c:f>
              <c:numCache>
                <c:formatCode>#,##0</c:formatCode>
                <c:ptCount val="49"/>
                <c:pt idx="0">
                  <c:v>20.655000000000001</c:v>
                </c:pt>
                <c:pt idx="1">
                  <c:v>26.164000000000001</c:v>
                </c:pt>
                <c:pt idx="2">
                  <c:v>28.332000000000001</c:v>
                </c:pt>
                <c:pt idx="3">
                  <c:v>29.731999999999999</c:v>
                </c:pt>
                <c:pt idx="4">
                  <c:v>29.901999999999987</c:v>
                </c:pt>
                <c:pt idx="5">
                  <c:v>32.028000000000013</c:v>
                </c:pt>
                <c:pt idx="6">
                  <c:v>34.298000000000158</c:v>
                </c:pt>
                <c:pt idx="7">
                  <c:v>36.704000000000001</c:v>
                </c:pt>
                <c:pt idx="8">
                  <c:v>36.704000000000001</c:v>
                </c:pt>
                <c:pt idx="9">
                  <c:v>38.434000000000005</c:v>
                </c:pt>
                <c:pt idx="10">
                  <c:v>38.743000000000002</c:v>
                </c:pt>
                <c:pt idx="11">
                  <c:v>38.743000000000002</c:v>
                </c:pt>
                <c:pt idx="12">
                  <c:v>35.907000000000004</c:v>
                </c:pt>
                <c:pt idx="13">
                  <c:v>38.913999999999994</c:v>
                </c:pt>
                <c:pt idx="14">
                  <c:v>45.838000000000001</c:v>
                </c:pt>
                <c:pt idx="15">
                  <c:v>46.811999999999998</c:v>
                </c:pt>
                <c:pt idx="16">
                  <c:v>47.237000000000002</c:v>
                </c:pt>
                <c:pt idx="17">
                  <c:v>51.226000000000013</c:v>
                </c:pt>
                <c:pt idx="18">
                  <c:v>53.134</c:v>
                </c:pt>
                <c:pt idx="19">
                  <c:v>57.911999999999999</c:v>
                </c:pt>
                <c:pt idx="20">
                  <c:v>60.056999999999995</c:v>
                </c:pt>
                <c:pt idx="21">
                  <c:v>60.694000000000003</c:v>
                </c:pt>
                <c:pt idx="22">
                  <c:v>62.394000000000005</c:v>
                </c:pt>
                <c:pt idx="23">
                  <c:v>67.184999999999988</c:v>
                </c:pt>
                <c:pt idx="24">
                  <c:v>66.826999999999998</c:v>
                </c:pt>
                <c:pt idx="25">
                  <c:v>67.218000000000004</c:v>
                </c:pt>
                <c:pt idx="26">
                  <c:v>69.516000000000005</c:v>
                </c:pt>
                <c:pt idx="27">
                  <c:v>71.322999999999979</c:v>
                </c:pt>
                <c:pt idx="28">
                  <c:v>70.965000000000003</c:v>
                </c:pt>
                <c:pt idx="29">
                  <c:v>69.756</c:v>
                </c:pt>
                <c:pt idx="30">
                  <c:v>68.459000000000003</c:v>
                </c:pt>
                <c:pt idx="31">
                  <c:v>70.003</c:v>
                </c:pt>
                <c:pt idx="32">
                  <c:v>69.644999999999996</c:v>
                </c:pt>
                <c:pt idx="33">
                  <c:v>67.778999999999982</c:v>
                </c:pt>
                <c:pt idx="34">
                  <c:v>67.870999999999981</c:v>
                </c:pt>
                <c:pt idx="35">
                  <c:v>71.512</c:v>
                </c:pt>
                <c:pt idx="36">
                  <c:v>70.260999999999996</c:v>
                </c:pt>
                <c:pt idx="37">
                  <c:v>66.956999999999994</c:v>
                </c:pt>
                <c:pt idx="38">
                  <c:v>64.012</c:v>
                </c:pt>
                <c:pt idx="39">
                  <c:v>60.432000000000002</c:v>
                </c:pt>
                <c:pt idx="40">
                  <c:v>59.674000000000007</c:v>
                </c:pt>
                <c:pt idx="41">
                  <c:v>59.491</c:v>
                </c:pt>
                <c:pt idx="42">
                  <c:v>58.134</c:v>
                </c:pt>
                <c:pt idx="43">
                  <c:v>57.950999999999993</c:v>
                </c:pt>
                <c:pt idx="44">
                  <c:v>57.593000000000011</c:v>
                </c:pt>
                <c:pt idx="45">
                  <c:v>57.4</c:v>
                </c:pt>
                <c:pt idx="46">
                  <c:v>56.5</c:v>
                </c:pt>
                <c:pt idx="47">
                  <c:v>56.3</c:v>
                </c:pt>
                <c:pt idx="48">
                  <c:v>55.911999999999999</c:v>
                </c:pt>
              </c:numCache>
            </c:numRef>
          </c:val>
        </c:ser>
        <c:gapWidth val="53"/>
        <c:overlap val="100"/>
        <c:axId val="184824192"/>
        <c:axId val="184825728"/>
      </c:barChart>
      <c:lineChart>
        <c:grouping val="standard"/>
        <c:ser>
          <c:idx val="6"/>
          <c:order val="6"/>
          <c:tx>
            <c:strRef>
              <c:f>'Státní rozpočet 3'!$B$34</c:f>
              <c:strCache>
                <c:ptCount val="1"/>
                <c:pt idx="0">
                  <c:v>% dluhopisů v držbě nerezidentů</c:v>
                </c:pt>
              </c:strCache>
            </c:strRef>
          </c:tx>
          <c:spPr>
            <a:ln w="19050">
              <a:solidFill>
                <a:schemeClr val="tx1"/>
              </a:solidFill>
            </a:ln>
          </c:spPr>
          <c:marker>
            <c:symbol val="none"/>
          </c:marker>
          <c:cat>
            <c:multiLvlStrRef>
              <c:f>'Státní rozpočet 3'!$C$26:$AY$27</c:f>
              <c:multiLvlStrCache>
                <c:ptCount val="49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  <c:pt idx="22">
                    <c:v>3</c:v>
                  </c:pt>
                  <c:pt idx="23">
                    <c:v>4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  <c:pt idx="28">
                    <c:v>1</c:v>
                  </c:pt>
                  <c:pt idx="29">
                    <c:v>2</c:v>
                  </c:pt>
                  <c:pt idx="30">
                    <c:v>3</c:v>
                  </c:pt>
                  <c:pt idx="31">
                    <c:v>4</c:v>
                  </c:pt>
                  <c:pt idx="32">
                    <c:v>1</c:v>
                  </c:pt>
                  <c:pt idx="33">
                    <c:v>2</c:v>
                  </c:pt>
                  <c:pt idx="34">
                    <c:v>3</c:v>
                  </c:pt>
                  <c:pt idx="35">
                    <c:v>4</c:v>
                  </c:pt>
                  <c:pt idx="36">
                    <c:v>1</c:v>
                  </c:pt>
                  <c:pt idx="37">
                    <c:v>2</c:v>
                  </c:pt>
                  <c:pt idx="38">
                    <c:v>3</c:v>
                  </c:pt>
                  <c:pt idx="39">
                    <c:v>4</c:v>
                  </c:pt>
                  <c:pt idx="40">
                    <c:v>1</c:v>
                  </c:pt>
                  <c:pt idx="41">
                    <c:v>2</c:v>
                  </c:pt>
                  <c:pt idx="42">
                    <c:v>3</c:v>
                  </c:pt>
                  <c:pt idx="43">
                    <c:v>4</c:v>
                  </c:pt>
                  <c:pt idx="44">
                    <c:v>1</c:v>
                  </c:pt>
                  <c:pt idx="45">
                    <c:v>2</c:v>
                  </c:pt>
                  <c:pt idx="46">
                    <c:v>3</c:v>
                  </c:pt>
                  <c:pt idx="47">
                    <c:v>4</c:v>
                  </c:pt>
                  <c:pt idx="48">
                    <c:v>1</c:v>
                  </c:pt>
                </c:lvl>
                <c:lvl>
                  <c:pt idx="0">
                    <c:v>2005</c:v>
                  </c:pt>
                  <c:pt idx="4">
                    <c:v>2006</c:v>
                  </c:pt>
                  <c:pt idx="8">
                    <c:v>2007</c:v>
                  </c:pt>
                  <c:pt idx="12">
                    <c:v>2008</c:v>
                  </c:pt>
                  <c:pt idx="16">
                    <c:v>2009</c:v>
                  </c:pt>
                  <c:pt idx="20">
                    <c:v>2010</c:v>
                  </c:pt>
                  <c:pt idx="24">
                    <c:v>2011</c:v>
                  </c:pt>
                  <c:pt idx="28">
                    <c:v>2012</c:v>
                  </c:pt>
                  <c:pt idx="32">
                    <c:v>2013</c:v>
                  </c:pt>
                  <c:pt idx="36">
                    <c:v>2014</c:v>
                  </c:pt>
                  <c:pt idx="40">
                    <c:v>2015</c:v>
                  </c:pt>
                  <c:pt idx="44">
                    <c:v>2016</c:v>
                  </c:pt>
                  <c:pt idx="48">
                    <c:v>.</c:v>
                  </c:pt>
                </c:lvl>
              </c:multiLvlStrCache>
            </c:multiLvlStrRef>
          </c:cat>
          <c:val>
            <c:numRef>
              <c:f>'Státní rozpočet 3'!$C$34:$AY$34</c:f>
              <c:numCache>
                <c:formatCode>0.0</c:formatCode>
                <c:ptCount val="49"/>
                <c:pt idx="0">
                  <c:v>10.265992704390317</c:v>
                </c:pt>
                <c:pt idx="1">
                  <c:v>10.923088048331014</c:v>
                </c:pt>
                <c:pt idx="2">
                  <c:v>13.145252386172798</c:v>
                </c:pt>
                <c:pt idx="3">
                  <c:v>13.001503685169766</c:v>
                </c:pt>
                <c:pt idx="4">
                  <c:v>13.304825460196497</c:v>
                </c:pt>
                <c:pt idx="5">
                  <c:v>13.130686728399851</c:v>
                </c:pt>
                <c:pt idx="6">
                  <c:v>12.754669045605075</c:v>
                </c:pt>
                <c:pt idx="7">
                  <c:v>14.023012638423275</c:v>
                </c:pt>
                <c:pt idx="8">
                  <c:v>14.540668674784499</c:v>
                </c:pt>
                <c:pt idx="9">
                  <c:v>16.0174856396286</c:v>
                </c:pt>
                <c:pt idx="10">
                  <c:v>14.915904603224822</c:v>
                </c:pt>
                <c:pt idx="11">
                  <c:v>15.636328283334789</c:v>
                </c:pt>
                <c:pt idx="12">
                  <c:v>18.071642557457089</c:v>
                </c:pt>
                <c:pt idx="13">
                  <c:v>17.908165316315252</c:v>
                </c:pt>
                <c:pt idx="14">
                  <c:v>16.786365018341076</c:v>
                </c:pt>
                <c:pt idx="15">
                  <c:v>11.3672591269615</c:v>
                </c:pt>
                <c:pt idx="16">
                  <c:v>9.6178712100545489</c:v>
                </c:pt>
                <c:pt idx="17">
                  <c:v>9.4410888328706157</c:v>
                </c:pt>
                <c:pt idx="18">
                  <c:v>10.794621127623005</c:v>
                </c:pt>
                <c:pt idx="19">
                  <c:v>10.410776619638721</c:v>
                </c:pt>
                <c:pt idx="20">
                  <c:v>11.225493284964054</c:v>
                </c:pt>
                <c:pt idx="21">
                  <c:v>11.79232663254435</c:v>
                </c:pt>
                <c:pt idx="22">
                  <c:v>12.641224199198549</c:v>
                </c:pt>
                <c:pt idx="23">
                  <c:v>12.83741347982785</c:v>
                </c:pt>
                <c:pt idx="24">
                  <c:v>13.318501834003582</c:v>
                </c:pt>
                <c:pt idx="25">
                  <c:v>14.830507060003551</c:v>
                </c:pt>
                <c:pt idx="26">
                  <c:v>14.66050980041847</c:v>
                </c:pt>
                <c:pt idx="27">
                  <c:v>14.171926415445183</c:v>
                </c:pt>
                <c:pt idx="28">
                  <c:v>12.926745930684422</c:v>
                </c:pt>
                <c:pt idx="29">
                  <c:v>12.792771834252662</c:v>
                </c:pt>
                <c:pt idx="30">
                  <c:v>12.77686883709845</c:v>
                </c:pt>
                <c:pt idx="31">
                  <c:v>12.215676084031044</c:v>
                </c:pt>
                <c:pt idx="32">
                  <c:v>13.255297631418404</c:v>
                </c:pt>
                <c:pt idx="33">
                  <c:v>13.350273439240414</c:v>
                </c:pt>
                <c:pt idx="34">
                  <c:v>13.057915258672836</c:v>
                </c:pt>
                <c:pt idx="35">
                  <c:v>14.997789266625279</c:v>
                </c:pt>
                <c:pt idx="36">
                  <c:v>14.974431008283176</c:v>
                </c:pt>
                <c:pt idx="37">
                  <c:v>14.162303131717232</c:v>
                </c:pt>
                <c:pt idx="38">
                  <c:v>14.499025313524356</c:v>
                </c:pt>
                <c:pt idx="39">
                  <c:v>14.49378333679272</c:v>
                </c:pt>
                <c:pt idx="40">
                  <c:v>17.111328570972969</c:v>
                </c:pt>
                <c:pt idx="41">
                  <c:v>17.385520699212726</c:v>
                </c:pt>
                <c:pt idx="42">
                  <c:v>18.843809422995431</c:v>
                </c:pt>
                <c:pt idx="43">
                  <c:v>21.274294138798233</c:v>
                </c:pt>
                <c:pt idx="44">
                  <c:v>24.684449907953049</c:v>
                </c:pt>
                <c:pt idx="45">
                  <c:v>26.121406197883733</c:v>
                </c:pt>
                <c:pt idx="46">
                  <c:v>28.36</c:v>
                </c:pt>
                <c:pt idx="47">
                  <c:v>31.557426806363559</c:v>
                </c:pt>
                <c:pt idx="48">
                  <c:v>47.262759844202428</c:v>
                </c:pt>
              </c:numCache>
            </c:numRef>
          </c:val>
        </c:ser>
        <c:marker val="1"/>
        <c:axId val="184829056"/>
        <c:axId val="184827264"/>
      </c:lineChart>
      <c:catAx>
        <c:axId val="184824192"/>
        <c:scaling>
          <c:orientation val="minMax"/>
        </c:scaling>
        <c:axPos val="b"/>
        <c:tickLblPos val="nextTo"/>
        <c:spPr>
          <a:ln>
            <a:solidFill>
              <a:schemeClr val="tx1"/>
            </a:solidFill>
          </a:ln>
        </c:spPr>
        <c:crossAx val="184825728"/>
        <c:crosses val="autoZero"/>
        <c:auto val="1"/>
        <c:lblAlgn val="ctr"/>
        <c:lblOffset val="100"/>
      </c:catAx>
      <c:valAx>
        <c:axId val="184825728"/>
        <c:scaling>
          <c:orientation val="minMax"/>
          <c:max val="2000"/>
        </c:scaling>
        <c:axPos val="l"/>
        <c:majorGridlines>
          <c:spPr>
            <a:ln w="6350">
              <a:solidFill>
                <a:schemeClr val="bg1">
                  <a:lumMod val="75000"/>
                </a:schemeClr>
              </a:solidFill>
            </a:ln>
          </c:spPr>
        </c:majorGridlines>
        <c:numFmt formatCode="#,##0" sourceLinked="1"/>
        <c:tickLblPos val="nextTo"/>
        <c:spPr>
          <a:ln>
            <a:solidFill>
              <a:schemeClr val="tx1"/>
            </a:solidFill>
          </a:ln>
        </c:spPr>
        <c:crossAx val="184824192"/>
        <c:crosses val="autoZero"/>
        <c:crossBetween val="between"/>
      </c:valAx>
      <c:valAx>
        <c:axId val="184827264"/>
        <c:scaling>
          <c:orientation val="minMax"/>
          <c:max val="50"/>
          <c:min val="0"/>
        </c:scaling>
        <c:axPos val="r"/>
        <c:numFmt formatCode="0" sourceLinked="0"/>
        <c:tickLblPos val="nextTo"/>
        <c:spPr>
          <a:ln>
            <a:solidFill>
              <a:schemeClr val="tx1"/>
            </a:solidFill>
          </a:ln>
        </c:spPr>
        <c:crossAx val="184829056"/>
        <c:crosses val="max"/>
        <c:crossBetween val="between"/>
        <c:majorUnit val="5"/>
      </c:valAx>
      <c:catAx>
        <c:axId val="184829056"/>
        <c:scaling>
          <c:orientation val="minMax"/>
        </c:scaling>
        <c:delete val="1"/>
        <c:axPos val="b"/>
        <c:tickLblPos val="none"/>
        <c:crossAx val="184827264"/>
        <c:crosses val="autoZero"/>
        <c:auto val="1"/>
        <c:lblAlgn val="ctr"/>
        <c:lblOffset val="100"/>
      </c:catAx>
      <c:spPr>
        <a:ln w="9525">
          <a:solidFill>
            <a:schemeClr val="tx1"/>
          </a:solidFill>
        </a:ln>
      </c:spPr>
    </c:plotArea>
    <c:legend>
      <c:legendPos val="b"/>
      <c:layout>
        <c:manualLayout>
          <c:xMode val="edge"/>
          <c:yMode val="edge"/>
          <c:x val="7.2101206564957457E-2"/>
          <c:y val="0.84535545423843705"/>
          <c:w val="0.88024441441740275"/>
          <c:h val="0.15204625428542545"/>
        </c:manualLayout>
      </c:layout>
      <c:spPr>
        <a:ln w="6350">
          <a:solidFill>
            <a:schemeClr val="tx1"/>
          </a:solidFill>
        </a:ln>
      </c:spPr>
    </c:legend>
    <c:plotVisOnly val="1"/>
    <c:dispBlanksAs val="gap"/>
  </c:chart>
  <c:spPr>
    <a:ln>
      <a:noFill/>
    </a:ln>
  </c:spPr>
  <c:txPr>
    <a:bodyPr/>
    <a:lstStyle/>
    <a:p>
      <a:pPr>
        <a:defRPr sz="800">
          <a:latin typeface="Arial" panose="020B0604020202020204" pitchFamily="34" charset="0"/>
          <a:cs typeface="Arial" panose="020B0604020202020204" pitchFamily="34" charset="0"/>
        </a:defRPr>
      </a:pPr>
      <a:endParaRPr lang="cs-CZ"/>
    </a:p>
  </c:txPr>
  <c:externalData r:id="rId1"/>
</c:chartSpace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619611-DDF8-4265-BD44-10DB2F86985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F0513BB-99B0-45B7-BAE6-88BDA0BB5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bar_vicetematicke.dot</Template>
  <TotalTime>2</TotalTime>
  <Pages>5</Pages>
  <Words>1752</Words>
  <Characters>10343</Characters>
  <Application>Microsoft Office Word</Application>
  <DocSecurity>0</DocSecurity>
  <Lines>86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CSU</Company>
  <LinksUpToDate>false</LinksUpToDate>
  <CharactersWithSpaces>12071</CharactersWithSpaces>
  <SharedDoc>false</SharedDoc>
  <HLinks>
    <vt:vector size="66" baseType="variant">
      <vt:variant>
        <vt:i4>1376311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_Toc469327805</vt:lpwstr>
      </vt:variant>
      <vt:variant>
        <vt:i4>1376311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_Toc469327804</vt:lpwstr>
      </vt:variant>
      <vt:variant>
        <vt:i4>1376311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_Toc469327803</vt:lpwstr>
      </vt:variant>
      <vt:variant>
        <vt:i4>1376311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_Toc469327802</vt:lpwstr>
      </vt:variant>
      <vt:variant>
        <vt:i4>1376311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_Toc469327801</vt:lpwstr>
      </vt:variant>
      <vt:variant>
        <vt:i4>1376311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_Toc469327800</vt:lpwstr>
      </vt:variant>
      <vt:variant>
        <vt:i4>1835064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_Toc469327799</vt:lpwstr>
      </vt:variant>
      <vt:variant>
        <vt:i4>1835064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_Toc469327798</vt:lpwstr>
      </vt:variant>
      <vt:variant>
        <vt:i4>1835064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_Toc469327797</vt:lpwstr>
      </vt:variant>
      <vt:variant>
        <vt:i4>6553606</vt:i4>
      </vt:variant>
      <vt:variant>
        <vt:i4>3</vt:i4>
      </vt:variant>
      <vt:variant>
        <vt:i4>0</vt:i4>
      </vt:variant>
      <vt:variant>
        <vt:i4>5</vt:i4>
      </vt:variant>
      <vt:variant>
        <vt:lpwstr>mailto:jiri.kamenicky@czso.cz</vt:lpwstr>
      </vt:variant>
      <vt:variant>
        <vt:lpwstr/>
      </vt:variant>
      <vt:variant>
        <vt:i4>6553606</vt:i4>
      </vt:variant>
      <vt:variant>
        <vt:i4>0</vt:i4>
      </vt:variant>
      <vt:variant>
        <vt:i4>0</vt:i4>
      </vt:variant>
      <vt:variant>
        <vt:i4>5</vt:i4>
      </vt:variant>
      <vt:variant>
        <vt:lpwstr>mailto:jiri.kamenicky@czso.cz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Emilie Jašová</dc:creator>
  <cp:lastModifiedBy>kamenicky3604</cp:lastModifiedBy>
  <cp:revision>3</cp:revision>
  <cp:lastPrinted>2017-03-16T10:07:00Z</cp:lastPrinted>
  <dcterms:created xsi:type="dcterms:W3CDTF">2017-06-20T12:55:00Z</dcterms:created>
  <dcterms:modified xsi:type="dcterms:W3CDTF">2017-06-20T12:57:00Z</dcterms:modified>
</cp:coreProperties>
</file>