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FC4669" w:rsidRDefault="00BB64DB" w:rsidP="00694914">
      <w:pPr>
        <w:pStyle w:val="Nadpis1"/>
        <w:numPr>
          <w:ilvl w:val="0"/>
          <w:numId w:val="17"/>
        </w:numPr>
      </w:pPr>
      <w:bookmarkStart w:id="0" w:name="_Toc430189807"/>
      <w:bookmarkStart w:id="1" w:name="_Toc465253900"/>
      <w:r w:rsidRPr="00FC4669">
        <w:t>ROZHLAS A TELEVIZE</w:t>
      </w:r>
      <w:bookmarkEnd w:id="0"/>
      <w:bookmarkEnd w:id="1"/>
    </w:p>
    <w:p w:rsidR="00BB64DB" w:rsidRPr="00FC4669" w:rsidRDefault="00BB64DB" w:rsidP="00BB64DB">
      <w:r w:rsidRPr="00FC4669">
        <w:t>Rozhlasové a televizní vysílání v druhé dekádě nového milénia již není limitované vlastnictvím klasického přijímače (televize či rádia) a stále významnější roli hrají jiná technologická zařízení (počítač, ta</w:t>
      </w:r>
      <w:r w:rsidR="00354201" w:rsidRPr="00FC4669">
        <w:t>blet, chytrý telefon), přes která</w:t>
      </w:r>
      <w:r w:rsidRPr="00FC4669">
        <w:t xml:space="preserve"> mohou diváci prostřednictvím internetu sledovat či poslouchat živé vysílání. Díky</w:t>
      </w:r>
      <w:r w:rsidR="00220644" w:rsidRPr="00FC4669">
        <w:t> </w:t>
      </w:r>
      <w:r w:rsidRPr="00FC4669">
        <w:t xml:space="preserve">existenci hudebních a audiovizuálních katalogů není divák odkázán pouze na poslech či sledování obsahu v reálném čase, </w:t>
      </w:r>
      <w:r w:rsidR="003D58AA" w:rsidRPr="00FC4669">
        <w:t>ale může si vybrat z televizní či hudební</w:t>
      </w:r>
      <w:r w:rsidRPr="00FC4669">
        <w:t xml:space="preserve"> </w:t>
      </w:r>
      <w:r w:rsidR="003D58AA" w:rsidRPr="00FC4669">
        <w:t>nabídky</w:t>
      </w:r>
      <w:r w:rsidRPr="00FC4669">
        <w:t xml:space="preserve"> obsah, který chce ve zvolenou dobu přehrát. Tyto služby poskytují buďto </w:t>
      </w:r>
      <w:r w:rsidR="003D58AA" w:rsidRPr="00FC4669">
        <w:t>přímo</w:t>
      </w:r>
      <w:r w:rsidRPr="00FC4669">
        <w:t xml:space="preserve"> provozovatelé televizního a rozhlasového vysílání</w:t>
      </w:r>
      <w:r w:rsidR="00354201" w:rsidRPr="00FC4669">
        <w:t>,</w:t>
      </w:r>
      <w:r w:rsidRPr="00FC4669">
        <w:t xml:space="preserve"> nebo samostatní tvůrci hudebních či audiovizuálních katalogů</w:t>
      </w:r>
      <w:r w:rsidR="00354201" w:rsidRPr="00FC4669">
        <w:t xml:space="preserve"> (jako třeba již zmíněný Stream.cz)</w:t>
      </w:r>
      <w:r w:rsidRPr="00FC4669">
        <w:t>. Samozřejmostí se v průběhu minulých let stal také digitální přenos televizního vysílání.</w:t>
      </w:r>
    </w:p>
    <w:p w:rsidR="00BB64DB" w:rsidRPr="00FC4669" w:rsidRDefault="00BB64DB" w:rsidP="00BB64DB">
      <w:pPr>
        <w:ind w:firstLine="708"/>
      </w:pPr>
      <w:r w:rsidRPr="00FC4669">
        <w:t>I přes nárůst obliby sledování rádia a televize online a vznik nových hudebních a audiov</w:t>
      </w:r>
      <w:r w:rsidR="003A419C" w:rsidRPr="00FC4669">
        <w:t xml:space="preserve">izuálních katalogů </w:t>
      </w:r>
      <w:r w:rsidRPr="00FC4669">
        <w:t>klesá zájem o provozování klasického vysílání prostřednictvím vysílačů</w:t>
      </w:r>
      <w:r w:rsidR="003A419C" w:rsidRPr="00FC4669">
        <w:t xml:space="preserve"> jen pozvolna</w:t>
      </w:r>
      <w:r w:rsidRPr="00FC4669">
        <w:t xml:space="preserve">. Počet </w:t>
      </w:r>
      <w:r w:rsidR="00DF2BE0" w:rsidRPr="00FC4669">
        <w:t>provozovatelů</w:t>
      </w:r>
      <w:r w:rsidRPr="00FC4669">
        <w:t xml:space="preserve"> rozhlasového i televizního vysílání dle počtu udělených licencí </w:t>
      </w:r>
      <w:r w:rsidR="00B07800" w:rsidRPr="00FC4669">
        <w:t>mezi lety 2012</w:t>
      </w:r>
      <w:r w:rsidR="000E44A0" w:rsidRPr="00FC4669">
        <w:t xml:space="preserve"> a</w:t>
      </w:r>
      <w:r w:rsidR="00B07800" w:rsidRPr="00FC4669">
        <w:t xml:space="preserve"> 2017</w:t>
      </w:r>
      <w:r w:rsidRPr="00FC4669">
        <w:t xml:space="preserve"> </w:t>
      </w:r>
      <w:r w:rsidR="00B07800" w:rsidRPr="00FC4669">
        <w:t>poklesl jen o jednotky a v roce 2017 dosahoval výše 133 provozovatelů televizního vysílání a 52 provozovatelů rozhlasového vysílání</w:t>
      </w:r>
      <w:r w:rsidRPr="00FC4669">
        <w:t xml:space="preserve">. Nutno podotknout, že počet </w:t>
      </w:r>
      <w:r w:rsidR="00DF2BE0" w:rsidRPr="00FC4669">
        <w:t>provozovatelů</w:t>
      </w:r>
      <w:r w:rsidRPr="00FC4669">
        <w:t xml:space="preserve"> televizního vysílání zahrnuje ve velké míře regionální </w:t>
      </w:r>
      <w:r w:rsidR="00DF2BE0" w:rsidRPr="00FC4669">
        <w:t>„</w:t>
      </w:r>
      <w:r w:rsidRPr="00FC4669">
        <w:t>infokanály</w:t>
      </w:r>
      <w:r w:rsidR="00DF2BE0" w:rsidRPr="00FC4669">
        <w:t>“</w:t>
      </w:r>
      <w:r w:rsidRPr="00FC4669">
        <w:t>, které často omezují své vysílání na opakující se audiovizuální smyčku</w:t>
      </w:r>
      <w:r w:rsidR="003D58AA" w:rsidRPr="00FC4669">
        <w:t>,</w:t>
      </w:r>
      <w:r w:rsidRPr="00FC4669">
        <w:t xml:space="preserve"> a že licence jsou udělované také poskytovatelům zahraničního vysílání sídlícím na území ČR. Struktura vysílání bude podrobněji popsaná v kapitolách věnujících se rozhlasu</w:t>
      </w:r>
      <w:r w:rsidR="00282CCA" w:rsidRPr="00FC4669">
        <w:t> </w:t>
      </w:r>
      <w:r w:rsidRPr="00FC4669">
        <w:t>a</w:t>
      </w:r>
      <w:r w:rsidR="00282CCA" w:rsidRPr="00FC4669">
        <w:t> </w:t>
      </w:r>
      <w:r w:rsidRPr="00FC4669">
        <w:t xml:space="preserve">televizi jednotlivě. 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FE5705">
        <w:rPr>
          <w:color w:val="auto"/>
          <w:sz w:val="22"/>
          <w:szCs w:val="22"/>
        </w:rPr>
        <w:t>43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>Počet provozovatelů rozhlasového a televizního vysílání</w:t>
      </w:r>
    </w:p>
    <w:p w:rsidR="00BB64DB" w:rsidRPr="00FC4669" w:rsidRDefault="00B07800" w:rsidP="00BB64DB">
      <w:pPr>
        <w:keepNext/>
      </w:pPr>
      <w:r w:rsidRPr="00FC4669">
        <w:rPr>
          <w:noProof/>
        </w:rPr>
        <w:drawing>
          <wp:inline distT="0" distB="0" distL="0" distR="0">
            <wp:extent cx="6105525" cy="2486025"/>
            <wp:effectExtent l="0" t="0" r="0" b="0"/>
            <wp:docPr id="121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RRTV</w:t>
      </w:r>
    </w:p>
    <w:p w:rsidR="003A419C" w:rsidRPr="00FC4669" w:rsidRDefault="003D58AA" w:rsidP="00BB64DB">
      <w:r w:rsidRPr="00FC4669">
        <w:t>Zohledníme-</w:t>
      </w:r>
      <w:r w:rsidR="002978CD" w:rsidRPr="00FC4669">
        <w:t>li pouze sledování televize a poslech rádia přes internet, sledování televize přes internet bylo v</w:t>
      </w:r>
      <w:r w:rsidR="00FE5705">
        <w:t xml:space="preserve"> roce 2016 v </w:t>
      </w:r>
      <w:r w:rsidR="002978CD" w:rsidRPr="00FC4669">
        <w:t xml:space="preserve">české populaci oblíbenější (necelých 24 </w:t>
      </w:r>
      <w:r w:rsidR="00D93FAE" w:rsidRPr="00FC4669">
        <w:t>% populace sledovalo televiz</w:t>
      </w:r>
      <w:r w:rsidR="002978CD" w:rsidRPr="00FC4669">
        <w:t xml:space="preserve">i online) než poslech rádia (online rádio poslouchalo 19 % populace). Jak ukazuje Graf </w:t>
      </w:r>
      <w:r w:rsidR="00FE5705">
        <w:t>44</w:t>
      </w:r>
      <w:r w:rsidR="002978CD" w:rsidRPr="00FC4669">
        <w:t>, mladí lidé</w:t>
      </w:r>
      <w:r w:rsidRPr="00FC4669">
        <w:t xml:space="preserve"> do 24 let</w:t>
      </w:r>
      <w:r w:rsidR="002978CD" w:rsidRPr="00FC4669">
        <w:t xml:space="preserve"> poslouchali </w:t>
      </w:r>
      <w:r w:rsidR="001132C6" w:rsidRPr="00FC4669">
        <w:t>rádio</w:t>
      </w:r>
      <w:r w:rsidR="002978CD" w:rsidRPr="00FC4669">
        <w:t xml:space="preserve"> a</w:t>
      </w:r>
      <w:r w:rsidR="004D200D">
        <w:t> </w:t>
      </w:r>
      <w:r w:rsidR="002978CD" w:rsidRPr="00FC4669">
        <w:t xml:space="preserve">sledovali televizi přes internet ve stejné míře (38 % poslouchalo </w:t>
      </w:r>
      <w:r w:rsidR="001132C6" w:rsidRPr="00FC4669">
        <w:t>rádio</w:t>
      </w:r>
      <w:r w:rsidR="002978CD" w:rsidRPr="00FC4669">
        <w:t>, 37 % sledovalo televizi přes internet)</w:t>
      </w:r>
      <w:r w:rsidRPr="00FC4669">
        <w:t>. S</w:t>
      </w:r>
      <w:r w:rsidR="002978CD" w:rsidRPr="00FC4669">
        <w:t xml:space="preserve"> přibývajícím věkem pak strmě ubývá </w:t>
      </w:r>
      <w:r w:rsidR="001132C6" w:rsidRPr="00FC4669">
        <w:t>posluchačů</w:t>
      </w:r>
      <w:r w:rsidR="002978CD" w:rsidRPr="00FC4669">
        <w:t xml:space="preserve"> online rádia, za</w:t>
      </w:r>
      <w:r w:rsidRPr="00FC4669">
        <w:t>tímco diváků internetové televiz</w:t>
      </w:r>
      <w:r w:rsidR="002978CD" w:rsidRPr="00FC4669">
        <w:t>e ubývá s</w:t>
      </w:r>
      <w:r w:rsidR="004D200D">
        <w:t> </w:t>
      </w:r>
      <w:r w:rsidR="002978CD" w:rsidRPr="00FC4669">
        <w:t>přibývají</w:t>
      </w:r>
      <w:r w:rsidR="001132C6">
        <w:t>cí</w:t>
      </w:r>
      <w:r w:rsidR="002978CD" w:rsidRPr="00FC4669">
        <w:t>m věkem spíše pozvolna.</w:t>
      </w:r>
      <w:r w:rsidR="0025430C" w:rsidRPr="00FC4669">
        <w:t xml:space="preserve"> </w:t>
      </w:r>
      <w:r w:rsidR="00AB2949" w:rsidRPr="00FC4669">
        <w:t>Osoby starší 55 let pak</w:t>
      </w:r>
      <w:r w:rsidR="00D93FAE" w:rsidRPr="00FC4669">
        <w:t xml:space="preserve"> využívali</w:t>
      </w:r>
      <w:r w:rsidR="0025430C" w:rsidRPr="00FC4669">
        <w:t xml:space="preserve"> internet k přehrání rádia </w:t>
      </w:r>
      <w:r w:rsidR="00B07800" w:rsidRPr="00FC4669">
        <w:t>či sledování televiz</w:t>
      </w:r>
      <w:r w:rsidR="0025430C" w:rsidRPr="00FC4669">
        <w:t>e v menší míře.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lastRenderedPageBreak/>
        <w:t xml:space="preserve">Graf </w:t>
      </w:r>
      <w:r w:rsidR="00FE5705">
        <w:rPr>
          <w:color w:val="auto"/>
          <w:sz w:val="22"/>
          <w:szCs w:val="22"/>
        </w:rPr>
        <w:t>44</w:t>
      </w:r>
      <w:r w:rsidRPr="00FC4669">
        <w:rPr>
          <w:color w:val="auto"/>
          <w:sz w:val="22"/>
          <w:szCs w:val="22"/>
        </w:rPr>
        <w:t xml:space="preserve"> </w:t>
      </w:r>
      <w:r w:rsidR="006571EA" w:rsidRPr="00FC4669">
        <w:rPr>
          <w:b w:val="0"/>
          <w:color w:val="auto"/>
          <w:sz w:val="22"/>
          <w:szCs w:val="22"/>
        </w:rPr>
        <w:t xml:space="preserve">Využití internetu </w:t>
      </w:r>
      <w:r w:rsidRPr="00FC4669">
        <w:rPr>
          <w:b w:val="0"/>
          <w:color w:val="auto"/>
          <w:sz w:val="22"/>
          <w:szCs w:val="22"/>
        </w:rPr>
        <w:t>k poslechu rádia či sledování televize</w:t>
      </w:r>
      <w:r w:rsidR="002978CD" w:rsidRPr="00FC4669">
        <w:rPr>
          <w:b w:val="0"/>
          <w:color w:val="auto"/>
          <w:sz w:val="22"/>
          <w:szCs w:val="22"/>
        </w:rPr>
        <w:t xml:space="preserve"> v roce 2016</w:t>
      </w:r>
    </w:p>
    <w:p w:rsidR="00BB64DB" w:rsidRPr="00FC4669" w:rsidRDefault="003A419C" w:rsidP="00BB64DB">
      <w:pPr>
        <w:keepNext/>
      </w:pPr>
      <w:r w:rsidRPr="00FC4669">
        <w:rPr>
          <w:noProof/>
        </w:rPr>
        <w:drawing>
          <wp:inline distT="0" distB="0" distL="0" distR="0">
            <wp:extent cx="5743575" cy="2019300"/>
            <wp:effectExtent l="0" t="0" r="0" b="0"/>
            <wp:docPr id="17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2A0381" w:rsidRPr="00FC4669">
        <w:rPr>
          <w:b w:val="0"/>
          <w:color w:val="auto"/>
          <w:sz w:val="22"/>
          <w:szCs w:val="22"/>
        </w:rPr>
        <w:t>VŠIT, ČSÚ</w:t>
      </w:r>
    </w:p>
    <w:p w:rsidR="00B73377" w:rsidRDefault="00BB64DB" w:rsidP="00BB64DB">
      <w:pPr>
        <w:sectPr w:rsidR="00B73377" w:rsidSect="00B7337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1134" w:bottom="1418" w:left="1134" w:header="680" w:footer="680" w:gutter="0"/>
          <w:pgNumType w:start="41"/>
          <w:cols w:space="708"/>
          <w:docGrid w:linePitch="360"/>
        </w:sectPr>
      </w:pPr>
      <w:r w:rsidRPr="00FC4669">
        <w:t>Z hlediska struktury trhu lze dle platných zákonů</w:t>
      </w:r>
    </w:p>
    <w:p w:rsidR="001275BC" w:rsidRPr="00FC4669" w:rsidRDefault="00BB64DB" w:rsidP="00BB64DB">
      <w:r w:rsidRPr="00FC4669">
        <w:rPr>
          <w:rStyle w:val="Znakapoznpodarou"/>
        </w:rPr>
        <w:lastRenderedPageBreak/>
        <w:footnoteReference w:id="1"/>
      </w:r>
      <w:r w:rsidRPr="00FC4669">
        <w:t xml:space="preserve"> členit provozovatele rozhlasového a televizního vysílání na provozovatele veřejnoprávního vysílání a na soukromé provozovatele, kteří tuto činnost vykonávají na základě licence </w:t>
      </w:r>
      <w:r w:rsidR="009D29C0" w:rsidRPr="00FC4669">
        <w:t>(</w:t>
      </w:r>
      <w:r w:rsidRPr="00FC4669">
        <w:t>či registrace</w:t>
      </w:r>
      <w:r w:rsidR="009D29C0" w:rsidRPr="00FC4669">
        <w:t xml:space="preserve"> v případě převzatého vysílání)</w:t>
      </w:r>
      <w:r w:rsidRPr="00FC4669">
        <w:t xml:space="preserve">. Dále je možné rozlišovat jednotlivé provozovatele podle rozsahu jejich pokrytí či dle programového zařazení. Při zkoumání ekonomických ukazatelů se budou lišit veřejnoprávní a soukromí </w:t>
      </w:r>
      <w:r w:rsidR="009D29C0" w:rsidRPr="00FC4669">
        <w:t>provozovatelé</w:t>
      </w:r>
      <w:r w:rsidRPr="00FC4669">
        <w:t xml:space="preserve"> zejména ve struktuře financování. Zatímco</w:t>
      </w:r>
      <w:r w:rsidR="00220644" w:rsidRPr="00FC4669">
        <w:t> </w:t>
      </w:r>
      <w:r w:rsidRPr="00FC4669">
        <w:t>důležitý zdroj příjmu provozovatelů veřejnoprávního vysílání tvoří koncesionářské poplatky, soukromí provozovatelé jsou odkázání na příjmy z vlastní podnikatelské činnosti a to zejména na pro</w:t>
      </w:r>
      <w:r w:rsidR="00430E4E" w:rsidRPr="00FC4669">
        <w:t>dej reklamního času (</w:t>
      </w:r>
      <w:r w:rsidR="00841A5E" w:rsidRPr="00FC4669">
        <w:t>Křeček, 2015</w:t>
      </w:r>
      <w:r w:rsidRPr="00FC4669">
        <w:t>).</w:t>
      </w:r>
    </w:p>
    <w:p w:rsidR="00354201" w:rsidRPr="00FC4669" w:rsidRDefault="00BB64DB" w:rsidP="00471102">
      <w:pPr>
        <w:ind w:firstLine="708"/>
      </w:pPr>
      <w:r w:rsidRPr="00FC4669">
        <w:t xml:space="preserve">Údaje o příjmech a výdajích stejně jako o počtu zaměstnanců použité v rámci této analýzy pochází z šetření ČSÚ </w:t>
      </w:r>
      <w:r w:rsidR="00D45C2E">
        <w:t>Kult 6-01</w:t>
      </w:r>
      <w:r w:rsidRPr="00FC4669">
        <w:t>, které je pro</w:t>
      </w:r>
      <w:r w:rsidR="00354201" w:rsidRPr="00FC4669">
        <w:t>váděné vyčerpávajícím zjišťováním. Lze tedy předpokládat, že takto získané údaje poskytují pro potřeby této publikace podrobnější vhled než v ostatních kapitolách použitá data Podnikové strukturální statistiky.</w:t>
      </w:r>
      <w:r w:rsidR="001275BC" w:rsidRPr="00FC4669">
        <w:t xml:space="preserve"> Šetření navíc prošlo v posledních letech úpravami v</w:t>
      </w:r>
      <w:r w:rsidR="00AB2949" w:rsidRPr="00FC4669">
        <w:t> souladu s potřebami uživatelů d</w:t>
      </w:r>
      <w:r w:rsidR="001275BC" w:rsidRPr="00FC4669">
        <w:t>at a současnými trendy v audiovizuálním a mediálním sektoru. Více prostoru získaly hudební pořady v rozhlasovém vysílání, které jsou nově členěny podle období vzniku nahrávky a státní příslušnosti interpreta. Dále byly ve zpracovatelském roce 2018 do šetření poprvé zahrnuty údaje o poskytovatelí</w:t>
      </w:r>
      <w:r w:rsidR="00AB2949" w:rsidRPr="00FC4669">
        <w:t>ch</w:t>
      </w:r>
      <w:r w:rsidR="001275BC" w:rsidRPr="00FC4669">
        <w:t xml:space="preserve"> online katalogů pořadů. </w:t>
      </w:r>
    </w:p>
    <w:p w:rsidR="009E51E5" w:rsidRPr="00FC4669" w:rsidRDefault="00BB64DB" w:rsidP="00BB64DB">
      <w:pPr>
        <w:ind w:firstLine="708"/>
      </w:pPr>
      <w:r w:rsidRPr="00FC4669">
        <w:t xml:space="preserve">Výše výdajů domácností na služby a produkty rozhlasového a televizního vysílání je </w:t>
      </w:r>
      <w:r w:rsidR="00AB2949" w:rsidRPr="00FC4669">
        <w:t>v</w:t>
      </w:r>
      <w:r w:rsidRPr="00FC4669">
        <w:t xml:space="preserve">e velké míře ovlivněna výší koncesionářských poplatků. Ty ve struktuře výdajů domácností </w:t>
      </w:r>
      <w:r w:rsidR="00AB2949" w:rsidRPr="00FC4669">
        <w:t xml:space="preserve">na rozhlas a televizi </w:t>
      </w:r>
      <w:r w:rsidRPr="00FC4669">
        <w:t>v posledních letech však již netvoří většinový</w:t>
      </w:r>
      <w:r w:rsidR="00AB2949" w:rsidRPr="00FC4669">
        <w:t xml:space="preserve"> podíl. V roce 2017</w:t>
      </w:r>
      <w:r w:rsidRPr="00FC4669">
        <w:t xml:space="preserve"> dosahovaly výdaje domácností </w:t>
      </w:r>
      <w:r w:rsidR="009D29C0" w:rsidRPr="00FC4669">
        <w:t>na rozhlas a</w:t>
      </w:r>
      <w:r w:rsidR="00471102">
        <w:t> </w:t>
      </w:r>
      <w:r w:rsidR="009D29C0" w:rsidRPr="00FC4669">
        <w:t xml:space="preserve">televizi výše </w:t>
      </w:r>
      <w:r w:rsidR="00841A5E" w:rsidRPr="00FC4669">
        <w:t>17</w:t>
      </w:r>
      <w:r w:rsidR="00EA7E97" w:rsidRPr="00FC4669">
        <w:t>,8</w:t>
      </w:r>
      <w:r w:rsidR="009D29C0" w:rsidRPr="00FC4669">
        <w:t xml:space="preserve"> mld. Kč, přičemž </w:t>
      </w:r>
      <w:r w:rsidRPr="00FC4669">
        <w:t>poplatky za rozhlasové a televizní vysílání tvořily dle dostupných ú</w:t>
      </w:r>
      <w:r w:rsidR="00B02802" w:rsidRPr="00FC4669">
        <w:t>dajů</w:t>
      </w:r>
      <w:r w:rsidR="00735F55" w:rsidRPr="00FC4669">
        <w:t xml:space="preserve"> z této částky</w:t>
      </w:r>
      <w:r w:rsidR="00B02802" w:rsidRPr="00FC4669">
        <w:t xml:space="preserve"> </w:t>
      </w:r>
      <w:r w:rsidR="00EA7E97" w:rsidRPr="00FC4669">
        <w:t>7,1</w:t>
      </w:r>
      <w:r w:rsidRPr="00FC4669">
        <w:t xml:space="preserve"> mld. Kč. Přesná struktura výdajů domácností není k dispozici, lze však předpokládat, že zbylé výdaje tvoří z velké části výdaje za služby zprostředkovatelům televizního a rozhlasového vysílání.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lastRenderedPageBreak/>
        <w:t xml:space="preserve">Graf </w:t>
      </w:r>
      <w:r w:rsidR="00D45C2E">
        <w:rPr>
          <w:color w:val="auto"/>
          <w:sz w:val="22"/>
          <w:szCs w:val="22"/>
        </w:rPr>
        <w:t>45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 xml:space="preserve">Výdaje domácností na služby spojené s rozhlasovým a televizním vysíláním </w:t>
      </w:r>
      <w:r w:rsidR="001B6DBF" w:rsidRPr="00FC4669">
        <w:rPr>
          <w:b w:val="0"/>
          <w:color w:val="auto"/>
          <w:sz w:val="22"/>
          <w:szCs w:val="22"/>
        </w:rPr>
        <w:t>(</w:t>
      </w:r>
      <w:r w:rsidR="0016269D" w:rsidRPr="00FC4669">
        <w:rPr>
          <w:b w:val="0"/>
          <w:color w:val="auto"/>
          <w:sz w:val="22"/>
          <w:szCs w:val="22"/>
        </w:rPr>
        <w:t>včetně</w:t>
      </w:r>
      <w:r w:rsidR="00313494" w:rsidRPr="00FC4669">
        <w:rPr>
          <w:b w:val="0"/>
          <w:color w:val="auto"/>
          <w:sz w:val="22"/>
          <w:szCs w:val="22"/>
        </w:rPr>
        <w:t> </w:t>
      </w:r>
      <w:r w:rsidR="00B02B9F" w:rsidRPr="00FC4669">
        <w:rPr>
          <w:b w:val="0"/>
          <w:color w:val="auto"/>
          <w:sz w:val="22"/>
          <w:szCs w:val="22"/>
        </w:rPr>
        <w:t xml:space="preserve">koncesionářských poplatků, </w:t>
      </w:r>
      <w:r w:rsidR="001B6DBF" w:rsidRPr="00FC4669">
        <w:rPr>
          <w:b w:val="0"/>
          <w:color w:val="auto"/>
          <w:sz w:val="22"/>
          <w:szCs w:val="22"/>
        </w:rPr>
        <w:t>v mld</w:t>
      </w:r>
      <w:r w:rsidRPr="00FC4669">
        <w:rPr>
          <w:b w:val="0"/>
          <w:color w:val="auto"/>
          <w:sz w:val="22"/>
          <w:szCs w:val="22"/>
        </w:rPr>
        <w:t>. Kč</w:t>
      </w:r>
      <w:r w:rsidR="001B6DBF" w:rsidRPr="00FC4669">
        <w:rPr>
          <w:b w:val="0"/>
          <w:color w:val="auto"/>
          <w:sz w:val="22"/>
          <w:szCs w:val="22"/>
        </w:rPr>
        <w:t>)</w:t>
      </w:r>
    </w:p>
    <w:p w:rsidR="00EF1538" w:rsidRPr="00FC4669" w:rsidRDefault="001275BC" w:rsidP="00EF1538">
      <w:pPr>
        <w:keepNext/>
      </w:pPr>
      <w:r w:rsidRPr="00FC4669">
        <w:rPr>
          <w:noProof/>
        </w:rPr>
        <w:drawing>
          <wp:inline distT="0" distB="0" distL="0" distR="0">
            <wp:extent cx="6210300" cy="1514475"/>
            <wp:effectExtent l="0" t="0" r="0" b="0"/>
            <wp:docPr id="122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75BC" w:rsidRPr="00FC4669" w:rsidRDefault="00C515BF" w:rsidP="00EF1538">
      <w:pPr>
        <w:keepNext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FC466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Národní účty, ČSÚ</w:t>
      </w:r>
    </w:p>
    <w:p w:rsidR="00BB64DB" w:rsidRPr="00FC4669" w:rsidRDefault="00BB64DB" w:rsidP="00694914">
      <w:pPr>
        <w:pStyle w:val="Nadpis2"/>
        <w:numPr>
          <w:ilvl w:val="1"/>
          <w:numId w:val="17"/>
        </w:numPr>
      </w:pPr>
      <w:bookmarkStart w:id="2" w:name="_Toc430189808"/>
      <w:bookmarkStart w:id="3" w:name="_Toc463969191"/>
      <w:bookmarkStart w:id="4" w:name="_Toc465253901"/>
      <w:r w:rsidRPr="00FC4669">
        <w:t>ROZHLAS</w:t>
      </w:r>
      <w:bookmarkEnd w:id="2"/>
      <w:bookmarkEnd w:id="3"/>
      <w:bookmarkEnd w:id="4"/>
    </w:p>
    <w:p w:rsidR="00BB64DB" w:rsidRPr="00FC4669" w:rsidRDefault="00BB64DB" w:rsidP="00BB64DB">
      <w:pPr>
        <w:pStyle w:val="Titulek"/>
        <w:keepNext/>
        <w:jc w:val="right"/>
        <w:rPr>
          <w:b w:val="0"/>
          <w:color w:val="auto"/>
          <w:sz w:val="22"/>
          <w:szCs w:val="22"/>
        </w:rPr>
      </w:pPr>
      <w:bookmarkStart w:id="5" w:name="_Toc464832053"/>
      <w:r w:rsidRPr="00FC4669">
        <w:rPr>
          <w:color w:val="auto"/>
          <w:sz w:val="22"/>
          <w:szCs w:val="22"/>
        </w:rPr>
        <w:t xml:space="preserve">Tabulka </w:t>
      </w:r>
      <w:r w:rsidR="00D45C2E">
        <w:rPr>
          <w:color w:val="auto"/>
          <w:sz w:val="22"/>
          <w:szCs w:val="22"/>
        </w:rPr>
        <w:t>7</w:t>
      </w:r>
      <w:r w:rsidRPr="00FC4669">
        <w:rPr>
          <w:b w:val="0"/>
          <w:color w:val="auto"/>
          <w:sz w:val="22"/>
          <w:szCs w:val="22"/>
        </w:rPr>
        <w:t xml:space="preserve"> Vymezení oblasti rozhlasu podle klasifikace NACE</w:t>
      </w:r>
      <w:bookmarkEnd w:id="5"/>
    </w:p>
    <w:tbl>
      <w:tblPr>
        <w:tblW w:w="6377" w:type="dxa"/>
        <w:jc w:val="right"/>
        <w:tblCellMar>
          <w:left w:w="70" w:type="dxa"/>
          <w:right w:w="70" w:type="dxa"/>
        </w:tblCellMar>
        <w:tblLook w:val="04A0"/>
      </w:tblPr>
      <w:tblGrid>
        <w:gridCol w:w="1009"/>
        <w:gridCol w:w="5368"/>
      </w:tblGrid>
      <w:tr w:rsidR="00BB64DB" w:rsidRPr="00FC4669" w:rsidTr="00BE7BBE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FC4669" w:rsidRDefault="00BB64DB" w:rsidP="00BE7BBE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FC4669" w:rsidRDefault="00BB64DB" w:rsidP="00BE7BBE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FC4669" w:rsidTr="00583523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BE7BBE">
            <w:pPr>
              <w:spacing w:after="0" w:line="276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60.10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BE7BBE">
            <w:pPr>
              <w:spacing w:after="0" w:line="276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Rozhlasové vysílání</w:t>
            </w:r>
          </w:p>
        </w:tc>
      </w:tr>
    </w:tbl>
    <w:p w:rsidR="00BB64DB" w:rsidRPr="00FC4669" w:rsidRDefault="00BB64DB" w:rsidP="00BB64DB"/>
    <w:p w:rsidR="00BB64DB" w:rsidRPr="00FC4669" w:rsidRDefault="00BB64DB" w:rsidP="00BB64DB">
      <w:r w:rsidRPr="00FC4669">
        <w:t xml:space="preserve">I přes rozvoj hudebních katalogů typu </w:t>
      </w:r>
      <w:r w:rsidRPr="00FC4669">
        <w:rPr>
          <w:i/>
        </w:rPr>
        <w:t>Spotify</w:t>
      </w:r>
      <w:r w:rsidRPr="00FC4669">
        <w:t xml:space="preserve"> a snadný přístup k žánrovým online rádiím, jež mohou nabídnout nepřetržitý hudební tok dle požadavků posluchačů, nedochází dlouhodobě k velkému úbytku posluchačů zavedených </w:t>
      </w:r>
      <w:r w:rsidR="00D93FAE" w:rsidRPr="00FC4669">
        <w:t>rozhlasových</w:t>
      </w:r>
      <w:r w:rsidRPr="00FC4669">
        <w:t xml:space="preserve"> </w:t>
      </w:r>
      <w:r w:rsidR="00D93FAE" w:rsidRPr="00FC4669">
        <w:t>programů</w:t>
      </w:r>
      <w:r w:rsidRPr="00FC4669">
        <w:t xml:space="preserve">. To může poukazovat na hodnotu vysílaných programů kombinujících mluvené slovo s hudebním obsahem v reálném čase, jež nemá zatím v rámci dostupných digitálních </w:t>
      </w:r>
      <w:r w:rsidR="00EA2491" w:rsidRPr="00FC4669">
        <w:t xml:space="preserve">služeb substitut. </w:t>
      </w:r>
      <w:r w:rsidR="006807FF" w:rsidRPr="00FC4669">
        <w:t>Poslechovost</w:t>
      </w:r>
      <w:r w:rsidR="006807FF" w:rsidRPr="00FC4669">
        <w:rPr>
          <w:rStyle w:val="Znakapoznpodarou"/>
        </w:rPr>
        <w:footnoteReference w:id="2"/>
      </w:r>
      <w:r w:rsidR="006807FF" w:rsidRPr="00FC4669">
        <w:t xml:space="preserve"> rozhla</w:t>
      </w:r>
      <w:r w:rsidR="00471102">
        <w:t xml:space="preserve">sových programů </w:t>
      </w:r>
      <w:r w:rsidR="00471102" w:rsidRPr="00FC4669">
        <w:t xml:space="preserve">v rámci jednoho týdne </w:t>
      </w:r>
      <w:r w:rsidR="00471102">
        <w:t>v populaci 12–</w:t>
      </w:r>
      <w:r w:rsidR="006807FF" w:rsidRPr="00FC4669">
        <w:t>79</w:t>
      </w:r>
      <w:r w:rsidR="003A7ABE" w:rsidRPr="00FC4669">
        <w:t xml:space="preserve"> let</w:t>
      </w:r>
      <w:r w:rsidR="006807FF" w:rsidRPr="00FC4669">
        <w:t xml:space="preserve"> dosah</w:t>
      </w:r>
      <w:r w:rsidR="00471102">
        <w:t>ovala v první polovině roku 2017</w:t>
      </w:r>
      <w:r w:rsidR="006807FF" w:rsidRPr="00FC4669">
        <w:t xml:space="preserve"> podle výzkumu Radioprojekt více než 85 % a v druh</w:t>
      </w:r>
      <w:r w:rsidR="006568DB" w:rsidRPr="00FC4669">
        <w:t>é polovině roku 2017</w:t>
      </w:r>
      <w:r w:rsidR="006807FF" w:rsidRPr="00FC4669">
        <w:t xml:space="preserve"> zaznamenala oproti první polovině dokonce mírný nárůst</w:t>
      </w:r>
      <w:r w:rsidR="0016269D" w:rsidRPr="00FC4669">
        <w:t>. Jak ukazuje Graf 4</w:t>
      </w:r>
      <w:r w:rsidR="00D45C2E">
        <w:t>6</w:t>
      </w:r>
      <w:r w:rsidRPr="00FC4669">
        <w:t xml:space="preserve">, v rámci rozdělení trhu </w:t>
      </w:r>
      <w:r w:rsidR="00BE7BBE" w:rsidRPr="00FC4669">
        <w:t xml:space="preserve">ovládá většinu </w:t>
      </w:r>
      <w:r w:rsidRPr="00FC4669">
        <w:t>rádií pouze několik velkých mediálních zastupitelství (</w:t>
      </w:r>
      <w:r w:rsidR="006568DB" w:rsidRPr="00FC4669">
        <w:t xml:space="preserve">mediální zastupitelství </w:t>
      </w:r>
      <w:r w:rsidRPr="00FC4669">
        <w:t xml:space="preserve">Radiohouse a </w:t>
      </w:r>
      <w:r w:rsidR="006568DB" w:rsidRPr="00FC4669">
        <w:t xml:space="preserve">Media Club </w:t>
      </w:r>
      <w:r w:rsidR="00A35B08" w:rsidRPr="00FC4669">
        <w:t xml:space="preserve">ovládají </w:t>
      </w:r>
      <w:r w:rsidR="006568DB" w:rsidRPr="00FC4669">
        <w:t>přibližně</w:t>
      </w:r>
      <w:r w:rsidR="00EA2491" w:rsidRPr="00FC4669">
        <w:t xml:space="preserve"> 76</w:t>
      </w:r>
      <w:r w:rsidR="00471102">
        <w:t xml:space="preserve"> </w:t>
      </w:r>
      <w:r w:rsidR="00BE7BBE" w:rsidRPr="00FC4669">
        <w:t>% trhu</w:t>
      </w:r>
      <w:r w:rsidRPr="00FC4669">
        <w:t>). Če</w:t>
      </w:r>
      <w:r w:rsidR="00EA2491" w:rsidRPr="00FC4669">
        <w:t>ský rozhlas pak dosahuje na 22</w:t>
      </w:r>
      <w:r w:rsidRPr="00FC4669">
        <w:t xml:space="preserve"> % z celkové </w:t>
      </w:r>
      <w:proofErr w:type="spellStart"/>
      <w:r w:rsidRPr="00FC4669">
        <w:t>poslechovosti</w:t>
      </w:r>
      <w:proofErr w:type="spellEnd"/>
      <w:r w:rsidRPr="00FC4669">
        <w:t xml:space="preserve"> a</w:t>
      </w:r>
      <w:r w:rsidR="000E0D24">
        <w:t> </w:t>
      </w:r>
      <w:r w:rsidRPr="00FC4669">
        <w:t xml:space="preserve">na ostatní stanice zbývají </w:t>
      </w:r>
      <w:r w:rsidR="00EA2491" w:rsidRPr="00FC4669">
        <w:t>zhruba</w:t>
      </w:r>
      <w:r w:rsidRPr="00FC4669">
        <w:t xml:space="preserve"> 2</w:t>
      </w:r>
      <w:r w:rsidR="00471102">
        <w:t xml:space="preserve"> </w:t>
      </w:r>
      <w:r w:rsidR="00C515BF" w:rsidRPr="00FC4669">
        <w:t>% trhu</w:t>
      </w:r>
      <w:r w:rsidRPr="00FC4669">
        <w:t xml:space="preserve"> </w:t>
      </w:r>
      <w:r w:rsidR="006568DB" w:rsidRPr="00FC4669">
        <w:t>(Radioprojekt, 2017</w:t>
      </w:r>
      <w:r w:rsidR="00A35B08" w:rsidRPr="00FC4669">
        <w:t>)</w:t>
      </w:r>
      <w:r w:rsidR="00C515BF" w:rsidRPr="00FC4669">
        <w:t>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4</w:t>
      </w:r>
      <w:r w:rsidR="00D45C2E">
        <w:rPr>
          <w:color w:val="auto"/>
          <w:sz w:val="22"/>
          <w:szCs w:val="22"/>
        </w:rPr>
        <w:t>6</w:t>
      </w:r>
      <w:r w:rsidRPr="00FC4669">
        <w:rPr>
          <w:b w:val="0"/>
          <w:color w:val="auto"/>
          <w:sz w:val="22"/>
          <w:szCs w:val="22"/>
        </w:rPr>
        <w:t xml:space="preserve"> Podíl poskytovatelů rozhlasového vysílání na </w:t>
      </w:r>
      <w:r w:rsidR="00ED437A" w:rsidRPr="00FC4669">
        <w:rPr>
          <w:b w:val="0"/>
          <w:color w:val="auto"/>
          <w:sz w:val="22"/>
          <w:szCs w:val="22"/>
        </w:rPr>
        <w:t>celkové poslechovosti</w:t>
      </w:r>
      <w:r w:rsidR="00DC4F06" w:rsidRPr="00FC4669">
        <w:rPr>
          <w:b w:val="0"/>
          <w:color w:val="auto"/>
          <w:sz w:val="22"/>
          <w:szCs w:val="22"/>
        </w:rPr>
        <w:t xml:space="preserve"> v roce 2017</w:t>
      </w:r>
    </w:p>
    <w:p w:rsidR="00BB64DB" w:rsidRPr="00FC4669" w:rsidRDefault="006568DB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4800600" cy="1419225"/>
            <wp:effectExtent l="0" t="0" r="0" b="0"/>
            <wp:docPr id="125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64DB" w:rsidRPr="00FC4669" w:rsidRDefault="00A35B08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RADIOPROJEKT</w:t>
      </w:r>
    </w:p>
    <w:p w:rsidR="00BB64DB" w:rsidRPr="00FC4669" w:rsidRDefault="00BB64DB" w:rsidP="00BB64DB">
      <w:r w:rsidRPr="00FC4669">
        <w:lastRenderedPageBreak/>
        <w:t xml:space="preserve">Přehled absolutních ukazatelů poslechovosti podle výzkumného projektu Radioprojekt </w:t>
      </w:r>
      <w:r w:rsidR="001342F6" w:rsidRPr="00FC4669">
        <w:t xml:space="preserve">prezentuje Graf </w:t>
      </w:r>
      <w:r w:rsidR="0016269D" w:rsidRPr="00FC4669">
        <w:t>4</w:t>
      </w:r>
      <w:r w:rsidR="007B4F04">
        <w:t>7</w:t>
      </w:r>
      <w:r w:rsidRPr="00FC4669">
        <w:t>. Poslechovost celoplošných stanic v rámci rozdělení Radioprojektu dosahovala na konci</w:t>
      </w:r>
      <w:r w:rsidR="007D7921" w:rsidRPr="00FC4669">
        <w:t xml:space="preserve"> roku 201</w:t>
      </w:r>
      <w:r w:rsidR="005E47BF" w:rsidRPr="00FC4669">
        <w:t>7</w:t>
      </w:r>
      <w:r w:rsidR="00ED437A" w:rsidRPr="00FC4669">
        <w:t xml:space="preserve"> </w:t>
      </w:r>
      <w:r w:rsidR="006807FF" w:rsidRPr="00FC4669">
        <w:t xml:space="preserve">přibližně </w:t>
      </w:r>
      <w:r w:rsidR="00ED437A" w:rsidRPr="00FC4669">
        <w:t>čtyř milionů</w:t>
      </w:r>
      <w:r w:rsidRPr="00FC4669">
        <w:t xml:space="preserve"> </w:t>
      </w:r>
      <w:r w:rsidR="00BE7BBE" w:rsidRPr="00FC4669">
        <w:t>posluchačů</w:t>
      </w:r>
      <w:r w:rsidRPr="00FC4669">
        <w:t xml:space="preserve"> za den. Na reg</w:t>
      </w:r>
      <w:r w:rsidR="00C515BF" w:rsidRPr="00FC4669">
        <w:t>ionální stanice pak připadly</w:t>
      </w:r>
      <w:r w:rsidRPr="00FC4669">
        <w:t xml:space="preserve"> </w:t>
      </w:r>
      <w:r w:rsidR="00C515BF" w:rsidRPr="00FC4669">
        <w:t>zhruba</w:t>
      </w:r>
      <w:r w:rsidRPr="00FC4669">
        <w:t xml:space="preserve"> </w:t>
      </w:r>
      <w:r w:rsidR="005E47BF" w:rsidRPr="00FC4669">
        <w:t>tři</w:t>
      </w:r>
      <w:r w:rsidRPr="00FC4669">
        <w:t xml:space="preserve"> miliony posluchačů. Rádio tak </w:t>
      </w:r>
      <w:r w:rsidR="00BE7BBE" w:rsidRPr="00FC4669">
        <w:t>v</w:t>
      </w:r>
      <w:r w:rsidR="000E0D24">
        <w:t> </w:t>
      </w:r>
      <w:r w:rsidR="00BE7BBE" w:rsidRPr="00FC4669">
        <w:t>roce</w:t>
      </w:r>
      <w:r w:rsidR="005E47BF" w:rsidRPr="00FC4669">
        <w:t xml:space="preserve"> 2017</w:t>
      </w:r>
      <w:r w:rsidRPr="00FC4669">
        <w:t xml:space="preserve"> poslouchalo </w:t>
      </w:r>
      <w:r w:rsidR="00BE7BBE" w:rsidRPr="00FC4669">
        <w:t xml:space="preserve">na denní bázi </w:t>
      </w:r>
      <w:r w:rsidR="005E47BF" w:rsidRPr="00FC4669">
        <w:t>více než 60</w:t>
      </w:r>
      <w:r w:rsidRPr="00FC4669">
        <w:t xml:space="preserve"> %</w:t>
      </w:r>
      <w:r w:rsidR="00471102">
        <w:t xml:space="preserve"> sledované populace ve věku 12–</w:t>
      </w:r>
      <w:r w:rsidRPr="00FC4669">
        <w:t>79</w:t>
      </w:r>
      <w:r w:rsidR="00ED437A" w:rsidRPr="00FC4669">
        <w:t xml:space="preserve"> let</w:t>
      </w:r>
      <w:r w:rsidRPr="00FC4669">
        <w:t xml:space="preserve">. Tyto údaje tak potvrzují poznatek, že </w:t>
      </w:r>
      <w:r w:rsidR="00430E4E" w:rsidRPr="00FC4669">
        <w:t>rozhlasové</w:t>
      </w:r>
      <w:r w:rsidRPr="00FC4669">
        <w:t xml:space="preserve"> vysílání šířené prostřednictvím vysílačů v reálném čase stále drží významnou pozici na českém mediálním trhu a tato pozice není v současnosti ve velké míře ohrožena.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4</w:t>
      </w:r>
      <w:r w:rsidR="007B4F04">
        <w:rPr>
          <w:color w:val="auto"/>
          <w:sz w:val="22"/>
          <w:szCs w:val="22"/>
        </w:rPr>
        <w:t>7</w:t>
      </w:r>
      <w:r w:rsidRPr="00FC4669">
        <w:rPr>
          <w:b w:val="0"/>
          <w:color w:val="auto"/>
          <w:sz w:val="22"/>
          <w:szCs w:val="22"/>
        </w:rPr>
        <w:t xml:space="preserve"> Poslechovost největších celoplošných a</w:t>
      </w:r>
      <w:r w:rsidR="005E47BF" w:rsidRPr="00FC4669">
        <w:rPr>
          <w:b w:val="0"/>
          <w:color w:val="auto"/>
          <w:sz w:val="22"/>
          <w:szCs w:val="22"/>
        </w:rPr>
        <w:t xml:space="preserve"> regionálních stanic v druhé polovině roku 2017</w:t>
      </w:r>
      <w:r w:rsidRPr="00FC4669">
        <w:rPr>
          <w:b w:val="0"/>
          <w:color w:val="auto"/>
          <w:sz w:val="22"/>
          <w:szCs w:val="22"/>
        </w:rPr>
        <w:t xml:space="preserve"> v populaci 12 – 79 let</w:t>
      </w:r>
      <w:r w:rsidR="00C522C1" w:rsidRPr="00FC4669">
        <w:rPr>
          <w:b w:val="0"/>
          <w:color w:val="auto"/>
          <w:sz w:val="22"/>
          <w:szCs w:val="22"/>
        </w:rPr>
        <w:t xml:space="preserve"> (za</w:t>
      </w:r>
      <w:r w:rsidR="00220644" w:rsidRPr="00FC4669">
        <w:rPr>
          <w:b w:val="0"/>
          <w:color w:val="auto"/>
          <w:sz w:val="22"/>
          <w:szCs w:val="22"/>
        </w:rPr>
        <w:t> </w:t>
      </w:r>
      <w:r w:rsidR="00C522C1" w:rsidRPr="00FC4669">
        <w:rPr>
          <w:b w:val="0"/>
          <w:color w:val="auto"/>
          <w:sz w:val="22"/>
          <w:szCs w:val="22"/>
        </w:rPr>
        <w:t>jeden den</w:t>
      </w:r>
      <w:r w:rsidR="005B1EDC" w:rsidRPr="00FC4669">
        <w:rPr>
          <w:b w:val="0"/>
          <w:color w:val="auto"/>
          <w:sz w:val="22"/>
          <w:szCs w:val="22"/>
        </w:rPr>
        <w:t>,</w:t>
      </w:r>
      <w:r w:rsidR="00C522C1" w:rsidRPr="00FC4669">
        <w:rPr>
          <w:b w:val="0"/>
          <w:color w:val="auto"/>
          <w:sz w:val="22"/>
          <w:szCs w:val="22"/>
        </w:rPr>
        <w:t xml:space="preserve"> v mil. posluchačů)</w:t>
      </w:r>
    </w:p>
    <w:p w:rsidR="00BB64DB" w:rsidRPr="00FC4669" w:rsidRDefault="006568DB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5133975" cy="1800225"/>
            <wp:effectExtent l="0" t="0" r="0" b="0"/>
            <wp:docPr id="126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64DB" w:rsidRPr="00FC4669" w:rsidRDefault="004D5A93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RADIOPROJEKT</w:t>
      </w:r>
    </w:p>
    <w:p w:rsidR="00BB64DB" w:rsidRPr="00FC4669" w:rsidRDefault="00BB64DB" w:rsidP="00C47F27">
      <w:pPr>
        <w:pStyle w:val="Titulek"/>
        <w:spacing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Z hlediska programové struktury rozhlasového vysílání převažují </w:t>
      </w:r>
      <w:r w:rsidR="00536FAD" w:rsidRPr="00FC4669">
        <w:rPr>
          <w:rFonts w:ascii="Arial" w:hAnsi="Arial" w:cs="Arial"/>
          <w:b w:val="0"/>
          <w:color w:val="auto"/>
          <w:sz w:val="20"/>
          <w:szCs w:val="20"/>
        </w:rPr>
        <w:t>hudební pořady</w:t>
      </w:r>
      <w:r w:rsidR="00ED437A" w:rsidRPr="00FC4669">
        <w:rPr>
          <w:rFonts w:ascii="Arial" w:hAnsi="Arial" w:cs="Arial"/>
          <w:b w:val="0"/>
          <w:color w:val="auto"/>
          <w:sz w:val="20"/>
          <w:szCs w:val="20"/>
        </w:rPr>
        <w:t>,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 a to jak u soukromých</w:t>
      </w:r>
      <w:r w:rsidR="00ED437A" w:rsidRPr="00FC4669">
        <w:rPr>
          <w:rFonts w:ascii="Arial" w:hAnsi="Arial" w:cs="Arial"/>
          <w:b w:val="0"/>
          <w:color w:val="auto"/>
          <w:sz w:val="20"/>
          <w:szCs w:val="20"/>
        </w:rPr>
        <w:t>,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 tak veřejnoprávních programů. </w:t>
      </w:r>
      <w:r w:rsidR="00200D8C" w:rsidRPr="00FC4669">
        <w:rPr>
          <w:rFonts w:ascii="Arial" w:hAnsi="Arial" w:cs="Arial"/>
          <w:b w:val="0"/>
          <w:color w:val="auto"/>
          <w:sz w:val="20"/>
          <w:szCs w:val="20"/>
        </w:rPr>
        <w:t>U</w:t>
      </w:r>
      <w:r w:rsidR="00B02802" w:rsidRPr="00FC4669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>veřejnoprávních programů jsou</w:t>
      </w:r>
      <w:r w:rsidR="00200D8C" w:rsidRPr="00FC4669">
        <w:rPr>
          <w:rFonts w:ascii="Arial" w:hAnsi="Arial" w:cs="Arial"/>
          <w:b w:val="0"/>
          <w:color w:val="auto"/>
          <w:sz w:val="20"/>
          <w:szCs w:val="20"/>
        </w:rPr>
        <w:t xml:space="preserve"> pak na druhém místě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 zpravodajské, public</w:t>
      </w:r>
      <w:r w:rsidR="009A66C6" w:rsidRPr="00FC4669">
        <w:rPr>
          <w:rFonts w:ascii="Arial" w:hAnsi="Arial" w:cs="Arial"/>
          <w:b w:val="0"/>
          <w:color w:val="auto"/>
          <w:sz w:val="20"/>
          <w:szCs w:val="20"/>
        </w:rPr>
        <w:t>istické</w:t>
      </w:r>
      <w:r w:rsidR="00536FAD" w:rsidRPr="00FC4669">
        <w:rPr>
          <w:rFonts w:ascii="Arial" w:hAnsi="Arial" w:cs="Arial"/>
          <w:b w:val="0"/>
          <w:color w:val="auto"/>
          <w:sz w:val="20"/>
          <w:szCs w:val="20"/>
        </w:rPr>
        <w:t>, dramatické a zábavné</w:t>
      </w:r>
      <w:r w:rsidR="009A66C6" w:rsidRPr="00FC466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36FAD" w:rsidRPr="00FC4669">
        <w:rPr>
          <w:rFonts w:ascii="Arial" w:hAnsi="Arial" w:cs="Arial"/>
          <w:b w:val="0"/>
          <w:color w:val="auto"/>
          <w:sz w:val="20"/>
          <w:szCs w:val="20"/>
        </w:rPr>
        <w:t>pořady (34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 %). Komerční progra</w:t>
      </w:r>
      <w:r w:rsidR="00536FAD" w:rsidRPr="00FC4669">
        <w:rPr>
          <w:rFonts w:ascii="Arial" w:hAnsi="Arial" w:cs="Arial"/>
          <w:b w:val="0"/>
          <w:color w:val="auto"/>
          <w:sz w:val="20"/>
          <w:szCs w:val="20"/>
        </w:rPr>
        <w:t>my naopak vysílají jen 9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 % takto orientovaných pořadů a </w:t>
      </w:r>
      <w:r w:rsidR="00F2751B" w:rsidRPr="00FC4669">
        <w:rPr>
          <w:rFonts w:ascii="Arial" w:hAnsi="Arial" w:cs="Arial"/>
          <w:b w:val="0"/>
          <w:color w:val="auto"/>
          <w:sz w:val="20"/>
          <w:szCs w:val="20"/>
        </w:rPr>
        <w:t>více vysílacího času připadne na obchodní sdělení</w:t>
      </w:r>
      <w:r w:rsidR="00536FAD" w:rsidRPr="00FC4669">
        <w:rPr>
          <w:rFonts w:ascii="Arial" w:hAnsi="Arial" w:cs="Arial"/>
          <w:b w:val="0"/>
          <w:color w:val="auto"/>
          <w:sz w:val="20"/>
          <w:szCs w:val="20"/>
        </w:rPr>
        <w:t xml:space="preserve"> (10 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%). U veřejnoprávních programů je </w:t>
      </w:r>
      <w:r w:rsidR="00B02802" w:rsidRPr="00FC4669">
        <w:rPr>
          <w:rFonts w:ascii="Arial" w:hAnsi="Arial" w:cs="Arial"/>
          <w:b w:val="0"/>
          <w:color w:val="auto"/>
          <w:sz w:val="20"/>
          <w:szCs w:val="20"/>
        </w:rPr>
        <w:t>reklama regulovaná zákonem o 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rozhlasovém a televizním vysílání a nepřesahuje </w:t>
      </w:r>
      <w:r w:rsidR="00154174" w:rsidRPr="00FC4669">
        <w:rPr>
          <w:rFonts w:ascii="Arial" w:hAnsi="Arial" w:cs="Arial"/>
          <w:b w:val="0"/>
          <w:color w:val="auto"/>
          <w:sz w:val="20"/>
          <w:szCs w:val="20"/>
        </w:rPr>
        <w:t>dvě</w:t>
      </w:r>
      <w:r w:rsidR="003A7ABE" w:rsidRPr="00FC4669">
        <w:rPr>
          <w:rFonts w:ascii="Arial" w:hAnsi="Arial" w:cs="Arial"/>
          <w:b w:val="0"/>
          <w:color w:val="auto"/>
          <w:sz w:val="20"/>
          <w:szCs w:val="20"/>
        </w:rPr>
        <w:t xml:space="preserve"> procenta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 z celkového vysílacího času</w:t>
      </w:r>
      <w:r w:rsidR="00154174" w:rsidRPr="00FC466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3A7ABE" w:rsidRPr="00FC4669">
        <w:rPr>
          <w:rFonts w:ascii="Arial" w:hAnsi="Arial" w:cs="Arial"/>
          <w:b w:val="0"/>
          <w:color w:val="auto"/>
          <w:sz w:val="20"/>
          <w:szCs w:val="20"/>
        </w:rPr>
        <w:t>(včetně upoutávek na vlastní poř</w:t>
      </w:r>
      <w:r w:rsidR="00154174" w:rsidRPr="00FC4669">
        <w:rPr>
          <w:rFonts w:ascii="Arial" w:hAnsi="Arial" w:cs="Arial"/>
          <w:b w:val="0"/>
          <w:color w:val="auto"/>
          <w:sz w:val="20"/>
          <w:szCs w:val="20"/>
        </w:rPr>
        <w:t>ady)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>. Podrobnější</w:t>
      </w:r>
      <w:r w:rsidR="00220644" w:rsidRPr="00FC4669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>procentuální rozdělení vysílacího času pre</w:t>
      </w:r>
      <w:r w:rsidR="0016269D" w:rsidRPr="00FC4669">
        <w:rPr>
          <w:rFonts w:ascii="Arial" w:hAnsi="Arial" w:cs="Arial"/>
          <w:b w:val="0"/>
          <w:color w:val="auto"/>
          <w:sz w:val="20"/>
          <w:szCs w:val="20"/>
        </w:rPr>
        <w:t xml:space="preserve">zentuje Graf </w:t>
      </w:r>
      <w:r w:rsidR="00035134">
        <w:rPr>
          <w:rFonts w:ascii="Arial" w:hAnsi="Arial" w:cs="Arial"/>
          <w:b w:val="0"/>
          <w:color w:val="auto"/>
          <w:sz w:val="20"/>
          <w:szCs w:val="20"/>
        </w:rPr>
        <w:t>48</w:t>
      </w:r>
      <w:r w:rsidR="00C7180D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4</w:t>
      </w:r>
      <w:r w:rsidR="00035134">
        <w:rPr>
          <w:color w:val="auto"/>
          <w:sz w:val="22"/>
          <w:szCs w:val="22"/>
        </w:rPr>
        <w:t>8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536FAD" w:rsidRPr="00FC4669">
        <w:rPr>
          <w:b w:val="0"/>
          <w:color w:val="auto"/>
          <w:sz w:val="22"/>
          <w:szCs w:val="22"/>
        </w:rPr>
        <w:t>Týdenní p</w:t>
      </w:r>
      <w:r w:rsidRPr="00FC4669">
        <w:rPr>
          <w:b w:val="0"/>
          <w:color w:val="auto"/>
          <w:sz w:val="22"/>
          <w:szCs w:val="22"/>
        </w:rPr>
        <w:t>rogramová struktura rozhlasového</w:t>
      </w:r>
      <w:r w:rsidR="00154174" w:rsidRPr="00FC4669">
        <w:rPr>
          <w:b w:val="0"/>
          <w:color w:val="auto"/>
          <w:sz w:val="22"/>
          <w:szCs w:val="22"/>
        </w:rPr>
        <w:t xml:space="preserve"> vysílání v roce 2017</w:t>
      </w:r>
      <w:r w:rsidRPr="00FC4669">
        <w:rPr>
          <w:b w:val="0"/>
          <w:color w:val="auto"/>
          <w:sz w:val="22"/>
          <w:szCs w:val="22"/>
        </w:rPr>
        <w:t xml:space="preserve"> podle vysílaných pořadů</w:t>
      </w:r>
    </w:p>
    <w:p w:rsidR="00BB64DB" w:rsidRPr="00FC4669" w:rsidRDefault="00536FAD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5753100" cy="1619250"/>
            <wp:effectExtent l="0" t="0" r="0" b="0"/>
            <wp:docPr id="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9253A5" w:rsidRPr="00FC4669">
        <w:rPr>
          <w:b w:val="0"/>
          <w:color w:val="auto"/>
          <w:sz w:val="22"/>
          <w:szCs w:val="22"/>
        </w:rPr>
        <w:t xml:space="preserve">Kult, </w:t>
      </w:r>
      <w:r w:rsidRPr="00FC4669">
        <w:rPr>
          <w:b w:val="0"/>
          <w:color w:val="auto"/>
          <w:sz w:val="22"/>
          <w:szCs w:val="22"/>
        </w:rPr>
        <w:t>ČSÚ</w:t>
      </w:r>
    </w:p>
    <w:p w:rsidR="00154174" w:rsidRPr="00FC4669" w:rsidRDefault="008F61DD" w:rsidP="00154174">
      <w:pPr>
        <w:rPr>
          <w:lang w:eastAsia="en-US"/>
        </w:rPr>
      </w:pPr>
      <w:r w:rsidRPr="00FC4669">
        <w:rPr>
          <w:lang w:eastAsia="en-US"/>
        </w:rPr>
        <w:t>Pro refe</w:t>
      </w:r>
      <w:r w:rsidR="003A7ABE" w:rsidRPr="00FC4669">
        <w:rPr>
          <w:lang w:eastAsia="en-US"/>
        </w:rPr>
        <w:t>renční rok 2017 byly ve výkaze K</w:t>
      </w:r>
      <w:r w:rsidRPr="00FC4669">
        <w:rPr>
          <w:lang w:eastAsia="en-US"/>
        </w:rPr>
        <w:t>ult</w:t>
      </w:r>
      <w:r w:rsidR="003A7ABE" w:rsidRPr="00FC4669">
        <w:rPr>
          <w:lang w:eastAsia="en-US"/>
        </w:rPr>
        <w:t xml:space="preserve"> 6-01 značně rozšířeny</w:t>
      </w:r>
      <w:r w:rsidRPr="00FC4669">
        <w:rPr>
          <w:lang w:eastAsia="en-US"/>
        </w:rPr>
        <w:t xml:space="preserve"> otázky týkající se hudebního vysílání – nově se od tohoto roku sleduje datum vydání vysílaných skladeb a státní příslušnost interpretů. Upravila se ta</w:t>
      </w:r>
      <w:r w:rsidR="001132C6">
        <w:rPr>
          <w:lang w:eastAsia="en-US"/>
        </w:rPr>
        <w:t>ké sledovaná perioda vysílacího</w:t>
      </w:r>
      <w:r w:rsidRPr="00FC4669">
        <w:rPr>
          <w:lang w:eastAsia="en-US"/>
        </w:rPr>
        <w:t xml:space="preserve"> času z ročního na týdenní schéma. Respondenti udávali údaje o běžném týdenním vysílacím schéma</w:t>
      </w:r>
      <w:r w:rsidR="003A7ABE" w:rsidRPr="00FC4669">
        <w:rPr>
          <w:lang w:eastAsia="en-US"/>
        </w:rPr>
        <w:t xml:space="preserve">tu, které není ovlivněno </w:t>
      </w:r>
      <w:r w:rsidR="001132C6" w:rsidRPr="00FC4669">
        <w:rPr>
          <w:lang w:eastAsia="en-US"/>
        </w:rPr>
        <w:t>sezónními</w:t>
      </w:r>
      <w:r w:rsidRPr="00FC4669">
        <w:rPr>
          <w:lang w:eastAsia="en-US"/>
        </w:rPr>
        <w:t xml:space="preserve"> </w:t>
      </w:r>
      <w:r w:rsidR="00AA2926">
        <w:rPr>
          <w:lang w:eastAsia="en-US"/>
        </w:rPr>
        <w:t>výkyvy. Jak je patrné z Grafu 49</w:t>
      </w:r>
      <w:r w:rsidRPr="00FC4669">
        <w:rPr>
          <w:lang w:eastAsia="en-US"/>
        </w:rPr>
        <w:t xml:space="preserve">, </w:t>
      </w:r>
      <w:r w:rsidR="006B4F63" w:rsidRPr="00FC4669">
        <w:rPr>
          <w:lang w:eastAsia="en-US"/>
        </w:rPr>
        <w:lastRenderedPageBreak/>
        <w:t xml:space="preserve">rozhlasovému vysílání dominují skladby vydané po roce 2000, které tvoří v průměru 60 </w:t>
      </w:r>
      <w:r w:rsidR="006B4F63" w:rsidRPr="00FC4669">
        <w:rPr>
          <w:rFonts w:cs="Arial"/>
          <w:b/>
          <w:szCs w:val="20"/>
        </w:rPr>
        <w:t xml:space="preserve">% </w:t>
      </w:r>
      <w:r w:rsidR="006B4F63" w:rsidRPr="00FC4669">
        <w:rPr>
          <w:lang w:eastAsia="en-US"/>
        </w:rPr>
        <w:t>vysílacího času věnovaného hudebnímu vysílání. Nejvíce prostoru v rámci hudebního vysílání je pak dáno současné hudbě (vydané ve sledovaném či předchozím roce) a to 24 % vysílacího času.</w:t>
      </w:r>
      <w:r w:rsidR="006360F1" w:rsidRPr="00FC4669">
        <w:rPr>
          <w:lang w:eastAsia="en-US"/>
        </w:rPr>
        <w:t xml:space="preserve"> Tzv. oldies</w:t>
      </w:r>
      <w:r w:rsidR="006360F1" w:rsidRPr="00FC4669">
        <w:rPr>
          <w:rStyle w:val="Znakapoznpodarou"/>
          <w:lang w:eastAsia="en-US"/>
        </w:rPr>
        <w:footnoteReference w:id="3"/>
      </w:r>
      <w:r w:rsidR="00C7180D">
        <w:rPr>
          <w:lang w:eastAsia="en-US"/>
        </w:rPr>
        <w:t>, tedy hudbě 60.</w:t>
      </w:r>
      <w:r w:rsidR="006360F1" w:rsidRPr="00FC4669">
        <w:rPr>
          <w:lang w:eastAsia="en-US"/>
        </w:rPr>
        <w:t>–</w:t>
      </w:r>
      <w:r w:rsidR="00E916F2" w:rsidRPr="00FC4669">
        <w:rPr>
          <w:lang w:eastAsia="en-US"/>
        </w:rPr>
        <w:t>80</w:t>
      </w:r>
      <w:r w:rsidR="006360F1" w:rsidRPr="00FC4669">
        <w:rPr>
          <w:lang w:eastAsia="en-US"/>
        </w:rPr>
        <w:t>.</w:t>
      </w:r>
      <w:r w:rsidR="00E916F2" w:rsidRPr="00FC4669">
        <w:rPr>
          <w:lang w:eastAsia="en-US"/>
        </w:rPr>
        <w:t xml:space="preserve"> let je věnováno 23 % hudebního vysílání. Hudba devadesátých let zní obvykle</w:t>
      </w:r>
      <w:r w:rsidR="003A7ABE" w:rsidRPr="00FC4669">
        <w:rPr>
          <w:lang w:eastAsia="en-US"/>
        </w:rPr>
        <w:t xml:space="preserve"> ve</w:t>
      </w:r>
      <w:r w:rsidR="00E916F2" w:rsidRPr="00FC4669">
        <w:rPr>
          <w:lang w:eastAsia="en-US"/>
        </w:rPr>
        <w:t xml:space="preserve"> 14 % hudebního vysílání a</w:t>
      </w:r>
      <w:r w:rsidR="000E0D24">
        <w:rPr>
          <w:lang w:eastAsia="en-US"/>
        </w:rPr>
        <w:t> </w:t>
      </w:r>
      <w:r w:rsidR="00E916F2" w:rsidRPr="00FC4669">
        <w:rPr>
          <w:lang w:eastAsia="en-US"/>
        </w:rPr>
        <w:t>jen velmi okrajově zní nahrávky vydané před rokem 1959 (2 % hudebního vysílání).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4</w:t>
      </w:r>
      <w:r w:rsidR="00AA2926">
        <w:rPr>
          <w:color w:val="auto"/>
          <w:sz w:val="22"/>
          <w:szCs w:val="22"/>
        </w:rPr>
        <w:t>9</w:t>
      </w:r>
      <w:r w:rsidRPr="00FC4669">
        <w:rPr>
          <w:color w:val="auto"/>
        </w:rPr>
        <w:t xml:space="preserve"> </w:t>
      </w:r>
      <w:r w:rsidR="003A7ABE" w:rsidRPr="00FC4669">
        <w:rPr>
          <w:b w:val="0"/>
          <w:color w:val="auto"/>
          <w:sz w:val="22"/>
          <w:szCs w:val="22"/>
        </w:rPr>
        <w:t>Hudební vysílání</w:t>
      </w:r>
      <w:r w:rsidR="008F61DD" w:rsidRPr="00FC4669">
        <w:rPr>
          <w:b w:val="0"/>
          <w:color w:val="auto"/>
          <w:sz w:val="22"/>
          <w:szCs w:val="22"/>
        </w:rPr>
        <w:t xml:space="preserve"> podle data vydání vysílaných skladeb</w:t>
      </w:r>
      <w:r w:rsidR="001132C6">
        <w:rPr>
          <w:b w:val="0"/>
          <w:color w:val="auto"/>
          <w:sz w:val="22"/>
          <w:szCs w:val="22"/>
        </w:rPr>
        <w:t xml:space="preserve"> v</w:t>
      </w:r>
      <w:r w:rsidR="008F61DD" w:rsidRPr="00FC4669">
        <w:rPr>
          <w:b w:val="0"/>
          <w:color w:val="auto"/>
          <w:sz w:val="22"/>
          <w:szCs w:val="22"/>
        </w:rPr>
        <w:t xml:space="preserve"> roce 2017 (</w:t>
      </w:r>
      <w:r w:rsidR="00E047D9" w:rsidRPr="00FC4669">
        <w:rPr>
          <w:b w:val="0"/>
          <w:color w:val="auto"/>
          <w:sz w:val="22"/>
          <w:szCs w:val="22"/>
        </w:rPr>
        <w:t>běžný vysílací týden</w:t>
      </w:r>
      <w:r w:rsidR="008F61DD" w:rsidRPr="00FC4669">
        <w:rPr>
          <w:b w:val="0"/>
          <w:color w:val="auto"/>
          <w:sz w:val="22"/>
          <w:szCs w:val="22"/>
        </w:rPr>
        <w:t>)</w:t>
      </w:r>
    </w:p>
    <w:p w:rsidR="00BB64DB" w:rsidRPr="00FC4669" w:rsidRDefault="00154174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6248400" cy="1409700"/>
            <wp:effectExtent l="0" t="0" r="0" b="0"/>
            <wp:docPr id="2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shd w:val="clear" w:color="auto" w:fill="FFFFFF" w:themeFill="background1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E916F2" w:rsidRPr="00FC4669">
        <w:rPr>
          <w:b w:val="0"/>
          <w:color w:val="auto"/>
          <w:sz w:val="22"/>
          <w:szCs w:val="22"/>
        </w:rPr>
        <w:t>Kult, ČSÚ</w:t>
      </w:r>
    </w:p>
    <w:p w:rsidR="00E916F2" w:rsidRPr="00FC4669" w:rsidRDefault="00E916F2" w:rsidP="00E916F2">
      <w:pPr>
        <w:rPr>
          <w:lang w:eastAsia="en-US"/>
        </w:rPr>
      </w:pPr>
      <w:r w:rsidRPr="00FC4669">
        <w:rPr>
          <w:lang w:eastAsia="en-US"/>
        </w:rPr>
        <w:t>Když rozdělíme vysílanou</w:t>
      </w:r>
      <w:r w:rsidR="009150C0" w:rsidRPr="00FC4669">
        <w:rPr>
          <w:lang w:eastAsia="en-US"/>
        </w:rPr>
        <w:t xml:space="preserve"> hudbu</w:t>
      </w:r>
      <w:r w:rsidRPr="00FC4669">
        <w:rPr>
          <w:lang w:eastAsia="en-US"/>
        </w:rPr>
        <w:t xml:space="preserve"> </w:t>
      </w:r>
      <w:r w:rsidR="009150C0" w:rsidRPr="00FC4669">
        <w:rPr>
          <w:lang w:eastAsia="en-US"/>
        </w:rPr>
        <w:t>podle období</w:t>
      </w:r>
      <w:r w:rsidRPr="00FC4669">
        <w:rPr>
          <w:lang w:eastAsia="en-US"/>
        </w:rPr>
        <w:t xml:space="preserve"> </w:t>
      </w:r>
      <w:r w:rsidR="009150C0" w:rsidRPr="00FC4669">
        <w:rPr>
          <w:lang w:eastAsia="en-US"/>
        </w:rPr>
        <w:t xml:space="preserve">vydání i </w:t>
      </w:r>
      <w:r w:rsidRPr="00FC4669">
        <w:rPr>
          <w:lang w:eastAsia="en-US"/>
        </w:rPr>
        <w:t>podle státní př</w:t>
      </w:r>
      <w:r w:rsidR="00E047D9" w:rsidRPr="00FC4669">
        <w:rPr>
          <w:lang w:eastAsia="en-US"/>
        </w:rPr>
        <w:t>íslušnosti interpretů, zjistíme, že u</w:t>
      </w:r>
      <w:r w:rsidR="00C7180D">
        <w:rPr>
          <w:lang w:eastAsia="en-US"/>
        </w:rPr>
        <w:t> </w:t>
      </w:r>
      <w:r w:rsidR="00E047D9" w:rsidRPr="00FC4669">
        <w:rPr>
          <w:lang w:eastAsia="en-US"/>
        </w:rPr>
        <w:t>novějších skladeb dominují zahraniční interpreti,</w:t>
      </w:r>
      <w:r w:rsidR="009150C0" w:rsidRPr="00FC4669">
        <w:rPr>
          <w:lang w:eastAsia="en-US"/>
        </w:rPr>
        <w:t xml:space="preserve"> ale</w:t>
      </w:r>
      <w:r w:rsidR="00E047D9" w:rsidRPr="00FC4669">
        <w:rPr>
          <w:lang w:eastAsia="en-US"/>
        </w:rPr>
        <w:t xml:space="preserve"> u starších skladeb se podíl zahraniční a české tvorby vyr</w:t>
      </w:r>
      <w:r w:rsidR="00AA2926">
        <w:rPr>
          <w:lang w:eastAsia="en-US"/>
        </w:rPr>
        <w:t>ovnává. Jak je patrné z Grafu 50</w:t>
      </w:r>
      <w:r w:rsidR="00E047D9" w:rsidRPr="00FC4669">
        <w:rPr>
          <w:lang w:eastAsia="en-US"/>
        </w:rPr>
        <w:t>, u současné hudby (vydané ve sledovaném či předchozím roce) pochází necelých 80 % skladeb od zahraničních interpretů. Naopak u hudby šedesátých a sedmdesátých let je poměr zahraničních a českých interpretů takřka vyrovnaný</w:t>
      </w:r>
      <w:r w:rsidR="0039428D" w:rsidRPr="00FC4669">
        <w:rPr>
          <w:lang w:eastAsia="en-US"/>
        </w:rPr>
        <w:t xml:space="preserve">. Od osmdesátých let se začíná podíl skladeb zahraničních interpretů zvyšovat. </w:t>
      </w:r>
      <w:r w:rsidR="00CF0318" w:rsidRPr="00FC4669">
        <w:rPr>
          <w:lang w:eastAsia="en-US"/>
        </w:rPr>
        <w:t>Nejpravděpodobnějším vysvětlením tohoto jevu bude cílení rozhlasových dram</w:t>
      </w:r>
      <w:r w:rsidR="00C7180D">
        <w:rPr>
          <w:lang w:eastAsia="en-US"/>
        </w:rPr>
        <w:t xml:space="preserve">aturgů na různé cílové </w:t>
      </w:r>
      <w:r w:rsidR="003150BE">
        <w:rPr>
          <w:lang w:eastAsia="en-US"/>
        </w:rPr>
        <w:t>skupiny –</w:t>
      </w:r>
      <w:r w:rsidR="003150BE" w:rsidRPr="00FC4669">
        <w:rPr>
          <w:lang w:eastAsia="en-US"/>
        </w:rPr>
        <w:t xml:space="preserve"> posluchači</w:t>
      </w:r>
      <w:r w:rsidR="00CF0318" w:rsidRPr="00FC4669">
        <w:rPr>
          <w:lang w:eastAsia="en-US"/>
        </w:rPr>
        <w:t xml:space="preserve"> po</w:t>
      </w:r>
      <w:r w:rsidR="009150C0" w:rsidRPr="00FC4669">
        <w:rPr>
          <w:lang w:eastAsia="en-US"/>
        </w:rPr>
        <w:t>řadů s hudbou staršího vydání (</w:t>
      </w:r>
      <w:r w:rsidR="00CF0318" w:rsidRPr="00FC4669">
        <w:rPr>
          <w:lang w:eastAsia="en-US"/>
        </w:rPr>
        <w:t>obvykle zřejmě starší generace) preferují spíše domácí tvorbu</w:t>
      </w:r>
      <w:r w:rsidR="009150C0" w:rsidRPr="00FC4669">
        <w:rPr>
          <w:lang w:eastAsia="en-US"/>
        </w:rPr>
        <w:t>, kterou z doby jejího vzniku znají,</w:t>
      </w:r>
      <w:r w:rsidR="00CF0318" w:rsidRPr="00FC4669">
        <w:rPr>
          <w:lang w:eastAsia="en-US"/>
        </w:rPr>
        <w:t xml:space="preserve"> na rozdíl od posluchačů pořadů s hudbou novějšího data vydání (obvykle zřejmě mladší generace), kteří preferují spíše zahraniční tvorbu. </w:t>
      </w:r>
    </w:p>
    <w:p w:rsidR="00E047D9" w:rsidRPr="00FC4669" w:rsidRDefault="00E047D9" w:rsidP="00E047D9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AA2926">
        <w:rPr>
          <w:color w:val="auto"/>
          <w:sz w:val="22"/>
          <w:szCs w:val="22"/>
        </w:rPr>
        <w:t>50</w:t>
      </w:r>
      <w:r w:rsidRPr="00FC4669">
        <w:rPr>
          <w:color w:val="auto"/>
        </w:rPr>
        <w:t xml:space="preserve"> </w:t>
      </w:r>
      <w:r w:rsidRPr="00FC4669">
        <w:rPr>
          <w:b w:val="0"/>
          <w:color w:val="auto"/>
          <w:sz w:val="22"/>
          <w:szCs w:val="22"/>
        </w:rPr>
        <w:t>Podíl skladeb zahraničních a českých interpretů v rámci sledovaných období</w:t>
      </w:r>
      <w:r w:rsidR="009150C0" w:rsidRPr="00FC4669">
        <w:rPr>
          <w:b w:val="0"/>
          <w:color w:val="auto"/>
          <w:sz w:val="22"/>
          <w:szCs w:val="22"/>
        </w:rPr>
        <w:t xml:space="preserve"> vydání skladby</w:t>
      </w:r>
      <w:r w:rsidRPr="00FC4669">
        <w:rPr>
          <w:b w:val="0"/>
          <w:color w:val="auto"/>
          <w:sz w:val="22"/>
          <w:szCs w:val="22"/>
        </w:rPr>
        <w:t xml:space="preserve"> (běžný vysílací týden)</w:t>
      </w:r>
    </w:p>
    <w:p w:rsidR="00E916F2" w:rsidRPr="00FC4669" w:rsidRDefault="00E916F2" w:rsidP="00E916F2">
      <w:pPr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5800725" cy="2047875"/>
            <wp:effectExtent l="0" t="0" r="0" b="0"/>
            <wp:docPr id="101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047D9" w:rsidRPr="00FC4669" w:rsidRDefault="00E047D9" w:rsidP="00E047D9">
      <w:pPr>
        <w:pStyle w:val="Titulek"/>
        <w:shd w:val="clear" w:color="auto" w:fill="FFFFFF" w:themeFill="background1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Kult, ČSÚ</w:t>
      </w:r>
    </w:p>
    <w:p w:rsidR="00BB64DB" w:rsidRPr="00FC4669" w:rsidRDefault="00B414F8" w:rsidP="00694914">
      <w:pPr>
        <w:pStyle w:val="Nadpis3"/>
        <w:numPr>
          <w:ilvl w:val="2"/>
          <w:numId w:val="17"/>
        </w:numPr>
      </w:pPr>
      <w:bookmarkStart w:id="6" w:name="_Toc430189809"/>
      <w:bookmarkStart w:id="7" w:name="_Toc431475037"/>
      <w:bookmarkStart w:id="8" w:name="_Toc463969192"/>
      <w:bookmarkStart w:id="9" w:name="_Toc465253902"/>
      <w:r w:rsidRPr="00FC4669">
        <w:lastRenderedPageBreak/>
        <w:t>PŘÍJMY</w:t>
      </w:r>
      <w:r w:rsidR="00BB64DB" w:rsidRPr="00FC4669">
        <w:t xml:space="preserve"> A ZAMĚSTNANOST</w:t>
      </w:r>
      <w:bookmarkEnd w:id="6"/>
      <w:bookmarkEnd w:id="7"/>
      <w:bookmarkEnd w:id="8"/>
      <w:bookmarkEnd w:id="9"/>
    </w:p>
    <w:p w:rsidR="00BB64DB" w:rsidRPr="00FC4669" w:rsidRDefault="00EE218B" w:rsidP="00BB64DB">
      <w:r w:rsidRPr="00FC4669">
        <w:t>Mezi lety 2012</w:t>
      </w:r>
      <w:r w:rsidR="00245697" w:rsidRPr="00FC4669">
        <w:t xml:space="preserve"> a 2017</w:t>
      </w:r>
      <w:r w:rsidRPr="00FC4669">
        <w:t xml:space="preserve"> </w:t>
      </w:r>
      <w:r w:rsidR="00BB64DB" w:rsidRPr="00FC4669">
        <w:t>došlo k</w:t>
      </w:r>
      <w:r w:rsidRPr="00FC4669">
        <w:t xml:space="preserve"> mírnému </w:t>
      </w:r>
      <w:r w:rsidR="00BB64DB" w:rsidRPr="00FC4669">
        <w:t>úbytku počtu prov</w:t>
      </w:r>
      <w:r w:rsidRPr="00FC4669">
        <w:t>ozovatelů rozhlasového vysílání a tomu odpovídá také výše celkových</w:t>
      </w:r>
      <w:r w:rsidR="00220644" w:rsidRPr="00FC4669">
        <w:t> </w:t>
      </w:r>
      <w:r w:rsidR="0073527D">
        <w:t>příjmů</w:t>
      </w:r>
      <w:r w:rsidR="00BB64DB" w:rsidRPr="00FC4669">
        <w:t xml:space="preserve"> v oblasti rozhlasu</w:t>
      </w:r>
      <w:r w:rsidRPr="00FC4669">
        <w:t>, která</w:t>
      </w:r>
      <w:r w:rsidR="00BB64DB" w:rsidRPr="00FC4669">
        <w:t xml:space="preserve"> </w:t>
      </w:r>
      <w:r w:rsidRPr="00FC4669">
        <w:t>v tomto období poklesla</w:t>
      </w:r>
      <w:r w:rsidR="00BB64DB" w:rsidRPr="00FC4669">
        <w:t xml:space="preserve"> z</w:t>
      </w:r>
      <w:r w:rsidR="000E4FAD" w:rsidRPr="00FC4669">
        <w:t> </w:t>
      </w:r>
      <w:r w:rsidR="00BB64DB" w:rsidRPr="00FC4669">
        <w:t>5</w:t>
      </w:r>
      <w:r w:rsidR="000E4FAD" w:rsidRPr="00FC4669">
        <w:t xml:space="preserve"> </w:t>
      </w:r>
      <w:r w:rsidR="00BB64DB" w:rsidRPr="00FC4669">
        <w:t>na 4</w:t>
      </w:r>
      <w:r w:rsidR="000E4FAD" w:rsidRPr="00FC4669">
        <w:t>,</w:t>
      </w:r>
      <w:r w:rsidR="00245697" w:rsidRPr="00FC4669">
        <w:t>5</w:t>
      </w:r>
      <w:r w:rsidR="00BB64DB" w:rsidRPr="00FC4669">
        <w:t xml:space="preserve"> mld. Kč. Co se struktury příjmů týče, u veřejnoprávního vysílání (Českého rozhlasu) tvořil podle poslední dos</w:t>
      </w:r>
      <w:r w:rsidR="00245697" w:rsidRPr="00FC4669">
        <w:t>tupné výroční zprávy z roku 2016</w:t>
      </w:r>
      <w:r w:rsidR="00BB64DB" w:rsidRPr="00FC4669">
        <w:t xml:space="preserve"> příjem z r</w:t>
      </w:r>
      <w:r w:rsidR="00E60C65" w:rsidRPr="00FC4669">
        <w:t>ozhlasových poplatků více než 93</w:t>
      </w:r>
      <w:r w:rsidR="00BB64DB" w:rsidRPr="00FC4669">
        <w:t xml:space="preserve"> % celkových příjmů </w:t>
      </w:r>
      <w:r w:rsidR="00ED437A" w:rsidRPr="00FC4669">
        <w:t>zatímco</w:t>
      </w:r>
      <w:r w:rsidR="000E4FAD" w:rsidRPr="00FC4669">
        <w:t xml:space="preserve"> z</w:t>
      </w:r>
      <w:r w:rsidR="00282CCA" w:rsidRPr="00FC4669">
        <w:t> </w:t>
      </w:r>
      <w:r w:rsidR="000E4FAD" w:rsidRPr="00FC4669">
        <w:t>reklamy</w:t>
      </w:r>
      <w:r w:rsidR="00282CCA" w:rsidRPr="00FC4669">
        <w:t> </w:t>
      </w:r>
      <w:r w:rsidR="000E4FAD" w:rsidRPr="00FC4669">
        <w:t>a</w:t>
      </w:r>
      <w:r w:rsidR="00282CCA" w:rsidRPr="00FC4669">
        <w:t> </w:t>
      </w:r>
      <w:r w:rsidR="000E4FAD" w:rsidRPr="00FC4669">
        <w:t>sponzoringu plynula</w:t>
      </w:r>
      <w:r w:rsidR="00BB64DB" w:rsidRPr="00FC4669">
        <w:t xml:space="preserve"> pouze 4 % příjmů. Naopak komerčním poskytovatelům (bez provozovatele vysílání progr</w:t>
      </w:r>
      <w:r w:rsidR="00224F9D" w:rsidRPr="00FC4669">
        <w:t>amu Svob</w:t>
      </w:r>
      <w:r w:rsidR="00245697" w:rsidRPr="00FC4669">
        <w:t>odná Evropa) v roce 2016</w:t>
      </w:r>
      <w:r w:rsidR="000E4FAD" w:rsidRPr="00FC4669">
        <w:t xml:space="preserve"> plynulo</w:t>
      </w:r>
      <w:r w:rsidR="00E60C65" w:rsidRPr="00FC4669">
        <w:t xml:space="preserve"> podle dat ČSÚ 96</w:t>
      </w:r>
      <w:r w:rsidR="00BB64DB" w:rsidRPr="00FC4669">
        <w:t xml:space="preserve"> % příjmů z tržeb za vlastní výkony, tedy lze předpokládat, že </w:t>
      </w:r>
      <w:r w:rsidR="00ED437A" w:rsidRPr="00FC4669">
        <w:t>z velké čá</w:t>
      </w:r>
      <w:r w:rsidR="00BB64DB" w:rsidRPr="00FC4669">
        <w:t>sti z prodeje reklamního prostoru. P</w:t>
      </w:r>
      <w:r w:rsidR="0073527D">
        <w:t>očet zaměstnanců pak v roce 2017</w:t>
      </w:r>
      <w:r w:rsidR="00BB64DB" w:rsidRPr="00FC4669">
        <w:t xml:space="preserve"> dosahoval u </w:t>
      </w:r>
      <w:r w:rsidR="00430E4E" w:rsidRPr="00FC4669">
        <w:t>provozovatelů</w:t>
      </w:r>
      <w:r w:rsidR="00BB64DB" w:rsidRPr="00FC4669">
        <w:t xml:space="preserve"> rozhlasového vysílání 1</w:t>
      </w:r>
      <w:r w:rsidR="000E4FAD" w:rsidRPr="00FC4669">
        <w:t>,9</w:t>
      </w:r>
      <w:r w:rsidR="00E60C65" w:rsidRPr="00FC4669">
        <w:t>8</w:t>
      </w:r>
      <w:r w:rsidR="000E4FAD" w:rsidRPr="00FC4669">
        <w:t xml:space="preserve"> tis.</w:t>
      </w:r>
      <w:r w:rsidR="00BB64DB" w:rsidRPr="00FC4669">
        <w:t xml:space="preserve"> zaměstnanců a mezi lety 2012</w:t>
      </w:r>
      <w:r w:rsidR="00282CCA" w:rsidRPr="00FC4669">
        <w:t> </w:t>
      </w:r>
      <w:r w:rsidR="00BB64DB" w:rsidRPr="00FC4669">
        <w:t>a</w:t>
      </w:r>
      <w:r w:rsidR="00282CCA" w:rsidRPr="00FC4669">
        <w:t> </w:t>
      </w:r>
      <w:r w:rsidR="0073527D">
        <w:t>2017</w:t>
      </w:r>
      <w:r w:rsidR="00BB64DB" w:rsidRPr="00FC4669">
        <w:t xml:space="preserve"> </w:t>
      </w:r>
      <w:r w:rsidR="000E4FAD" w:rsidRPr="00FC4669">
        <w:t>se zásadně nezměnil</w:t>
      </w:r>
      <w:r w:rsidR="00BB64DB" w:rsidRPr="00FC4669">
        <w:t>. Zmíněné údaje o zaměstnan</w:t>
      </w:r>
      <w:r w:rsidR="00224F9D" w:rsidRPr="00FC4669">
        <w:t>o</w:t>
      </w:r>
      <w:r w:rsidR="0073527D">
        <w:t>sti a příjmech zachycuje Graf 51</w:t>
      </w:r>
      <w:r w:rsidR="00BB64DB" w:rsidRPr="00FC4669">
        <w:t>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73527D">
        <w:rPr>
          <w:color w:val="auto"/>
          <w:sz w:val="22"/>
          <w:szCs w:val="22"/>
        </w:rPr>
        <w:t>51</w:t>
      </w:r>
      <w:r w:rsidRPr="00FC4669">
        <w:rPr>
          <w:color w:val="auto"/>
          <w:sz w:val="22"/>
          <w:szCs w:val="22"/>
        </w:rPr>
        <w:t xml:space="preserve"> </w:t>
      </w:r>
      <w:r w:rsidR="002B7E46" w:rsidRPr="00FC4669">
        <w:rPr>
          <w:b w:val="0"/>
          <w:color w:val="auto"/>
          <w:sz w:val="22"/>
          <w:szCs w:val="22"/>
        </w:rPr>
        <w:t>Příjmy</w:t>
      </w:r>
      <w:r w:rsidRPr="00FC4669">
        <w:rPr>
          <w:b w:val="0"/>
          <w:color w:val="auto"/>
          <w:sz w:val="22"/>
          <w:szCs w:val="22"/>
        </w:rPr>
        <w:t xml:space="preserve"> a </w:t>
      </w:r>
      <w:r w:rsidR="002B7E46" w:rsidRPr="00FC4669">
        <w:rPr>
          <w:b w:val="0"/>
          <w:color w:val="auto"/>
          <w:sz w:val="22"/>
          <w:szCs w:val="22"/>
        </w:rPr>
        <w:t>počet</w:t>
      </w:r>
      <w:r w:rsidR="00DD3310" w:rsidRPr="00FC4669">
        <w:rPr>
          <w:b w:val="0"/>
          <w:color w:val="auto"/>
          <w:sz w:val="22"/>
          <w:szCs w:val="22"/>
        </w:rPr>
        <w:t xml:space="preserve"> zaměstnanců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DD3310" w:rsidRPr="00FC4669">
        <w:rPr>
          <w:b w:val="0"/>
          <w:color w:val="auto"/>
          <w:sz w:val="22"/>
          <w:szCs w:val="22"/>
        </w:rPr>
        <w:t>pro</w:t>
      </w:r>
      <w:r w:rsidR="00E60C65" w:rsidRPr="00FC4669">
        <w:rPr>
          <w:b w:val="0"/>
          <w:color w:val="auto"/>
          <w:sz w:val="22"/>
          <w:szCs w:val="22"/>
        </w:rPr>
        <w:t>vozovatelů rozhlasového vysílání</w:t>
      </w:r>
    </w:p>
    <w:p w:rsidR="00BB64DB" w:rsidRPr="00FC4669" w:rsidRDefault="00575C2E" w:rsidP="00DC44B4">
      <w:pPr>
        <w:tabs>
          <w:tab w:val="left" w:pos="1560"/>
        </w:tabs>
        <w:jc w:val="center"/>
        <w:rPr>
          <w:b/>
          <w:color w:val="C00000"/>
          <w:sz w:val="28"/>
          <w:szCs w:val="28"/>
        </w:rPr>
      </w:pPr>
      <w:r w:rsidRPr="00FC4669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5743575" cy="1543050"/>
            <wp:effectExtent l="0" t="0" r="0" b="0"/>
            <wp:docPr id="102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A2926" w:rsidRDefault="00BB64DB" w:rsidP="00AA2926">
      <w:p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FC466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Zdroj: </w:t>
      </w:r>
      <w:r w:rsidR="009253A5" w:rsidRPr="00FC466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Kult, </w:t>
      </w:r>
      <w:r w:rsidRPr="00FC466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ČSÚ</w:t>
      </w:r>
    </w:p>
    <w:p w:rsidR="00C92E76" w:rsidRPr="00AA2926" w:rsidRDefault="00C92E76" w:rsidP="00AA2926">
      <w:p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FC4669">
        <w:t>Údaje z</w:t>
      </w:r>
      <w:r w:rsidR="0042216F" w:rsidRPr="00FC4669">
        <w:t> šetření Kult</w:t>
      </w:r>
      <w:r w:rsidRPr="00FC4669">
        <w:t xml:space="preserve"> je možné doplnit o údaje z Výběrového šetření pracovních sil, které zohledňuje všechny zaměstnané osoby (zaměstnance, podnikatele či pracovníky na dohody). Podle těchto údajů pracovalo v oblasti rozhlasu</w:t>
      </w:r>
      <w:r w:rsidR="00E60C65" w:rsidRPr="00FC4669">
        <w:t xml:space="preserve"> v roce 2017 přibližně 3,4 </w:t>
      </w:r>
      <w:r w:rsidRPr="00FC4669">
        <w:t xml:space="preserve">tis. zaměstnaných osob, přičemž </w:t>
      </w:r>
      <w:r w:rsidR="00E60C65" w:rsidRPr="00FC4669">
        <w:t>větší</w:t>
      </w:r>
      <w:r w:rsidRPr="00FC4669">
        <w:t xml:space="preserve"> část povolání</w:t>
      </w:r>
      <w:r w:rsidR="00BE07B2" w:rsidRPr="00FC4669">
        <w:t xml:space="preserve"> by</w:t>
      </w:r>
      <w:r w:rsidR="00E60C65" w:rsidRPr="00FC4669">
        <w:t>la kulturního charakteru (1,9</w:t>
      </w:r>
      <w:r w:rsidRPr="00FC4669">
        <w:t xml:space="preserve"> tis.). </w:t>
      </w:r>
      <w:r w:rsidR="001C11CA" w:rsidRPr="00FC4669">
        <w:t xml:space="preserve">Z kulturních povolání </w:t>
      </w:r>
      <w:r w:rsidR="00E43274" w:rsidRPr="00FC4669">
        <w:t>byla</w:t>
      </w:r>
      <w:r w:rsidR="001C11CA" w:rsidRPr="00FC4669">
        <w:t xml:space="preserve"> nejvíce zastoupena novinářská povolání, povolání</w:t>
      </w:r>
      <w:r w:rsidR="00220644" w:rsidRPr="00FC4669">
        <w:t> </w:t>
      </w:r>
      <w:r w:rsidR="001C11CA" w:rsidRPr="00FC4669">
        <w:t>t</w:t>
      </w:r>
      <w:r w:rsidR="003A73CF">
        <w:t>echnického charakteru a dále</w:t>
      </w:r>
      <w:r w:rsidR="001C11CA" w:rsidRPr="00FC4669">
        <w:t xml:space="preserve"> také povolání moderátorů.</w:t>
      </w:r>
    </w:p>
    <w:p w:rsidR="00C92E76" w:rsidRPr="00FC4669" w:rsidRDefault="0073527D" w:rsidP="00C92E76">
      <w:pPr>
        <w:pStyle w:val="Titulek"/>
        <w:keepNext/>
      </w:pPr>
      <w:bookmarkStart w:id="10" w:name="_Toc464832054"/>
      <w:r>
        <w:rPr>
          <w:color w:val="auto"/>
          <w:sz w:val="22"/>
          <w:szCs w:val="22"/>
        </w:rPr>
        <w:t>Graf</w:t>
      </w:r>
      <w:r w:rsidR="00C92E76" w:rsidRPr="00FC466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52</w:t>
      </w:r>
      <w:r w:rsidR="00C92E76" w:rsidRPr="00FC4669">
        <w:t xml:space="preserve"> </w:t>
      </w:r>
      <w:r w:rsidR="00C92E76" w:rsidRPr="00FC4669">
        <w:rPr>
          <w:b w:val="0"/>
          <w:color w:val="auto"/>
          <w:sz w:val="22"/>
          <w:szCs w:val="22"/>
        </w:rPr>
        <w:t>Odhad počtu zaměstnaných oso</w:t>
      </w:r>
      <w:r w:rsidR="00BE07B2" w:rsidRPr="00FC4669">
        <w:rPr>
          <w:b w:val="0"/>
          <w:color w:val="auto"/>
          <w:sz w:val="22"/>
          <w:szCs w:val="22"/>
        </w:rPr>
        <w:t>b</w:t>
      </w:r>
      <w:r w:rsidR="003A73CF">
        <w:rPr>
          <w:b w:val="0"/>
          <w:color w:val="auto"/>
          <w:sz w:val="22"/>
          <w:szCs w:val="22"/>
        </w:rPr>
        <w:t xml:space="preserve"> (v tis.)</w:t>
      </w:r>
      <w:r w:rsidR="00BE07B2" w:rsidRPr="00FC4669">
        <w:rPr>
          <w:b w:val="0"/>
          <w:color w:val="auto"/>
          <w:sz w:val="22"/>
          <w:szCs w:val="22"/>
        </w:rPr>
        <w:t xml:space="preserve"> v oblasti rozhla</w:t>
      </w:r>
      <w:r w:rsidR="00E60C65" w:rsidRPr="00FC4669">
        <w:rPr>
          <w:b w:val="0"/>
          <w:color w:val="auto"/>
          <w:sz w:val="22"/>
          <w:szCs w:val="22"/>
        </w:rPr>
        <w:t>su v roce 2017</w:t>
      </w:r>
      <w:r w:rsidR="00C92E76" w:rsidRPr="00FC4669">
        <w:rPr>
          <w:b w:val="0"/>
          <w:color w:val="auto"/>
          <w:sz w:val="22"/>
          <w:szCs w:val="22"/>
        </w:rPr>
        <w:t xml:space="preserve"> </w:t>
      </w:r>
      <w:bookmarkEnd w:id="10"/>
    </w:p>
    <w:p w:rsidR="002931E4" w:rsidRPr="00FC4669" w:rsidRDefault="00D50FF2" w:rsidP="002931E4">
      <w:pPr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39" type="#_x0000_t202" style="position:absolute;left:0;text-align:left;margin-left:229.9pt;margin-top:71.15pt;width:43.4pt;height:21.3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" stroked="f" strokecolor="white [3212]">
            <v:fill opacity="0"/>
            <v:textbox>
              <w:txbxContent>
                <w:p w:rsidR="00477774" w:rsidRPr="002931E4" w:rsidRDefault="00477774">
                  <w:pPr>
                    <w:rPr>
                      <w:rFonts w:ascii="Calibri" w:hAnsi="Calibri"/>
                    </w:rPr>
                  </w:pPr>
                  <w:r w:rsidRPr="002931E4">
                    <w:rPr>
                      <w:rFonts w:ascii="Calibri" w:hAnsi="Calibri"/>
                    </w:rPr>
                    <w:t>3,4 tis.</w:t>
                  </w:r>
                </w:p>
              </w:txbxContent>
            </v:textbox>
          </v:shape>
        </w:pict>
      </w:r>
      <w:r w:rsidR="002931E4" w:rsidRPr="00FC466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800475" cy="2009775"/>
            <wp:effectExtent l="0" t="0" r="0" b="0"/>
            <wp:docPr id="133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8588D" w:rsidRPr="00FC4669" w:rsidRDefault="00C92E76" w:rsidP="00C92E76">
      <w:pPr>
        <w:spacing w:before="120"/>
        <w:rPr>
          <w:rFonts w:asciiTheme="minorHAnsi" w:hAnsiTheme="minorHAnsi"/>
          <w:sz w:val="22"/>
          <w:szCs w:val="22"/>
        </w:rPr>
      </w:pPr>
      <w:r w:rsidRPr="00FC4669">
        <w:rPr>
          <w:rFonts w:asciiTheme="minorHAnsi" w:hAnsiTheme="minorHAnsi"/>
          <w:sz w:val="22"/>
          <w:szCs w:val="22"/>
        </w:rPr>
        <w:t>Zdroj: Výběrové šetření pracovních sil</w:t>
      </w:r>
    </w:p>
    <w:p w:rsidR="00BB64DB" w:rsidRPr="00FC4669" w:rsidRDefault="00BB64DB" w:rsidP="00694914">
      <w:pPr>
        <w:pStyle w:val="Nadpis3"/>
        <w:numPr>
          <w:ilvl w:val="2"/>
          <w:numId w:val="17"/>
        </w:numPr>
      </w:pPr>
      <w:bookmarkStart w:id="11" w:name="_Toc430189810"/>
      <w:bookmarkStart w:id="12" w:name="_Toc431475038"/>
      <w:bookmarkStart w:id="13" w:name="_Toc463969193"/>
      <w:bookmarkStart w:id="14" w:name="_Toc465253903"/>
      <w:r w:rsidRPr="00FC4669">
        <w:lastRenderedPageBreak/>
        <w:t>POHLED SPOTŘEBITELE</w:t>
      </w:r>
      <w:bookmarkEnd w:id="11"/>
      <w:bookmarkEnd w:id="12"/>
      <w:bookmarkEnd w:id="13"/>
      <w:bookmarkEnd w:id="14"/>
    </w:p>
    <w:p w:rsidR="00BB64DB" w:rsidRPr="00FC4669" w:rsidRDefault="00BB64DB" w:rsidP="00BB64DB">
      <w:r w:rsidRPr="00FC4669">
        <w:t>I přes možnosti, které přinášejí nové technolo</w:t>
      </w:r>
      <w:r w:rsidR="00DD3310" w:rsidRPr="00FC4669">
        <w:t xml:space="preserve">gie, volili </w:t>
      </w:r>
      <w:r w:rsidR="005C441C" w:rsidRPr="00FC4669">
        <w:t xml:space="preserve">v roce 2015 </w:t>
      </w:r>
      <w:r w:rsidRPr="00FC4669">
        <w:t>posluchači k poslechu rozhlasového vysílání nejčastěji přenosné rozhlasové FM přijímače (rádia) či auto</w:t>
      </w:r>
      <w:r w:rsidR="00F543ED" w:rsidRPr="00FC4669">
        <w:t>rádia</w:t>
      </w:r>
      <w:r w:rsidR="002931E4" w:rsidRPr="00FC4669">
        <w:t xml:space="preserve"> (novější data</w:t>
      </w:r>
      <w:r w:rsidR="008A31C1" w:rsidRPr="00FC4669">
        <w:t xml:space="preserve"> nejsou </w:t>
      </w:r>
      <w:r w:rsidR="001132C6" w:rsidRPr="00FC4669">
        <w:t>bohužel</w:t>
      </w:r>
      <w:r w:rsidR="008A31C1" w:rsidRPr="00FC4669">
        <w:t xml:space="preserve"> k dispozici)</w:t>
      </w:r>
      <w:r w:rsidR="0073527D">
        <w:t>. Jak ukazuje Graf 53</w:t>
      </w:r>
      <w:r w:rsidRPr="00FC4669">
        <w:t xml:space="preserve">, tento způsob </w:t>
      </w:r>
      <w:r w:rsidR="001B368B" w:rsidRPr="00FC4669">
        <w:t>poslechu zvolilo 94</w:t>
      </w:r>
      <w:r w:rsidRPr="00FC4669">
        <w:t xml:space="preserve"> % posluchačů, zatímco přes internet a</w:t>
      </w:r>
      <w:r w:rsidR="003A4800">
        <w:t> </w:t>
      </w:r>
      <w:r w:rsidRPr="00FC4669">
        <w:t>mobilní telefon poslouchalo rádio</w:t>
      </w:r>
      <w:r w:rsidR="00430E4E" w:rsidRPr="00FC4669">
        <w:t xml:space="preserve"> pouze</w:t>
      </w:r>
      <w:r w:rsidR="001B368B" w:rsidRPr="00FC4669">
        <w:t xml:space="preserve"> 23</w:t>
      </w:r>
      <w:r w:rsidRPr="00FC4669">
        <w:t xml:space="preserve"> %, respekti</w:t>
      </w:r>
      <w:r w:rsidR="001B368B" w:rsidRPr="00FC4669">
        <w:t>ve 19</w:t>
      </w:r>
      <w:r w:rsidR="00DD3310" w:rsidRPr="00FC4669">
        <w:t xml:space="preserve"> % </w:t>
      </w:r>
      <w:r w:rsidR="00136A04" w:rsidRPr="00FC4669">
        <w:t>posluchačů</w:t>
      </w:r>
      <w:r w:rsidR="00DD3310" w:rsidRPr="00FC4669">
        <w:t xml:space="preserve">. Přes set-top </w:t>
      </w:r>
      <w:r w:rsidR="00583523" w:rsidRPr="00FC4669">
        <w:t>box či kabelo</w:t>
      </w:r>
      <w:r w:rsidRPr="00FC4669">
        <w:t>vou</w:t>
      </w:r>
      <w:r w:rsidR="001B368B" w:rsidRPr="00FC4669">
        <w:t xml:space="preserve"> televizi si rozhlas naladilo 11</w:t>
      </w:r>
      <w:r w:rsidR="00ED437A" w:rsidRPr="00FC4669">
        <w:t xml:space="preserve"> %</w:t>
      </w:r>
      <w:r w:rsidR="00282CCA" w:rsidRPr="00FC4669">
        <w:t> </w:t>
      </w:r>
      <w:r w:rsidR="00ED437A" w:rsidRPr="00FC4669">
        <w:t>a</w:t>
      </w:r>
      <w:r w:rsidR="00282CCA" w:rsidRPr="00FC4669">
        <w:t> </w:t>
      </w:r>
      <w:r w:rsidR="00ED437A" w:rsidRPr="00FC4669">
        <w:t>přes tablet pouhá</w:t>
      </w:r>
      <w:r w:rsidR="00731D02" w:rsidRPr="00FC4669">
        <w:t xml:space="preserve"> 2 % posluchačů.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73527D">
        <w:rPr>
          <w:color w:val="auto"/>
          <w:sz w:val="22"/>
          <w:szCs w:val="22"/>
        </w:rPr>
        <w:t>53</w:t>
      </w:r>
      <w:r w:rsidRPr="00FC4669">
        <w:rPr>
          <w:b w:val="0"/>
          <w:color w:val="auto"/>
          <w:sz w:val="22"/>
          <w:szCs w:val="22"/>
        </w:rPr>
        <w:t xml:space="preserve"> Způsob poslechu</w:t>
      </w:r>
      <w:r w:rsidR="001B368B" w:rsidRPr="00FC4669">
        <w:rPr>
          <w:b w:val="0"/>
          <w:color w:val="auto"/>
          <w:sz w:val="22"/>
          <w:szCs w:val="22"/>
        </w:rPr>
        <w:t xml:space="preserve"> rádia v roce 2015</w:t>
      </w:r>
      <w:r w:rsidR="00136A04" w:rsidRPr="00FC4669">
        <w:rPr>
          <w:b w:val="0"/>
          <w:color w:val="auto"/>
          <w:sz w:val="22"/>
          <w:szCs w:val="22"/>
        </w:rPr>
        <w:t xml:space="preserve"> mez</w:t>
      </w:r>
      <w:r w:rsidR="003A73CF">
        <w:rPr>
          <w:b w:val="0"/>
          <w:color w:val="auto"/>
          <w:sz w:val="22"/>
          <w:szCs w:val="22"/>
        </w:rPr>
        <w:t>i posluchači rádia ve věku 12–7</w:t>
      </w:r>
      <w:r w:rsidR="00136A04" w:rsidRPr="00FC4669">
        <w:rPr>
          <w:b w:val="0"/>
          <w:color w:val="auto"/>
          <w:sz w:val="22"/>
          <w:szCs w:val="22"/>
        </w:rPr>
        <w:t>9 let</w:t>
      </w:r>
    </w:p>
    <w:p w:rsidR="00BB64DB" w:rsidRPr="00FC4669" w:rsidRDefault="00934E40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5305425" cy="1390650"/>
            <wp:effectExtent l="0" t="0" r="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Zdroj: </w:t>
      </w:r>
      <w:r w:rsidRPr="00FC4669">
        <w:rPr>
          <w:b w:val="0"/>
          <w:color w:val="auto"/>
          <w:sz w:val="22"/>
          <w:szCs w:val="22"/>
        </w:rPr>
        <w:t>RADIOPROJEKT</w:t>
      </w:r>
    </w:p>
    <w:p w:rsidR="00BB64DB" w:rsidRPr="00FC4669" w:rsidRDefault="00D15C62" w:rsidP="00DD3310">
      <w:r w:rsidRPr="00FC4669">
        <w:t xml:space="preserve">Mezinárodně srovnatelná data o poslechu webového rádia </w:t>
      </w:r>
      <w:r w:rsidR="001B368B" w:rsidRPr="00FC4669">
        <w:t>za rok 201</w:t>
      </w:r>
      <w:r w:rsidR="00917A68" w:rsidRPr="00FC4669">
        <w:t>4</w:t>
      </w:r>
      <w:r w:rsidR="006B565D" w:rsidRPr="00FC4669">
        <w:t xml:space="preserve"> </w:t>
      </w:r>
      <w:r w:rsidRPr="00FC4669">
        <w:t>je možné získat z databáz</w:t>
      </w:r>
      <w:r w:rsidR="00731D02" w:rsidRPr="00FC4669">
        <w:t xml:space="preserve">e Eurostatu. Jak ukazuje Graf </w:t>
      </w:r>
      <w:r w:rsidR="0073527D">
        <w:t>54</w:t>
      </w:r>
      <w:r w:rsidRPr="00FC4669">
        <w:t xml:space="preserve">, využití internetu k poslechu rádia se v české populaci pohybovalo lehce pod evropským průměrem – webové rádio poslouchalo 22 % </w:t>
      </w:r>
      <w:r w:rsidR="003A73CF">
        <w:t>populace ve věku 16–</w:t>
      </w:r>
      <w:r w:rsidR="00296083" w:rsidRPr="00FC4669">
        <w:t>74 let</w:t>
      </w:r>
      <w:r w:rsidRPr="00FC4669">
        <w:t>. V rámci mezinárodního srovnání byl pak internet k poslechu rádia nejčastěji využíván ve Švédsku (46</w:t>
      </w:r>
      <w:r w:rsidR="003A73CF">
        <w:t xml:space="preserve"> </w:t>
      </w:r>
      <w:r w:rsidRPr="00FC4669">
        <w:t>% populace) a</w:t>
      </w:r>
      <w:r w:rsidR="000E0D24">
        <w:t> </w:t>
      </w:r>
      <w:r w:rsidRPr="00FC4669">
        <w:t>nejméně často v Rumunsku (14</w:t>
      </w:r>
      <w:r w:rsidR="003A73CF">
        <w:t xml:space="preserve"> </w:t>
      </w:r>
      <w:r w:rsidRPr="00FC4669">
        <w:t xml:space="preserve">% populace). </w:t>
      </w:r>
    </w:p>
    <w:p w:rsidR="00BB64DB" w:rsidRPr="00FC4669" w:rsidRDefault="00BB64DB" w:rsidP="003A73CF">
      <w:pPr>
        <w:pStyle w:val="Titulek"/>
        <w:keepNext/>
        <w:jc w:val="left"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73527D">
        <w:rPr>
          <w:color w:val="auto"/>
          <w:sz w:val="22"/>
          <w:szCs w:val="22"/>
        </w:rPr>
        <w:t>54</w:t>
      </w:r>
      <w:r w:rsidRPr="00FC4669">
        <w:rPr>
          <w:color w:val="auto"/>
          <w:sz w:val="22"/>
          <w:szCs w:val="22"/>
        </w:rPr>
        <w:t xml:space="preserve"> </w:t>
      </w:r>
      <w:r w:rsidR="006B565D" w:rsidRPr="00FC4669">
        <w:rPr>
          <w:b w:val="0"/>
          <w:color w:val="auto"/>
          <w:sz w:val="22"/>
          <w:szCs w:val="22"/>
        </w:rPr>
        <w:t>Mezinárodní srovnání poslec</w:t>
      </w:r>
      <w:r w:rsidR="00296083" w:rsidRPr="00FC4669">
        <w:rPr>
          <w:b w:val="0"/>
          <w:color w:val="auto"/>
          <w:sz w:val="22"/>
          <w:szCs w:val="22"/>
        </w:rPr>
        <w:t>hu webového rádia v roce 2014 ve vybraných zemích</w:t>
      </w:r>
      <w:r w:rsidR="003A73CF">
        <w:rPr>
          <w:b w:val="0"/>
          <w:color w:val="auto"/>
          <w:sz w:val="22"/>
          <w:szCs w:val="22"/>
        </w:rPr>
        <w:br/>
      </w:r>
      <w:r w:rsidR="00296083" w:rsidRPr="00FC4669">
        <w:rPr>
          <w:b w:val="0"/>
          <w:color w:val="auto"/>
          <w:sz w:val="22"/>
          <w:szCs w:val="22"/>
        </w:rPr>
        <w:t xml:space="preserve"> v </w:t>
      </w:r>
      <w:r w:rsidR="006B565D" w:rsidRPr="00FC4669">
        <w:rPr>
          <w:b w:val="0"/>
          <w:color w:val="auto"/>
          <w:sz w:val="22"/>
          <w:szCs w:val="22"/>
        </w:rPr>
        <w:t>populaci 16</w:t>
      </w:r>
      <w:r w:rsidR="003A73CF">
        <w:rPr>
          <w:b w:val="0"/>
          <w:color w:val="auto"/>
          <w:sz w:val="22"/>
          <w:szCs w:val="22"/>
        </w:rPr>
        <w:t>–</w:t>
      </w:r>
      <w:r w:rsidR="006B565D" w:rsidRPr="00FC4669">
        <w:rPr>
          <w:b w:val="0"/>
          <w:color w:val="auto"/>
          <w:sz w:val="22"/>
          <w:szCs w:val="22"/>
        </w:rPr>
        <w:t>74 let</w:t>
      </w:r>
    </w:p>
    <w:p w:rsidR="00BB64DB" w:rsidRPr="00FC4669" w:rsidRDefault="005639DB" w:rsidP="00BB64DB">
      <w:pPr>
        <w:keepNext/>
      </w:pPr>
      <w:r w:rsidRPr="00FC4669">
        <w:rPr>
          <w:noProof/>
        </w:rPr>
        <w:drawing>
          <wp:inline distT="0" distB="0" distL="0" distR="0">
            <wp:extent cx="6334125" cy="2695575"/>
            <wp:effectExtent l="0" t="0" r="0" b="0"/>
            <wp:docPr id="10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64DB" w:rsidRPr="00FC4669" w:rsidRDefault="009421B4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934E40" w:rsidRPr="00FC4669">
        <w:rPr>
          <w:b w:val="0"/>
          <w:color w:val="auto"/>
          <w:sz w:val="22"/>
          <w:szCs w:val="22"/>
        </w:rPr>
        <w:t>ICT usage in households and by individuals,</w:t>
      </w:r>
      <w:r w:rsidR="00934E40" w:rsidRPr="00FC4669">
        <w:rPr>
          <w:color w:val="auto"/>
          <w:sz w:val="22"/>
          <w:szCs w:val="22"/>
        </w:rPr>
        <w:t xml:space="preserve"> </w:t>
      </w:r>
      <w:r w:rsidR="006B565D" w:rsidRPr="00FC4669">
        <w:rPr>
          <w:b w:val="0"/>
          <w:color w:val="auto"/>
          <w:sz w:val="22"/>
          <w:szCs w:val="22"/>
        </w:rPr>
        <w:t>Eurostat</w:t>
      </w:r>
    </w:p>
    <w:p w:rsidR="00BB64DB" w:rsidRPr="00FC4669" w:rsidRDefault="00BB64DB" w:rsidP="00BB64DB">
      <w:r w:rsidRPr="00FC4669">
        <w:t xml:space="preserve">Věkovou strukturu posluchačů rozhlasového vysílání </w:t>
      </w:r>
      <w:r w:rsidR="009421B4" w:rsidRPr="00FC4669">
        <w:t>je možné</w:t>
      </w:r>
      <w:r w:rsidRPr="00FC4669">
        <w:t xml:space="preserve"> odhadnout podle programového vymezení v licenci k provozování rozhlasového vysílání. Nejvíce programů</w:t>
      </w:r>
      <w:r w:rsidR="00EE01FF" w:rsidRPr="00FC4669">
        <w:t xml:space="preserve"> – 73 %</w:t>
      </w:r>
      <w:r w:rsidRPr="00FC4669">
        <w:t xml:space="preserve"> rozhlasového vysílání</w:t>
      </w:r>
      <w:r w:rsidR="00EE01FF" w:rsidRPr="00FC4669">
        <w:t xml:space="preserve"> –</w:t>
      </w:r>
      <w:r w:rsidRPr="00FC4669">
        <w:t xml:space="preserve"> cílilo v roce </w:t>
      </w:r>
      <w:r w:rsidR="009D1D0C">
        <w:t>2014 na posluchače ve věku 25–</w:t>
      </w:r>
      <w:r w:rsidRPr="00FC4669">
        <w:t>34 let</w:t>
      </w:r>
      <w:r w:rsidR="00DE61D7" w:rsidRPr="00FC4669">
        <w:t>,</w:t>
      </w:r>
      <w:r w:rsidRPr="00FC4669">
        <w:t xml:space="preserve"> zatímco nejméně provozovatelů se snaž</w:t>
      </w:r>
      <w:r w:rsidR="009421B4" w:rsidRPr="00FC4669">
        <w:t>ilo</w:t>
      </w:r>
      <w:r w:rsidRPr="00FC4669">
        <w:t xml:space="preserve"> primárně oslovit děti </w:t>
      </w:r>
      <w:r w:rsidRPr="00FC4669">
        <w:lastRenderedPageBreak/>
        <w:t>a</w:t>
      </w:r>
      <w:r w:rsidR="009D1D0C">
        <w:t> </w:t>
      </w:r>
      <w:r w:rsidRPr="00FC4669">
        <w:t>mladistvé ve věku do 15 let. Více než polovina provozovatelů r</w:t>
      </w:r>
      <w:r w:rsidR="009421B4" w:rsidRPr="00FC4669">
        <w:t>ozhlasového vysílání se zaměřovala</w:t>
      </w:r>
      <w:r w:rsidR="009D1D0C">
        <w:t xml:space="preserve"> na věkovou kategorii 15–</w:t>
      </w:r>
      <w:r w:rsidRPr="00FC4669">
        <w:t>24 let</w:t>
      </w:r>
      <w:r w:rsidR="009D1D0C">
        <w:t>, stejně jako na kategorii 35–</w:t>
      </w:r>
      <w:r w:rsidRPr="00FC4669">
        <w:t>44 let. Toto rozdělení je však pouze orientační a</w:t>
      </w:r>
      <w:r w:rsidR="000E0D24">
        <w:t> </w:t>
      </w:r>
      <w:r w:rsidRPr="00FC4669">
        <w:t>nelze zjistit, do jaké míry odpovídá skutečnému rozložení po</w:t>
      </w:r>
      <w:r w:rsidR="009421B4" w:rsidRPr="00FC4669">
        <w:t>sluchačů rozhlasového vysílání.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661C5" w:rsidRPr="00FC4669">
        <w:rPr>
          <w:color w:val="auto"/>
          <w:sz w:val="22"/>
          <w:szCs w:val="22"/>
        </w:rPr>
        <w:t>5</w:t>
      </w:r>
      <w:r w:rsidR="0066141D">
        <w:rPr>
          <w:color w:val="auto"/>
          <w:sz w:val="22"/>
          <w:szCs w:val="22"/>
        </w:rPr>
        <w:t>5</w:t>
      </w:r>
      <w:r w:rsidRPr="00FC4669">
        <w:rPr>
          <w:b w:val="0"/>
          <w:color w:val="auto"/>
          <w:sz w:val="22"/>
          <w:szCs w:val="22"/>
        </w:rPr>
        <w:t xml:space="preserve"> Vymezení cílové skupiny uvedené v licenci provozovatele v roce 2014</w:t>
      </w:r>
    </w:p>
    <w:p w:rsidR="00BB64DB" w:rsidRPr="00FC4669" w:rsidRDefault="00BB64DB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6134100" cy="1685925"/>
            <wp:effectExtent l="0" t="0" r="0" b="0"/>
            <wp:docPr id="16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B64DB" w:rsidRPr="00FC4669" w:rsidRDefault="00BB64DB" w:rsidP="00E14DCA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RRTV, vlastní propočet</w:t>
      </w:r>
    </w:p>
    <w:p w:rsidR="00BB64DB" w:rsidRPr="00FC4669" w:rsidRDefault="00BB64DB" w:rsidP="00694914">
      <w:pPr>
        <w:pStyle w:val="Nadpis2"/>
        <w:numPr>
          <w:ilvl w:val="1"/>
          <w:numId w:val="17"/>
        </w:numPr>
      </w:pPr>
      <w:bookmarkStart w:id="15" w:name="_Toc430189811"/>
      <w:bookmarkStart w:id="16" w:name="_Toc463969194"/>
      <w:bookmarkStart w:id="17" w:name="_Toc465253904"/>
      <w:r w:rsidRPr="00FC4669">
        <w:t>TELEVIZE</w:t>
      </w:r>
      <w:bookmarkEnd w:id="15"/>
      <w:bookmarkEnd w:id="16"/>
      <w:bookmarkEnd w:id="17"/>
    </w:p>
    <w:p w:rsidR="00BB64DB" w:rsidRPr="00FC4669" w:rsidRDefault="00BB64DB" w:rsidP="00BB64DB">
      <w:pPr>
        <w:pStyle w:val="Titulek"/>
        <w:keepNext/>
        <w:jc w:val="right"/>
        <w:rPr>
          <w:color w:val="auto"/>
        </w:rPr>
      </w:pPr>
      <w:bookmarkStart w:id="18" w:name="_Toc464832055"/>
      <w:r w:rsidRPr="00FC4669">
        <w:rPr>
          <w:color w:val="auto"/>
          <w:sz w:val="22"/>
          <w:szCs w:val="22"/>
        </w:rPr>
        <w:t xml:space="preserve">Tabulka </w:t>
      </w:r>
      <w:r w:rsidR="001918B2">
        <w:rPr>
          <w:color w:val="auto"/>
          <w:sz w:val="22"/>
          <w:szCs w:val="22"/>
        </w:rPr>
        <w:t>8</w:t>
      </w:r>
      <w:r w:rsidRPr="00FC4669">
        <w:rPr>
          <w:color w:val="auto"/>
        </w:rPr>
        <w:t xml:space="preserve"> </w:t>
      </w:r>
      <w:r w:rsidRPr="00FC4669">
        <w:rPr>
          <w:b w:val="0"/>
          <w:color w:val="auto"/>
          <w:sz w:val="22"/>
          <w:szCs w:val="22"/>
        </w:rPr>
        <w:t>Vymezení oblasti televize podle klasifikace NACE</w:t>
      </w:r>
      <w:bookmarkEnd w:id="18"/>
    </w:p>
    <w:tbl>
      <w:tblPr>
        <w:tblW w:w="6377" w:type="dxa"/>
        <w:jc w:val="right"/>
        <w:tblCellMar>
          <w:left w:w="70" w:type="dxa"/>
          <w:right w:w="70" w:type="dxa"/>
        </w:tblCellMar>
        <w:tblLook w:val="04A0"/>
      </w:tblPr>
      <w:tblGrid>
        <w:gridCol w:w="1009"/>
        <w:gridCol w:w="5368"/>
      </w:tblGrid>
      <w:tr w:rsidR="00BB64DB" w:rsidRPr="00FC4669" w:rsidTr="000728C1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FC4669" w:rsidRDefault="00BB64DB" w:rsidP="000728C1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FC4669" w:rsidRDefault="00BB64DB" w:rsidP="000728C1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color w:val="auto"/>
                <w:sz w:val="20"/>
                <w:szCs w:val="20"/>
              </w:rPr>
              <w:t>EKONOMICKÁ</w:t>
            </w:r>
            <w:r w:rsidRPr="00FC4669">
              <w:rPr>
                <w:rFonts w:asciiTheme="minorHAnsi" w:hAnsiTheme="minorHAnsi"/>
                <w:sz w:val="20"/>
                <w:szCs w:val="20"/>
              </w:rPr>
              <w:t xml:space="preserve"> ČINNOST</w:t>
            </w:r>
          </w:p>
        </w:tc>
      </w:tr>
      <w:tr w:rsidR="00BB64DB" w:rsidRPr="00FC4669" w:rsidTr="000728C1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0728C1">
            <w:pPr>
              <w:spacing w:after="0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60.20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0728C1">
            <w:pPr>
              <w:spacing w:after="0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Tvorba televizních programů a televizní vysílání</w:t>
            </w:r>
          </w:p>
        </w:tc>
      </w:tr>
    </w:tbl>
    <w:p w:rsidR="00BB64DB" w:rsidRPr="00FC4669" w:rsidRDefault="00BB64DB" w:rsidP="00BB64DB">
      <w:pPr>
        <w:jc w:val="right"/>
        <w:rPr>
          <w:b/>
          <w:color w:val="C00000"/>
          <w:szCs w:val="20"/>
        </w:rPr>
      </w:pPr>
    </w:p>
    <w:p w:rsidR="00BB64DB" w:rsidRPr="00FC4669" w:rsidRDefault="00BB64DB" w:rsidP="00BB64DB">
      <w:r w:rsidRPr="00FC4669">
        <w:t xml:space="preserve">Sledování televize je </w:t>
      </w:r>
      <w:r w:rsidR="006B565D" w:rsidRPr="00FC4669">
        <w:t>mezi uživateli audiovizuálních služeb</w:t>
      </w:r>
      <w:r w:rsidRPr="00FC4669">
        <w:t xml:space="preserve"> jednou z nejrozšířenějších volnočasových aktivit. Podle výsledků šetření Audiovizuální trh v ČR sledovalo v roce 2014 televizi denně 64 % </w:t>
      </w:r>
      <w:r w:rsidR="006B565D" w:rsidRPr="00FC4669">
        <w:t>uživatelů</w:t>
      </w:r>
      <w:r w:rsidRPr="00FC4669">
        <w:t xml:space="preserve"> ve věku 15</w:t>
      </w:r>
      <w:r w:rsidR="00AA4814">
        <w:t>–</w:t>
      </w:r>
      <w:r w:rsidRPr="00FC4669">
        <w:t xml:space="preserve">70 let. Provozovatelům televizního vysílání se i přes </w:t>
      </w:r>
      <w:r w:rsidR="00CF765A" w:rsidRPr="00FC4669">
        <w:t>růst</w:t>
      </w:r>
      <w:r w:rsidRPr="00FC4669">
        <w:t xml:space="preserve"> konkurenčních poskytovatelů audiovizuál</w:t>
      </w:r>
      <w:r w:rsidR="00CF765A" w:rsidRPr="00FC4669">
        <w:t>ních katalogů dařilo v roce 2017</w:t>
      </w:r>
      <w:r w:rsidRPr="00FC4669">
        <w:t xml:space="preserve"> udržet svou pozici na trhu a velké soukromé subjekty realizovaly kladn</w:t>
      </w:r>
      <w:r w:rsidR="00143AB2" w:rsidRPr="00FC4669">
        <w:t xml:space="preserve">ý </w:t>
      </w:r>
      <w:r w:rsidR="00CF765A" w:rsidRPr="00FC4669">
        <w:t>ekonomický zisk (Mediaguru, 2018a, 2018</w:t>
      </w:r>
      <w:r w:rsidR="00CC08A8" w:rsidRPr="00FC4669">
        <w:t>b</w:t>
      </w:r>
      <w:r w:rsidRPr="00FC4669">
        <w:t>). Samotní provozovatelé navíc zpřístupňují své pořady v bezplatných či placených archivech na internetu a online materiál je tak v mnoha případech komplementární s běžným televizním vysíláním. Lze tedy usuzovat, že televizní vysílání v reálném čase má stále na českém trhu silnou pozici a není ve velké míře ohroženo online katalogy audiovizuálního materiálu.</w:t>
      </w:r>
    </w:p>
    <w:p w:rsidR="00BB64DB" w:rsidRPr="00FC4669" w:rsidRDefault="00E14DCA" w:rsidP="00BB64DB">
      <w:r w:rsidRPr="00FC4669">
        <w:tab/>
      </w:r>
      <w:r w:rsidR="00BB64DB" w:rsidRPr="00FC4669">
        <w:t>Také televizní vysílání dle zákona 231/2001 Sb.</w:t>
      </w:r>
      <w:r w:rsidR="006B565D" w:rsidRPr="00FC4669">
        <w:t xml:space="preserve"> v platném znění</w:t>
      </w:r>
      <w:r w:rsidR="00BB64DB" w:rsidRPr="00FC4669">
        <w:t xml:space="preserve"> zahrnuje provozovatele ze zákona (veřejnoprávní vysílání) a provozovatele vysílání na základě licence (soukromé vysílání) či registrace (převzaté vysílání). Dále lze vysílání členit dle rozsahu na celoplošné, regionální a místní. Stejně jako tomu bylo u</w:t>
      </w:r>
      <w:r w:rsidR="0022192F">
        <w:t> </w:t>
      </w:r>
      <w:r w:rsidR="00BB64DB" w:rsidRPr="00FC4669">
        <w:t xml:space="preserve">rozhlasového vysílání, také u televizního vysílání je trh rozdělen mezi provozovatele veřejnoprávního vysílání (Česká televize) a několik velkých soukromých </w:t>
      </w:r>
      <w:r w:rsidR="00CC08A8" w:rsidRPr="00FC4669">
        <w:t>provozovatelů</w:t>
      </w:r>
      <w:r w:rsidR="00600CDB" w:rsidRPr="00FC4669">
        <w:t xml:space="preserve"> (</w:t>
      </w:r>
      <w:r w:rsidR="00CF765A" w:rsidRPr="00FC4669">
        <w:t>TV Nova</w:t>
      </w:r>
      <w:r w:rsidR="00600CDB" w:rsidRPr="00FC4669">
        <w:t>, FTV Prima</w:t>
      </w:r>
      <w:r w:rsidR="00BB64DB" w:rsidRPr="00FC4669">
        <w:t>, Ba</w:t>
      </w:r>
      <w:r w:rsidR="00600CDB" w:rsidRPr="00FC4669">
        <w:t>r</w:t>
      </w:r>
      <w:r w:rsidR="00BB64DB" w:rsidRPr="00FC4669">
        <w:t>randov Televi</w:t>
      </w:r>
      <w:r w:rsidR="00F543ED" w:rsidRPr="00FC4669">
        <w:t>zní studio</w:t>
      </w:r>
      <w:r w:rsidR="00600CDB" w:rsidRPr="00FC4669">
        <w:t>, At Media</w:t>
      </w:r>
      <w:r w:rsidR="0066141D">
        <w:t>). Jak ukazuje Graf 56</w:t>
      </w:r>
      <w:r w:rsidR="00BB64DB" w:rsidRPr="00FC4669">
        <w:t xml:space="preserve">, programy </w:t>
      </w:r>
      <w:r w:rsidR="000728C1" w:rsidRPr="00FC4669">
        <w:t>provozovatele</w:t>
      </w:r>
      <w:r w:rsidR="00BB64DB" w:rsidRPr="00FC4669">
        <w:t xml:space="preserve"> veřejnoprávního vysílání se</w:t>
      </w:r>
      <w:r w:rsidR="001661C5" w:rsidRPr="00FC4669">
        <w:t xml:space="preserve"> v dubnu 2018</w:t>
      </w:r>
      <w:r w:rsidR="00220644" w:rsidRPr="00FC4669">
        <w:t> </w:t>
      </w:r>
      <w:r w:rsidR="001661C5" w:rsidRPr="00FC4669">
        <w:t>podílely 28</w:t>
      </w:r>
      <w:r w:rsidR="00BB64DB" w:rsidRPr="00FC4669">
        <w:t xml:space="preserve"> % na celkové sledovanosti</w:t>
      </w:r>
      <w:r w:rsidR="00D95F9C" w:rsidRPr="00FC4669">
        <w:rPr>
          <w:rStyle w:val="Znakapoznpodarou"/>
        </w:rPr>
        <w:footnoteReference w:id="4"/>
      </w:r>
      <w:r w:rsidR="00BB64DB" w:rsidRPr="00FC4669">
        <w:t>, zatímco programy zmíněných soukromých společností se</w:t>
      </w:r>
      <w:r w:rsidR="00220644" w:rsidRPr="00FC4669">
        <w:t> </w:t>
      </w:r>
      <w:r w:rsidR="001661C5" w:rsidRPr="00FC4669">
        <w:t>dohromady postaraly o 66</w:t>
      </w:r>
      <w:r w:rsidR="00BB64DB" w:rsidRPr="00FC4669">
        <w:t xml:space="preserve"> % sledovanosti. Ostatní provozovatelé</w:t>
      </w:r>
      <w:r w:rsidR="001661C5" w:rsidRPr="00FC4669">
        <w:t xml:space="preserve"> pak svým vysíláním zasáhli 5</w:t>
      </w:r>
      <w:r w:rsidR="00BB64DB" w:rsidRPr="00FC4669">
        <w:t xml:space="preserve"> % televizních diváků</w:t>
      </w:r>
      <w:r w:rsidR="001661C5" w:rsidRPr="00FC4669">
        <w:t xml:space="preserve"> (ATO, 2018</w:t>
      </w:r>
      <w:r w:rsidR="003F44B8" w:rsidRPr="00FC4669">
        <w:t>)</w:t>
      </w:r>
      <w:r w:rsidR="00BB64DB" w:rsidRPr="00FC4669">
        <w:t>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lastRenderedPageBreak/>
        <w:t xml:space="preserve">Graf </w:t>
      </w:r>
      <w:r w:rsidR="0066141D">
        <w:rPr>
          <w:color w:val="auto"/>
          <w:sz w:val="22"/>
          <w:szCs w:val="22"/>
        </w:rPr>
        <w:t>56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 xml:space="preserve">Podíl poskytovatelů televizního vysílání na </w:t>
      </w:r>
      <w:r w:rsidR="006B565D" w:rsidRPr="00FC4669">
        <w:rPr>
          <w:b w:val="0"/>
          <w:color w:val="auto"/>
          <w:sz w:val="22"/>
          <w:szCs w:val="22"/>
        </w:rPr>
        <w:t xml:space="preserve">celkové </w:t>
      </w:r>
      <w:r w:rsidR="00600CDB" w:rsidRPr="00FC4669">
        <w:rPr>
          <w:b w:val="0"/>
          <w:color w:val="auto"/>
          <w:sz w:val="22"/>
          <w:szCs w:val="22"/>
        </w:rPr>
        <w:t>sledovanosti v </w:t>
      </w:r>
      <w:r w:rsidR="001661C5" w:rsidRPr="00FC4669">
        <w:rPr>
          <w:b w:val="0"/>
          <w:color w:val="auto"/>
          <w:sz w:val="22"/>
          <w:szCs w:val="22"/>
        </w:rPr>
        <w:t>dubnu 2018</w:t>
      </w:r>
    </w:p>
    <w:p w:rsidR="00BB64DB" w:rsidRPr="00FC4669" w:rsidRDefault="001661C5" w:rsidP="00BB64DB">
      <w:pPr>
        <w:jc w:val="center"/>
      </w:pPr>
      <w:r w:rsidRPr="00FC4669">
        <w:rPr>
          <w:noProof/>
        </w:rPr>
        <w:drawing>
          <wp:inline distT="0" distB="0" distL="0" distR="0">
            <wp:extent cx="5191125" cy="1809750"/>
            <wp:effectExtent l="0" t="0" r="0" b="0"/>
            <wp:docPr id="103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</w:t>
      </w:r>
      <w:r w:rsidR="004D5A93" w:rsidRPr="00FC4669">
        <w:rPr>
          <w:b w:val="0"/>
          <w:color w:val="auto"/>
          <w:sz w:val="22"/>
          <w:szCs w:val="22"/>
        </w:rPr>
        <w:t xml:space="preserve">j: </w:t>
      </w:r>
      <w:r w:rsidR="00EE01FF" w:rsidRPr="00FC4669">
        <w:rPr>
          <w:b w:val="0"/>
          <w:color w:val="auto"/>
          <w:sz w:val="22"/>
          <w:szCs w:val="22"/>
        </w:rPr>
        <w:t>Asociace televizních organizací</w:t>
      </w:r>
    </w:p>
    <w:p w:rsidR="00BB64DB" w:rsidRPr="00FC4669" w:rsidRDefault="00BB64DB" w:rsidP="00461B09">
      <w:r w:rsidRPr="00FC4669">
        <w:t>Rozdíl mezi programy veřejnoprávního a soukromého vysílání je patrný také při sledování programové struktury. Stejně jako u rozhlasového vysílání je u veřejnoprávní televize zákonem regulovaný podíl reklamy na celkovém vysílání</w:t>
      </w:r>
      <w:r w:rsidRPr="00FC4669">
        <w:rPr>
          <w:rStyle w:val="Znakapoznpodarou"/>
        </w:rPr>
        <w:footnoteReference w:id="5"/>
      </w:r>
      <w:r w:rsidR="0016269D" w:rsidRPr="00FC4669">
        <w:t>. Jak ukazuje Graf 5</w:t>
      </w:r>
      <w:r w:rsidR="0066141D">
        <w:t>7</w:t>
      </w:r>
      <w:r w:rsidRPr="00FC4669">
        <w:t xml:space="preserve">, celkový podíl reklamy u programů veřejnoprávní televize dosahoval </w:t>
      </w:r>
      <w:r w:rsidR="00C64BB8" w:rsidRPr="00FC4669">
        <w:t>1</w:t>
      </w:r>
      <w:r w:rsidRPr="00FC4669">
        <w:t xml:space="preserve"> % z</w:t>
      </w:r>
      <w:r w:rsidR="000728C1" w:rsidRPr="00FC4669">
        <w:t> celkového vysílání, zatímco u komerčních programů</w:t>
      </w:r>
      <w:r w:rsidRPr="00FC4669">
        <w:t xml:space="preserve"> tvořila </w:t>
      </w:r>
      <w:r w:rsidR="000728C1" w:rsidRPr="00FC4669">
        <w:t xml:space="preserve">reklama </w:t>
      </w:r>
      <w:r w:rsidR="00461B09" w:rsidRPr="00FC4669">
        <w:t>celkem 9</w:t>
      </w:r>
      <w:r w:rsidR="00114A3F" w:rsidRPr="00FC4669">
        <w:t xml:space="preserve"> % veškerého vysílacího času</w:t>
      </w:r>
      <w:r w:rsidRPr="00FC4669">
        <w:t xml:space="preserve">. Programy veřejnoprávní televize mají naopak ve srovnání s programy soukromých poskytovatelů větší podíl </w:t>
      </w:r>
      <w:r w:rsidR="00416EF5" w:rsidRPr="00FC4669">
        <w:t>publicistických či</w:t>
      </w:r>
      <w:r w:rsidR="00461B09" w:rsidRPr="00FC4669">
        <w:t xml:space="preserve"> dokumentárních</w:t>
      </w:r>
      <w:r w:rsidR="004F5E3A" w:rsidRPr="00FC4669">
        <w:t xml:space="preserve"> </w:t>
      </w:r>
      <w:r w:rsidR="00461B09" w:rsidRPr="00FC4669">
        <w:t>(18</w:t>
      </w:r>
      <w:r w:rsidRPr="00FC4669">
        <w:t xml:space="preserve"> %)</w:t>
      </w:r>
      <w:r w:rsidR="004F5E3A" w:rsidRPr="00FC4669">
        <w:t xml:space="preserve"> a také sportovních pořadů (19</w:t>
      </w:r>
      <w:r w:rsidRPr="00FC4669">
        <w:t xml:space="preserve"> %). </w:t>
      </w:r>
      <w:r w:rsidR="00461B09" w:rsidRPr="00FC4669">
        <w:t>U</w:t>
      </w:r>
      <w:r w:rsidR="0022192F">
        <w:t> </w:t>
      </w:r>
      <w:r w:rsidR="00461B09" w:rsidRPr="00FC4669">
        <w:t xml:space="preserve">posledně jmenovaného </w:t>
      </w:r>
      <w:r w:rsidRPr="00FC4669">
        <w:t>je</w:t>
      </w:r>
      <w:r w:rsidR="00461B09" w:rsidRPr="00FC4669">
        <w:t xml:space="preserve"> to</w:t>
      </w:r>
      <w:r w:rsidRPr="00FC4669">
        <w:t xml:space="preserve"> dané</w:t>
      </w:r>
      <w:r w:rsidR="00461B09" w:rsidRPr="00FC4669">
        <w:t xml:space="preserve"> zejména existencí samostatného sportovního</w:t>
      </w:r>
      <w:r w:rsidR="00282CCA" w:rsidRPr="00FC4669">
        <w:t> </w:t>
      </w:r>
      <w:r w:rsidR="00461B09" w:rsidRPr="00FC4669">
        <w:t xml:space="preserve"> programu</w:t>
      </w:r>
      <w:r w:rsidRPr="00FC4669">
        <w:t xml:space="preserve">. </w:t>
      </w:r>
      <w:r w:rsidR="00416EF5" w:rsidRPr="00FC4669">
        <w:t>Jak u</w:t>
      </w:r>
      <w:r w:rsidR="0022192F">
        <w:t> </w:t>
      </w:r>
      <w:r w:rsidR="00416EF5" w:rsidRPr="00FC4669">
        <w:t xml:space="preserve">soukromých, tak u veřejnoprávních provozovatelů tvořily největší podíl vysílacího času kulturně orientované pořady (28 % u soukromého a 32 % u veřejnoprávního </w:t>
      </w:r>
      <w:r w:rsidR="001132C6" w:rsidRPr="00FC4669">
        <w:t>vysílání) a zpravodajské</w:t>
      </w:r>
      <w:r w:rsidR="00416EF5" w:rsidRPr="00FC4669">
        <w:t xml:space="preserve"> pořady (23 % u</w:t>
      </w:r>
      <w:r w:rsidR="0022192F">
        <w:t> </w:t>
      </w:r>
      <w:r w:rsidR="00416EF5" w:rsidRPr="00FC4669">
        <w:t xml:space="preserve">veřejnoprávního a 38 % u soukromého vysílání). </w:t>
      </w:r>
      <w:r w:rsidRPr="00FC4669">
        <w:t xml:space="preserve">Vysoký podíl zpravodajských pořadů na celkovém vysílání </w:t>
      </w:r>
      <w:r w:rsidR="00416EF5" w:rsidRPr="00FC4669">
        <w:t xml:space="preserve">soukromých provozovatelů </w:t>
      </w:r>
      <w:r w:rsidRPr="00FC4669">
        <w:t xml:space="preserve">je </w:t>
      </w:r>
      <w:r w:rsidR="00C64BB8" w:rsidRPr="00FC4669">
        <w:t xml:space="preserve">však </w:t>
      </w:r>
      <w:r w:rsidRPr="00FC4669">
        <w:t xml:space="preserve">ovlivněn velkým počtem </w:t>
      </w:r>
      <w:r w:rsidR="000728C1" w:rsidRPr="00FC4669">
        <w:t>„</w:t>
      </w:r>
      <w:r w:rsidRPr="00FC4669">
        <w:t>infokanálů</w:t>
      </w:r>
      <w:r w:rsidR="000728C1" w:rsidRPr="00FC4669">
        <w:t>“</w:t>
      </w:r>
      <w:r w:rsidRPr="00FC4669">
        <w:t>, jejichž vysílání se často omezuje pouze n</w:t>
      </w:r>
      <w:r w:rsidR="00042E63" w:rsidRPr="00FC4669">
        <w:t>a vysílání zpravodajské smyčky</w:t>
      </w:r>
      <w:r w:rsidR="00461B09" w:rsidRPr="00FC4669">
        <w:t xml:space="preserve"> (20 %</w:t>
      </w:r>
      <w:r w:rsidR="00416EF5" w:rsidRPr="00FC4669">
        <w:t xml:space="preserve"> z celkového vysílání soukromých provozovatelů</w:t>
      </w:r>
      <w:r w:rsidR="00461B09" w:rsidRPr="00FC4669">
        <w:t>)</w:t>
      </w:r>
      <w:r w:rsidR="00042E63" w:rsidRPr="00FC4669">
        <w:t>.</w:t>
      </w:r>
    </w:p>
    <w:p w:rsidR="00BB64DB" w:rsidRPr="00FC4669" w:rsidRDefault="00BB64DB" w:rsidP="00461B09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0C27A2" w:rsidRPr="00FC4669">
        <w:rPr>
          <w:color w:val="auto"/>
          <w:sz w:val="22"/>
          <w:szCs w:val="22"/>
        </w:rPr>
        <w:t>5</w:t>
      </w:r>
      <w:r w:rsidR="0066141D">
        <w:rPr>
          <w:color w:val="auto"/>
          <w:sz w:val="22"/>
          <w:szCs w:val="22"/>
        </w:rPr>
        <w:t>7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 xml:space="preserve">Programová struktura </w:t>
      </w:r>
      <w:r w:rsidR="008905EC" w:rsidRPr="00FC4669">
        <w:rPr>
          <w:b w:val="0"/>
          <w:color w:val="auto"/>
          <w:sz w:val="22"/>
          <w:szCs w:val="22"/>
        </w:rPr>
        <w:t>televizního</w:t>
      </w:r>
      <w:r w:rsidRPr="00FC4669">
        <w:rPr>
          <w:b w:val="0"/>
          <w:color w:val="auto"/>
          <w:sz w:val="22"/>
          <w:szCs w:val="22"/>
        </w:rPr>
        <w:t xml:space="preserve"> vysílání v roc</w:t>
      </w:r>
      <w:r w:rsidR="00A04643" w:rsidRPr="00FC4669">
        <w:rPr>
          <w:b w:val="0"/>
          <w:color w:val="auto"/>
          <w:sz w:val="22"/>
          <w:szCs w:val="22"/>
        </w:rPr>
        <w:t>e 2017</w:t>
      </w:r>
      <w:r w:rsidRPr="00FC4669">
        <w:rPr>
          <w:b w:val="0"/>
          <w:color w:val="auto"/>
          <w:sz w:val="22"/>
          <w:szCs w:val="22"/>
        </w:rPr>
        <w:t xml:space="preserve"> podle vysílaných pořadů</w:t>
      </w:r>
    </w:p>
    <w:p w:rsidR="00BB64DB" w:rsidRPr="00FC4669" w:rsidRDefault="00FB51BC" w:rsidP="00C62D2F">
      <w:pPr>
        <w:keepNext/>
        <w:jc w:val="center"/>
      </w:pPr>
      <w:r w:rsidRPr="00FB51BC">
        <w:rPr>
          <w:noProof/>
        </w:rPr>
        <w:drawing>
          <wp:inline distT="0" distB="0" distL="0" distR="0">
            <wp:extent cx="5899868" cy="2242268"/>
            <wp:effectExtent l="0" t="0" r="0" b="0"/>
            <wp:docPr id="119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B64DB" w:rsidRPr="00FC4669" w:rsidRDefault="00BB64DB" w:rsidP="00BB64DB">
      <w:r w:rsidRPr="00FC4669">
        <w:t xml:space="preserve">Zdroj: </w:t>
      </w:r>
      <w:r w:rsidR="004D5A93" w:rsidRPr="00FC4669">
        <w:t xml:space="preserve">Kult, </w:t>
      </w:r>
      <w:r w:rsidR="005F0301" w:rsidRPr="00FC4669">
        <w:t>Č</w:t>
      </w:r>
      <w:r w:rsidRPr="00FC4669">
        <w:t>SÚ</w:t>
      </w:r>
    </w:p>
    <w:p w:rsidR="0066141D" w:rsidRDefault="000E5F9D" w:rsidP="00BB64DB">
      <w:r w:rsidRPr="00FC4669">
        <w:lastRenderedPageBreak/>
        <w:t xml:space="preserve">V referenčním roce 2017 </w:t>
      </w:r>
      <w:r w:rsidR="001132C6">
        <w:t xml:space="preserve">byly do šetření Kult 6-01 </w:t>
      </w:r>
      <w:r w:rsidR="005C78E0" w:rsidRPr="00FC4669">
        <w:t xml:space="preserve">zařazeny otázky týkající se poskytování tzv. audiovizuálních </w:t>
      </w:r>
      <w:r w:rsidR="001132C6" w:rsidRPr="00FC4669">
        <w:t>mediálních</w:t>
      </w:r>
      <w:r w:rsidR="005C78E0" w:rsidRPr="00FC4669">
        <w:t xml:space="preserve"> služeb na vyžádání (online katalogů pořadů). Na tyto otázky odpovídali jak provozovatelé televizního vysílán</w:t>
      </w:r>
      <w:r w:rsidR="00D8721D" w:rsidRPr="00FC4669">
        <w:t>í, kteří</w:t>
      </w:r>
      <w:r w:rsidR="005C78E0" w:rsidRPr="00FC4669">
        <w:t xml:space="preserve"> tyto služby poskytují vedle vysílací činnosti (v současnosti disponují svými online archivy všechny velké </w:t>
      </w:r>
      <w:r w:rsidR="00D8721D" w:rsidRPr="00FC4669">
        <w:t>televizní společnosti</w:t>
      </w:r>
      <w:r w:rsidR="005C78E0" w:rsidRPr="00FC4669">
        <w:t>), tak samostatní poskytovatelé online katalogů (jako např. Seznam.cz nebo Economia).</w:t>
      </w:r>
      <w:r w:rsidR="00D8721D" w:rsidRPr="00FC4669">
        <w:t xml:space="preserve"> Programovou strukturu t</w:t>
      </w:r>
      <w:r w:rsidR="0066141D">
        <w:t>ěchto katalogů zobrazuje Graf 58</w:t>
      </w:r>
      <w:r w:rsidR="00D8721D" w:rsidRPr="00FC4669">
        <w:t>, přičemž základní sledovanou jednotkou v tomto případě nebyl počet odvysílaných hodin (tak jako u televizního vysílání) ale počet zahájených přehrání jednotlivých videí.</w:t>
      </w:r>
    </w:p>
    <w:p w:rsidR="000E5F9D" w:rsidRPr="00FC4669" w:rsidRDefault="0066141D" w:rsidP="00BB64DB">
      <w:r>
        <w:tab/>
      </w:r>
      <w:r w:rsidR="00D8721D" w:rsidRPr="00FC4669">
        <w:t>Online katalog veřejnoprávního média byl v roce 2017 nejvíce využíván pro přehrání filmů a seriálů</w:t>
      </w:r>
      <w:r w:rsidR="000C27A2" w:rsidRPr="00FC4669">
        <w:t xml:space="preserve"> (</w:t>
      </w:r>
      <w:r w:rsidR="001132C6" w:rsidRPr="00FC4669">
        <w:t>32 %) a různých</w:t>
      </w:r>
      <w:r w:rsidR="000C27A2" w:rsidRPr="00FC4669">
        <w:t xml:space="preserve"> zpravodajských a publicistických pořadů (12 %). Velkou část videí veřejnoprávního média však nebylo možné zařadit do žádné ze sledovaných kategorií. Naopak soukromí poskytovatelé těchto </w:t>
      </w:r>
      <w:r w:rsidR="00416EF5" w:rsidRPr="00FC4669">
        <w:t>online katalogů nejvíce oslovili</w:t>
      </w:r>
      <w:r w:rsidR="000C27A2" w:rsidRPr="00FC4669">
        <w:t xml:space="preserve"> diváky prostřednictvím zábavných a lifestylových pořadů (44 %). Dále pak byly </w:t>
      </w:r>
      <w:r w:rsidR="00D22C45">
        <w:t xml:space="preserve">z nabídky soukromých poskytovatelů </w:t>
      </w:r>
      <w:r w:rsidR="000C27A2" w:rsidRPr="00FC4669">
        <w:t>hojně přehrávány zpravodajské a publicistické pořady (34 %) a</w:t>
      </w:r>
      <w:r w:rsidR="000E0D24">
        <w:t> </w:t>
      </w:r>
      <w:r w:rsidR="000C27A2" w:rsidRPr="00FC4669">
        <w:t>v menší míře také filmy a seriály (7 %) a sportovní pořady (5 %). Celkově diváci přehráli</w:t>
      </w:r>
      <w:r w:rsidR="00726115" w:rsidRPr="00FC4669">
        <w:rPr>
          <w:rStyle w:val="Znakapoznpodarou"/>
        </w:rPr>
        <w:footnoteReference w:id="6"/>
      </w:r>
      <w:r w:rsidR="00726115" w:rsidRPr="00FC4669">
        <w:t xml:space="preserve"> </w:t>
      </w:r>
      <w:r w:rsidR="000C27A2" w:rsidRPr="00FC4669">
        <w:t>v roce 2017 více než 3</w:t>
      </w:r>
      <w:r w:rsidR="0022192F">
        <w:t> </w:t>
      </w:r>
      <w:r w:rsidR="000C27A2" w:rsidRPr="00FC4669">
        <w:t xml:space="preserve">miliardy videí, přičemž většinu z těchto videí tvořila reklama (60 %). Na zbylá videa pak </w:t>
      </w:r>
      <w:r w:rsidR="001132C6" w:rsidRPr="00FC4669">
        <w:t>připadlo</w:t>
      </w:r>
      <w:r w:rsidR="0022192F">
        <w:t xml:space="preserve"> přibližně 1,25 </w:t>
      </w:r>
      <w:r w:rsidR="000C27A2" w:rsidRPr="00FC4669">
        <w:t xml:space="preserve">mld. </w:t>
      </w:r>
      <w:r w:rsidR="001132C6" w:rsidRPr="00FC4669">
        <w:t>zhlédnutí</w:t>
      </w:r>
      <w:r w:rsidR="000C27A2" w:rsidRPr="00FC4669">
        <w:t xml:space="preserve"> a právě strukturu těchto videí</w:t>
      </w:r>
      <w:r>
        <w:t xml:space="preserve"> sleduje Graf 58</w:t>
      </w:r>
      <w:r w:rsidR="000C27A2" w:rsidRPr="00FC4669">
        <w:t>.</w:t>
      </w:r>
    </w:p>
    <w:p w:rsidR="000E5F9D" w:rsidRPr="00FC4669" w:rsidRDefault="000E5F9D" w:rsidP="000E5F9D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>Graf 5</w:t>
      </w:r>
      <w:r w:rsidR="0066141D">
        <w:rPr>
          <w:color w:val="auto"/>
          <w:sz w:val="22"/>
          <w:szCs w:val="22"/>
        </w:rPr>
        <w:t>8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>Programová struktura audiovizuálních mediálních služeb na vyžádání (katalogů pořadů) v roce 2017</w:t>
      </w:r>
      <w:r w:rsidR="000C27A2" w:rsidRPr="00FC4669">
        <w:rPr>
          <w:b w:val="0"/>
          <w:color w:val="auto"/>
          <w:sz w:val="22"/>
          <w:szCs w:val="22"/>
        </w:rPr>
        <w:t xml:space="preserve"> podle počtu přehraných videí</w:t>
      </w:r>
      <w:r w:rsidR="00726115" w:rsidRPr="00FC4669">
        <w:rPr>
          <w:b w:val="0"/>
          <w:color w:val="auto"/>
          <w:sz w:val="22"/>
          <w:szCs w:val="22"/>
        </w:rPr>
        <w:t xml:space="preserve"> (bez reklamy)</w:t>
      </w:r>
    </w:p>
    <w:p w:rsidR="00461B09" w:rsidRPr="00FC4669" w:rsidRDefault="000E5F9D" w:rsidP="00BB64DB">
      <w:r w:rsidRPr="00FC4669">
        <w:rPr>
          <w:noProof/>
        </w:rPr>
        <w:drawing>
          <wp:inline distT="0" distB="0" distL="0" distR="0">
            <wp:extent cx="5943600" cy="2305050"/>
            <wp:effectExtent l="0" t="0" r="0" b="0"/>
            <wp:docPr id="18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E5F9D" w:rsidRPr="00FC4669" w:rsidRDefault="000E5F9D" w:rsidP="000E5F9D">
      <w:r w:rsidRPr="00FC4669">
        <w:t>Zdroj: Kult, ČSÚ</w:t>
      </w:r>
    </w:p>
    <w:p w:rsidR="00BB64DB" w:rsidRPr="00FC4669" w:rsidRDefault="00B414F8" w:rsidP="00694914">
      <w:pPr>
        <w:pStyle w:val="Nadpis3"/>
        <w:numPr>
          <w:ilvl w:val="2"/>
          <w:numId w:val="17"/>
        </w:numPr>
      </w:pPr>
      <w:bookmarkStart w:id="19" w:name="_Toc430189812"/>
      <w:bookmarkStart w:id="20" w:name="_Toc431475040"/>
      <w:bookmarkStart w:id="21" w:name="_Toc463969195"/>
      <w:bookmarkStart w:id="22" w:name="_Toc465253905"/>
      <w:r w:rsidRPr="00FC4669">
        <w:t>PŘÍJMY</w:t>
      </w:r>
      <w:r w:rsidR="00BB64DB" w:rsidRPr="00FC4669">
        <w:t xml:space="preserve"> A ZAMĚSTNANOST</w:t>
      </w:r>
      <w:bookmarkEnd w:id="19"/>
      <w:bookmarkEnd w:id="20"/>
      <w:bookmarkEnd w:id="21"/>
      <w:bookmarkEnd w:id="22"/>
    </w:p>
    <w:p w:rsidR="00BB64DB" w:rsidRPr="00FC4669" w:rsidRDefault="00435122" w:rsidP="00BB64DB">
      <w:pPr>
        <w:rPr>
          <w:b/>
          <w:color w:val="C00000"/>
          <w:sz w:val="28"/>
          <w:szCs w:val="28"/>
        </w:rPr>
      </w:pPr>
      <w:r w:rsidRPr="00FC4669">
        <w:t>Díky rozšířenému záběru výkazu Kult</w:t>
      </w:r>
      <w:r w:rsidR="00D55EC8" w:rsidRPr="00FC4669">
        <w:t xml:space="preserve"> 6-01</w:t>
      </w:r>
      <w:r w:rsidRPr="00FC4669">
        <w:t xml:space="preserve"> je </w:t>
      </w:r>
      <w:r w:rsidR="003D2970" w:rsidRPr="00FC4669">
        <w:t xml:space="preserve">nově </w:t>
      </w:r>
      <w:r w:rsidRPr="00FC4669">
        <w:t>možné zahrnout do ekonomických uka</w:t>
      </w:r>
      <w:r w:rsidR="00D55EC8" w:rsidRPr="00FC4669">
        <w:t>zatelů také subjekty poskytující</w:t>
      </w:r>
      <w:r w:rsidRPr="00FC4669">
        <w:t xml:space="preserve"> audiovizuální mediální služby na vyžádání</w:t>
      </w:r>
      <w:r w:rsidR="00BB1409">
        <w:t xml:space="preserve"> (AVMS)</w:t>
      </w:r>
      <w:r w:rsidR="00BB64DB" w:rsidRPr="00FC4669">
        <w:t xml:space="preserve">. </w:t>
      </w:r>
      <w:r w:rsidRPr="00FC4669">
        <w:t xml:space="preserve">Tyto poskytovatele však nemůžeme analyzovat v rámci jedné konkrétní činnosti </w:t>
      </w:r>
      <w:r w:rsidR="00D22C45">
        <w:t>CZ-</w:t>
      </w:r>
      <w:r w:rsidRPr="00FC4669">
        <w:t>NACE, jako je tomu u televizního vysílání. Subjekty poskytující AVMS nicméně měly možnost upřesnit, jaká část z jejich ekonomické činnosti přibližně odpovídá službám spojen</w:t>
      </w:r>
      <w:r w:rsidR="003D2970" w:rsidRPr="00FC4669">
        <w:t>ým</w:t>
      </w:r>
      <w:r w:rsidRPr="00FC4669">
        <w:t xml:space="preserve"> s posk</w:t>
      </w:r>
      <w:r w:rsidR="00D55EC8" w:rsidRPr="00FC4669">
        <w:t>ytováním AVMS. Tuto možnost měly</w:t>
      </w:r>
      <w:r w:rsidRPr="00FC4669">
        <w:t xml:space="preserve"> také nově subjekty provozující televizní vysílání, které svou převažující ekonomickou činností nespadají do CZ-NACE 60.20 </w:t>
      </w:r>
      <w:r w:rsidR="003D2970" w:rsidRPr="00FC4669">
        <w:t>(</w:t>
      </w:r>
      <w:r w:rsidRPr="00FC4669">
        <w:t>Tvorba televizních programů a televizní vysílání</w:t>
      </w:r>
      <w:r w:rsidR="003D2970" w:rsidRPr="00FC4669">
        <w:t>)</w:t>
      </w:r>
      <w:r w:rsidRPr="00FC4669">
        <w:t>. Celkové příj</w:t>
      </w:r>
      <w:r w:rsidR="00D55EC8" w:rsidRPr="00FC4669">
        <w:t>my v oblasti televize (zahrneme-</w:t>
      </w:r>
      <w:r w:rsidRPr="00FC4669">
        <w:t>li jak TV</w:t>
      </w:r>
      <w:r w:rsidR="003D2970" w:rsidRPr="00FC4669">
        <w:t>,</w:t>
      </w:r>
      <w:r w:rsidRPr="00FC4669">
        <w:t xml:space="preserve"> tak AVMS) tvořily v roce </w:t>
      </w:r>
      <w:r w:rsidRPr="00FC4669">
        <w:lastRenderedPageBreak/>
        <w:t xml:space="preserve">2017 24,1 </w:t>
      </w:r>
      <w:r w:rsidR="001132C6" w:rsidRPr="00FC4669">
        <w:t>mld.</w:t>
      </w:r>
      <w:r w:rsidRPr="00FC4669">
        <w:t xml:space="preserve"> Kč. Z toho </w:t>
      </w:r>
      <w:r w:rsidR="001132C6" w:rsidRPr="00FC4669">
        <w:t>84 % generovaly</w:t>
      </w:r>
      <w:r w:rsidRPr="00FC4669">
        <w:t xml:space="preserve"> subjekty s převažující ekonomickou činností v CZ-NACE 60.20, 14 % subjekty mimo CZ-NACE 60.20 poskytující AVMS a pouhé 2 % subjekty mimo CZ-NACE 60.20. provozující TV.</w:t>
      </w:r>
      <w:r w:rsidR="003D2970" w:rsidRPr="00FC4669">
        <w:t xml:space="preserve"> Také většina zaměstnanců v oblasti televize spadala do CZ-NACE 60.20 (94 %). Zaměstnanci subjektů mimo CZ-NACE 60.20 poskytující AVMS či provozující TV tvořili v obou případech pouze 3 % z celku.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5</w:t>
      </w:r>
      <w:r w:rsidR="00BB1409">
        <w:rPr>
          <w:color w:val="auto"/>
          <w:sz w:val="22"/>
          <w:szCs w:val="22"/>
        </w:rPr>
        <w:t>9</w:t>
      </w:r>
      <w:r w:rsidRPr="00FC4669">
        <w:rPr>
          <w:color w:val="auto"/>
        </w:rPr>
        <w:t xml:space="preserve"> </w:t>
      </w:r>
      <w:r w:rsidR="005C7B93" w:rsidRPr="00FC4669">
        <w:rPr>
          <w:b w:val="0"/>
          <w:color w:val="auto"/>
          <w:sz w:val="22"/>
          <w:szCs w:val="22"/>
        </w:rPr>
        <w:t xml:space="preserve">Struktura příjmů </w:t>
      </w:r>
      <w:r w:rsidR="003C04BB" w:rsidRPr="00FC4669">
        <w:rPr>
          <w:b w:val="0"/>
          <w:color w:val="auto"/>
          <w:sz w:val="22"/>
          <w:szCs w:val="22"/>
        </w:rPr>
        <w:t xml:space="preserve">a zaměstnanosti </w:t>
      </w:r>
      <w:r w:rsidR="005C7B93" w:rsidRPr="00FC4669">
        <w:rPr>
          <w:b w:val="0"/>
          <w:color w:val="auto"/>
          <w:sz w:val="22"/>
          <w:szCs w:val="22"/>
        </w:rPr>
        <w:t>v oblasti televize v roce 2017</w:t>
      </w:r>
    </w:p>
    <w:p w:rsidR="00BB64DB" w:rsidRPr="00FC4669" w:rsidRDefault="00D50FF2" w:rsidP="003C04BB">
      <w:pPr>
        <w:keepNext/>
        <w:jc w:val="center"/>
      </w:pPr>
      <w:r w:rsidRPr="00D50FF2">
        <w:rPr>
          <w:b/>
          <w:noProof/>
          <w:sz w:val="22"/>
          <w:szCs w:val="22"/>
        </w:rPr>
        <w:pict>
          <v:shape id="Text Box 40" o:spid="_x0000_s1040" type="#_x0000_t202" style="position:absolute;left:0;text-align:left;margin-left:322pt;margin-top:100pt;width:57.65pt;height:19.8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" stroked="f">
            <v:fill opacity="0"/>
            <v:textbox>
              <w:txbxContent>
                <w:p w:rsidR="00477774" w:rsidRPr="00F013B6" w:rsidRDefault="00477774">
                  <w:pPr>
                    <w:rPr>
                      <w:rFonts w:asciiTheme="minorHAnsi" w:hAnsiTheme="minorHAnsi"/>
                    </w:rPr>
                  </w:pPr>
                  <w:r w:rsidRPr="00F013B6">
                    <w:rPr>
                      <w:rFonts w:asciiTheme="minorHAnsi" w:hAnsiTheme="minorHAnsi"/>
                    </w:rPr>
                    <w:t>24,1 mld.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" o:spid="_x0000_s1041" type="#_x0000_t202" style="position:absolute;left:0;text-align:left;margin-left:102.55pt;margin-top:100pt;width:46.25pt;height:19.2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" stroked="f" strokecolor="white [3212]">
            <v:fill opacity="0"/>
            <v:textbox>
              <w:txbxContent>
                <w:p w:rsidR="00477774" w:rsidRPr="00D55EC8" w:rsidRDefault="00477774">
                  <w:pPr>
                    <w:rPr>
                      <w:rFonts w:asciiTheme="minorHAnsi" w:hAnsiTheme="minorHAnsi"/>
                    </w:rPr>
                  </w:pPr>
                  <w:r w:rsidRPr="00D55EC8">
                    <w:rPr>
                      <w:rFonts w:asciiTheme="minorHAnsi" w:hAnsiTheme="minorHAnsi"/>
                    </w:rPr>
                    <w:t>4,2 tis.</w:t>
                  </w:r>
                </w:p>
              </w:txbxContent>
            </v:textbox>
          </v:shape>
        </w:pict>
      </w:r>
      <w:r w:rsidR="007A1A44" w:rsidRPr="00FC4669">
        <w:rPr>
          <w:noProof/>
        </w:rPr>
        <w:drawing>
          <wp:inline distT="0" distB="0" distL="0" distR="0">
            <wp:extent cx="2590800" cy="2057400"/>
            <wp:effectExtent l="0" t="0" r="0" b="0"/>
            <wp:docPr id="12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3C04BB" w:rsidRPr="00FC4669">
        <w:rPr>
          <w:noProof/>
        </w:rPr>
        <w:drawing>
          <wp:inline distT="0" distB="0" distL="0" distR="0">
            <wp:extent cx="3067050" cy="2057400"/>
            <wp:effectExtent l="0" t="0" r="0" b="0"/>
            <wp:docPr id="12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882967" w:rsidRPr="00FC4669">
        <w:rPr>
          <w:b w:val="0"/>
          <w:color w:val="auto"/>
          <w:sz w:val="22"/>
          <w:szCs w:val="22"/>
        </w:rPr>
        <w:t xml:space="preserve">Kult, </w:t>
      </w:r>
      <w:r w:rsidRPr="00FC4669">
        <w:rPr>
          <w:b w:val="0"/>
          <w:color w:val="auto"/>
          <w:sz w:val="22"/>
          <w:szCs w:val="22"/>
        </w:rPr>
        <w:t>ČSÚ</w:t>
      </w:r>
    </w:p>
    <w:p w:rsidR="00C10021" w:rsidRPr="00FC4669" w:rsidRDefault="003D2970" w:rsidP="00895548">
      <w:pPr>
        <w:keepNext/>
      </w:pPr>
      <w:r w:rsidRPr="00FC4669">
        <w:t>Ú</w:t>
      </w:r>
      <w:r w:rsidR="00C10021" w:rsidRPr="00FC4669">
        <w:t xml:space="preserve">daje o zaměstnancích v oblasti televize je možné doplnit o data z Výběrového šetření pracovních sil, které zohledňuje všechny zaměstnané osoby (zaměstnance, podnikatele či pracovníky na dohody). </w:t>
      </w:r>
      <w:r w:rsidR="006E1600" w:rsidRPr="00FC4669">
        <w:t>Z celkového počtu 6,3</w:t>
      </w:r>
      <w:r w:rsidR="00C10021" w:rsidRPr="00FC4669">
        <w:t xml:space="preserve"> tis. </w:t>
      </w:r>
      <w:r w:rsidR="006E1600" w:rsidRPr="00FC4669">
        <w:t xml:space="preserve">vykonávala </w:t>
      </w:r>
      <w:r w:rsidR="00851419" w:rsidRPr="00FC4669">
        <w:t xml:space="preserve">většina osob </w:t>
      </w:r>
      <w:r w:rsidR="006E1600" w:rsidRPr="00FC4669">
        <w:t>kulturní povolání (4</w:t>
      </w:r>
      <w:r w:rsidR="00BE3640" w:rsidRPr="00FC4669">
        <w:t>,4</w:t>
      </w:r>
      <w:r w:rsidR="00C10021" w:rsidRPr="00FC4669">
        <w:t xml:space="preserve"> tis.)</w:t>
      </w:r>
      <w:r w:rsidR="006E1600" w:rsidRPr="00FC4669">
        <w:t xml:space="preserve"> a jen 1,9 tis. zaměstnaných osob se věnovalo povoláním „ne-kulturního“ charakter</w:t>
      </w:r>
      <w:r w:rsidR="00976385">
        <w:t>u</w:t>
      </w:r>
      <w:r w:rsidR="00C10021" w:rsidRPr="00FC4669">
        <w:t>.</w:t>
      </w:r>
      <w:r w:rsidR="00E87690" w:rsidRPr="00FC4669">
        <w:t xml:space="preserve"> </w:t>
      </w:r>
      <w:r w:rsidR="00895548" w:rsidRPr="00FC4669">
        <w:t>Z kulturních povolání byla nejvíce zastoupena novinářská povolání, povolání režisérů, dramaturgů a produkčních a také povolání technického charakteru.</w:t>
      </w:r>
    </w:p>
    <w:p w:rsidR="00E34129" w:rsidRPr="00FC4669" w:rsidRDefault="00BB1409" w:rsidP="00E34129">
      <w:pPr>
        <w:pStyle w:val="Titulek"/>
        <w:keepNext/>
      </w:pPr>
      <w:bookmarkStart w:id="23" w:name="_Toc464832056"/>
      <w:r>
        <w:rPr>
          <w:color w:val="auto"/>
          <w:sz w:val="22"/>
          <w:szCs w:val="22"/>
        </w:rPr>
        <w:t>Graf</w:t>
      </w:r>
      <w:r w:rsidR="00C92E76" w:rsidRPr="00FC466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60</w:t>
      </w:r>
      <w:r w:rsidR="00E34129" w:rsidRPr="00FC4669">
        <w:t xml:space="preserve"> </w:t>
      </w:r>
      <w:r w:rsidR="00E34129" w:rsidRPr="00FC4669">
        <w:rPr>
          <w:b w:val="0"/>
          <w:color w:val="auto"/>
          <w:sz w:val="22"/>
          <w:szCs w:val="22"/>
        </w:rPr>
        <w:t>Odhad počtu zaměstnaných osob</w:t>
      </w:r>
      <w:r w:rsidR="00976385">
        <w:rPr>
          <w:b w:val="0"/>
          <w:color w:val="auto"/>
          <w:sz w:val="22"/>
          <w:szCs w:val="22"/>
        </w:rPr>
        <w:t xml:space="preserve"> (v tis.)</w:t>
      </w:r>
      <w:r w:rsidR="00E34129" w:rsidRPr="00FC4669">
        <w:rPr>
          <w:b w:val="0"/>
          <w:color w:val="auto"/>
          <w:sz w:val="22"/>
          <w:szCs w:val="22"/>
        </w:rPr>
        <w:t xml:space="preserve"> v oblasti </w:t>
      </w:r>
      <w:r w:rsidR="004F4DFA" w:rsidRPr="00FC4669">
        <w:rPr>
          <w:b w:val="0"/>
          <w:color w:val="auto"/>
          <w:sz w:val="22"/>
          <w:szCs w:val="22"/>
        </w:rPr>
        <w:t>televize</w:t>
      </w:r>
      <w:r w:rsidR="006E1600" w:rsidRPr="00FC4669">
        <w:rPr>
          <w:b w:val="0"/>
          <w:color w:val="auto"/>
          <w:sz w:val="22"/>
          <w:szCs w:val="22"/>
        </w:rPr>
        <w:t xml:space="preserve"> v roce 2017</w:t>
      </w:r>
      <w:bookmarkEnd w:id="23"/>
    </w:p>
    <w:p w:rsidR="00F013B6" w:rsidRPr="00FC4669" w:rsidRDefault="00D50FF2" w:rsidP="00F013B6">
      <w:pPr>
        <w:spacing w:before="120"/>
        <w:jc w:val="center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noProof/>
          <w:sz w:val="22"/>
          <w:szCs w:val="22"/>
        </w:rPr>
        <w:pict>
          <v:shape id="Text Box 41" o:spid="_x0000_s1042" type="#_x0000_t202" style="position:absolute;left:0;text-align:left;margin-left:226.8pt;margin-top:60pt;width:48pt;height:19.5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" stroked="f">
            <v:fill opacity="0"/>
            <v:textbox>
              <w:txbxContent>
                <w:p w:rsidR="00477774" w:rsidRPr="0075473C" w:rsidRDefault="00477774">
                  <w:pPr>
                    <w:rPr>
                      <w:rFonts w:ascii="Calibri" w:hAnsi="Calibri"/>
                    </w:rPr>
                  </w:pPr>
                  <w:r w:rsidRPr="0075473C">
                    <w:rPr>
                      <w:rFonts w:ascii="Calibri" w:hAnsi="Calibri"/>
                    </w:rPr>
                    <w:t>6,3 tis.</w:t>
                  </w:r>
                </w:p>
              </w:txbxContent>
            </v:textbox>
          </v:shape>
        </w:pict>
      </w:r>
      <w:r w:rsidR="00F013B6" w:rsidRPr="00FC466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771900" cy="1695450"/>
            <wp:effectExtent l="0" t="0" r="0" b="0"/>
            <wp:docPr id="134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F0C99" w:rsidRPr="00FC4669" w:rsidRDefault="00E34129" w:rsidP="00E34129">
      <w:pPr>
        <w:spacing w:before="120"/>
        <w:rPr>
          <w:rFonts w:asciiTheme="minorHAnsi" w:hAnsiTheme="minorHAnsi"/>
          <w:sz w:val="22"/>
          <w:szCs w:val="22"/>
          <w:lang w:eastAsia="en-US"/>
        </w:rPr>
      </w:pPr>
      <w:r w:rsidRPr="00FC4669">
        <w:rPr>
          <w:rFonts w:asciiTheme="minorHAnsi" w:hAnsiTheme="minorHAnsi"/>
          <w:sz w:val="22"/>
          <w:szCs w:val="22"/>
          <w:lang w:eastAsia="en-US"/>
        </w:rPr>
        <w:t>Zdroj: Výběrové šetření pracovních sil, ČSÚ</w:t>
      </w:r>
    </w:p>
    <w:p w:rsidR="00BB64DB" w:rsidRPr="00FC4669" w:rsidRDefault="00BB64DB" w:rsidP="00694914">
      <w:pPr>
        <w:pStyle w:val="Nadpis3"/>
        <w:numPr>
          <w:ilvl w:val="2"/>
          <w:numId w:val="17"/>
        </w:numPr>
      </w:pPr>
      <w:bookmarkStart w:id="24" w:name="_Toc430189813"/>
      <w:bookmarkStart w:id="25" w:name="_Toc431475041"/>
      <w:bookmarkStart w:id="26" w:name="_Toc463969196"/>
      <w:bookmarkStart w:id="27" w:name="_Toc465253906"/>
      <w:r w:rsidRPr="00FC4669">
        <w:t>POHLED SPOTŘEBITELE</w:t>
      </w:r>
      <w:bookmarkEnd w:id="24"/>
      <w:bookmarkEnd w:id="25"/>
      <w:bookmarkEnd w:id="26"/>
      <w:bookmarkEnd w:id="27"/>
    </w:p>
    <w:p w:rsidR="00BB64DB" w:rsidRPr="00FC4669" w:rsidRDefault="00BB64DB" w:rsidP="00847143">
      <w:pPr>
        <w:spacing w:after="0"/>
        <w:rPr>
          <w:rFonts w:ascii="Times New Roman" w:hAnsi="Times New Roman"/>
          <w:sz w:val="23"/>
          <w:szCs w:val="23"/>
        </w:rPr>
      </w:pPr>
      <w:r w:rsidRPr="00FC4669">
        <w:t>Návyky diváků televizního vysílání jsou více než u rozhlasového vysílání ovlivněny technologickým vývojem. Podle údajů z še</w:t>
      </w:r>
      <w:r w:rsidR="009B6EC8" w:rsidRPr="00FC4669">
        <w:t>tření VŠIT sledova</w:t>
      </w:r>
      <w:r w:rsidR="00337A53" w:rsidRPr="00FC4669">
        <w:t>lo v roce 2016 přibližně 24</w:t>
      </w:r>
      <w:r w:rsidRPr="00FC4669">
        <w:t xml:space="preserve"> %</w:t>
      </w:r>
      <w:r w:rsidR="0075473C" w:rsidRPr="00FC4669">
        <w:t xml:space="preserve"> celkové</w:t>
      </w:r>
      <w:r w:rsidRPr="00FC4669">
        <w:t xml:space="preserve"> </w:t>
      </w:r>
      <w:r w:rsidR="00337A53" w:rsidRPr="00FC4669">
        <w:t>populace starší</w:t>
      </w:r>
      <w:r w:rsidRPr="00FC4669">
        <w:t xml:space="preserve"> 16 let tele</w:t>
      </w:r>
      <w:r w:rsidR="00114A3F" w:rsidRPr="00FC4669">
        <w:t xml:space="preserve">vizi prostřednictvím internetu. </w:t>
      </w:r>
      <w:r w:rsidR="0075473C" w:rsidRPr="00FC4669">
        <w:t xml:space="preserve">Mezi </w:t>
      </w:r>
      <w:r w:rsidR="001132C6" w:rsidRPr="00FC4669">
        <w:t>uživateli</w:t>
      </w:r>
      <w:r w:rsidRPr="00FC4669">
        <w:t xml:space="preserve"> i</w:t>
      </w:r>
      <w:r w:rsidR="0075473C" w:rsidRPr="00FC4669">
        <w:t>nternetu staršími</w:t>
      </w:r>
      <w:r w:rsidR="00942F60" w:rsidRPr="00FC4669">
        <w:t xml:space="preserve"> 16 let </w:t>
      </w:r>
      <w:r w:rsidR="0075473C" w:rsidRPr="00FC4669">
        <w:t>byl</w:t>
      </w:r>
      <w:r w:rsidR="00DE18D5">
        <w:t>o zastoupení</w:t>
      </w:r>
      <w:r w:rsidRPr="00FC4669">
        <w:t xml:space="preserve"> jednotlivců s</w:t>
      </w:r>
      <w:r w:rsidR="00337A53" w:rsidRPr="00FC4669">
        <w:t>ledujících televizi online na 31,1</w:t>
      </w:r>
      <w:r w:rsidRPr="00FC4669">
        <w:t xml:space="preserve"> %. </w:t>
      </w:r>
      <w:r w:rsidR="00337A53" w:rsidRPr="00FC4669">
        <w:t xml:space="preserve">V roce 2016 byla </w:t>
      </w:r>
      <w:r w:rsidR="0075473C" w:rsidRPr="00FC4669">
        <w:t>do dotazníku šetření VŠIT zařazena</w:t>
      </w:r>
      <w:r w:rsidR="00337A53" w:rsidRPr="00FC4669">
        <w:t xml:space="preserve"> samostatná otázka týkající se sledování televize, filmů a videa přes internet. Ze získaných údajů za rok 2</w:t>
      </w:r>
      <w:r w:rsidR="0075473C" w:rsidRPr="00FC4669">
        <w:t xml:space="preserve">016 vyplývá, že v české </w:t>
      </w:r>
      <w:r w:rsidR="0075473C" w:rsidRPr="00FC4669">
        <w:lastRenderedPageBreak/>
        <w:t>populaci</w:t>
      </w:r>
      <w:r w:rsidR="00337A53" w:rsidRPr="00FC4669">
        <w:t xml:space="preserve"> </w:t>
      </w:r>
      <w:r w:rsidR="0075473C" w:rsidRPr="00FC4669">
        <w:t>nad</w:t>
      </w:r>
      <w:r w:rsidR="00337A53" w:rsidRPr="00FC4669">
        <w:t xml:space="preserve"> 16 let je daleko více oblíbené sledování filmů a videa prostřednictvím </w:t>
      </w:r>
      <w:r w:rsidR="001132C6" w:rsidRPr="00FC4669">
        <w:t>stránek</w:t>
      </w:r>
      <w:r w:rsidR="00337A53" w:rsidRPr="00FC4669">
        <w:t xml:space="preserve"> určených ke sdílení (např. Youtube) než živého televizního vysílání prostřednictvím internetu </w:t>
      </w:r>
      <w:r w:rsidR="00847143" w:rsidRPr="00FC4669">
        <w:t xml:space="preserve">jak ukazuje Graf </w:t>
      </w:r>
      <w:r w:rsidR="00DE18D5">
        <w:t>61</w:t>
      </w:r>
      <w:r w:rsidR="00337A53" w:rsidRPr="00FC4669">
        <w:t>.</w:t>
      </w:r>
      <w:r w:rsidR="0075473C" w:rsidRPr="00FC4669">
        <w:t xml:space="preserve"> Stránky určené ke sdílení využívalo 39 % </w:t>
      </w:r>
      <w:r w:rsidR="0051292C" w:rsidRPr="00FC4669">
        <w:t xml:space="preserve">sledované </w:t>
      </w:r>
      <w:r w:rsidR="001132C6" w:rsidRPr="00FC4669">
        <w:t>populace, zatímco</w:t>
      </w:r>
      <w:r w:rsidR="0051292C" w:rsidRPr="00FC4669">
        <w:t xml:space="preserve"> televizi na internetu sledovalo pouze 24 % zkoumané populace.</w:t>
      </w:r>
      <w:r w:rsidR="00337A53" w:rsidRPr="00FC4669">
        <w:t xml:space="preserve"> </w:t>
      </w:r>
      <w:r w:rsidR="0051292C" w:rsidRPr="00FC4669">
        <w:t>S</w:t>
      </w:r>
      <w:r w:rsidR="00337A53" w:rsidRPr="00FC4669">
        <w:t>ledování neplacených katalogů filmů a videí (jako např. Stream.cz)</w:t>
      </w:r>
      <w:r w:rsidR="0051292C" w:rsidRPr="00FC4669">
        <w:t xml:space="preserve"> pak bylo </w:t>
      </w:r>
      <w:r w:rsidR="00337A53" w:rsidRPr="00FC4669">
        <w:t xml:space="preserve">o něco méně populární než sledování televize online (video z neplacených katalogů sledovalo přibližně 21 % </w:t>
      </w:r>
      <w:r w:rsidR="0051292C" w:rsidRPr="00FC4669">
        <w:t>osob nad</w:t>
      </w:r>
      <w:r w:rsidR="00337A53" w:rsidRPr="00FC4669">
        <w:t xml:space="preserve"> 16</w:t>
      </w:r>
      <w:r w:rsidR="00DE18D5">
        <w:t> </w:t>
      </w:r>
      <w:r w:rsidR="00337A53" w:rsidRPr="00FC4669">
        <w:t>let.</w:t>
      </w:r>
      <w:r w:rsidR="00F176FF" w:rsidRPr="00FC4669">
        <w:t xml:space="preserve"> </w:t>
      </w:r>
      <w:r w:rsidR="00681BA0" w:rsidRPr="00FC4669">
        <w:t xml:space="preserve">Nejméně využívanou službou spojenou se sledováním </w:t>
      </w:r>
      <w:r w:rsidR="0051292C" w:rsidRPr="00FC4669">
        <w:t>filmů a videí přes internet byly</w:t>
      </w:r>
      <w:r w:rsidR="00681BA0" w:rsidRPr="00FC4669">
        <w:t xml:space="preserve"> placen</w:t>
      </w:r>
      <w:r w:rsidR="0051292C" w:rsidRPr="00FC4669">
        <w:t>é katalogy pořadů (jako např. Ne</w:t>
      </w:r>
      <w:r w:rsidR="00681BA0" w:rsidRPr="00FC4669">
        <w:t>t</w:t>
      </w:r>
      <w:r w:rsidR="00030619">
        <w:t>f</w:t>
      </w:r>
      <w:r w:rsidR="00681BA0" w:rsidRPr="00FC4669">
        <w:t>lix), které v roce 2016 využila pouze 3 % populace starší 16 let.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BB1409">
        <w:rPr>
          <w:color w:val="auto"/>
          <w:sz w:val="22"/>
          <w:szCs w:val="22"/>
        </w:rPr>
        <w:t>61</w:t>
      </w:r>
      <w:r w:rsidRPr="00FC4669">
        <w:rPr>
          <w:color w:val="auto"/>
          <w:sz w:val="22"/>
          <w:szCs w:val="22"/>
        </w:rPr>
        <w:t xml:space="preserve"> </w:t>
      </w:r>
      <w:r w:rsidR="002B7E46" w:rsidRPr="00FC4669">
        <w:rPr>
          <w:b w:val="0"/>
          <w:color w:val="auto"/>
          <w:sz w:val="22"/>
          <w:szCs w:val="22"/>
        </w:rPr>
        <w:t xml:space="preserve">Využití internetu </w:t>
      </w:r>
      <w:r w:rsidRPr="00FC4669">
        <w:rPr>
          <w:b w:val="0"/>
          <w:color w:val="auto"/>
          <w:sz w:val="22"/>
          <w:szCs w:val="22"/>
        </w:rPr>
        <w:t>ke sledování televize</w:t>
      </w:r>
      <w:r w:rsidR="00337A53" w:rsidRPr="00FC4669">
        <w:rPr>
          <w:b w:val="0"/>
          <w:color w:val="auto"/>
          <w:sz w:val="22"/>
          <w:szCs w:val="22"/>
        </w:rPr>
        <w:t>, filmů</w:t>
      </w:r>
      <w:r w:rsidR="00C93E10" w:rsidRPr="00FC4669">
        <w:rPr>
          <w:b w:val="0"/>
          <w:color w:val="auto"/>
          <w:sz w:val="22"/>
          <w:szCs w:val="22"/>
        </w:rPr>
        <w:t xml:space="preserve"> a videa</w:t>
      </w:r>
      <w:r w:rsidRPr="00FC4669">
        <w:rPr>
          <w:b w:val="0"/>
          <w:color w:val="auto"/>
          <w:sz w:val="22"/>
          <w:szCs w:val="22"/>
        </w:rPr>
        <w:t xml:space="preserve"> v roce 201</w:t>
      </w:r>
      <w:r w:rsidR="00C93E10" w:rsidRPr="00FC4669">
        <w:rPr>
          <w:b w:val="0"/>
          <w:color w:val="auto"/>
          <w:sz w:val="22"/>
          <w:szCs w:val="22"/>
        </w:rPr>
        <w:t>6</w:t>
      </w:r>
    </w:p>
    <w:p w:rsidR="00BB64DB" w:rsidRPr="00FC4669" w:rsidRDefault="00847143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5276850" cy="1590675"/>
            <wp:effectExtent l="0" t="0" r="0" b="0"/>
            <wp:docPr id="106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B64DB" w:rsidRPr="00FC4669" w:rsidRDefault="00882967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VŠIT, ČSÚ</w:t>
      </w:r>
    </w:p>
    <w:p w:rsidR="00F176FF" w:rsidRPr="00FC4669" w:rsidRDefault="0051292C" w:rsidP="00847143">
      <w:pPr>
        <w:spacing w:after="0"/>
      </w:pPr>
      <w:r w:rsidRPr="00FC4669">
        <w:t xml:space="preserve">Jak je také patrné z Grafu </w:t>
      </w:r>
      <w:r w:rsidR="003C105C">
        <w:t>62</w:t>
      </w:r>
      <w:r w:rsidR="00847143" w:rsidRPr="00FC4669">
        <w:t xml:space="preserve">, služby online sledování televize, filmů a videa jsou oblíbené </w:t>
      </w:r>
      <w:r w:rsidRPr="00FC4669">
        <w:t>nejvíce</w:t>
      </w:r>
      <w:r w:rsidR="00847143" w:rsidRPr="00FC4669">
        <w:t xml:space="preserve"> u mladší populace a zejména pak sledování videa ze stránek určených ke sdílen</w:t>
      </w:r>
      <w:r w:rsidR="00681BA0" w:rsidRPr="00FC4669">
        <w:t>í (ne</w:t>
      </w:r>
      <w:r w:rsidR="003C105C">
        <w:t>celých 79 % populace ve věku 16–</w:t>
      </w:r>
      <w:r w:rsidR="00681BA0" w:rsidRPr="00FC4669">
        <w:t xml:space="preserve">24 sledovalo videa prostřednictvím streamingu). </w:t>
      </w:r>
      <w:r w:rsidR="00847143" w:rsidRPr="00FC4669">
        <w:t xml:space="preserve">Sledování televize na internetu si udržuje svou pozici také u starší populace a s přibývajícím věkem klesá oblíbenost sledování televize online spíše pozvolna. Naopak využití neplacených katalogů pořadů ke sledování videa </w:t>
      </w:r>
      <w:r w:rsidR="00681BA0" w:rsidRPr="00FC4669">
        <w:t>u starších věkových kategorií klesá strměji. Z</w:t>
      </w:r>
      <w:r w:rsidR="001132C6">
        <w:t>ajímavým poznatkem pro provozova</w:t>
      </w:r>
      <w:r w:rsidR="001132C6" w:rsidRPr="00FC4669">
        <w:t>tele</w:t>
      </w:r>
      <w:r w:rsidR="00681BA0" w:rsidRPr="00FC4669">
        <w:t xml:space="preserve"> placených katalogů pořadů je ochota necelé desetiny </w:t>
      </w:r>
      <w:r w:rsidR="003C105C">
        <w:t>(8 %) mladých lidí ve věku 16–</w:t>
      </w:r>
      <w:r w:rsidR="00681BA0" w:rsidRPr="00FC4669">
        <w:t>24 let platit za tyto služby.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BB1409">
        <w:rPr>
          <w:color w:val="auto"/>
          <w:sz w:val="22"/>
          <w:szCs w:val="22"/>
        </w:rPr>
        <w:t>62</w:t>
      </w:r>
      <w:r w:rsidRPr="00FC4669">
        <w:rPr>
          <w:color w:val="auto"/>
          <w:sz w:val="22"/>
          <w:szCs w:val="22"/>
        </w:rPr>
        <w:t xml:space="preserve"> </w:t>
      </w:r>
      <w:r w:rsidR="00F176FF" w:rsidRPr="00FC4669">
        <w:rPr>
          <w:b w:val="0"/>
          <w:color w:val="auto"/>
          <w:sz w:val="22"/>
          <w:szCs w:val="22"/>
        </w:rPr>
        <w:t>Využití internetu ke sledování televize, filmů a videa v roce 2016 podle věkových kategorií</w:t>
      </w:r>
      <w:r w:rsidR="002F0571" w:rsidRPr="00FC4669">
        <w:rPr>
          <w:b w:val="0"/>
          <w:color w:val="auto"/>
          <w:sz w:val="22"/>
          <w:szCs w:val="22"/>
        </w:rPr>
        <w:t xml:space="preserve"> (v</w:t>
      </w:r>
      <w:r w:rsidR="003C105C">
        <w:rPr>
          <w:b w:val="0"/>
          <w:color w:val="auto"/>
          <w:sz w:val="22"/>
          <w:szCs w:val="22"/>
        </w:rPr>
        <w:t> %</w:t>
      </w:r>
      <w:r w:rsidR="002F0571" w:rsidRPr="00FC4669">
        <w:rPr>
          <w:b w:val="0"/>
          <w:color w:val="auto"/>
          <w:sz w:val="22"/>
          <w:szCs w:val="22"/>
        </w:rPr>
        <w:t>)</w:t>
      </w:r>
    </w:p>
    <w:p w:rsidR="00BB64DB" w:rsidRPr="00FC4669" w:rsidRDefault="0051292C" w:rsidP="007127CE">
      <w:pPr>
        <w:jc w:val="center"/>
      </w:pPr>
      <w:r w:rsidRPr="00FC4669">
        <w:rPr>
          <w:noProof/>
        </w:rPr>
        <w:drawing>
          <wp:inline distT="0" distB="0" distL="0" distR="0">
            <wp:extent cx="6000750" cy="2600325"/>
            <wp:effectExtent l="0" t="0" r="0" b="0"/>
            <wp:docPr id="135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tabs>
          <w:tab w:val="left" w:pos="1134"/>
        </w:tabs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A300BD" w:rsidRPr="00FC4669">
        <w:rPr>
          <w:b w:val="0"/>
          <w:color w:val="auto"/>
          <w:sz w:val="22"/>
          <w:szCs w:val="22"/>
        </w:rPr>
        <w:t>VŠIT, ČSÚ</w:t>
      </w:r>
    </w:p>
    <w:sectPr w:rsidR="00BB64DB" w:rsidRPr="00FC4669" w:rsidSect="00B73377">
      <w:footnotePr>
        <w:numStart w:val="7"/>
      </w:footnotePr>
      <w:type w:val="continuous"/>
      <w:pgSz w:w="11906" w:h="16838" w:code="9"/>
      <w:pgMar w:top="1134" w:right="1134" w:bottom="1418" w:left="1134" w:header="680" w:footer="680" w:gutter="0"/>
      <w:pgNumType w:start="4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5E4C16" w15:done="0"/>
  <w15:commentEx w15:paraId="6AF5527A" w15:done="0"/>
  <w15:commentEx w15:paraId="45E45557" w15:done="0"/>
  <w15:commentEx w15:paraId="5F3B7655" w15:done="0"/>
  <w15:commentEx w15:paraId="153CB2A0" w15:done="0"/>
  <w15:commentEx w15:paraId="76C7552B" w15:done="0"/>
  <w15:commentEx w15:paraId="18D4B459" w15:done="0"/>
  <w15:commentEx w15:paraId="268315A7" w15:done="0"/>
  <w15:commentEx w15:paraId="2DA55F8A" w15:done="0"/>
  <w15:commentEx w15:paraId="2CBB34C2" w15:done="0"/>
  <w15:commentEx w15:paraId="20D7DC25" w15:done="0"/>
  <w15:commentEx w15:paraId="2EE3EE4A" w15:done="0"/>
  <w15:commentEx w15:paraId="4F2BF4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E7" w:rsidRDefault="002235E7" w:rsidP="00E71A58">
      <w:r>
        <w:separator/>
      </w:r>
    </w:p>
  </w:endnote>
  <w:endnote w:type="continuationSeparator" w:id="0">
    <w:p w:rsidR="002235E7" w:rsidRDefault="002235E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641938" w:rsidRDefault="00477774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0FF2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D50FF2" w:rsidRPr="005A21E0">
      <w:rPr>
        <w:rFonts w:ascii="Arial" w:hAnsi="Arial" w:cs="Arial"/>
        <w:sz w:val="16"/>
        <w:szCs w:val="16"/>
      </w:rPr>
      <w:fldChar w:fldCharType="separate"/>
    </w:r>
    <w:r w:rsidR="00B73377">
      <w:rPr>
        <w:rFonts w:ascii="Arial" w:hAnsi="Arial" w:cs="Arial"/>
        <w:noProof/>
        <w:sz w:val="16"/>
        <w:szCs w:val="16"/>
      </w:rPr>
      <w:t>48</w:t>
    </w:r>
    <w:r w:rsidR="00D50FF2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Default="00477774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477774" w:rsidRDefault="00477774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  <w:r w:rsidR="00D50FF2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D50FF2" w:rsidRPr="00B6608F">
      <w:rPr>
        <w:rFonts w:ascii="Arial" w:hAnsi="Arial" w:cs="Arial"/>
        <w:sz w:val="16"/>
        <w:szCs w:val="16"/>
      </w:rPr>
      <w:fldChar w:fldCharType="separate"/>
    </w:r>
    <w:r w:rsidR="00B73377">
      <w:rPr>
        <w:rFonts w:ascii="Arial" w:hAnsi="Arial" w:cs="Arial"/>
        <w:noProof/>
        <w:sz w:val="16"/>
        <w:szCs w:val="16"/>
      </w:rPr>
      <w:t>47</w:t>
    </w:r>
    <w:r w:rsidR="00D50FF2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E7" w:rsidRDefault="002235E7" w:rsidP="00E71A58">
      <w:r>
        <w:separator/>
      </w:r>
    </w:p>
  </w:footnote>
  <w:footnote w:type="continuationSeparator" w:id="0">
    <w:p w:rsidR="002235E7" w:rsidRDefault="002235E7" w:rsidP="00E71A58">
      <w:r>
        <w:continuationSeparator/>
      </w:r>
    </w:p>
  </w:footnote>
  <w:footnote w:id="1">
    <w:p w:rsidR="00477774" w:rsidRDefault="00477774" w:rsidP="00BB64DB">
      <w:pPr>
        <w:pStyle w:val="Textpoznpodarou"/>
      </w:pPr>
      <w:r>
        <w:rPr>
          <w:rStyle w:val="Znakapoznpodarou"/>
        </w:rPr>
        <w:footnoteRef/>
      </w:r>
      <w:r>
        <w:t xml:space="preserve"> V platném znění zákona o České televizi č. 483/1991 Sb., zákona o Českém rozhlase č. 484/1991 Sb. a zákona o provozování rozhlasového a televizního vysílání č.231/2001 Sb.</w:t>
      </w:r>
    </w:p>
  </w:footnote>
  <w:footnote w:id="2">
    <w:p w:rsidR="00477774" w:rsidRDefault="00477774" w:rsidP="006807FF">
      <w:pPr>
        <w:pStyle w:val="Textpoznpodarou"/>
      </w:pPr>
      <w:r>
        <w:rPr>
          <w:rStyle w:val="Znakapoznpodarou"/>
        </w:rPr>
        <w:footnoteRef/>
      </w:r>
      <w:r>
        <w:t xml:space="preserve"> V rámci výzkumu </w:t>
      </w:r>
      <w:proofErr w:type="spellStart"/>
      <w:r>
        <w:t>Radioprojekt</w:t>
      </w:r>
      <w:proofErr w:type="spellEnd"/>
      <w:r>
        <w:t xml:space="preserve"> je ročně osloveno okolo 30 tis. respondentů s otázkami ohledně poslechu rozhlasových stanic v minulém dni (popřípadě minulém týdnu). Poslechovost tedy měří, jaká část populace v minulém dni (popřípadě týdnu) poslouchala určitou stanici.</w:t>
      </w:r>
    </w:p>
  </w:footnote>
  <w:footnote w:id="3">
    <w:p w:rsidR="00477774" w:rsidRDefault="00477774">
      <w:pPr>
        <w:pStyle w:val="Textpoznpodarou"/>
      </w:pPr>
      <w:r>
        <w:rPr>
          <w:rStyle w:val="Znakapoznpodarou"/>
        </w:rPr>
        <w:footnoteRef/>
      </w:r>
      <w:r>
        <w:t xml:space="preserve"> Neexistuje jednotná definice tohoto pojmu, například </w:t>
      </w:r>
      <w:proofErr w:type="spellStart"/>
      <w:r>
        <w:t>Oldies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 se specializuje na hudbu 60. – 80. let, na druhou stranu v rámci pořadu Českého rozhlasu s názvem </w:t>
      </w:r>
      <w:proofErr w:type="spellStart"/>
      <w:r>
        <w:t>Oldies</w:t>
      </w:r>
      <w:proofErr w:type="spellEnd"/>
      <w:r>
        <w:t xml:space="preserve"> jako na dlani jsou </w:t>
      </w:r>
      <w:proofErr w:type="spellStart"/>
      <w:r>
        <w:t>vysílany</w:t>
      </w:r>
      <w:proofErr w:type="spellEnd"/>
      <w:r>
        <w:t xml:space="preserve"> skladby vydané v 50. až 70. letech.</w:t>
      </w:r>
    </w:p>
  </w:footnote>
  <w:footnote w:id="4">
    <w:p w:rsidR="00477774" w:rsidRDefault="00477774">
      <w:pPr>
        <w:pStyle w:val="Textpoznpodarou"/>
      </w:pPr>
      <w:r>
        <w:rPr>
          <w:rStyle w:val="Znakapoznpodarou"/>
        </w:rPr>
        <w:footnoteRef/>
      </w:r>
      <w:r>
        <w:t xml:space="preserve"> Podle ATO je sledovanost definovaná jako podíl osob, které živě sledovaly úsek televizního vysílání na daném kanálu v rámci daného období. Sledovanost je měřena denně pomocí zařízení umístěných do cca 2000 domácností.</w:t>
      </w:r>
    </w:p>
  </w:footnote>
  <w:footnote w:id="5">
    <w:p w:rsidR="00477774" w:rsidRDefault="00477774" w:rsidP="00BB64DB">
      <w:pPr>
        <w:pStyle w:val="Textpoznpodarou"/>
      </w:pPr>
      <w:r>
        <w:rPr>
          <w:rStyle w:val="Znakapoznpodarou"/>
        </w:rPr>
        <w:footnoteRef/>
      </w:r>
      <w:r>
        <w:t xml:space="preserve"> Zákon č. 231/2011 Sb. vymezuje podíl reklamy na celkovém vysílání pro ČT 2 a ČT 24 na 0,5 procenta vysílacího času.</w:t>
      </w:r>
    </w:p>
  </w:footnote>
  <w:footnote w:id="6">
    <w:p w:rsidR="00477774" w:rsidRDefault="00477774">
      <w:pPr>
        <w:pStyle w:val="Textpoznpodarou"/>
      </w:pPr>
      <w:r>
        <w:rPr>
          <w:rStyle w:val="Znakapoznpodarou"/>
        </w:rPr>
        <w:footnoteRef/>
      </w:r>
      <w:r>
        <w:t xml:space="preserve"> sledovali alespoň první sekundu tohoto videa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AD306C" w:rsidRDefault="0047777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DC5B3B" w:rsidRDefault="00477774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57108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Pištorová, Mgr.">
    <w15:presenceInfo w15:providerId="None" w15:userId="Markéta Pištorová, Mgr."/>
  </w15:person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137B"/>
    <w:rsid w:val="00012C46"/>
    <w:rsid w:val="0001315B"/>
    <w:rsid w:val="00015D27"/>
    <w:rsid w:val="00020722"/>
    <w:rsid w:val="00020FF8"/>
    <w:rsid w:val="00023EDD"/>
    <w:rsid w:val="00027455"/>
    <w:rsid w:val="00030619"/>
    <w:rsid w:val="00033CE1"/>
    <w:rsid w:val="00035134"/>
    <w:rsid w:val="000360F3"/>
    <w:rsid w:val="00037107"/>
    <w:rsid w:val="000414D9"/>
    <w:rsid w:val="00042038"/>
    <w:rsid w:val="00042B50"/>
    <w:rsid w:val="00042E63"/>
    <w:rsid w:val="000443B0"/>
    <w:rsid w:val="00045A03"/>
    <w:rsid w:val="0004694F"/>
    <w:rsid w:val="000472B0"/>
    <w:rsid w:val="00050886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2977"/>
    <w:rsid w:val="00084A0D"/>
    <w:rsid w:val="00086610"/>
    <w:rsid w:val="00086DBB"/>
    <w:rsid w:val="00087634"/>
    <w:rsid w:val="00093340"/>
    <w:rsid w:val="000A0B24"/>
    <w:rsid w:val="000A0F0E"/>
    <w:rsid w:val="000A0FF8"/>
    <w:rsid w:val="000A1183"/>
    <w:rsid w:val="000A1A9F"/>
    <w:rsid w:val="000A1C9C"/>
    <w:rsid w:val="000A344D"/>
    <w:rsid w:val="000A36DA"/>
    <w:rsid w:val="000B3393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21E1"/>
    <w:rsid w:val="000D41C4"/>
    <w:rsid w:val="000E077B"/>
    <w:rsid w:val="000E0D24"/>
    <w:rsid w:val="000E178F"/>
    <w:rsid w:val="000E334B"/>
    <w:rsid w:val="000E3B13"/>
    <w:rsid w:val="000E3F11"/>
    <w:rsid w:val="000E44A0"/>
    <w:rsid w:val="000E4FAD"/>
    <w:rsid w:val="000E5EEF"/>
    <w:rsid w:val="000E5F9D"/>
    <w:rsid w:val="000E7074"/>
    <w:rsid w:val="000F0B50"/>
    <w:rsid w:val="000F4B0F"/>
    <w:rsid w:val="000F6FFD"/>
    <w:rsid w:val="001009D1"/>
    <w:rsid w:val="00103D6C"/>
    <w:rsid w:val="00104257"/>
    <w:rsid w:val="001042A6"/>
    <w:rsid w:val="00105D5C"/>
    <w:rsid w:val="00107B33"/>
    <w:rsid w:val="001132C6"/>
    <w:rsid w:val="00113B8D"/>
    <w:rsid w:val="00114747"/>
    <w:rsid w:val="001149CE"/>
    <w:rsid w:val="00114A3F"/>
    <w:rsid w:val="00114BE5"/>
    <w:rsid w:val="00115522"/>
    <w:rsid w:val="00120628"/>
    <w:rsid w:val="0012173C"/>
    <w:rsid w:val="00121FC2"/>
    <w:rsid w:val="00121FC7"/>
    <w:rsid w:val="00126988"/>
    <w:rsid w:val="00126EBA"/>
    <w:rsid w:val="00126F11"/>
    <w:rsid w:val="00127405"/>
    <w:rsid w:val="001275BC"/>
    <w:rsid w:val="00130F4A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174"/>
    <w:rsid w:val="00154C09"/>
    <w:rsid w:val="001577FA"/>
    <w:rsid w:val="00157EB6"/>
    <w:rsid w:val="0016269D"/>
    <w:rsid w:val="00163793"/>
    <w:rsid w:val="001661C5"/>
    <w:rsid w:val="00170E8B"/>
    <w:rsid w:val="001714F2"/>
    <w:rsid w:val="00171D41"/>
    <w:rsid w:val="00172569"/>
    <w:rsid w:val="00173531"/>
    <w:rsid w:val="00173703"/>
    <w:rsid w:val="001801FE"/>
    <w:rsid w:val="00180F64"/>
    <w:rsid w:val="00182456"/>
    <w:rsid w:val="0018356F"/>
    <w:rsid w:val="00184C98"/>
    <w:rsid w:val="00185010"/>
    <w:rsid w:val="001857FC"/>
    <w:rsid w:val="00185C4B"/>
    <w:rsid w:val="001918B2"/>
    <w:rsid w:val="001919CC"/>
    <w:rsid w:val="00192EBA"/>
    <w:rsid w:val="0019310E"/>
    <w:rsid w:val="00193560"/>
    <w:rsid w:val="00194011"/>
    <w:rsid w:val="00195E7C"/>
    <w:rsid w:val="0019602F"/>
    <w:rsid w:val="00196AEC"/>
    <w:rsid w:val="00196B4C"/>
    <w:rsid w:val="001975AC"/>
    <w:rsid w:val="001A12AC"/>
    <w:rsid w:val="001A3DC1"/>
    <w:rsid w:val="001A4BAA"/>
    <w:rsid w:val="001A552F"/>
    <w:rsid w:val="001A58FD"/>
    <w:rsid w:val="001A6358"/>
    <w:rsid w:val="001A67A3"/>
    <w:rsid w:val="001A67EB"/>
    <w:rsid w:val="001A7DF6"/>
    <w:rsid w:val="001B23C7"/>
    <w:rsid w:val="001B3110"/>
    <w:rsid w:val="001B368B"/>
    <w:rsid w:val="001B55B6"/>
    <w:rsid w:val="001B5EAE"/>
    <w:rsid w:val="001B6DBF"/>
    <w:rsid w:val="001B721C"/>
    <w:rsid w:val="001B7827"/>
    <w:rsid w:val="001C11CA"/>
    <w:rsid w:val="001C36A4"/>
    <w:rsid w:val="001C378C"/>
    <w:rsid w:val="001C4A1B"/>
    <w:rsid w:val="001C4AB2"/>
    <w:rsid w:val="001C5D40"/>
    <w:rsid w:val="001C6DBA"/>
    <w:rsid w:val="001C709C"/>
    <w:rsid w:val="001D07D2"/>
    <w:rsid w:val="001D41F6"/>
    <w:rsid w:val="001D4ECA"/>
    <w:rsid w:val="001E020A"/>
    <w:rsid w:val="001E0AA5"/>
    <w:rsid w:val="001E0B54"/>
    <w:rsid w:val="001E12BB"/>
    <w:rsid w:val="001E3995"/>
    <w:rsid w:val="001E4F12"/>
    <w:rsid w:val="001F4597"/>
    <w:rsid w:val="00200D8C"/>
    <w:rsid w:val="00204DB6"/>
    <w:rsid w:val="00210AA5"/>
    <w:rsid w:val="002130C8"/>
    <w:rsid w:val="0021339F"/>
    <w:rsid w:val="00215600"/>
    <w:rsid w:val="0021730B"/>
    <w:rsid w:val="00220642"/>
    <w:rsid w:val="00220644"/>
    <w:rsid w:val="0022139E"/>
    <w:rsid w:val="0022192F"/>
    <w:rsid w:val="00222204"/>
    <w:rsid w:val="002235E7"/>
    <w:rsid w:val="00224F9D"/>
    <w:rsid w:val="002252E0"/>
    <w:rsid w:val="002255F6"/>
    <w:rsid w:val="00226D50"/>
    <w:rsid w:val="00231FC7"/>
    <w:rsid w:val="002328DA"/>
    <w:rsid w:val="00232B25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5697"/>
    <w:rsid w:val="0024640B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0C15"/>
    <w:rsid w:val="0026297E"/>
    <w:rsid w:val="00264C1E"/>
    <w:rsid w:val="00272FDF"/>
    <w:rsid w:val="00273D6F"/>
    <w:rsid w:val="00276FD9"/>
    <w:rsid w:val="002771F3"/>
    <w:rsid w:val="00277254"/>
    <w:rsid w:val="0027768A"/>
    <w:rsid w:val="00281805"/>
    <w:rsid w:val="00282789"/>
    <w:rsid w:val="00282CCA"/>
    <w:rsid w:val="002842E6"/>
    <w:rsid w:val="0029010F"/>
    <w:rsid w:val="00291420"/>
    <w:rsid w:val="002920AC"/>
    <w:rsid w:val="00292413"/>
    <w:rsid w:val="002931E4"/>
    <w:rsid w:val="00294458"/>
    <w:rsid w:val="002951F3"/>
    <w:rsid w:val="00296083"/>
    <w:rsid w:val="002978CD"/>
    <w:rsid w:val="00297CA7"/>
    <w:rsid w:val="002A0381"/>
    <w:rsid w:val="002A1980"/>
    <w:rsid w:val="002A32D6"/>
    <w:rsid w:val="002A5595"/>
    <w:rsid w:val="002B09CD"/>
    <w:rsid w:val="002B1997"/>
    <w:rsid w:val="002B21CF"/>
    <w:rsid w:val="002B32C9"/>
    <w:rsid w:val="002B37BD"/>
    <w:rsid w:val="002B6FCF"/>
    <w:rsid w:val="002B71DD"/>
    <w:rsid w:val="002B7E46"/>
    <w:rsid w:val="002C1C2C"/>
    <w:rsid w:val="002C3743"/>
    <w:rsid w:val="002C3AEA"/>
    <w:rsid w:val="002C43BD"/>
    <w:rsid w:val="002D06A3"/>
    <w:rsid w:val="002D0CCB"/>
    <w:rsid w:val="002D12FB"/>
    <w:rsid w:val="002D3685"/>
    <w:rsid w:val="002D4AB1"/>
    <w:rsid w:val="002E02A1"/>
    <w:rsid w:val="002E2B47"/>
    <w:rsid w:val="002E7553"/>
    <w:rsid w:val="002F0571"/>
    <w:rsid w:val="002F0CEC"/>
    <w:rsid w:val="002F7B33"/>
    <w:rsid w:val="00302448"/>
    <w:rsid w:val="00304771"/>
    <w:rsid w:val="00305060"/>
    <w:rsid w:val="00306C5B"/>
    <w:rsid w:val="00310E42"/>
    <w:rsid w:val="00312F56"/>
    <w:rsid w:val="00313494"/>
    <w:rsid w:val="003150BE"/>
    <w:rsid w:val="00315D7E"/>
    <w:rsid w:val="00316A8D"/>
    <w:rsid w:val="003204A0"/>
    <w:rsid w:val="003209D6"/>
    <w:rsid w:val="00323843"/>
    <w:rsid w:val="00324E8E"/>
    <w:rsid w:val="003254A1"/>
    <w:rsid w:val="00326993"/>
    <w:rsid w:val="0032737D"/>
    <w:rsid w:val="003316CE"/>
    <w:rsid w:val="003320C2"/>
    <w:rsid w:val="003365DE"/>
    <w:rsid w:val="00336E6B"/>
    <w:rsid w:val="00337A53"/>
    <w:rsid w:val="00340562"/>
    <w:rsid w:val="00342D37"/>
    <w:rsid w:val="0034338F"/>
    <w:rsid w:val="00343FD9"/>
    <w:rsid w:val="00346445"/>
    <w:rsid w:val="003464C3"/>
    <w:rsid w:val="003502AC"/>
    <w:rsid w:val="00351229"/>
    <w:rsid w:val="00352A4B"/>
    <w:rsid w:val="00354201"/>
    <w:rsid w:val="00363B2D"/>
    <w:rsid w:val="003657F3"/>
    <w:rsid w:val="00367BCF"/>
    <w:rsid w:val="0037140D"/>
    <w:rsid w:val="003725A8"/>
    <w:rsid w:val="003731DD"/>
    <w:rsid w:val="003759E9"/>
    <w:rsid w:val="00376CCE"/>
    <w:rsid w:val="00377195"/>
    <w:rsid w:val="00382400"/>
    <w:rsid w:val="00384F4B"/>
    <w:rsid w:val="00385D98"/>
    <w:rsid w:val="003920A5"/>
    <w:rsid w:val="00393CDB"/>
    <w:rsid w:val="0039428D"/>
    <w:rsid w:val="003A2B4D"/>
    <w:rsid w:val="003A3495"/>
    <w:rsid w:val="003A419C"/>
    <w:rsid w:val="003A478C"/>
    <w:rsid w:val="003A4800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588B"/>
    <w:rsid w:val="003B5A32"/>
    <w:rsid w:val="003B6B56"/>
    <w:rsid w:val="003C03EB"/>
    <w:rsid w:val="003C04BB"/>
    <w:rsid w:val="003C0D7E"/>
    <w:rsid w:val="003C105C"/>
    <w:rsid w:val="003C37A5"/>
    <w:rsid w:val="003C3996"/>
    <w:rsid w:val="003C5703"/>
    <w:rsid w:val="003C6CC2"/>
    <w:rsid w:val="003C7122"/>
    <w:rsid w:val="003C736E"/>
    <w:rsid w:val="003C7985"/>
    <w:rsid w:val="003D02CE"/>
    <w:rsid w:val="003D241B"/>
    <w:rsid w:val="003D2970"/>
    <w:rsid w:val="003D5037"/>
    <w:rsid w:val="003D58AA"/>
    <w:rsid w:val="003D5D57"/>
    <w:rsid w:val="003E444C"/>
    <w:rsid w:val="003E6436"/>
    <w:rsid w:val="003E6610"/>
    <w:rsid w:val="003E6F0D"/>
    <w:rsid w:val="003E74F1"/>
    <w:rsid w:val="003F29B7"/>
    <w:rsid w:val="003F2F1D"/>
    <w:rsid w:val="003F313C"/>
    <w:rsid w:val="003F3BE1"/>
    <w:rsid w:val="003F44B8"/>
    <w:rsid w:val="003F4B35"/>
    <w:rsid w:val="003F5DA8"/>
    <w:rsid w:val="003F71DC"/>
    <w:rsid w:val="004004F4"/>
    <w:rsid w:val="00400DAB"/>
    <w:rsid w:val="00405FEB"/>
    <w:rsid w:val="00406BC3"/>
    <w:rsid w:val="00407728"/>
    <w:rsid w:val="00410BEE"/>
    <w:rsid w:val="00410E63"/>
    <w:rsid w:val="00411EBC"/>
    <w:rsid w:val="00416EF5"/>
    <w:rsid w:val="00421D77"/>
    <w:rsid w:val="0042216F"/>
    <w:rsid w:val="004243D2"/>
    <w:rsid w:val="00425125"/>
    <w:rsid w:val="004259B5"/>
    <w:rsid w:val="004271DC"/>
    <w:rsid w:val="00427A75"/>
    <w:rsid w:val="00430658"/>
    <w:rsid w:val="00430E4E"/>
    <w:rsid w:val="004333B9"/>
    <w:rsid w:val="00435122"/>
    <w:rsid w:val="0043575F"/>
    <w:rsid w:val="004409F9"/>
    <w:rsid w:val="00441419"/>
    <w:rsid w:val="0044303F"/>
    <w:rsid w:val="004443D7"/>
    <w:rsid w:val="00453AD7"/>
    <w:rsid w:val="00456315"/>
    <w:rsid w:val="004571B5"/>
    <w:rsid w:val="00461546"/>
    <w:rsid w:val="00461B09"/>
    <w:rsid w:val="004637FC"/>
    <w:rsid w:val="00465DDB"/>
    <w:rsid w:val="004702DC"/>
    <w:rsid w:val="00470AC3"/>
    <w:rsid w:val="00471102"/>
    <w:rsid w:val="00472C6B"/>
    <w:rsid w:val="00476265"/>
    <w:rsid w:val="00477774"/>
    <w:rsid w:val="0048086F"/>
    <w:rsid w:val="0048139F"/>
    <w:rsid w:val="00484A8E"/>
    <w:rsid w:val="00486E03"/>
    <w:rsid w:val="00487513"/>
    <w:rsid w:val="00493CD1"/>
    <w:rsid w:val="00494EAC"/>
    <w:rsid w:val="004A156B"/>
    <w:rsid w:val="004A2B92"/>
    <w:rsid w:val="004A6D3A"/>
    <w:rsid w:val="004A77DF"/>
    <w:rsid w:val="004B13C0"/>
    <w:rsid w:val="004B16DF"/>
    <w:rsid w:val="004B288C"/>
    <w:rsid w:val="004B4315"/>
    <w:rsid w:val="004B55B7"/>
    <w:rsid w:val="004B6546"/>
    <w:rsid w:val="004B68A9"/>
    <w:rsid w:val="004B6F2F"/>
    <w:rsid w:val="004B7DDE"/>
    <w:rsid w:val="004C05A9"/>
    <w:rsid w:val="004C2CC6"/>
    <w:rsid w:val="004C3867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52A5"/>
    <w:rsid w:val="004D5A93"/>
    <w:rsid w:val="004D7B88"/>
    <w:rsid w:val="004E1817"/>
    <w:rsid w:val="004E33D5"/>
    <w:rsid w:val="004E3C8D"/>
    <w:rsid w:val="004E419B"/>
    <w:rsid w:val="004E52BA"/>
    <w:rsid w:val="004E668C"/>
    <w:rsid w:val="004E7FF4"/>
    <w:rsid w:val="004F06F5"/>
    <w:rsid w:val="004F0B29"/>
    <w:rsid w:val="004F111C"/>
    <w:rsid w:val="004F29BD"/>
    <w:rsid w:val="004F2B2D"/>
    <w:rsid w:val="004F4DFA"/>
    <w:rsid w:val="004F5E3A"/>
    <w:rsid w:val="004F690F"/>
    <w:rsid w:val="004F78AD"/>
    <w:rsid w:val="004F7E67"/>
    <w:rsid w:val="0050025B"/>
    <w:rsid w:val="005101BF"/>
    <w:rsid w:val="005108C0"/>
    <w:rsid w:val="0051113D"/>
    <w:rsid w:val="00511873"/>
    <w:rsid w:val="00511E36"/>
    <w:rsid w:val="0051292C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5656"/>
    <w:rsid w:val="0053607C"/>
    <w:rsid w:val="005366C7"/>
    <w:rsid w:val="00536FAD"/>
    <w:rsid w:val="00537F25"/>
    <w:rsid w:val="00540DAE"/>
    <w:rsid w:val="00542285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19E1"/>
    <w:rsid w:val="00571CFA"/>
    <w:rsid w:val="00575C2E"/>
    <w:rsid w:val="0057615C"/>
    <w:rsid w:val="00581347"/>
    <w:rsid w:val="00583523"/>
    <w:rsid w:val="00583FFD"/>
    <w:rsid w:val="005843E4"/>
    <w:rsid w:val="005915B4"/>
    <w:rsid w:val="00593152"/>
    <w:rsid w:val="005950FA"/>
    <w:rsid w:val="0059779F"/>
    <w:rsid w:val="005A21E0"/>
    <w:rsid w:val="005A282E"/>
    <w:rsid w:val="005A3AAF"/>
    <w:rsid w:val="005A5927"/>
    <w:rsid w:val="005A737D"/>
    <w:rsid w:val="005B0F98"/>
    <w:rsid w:val="005B1EDC"/>
    <w:rsid w:val="005B63CE"/>
    <w:rsid w:val="005B749B"/>
    <w:rsid w:val="005C19FC"/>
    <w:rsid w:val="005C2BBE"/>
    <w:rsid w:val="005C441C"/>
    <w:rsid w:val="005C628E"/>
    <w:rsid w:val="005C6D38"/>
    <w:rsid w:val="005C6D3C"/>
    <w:rsid w:val="005C761C"/>
    <w:rsid w:val="005C78E0"/>
    <w:rsid w:val="005C7ABD"/>
    <w:rsid w:val="005C7B93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47BF"/>
    <w:rsid w:val="005E50D7"/>
    <w:rsid w:val="005E7F4D"/>
    <w:rsid w:val="005F0301"/>
    <w:rsid w:val="005F4950"/>
    <w:rsid w:val="005F4FDA"/>
    <w:rsid w:val="005F71A6"/>
    <w:rsid w:val="005F721F"/>
    <w:rsid w:val="005F7971"/>
    <w:rsid w:val="00600CDB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A24"/>
    <w:rsid w:val="00612473"/>
    <w:rsid w:val="006170FF"/>
    <w:rsid w:val="006178DD"/>
    <w:rsid w:val="00620906"/>
    <w:rsid w:val="0062339D"/>
    <w:rsid w:val="00623611"/>
    <w:rsid w:val="00624093"/>
    <w:rsid w:val="00625534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3AF5"/>
    <w:rsid w:val="00643B19"/>
    <w:rsid w:val="006451E4"/>
    <w:rsid w:val="00645CFB"/>
    <w:rsid w:val="00646B40"/>
    <w:rsid w:val="0065040F"/>
    <w:rsid w:val="006511BA"/>
    <w:rsid w:val="006511DD"/>
    <w:rsid w:val="006517EA"/>
    <w:rsid w:val="006568DB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3DF0"/>
    <w:rsid w:val="006A5E80"/>
    <w:rsid w:val="006A63F6"/>
    <w:rsid w:val="006A7884"/>
    <w:rsid w:val="006B2F7A"/>
    <w:rsid w:val="006B4F63"/>
    <w:rsid w:val="006B565D"/>
    <w:rsid w:val="006B5932"/>
    <w:rsid w:val="006B59D8"/>
    <w:rsid w:val="006B73D0"/>
    <w:rsid w:val="006B78D8"/>
    <w:rsid w:val="006C113F"/>
    <w:rsid w:val="006C19DE"/>
    <w:rsid w:val="006C2078"/>
    <w:rsid w:val="006C3ECB"/>
    <w:rsid w:val="006C4BAC"/>
    <w:rsid w:val="006D2601"/>
    <w:rsid w:val="006D4797"/>
    <w:rsid w:val="006D61F6"/>
    <w:rsid w:val="006E1600"/>
    <w:rsid w:val="006E1790"/>
    <w:rsid w:val="006E279A"/>
    <w:rsid w:val="006E313B"/>
    <w:rsid w:val="006E3528"/>
    <w:rsid w:val="006F78BB"/>
    <w:rsid w:val="00700384"/>
    <w:rsid w:val="00701EC5"/>
    <w:rsid w:val="00701EFF"/>
    <w:rsid w:val="00702C7D"/>
    <w:rsid w:val="00704803"/>
    <w:rsid w:val="00706055"/>
    <w:rsid w:val="007078C1"/>
    <w:rsid w:val="00710610"/>
    <w:rsid w:val="00711D9A"/>
    <w:rsid w:val="00712073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30718"/>
    <w:rsid w:val="00730AE8"/>
    <w:rsid w:val="00730CCD"/>
    <w:rsid w:val="00731CAB"/>
    <w:rsid w:val="00731D02"/>
    <w:rsid w:val="0073527D"/>
    <w:rsid w:val="007358EB"/>
    <w:rsid w:val="00735F55"/>
    <w:rsid w:val="00736F19"/>
    <w:rsid w:val="00740F4A"/>
    <w:rsid w:val="00741493"/>
    <w:rsid w:val="007420CD"/>
    <w:rsid w:val="00745E24"/>
    <w:rsid w:val="0074634F"/>
    <w:rsid w:val="007464BC"/>
    <w:rsid w:val="007476C4"/>
    <w:rsid w:val="00750D87"/>
    <w:rsid w:val="00752180"/>
    <w:rsid w:val="0075473C"/>
    <w:rsid w:val="00754990"/>
    <w:rsid w:val="00755D3A"/>
    <w:rsid w:val="00755F49"/>
    <w:rsid w:val="007562FD"/>
    <w:rsid w:val="00756776"/>
    <w:rsid w:val="00756AF1"/>
    <w:rsid w:val="007609C6"/>
    <w:rsid w:val="00761B68"/>
    <w:rsid w:val="00763FF2"/>
    <w:rsid w:val="00772B59"/>
    <w:rsid w:val="00772DA1"/>
    <w:rsid w:val="007764CA"/>
    <w:rsid w:val="00776527"/>
    <w:rsid w:val="00781D20"/>
    <w:rsid w:val="00783501"/>
    <w:rsid w:val="0078588D"/>
    <w:rsid w:val="00793BA5"/>
    <w:rsid w:val="00794608"/>
    <w:rsid w:val="00795A8D"/>
    <w:rsid w:val="007A1A44"/>
    <w:rsid w:val="007A39D9"/>
    <w:rsid w:val="007A4926"/>
    <w:rsid w:val="007A677D"/>
    <w:rsid w:val="007A7E86"/>
    <w:rsid w:val="007B04C3"/>
    <w:rsid w:val="007B0F0E"/>
    <w:rsid w:val="007B47EE"/>
    <w:rsid w:val="007B4BE9"/>
    <w:rsid w:val="007B4F04"/>
    <w:rsid w:val="007B60D9"/>
    <w:rsid w:val="007B7D35"/>
    <w:rsid w:val="007C0993"/>
    <w:rsid w:val="007C419E"/>
    <w:rsid w:val="007C4B02"/>
    <w:rsid w:val="007C5DBE"/>
    <w:rsid w:val="007C6308"/>
    <w:rsid w:val="007D12C6"/>
    <w:rsid w:val="007D2468"/>
    <w:rsid w:val="007D286D"/>
    <w:rsid w:val="007D2DCB"/>
    <w:rsid w:val="007D3651"/>
    <w:rsid w:val="007D386E"/>
    <w:rsid w:val="007D5538"/>
    <w:rsid w:val="007D7921"/>
    <w:rsid w:val="007E12CE"/>
    <w:rsid w:val="007E1B9D"/>
    <w:rsid w:val="007E3184"/>
    <w:rsid w:val="007E6865"/>
    <w:rsid w:val="007E68C1"/>
    <w:rsid w:val="007E769B"/>
    <w:rsid w:val="007E7E61"/>
    <w:rsid w:val="007F0C99"/>
    <w:rsid w:val="007F0F88"/>
    <w:rsid w:val="007F3674"/>
    <w:rsid w:val="007F46D3"/>
    <w:rsid w:val="007F717B"/>
    <w:rsid w:val="0080031A"/>
    <w:rsid w:val="008004E0"/>
    <w:rsid w:val="008018B7"/>
    <w:rsid w:val="00805A76"/>
    <w:rsid w:val="00810B18"/>
    <w:rsid w:val="008112B6"/>
    <w:rsid w:val="00812056"/>
    <w:rsid w:val="008134C4"/>
    <w:rsid w:val="00821FF6"/>
    <w:rsid w:val="0082352E"/>
    <w:rsid w:val="00823F9B"/>
    <w:rsid w:val="0082466D"/>
    <w:rsid w:val="00830E90"/>
    <w:rsid w:val="0083143E"/>
    <w:rsid w:val="0083398A"/>
    <w:rsid w:val="00834FAA"/>
    <w:rsid w:val="0083501D"/>
    <w:rsid w:val="00836086"/>
    <w:rsid w:val="008417AB"/>
    <w:rsid w:val="00841A5E"/>
    <w:rsid w:val="00844C07"/>
    <w:rsid w:val="0084557C"/>
    <w:rsid w:val="00846194"/>
    <w:rsid w:val="00847143"/>
    <w:rsid w:val="00847347"/>
    <w:rsid w:val="008512E7"/>
    <w:rsid w:val="00851419"/>
    <w:rsid w:val="00852103"/>
    <w:rsid w:val="008545E7"/>
    <w:rsid w:val="00854DAE"/>
    <w:rsid w:val="00856B6A"/>
    <w:rsid w:val="00857BB4"/>
    <w:rsid w:val="00857D9C"/>
    <w:rsid w:val="00861EA1"/>
    <w:rsid w:val="00862FE6"/>
    <w:rsid w:val="00871A6E"/>
    <w:rsid w:val="008725B4"/>
    <w:rsid w:val="00876086"/>
    <w:rsid w:val="00876A3A"/>
    <w:rsid w:val="00877C01"/>
    <w:rsid w:val="0088284D"/>
    <w:rsid w:val="00882967"/>
    <w:rsid w:val="0088598B"/>
    <w:rsid w:val="008862D3"/>
    <w:rsid w:val="008905EC"/>
    <w:rsid w:val="008927E1"/>
    <w:rsid w:val="00895548"/>
    <w:rsid w:val="008964FF"/>
    <w:rsid w:val="008979C4"/>
    <w:rsid w:val="008A07D3"/>
    <w:rsid w:val="008A31C1"/>
    <w:rsid w:val="008A53CB"/>
    <w:rsid w:val="008B32B7"/>
    <w:rsid w:val="008B64EB"/>
    <w:rsid w:val="008B6CDE"/>
    <w:rsid w:val="008B76B8"/>
    <w:rsid w:val="008B7C02"/>
    <w:rsid w:val="008C0E88"/>
    <w:rsid w:val="008C1C7A"/>
    <w:rsid w:val="008C2DDF"/>
    <w:rsid w:val="008C5593"/>
    <w:rsid w:val="008D2A16"/>
    <w:rsid w:val="008D2F5A"/>
    <w:rsid w:val="008D4396"/>
    <w:rsid w:val="008D5856"/>
    <w:rsid w:val="008D6513"/>
    <w:rsid w:val="008E1B68"/>
    <w:rsid w:val="008E31FF"/>
    <w:rsid w:val="008E3C01"/>
    <w:rsid w:val="008E441C"/>
    <w:rsid w:val="008E49E1"/>
    <w:rsid w:val="008E55E4"/>
    <w:rsid w:val="008E685D"/>
    <w:rsid w:val="008F2642"/>
    <w:rsid w:val="008F3C15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251"/>
    <w:rsid w:val="00910452"/>
    <w:rsid w:val="00911F2E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53A5"/>
    <w:rsid w:val="00931012"/>
    <w:rsid w:val="00932900"/>
    <w:rsid w:val="00934E40"/>
    <w:rsid w:val="00935A0D"/>
    <w:rsid w:val="00936824"/>
    <w:rsid w:val="009421B4"/>
    <w:rsid w:val="00942F60"/>
    <w:rsid w:val="0094427A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2FC7"/>
    <w:rsid w:val="00973454"/>
    <w:rsid w:val="0097432A"/>
    <w:rsid w:val="00974923"/>
    <w:rsid w:val="00976385"/>
    <w:rsid w:val="00983BC9"/>
    <w:rsid w:val="0098563A"/>
    <w:rsid w:val="00986F4F"/>
    <w:rsid w:val="00990621"/>
    <w:rsid w:val="00993E93"/>
    <w:rsid w:val="00993F83"/>
    <w:rsid w:val="00994972"/>
    <w:rsid w:val="00995124"/>
    <w:rsid w:val="009A04D6"/>
    <w:rsid w:val="009A1E6E"/>
    <w:rsid w:val="009A1FA5"/>
    <w:rsid w:val="009A4E83"/>
    <w:rsid w:val="009A6027"/>
    <w:rsid w:val="009A66C6"/>
    <w:rsid w:val="009A6971"/>
    <w:rsid w:val="009A75F3"/>
    <w:rsid w:val="009B2F33"/>
    <w:rsid w:val="009B6EC8"/>
    <w:rsid w:val="009B6FD3"/>
    <w:rsid w:val="009B7457"/>
    <w:rsid w:val="009B74C9"/>
    <w:rsid w:val="009B7A06"/>
    <w:rsid w:val="009C04A5"/>
    <w:rsid w:val="009C3204"/>
    <w:rsid w:val="009C3B45"/>
    <w:rsid w:val="009C62A4"/>
    <w:rsid w:val="009C64E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1BE9"/>
    <w:rsid w:val="009F2FED"/>
    <w:rsid w:val="009F4056"/>
    <w:rsid w:val="009F4438"/>
    <w:rsid w:val="009F4C62"/>
    <w:rsid w:val="009F5926"/>
    <w:rsid w:val="009F6142"/>
    <w:rsid w:val="009F68CD"/>
    <w:rsid w:val="009F6BE3"/>
    <w:rsid w:val="009F6C58"/>
    <w:rsid w:val="00A0074A"/>
    <w:rsid w:val="00A02659"/>
    <w:rsid w:val="00A04605"/>
    <w:rsid w:val="00A04643"/>
    <w:rsid w:val="00A052DD"/>
    <w:rsid w:val="00A064D7"/>
    <w:rsid w:val="00A0703E"/>
    <w:rsid w:val="00A10D66"/>
    <w:rsid w:val="00A11B36"/>
    <w:rsid w:val="00A20AC3"/>
    <w:rsid w:val="00A2331B"/>
    <w:rsid w:val="00A2347A"/>
    <w:rsid w:val="00A23E43"/>
    <w:rsid w:val="00A242B0"/>
    <w:rsid w:val="00A300BD"/>
    <w:rsid w:val="00A33661"/>
    <w:rsid w:val="00A33EFD"/>
    <w:rsid w:val="00A35033"/>
    <w:rsid w:val="00A35492"/>
    <w:rsid w:val="00A35B08"/>
    <w:rsid w:val="00A35DDE"/>
    <w:rsid w:val="00A36757"/>
    <w:rsid w:val="00A4343C"/>
    <w:rsid w:val="00A46DE0"/>
    <w:rsid w:val="00A47539"/>
    <w:rsid w:val="00A504C5"/>
    <w:rsid w:val="00A5138E"/>
    <w:rsid w:val="00A53A8A"/>
    <w:rsid w:val="00A543D4"/>
    <w:rsid w:val="00A6066F"/>
    <w:rsid w:val="00A61DF0"/>
    <w:rsid w:val="00A62302"/>
    <w:rsid w:val="00A623C5"/>
    <w:rsid w:val="00A62CE1"/>
    <w:rsid w:val="00A64348"/>
    <w:rsid w:val="00A65AE6"/>
    <w:rsid w:val="00A66484"/>
    <w:rsid w:val="00A67DF4"/>
    <w:rsid w:val="00A70574"/>
    <w:rsid w:val="00A7074F"/>
    <w:rsid w:val="00A70B41"/>
    <w:rsid w:val="00A7537C"/>
    <w:rsid w:val="00A75E40"/>
    <w:rsid w:val="00A800CC"/>
    <w:rsid w:val="00A82726"/>
    <w:rsid w:val="00A857C0"/>
    <w:rsid w:val="00A86F80"/>
    <w:rsid w:val="00A902A0"/>
    <w:rsid w:val="00A91FA4"/>
    <w:rsid w:val="00A92865"/>
    <w:rsid w:val="00A9313D"/>
    <w:rsid w:val="00A94B82"/>
    <w:rsid w:val="00A956B9"/>
    <w:rsid w:val="00A96EFF"/>
    <w:rsid w:val="00AA1547"/>
    <w:rsid w:val="00AA1726"/>
    <w:rsid w:val="00AA1776"/>
    <w:rsid w:val="00AA2926"/>
    <w:rsid w:val="00AA4814"/>
    <w:rsid w:val="00AA4913"/>
    <w:rsid w:val="00AA559A"/>
    <w:rsid w:val="00AA5F96"/>
    <w:rsid w:val="00AA632A"/>
    <w:rsid w:val="00AB2949"/>
    <w:rsid w:val="00AB2AF1"/>
    <w:rsid w:val="00AB32A2"/>
    <w:rsid w:val="00AB395D"/>
    <w:rsid w:val="00AB76AC"/>
    <w:rsid w:val="00AB7963"/>
    <w:rsid w:val="00AC1AC6"/>
    <w:rsid w:val="00AC4A96"/>
    <w:rsid w:val="00AC59AE"/>
    <w:rsid w:val="00AC6EE9"/>
    <w:rsid w:val="00AD076E"/>
    <w:rsid w:val="00AD17DE"/>
    <w:rsid w:val="00AD306C"/>
    <w:rsid w:val="00AD473A"/>
    <w:rsid w:val="00AD617C"/>
    <w:rsid w:val="00AE42D9"/>
    <w:rsid w:val="00AE562A"/>
    <w:rsid w:val="00AF026E"/>
    <w:rsid w:val="00AF1D7D"/>
    <w:rsid w:val="00AF21F2"/>
    <w:rsid w:val="00AF70B2"/>
    <w:rsid w:val="00B00577"/>
    <w:rsid w:val="00B01692"/>
    <w:rsid w:val="00B01997"/>
    <w:rsid w:val="00B01CAD"/>
    <w:rsid w:val="00B02802"/>
    <w:rsid w:val="00B02A97"/>
    <w:rsid w:val="00B02B9F"/>
    <w:rsid w:val="00B06DD7"/>
    <w:rsid w:val="00B07800"/>
    <w:rsid w:val="00B11CD3"/>
    <w:rsid w:val="00B134BB"/>
    <w:rsid w:val="00B17A7F"/>
    <w:rsid w:val="00B17E71"/>
    <w:rsid w:val="00B17FDE"/>
    <w:rsid w:val="00B209E4"/>
    <w:rsid w:val="00B21017"/>
    <w:rsid w:val="00B2154E"/>
    <w:rsid w:val="00B26A63"/>
    <w:rsid w:val="00B277C2"/>
    <w:rsid w:val="00B31A08"/>
    <w:rsid w:val="00B32936"/>
    <w:rsid w:val="00B32DDB"/>
    <w:rsid w:val="00B34A56"/>
    <w:rsid w:val="00B374C5"/>
    <w:rsid w:val="00B41036"/>
    <w:rsid w:val="00B414F8"/>
    <w:rsid w:val="00B42372"/>
    <w:rsid w:val="00B45232"/>
    <w:rsid w:val="00B45422"/>
    <w:rsid w:val="00B508F7"/>
    <w:rsid w:val="00B54975"/>
    <w:rsid w:val="00B554C6"/>
    <w:rsid w:val="00B55E53"/>
    <w:rsid w:val="00B570F5"/>
    <w:rsid w:val="00B60550"/>
    <w:rsid w:val="00B615FA"/>
    <w:rsid w:val="00B63403"/>
    <w:rsid w:val="00B6348E"/>
    <w:rsid w:val="00B6608F"/>
    <w:rsid w:val="00B66D44"/>
    <w:rsid w:val="00B73377"/>
    <w:rsid w:val="00B75959"/>
    <w:rsid w:val="00B76D1E"/>
    <w:rsid w:val="00B82B44"/>
    <w:rsid w:val="00B85D5F"/>
    <w:rsid w:val="00B9096F"/>
    <w:rsid w:val="00B90C58"/>
    <w:rsid w:val="00B92E07"/>
    <w:rsid w:val="00B93569"/>
    <w:rsid w:val="00B9366B"/>
    <w:rsid w:val="00B94374"/>
    <w:rsid w:val="00B95940"/>
    <w:rsid w:val="00B976FB"/>
    <w:rsid w:val="00B97BEC"/>
    <w:rsid w:val="00B97DC8"/>
    <w:rsid w:val="00BA2F87"/>
    <w:rsid w:val="00BA3ED9"/>
    <w:rsid w:val="00BA414E"/>
    <w:rsid w:val="00BA44D7"/>
    <w:rsid w:val="00BA493B"/>
    <w:rsid w:val="00BA5388"/>
    <w:rsid w:val="00BA5469"/>
    <w:rsid w:val="00BA5682"/>
    <w:rsid w:val="00BA606F"/>
    <w:rsid w:val="00BA7A10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712A"/>
    <w:rsid w:val="00BC7950"/>
    <w:rsid w:val="00BD2F1E"/>
    <w:rsid w:val="00BD366B"/>
    <w:rsid w:val="00BD48C8"/>
    <w:rsid w:val="00BD6D50"/>
    <w:rsid w:val="00BE07B2"/>
    <w:rsid w:val="00BE1A8D"/>
    <w:rsid w:val="00BE3640"/>
    <w:rsid w:val="00BE7543"/>
    <w:rsid w:val="00BE7970"/>
    <w:rsid w:val="00BE7BBE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AF7"/>
    <w:rsid w:val="00C10021"/>
    <w:rsid w:val="00C128A0"/>
    <w:rsid w:val="00C12EC2"/>
    <w:rsid w:val="00C138D0"/>
    <w:rsid w:val="00C1603D"/>
    <w:rsid w:val="00C165FD"/>
    <w:rsid w:val="00C16C0E"/>
    <w:rsid w:val="00C174DD"/>
    <w:rsid w:val="00C20932"/>
    <w:rsid w:val="00C21F94"/>
    <w:rsid w:val="00C22D52"/>
    <w:rsid w:val="00C22FBD"/>
    <w:rsid w:val="00C26558"/>
    <w:rsid w:val="00C30140"/>
    <w:rsid w:val="00C30C52"/>
    <w:rsid w:val="00C30DFA"/>
    <w:rsid w:val="00C32DCF"/>
    <w:rsid w:val="00C34DF4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69E6"/>
    <w:rsid w:val="00C5791B"/>
    <w:rsid w:val="00C61984"/>
    <w:rsid w:val="00C62D2F"/>
    <w:rsid w:val="00C64BB8"/>
    <w:rsid w:val="00C7180D"/>
    <w:rsid w:val="00C720AF"/>
    <w:rsid w:val="00C80F44"/>
    <w:rsid w:val="00C844DF"/>
    <w:rsid w:val="00C8471A"/>
    <w:rsid w:val="00C84ABE"/>
    <w:rsid w:val="00C8582D"/>
    <w:rsid w:val="00C867AC"/>
    <w:rsid w:val="00C90CF4"/>
    <w:rsid w:val="00C913EB"/>
    <w:rsid w:val="00C92E76"/>
    <w:rsid w:val="00C93389"/>
    <w:rsid w:val="00C93E10"/>
    <w:rsid w:val="00C96C58"/>
    <w:rsid w:val="00C972A4"/>
    <w:rsid w:val="00CA14B1"/>
    <w:rsid w:val="00CA5B30"/>
    <w:rsid w:val="00CA7634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5C7"/>
    <w:rsid w:val="00CC1BCB"/>
    <w:rsid w:val="00CC31D3"/>
    <w:rsid w:val="00CC6AC0"/>
    <w:rsid w:val="00CC6CE2"/>
    <w:rsid w:val="00CD38A6"/>
    <w:rsid w:val="00CD5C5C"/>
    <w:rsid w:val="00CD69AB"/>
    <w:rsid w:val="00CE05B1"/>
    <w:rsid w:val="00CE5770"/>
    <w:rsid w:val="00CE5B81"/>
    <w:rsid w:val="00CE7123"/>
    <w:rsid w:val="00CE762C"/>
    <w:rsid w:val="00CF0318"/>
    <w:rsid w:val="00CF1E47"/>
    <w:rsid w:val="00CF30FD"/>
    <w:rsid w:val="00CF3750"/>
    <w:rsid w:val="00CF3AF7"/>
    <w:rsid w:val="00CF3BC3"/>
    <w:rsid w:val="00CF51EC"/>
    <w:rsid w:val="00CF6D6C"/>
    <w:rsid w:val="00CF765A"/>
    <w:rsid w:val="00D02B32"/>
    <w:rsid w:val="00D040DD"/>
    <w:rsid w:val="00D06570"/>
    <w:rsid w:val="00D0660A"/>
    <w:rsid w:val="00D1192D"/>
    <w:rsid w:val="00D123E4"/>
    <w:rsid w:val="00D15C62"/>
    <w:rsid w:val="00D15D2B"/>
    <w:rsid w:val="00D16B95"/>
    <w:rsid w:val="00D16CA3"/>
    <w:rsid w:val="00D17C11"/>
    <w:rsid w:val="00D2032F"/>
    <w:rsid w:val="00D20AAC"/>
    <w:rsid w:val="00D22C45"/>
    <w:rsid w:val="00D237B5"/>
    <w:rsid w:val="00D304D1"/>
    <w:rsid w:val="00D32644"/>
    <w:rsid w:val="00D32AAF"/>
    <w:rsid w:val="00D41139"/>
    <w:rsid w:val="00D424F7"/>
    <w:rsid w:val="00D4367D"/>
    <w:rsid w:val="00D448C3"/>
    <w:rsid w:val="00D45C2E"/>
    <w:rsid w:val="00D508CE"/>
    <w:rsid w:val="00D50CCC"/>
    <w:rsid w:val="00D50FF2"/>
    <w:rsid w:val="00D51F16"/>
    <w:rsid w:val="00D52621"/>
    <w:rsid w:val="00D52692"/>
    <w:rsid w:val="00D55EC8"/>
    <w:rsid w:val="00D56499"/>
    <w:rsid w:val="00D61FFA"/>
    <w:rsid w:val="00D66A96"/>
    <w:rsid w:val="00D7252F"/>
    <w:rsid w:val="00D73DDD"/>
    <w:rsid w:val="00D746BE"/>
    <w:rsid w:val="00D7580F"/>
    <w:rsid w:val="00D7784F"/>
    <w:rsid w:val="00D77F03"/>
    <w:rsid w:val="00D82C76"/>
    <w:rsid w:val="00D82E85"/>
    <w:rsid w:val="00D82F91"/>
    <w:rsid w:val="00D83806"/>
    <w:rsid w:val="00D85311"/>
    <w:rsid w:val="00D86177"/>
    <w:rsid w:val="00D862E2"/>
    <w:rsid w:val="00D8721D"/>
    <w:rsid w:val="00D90902"/>
    <w:rsid w:val="00D926D6"/>
    <w:rsid w:val="00D931E3"/>
    <w:rsid w:val="00D93FAE"/>
    <w:rsid w:val="00D9593B"/>
    <w:rsid w:val="00D95F9C"/>
    <w:rsid w:val="00DA236F"/>
    <w:rsid w:val="00DA4A23"/>
    <w:rsid w:val="00DA4D23"/>
    <w:rsid w:val="00DA7A50"/>
    <w:rsid w:val="00DB1043"/>
    <w:rsid w:val="00DB2C93"/>
    <w:rsid w:val="00DB4065"/>
    <w:rsid w:val="00DB4CA7"/>
    <w:rsid w:val="00DB5208"/>
    <w:rsid w:val="00DB5650"/>
    <w:rsid w:val="00DB63A5"/>
    <w:rsid w:val="00DC34E8"/>
    <w:rsid w:val="00DC44B4"/>
    <w:rsid w:val="00DC4F06"/>
    <w:rsid w:val="00DC5B3B"/>
    <w:rsid w:val="00DD025D"/>
    <w:rsid w:val="00DD1E87"/>
    <w:rsid w:val="00DD2C24"/>
    <w:rsid w:val="00DD3310"/>
    <w:rsid w:val="00DD5273"/>
    <w:rsid w:val="00DD6045"/>
    <w:rsid w:val="00DD7D6D"/>
    <w:rsid w:val="00DE14E0"/>
    <w:rsid w:val="00DE1868"/>
    <w:rsid w:val="00DE18D5"/>
    <w:rsid w:val="00DE2D5D"/>
    <w:rsid w:val="00DE3559"/>
    <w:rsid w:val="00DE4E41"/>
    <w:rsid w:val="00DE61D7"/>
    <w:rsid w:val="00DF2BE0"/>
    <w:rsid w:val="00DF38E1"/>
    <w:rsid w:val="00E01C0E"/>
    <w:rsid w:val="00E0238B"/>
    <w:rsid w:val="00E03492"/>
    <w:rsid w:val="00E04694"/>
    <w:rsid w:val="00E047D9"/>
    <w:rsid w:val="00E069D1"/>
    <w:rsid w:val="00E1134C"/>
    <w:rsid w:val="00E14DCA"/>
    <w:rsid w:val="00E17081"/>
    <w:rsid w:val="00E25339"/>
    <w:rsid w:val="00E27145"/>
    <w:rsid w:val="00E302A2"/>
    <w:rsid w:val="00E313C9"/>
    <w:rsid w:val="00E32551"/>
    <w:rsid w:val="00E34129"/>
    <w:rsid w:val="00E34334"/>
    <w:rsid w:val="00E35EE2"/>
    <w:rsid w:val="00E40913"/>
    <w:rsid w:val="00E43274"/>
    <w:rsid w:val="00E44FE6"/>
    <w:rsid w:val="00E4586D"/>
    <w:rsid w:val="00E46A44"/>
    <w:rsid w:val="00E4731C"/>
    <w:rsid w:val="00E51707"/>
    <w:rsid w:val="00E52C0B"/>
    <w:rsid w:val="00E55E70"/>
    <w:rsid w:val="00E5721D"/>
    <w:rsid w:val="00E60C65"/>
    <w:rsid w:val="00E61500"/>
    <w:rsid w:val="00E63E10"/>
    <w:rsid w:val="00E64CA1"/>
    <w:rsid w:val="00E67F89"/>
    <w:rsid w:val="00E71A58"/>
    <w:rsid w:val="00E80CEE"/>
    <w:rsid w:val="00E828AD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A0C68"/>
    <w:rsid w:val="00EA1483"/>
    <w:rsid w:val="00EA2491"/>
    <w:rsid w:val="00EA2F6A"/>
    <w:rsid w:val="00EA33A6"/>
    <w:rsid w:val="00EA3D63"/>
    <w:rsid w:val="00EA48B1"/>
    <w:rsid w:val="00EA52AB"/>
    <w:rsid w:val="00EA770B"/>
    <w:rsid w:val="00EA7E97"/>
    <w:rsid w:val="00EB1BA9"/>
    <w:rsid w:val="00EB34FD"/>
    <w:rsid w:val="00EB6691"/>
    <w:rsid w:val="00EC224D"/>
    <w:rsid w:val="00EC276B"/>
    <w:rsid w:val="00EC491F"/>
    <w:rsid w:val="00EC5D3C"/>
    <w:rsid w:val="00ED0206"/>
    <w:rsid w:val="00ED286F"/>
    <w:rsid w:val="00ED437A"/>
    <w:rsid w:val="00ED59A5"/>
    <w:rsid w:val="00ED7FC7"/>
    <w:rsid w:val="00EE01FF"/>
    <w:rsid w:val="00EE05ED"/>
    <w:rsid w:val="00EE1F14"/>
    <w:rsid w:val="00EE218B"/>
    <w:rsid w:val="00EE3E78"/>
    <w:rsid w:val="00EE504E"/>
    <w:rsid w:val="00EE5179"/>
    <w:rsid w:val="00EE6D0D"/>
    <w:rsid w:val="00EE7545"/>
    <w:rsid w:val="00EF1538"/>
    <w:rsid w:val="00EF194E"/>
    <w:rsid w:val="00EF1F5A"/>
    <w:rsid w:val="00EF3614"/>
    <w:rsid w:val="00EF4907"/>
    <w:rsid w:val="00EF4D97"/>
    <w:rsid w:val="00F00EA9"/>
    <w:rsid w:val="00F013B6"/>
    <w:rsid w:val="00F02FF2"/>
    <w:rsid w:val="00F04811"/>
    <w:rsid w:val="00F0488C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6813"/>
    <w:rsid w:val="00F2719E"/>
    <w:rsid w:val="00F2751B"/>
    <w:rsid w:val="00F27845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19C2"/>
    <w:rsid w:val="00F4638E"/>
    <w:rsid w:val="00F4721B"/>
    <w:rsid w:val="00F543ED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D39"/>
    <w:rsid w:val="00F77FD7"/>
    <w:rsid w:val="00F824F1"/>
    <w:rsid w:val="00F82744"/>
    <w:rsid w:val="00F912EF"/>
    <w:rsid w:val="00F93608"/>
    <w:rsid w:val="00F95D6D"/>
    <w:rsid w:val="00F96C39"/>
    <w:rsid w:val="00F972A8"/>
    <w:rsid w:val="00FA6A70"/>
    <w:rsid w:val="00FA7C55"/>
    <w:rsid w:val="00FA7D92"/>
    <w:rsid w:val="00FB2130"/>
    <w:rsid w:val="00FB5108"/>
    <w:rsid w:val="00FB51BC"/>
    <w:rsid w:val="00FB5667"/>
    <w:rsid w:val="00FB5FB6"/>
    <w:rsid w:val="00FB6DE3"/>
    <w:rsid w:val="00FC0E5F"/>
    <w:rsid w:val="00FC1908"/>
    <w:rsid w:val="00FC1FBC"/>
    <w:rsid w:val="00FC208C"/>
    <w:rsid w:val="00FC4669"/>
    <w:rsid w:val="00FC56DE"/>
    <w:rsid w:val="00FC7ECC"/>
    <w:rsid w:val="00FD1391"/>
    <w:rsid w:val="00FD15DF"/>
    <w:rsid w:val="00FD3B1F"/>
    <w:rsid w:val="00FD4C7D"/>
    <w:rsid w:val="00FD5FAC"/>
    <w:rsid w:val="00FE1C5D"/>
    <w:rsid w:val="00FE26AC"/>
    <w:rsid w:val="00FE27EE"/>
    <w:rsid w:val="00FE2F78"/>
    <w:rsid w:val="00FE5705"/>
    <w:rsid w:val="00FF0F49"/>
    <w:rsid w:val="00FF3DCC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theme" Target="theme/theme1.xml"/><Relationship Id="rId11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14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4%20-%20provozovatel&#23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Kapitola%204%20zp&#367;sob%20poslechu%20r&#225;di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%20-%20webov&#233;%20r&#225;dio%20-%20mezin&#225;rodn&#237;%20srovn&#225;n&#23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Provozovatel&#233;%20anal&#253;za%20-%20podle%20z&#225;kladn&#237;ho%20souboru!!!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ult%206%20-%20Data%202018\cista4\DM_VZKS_VZKS_KULT601_U_203_D_T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ult%206%20-%20Data%202018\cista4\DM_VZKS_VZKS_KULT601_U_204_D_T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ult%206%20-%20Data%202018\cista4\DM_VZKS_VZKS_KULT601_U_225_D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ult%206%20-%20Data%202018\cista4\DM_VZKS_VZKS_KULT601_U_511_D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6%20-%20rozhlas%20televize%20online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dera1350\AppData\Local\Temp\0620041634%20-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6%20-%20Playtv&#225;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ult%206%20-%20Data%202018\cista4\205_vystup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ult%206%20-%20Data%202018\cista4\205_vystup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ult%206%20-%20Data%202018\cista4\205_vystup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List1!$B$3</c:f>
              <c:strCache>
                <c:ptCount val="1"/>
                <c:pt idx="0">
                  <c:v>provozovatelé televizního vysílání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List1!$C$2:$M$2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List1!$C$3:$M$3</c:f>
              <c:numCache>
                <c:formatCode>General</c:formatCode>
                <c:ptCount val="11"/>
                <c:pt idx="0">
                  <c:v>153</c:v>
                </c:pt>
                <c:pt idx="1">
                  <c:v>169</c:v>
                </c:pt>
                <c:pt idx="2">
                  <c:v>159</c:v>
                </c:pt>
                <c:pt idx="3">
                  <c:v>153</c:v>
                </c:pt>
                <c:pt idx="4">
                  <c:v>148</c:v>
                </c:pt>
                <c:pt idx="5">
                  <c:v>137</c:v>
                </c:pt>
                <c:pt idx="6">
                  <c:v>135</c:v>
                </c:pt>
                <c:pt idx="7">
                  <c:v>144</c:v>
                </c:pt>
                <c:pt idx="8">
                  <c:v>150</c:v>
                </c:pt>
                <c:pt idx="9">
                  <c:v>126</c:v>
                </c:pt>
                <c:pt idx="10">
                  <c:v>133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22-4183-83F3-D25D272EA13E}"/>
            </c:ext>
          </c:extLst>
        </c:ser>
        <c:ser>
          <c:idx val="1"/>
          <c:order val="1"/>
          <c:tx>
            <c:strRef>
              <c:f>List1!$B$4</c:f>
              <c:strCache>
                <c:ptCount val="1"/>
                <c:pt idx="0">
                  <c:v>provozovatelé rozhlasového vysílání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List1!$C$2:$M$2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List1!$C$4:$M$4</c:f>
              <c:numCache>
                <c:formatCode>General</c:formatCode>
                <c:ptCount val="11"/>
                <c:pt idx="0">
                  <c:v>79</c:v>
                </c:pt>
                <c:pt idx="1">
                  <c:v>76</c:v>
                </c:pt>
                <c:pt idx="2">
                  <c:v>78</c:v>
                </c:pt>
                <c:pt idx="3">
                  <c:v>57</c:v>
                </c:pt>
                <c:pt idx="4">
                  <c:v>59</c:v>
                </c:pt>
                <c:pt idx="5">
                  <c:v>63</c:v>
                </c:pt>
                <c:pt idx="6">
                  <c:v>60</c:v>
                </c:pt>
                <c:pt idx="7">
                  <c:v>56</c:v>
                </c:pt>
                <c:pt idx="8">
                  <c:v>56</c:v>
                </c:pt>
                <c:pt idx="9">
                  <c:v>53</c:v>
                </c:pt>
                <c:pt idx="10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22-4183-83F3-D25D272EA13E}"/>
            </c:ext>
          </c:extLst>
        </c:ser>
        <c:marker val="1"/>
        <c:axId val="119891840"/>
        <c:axId val="119893376"/>
      </c:lineChart>
      <c:catAx>
        <c:axId val="119891840"/>
        <c:scaling>
          <c:orientation val="minMax"/>
        </c:scaling>
        <c:axPos val="b"/>
        <c:numFmt formatCode="General" sourceLinked="1"/>
        <c:tickLblPos val="nextTo"/>
        <c:crossAx val="119893376"/>
        <c:crosses val="autoZero"/>
        <c:auto val="1"/>
        <c:lblAlgn val="ctr"/>
        <c:lblOffset val="100"/>
      </c:catAx>
      <c:valAx>
        <c:axId val="119893376"/>
        <c:scaling>
          <c:orientation val="minMax"/>
        </c:scaling>
        <c:delete val="1"/>
        <c:axPos val="l"/>
        <c:numFmt formatCode="General" sourceLinked="1"/>
        <c:tickLblPos val="none"/>
        <c:crossAx val="11989184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>
        <c:manualLayout>
          <c:layoutTarget val="inner"/>
          <c:xMode val="edge"/>
          <c:yMode val="edge"/>
          <c:x val="0.3406076871969953"/>
          <c:y val="0.17989476433929191"/>
          <c:w val="0.36890967576421529"/>
          <c:h val="0.69760644848303965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-1.2252712813733632E-16"/>
                  <c:y val="2.5276461295418627E-2"/>
                </c:manualLayout>
              </c:layout>
              <c:numFmt formatCode="#,##0.0&quot; tis.&quot;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D5-48E6-BA9F-1AB6B12A40B1}"/>
                </c:ext>
              </c:extLst>
            </c:dLbl>
            <c:dLbl>
              <c:idx val="1"/>
              <c:layout>
                <c:manualLayout>
                  <c:x val="1.6708437761069381E-2"/>
                  <c:y val="-8.846761453396521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D5-48E6-BA9F-1AB6B12A40B1}"/>
                </c:ext>
              </c:extLst>
            </c:dLbl>
            <c:numFmt formatCode="#,##0.0&quot; tis.&quot;" sourceLinked="0"/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List1!$B$3:$C$3</c:f>
              <c:strCache>
                <c:ptCount val="2"/>
                <c:pt idx="0">
                  <c:v>povolání kult. charakteru</c:v>
                </c:pt>
                <c:pt idx="1">
                  <c:v>povolání nekult. charakteru</c:v>
                </c:pt>
              </c:strCache>
            </c:strRef>
          </c:cat>
          <c:val>
            <c:numRef>
              <c:f>List1!$B$4:$C$4</c:f>
              <c:numCache>
                <c:formatCode>General</c:formatCode>
                <c:ptCount val="2"/>
                <c:pt idx="0">
                  <c:v>1.9000000000000001</c:v>
                </c:pt>
                <c:pt idx="1">
                  <c:v>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21-48CA-917E-F900B5C04FC7}"/>
            </c:ext>
          </c:extLst>
        </c:ser>
        <c:firstSliceAng val="0"/>
        <c:holeSize val="50"/>
      </c:doughnutChart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List1!$B$3:$F$3</c:f>
              <c:strCache>
                <c:ptCount val="5"/>
                <c:pt idx="0">
                  <c:v>rádio, autorádio</c:v>
                </c:pt>
                <c:pt idx="1">
                  <c:v>internet</c:v>
                </c:pt>
                <c:pt idx="2">
                  <c:v>mobilní telefon</c:v>
                </c:pt>
                <c:pt idx="3">
                  <c:v>televize</c:v>
                </c:pt>
                <c:pt idx="4">
                  <c:v>tablet</c:v>
                </c:pt>
              </c:strCache>
            </c:strRef>
          </c:cat>
          <c:val>
            <c:numRef>
              <c:f>List1!$B$4:$F$4</c:f>
              <c:numCache>
                <c:formatCode>General</c:formatCode>
                <c:ptCount val="5"/>
                <c:pt idx="0">
                  <c:v>0.94000000000000061</c:v>
                </c:pt>
                <c:pt idx="1">
                  <c:v>0.23</c:v>
                </c:pt>
                <c:pt idx="2">
                  <c:v>0.19</c:v>
                </c:pt>
                <c:pt idx="3">
                  <c:v>0.11</c:v>
                </c:pt>
                <c:pt idx="4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77-4067-B552-C928F3A51505}"/>
            </c:ext>
          </c:extLst>
        </c:ser>
        <c:axId val="120541184"/>
        <c:axId val="120542720"/>
      </c:barChart>
      <c:catAx>
        <c:axId val="120541184"/>
        <c:scaling>
          <c:orientation val="minMax"/>
        </c:scaling>
        <c:axPos val="b"/>
        <c:numFmt formatCode="General" sourceLinked="0"/>
        <c:tickLblPos val="nextTo"/>
        <c:crossAx val="120542720"/>
        <c:crosses val="autoZero"/>
        <c:auto val="1"/>
        <c:lblAlgn val="ctr"/>
        <c:lblOffset val="100"/>
      </c:catAx>
      <c:valAx>
        <c:axId val="120542720"/>
        <c:scaling>
          <c:orientation val="minMax"/>
        </c:scaling>
        <c:delete val="1"/>
        <c:axPos val="l"/>
        <c:numFmt formatCode="0%" sourceLinked="0"/>
        <c:tickLblPos val="none"/>
        <c:crossAx val="12054118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List1!$J$2:$J$3</c:f>
              <c:strCache>
                <c:ptCount val="1"/>
                <c:pt idx="0">
                  <c:v>poslech rádia celkem 16-74</c:v>
                </c:pt>
              </c:strCache>
            </c:strRef>
          </c:tx>
          <c:dPt>
            <c:idx val="4"/>
            <c:spPr>
              <a:solidFill>
                <a:schemeClr val="tx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753-4413-9669-E53AF83730D4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List1!$I$4:$I$14</c:f>
              <c:strCache>
                <c:ptCount val="11"/>
                <c:pt idx="0">
                  <c:v>Rumunsko</c:v>
                </c:pt>
                <c:pt idx="1">
                  <c:v>Slovensko</c:v>
                </c:pt>
                <c:pt idx="2">
                  <c:v>Polsko</c:v>
                </c:pt>
                <c:pt idx="3">
                  <c:v>Rakousko</c:v>
                </c:pt>
                <c:pt idx="4">
                  <c:v>ČR</c:v>
                </c:pt>
                <c:pt idx="5">
                  <c:v>Belgie</c:v>
                </c:pt>
                <c:pt idx="6">
                  <c:v>EU průměr</c:v>
                </c:pt>
                <c:pt idx="7">
                  <c:v>Spojené království</c:v>
                </c:pt>
                <c:pt idx="8">
                  <c:v>Německo</c:v>
                </c:pt>
                <c:pt idx="9">
                  <c:v>Nizozemsko</c:v>
                </c:pt>
                <c:pt idx="10">
                  <c:v>Švédsko</c:v>
                </c:pt>
              </c:strCache>
            </c:strRef>
          </c:cat>
          <c:val>
            <c:numRef>
              <c:f>List1!$J$4:$J$14</c:f>
              <c:numCache>
                <c:formatCode>0.00%</c:formatCode>
                <c:ptCount val="11"/>
                <c:pt idx="0">
                  <c:v>0.14009199999999999</c:v>
                </c:pt>
                <c:pt idx="1">
                  <c:v>0.18622500000000144</c:v>
                </c:pt>
                <c:pt idx="2">
                  <c:v>0.18956500000000473</c:v>
                </c:pt>
                <c:pt idx="3">
                  <c:v>0.20850600000000041</c:v>
                </c:pt>
                <c:pt idx="4">
                  <c:v>0.22276299999999999</c:v>
                </c:pt>
                <c:pt idx="5">
                  <c:v>0.23490900000000431</c:v>
                </c:pt>
                <c:pt idx="6">
                  <c:v>0.24289300000000041</c:v>
                </c:pt>
                <c:pt idx="7">
                  <c:v>0.24756900000000473</c:v>
                </c:pt>
                <c:pt idx="8">
                  <c:v>0.25587800000000038</c:v>
                </c:pt>
                <c:pt idx="9">
                  <c:v>0.37108200000000946</c:v>
                </c:pt>
                <c:pt idx="10">
                  <c:v>0.4570550000000001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06-4801-B28D-0643D183F17F}"/>
            </c:ext>
          </c:extLst>
        </c:ser>
        <c:axId val="120571776"/>
        <c:axId val="120573312"/>
      </c:barChart>
      <c:catAx>
        <c:axId val="120571776"/>
        <c:scaling>
          <c:orientation val="minMax"/>
        </c:scaling>
        <c:axPos val="l"/>
        <c:numFmt formatCode="General" sourceLinked="0"/>
        <c:tickLblPos val="nextTo"/>
        <c:crossAx val="120573312"/>
        <c:crosses val="autoZero"/>
        <c:auto val="1"/>
        <c:lblAlgn val="ctr"/>
        <c:lblOffset val="100"/>
      </c:catAx>
      <c:valAx>
        <c:axId val="120573312"/>
        <c:scaling>
          <c:orientation val="minMax"/>
        </c:scaling>
        <c:axPos val="b"/>
        <c:numFmt formatCode="0%" sourceLinked="0"/>
        <c:tickLblPos val="nextTo"/>
        <c:crossAx val="12057177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bar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výstupy!$N$37:$S$37</c:f>
              <c:strCache>
                <c:ptCount val="6"/>
                <c:pt idx="0">
                  <c:v>Vće než 55 let</c:v>
                </c:pt>
                <c:pt idx="1">
                  <c:v>45-54 let</c:v>
                </c:pt>
                <c:pt idx="2">
                  <c:v>35-44 let</c:v>
                </c:pt>
                <c:pt idx="3">
                  <c:v>25-34 let</c:v>
                </c:pt>
                <c:pt idx="4">
                  <c:v>15-24 let</c:v>
                </c:pt>
                <c:pt idx="5">
                  <c:v>Méně než 15 let</c:v>
                </c:pt>
              </c:strCache>
            </c:strRef>
          </c:cat>
          <c:val>
            <c:numRef>
              <c:f>výstupy!$N$38:$S$38</c:f>
              <c:numCache>
                <c:formatCode>General</c:formatCode>
                <c:ptCount val="6"/>
                <c:pt idx="0">
                  <c:v>0.2372881355932295</c:v>
                </c:pt>
                <c:pt idx="1">
                  <c:v>0.40677966101695839</c:v>
                </c:pt>
                <c:pt idx="2">
                  <c:v>0.59322033898305049</c:v>
                </c:pt>
                <c:pt idx="3">
                  <c:v>0.72881355932203351</c:v>
                </c:pt>
                <c:pt idx="4">
                  <c:v>0.54237288135591466</c:v>
                </c:pt>
                <c:pt idx="5">
                  <c:v>0.11864406779661275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6D-47B6-AB18-AFAF1C42CE8B}"/>
            </c:ext>
          </c:extLst>
        </c:ser>
        <c:axId val="120597504"/>
        <c:axId val="120607488"/>
      </c:barChart>
      <c:catAx>
        <c:axId val="120597504"/>
        <c:scaling>
          <c:orientation val="minMax"/>
        </c:scaling>
        <c:axPos val="l"/>
        <c:numFmt formatCode="General" sourceLinked="0"/>
        <c:tickLblPos val="nextTo"/>
        <c:crossAx val="120607488"/>
        <c:crosses val="autoZero"/>
        <c:auto val="1"/>
        <c:lblAlgn val="ctr"/>
        <c:lblOffset val="100"/>
      </c:catAx>
      <c:valAx>
        <c:axId val="120607488"/>
        <c:scaling>
          <c:orientation val="minMax"/>
        </c:scaling>
        <c:axPos val="b"/>
        <c:numFmt formatCode="0%" sourceLinked="0"/>
        <c:tickLblPos val="nextTo"/>
        <c:crossAx val="12059750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List1!$A$1:$C$1</c:f>
              <c:strCache>
                <c:ptCount val="3"/>
                <c:pt idx="0">
                  <c:v>veřejnoprávní vysílání</c:v>
                </c:pt>
                <c:pt idx="1">
                  <c:v>velké soukromé společnosti</c:v>
                </c:pt>
                <c:pt idx="2">
                  <c:v>ostatní</c:v>
                </c:pt>
              </c:strCache>
            </c:strRef>
          </c:cat>
          <c:val>
            <c:numRef>
              <c:f>List1!$A$2:$C$2</c:f>
              <c:numCache>
                <c:formatCode>General</c:formatCode>
                <c:ptCount val="3"/>
                <c:pt idx="0">
                  <c:v>0.28420000000000001</c:v>
                </c:pt>
                <c:pt idx="1">
                  <c:v>0.66270000000000628</c:v>
                </c:pt>
                <c:pt idx="2">
                  <c:v>5.3100000000000001E-2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29-4315-82CD-46ED10F0CE9A}"/>
            </c:ext>
          </c:extLst>
        </c:ser>
        <c:axId val="120623488"/>
        <c:axId val="120625024"/>
      </c:barChart>
      <c:catAx>
        <c:axId val="120623488"/>
        <c:scaling>
          <c:orientation val="minMax"/>
        </c:scaling>
        <c:axPos val="b"/>
        <c:numFmt formatCode="General" sourceLinked="0"/>
        <c:tickLblPos val="nextTo"/>
        <c:crossAx val="120625024"/>
        <c:crosses val="autoZero"/>
        <c:auto val="1"/>
        <c:lblAlgn val="ctr"/>
        <c:lblOffset val="100"/>
      </c:catAx>
      <c:valAx>
        <c:axId val="120625024"/>
        <c:scaling>
          <c:orientation val="minMax"/>
        </c:scaling>
        <c:delete val="1"/>
        <c:axPos val="l"/>
        <c:numFmt formatCode="General" sourceLinked="1"/>
        <c:tickLblPos val="none"/>
        <c:crossAx val="1206234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Sheet0!$L$136</c:f>
              <c:strCache>
                <c:ptCount val="1"/>
                <c:pt idx="0">
                  <c:v>veřejnoprávní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Sheet0!$K$137:$K$143</c:f>
              <c:strCache>
                <c:ptCount val="7"/>
                <c:pt idx="0">
                  <c:v>kulturně orientované</c:v>
                </c:pt>
                <c:pt idx="1">
                  <c:v>zpravodajské</c:v>
                </c:pt>
                <c:pt idx="2">
                  <c:v>z toho zpravodajská smyčka</c:v>
                </c:pt>
                <c:pt idx="3">
                  <c:v>publicistické, dokumentární </c:v>
                </c:pt>
                <c:pt idx="4">
                  <c:v>sportovní</c:v>
                </c:pt>
                <c:pt idx="5">
                  <c:v>obchodní sdělení</c:v>
                </c:pt>
                <c:pt idx="6">
                  <c:v>ostatní</c:v>
                </c:pt>
              </c:strCache>
            </c:strRef>
          </c:cat>
          <c:val>
            <c:numRef>
              <c:f>Sheet0!$L$137:$L$143</c:f>
              <c:numCache>
                <c:formatCode>General</c:formatCode>
                <c:ptCount val="7"/>
                <c:pt idx="0">
                  <c:v>0.27945230240860408</c:v>
                </c:pt>
                <c:pt idx="1">
                  <c:v>0.22963080121108037</c:v>
                </c:pt>
                <c:pt idx="3">
                  <c:v>0.18062271227800558</c:v>
                </c:pt>
                <c:pt idx="4">
                  <c:v>0.18561615979032181</c:v>
                </c:pt>
                <c:pt idx="5">
                  <c:v>7.6144425866510011E-3</c:v>
                </c:pt>
                <c:pt idx="6">
                  <c:v>0.11706358172533779</c:v>
                </c:pt>
              </c:numCache>
            </c:numRef>
          </c:val>
        </c:ser>
        <c:ser>
          <c:idx val="1"/>
          <c:order val="1"/>
          <c:tx>
            <c:strRef>
              <c:f>Sheet0!$M$136</c:f>
              <c:strCache>
                <c:ptCount val="1"/>
                <c:pt idx="0">
                  <c:v>soukromé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Sheet0!$K$137:$K$143</c:f>
              <c:strCache>
                <c:ptCount val="7"/>
                <c:pt idx="0">
                  <c:v>kulturně orientované</c:v>
                </c:pt>
                <c:pt idx="1">
                  <c:v>zpravodajské</c:v>
                </c:pt>
                <c:pt idx="2">
                  <c:v>z toho zpravodajská smyčka</c:v>
                </c:pt>
                <c:pt idx="3">
                  <c:v>publicistické, dokumentární </c:v>
                </c:pt>
                <c:pt idx="4">
                  <c:v>sportovní</c:v>
                </c:pt>
                <c:pt idx="5">
                  <c:v>obchodní sdělení</c:v>
                </c:pt>
                <c:pt idx="6">
                  <c:v>ostatní</c:v>
                </c:pt>
              </c:strCache>
            </c:strRef>
          </c:cat>
          <c:val>
            <c:numRef>
              <c:f>Sheet0!$M$137:$M$143</c:f>
              <c:numCache>
                <c:formatCode>General</c:formatCode>
                <c:ptCount val="7"/>
                <c:pt idx="0">
                  <c:v>0.32115572486428373</c:v>
                </c:pt>
                <c:pt idx="1">
                  <c:v>0.37523786233594791</c:v>
                </c:pt>
                <c:pt idx="2">
                  <c:v>0.20239240894420521</c:v>
                </c:pt>
                <c:pt idx="3">
                  <c:v>0.10584677529673762</c:v>
                </c:pt>
                <c:pt idx="4">
                  <c:v>4.1317061581905935E-2</c:v>
                </c:pt>
                <c:pt idx="5">
                  <c:v>9.3719933738338354E-2</c:v>
                </c:pt>
                <c:pt idx="6">
                  <c:v>6.2722642182790403E-2</c:v>
                </c:pt>
              </c:numCache>
            </c:numRef>
          </c:val>
        </c:ser>
        <c:axId val="120666368"/>
        <c:axId val="120672256"/>
      </c:barChart>
      <c:catAx>
        <c:axId val="120666368"/>
        <c:scaling>
          <c:orientation val="minMax"/>
        </c:scaling>
        <c:axPos val="b"/>
        <c:tickLblPos val="nextTo"/>
        <c:crossAx val="120672256"/>
        <c:crosses val="autoZero"/>
        <c:auto val="1"/>
        <c:lblAlgn val="ctr"/>
        <c:lblOffset val="100"/>
      </c:catAx>
      <c:valAx>
        <c:axId val="120672256"/>
        <c:scaling>
          <c:orientation val="minMax"/>
        </c:scaling>
        <c:delete val="1"/>
        <c:axPos val="l"/>
        <c:numFmt formatCode="General" sourceLinked="1"/>
        <c:tickLblPos val="none"/>
        <c:crossAx val="120666368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Sheet0!$M$139</c:f>
              <c:strCache>
                <c:ptCount val="1"/>
                <c:pt idx="0">
                  <c:v>veřejnoprávní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Sheet0!$L$140:$L$146</c:f>
              <c:strCache>
                <c:ptCount val="7"/>
                <c:pt idx="0">
                  <c:v>filmy a seriály</c:v>
                </c:pt>
                <c:pt idx="1">
                  <c:v>zpravodajství a publicistika</c:v>
                </c:pt>
                <c:pt idx="2">
                  <c:v>dokumenty a vzdělávací pořady</c:v>
                </c:pt>
                <c:pt idx="3">
                  <c:v>zábava a lifestyle</c:v>
                </c:pt>
                <c:pt idx="4">
                  <c:v>hudební pořady</c:v>
                </c:pt>
                <c:pt idx="5">
                  <c:v>sport</c:v>
                </c:pt>
                <c:pt idx="6">
                  <c:v>ostatní videa</c:v>
                </c:pt>
              </c:strCache>
            </c:strRef>
          </c:cat>
          <c:val>
            <c:numRef>
              <c:f>Sheet0!$M$140:$M$146</c:f>
              <c:numCache>
                <c:formatCode>General</c:formatCode>
                <c:ptCount val="7"/>
                <c:pt idx="0">
                  <c:v>0.32127860701356553</c:v>
                </c:pt>
                <c:pt idx="1">
                  <c:v>0.11724159103305129</c:v>
                </c:pt>
                <c:pt idx="2">
                  <c:v>9.0934802711257035E-2</c:v>
                </c:pt>
                <c:pt idx="3">
                  <c:v>7.9137247398270383E-2</c:v>
                </c:pt>
                <c:pt idx="4">
                  <c:v>5.7326398284967724E-3</c:v>
                </c:pt>
                <c:pt idx="5">
                  <c:v>5.1542059737004466E-2</c:v>
                </c:pt>
                <c:pt idx="6">
                  <c:v>0.33413305227835877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68-4348-8754-29403411DDC4}"/>
            </c:ext>
          </c:extLst>
        </c:ser>
        <c:ser>
          <c:idx val="1"/>
          <c:order val="1"/>
          <c:tx>
            <c:strRef>
              <c:f>Sheet0!$N$139</c:f>
              <c:strCache>
                <c:ptCount val="1"/>
                <c:pt idx="0">
                  <c:v>soukromé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Sheet0!$L$140:$L$146</c:f>
              <c:strCache>
                <c:ptCount val="7"/>
                <c:pt idx="0">
                  <c:v>filmy a seriály</c:v>
                </c:pt>
                <c:pt idx="1">
                  <c:v>zpravodajství a publicistika</c:v>
                </c:pt>
                <c:pt idx="2">
                  <c:v>dokumenty a vzdělávací pořady</c:v>
                </c:pt>
                <c:pt idx="3">
                  <c:v>zábava a lifestyle</c:v>
                </c:pt>
                <c:pt idx="4">
                  <c:v>hudební pořady</c:v>
                </c:pt>
                <c:pt idx="5">
                  <c:v>sport</c:v>
                </c:pt>
                <c:pt idx="6">
                  <c:v>ostatní videa</c:v>
                </c:pt>
              </c:strCache>
            </c:strRef>
          </c:cat>
          <c:val>
            <c:numRef>
              <c:f>Sheet0!$N$140:$N$146</c:f>
              <c:numCache>
                <c:formatCode>General</c:formatCode>
                <c:ptCount val="7"/>
                <c:pt idx="0">
                  <c:v>6.6080291444560804E-2</c:v>
                </c:pt>
                <c:pt idx="1">
                  <c:v>0.33534014205058132</c:v>
                </c:pt>
                <c:pt idx="2">
                  <c:v>5.0511120774695039E-3</c:v>
                </c:pt>
                <c:pt idx="3">
                  <c:v>0.44249196257606566</c:v>
                </c:pt>
                <c:pt idx="4">
                  <c:v>2.9356159607089546E-3</c:v>
                </c:pt>
                <c:pt idx="5">
                  <c:v>5.4274344162761466E-2</c:v>
                </c:pt>
                <c:pt idx="6">
                  <c:v>9.3826531727853657E-2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68-4348-8754-29403411DDC4}"/>
            </c:ext>
          </c:extLst>
        </c:ser>
        <c:axId val="120698368"/>
        <c:axId val="120699904"/>
      </c:barChart>
      <c:catAx>
        <c:axId val="120698368"/>
        <c:scaling>
          <c:orientation val="minMax"/>
        </c:scaling>
        <c:axPos val="b"/>
        <c:numFmt formatCode="General" sourceLinked="0"/>
        <c:tickLblPos val="nextTo"/>
        <c:crossAx val="120699904"/>
        <c:crosses val="autoZero"/>
        <c:auto val="1"/>
        <c:lblAlgn val="ctr"/>
        <c:lblOffset val="100"/>
      </c:catAx>
      <c:valAx>
        <c:axId val="120699904"/>
        <c:scaling>
          <c:orientation val="minMax"/>
        </c:scaling>
        <c:delete val="1"/>
        <c:axPos val="l"/>
        <c:numFmt formatCode="General" sourceLinked="1"/>
        <c:tickLblPos val="none"/>
        <c:crossAx val="120698368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27698056193160808"/>
          <c:y val="0.35624356955380582"/>
          <c:w val="0.47200247027945247"/>
          <c:h val="0.59437348109263743"/>
        </c:manualLayout>
      </c:layout>
      <c:doughnutChart>
        <c:varyColors val="1"/>
        <c:ser>
          <c:idx val="0"/>
          <c:order val="0"/>
          <c:dPt>
            <c:idx val="0"/>
            <c:explosion val="9"/>
            <c:extLst xmlns:c16r2="http://schemas.microsoft.com/office/drawing/2015/06/chart">
              <c:ext xmlns:c16="http://schemas.microsoft.com/office/drawing/2014/chart" uri="{C3380CC4-5D6E-409C-BE32-E72D297353CC}">
                <c16:uniqueId val="{00000000-9E2B-4EA4-8B42-6ACEBFE3D258}"/>
              </c:ext>
            </c:extLst>
          </c:dPt>
          <c:dLbls>
            <c:dLbl>
              <c:idx val="0"/>
              <c:layout>
                <c:manualLayout>
                  <c:x val="7.3529411764705788E-2"/>
                  <c:y val="-4.3209876543209756E-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2B-4EA4-8B42-6ACEBFE3D258}"/>
                </c:ext>
              </c:extLst>
            </c:dLbl>
            <c:dLbl>
              <c:idx val="1"/>
              <c:layout>
                <c:manualLayout>
                  <c:x val="-7.8720787207872081E-2"/>
                  <c:y val="-4.800000000000000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2B-4EA4-8B42-6ACEBFE3D258}"/>
                </c:ext>
              </c:extLst>
            </c:dLbl>
            <c:dLbl>
              <c:idx val="2"/>
              <c:layout>
                <c:manualLayout>
                  <c:x val="5.4120541205412064E-2"/>
                  <c:y val="-7.46666666666667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2B-4EA4-8B42-6ACEBFE3D258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List2!$L$46:$L$48</c:f>
              <c:strCache>
                <c:ptCount val="3"/>
                <c:pt idx="0">
                  <c:v>zaměstnanci v rámci NACE 6020</c:v>
                </c:pt>
                <c:pt idx="1">
                  <c:v>zaměstnanci TV mimo NACE 6020</c:v>
                </c:pt>
                <c:pt idx="2">
                  <c:v>zaměstnanci AVMS mimo NACE 6020</c:v>
                </c:pt>
              </c:strCache>
            </c:strRef>
          </c:cat>
          <c:val>
            <c:numRef>
              <c:f>List2!$M$46:$M$48</c:f>
              <c:numCache>
                <c:formatCode>General</c:formatCode>
                <c:ptCount val="3"/>
                <c:pt idx="0">
                  <c:v>0.94454488806590908</c:v>
                </c:pt>
                <c:pt idx="1">
                  <c:v>2.7484267147417196E-2</c:v>
                </c:pt>
                <c:pt idx="2">
                  <c:v>2.7970844786674252E-2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E2B-4EA4-8B42-6ACEBFE3D258}"/>
            </c:ext>
          </c:extLst>
        </c:ser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0.10366527713447612"/>
          <c:y val="0"/>
          <c:w val="0.80247298131851152"/>
          <c:h val="0.28239963060173029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27565401591682082"/>
          <c:y val="0.3615769028871425"/>
          <c:w val="0.46155370450076377"/>
          <c:h val="0.57417280839895013"/>
        </c:manualLayout>
      </c:layout>
      <c:doughnutChart>
        <c:varyColors val="1"/>
        <c:ser>
          <c:idx val="0"/>
          <c:order val="0"/>
          <c:dPt>
            <c:idx val="0"/>
            <c:explosion val="14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ED-4F09-889B-6B6F16910B8E}"/>
              </c:ext>
            </c:extLst>
          </c:dPt>
          <c:dLbls>
            <c:dLbl>
              <c:idx val="0"/>
              <c:layout>
                <c:manualLayout>
                  <c:x val="3.3126293995859209E-2"/>
                  <c:y val="-4.3209876543209839E-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ED-4F09-889B-6B6F16910B8E}"/>
                </c:ext>
              </c:extLst>
            </c:dLbl>
            <c:dLbl>
              <c:idx val="1"/>
              <c:layout>
                <c:manualLayout>
                  <c:x val="-8.6956521739130543E-2"/>
                  <c:y val="-6.1728395061728336E-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64-414C-B876-60252380E008}"/>
                </c:ext>
              </c:extLst>
            </c:dLbl>
            <c:dLbl>
              <c:idx val="2"/>
              <c:layout>
                <c:manualLayout>
                  <c:x val="-7.4534161490683232E-2"/>
                  <c:y val="-8.0246913580247006E-2"/>
                </c:manualLayout>
              </c:layout>
              <c:showVal val="1"/>
            </c:dLbl>
            <c:numFmt formatCode="0%" sourceLinked="0"/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List2!$M$45:$M$47</c:f>
              <c:strCache>
                <c:ptCount val="3"/>
                <c:pt idx="0">
                  <c:v>příjmy v rámci NACE 6020</c:v>
                </c:pt>
                <c:pt idx="1">
                  <c:v>příjmy provozovatelů TV mimo NACE 6020</c:v>
                </c:pt>
                <c:pt idx="2">
                  <c:v>příjmy poskytovatelů AVMS mimo NACE 6020</c:v>
                </c:pt>
              </c:strCache>
            </c:strRef>
          </c:cat>
          <c:val>
            <c:numRef>
              <c:f>List2!$N$45:$N$47</c:f>
              <c:numCache>
                <c:formatCode>General</c:formatCode>
                <c:ptCount val="3"/>
                <c:pt idx="0">
                  <c:v>0.84024749637783902</c:v>
                </c:pt>
                <c:pt idx="1">
                  <c:v>1.9211739887999381E-2</c:v>
                </c:pt>
                <c:pt idx="2">
                  <c:v>0.14054076373416641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ED-4F09-889B-6B6F16910B8E}"/>
            </c:ext>
          </c:extLst>
        </c:ser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7.1877863093200309E-2"/>
          <c:y val="0"/>
          <c:w val="0.84761375701823682"/>
          <c:h val="0.2947453096140760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35033175355450236"/>
          <c:y val="0.1868026496687914"/>
          <c:w val="0.34357054894204714"/>
          <c:h val="0.69041319835020409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-3.367003367003369E-2"/>
                  <c:y val="5.9925093632958712E-2"/>
                </c:manualLayout>
              </c:layout>
              <c:numFmt formatCode="#,##0.0&quot; tis.&quot;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6F-46B3-A321-94531CC6D9E6}"/>
                </c:ext>
              </c:extLst>
            </c:dLbl>
            <c:dLbl>
              <c:idx val="1"/>
              <c:layout>
                <c:manualLayout>
                  <c:x val="3.7037037037037056E-2"/>
                  <c:y val="-7.490636704119879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6F-46B3-A321-94531CC6D9E6}"/>
                </c:ext>
              </c:extLst>
            </c:dLbl>
            <c:numFmt formatCode="#,##0.0&quot; tis.&quot;" sourceLinked="0"/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List1!$B$3:$C$3</c:f>
              <c:strCache>
                <c:ptCount val="2"/>
                <c:pt idx="0">
                  <c:v>povolání kult. charakteru</c:v>
                </c:pt>
                <c:pt idx="1">
                  <c:v>povolání nekult. charakteru</c:v>
                </c:pt>
              </c:strCache>
            </c:strRef>
          </c:cat>
          <c:val>
            <c:numRef>
              <c:f>List1!$B$4:$C$4</c:f>
              <c:numCache>
                <c:formatCode>General</c:formatCode>
                <c:ptCount val="2"/>
                <c:pt idx="0">
                  <c:v>4.4000000000000004</c:v>
                </c:pt>
                <c:pt idx="1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04-4BE4-99A4-AD6B94DB699E}"/>
            </c:ext>
          </c:extLst>
        </c:ser>
        <c:firstSliceAng val="0"/>
        <c:holeSize val="50"/>
      </c:doughnutChart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List1!$H$3</c:f>
              <c:strCache>
                <c:ptCount val="1"/>
                <c:pt idx="0">
                  <c:v>rádio</c:v>
                </c:pt>
              </c:strCache>
            </c:strRef>
          </c:tx>
          <c:dLbls>
            <c:dLbl>
              <c:idx val="0"/>
              <c:layout>
                <c:manualLayout>
                  <c:x val="-3.4110449031708769E-2"/>
                  <c:y val="-8.152554007672124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F3-4F76-ADFF-3A22A1CB174A}"/>
                </c:ext>
              </c:extLst>
            </c:dLbl>
            <c:dLbl>
              <c:idx val="4"/>
              <c:layout>
                <c:manualLayout>
                  <c:x val="-4.0121701205259777E-2"/>
                  <c:y val="6.982716783043647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84-46CB-A592-EC1DF4BD5062}"/>
                </c:ext>
              </c:extLst>
            </c:dLbl>
            <c:dLbl>
              <c:idx val="5"/>
              <c:layout>
                <c:manualLayout>
                  <c:x val="-1.4615809839690441E-2"/>
                  <c:y val="3.209131877383265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84-46CB-A592-EC1DF4BD5062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List1!$C$4:$C$9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List1!$H$4:$H$9</c:f>
              <c:numCache>
                <c:formatCode>#,##0.0__</c:formatCode>
                <c:ptCount val="6"/>
                <c:pt idx="0">
                  <c:v>0.37827333918642081</c:v>
                </c:pt>
                <c:pt idx="1">
                  <c:v>0.31568603548501373</c:v>
                </c:pt>
                <c:pt idx="2">
                  <c:v>0.21713740186090594</c:v>
                </c:pt>
                <c:pt idx="3">
                  <c:v>0.19154213412987994</c:v>
                </c:pt>
                <c:pt idx="4">
                  <c:v>0.10201252808666372</c:v>
                </c:pt>
                <c:pt idx="5">
                  <c:v>4.2360242031697422E-2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F3-4F76-ADFF-3A22A1CB174A}"/>
            </c:ext>
          </c:extLst>
        </c:ser>
        <c:ser>
          <c:idx val="1"/>
          <c:order val="1"/>
          <c:tx>
            <c:strRef>
              <c:f>List1!$I$3</c:f>
              <c:strCache>
                <c:ptCount val="1"/>
                <c:pt idx="0">
                  <c:v>televize</c:v>
                </c:pt>
              </c:strCache>
            </c:strRef>
          </c:tx>
          <c:dLbls>
            <c:dLbl>
              <c:idx val="0"/>
              <c:layout>
                <c:manualLayout>
                  <c:x val="-3.4110449031708769E-2"/>
                  <c:y val="8.152554007672124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F3-4F76-ADFF-3A22A1CB174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List1!$C$4:$C$9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List1!$I$4:$I$9</c:f>
              <c:numCache>
                <c:formatCode>#,##0.0__</c:formatCode>
                <c:ptCount val="6"/>
                <c:pt idx="0">
                  <c:v>0.37484170041950732</c:v>
                </c:pt>
                <c:pt idx="1">
                  <c:v>0.33165835200264887</c:v>
                </c:pt>
                <c:pt idx="2">
                  <c:v>0.31406580930212902</c:v>
                </c:pt>
                <c:pt idx="3">
                  <c:v>0.26883527404998031</c:v>
                </c:pt>
                <c:pt idx="4">
                  <c:v>0.1738231559183217</c:v>
                </c:pt>
                <c:pt idx="5">
                  <c:v>5.5720604568012012E-2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BF3-4F76-ADFF-3A22A1CB174A}"/>
            </c:ext>
          </c:extLst>
        </c:ser>
        <c:marker val="1"/>
        <c:axId val="119913088"/>
        <c:axId val="119927168"/>
      </c:lineChart>
      <c:catAx>
        <c:axId val="119913088"/>
        <c:scaling>
          <c:orientation val="minMax"/>
        </c:scaling>
        <c:axPos val="b"/>
        <c:numFmt formatCode="General" sourceLinked="0"/>
        <c:tickLblPos val="nextTo"/>
        <c:crossAx val="119927168"/>
        <c:crosses val="autoZero"/>
        <c:auto val="1"/>
        <c:lblAlgn val="ctr"/>
        <c:lblOffset val="100"/>
      </c:catAx>
      <c:valAx>
        <c:axId val="119927168"/>
        <c:scaling>
          <c:orientation val="minMax"/>
        </c:scaling>
        <c:delete val="1"/>
        <c:axPos val="l"/>
        <c:numFmt formatCode="#,##0.0__" sourceLinked="1"/>
        <c:tickLblPos val="none"/>
        <c:crossAx val="11991308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 '!$E$40:$E$43</c:f>
              <c:strCache>
                <c:ptCount val="4"/>
                <c:pt idx="0">
                  <c:v>sledování televize na internetu</c:v>
                </c:pt>
                <c:pt idx="1">
                  <c:v>sledování videa ze stránek určených ke sdílení</c:v>
                </c:pt>
                <c:pt idx="2">
                  <c:v>sledování videa z placených katalogů pořadů </c:v>
                </c:pt>
                <c:pt idx="3">
                  <c:v>sledování videa z neplacených katalogů pořadů</c:v>
                </c:pt>
              </c:strCache>
            </c:strRef>
          </c:cat>
          <c:val>
            <c:numRef>
              <c:f>'34 '!$F$40:$F$43</c:f>
              <c:numCache>
                <c:formatCode>#,##0.0__</c:formatCode>
                <c:ptCount val="4"/>
                <c:pt idx="0">
                  <c:v>0.23800000000000004</c:v>
                </c:pt>
                <c:pt idx="1">
                  <c:v>0.39400000000000462</c:v>
                </c:pt>
                <c:pt idx="2">
                  <c:v>2.9161023562273212E-2</c:v>
                </c:pt>
                <c:pt idx="3">
                  <c:v>0.21100000000000024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F9-4525-991A-8CAD642CE708}"/>
            </c:ext>
          </c:extLst>
        </c:ser>
        <c:axId val="120839168"/>
        <c:axId val="121512704"/>
      </c:barChart>
      <c:catAx>
        <c:axId val="120839168"/>
        <c:scaling>
          <c:orientation val="minMax"/>
        </c:scaling>
        <c:axPos val="b"/>
        <c:numFmt formatCode="General" sourceLinked="0"/>
        <c:tickLblPos val="nextTo"/>
        <c:crossAx val="121512704"/>
        <c:crosses val="autoZero"/>
        <c:auto val="1"/>
        <c:lblAlgn val="ctr"/>
        <c:lblOffset val="100"/>
      </c:catAx>
      <c:valAx>
        <c:axId val="121512704"/>
        <c:scaling>
          <c:orientation val="minMax"/>
        </c:scaling>
        <c:delete val="1"/>
        <c:axPos val="l"/>
        <c:numFmt formatCode="#,##0.0__" sourceLinked="1"/>
        <c:tickLblPos val="none"/>
        <c:crossAx val="12083916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'34 '!$U$47</c:f>
              <c:strCache>
                <c:ptCount val="1"/>
                <c:pt idx="0">
                  <c:v>sledování videa ze stránek určených ke sdílení 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 '!$T$48:$T$53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'34 '!$U$48:$U$53</c:f>
              <c:numCache>
                <c:formatCode>General</c:formatCode>
                <c:ptCount val="6"/>
                <c:pt idx="0">
                  <c:v>0.78589276706602507</c:v>
                </c:pt>
                <c:pt idx="1">
                  <c:v>0.63116485856093862</c:v>
                </c:pt>
                <c:pt idx="2">
                  <c:v>0.49505392915685537</c:v>
                </c:pt>
                <c:pt idx="3">
                  <c:v>0.37464069517813292</c:v>
                </c:pt>
                <c:pt idx="4">
                  <c:v>0.21793705938701624</c:v>
                </c:pt>
                <c:pt idx="5">
                  <c:v>7.3834938845179193E-2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BB-4DBC-B080-E02C9943E670}"/>
            </c:ext>
          </c:extLst>
        </c:ser>
        <c:ser>
          <c:idx val="1"/>
          <c:order val="1"/>
          <c:tx>
            <c:strRef>
              <c:f>'34 '!$V$47</c:f>
              <c:strCache>
                <c:ptCount val="1"/>
                <c:pt idx="0">
                  <c:v>sledování videa z neplacených katalogů pořadů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 '!$T$48:$T$53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'34 '!$V$48:$V$53</c:f>
              <c:numCache>
                <c:formatCode>General</c:formatCode>
                <c:ptCount val="6"/>
                <c:pt idx="0">
                  <c:v>0.45868518370713285</c:v>
                </c:pt>
                <c:pt idx="1">
                  <c:v>0.37619537322435026</c:v>
                </c:pt>
                <c:pt idx="2">
                  <c:v>0.25978157038604238</c:v>
                </c:pt>
                <c:pt idx="3">
                  <c:v>0.1772746106658851</c:v>
                </c:pt>
                <c:pt idx="4">
                  <c:v>8.3732469286764741E-2</c:v>
                </c:pt>
                <c:pt idx="5">
                  <c:v>3.7674125259072017E-2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BB-4DBC-B080-E02C9943E670}"/>
            </c:ext>
          </c:extLst>
        </c:ser>
        <c:ser>
          <c:idx val="2"/>
          <c:order val="2"/>
          <c:tx>
            <c:strRef>
              <c:f>'34 '!$W$47</c:f>
              <c:strCache>
                <c:ptCount val="1"/>
                <c:pt idx="0">
                  <c:v>sledování televize na internetu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 '!$T$48:$T$53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'34 '!$W$48:$W$53</c:f>
              <c:numCache>
                <c:formatCode>General</c:formatCode>
                <c:ptCount val="6"/>
                <c:pt idx="0">
                  <c:v>0.37484170041950732</c:v>
                </c:pt>
                <c:pt idx="1">
                  <c:v>0.33165835200264376</c:v>
                </c:pt>
                <c:pt idx="2">
                  <c:v>0.31406580930212541</c:v>
                </c:pt>
                <c:pt idx="3">
                  <c:v>0.26883527404998031</c:v>
                </c:pt>
                <c:pt idx="4">
                  <c:v>0.1738231559183217</c:v>
                </c:pt>
                <c:pt idx="5">
                  <c:v>5.5720604568011999E-2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BB-4DBC-B080-E02C9943E670}"/>
            </c:ext>
          </c:extLst>
        </c:ser>
        <c:ser>
          <c:idx val="3"/>
          <c:order val="3"/>
          <c:tx>
            <c:strRef>
              <c:f>'34 '!$X$47</c:f>
              <c:strCache>
                <c:ptCount val="1"/>
                <c:pt idx="0">
                  <c:v>sledování videa z placených katalogů pořadů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 '!$T$48:$T$53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'34 '!$X$48:$X$53</c:f>
              <c:numCache>
                <c:formatCode>General</c:formatCode>
                <c:ptCount val="6"/>
                <c:pt idx="0">
                  <c:v>7.9615824620214437E-2</c:v>
                </c:pt>
                <c:pt idx="1">
                  <c:v>4.8551980847110134E-2</c:v>
                </c:pt>
                <c:pt idx="2">
                  <c:v>3.4836229085495642E-2</c:v>
                </c:pt>
                <c:pt idx="3">
                  <c:v>2.3266222146186427E-2</c:v>
                </c:pt>
                <c:pt idx="4">
                  <c:v>1.1343554156679116E-2</c:v>
                </c:pt>
                <c:pt idx="5">
                  <c:v>1.8545200731583447E-3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8BB-4DBC-B080-E02C9943E670}"/>
            </c:ext>
          </c:extLst>
        </c:ser>
        <c:gapWidth val="40"/>
        <c:axId val="121549952"/>
        <c:axId val="121551488"/>
      </c:barChart>
      <c:catAx>
        <c:axId val="121549952"/>
        <c:scaling>
          <c:orientation val="minMax"/>
        </c:scaling>
        <c:axPos val="b"/>
        <c:numFmt formatCode="General" sourceLinked="0"/>
        <c:tickLblPos val="nextTo"/>
        <c:crossAx val="121551488"/>
        <c:crosses val="autoZero"/>
        <c:auto val="1"/>
        <c:lblAlgn val="ctr"/>
        <c:lblOffset val="100"/>
      </c:catAx>
      <c:valAx>
        <c:axId val="121551488"/>
        <c:scaling>
          <c:orientation val="minMax"/>
        </c:scaling>
        <c:delete val="1"/>
        <c:axPos val="l"/>
        <c:numFmt formatCode="General" sourceLinked="1"/>
        <c:tickLblPos val="none"/>
        <c:crossAx val="121549952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List1!$A$2</c:f>
              <c:strCache>
                <c:ptCount val="1"/>
                <c:pt idx="0">
                  <c:v>výdaje</c:v>
                </c:pt>
              </c:strCache>
            </c:strRef>
          </c:tx>
          <c:dLbls>
            <c:dLbl>
              <c:idx val="6"/>
              <c:layout>
                <c:manualLayout>
                  <c:x val="-1.0945848026665414E-2"/>
                  <c:y val="-5.639776160055467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74-4041-82DE-48E171C16087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List1!$B$2:$H$2</c:f>
              <c:numCache>
                <c:formatCode>General</c:formatCode>
                <c:ptCount val="7"/>
                <c:pt idx="0">
                  <c:v>15.2</c:v>
                </c:pt>
                <c:pt idx="1">
                  <c:v>15.7</c:v>
                </c:pt>
                <c:pt idx="2">
                  <c:v>16.7</c:v>
                </c:pt>
                <c:pt idx="3">
                  <c:v>16.7</c:v>
                </c:pt>
                <c:pt idx="4">
                  <c:v>17</c:v>
                </c:pt>
                <c:pt idx="5">
                  <c:v>16.899999999999999</c:v>
                </c:pt>
                <c:pt idx="6">
                  <c:v>17.8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74-4041-82DE-48E171C16087}"/>
            </c:ext>
          </c:extLst>
        </c:ser>
        <c:marker val="1"/>
        <c:axId val="49128192"/>
        <c:axId val="49129728"/>
      </c:lineChart>
      <c:catAx>
        <c:axId val="49128192"/>
        <c:scaling>
          <c:orientation val="minMax"/>
        </c:scaling>
        <c:axPos val="b"/>
        <c:numFmt formatCode="General" sourceLinked="1"/>
        <c:tickLblPos val="nextTo"/>
        <c:crossAx val="49129728"/>
        <c:crosses val="autoZero"/>
        <c:auto val="1"/>
        <c:lblAlgn val="ctr"/>
        <c:lblOffset val="100"/>
      </c:catAx>
      <c:valAx>
        <c:axId val="49129728"/>
        <c:scaling>
          <c:orientation val="minMax"/>
        </c:scaling>
        <c:delete val="1"/>
        <c:axPos val="l"/>
        <c:numFmt formatCode="General" sourceLinked="1"/>
        <c:tickLblPos val="none"/>
        <c:crossAx val="49128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List1!$A$2:$C$2</c:f>
              <c:strCache>
                <c:ptCount val="3"/>
                <c:pt idx="0">
                  <c:v>Radiohouse a Media Club</c:v>
                </c:pt>
                <c:pt idx="1">
                  <c:v>Čro</c:v>
                </c:pt>
                <c:pt idx="2">
                  <c:v>Ostatní</c:v>
                </c:pt>
              </c:strCache>
            </c:strRef>
          </c:cat>
          <c:val>
            <c:numRef>
              <c:f>List1!$A$3:$C$3</c:f>
              <c:numCache>
                <c:formatCode>General</c:formatCode>
                <c:ptCount val="3"/>
                <c:pt idx="0">
                  <c:v>0.760000000000005</c:v>
                </c:pt>
                <c:pt idx="1">
                  <c:v>0.22</c:v>
                </c:pt>
                <c:pt idx="2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71-4E4F-9869-9BB188B849AF}"/>
            </c:ext>
          </c:extLst>
        </c:ser>
        <c:axId val="65345408"/>
        <c:axId val="65346944"/>
      </c:barChart>
      <c:catAx>
        <c:axId val="65345408"/>
        <c:scaling>
          <c:orientation val="minMax"/>
        </c:scaling>
        <c:axPos val="b"/>
        <c:numFmt formatCode="General" sourceLinked="0"/>
        <c:tickLblPos val="nextTo"/>
        <c:crossAx val="65346944"/>
        <c:crosses val="autoZero"/>
        <c:auto val="1"/>
        <c:lblAlgn val="ctr"/>
        <c:lblOffset val="100"/>
      </c:catAx>
      <c:valAx>
        <c:axId val="65346944"/>
        <c:scaling>
          <c:orientation val="minMax"/>
        </c:scaling>
        <c:delete val="1"/>
        <c:axPos val="l"/>
        <c:numFmt formatCode="General" sourceLinked="1"/>
        <c:tickLblPos val="none"/>
        <c:crossAx val="653454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List1!$A$6:$D$7</c:f>
              <c:multiLvlStrCache>
                <c:ptCount val="4"/>
                <c:lvl>
                  <c:pt idx="0">
                    <c:v>veřejnoprávní</c:v>
                  </c:pt>
                  <c:pt idx="1">
                    <c:v>soukromé</c:v>
                  </c:pt>
                  <c:pt idx="2">
                    <c:v>veřejnoprávní</c:v>
                  </c:pt>
                  <c:pt idx="3">
                    <c:v>soukromé</c:v>
                  </c:pt>
                </c:lvl>
                <c:lvl>
                  <c:pt idx="0">
                    <c:v>celoplošné</c:v>
                  </c:pt>
                  <c:pt idx="2">
                    <c:v>regionální</c:v>
                  </c:pt>
                </c:lvl>
              </c:multiLvlStrCache>
            </c:multiLvlStrRef>
          </c:cat>
          <c:val>
            <c:numRef>
              <c:f>List1!$A$8:$D$8</c:f>
              <c:numCache>
                <c:formatCode>General</c:formatCode>
                <c:ptCount val="4"/>
                <c:pt idx="0">
                  <c:v>1.29</c:v>
                </c:pt>
                <c:pt idx="1">
                  <c:v>2.71</c:v>
                </c:pt>
                <c:pt idx="2">
                  <c:v>0.22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0E-4A56-88E5-CC83A2FE8345}"/>
            </c:ext>
          </c:extLst>
        </c:ser>
        <c:axId val="120327168"/>
        <c:axId val="120337152"/>
      </c:barChart>
      <c:catAx>
        <c:axId val="120327168"/>
        <c:scaling>
          <c:orientation val="minMax"/>
        </c:scaling>
        <c:axPos val="b"/>
        <c:numFmt formatCode="General" sourceLinked="0"/>
        <c:tickLblPos val="nextTo"/>
        <c:crossAx val="120337152"/>
        <c:crosses val="autoZero"/>
        <c:auto val="1"/>
        <c:lblAlgn val="ctr"/>
        <c:lblOffset val="100"/>
      </c:catAx>
      <c:valAx>
        <c:axId val="120337152"/>
        <c:scaling>
          <c:orientation val="minMax"/>
        </c:scaling>
        <c:delete val="1"/>
        <c:axPos val="l"/>
        <c:numFmt formatCode="General" sourceLinked="1"/>
        <c:tickLblPos val="none"/>
        <c:crossAx val="120327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2.2075055187638012E-2"/>
          <c:y val="0.13592496369425902"/>
          <c:w val="0.95364238410595958"/>
          <c:h val="0.48870005462515159"/>
        </c:manualLayout>
      </c:layout>
      <c:barChart>
        <c:barDir val="col"/>
        <c:grouping val="clustered"/>
        <c:ser>
          <c:idx val="0"/>
          <c:order val="0"/>
          <c:tx>
            <c:strRef>
              <c:f>Sheet0!$N$87</c:f>
              <c:strCache>
                <c:ptCount val="1"/>
                <c:pt idx="0">
                  <c:v>veřejnoprávní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Sheet0!$M$88:$M$91</c:f>
              <c:strCache>
                <c:ptCount val="4"/>
                <c:pt idx="0">
                  <c:v>hudební pořady</c:v>
                </c:pt>
                <c:pt idx="1">
                  <c:v>zpravodajské, publicistické, dramatické a zábavné</c:v>
                </c:pt>
                <c:pt idx="2">
                  <c:v>reklama</c:v>
                </c:pt>
                <c:pt idx="3">
                  <c:v>ostatní</c:v>
                </c:pt>
              </c:strCache>
            </c:strRef>
          </c:cat>
          <c:val>
            <c:numRef>
              <c:f>Sheet0!$N$88:$N$91</c:f>
              <c:numCache>
                <c:formatCode>General</c:formatCode>
                <c:ptCount val="4"/>
                <c:pt idx="0">
                  <c:v>0.51734293193717251</c:v>
                </c:pt>
                <c:pt idx="1">
                  <c:v>0.33835078534032043</c:v>
                </c:pt>
                <c:pt idx="2">
                  <c:v>2.0942408376963352E-2</c:v>
                </c:pt>
                <c:pt idx="3">
                  <c:v>0.12336387434555041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AB-487F-B694-879175B48757}"/>
            </c:ext>
          </c:extLst>
        </c:ser>
        <c:ser>
          <c:idx val="1"/>
          <c:order val="1"/>
          <c:tx>
            <c:strRef>
              <c:f>Sheet0!$O$87</c:f>
              <c:strCache>
                <c:ptCount val="1"/>
                <c:pt idx="0">
                  <c:v>soukromé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Sheet0!$M$88:$M$91</c:f>
              <c:strCache>
                <c:ptCount val="4"/>
                <c:pt idx="0">
                  <c:v>hudební pořady</c:v>
                </c:pt>
                <c:pt idx="1">
                  <c:v>zpravodajské, publicistické, dramatické a zábavné</c:v>
                </c:pt>
                <c:pt idx="2">
                  <c:v>reklama</c:v>
                </c:pt>
                <c:pt idx="3">
                  <c:v>ostatní</c:v>
                </c:pt>
              </c:strCache>
            </c:strRef>
          </c:cat>
          <c:val>
            <c:numRef>
              <c:f>Sheet0!$O$88:$O$91</c:f>
              <c:numCache>
                <c:formatCode>General</c:formatCode>
                <c:ptCount val="4"/>
                <c:pt idx="0">
                  <c:v>0.77439371995573869</c:v>
                </c:pt>
                <c:pt idx="1">
                  <c:v>9.1136428275525525E-2</c:v>
                </c:pt>
                <c:pt idx="2">
                  <c:v>0.10033633760217084</c:v>
                </c:pt>
                <c:pt idx="3">
                  <c:v>3.4133514166641357E-2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AB-487F-B694-879175B48757}"/>
            </c:ext>
          </c:extLst>
        </c:ser>
        <c:axId val="120358784"/>
        <c:axId val="120360320"/>
      </c:barChart>
      <c:catAx>
        <c:axId val="120358784"/>
        <c:scaling>
          <c:orientation val="minMax"/>
        </c:scaling>
        <c:axPos val="b"/>
        <c:numFmt formatCode="General" sourceLinked="0"/>
        <c:tickLblPos val="nextTo"/>
        <c:crossAx val="120360320"/>
        <c:crosses val="autoZero"/>
        <c:auto val="1"/>
        <c:lblAlgn val="ctr"/>
        <c:lblOffset val="100"/>
      </c:catAx>
      <c:valAx>
        <c:axId val="120360320"/>
        <c:scaling>
          <c:orientation val="minMax"/>
        </c:scaling>
        <c:delete val="1"/>
        <c:axPos val="l"/>
        <c:numFmt formatCode="General" sourceLinked="1"/>
        <c:tickLblPos val="none"/>
        <c:crossAx val="1203587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3997931549947458"/>
          <c:y val="0"/>
          <c:w val="0.31562635796353483"/>
          <c:h val="0.12238858467564651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Sheet0!$K$73:$K$80</c:f>
              <c:strCache>
                <c:ptCount val="8"/>
                <c:pt idx="0">
                  <c:v>do roku 1959</c:v>
                </c:pt>
                <c:pt idx="1">
                  <c:v>1960-1969</c:v>
                </c:pt>
                <c:pt idx="2">
                  <c:v>1970-1979</c:v>
                </c:pt>
                <c:pt idx="3">
                  <c:v>1980-1989</c:v>
                </c:pt>
                <c:pt idx="4">
                  <c:v>1990-1999</c:v>
                </c:pt>
                <c:pt idx="5">
                  <c:v>2000-2009</c:v>
                </c:pt>
                <c:pt idx="6">
                  <c:v>2010-2015</c:v>
                </c:pt>
                <c:pt idx="7">
                  <c:v>2016-2017</c:v>
                </c:pt>
              </c:strCache>
            </c:strRef>
          </c:cat>
          <c:val>
            <c:numRef>
              <c:f>Sheet0!$L$73:$L$80</c:f>
              <c:numCache>
                <c:formatCode>General</c:formatCode>
                <c:ptCount val="8"/>
                <c:pt idx="0">
                  <c:v>2.467877786721168E-2</c:v>
                </c:pt>
                <c:pt idx="1">
                  <c:v>7.4771769700558294E-2</c:v>
                </c:pt>
                <c:pt idx="2">
                  <c:v>5.7787686352045939E-2</c:v>
                </c:pt>
                <c:pt idx="3">
                  <c:v>9.8195334046690452E-2</c:v>
                </c:pt>
                <c:pt idx="4">
                  <c:v>0.13975303971501871</c:v>
                </c:pt>
                <c:pt idx="5">
                  <c:v>0.13147675456294244</c:v>
                </c:pt>
                <c:pt idx="6">
                  <c:v>0.23282196276385667</c:v>
                </c:pt>
                <c:pt idx="7">
                  <c:v>0.2405146749916782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A7-4E36-A07B-082D86603A47}"/>
            </c:ext>
          </c:extLst>
        </c:ser>
        <c:axId val="120376704"/>
        <c:axId val="120386688"/>
      </c:barChart>
      <c:catAx>
        <c:axId val="120376704"/>
        <c:scaling>
          <c:orientation val="minMax"/>
        </c:scaling>
        <c:axPos val="b"/>
        <c:numFmt formatCode="General" sourceLinked="0"/>
        <c:tickLblPos val="nextTo"/>
        <c:crossAx val="120386688"/>
        <c:crosses val="autoZero"/>
        <c:auto val="1"/>
        <c:lblAlgn val="ctr"/>
        <c:lblOffset val="100"/>
      </c:catAx>
      <c:valAx>
        <c:axId val="120386688"/>
        <c:scaling>
          <c:orientation val="minMax"/>
        </c:scaling>
        <c:delete val="1"/>
        <c:axPos val="l"/>
        <c:numFmt formatCode="General" sourceLinked="1"/>
        <c:tickLblPos val="none"/>
        <c:crossAx val="1203767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percentStacked"/>
        <c:ser>
          <c:idx val="1"/>
          <c:order val="1"/>
          <c:tx>
            <c:strRef>
              <c:f>Sheet0!$M$96</c:f>
              <c:strCache>
                <c:ptCount val="1"/>
                <c:pt idx="0">
                  <c:v>skladby zahraničních interpretů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Sheet0!$K$97:$K$104</c:f>
              <c:strCache>
                <c:ptCount val="8"/>
                <c:pt idx="0">
                  <c:v>do roku 1959</c:v>
                </c:pt>
                <c:pt idx="1">
                  <c:v>1960-1969</c:v>
                </c:pt>
                <c:pt idx="2">
                  <c:v>1970-1979</c:v>
                </c:pt>
                <c:pt idx="3">
                  <c:v>1980-1989</c:v>
                </c:pt>
                <c:pt idx="4">
                  <c:v>1990-1999</c:v>
                </c:pt>
                <c:pt idx="5">
                  <c:v>2000-2009</c:v>
                </c:pt>
                <c:pt idx="6">
                  <c:v>2010-2015</c:v>
                </c:pt>
                <c:pt idx="7">
                  <c:v>2016-2017</c:v>
                </c:pt>
              </c:strCache>
            </c:strRef>
          </c:cat>
          <c:val>
            <c:numRef>
              <c:f>Sheet0!$M$97:$M$104</c:f>
              <c:numCache>
                <c:formatCode>General</c:formatCode>
                <c:ptCount val="8"/>
                <c:pt idx="0">
                  <c:v>0.62724744522248965</c:v>
                </c:pt>
                <c:pt idx="1">
                  <c:v>0.510824164673645</c:v>
                </c:pt>
                <c:pt idx="2">
                  <c:v>0.48885939901867376</c:v>
                </c:pt>
                <c:pt idx="3">
                  <c:v>0.54727964886163449</c:v>
                </c:pt>
                <c:pt idx="4">
                  <c:v>0.63491273863776532</c:v>
                </c:pt>
                <c:pt idx="5">
                  <c:v>0.65773538162752665</c:v>
                </c:pt>
                <c:pt idx="6">
                  <c:v>0.64447106603921711</c:v>
                </c:pt>
                <c:pt idx="7">
                  <c:v>0.79117795718142081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B6-4EDE-A65C-9BE0F1032B7B}"/>
            </c:ext>
          </c:extLst>
        </c:ser>
        <c:ser>
          <c:idx val="0"/>
          <c:order val="0"/>
          <c:tx>
            <c:strRef>
              <c:f>Sheet0!$L$96</c:f>
              <c:strCache>
                <c:ptCount val="1"/>
                <c:pt idx="0">
                  <c:v>skladby českých interpertů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2.279202279202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B6-4EDE-A65C-9BE0F1032B7B}"/>
                </c:ext>
              </c:extLst>
            </c:dLbl>
            <c:dLbl>
              <c:idx val="2"/>
              <c:layout>
                <c:manualLayout>
                  <c:x val="6.5681444991790424E-3"/>
                  <c:y val="-1.70940170940171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B6-4EDE-A65C-9BE0F1032B7B}"/>
                </c:ext>
              </c:extLst>
            </c:dLbl>
            <c:dLbl>
              <c:idx val="6"/>
              <c:layout>
                <c:manualLayout>
                  <c:x val="2.189381499726356E-3"/>
                  <c:y val="-3.418803418803419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B6-4EDE-A65C-9BE0F1032B7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Sheet0!$K$97:$K$104</c:f>
              <c:strCache>
                <c:ptCount val="8"/>
                <c:pt idx="0">
                  <c:v>do roku 1959</c:v>
                </c:pt>
                <c:pt idx="1">
                  <c:v>1960-1969</c:v>
                </c:pt>
                <c:pt idx="2">
                  <c:v>1970-1979</c:v>
                </c:pt>
                <c:pt idx="3">
                  <c:v>1980-1989</c:v>
                </c:pt>
                <c:pt idx="4">
                  <c:v>1990-1999</c:v>
                </c:pt>
                <c:pt idx="5">
                  <c:v>2000-2009</c:v>
                </c:pt>
                <c:pt idx="6">
                  <c:v>2010-2015</c:v>
                </c:pt>
                <c:pt idx="7">
                  <c:v>2016-2017</c:v>
                </c:pt>
              </c:strCache>
            </c:strRef>
          </c:cat>
          <c:val>
            <c:numRef>
              <c:f>Sheet0!$L$97:$L$104</c:f>
              <c:numCache>
                <c:formatCode>General</c:formatCode>
                <c:ptCount val="8"/>
                <c:pt idx="0">
                  <c:v>0.37275255477751068</c:v>
                </c:pt>
                <c:pt idx="1">
                  <c:v>0.48917583532635706</c:v>
                </c:pt>
                <c:pt idx="2">
                  <c:v>0.51114060098132952</c:v>
                </c:pt>
                <c:pt idx="3">
                  <c:v>0.45272035113836551</c:v>
                </c:pt>
                <c:pt idx="4">
                  <c:v>0.36508726136223946</c:v>
                </c:pt>
                <c:pt idx="5">
                  <c:v>0.34226461837247613</c:v>
                </c:pt>
                <c:pt idx="6">
                  <c:v>0.35552893396079155</c:v>
                </c:pt>
                <c:pt idx="7">
                  <c:v>0.20882204281857911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8B6-4EDE-A65C-9BE0F1032B7B}"/>
            </c:ext>
          </c:extLst>
        </c:ser>
        <c:overlap val="100"/>
        <c:axId val="120439552"/>
        <c:axId val="120441088"/>
      </c:barChart>
      <c:catAx>
        <c:axId val="120439552"/>
        <c:scaling>
          <c:orientation val="minMax"/>
        </c:scaling>
        <c:axPos val="b"/>
        <c:numFmt formatCode="General" sourceLinked="0"/>
        <c:tickLblPos val="nextTo"/>
        <c:crossAx val="120441088"/>
        <c:crosses val="autoZero"/>
        <c:auto val="1"/>
        <c:lblAlgn val="ctr"/>
        <c:lblOffset val="100"/>
      </c:catAx>
      <c:valAx>
        <c:axId val="120441088"/>
        <c:scaling>
          <c:orientation val="minMax"/>
        </c:scaling>
        <c:delete val="1"/>
        <c:axPos val="l"/>
        <c:numFmt formatCode="0%" sourceLinked="1"/>
        <c:tickLblPos val="none"/>
        <c:crossAx val="12043955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List1!$A$2</c:f>
              <c:strCache>
                <c:ptCount val="1"/>
                <c:pt idx="0">
                  <c:v>příjmy (mld. Kč)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List1!$B$1:$G$1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List1!$B$2:$G$2</c:f>
              <c:numCache>
                <c:formatCode>General</c:formatCode>
                <c:ptCount val="6"/>
                <c:pt idx="0">
                  <c:v>5</c:v>
                </c:pt>
                <c:pt idx="1">
                  <c:v>4.9000000000000004</c:v>
                </c:pt>
                <c:pt idx="2">
                  <c:v>4.7</c:v>
                </c:pt>
                <c:pt idx="3">
                  <c:v>4.7</c:v>
                </c:pt>
                <c:pt idx="4">
                  <c:v>4.4000000000000004</c:v>
                </c:pt>
                <c:pt idx="5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1F-41A4-843C-17CDDCDB3B75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počet zaměstnanců (v tis. osob, přepočteno na plné prac. úvazky)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List1!$B$1:$G$1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List1!$B$3:$G$3</c:f>
              <c:numCache>
                <c:formatCode>General</c:formatCode>
                <c:ptCount val="6"/>
                <c:pt idx="0">
                  <c:v>1.8</c:v>
                </c:pt>
                <c:pt idx="1">
                  <c:v>1.8</c:v>
                </c:pt>
                <c:pt idx="2">
                  <c:v>1.9000000000000001</c:v>
                </c:pt>
                <c:pt idx="3">
                  <c:v>1.9000000000000001</c:v>
                </c:pt>
                <c:pt idx="4">
                  <c:v>1.9000000000000001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1F-41A4-843C-17CDDCDB3B75}"/>
            </c:ext>
          </c:extLst>
        </c:ser>
        <c:marker val="1"/>
        <c:axId val="120457856"/>
        <c:axId val="120488320"/>
      </c:lineChart>
      <c:catAx>
        <c:axId val="120457856"/>
        <c:scaling>
          <c:orientation val="minMax"/>
        </c:scaling>
        <c:axPos val="b"/>
        <c:numFmt formatCode="General" sourceLinked="1"/>
        <c:tickLblPos val="nextTo"/>
        <c:crossAx val="120488320"/>
        <c:crosses val="autoZero"/>
        <c:auto val="1"/>
        <c:lblAlgn val="ctr"/>
        <c:lblOffset val="100"/>
      </c:catAx>
      <c:valAx>
        <c:axId val="120488320"/>
        <c:scaling>
          <c:orientation val="minMax"/>
        </c:scaling>
        <c:delete val="1"/>
        <c:axPos val="l"/>
        <c:numFmt formatCode="General" sourceLinked="1"/>
        <c:tickLblPos val="none"/>
        <c:crossAx val="12045785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2B30-33DC-4513-8AAA-DF6D5AD4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1</TotalTime>
  <Pages>12</Pages>
  <Words>3200</Words>
  <Characters>18883</Characters>
  <Application>Microsoft Office Word</Application>
  <DocSecurity>0</DocSecurity>
  <Lines>157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2018-10-29T11:48:00Z</cp:lastPrinted>
  <dcterms:created xsi:type="dcterms:W3CDTF">2018-10-29T14:06:00Z</dcterms:created>
  <dcterms:modified xsi:type="dcterms:W3CDTF">2018-10-29T14:06:00Z</dcterms:modified>
</cp:coreProperties>
</file>