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B7743" w14:textId="77777777" w:rsidR="00384FBD" w:rsidRDefault="00B135FF">
      <w:pPr>
        <w:pStyle w:val="Nadpis1"/>
        <w:numPr>
          <w:ilvl w:val="0"/>
          <w:numId w:val="2"/>
        </w:numPr>
      </w:pPr>
      <w:bookmarkStart w:id="0" w:name="_Toc490036459"/>
      <w:r>
        <w:t xml:space="preserve">Souhrnná informace o zemědělských subjektech v roce </w:t>
      </w:r>
      <w:bookmarkEnd w:id="0"/>
      <w:r>
        <w:t>2020</w:t>
      </w:r>
    </w:p>
    <w:p w14:paraId="479B1148" w14:textId="77777777" w:rsidR="00384FBD" w:rsidRDefault="00B135FF">
      <w:pPr>
        <w:jc w:val="both"/>
        <w:rPr>
          <w:lang w:eastAsia="en-US"/>
        </w:rPr>
      </w:pPr>
      <w:r>
        <w:rPr>
          <w:lang w:eastAsia="en-US"/>
        </w:rPr>
        <w:t>Předkládané výstupy z Integrovaného šetření v zemědělství reprezentují údaje za 28 909 zemědělských subjektů (24 648 subjektů fyzických osob a 4 261 právnických osob) naplňujících stanovené prahové hodnoty pro rok 2020.</w:t>
      </w:r>
    </w:p>
    <w:p w14:paraId="22F2C160" w14:textId="77777777" w:rsidR="00384FBD" w:rsidRDefault="00B135FF">
      <w:pPr>
        <w:spacing w:before="240" w:after="60" w:line="240" w:lineRule="auto"/>
        <w:jc w:val="both"/>
        <w:rPr>
          <w:rFonts w:cs="Arial"/>
          <w:b/>
          <w:szCs w:val="20"/>
          <w:vertAlign w:val="superscript"/>
          <w:lang w:eastAsia="en-US"/>
        </w:rPr>
      </w:pPr>
      <w:r>
        <w:rPr>
          <w:rFonts w:cs="Arial"/>
          <w:b/>
          <w:szCs w:val="20"/>
          <w:lang w:eastAsia="en-US"/>
        </w:rPr>
        <w:t>Tab. 1 Zemědělské subjekty v letech 2000 a 2020</w:t>
      </w:r>
      <w:r>
        <w:rPr>
          <w:rStyle w:val="FootnoteAnchor"/>
          <w:rFonts w:cs="Arial"/>
          <w:b/>
          <w:lang w:eastAsia="en-US"/>
        </w:rPr>
        <w:footnoteReference w:id="1"/>
      </w:r>
      <w:r>
        <w:rPr>
          <w:rFonts w:cs="Arial"/>
          <w:b/>
          <w:szCs w:val="20"/>
          <w:vertAlign w:val="superscript"/>
          <w:lang w:eastAsia="en-US"/>
        </w:rPr>
        <w:t>)</w:t>
      </w:r>
    </w:p>
    <w:p w14:paraId="13670DA8" w14:textId="0C77FBA9" w:rsidR="00540A63" w:rsidRDefault="00540A63" w:rsidP="009C194E">
      <w:pPr>
        <w:spacing w:line="240" w:lineRule="auto"/>
        <w:jc w:val="both"/>
        <w:rPr>
          <w:rFonts w:cs="Arial"/>
          <w:b/>
          <w:szCs w:val="20"/>
          <w:lang w:eastAsia="en-US"/>
        </w:rPr>
      </w:pPr>
      <w:r w:rsidRPr="00540A63">
        <w:rPr>
          <w:noProof/>
        </w:rPr>
        <w:drawing>
          <wp:inline distT="0" distB="0" distL="0" distR="0" wp14:anchorId="6DCC9557" wp14:editId="4A625CD7">
            <wp:extent cx="5829935" cy="2735580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35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B6B40" w14:textId="408DBBE0" w:rsidR="00384FBD" w:rsidRDefault="00B135FF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Ve srovnání s rokem 2000 se počet zemědělských subjektů snížil o více než čtvrtinu (</w:t>
      </w:r>
      <w:r w:rsidR="000B54CE">
        <w:rPr>
          <w:szCs w:val="20"/>
          <w:lang w:eastAsia="en-US"/>
        </w:rPr>
        <w:t>−</w:t>
      </w:r>
      <w:r w:rsidR="00540A63">
        <w:rPr>
          <w:szCs w:val="20"/>
          <w:lang w:eastAsia="en-US"/>
        </w:rPr>
        <w:t>26,0</w:t>
      </w:r>
      <w:r>
        <w:rPr>
          <w:szCs w:val="20"/>
          <w:lang w:eastAsia="en-US"/>
        </w:rPr>
        <w:t> %). Téměř o polovinu vzrostl počet subjektů právnických osob (+47,7 %), zejména společností s ručením omezeným (+112,8 %), výrazně se snížil počet družstev (−33,7 %). Počet subjektů fyzických osob se snížil téměř o třetinu (</w:t>
      </w:r>
      <w:r w:rsidR="000B54CE">
        <w:rPr>
          <w:szCs w:val="20"/>
          <w:lang w:eastAsia="en-US"/>
        </w:rPr>
        <w:t>−</w:t>
      </w:r>
      <w:r w:rsidR="00932243">
        <w:rPr>
          <w:szCs w:val="20"/>
          <w:lang w:eastAsia="en-US"/>
        </w:rPr>
        <w:t>31,9</w:t>
      </w:r>
      <w:r>
        <w:rPr>
          <w:szCs w:val="20"/>
          <w:lang w:eastAsia="en-US"/>
        </w:rPr>
        <w:t> %).</w:t>
      </w:r>
    </w:p>
    <w:p w14:paraId="3DAE478C" w14:textId="65E733BF" w:rsidR="00384FBD" w:rsidRPr="009C194E" w:rsidRDefault="00B135FF">
      <w:pPr>
        <w:jc w:val="both"/>
        <w:rPr>
          <w:szCs w:val="20"/>
          <w:lang w:eastAsia="en-US"/>
        </w:rPr>
      </w:pPr>
      <w:r w:rsidRPr="009C194E">
        <w:rPr>
          <w:szCs w:val="20"/>
          <w:lang w:eastAsia="en-US"/>
        </w:rPr>
        <w:t>Zemědělské subjekty v roce 2020 obhospodařovaly 3 494 tis. ha zemědělské půdy, tj. 44,3 %</w:t>
      </w:r>
      <w:r w:rsidRPr="009C194E">
        <w:rPr>
          <w:color w:val="0070C0"/>
          <w:szCs w:val="20"/>
          <w:lang w:eastAsia="en-US"/>
        </w:rPr>
        <w:t xml:space="preserve"> </w:t>
      </w:r>
      <w:r w:rsidRPr="009C194E">
        <w:rPr>
          <w:szCs w:val="20"/>
          <w:lang w:eastAsia="en-US"/>
        </w:rPr>
        <w:t>rozlohy České republiky</w:t>
      </w:r>
      <w:r w:rsidRPr="009C194E">
        <w:rPr>
          <w:color w:val="0070C0"/>
          <w:szCs w:val="20"/>
          <w:lang w:eastAsia="en-US"/>
        </w:rPr>
        <w:t xml:space="preserve">, </w:t>
      </w:r>
      <w:r w:rsidRPr="009C194E">
        <w:rPr>
          <w:szCs w:val="20"/>
          <w:lang w:eastAsia="en-US"/>
        </w:rPr>
        <w:t>v roce 2000 to bylo</w:t>
      </w:r>
      <w:r w:rsidRPr="009C194E">
        <w:rPr>
          <w:color w:val="0070C0"/>
          <w:szCs w:val="20"/>
          <w:lang w:eastAsia="en-US"/>
        </w:rPr>
        <w:t xml:space="preserve"> </w:t>
      </w:r>
      <w:r w:rsidRPr="009C194E">
        <w:rPr>
          <w:szCs w:val="20"/>
          <w:lang w:eastAsia="en-US"/>
        </w:rPr>
        <w:t>46,0 %; během 20 let se plocha obhospodařované zemědělské půdy snížila o 130 tis. ha. Došlo k přesunům zemědělské půdy mezi subjekty fyzických a právnických osob; od roku 2000 se na straně subjektů fyzických osob výměra zemědělské půdy o 10,5 % navýšila, zatímco subjektům právnických osob 8,6 % výměry ubylo.</w:t>
      </w:r>
      <w:r w:rsidRPr="009C194E">
        <w:rPr>
          <w:color w:val="0070C0"/>
          <w:szCs w:val="20"/>
          <w:lang w:eastAsia="en-US"/>
        </w:rPr>
        <w:t xml:space="preserve"> </w:t>
      </w:r>
      <w:r w:rsidRPr="009C194E">
        <w:rPr>
          <w:szCs w:val="20"/>
          <w:lang w:eastAsia="en-US"/>
        </w:rPr>
        <w:t>Nejvyšší úbytek půdy zaznamenala družstva (</w:t>
      </w:r>
      <w:r w:rsidR="000B54CE">
        <w:rPr>
          <w:szCs w:val="20"/>
          <w:lang w:eastAsia="en-US"/>
        </w:rPr>
        <w:t>−</w:t>
      </w:r>
      <w:r w:rsidRPr="009C194E">
        <w:rPr>
          <w:szCs w:val="20"/>
          <w:lang w:eastAsia="en-US"/>
        </w:rPr>
        <w:t>40,8 %). Subjekty fyzických osob v roce 2020 hospodařily na 29,8 % z celkové výměry zemědělské půdy, v roce 2000 to bylo 26,0 %.</w:t>
      </w:r>
    </w:p>
    <w:p w14:paraId="61FBA2C5" w14:textId="77777777" w:rsidR="00384FBD" w:rsidRPr="009C194E" w:rsidRDefault="00B135FF">
      <w:pPr>
        <w:jc w:val="both"/>
        <w:rPr>
          <w:szCs w:val="20"/>
          <w:lang w:eastAsia="en-US"/>
        </w:rPr>
      </w:pPr>
      <w:r w:rsidRPr="009C194E">
        <w:rPr>
          <w:szCs w:val="20"/>
          <w:lang w:eastAsia="en-US"/>
        </w:rPr>
        <w:t>K významným změnám došlo ve vlastnických vztazích k půdě. Zatímco v roce 2000 subjekty hospodařily téměř výhradně na půdě pronajaté (92,0 %), v roce 2020 vlastnily již 27,3 % celkové výměry zemědělské půdy. Subjektům fyzických osob v roce 2000 patřila čtvrtina zemědělské půdy (27,1 %), v roce 2020 již téměř polovina (44,8 %). U subjektů právnických osob se podíl vlastní půdy v období 2000</w:t>
      </w:r>
      <w:r w:rsidRPr="009C194E">
        <w:rPr>
          <w:rStyle w:val="nezalamovatgen"/>
          <w:rFonts w:cs="Arial"/>
          <w:iCs/>
          <w:szCs w:val="20"/>
        </w:rPr>
        <w:t>–</w:t>
      </w:r>
      <w:r w:rsidRPr="009C194E">
        <w:rPr>
          <w:szCs w:val="20"/>
          <w:lang w:eastAsia="en-US"/>
        </w:rPr>
        <w:t>2020 zvýšil ze 1,3 % na 19,8 %.</w:t>
      </w:r>
    </w:p>
    <w:p w14:paraId="0DA04266" w14:textId="186D4670" w:rsidR="00384FBD" w:rsidRPr="009C194E" w:rsidRDefault="00B135FF">
      <w:pPr>
        <w:jc w:val="both"/>
        <w:rPr>
          <w:szCs w:val="20"/>
          <w:lang w:eastAsia="en-US"/>
        </w:rPr>
      </w:pPr>
      <w:r w:rsidRPr="009C194E">
        <w:rPr>
          <w:szCs w:val="20"/>
          <w:lang w:eastAsia="en-US"/>
        </w:rPr>
        <w:t>Průměrná výměra zemědělského subjektu v roce 2020 činila 121 ha. V letech 2000–2020 došlo u subjektů fyzických osob k nárůstu jejich průměrné výměry o 16 ha na 42 ha (+</w:t>
      </w:r>
      <w:r w:rsidR="00932243">
        <w:rPr>
          <w:szCs w:val="20"/>
          <w:lang w:eastAsia="en-US"/>
        </w:rPr>
        <w:t>62,3</w:t>
      </w:r>
      <w:r w:rsidRPr="009C194E">
        <w:rPr>
          <w:szCs w:val="20"/>
          <w:lang w:eastAsia="en-US"/>
        </w:rPr>
        <w:t> %), u osob právnických k poklesu o 355 ha na 575 ha (</w:t>
      </w:r>
      <w:r w:rsidR="000B54CE">
        <w:rPr>
          <w:szCs w:val="20"/>
          <w:lang w:eastAsia="en-US"/>
        </w:rPr>
        <w:t>−</w:t>
      </w:r>
      <w:r w:rsidRPr="009C194E">
        <w:rPr>
          <w:szCs w:val="20"/>
          <w:lang w:eastAsia="en-US"/>
        </w:rPr>
        <w:t>38,1 %).</w:t>
      </w:r>
    </w:p>
    <w:p w14:paraId="58200CEF" w14:textId="2FEAAE52" w:rsidR="00384FBD" w:rsidRDefault="00B135FF">
      <w:pPr>
        <w:jc w:val="both"/>
        <w:rPr>
          <w:szCs w:val="20"/>
          <w:lang w:eastAsia="en-US"/>
        </w:rPr>
      </w:pPr>
      <w:r w:rsidRPr="009C194E">
        <w:rPr>
          <w:szCs w:val="20"/>
          <w:lang w:eastAsia="en-US"/>
        </w:rPr>
        <w:lastRenderedPageBreak/>
        <w:t>Počet pracujících v zemědělství se za období 2000 – 2020 snížil celkem o 65 tis. na 177 tis. osob (−26,9 %), pokles pracujících přepočtených na plně zaměstnané byl ještě výraznější, o 79 tis. na 95 tis. AWU (−45,3 %). K úbytku pracujících došlo jak v podnicích fyzických osob (−20 tis. osob), tak v podnicích právnických osob (−45 tis. osob). Počet nepravidelně zaměstnaných pracujících na dohodu o provedení práce nebo pracovní činnosti v roce 2020 vzrostl; v subjektech fyzických osob sice došlo k poklesu (</w:t>
      </w:r>
      <w:r w:rsidR="000B54CE">
        <w:rPr>
          <w:szCs w:val="20"/>
          <w:lang w:eastAsia="en-US"/>
        </w:rPr>
        <w:t>−</w:t>
      </w:r>
      <w:r w:rsidRPr="009C194E">
        <w:rPr>
          <w:szCs w:val="20"/>
          <w:lang w:eastAsia="en-US"/>
        </w:rPr>
        <w:t>3,5 tis. osob), ale v subjektech právnických osob naopak k nárůstu (+11,5 tis. osob).</w:t>
      </w:r>
    </w:p>
    <w:sectPr w:rsidR="00384FBD">
      <w:footerReference w:type="even" r:id="rId9"/>
      <w:footerReference w:type="default" r:id="rId10"/>
      <w:footnotePr>
        <w:numStart w:val="5"/>
      </w:footnotePr>
      <w:pgSz w:w="11906" w:h="16838"/>
      <w:pgMar w:top="1134" w:right="1134" w:bottom="1418" w:left="1134" w:header="0" w:footer="680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328CC" w14:textId="77777777" w:rsidR="00C77235" w:rsidRDefault="00C77235">
      <w:pPr>
        <w:spacing w:after="0" w:line="240" w:lineRule="auto"/>
      </w:pPr>
      <w:r>
        <w:separator/>
      </w:r>
    </w:p>
  </w:endnote>
  <w:endnote w:type="continuationSeparator" w:id="0">
    <w:p w14:paraId="39FB97D4" w14:textId="77777777" w:rsidR="00C77235" w:rsidRDefault="00C7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BC417" w14:textId="77777777" w:rsidR="00384FBD" w:rsidRDefault="00B135FF">
    <w:pPr>
      <w:pStyle w:val="Zpat"/>
      <w:rPr>
        <w:szCs w:val="16"/>
      </w:rPr>
    </w:pPr>
    <w:r>
      <w:rPr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6830D" w14:textId="77777777" w:rsidR="00384FBD" w:rsidRDefault="00B135FF">
    <w:pPr>
      <w:pStyle w:val="Zpat"/>
      <w:rPr>
        <w:szCs w:val="16"/>
      </w:rPr>
    </w:pPr>
    <w:r>
      <w:rPr>
        <w:szCs w:val="16"/>
      </w:rPr>
      <w:tab/>
    </w:r>
    <w:r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B8496" w14:textId="77777777" w:rsidR="00C77235" w:rsidRDefault="00C77235">
      <w:pPr>
        <w:rPr>
          <w:sz w:val="12"/>
        </w:rPr>
      </w:pPr>
      <w:r>
        <w:separator/>
      </w:r>
    </w:p>
  </w:footnote>
  <w:footnote w:type="continuationSeparator" w:id="0">
    <w:p w14:paraId="65467965" w14:textId="77777777" w:rsidR="00C77235" w:rsidRDefault="00C77235">
      <w:pPr>
        <w:rPr>
          <w:sz w:val="12"/>
        </w:rPr>
      </w:pPr>
      <w:r>
        <w:continuationSeparator/>
      </w:r>
    </w:p>
  </w:footnote>
  <w:footnote w:id="1">
    <w:p w14:paraId="2391EF66" w14:textId="618DFFBD" w:rsidR="00384FBD" w:rsidRPr="0017452F" w:rsidRDefault="00B135FF" w:rsidP="0017452F">
      <w:pPr>
        <w:pStyle w:val="Textpoznpodarou"/>
        <w:spacing w:before="120"/>
        <w:jc w:val="both"/>
        <w:rPr>
          <w:rFonts w:ascii="Arial" w:hAnsi="Arial" w:cs="Arial"/>
          <w:sz w:val="18"/>
          <w:szCs w:val="18"/>
        </w:rPr>
      </w:pPr>
      <w:r w:rsidRPr="0017452F">
        <w:rPr>
          <w:rStyle w:val="FootnoteCharacters"/>
          <w:rFonts w:ascii="Arial" w:hAnsi="Arial" w:cs="Arial"/>
          <w:sz w:val="18"/>
          <w:szCs w:val="18"/>
        </w:rPr>
        <w:footnoteRef/>
      </w:r>
      <w:r w:rsidR="0017452F">
        <w:rPr>
          <w:rFonts w:ascii="Arial" w:hAnsi="Arial" w:cs="Arial"/>
          <w:sz w:val="18"/>
          <w:szCs w:val="18"/>
          <w:vertAlign w:val="superscript"/>
        </w:rPr>
        <w:t>)</w:t>
      </w:r>
      <w:bookmarkStart w:id="1" w:name="_GoBack"/>
      <w:bookmarkEnd w:id="1"/>
      <w:r w:rsidRPr="0017452F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17452F">
        <w:rPr>
          <w:rFonts w:ascii="Arial" w:hAnsi="Arial" w:cs="Arial"/>
          <w:sz w:val="18"/>
          <w:szCs w:val="18"/>
        </w:rPr>
        <w:t>Výsledky ze šetření konaného v roce 2000 byly přepočteny podle stanovených prahových hodnot pro Integrované šetření v zemědělství 2020.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956CE"/>
    <w:multiLevelType w:val="multilevel"/>
    <w:tmpl w:val="C67C1870"/>
    <w:lvl w:ilvl="0">
      <w:start w:val="4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ED60207"/>
    <w:multiLevelType w:val="multilevel"/>
    <w:tmpl w:val="DDF46BF6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proofState w:spelling="clean" w:grammar="clean"/>
  <w:defaultTabStop w:val="708"/>
  <w:autoHyphenation/>
  <w:hyphenationZone w:val="425"/>
  <w:evenAndOddHeaders/>
  <w:characterSpacingControl w:val="doNotCompress"/>
  <w:footnotePr>
    <w:numStart w:val="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BD"/>
    <w:rsid w:val="000B54CE"/>
    <w:rsid w:val="001063A5"/>
    <w:rsid w:val="0017452F"/>
    <w:rsid w:val="00384FBD"/>
    <w:rsid w:val="00505E59"/>
    <w:rsid w:val="00540A63"/>
    <w:rsid w:val="00782500"/>
    <w:rsid w:val="00932243"/>
    <w:rsid w:val="009C194E"/>
    <w:rsid w:val="00A85E73"/>
    <w:rsid w:val="00B135FF"/>
    <w:rsid w:val="00C52CFA"/>
    <w:rsid w:val="00C77235"/>
    <w:rsid w:val="00CE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0BDA"/>
  <w15:docId w15:val="{A753EE5D-0A26-4956-8F2D-2108DEF2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numPr>
        <w:numId w:val="1"/>
      </w:numPr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numPr>
        <w:ilvl w:val="1"/>
        <w:numId w:val="1"/>
      </w:numPr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numPr>
        <w:ilvl w:val="2"/>
        <w:numId w:val="1"/>
      </w:numPr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numPr>
        <w:ilvl w:val="3"/>
        <w:numId w:val="1"/>
      </w:numPr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61D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61D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61D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61D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BE3108"/>
    <w:rPr>
      <w:rFonts w:ascii="Arial" w:eastAsia="MS Gothic" w:hAnsi="Arial"/>
      <w:b/>
      <w:bC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qFormat/>
    <w:rsid w:val="00BE3108"/>
    <w:rPr>
      <w:rFonts w:ascii="Arial" w:eastAsia="MS Gothic" w:hAnsi="Arial"/>
      <w:b/>
      <w:bCs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qFormat/>
    <w:rsid w:val="00BE3108"/>
    <w:rPr>
      <w:rFonts w:ascii="Arial" w:eastAsia="MS Gothic" w:hAnsi="Arial"/>
      <w:b/>
      <w:bCs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qFormat/>
    <w:rsid w:val="00BE3108"/>
    <w:rPr>
      <w:rFonts w:ascii="Arial" w:eastAsia="MS Gothic" w:hAnsi="Arial"/>
      <w:b/>
      <w:bCs/>
      <w:iCs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qFormat/>
    <w:rsid w:val="00A30F65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character" w:customStyle="1" w:styleId="ZhlavChar">
    <w:name w:val="Záhlaví Char"/>
    <w:link w:val="Zhlav"/>
    <w:uiPriority w:val="99"/>
    <w:qFormat/>
    <w:rsid w:val="00A418BC"/>
    <w:rPr>
      <w:rFonts w:ascii="Arial" w:hAnsi="Arial"/>
      <w:sz w:val="16"/>
      <w:szCs w:val="22"/>
      <w:lang w:eastAsia="en-US"/>
    </w:rPr>
  </w:style>
  <w:style w:type="character" w:customStyle="1" w:styleId="ZpatChar">
    <w:name w:val="Zápatí Char"/>
    <w:link w:val="Zpat"/>
    <w:uiPriority w:val="99"/>
    <w:qFormat/>
    <w:rsid w:val="00031AE0"/>
    <w:rPr>
      <w:rFonts w:ascii="Arial" w:hAnsi="Arial" w:cs="Arial"/>
      <w:sz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qFormat/>
    <w:rsid w:val="00E71A58"/>
    <w:rPr>
      <w:rFonts w:ascii="Tahoma" w:hAnsi="Tahoma" w:cs="Tahoma"/>
      <w:sz w:val="16"/>
      <w:szCs w:val="16"/>
    </w:rPr>
  </w:style>
  <w:style w:type="character" w:customStyle="1" w:styleId="ZkladnodstavecChar">
    <w:name w:val="[Základní odstavec] Char"/>
    <w:link w:val="Zkladnodstavec"/>
    <w:uiPriority w:val="99"/>
    <w:qFormat/>
    <w:rsid w:val="0008263E"/>
    <w:rPr>
      <w:rFonts w:ascii="Arial" w:hAnsi="Arial" w:cs="Minion Pro"/>
      <w:color w:val="000000"/>
      <w:szCs w:val="24"/>
    </w:rPr>
  </w:style>
  <w:style w:type="character" w:styleId="Siln">
    <w:name w:val="Strong"/>
    <w:qFormat/>
    <w:rsid w:val="00EC03D7"/>
    <w:rPr>
      <w:rFonts w:ascii="Arial" w:hAnsi="Arial"/>
      <w:b/>
      <w:bCs/>
      <w:sz w:val="20"/>
    </w:rPr>
  </w:style>
  <w:style w:type="character" w:customStyle="1" w:styleId="NzevChar">
    <w:name w:val="Název Char"/>
    <w:link w:val="Nzev"/>
    <w:uiPriority w:val="10"/>
    <w:qFormat/>
    <w:rsid w:val="000E6FBD"/>
    <w:rPr>
      <w:rFonts w:ascii="Arial" w:eastAsia="Times New Roman" w:hAnsi="Arial"/>
      <w:b/>
      <w:bCs/>
      <w:caps/>
      <w:kern w:val="2"/>
      <w:sz w:val="56"/>
      <w:szCs w:val="32"/>
    </w:rPr>
  </w:style>
  <w:style w:type="character" w:customStyle="1" w:styleId="PodnadpisChar">
    <w:name w:val="Podnadpis Char"/>
    <w:link w:val="Podnadpis"/>
    <w:uiPriority w:val="11"/>
    <w:qFormat/>
    <w:rsid w:val="0012192F"/>
    <w:rPr>
      <w:rFonts w:ascii="Arial" w:eastAsia="Times New Roman" w:hAnsi="Arial" w:cs="Arial"/>
      <w:b/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C07BC3"/>
    <w:rPr>
      <w:rFonts w:ascii="Arial" w:eastAsia="Times New Roman" w:hAnsi="Arial" w:cs="Arial"/>
      <w:bCs/>
      <w:iCs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qFormat/>
    <w:rsid w:val="00C07BC3"/>
    <w:rPr>
      <w:rFonts w:ascii="Arial" w:eastAsia="Times New Roman" w:hAnsi="Arial" w:cs="Arial"/>
      <w:bCs/>
      <w:sz w:val="22"/>
      <w:szCs w:val="18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003C2208"/>
    <w:rPr>
      <w:rFonts w:ascii="Times New Roman" w:eastAsia="Times New Roman" w:hAnsi="Times New Roman"/>
      <w:bCs/>
      <w:iCs/>
      <w:lang w:eastAsia="cs-CZ"/>
    </w:rPr>
  </w:style>
  <w:style w:type="character" w:customStyle="1" w:styleId="FootnoteCharacters">
    <w:name w:val="Footnote Characters"/>
    <w:basedOn w:val="Standardnpsmoodstavce"/>
    <w:semiHidden/>
    <w:qFormat/>
    <w:rsid w:val="003C2208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nezalamovatgen">
    <w:name w:val="nezalamovatgen"/>
    <w:basedOn w:val="Standardnpsmoodstavce"/>
    <w:qFormat/>
    <w:rsid w:val="00AD2963"/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qFormat/>
    <w:rsid w:val="003461F0"/>
    <w:rPr>
      <w:rFonts w:ascii="Arial" w:eastAsia="Times New Roman" w:hAnsi="Arial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qFormat/>
    <w:rsid w:val="003461F0"/>
    <w:rPr>
      <w:rFonts w:ascii="Arial" w:eastAsia="Times New Roman" w:hAnsi="Arial"/>
      <w:sz w:val="16"/>
      <w:szCs w:val="16"/>
      <w:lang w:eastAsia="cs-CZ"/>
    </w:rPr>
  </w:style>
  <w:style w:type="character" w:customStyle="1" w:styleId="hps">
    <w:name w:val="hps"/>
    <w:basedOn w:val="Standardnpsmoodstavce"/>
    <w:qFormat/>
    <w:rsid w:val="001E183D"/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A361D5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A361D5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A361D5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A361D5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rFonts w:ascii="Arial" w:eastAsia="Times New Roman" w:hAnsi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E2697"/>
    <w:rPr>
      <w:rFonts w:ascii="Arial" w:eastAsia="Times New Roman" w:hAnsi="Arial"/>
      <w:b/>
      <w:bCs/>
      <w:lang w:eastAsia="cs-CZ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semiHidden/>
    <w:rsid w:val="00C07BC3"/>
    <w:pPr>
      <w:spacing w:after="0" w:line="240" w:lineRule="auto"/>
    </w:pPr>
    <w:rPr>
      <w:rFonts w:cs="Arial"/>
      <w:bCs/>
      <w:iCs/>
      <w:szCs w:val="20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71A58"/>
    <w:rPr>
      <w:rFonts w:ascii="Tahoma" w:eastAsia="Calibri" w:hAnsi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qFormat/>
    <w:rsid w:val="0008263E"/>
    <w:pPr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"/>
      <w:sz w:val="56"/>
      <w:szCs w:val="32"/>
      <w:lang w:eastAsia="cs-CZ"/>
    </w:rPr>
  </w:style>
  <w:style w:type="paragraph" w:styleId="Podnadpis">
    <w:name w:val="Subtitle"/>
    <w:link w:val="Podnadpis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Zkladntextodsazen">
    <w:name w:val="Body Text Indent"/>
    <w:basedOn w:val="Normln"/>
    <w:link w:val="ZkladntextodsazenChar"/>
    <w:semiHidden/>
    <w:rsid w:val="00C07BC3"/>
    <w:pPr>
      <w:spacing w:after="0" w:line="360" w:lineRule="auto"/>
      <w:ind w:firstLine="709"/>
      <w:jc w:val="both"/>
    </w:pPr>
    <w:rPr>
      <w:rFonts w:cs="Arial"/>
      <w:bCs/>
      <w:sz w:val="22"/>
      <w:szCs w:val="18"/>
    </w:rPr>
  </w:style>
  <w:style w:type="paragraph" w:styleId="Odstavecseseznamem">
    <w:name w:val="List Paragraph"/>
    <w:basedOn w:val="Normln"/>
    <w:uiPriority w:val="34"/>
    <w:qFormat/>
    <w:rsid w:val="00C07BC3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3C2208"/>
    <w:pPr>
      <w:spacing w:after="0" w:line="240" w:lineRule="auto"/>
    </w:pPr>
    <w:rPr>
      <w:rFonts w:ascii="Times New Roman" w:hAnsi="Times New Roman"/>
      <w:bCs/>
      <w:iCs/>
      <w:szCs w:val="20"/>
    </w:rPr>
  </w:style>
  <w:style w:type="paragraph" w:styleId="Normlnweb">
    <w:name w:val="Normal (Web)"/>
    <w:basedOn w:val="Normln"/>
    <w:semiHidden/>
    <w:qFormat/>
    <w:rsid w:val="00AD2963"/>
    <w:pPr>
      <w:spacing w:beforeAutospacing="1" w:afterAutospacing="1" w:line="240" w:lineRule="auto"/>
    </w:pPr>
    <w:rPr>
      <w:rFonts w:ascii="Arial Unicode MS" w:eastAsia="Arial Unicode MS" w:hAnsi="Arial Unicode MS" w:cs="Arial Unicode MS"/>
      <w:color w:val="000000"/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qFormat/>
    <w:rsid w:val="003461F0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qFormat/>
    <w:rsid w:val="003461F0"/>
    <w:pPr>
      <w:spacing w:after="120"/>
    </w:pPr>
    <w:rPr>
      <w:sz w:val="16"/>
      <w:szCs w:val="16"/>
    </w:rPr>
  </w:style>
  <w:style w:type="paragraph" w:customStyle="1" w:styleId="Default">
    <w:name w:val="Default"/>
    <w:qFormat/>
    <w:rsid w:val="00D068B5"/>
    <w:rPr>
      <w:rFonts w:ascii="EUAlbertina" w:hAnsi="EUAlbertina" w:cs="EUAlbertina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pPr>
      <w:spacing w:line="240" w:lineRule="auto"/>
    </w:pPr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E26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687FC-10CC-49D6-AD3E-A64998625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cermakova138</dc:creator>
  <dc:description/>
  <cp:lastModifiedBy>cermakova138</cp:lastModifiedBy>
  <cp:revision>5</cp:revision>
  <cp:lastPrinted>2021-07-26T12:57:00Z</cp:lastPrinted>
  <dcterms:created xsi:type="dcterms:W3CDTF">2021-09-02T12:06:00Z</dcterms:created>
  <dcterms:modified xsi:type="dcterms:W3CDTF">2021-09-03T13:04:00Z</dcterms:modified>
  <dc:language>cs-CZ</dc:language>
</cp:coreProperties>
</file>