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80" w:rsidRDefault="00C36780" w:rsidP="002E5331">
      <w:pPr>
        <w:spacing w:after="0"/>
        <w:rPr>
          <w:b/>
          <w:sz w:val="18"/>
        </w:rPr>
      </w:pPr>
    </w:p>
    <w:p w:rsidR="005A0A73" w:rsidRPr="005A0A73" w:rsidRDefault="00D60CF5" w:rsidP="005A0A73">
      <w:pPr>
        <w:spacing w:after="0"/>
        <w:rPr>
          <w:b/>
          <w:sz w:val="18"/>
        </w:rPr>
      </w:pPr>
      <w:r>
        <w:rPr>
          <w:b/>
          <w:sz w:val="18"/>
        </w:rPr>
        <w:t>31</w:t>
      </w:r>
      <w:r w:rsidR="005E7876">
        <w:rPr>
          <w:b/>
          <w:sz w:val="18"/>
        </w:rPr>
        <w:t>. 3</w:t>
      </w:r>
      <w:r w:rsidR="008A054C">
        <w:rPr>
          <w:b/>
          <w:sz w:val="18"/>
        </w:rPr>
        <w:t>. 2014</w:t>
      </w:r>
    </w:p>
    <w:p w:rsidR="002E5331" w:rsidRPr="005E5EBB" w:rsidRDefault="00FC03E0" w:rsidP="00041C98">
      <w:pPr>
        <w:spacing w:before="400" w:after="280"/>
        <w:rPr>
          <w:b/>
          <w:color w:val="BD1B21"/>
          <w:sz w:val="32"/>
        </w:rPr>
      </w:pPr>
      <w:r>
        <w:rPr>
          <w:b/>
          <w:color w:val="BD1B21"/>
          <w:sz w:val="32"/>
        </w:rPr>
        <w:t>Domácnosti jednotlivců</w:t>
      </w:r>
    </w:p>
    <w:p w:rsidR="00244312" w:rsidRDefault="00244312" w:rsidP="002C34C7">
      <w:pPr>
        <w:spacing w:after="0"/>
        <w:jc w:val="both"/>
        <w:rPr>
          <w:color w:val="0070C0"/>
        </w:rPr>
      </w:pPr>
    </w:p>
    <w:p w:rsidR="0037525C" w:rsidRPr="006E1088" w:rsidRDefault="007A0DE0" w:rsidP="00B32274">
      <w:pPr>
        <w:spacing w:after="240"/>
        <w:jc w:val="both"/>
        <w:rPr>
          <w:rFonts w:cs="Arial"/>
          <w:b/>
        </w:rPr>
      </w:pPr>
      <w:r>
        <w:rPr>
          <w:rFonts w:cs="Arial"/>
          <w:b/>
        </w:rPr>
        <w:t>Sčítání</w:t>
      </w:r>
      <w:r w:rsidR="00E50FBD">
        <w:rPr>
          <w:rFonts w:cs="Arial"/>
          <w:b/>
        </w:rPr>
        <w:t xml:space="preserve"> lidu, domů a bytů</w:t>
      </w:r>
      <w:r w:rsidR="00A7628A" w:rsidRPr="006E1088">
        <w:rPr>
          <w:rFonts w:cs="Arial"/>
          <w:b/>
        </w:rPr>
        <w:t xml:space="preserve"> </w:t>
      </w:r>
      <w:r w:rsidR="00AF230B" w:rsidRPr="006E1088">
        <w:rPr>
          <w:rFonts w:cs="Arial"/>
          <w:b/>
        </w:rPr>
        <w:t xml:space="preserve">představuje již po desetiletí </w:t>
      </w:r>
      <w:r w:rsidR="00E238BC" w:rsidRPr="006E1088">
        <w:rPr>
          <w:rFonts w:cs="Arial"/>
          <w:b/>
        </w:rPr>
        <w:t>jedinečný</w:t>
      </w:r>
      <w:r w:rsidR="006157AA">
        <w:rPr>
          <w:rFonts w:cs="Arial"/>
          <w:b/>
        </w:rPr>
        <w:t xml:space="preserve"> zdroj dat o </w:t>
      </w:r>
      <w:r w:rsidR="0037525C" w:rsidRPr="006E1088">
        <w:rPr>
          <w:rFonts w:cs="Arial"/>
          <w:b/>
        </w:rPr>
        <w:t>velikosti a </w:t>
      </w:r>
      <w:r w:rsidR="00AF230B" w:rsidRPr="006E1088">
        <w:rPr>
          <w:rFonts w:cs="Arial"/>
          <w:b/>
        </w:rPr>
        <w:t>struktuře domácností jak v nejnižším možném</w:t>
      </w:r>
      <w:r w:rsidR="00D242C7" w:rsidRPr="006E1088">
        <w:rPr>
          <w:rFonts w:cs="Arial"/>
          <w:b/>
        </w:rPr>
        <w:t xml:space="preserve"> územním detailu, tak v kombinaci s charakteristikami </w:t>
      </w:r>
      <w:r w:rsidR="0037525C" w:rsidRPr="006E1088">
        <w:rPr>
          <w:rFonts w:cs="Arial"/>
          <w:b/>
        </w:rPr>
        <w:t xml:space="preserve">úrovně </w:t>
      </w:r>
      <w:r w:rsidR="008C53EE">
        <w:rPr>
          <w:rFonts w:cs="Arial"/>
          <w:b/>
        </w:rPr>
        <w:t>bydlení. Mezi základní</w:t>
      </w:r>
      <w:r w:rsidR="001E38FC" w:rsidRPr="006E1088">
        <w:rPr>
          <w:rFonts w:cs="Arial"/>
          <w:b/>
        </w:rPr>
        <w:t xml:space="preserve"> </w:t>
      </w:r>
      <w:r w:rsidR="00F6547A">
        <w:rPr>
          <w:rFonts w:cs="Arial"/>
          <w:b/>
        </w:rPr>
        <w:t xml:space="preserve">dlouhodobé </w:t>
      </w:r>
      <w:r w:rsidR="00E118F2" w:rsidRPr="006E1088">
        <w:rPr>
          <w:rFonts w:cs="Arial"/>
          <w:b/>
        </w:rPr>
        <w:t>tendence</w:t>
      </w:r>
      <w:r w:rsidR="001E38FC" w:rsidRPr="006E1088">
        <w:rPr>
          <w:rFonts w:cs="Arial"/>
          <w:b/>
        </w:rPr>
        <w:t xml:space="preserve"> ve vývoji hospodařících domácností </w:t>
      </w:r>
      <w:r w:rsidR="0037525C" w:rsidRPr="006E1088">
        <w:rPr>
          <w:rFonts w:cs="Arial"/>
          <w:b/>
        </w:rPr>
        <w:t>patří</w:t>
      </w:r>
      <w:r w:rsidR="00E118F2" w:rsidRPr="006E1088">
        <w:rPr>
          <w:rFonts w:cs="Arial"/>
          <w:b/>
        </w:rPr>
        <w:t xml:space="preserve"> růst </w:t>
      </w:r>
      <w:r w:rsidR="00F6547A">
        <w:rPr>
          <w:rFonts w:cs="Arial"/>
          <w:b/>
        </w:rPr>
        <w:t xml:space="preserve">jejich </w:t>
      </w:r>
      <w:r w:rsidR="00E118F2" w:rsidRPr="006E1088">
        <w:rPr>
          <w:rFonts w:cs="Arial"/>
          <w:b/>
        </w:rPr>
        <w:t xml:space="preserve">počtu a zároveň snižování </w:t>
      </w:r>
      <w:r w:rsidR="00F6547A">
        <w:rPr>
          <w:rFonts w:cs="Arial"/>
          <w:b/>
        </w:rPr>
        <w:t xml:space="preserve">jejich </w:t>
      </w:r>
      <w:r w:rsidR="00E118F2" w:rsidRPr="006E1088">
        <w:rPr>
          <w:rFonts w:cs="Arial"/>
          <w:b/>
        </w:rPr>
        <w:t xml:space="preserve">průměrné velikosti. K tomuto trendu nejvíce přispívá významný nárůst </w:t>
      </w:r>
      <w:r w:rsidR="00F76B3B" w:rsidRPr="006E1088">
        <w:rPr>
          <w:rFonts w:cs="Arial"/>
          <w:b/>
        </w:rPr>
        <w:t>absolutního</w:t>
      </w:r>
      <w:r w:rsidR="00E118F2" w:rsidRPr="006E1088">
        <w:rPr>
          <w:rFonts w:cs="Arial"/>
          <w:b/>
        </w:rPr>
        <w:t xml:space="preserve"> počt</w:t>
      </w:r>
      <w:r w:rsidR="00F76B3B" w:rsidRPr="006E1088">
        <w:rPr>
          <w:rFonts w:cs="Arial"/>
          <w:b/>
        </w:rPr>
        <w:t xml:space="preserve">u domácností jednotlivců, který se při celkovém </w:t>
      </w:r>
      <w:r w:rsidR="00E238BC" w:rsidRPr="006E1088">
        <w:rPr>
          <w:rFonts w:cs="Arial"/>
          <w:b/>
        </w:rPr>
        <w:t>zvyšování</w:t>
      </w:r>
      <w:r w:rsidR="00F76B3B" w:rsidRPr="006E1088">
        <w:rPr>
          <w:rFonts w:cs="Arial"/>
          <w:b/>
        </w:rPr>
        <w:t xml:space="preserve"> počtu domácností o 30 % </w:t>
      </w:r>
      <w:r w:rsidR="00F6547A">
        <w:rPr>
          <w:rFonts w:cs="Arial"/>
          <w:b/>
        </w:rPr>
        <w:t xml:space="preserve">od roku 1970 </w:t>
      </w:r>
      <w:r w:rsidR="00F76B3B" w:rsidRPr="006E1088">
        <w:rPr>
          <w:rFonts w:cs="Arial"/>
          <w:b/>
        </w:rPr>
        <w:t>více než zdvojnásobil</w:t>
      </w:r>
      <w:r w:rsidR="0037525C" w:rsidRPr="006E1088">
        <w:rPr>
          <w:rFonts w:cs="Arial"/>
          <w:b/>
        </w:rPr>
        <w:t>.</w:t>
      </w:r>
      <w:r w:rsidR="006157AA">
        <w:rPr>
          <w:rFonts w:cs="Arial"/>
          <w:b/>
        </w:rPr>
        <w:t xml:space="preserve"> </w:t>
      </w:r>
    </w:p>
    <w:p w:rsidR="006E1088" w:rsidRPr="005A0A73" w:rsidRDefault="006E1088" w:rsidP="002E5331">
      <w:pPr>
        <w:spacing w:after="120"/>
        <w:jc w:val="both"/>
        <w:rPr>
          <w:rFonts w:cs="Arial"/>
          <w:b/>
          <w:color w:val="000000" w:themeColor="text1"/>
          <w:sz w:val="12"/>
        </w:rPr>
      </w:pPr>
    </w:p>
    <w:p w:rsidR="00DC01BF" w:rsidRPr="00577837" w:rsidRDefault="00DC01BF" w:rsidP="002E5331">
      <w:pPr>
        <w:spacing w:after="120"/>
        <w:jc w:val="both"/>
        <w:rPr>
          <w:rFonts w:cs="Arial"/>
          <w:b/>
          <w:color w:val="000000" w:themeColor="text1"/>
        </w:rPr>
      </w:pPr>
      <w:r w:rsidRPr="00577837">
        <w:rPr>
          <w:rFonts w:cs="Arial"/>
          <w:b/>
          <w:color w:val="000000" w:themeColor="text1"/>
        </w:rPr>
        <w:t>Metodické poznámky</w:t>
      </w:r>
    </w:p>
    <w:p w:rsidR="00DC01BF" w:rsidRPr="00577837" w:rsidRDefault="009925E3" w:rsidP="002E5331">
      <w:pPr>
        <w:spacing w:after="120"/>
        <w:jc w:val="both"/>
        <w:rPr>
          <w:rFonts w:cs="Arial"/>
          <w:color w:val="000000" w:themeColor="text1"/>
        </w:rPr>
      </w:pPr>
      <w:r>
        <w:rPr>
          <w:rFonts w:cs="Arial"/>
          <w:color w:val="000000" w:themeColor="text1"/>
        </w:rPr>
        <w:t>Sčítání lidu v roce 1930 bylo první</w:t>
      </w:r>
      <w:r w:rsidR="005B42C7">
        <w:rPr>
          <w:rFonts w:cs="Arial"/>
          <w:color w:val="000000" w:themeColor="text1"/>
        </w:rPr>
        <w:t>m</w:t>
      </w:r>
      <w:r>
        <w:rPr>
          <w:rFonts w:cs="Arial"/>
          <w:color w:val="000000" w:themeColor="text1"/>
        </w:rPr>
        <w:t xml:space="preserve"> sčítáním, kdy byly podrobněji zpracovávány údaje za rodiny a domácnosti. Jednalo se tehdy o tzv. soukromé domácnosti, tj. </w:t>
      </w:r>
      <w:r w:rsidR="001E14BF">
        <w:rPr>
          <w:rFonts w:cs="Arial"/>
          <w:color w:val="000000" w:themeColor="text1"/>
        </w:rPr>
        <w:t>skupiny osob, které spolu bydlí a hospodaří. Osoby a tzv. bytové strany (bytové domácnosti) byly zpracovávány pouze za obyvatelstvo přítomné.</w:t>
      </w:r>
      <w:r w:rsidR="00DC01BF" w:rsidRPr="00577837">
        <w:rPr>
          <w:rFonts w:cs="Arial"/>
          <w:color w:val="000000" w:themeColor="text1"/>
        </w:rPr>
        <w:t xml:space="preserve"> </w:t>
      </w:r>
      <w:r w:rsidR="001E14BF">
        <w:rPr>
          <w:rFonts w:cs="Arial"/>
          <w:color w:val="000000" w:themeColor="text1"/>
        </w:rPr>
        <w:t xml:space="preserve">V </w:t>
      </w:r>
      <w:r w:rsidR="00A7628A" w:rsidRPr="00577837">
        <w:rPr>
          <w:rFonts w:cs="Arial"/>
          <w:color w:val="000000" w:themeColor="text1"/>
        </w:rPr>
        <w:t>letech</w:t>
      </w:r>
      <w:r w:rsidR="002F3794" w:rsidRPr="00577837">
        <w:rPr>
          <w:rFonts w:cs="Arial"/>
          <w:color w:val="000000" w:themeColor="text1"/>
        </w:rPr>
        <w:t xml:space="preserve"> 1961</w:t>
      </w:r>
      <w:r w:rsidR="00663274">
        <w:rPr>
          <w:rFonts w:cs="Arial"/>
          <w:color w:val="000000" w:themeColor="text1"/>
        </w:rPr>
        <w:t>–</w:t>
      </w:r>
      <w:r w:rsidR="00A7628A" w:rsidRPr="00577837">
        <w:rPr>
          <w:rFonts w:cs="Arial"/>
          <w:color w:val="000000" w:themeColor="text1"/>
        </w:rPr>
        <w:t>2001</w:t>
      </w:r>
      <w:r w:rsidR="002F3794" w:rsidRPr="00577837">
        <w:rPr>
          <w:rFonts w:cs="Arial"/>
          <w:color w:val="000000" w:themeColor="text1"/>
        </w:rPr>
        <w:t xml:space="preserve"> bylo zpracování dat o domácnostech založeno na koncepci tzv. cenzových domácností jako nejmenších jednotek, konstruovaných na základě</w:t>
      </w:r>
      <w:r w:rsidR="00A7628A" w:rsidRPr="00577837">
        <w:rPr>
          <w:rFonts w:cs="Arial"/>
          <w:color w:val="000000" w:themeColor="text1"/>
        </w:rPr>
        <w:t xml:space="preserve"> vzájemných příbuzenských a jiných vztahů jednotli</w:t>
      </w:r>
      <w:r w:rsidR="006157AA">
        <w:rPr>
          <w:rFonts w:cs="Arial"/>
          <w:color w:val="000000" w:themeColor="text1"/>
        </w:rPr>
        <w:t xml:space="preserve">vých osob a od roku 1970 </w:t>
      </w:r>
      <w:r w:rsidR="00852EEF" w:rsidRPr="00852EEF">
        <w:rPr>
          <w:rFonts w:cs="Arial"/>
          <w:color w:val="000000" w:themeColor="text1"/>
        </w:rPr>
        <w:t>také na základě</w:t>
      </w:r>
      <w:r w:rsidR="006157AA" w:rsidRPr="00852EEF">
        <w:rPr>
          <w:rFonts w:cs="Arial"/>
          <w:color w:val="000000" w:themeColor="text1"/>
        </w:rPr>
        <w:t> </w:t>
      </w:r>
      <w:r w:rsidR="00A7628A" w:rsidRPr="00852EEF">
        <w:rPr>
          <w:rFonts w:cs="Arial"/>
          <w:color w:val="000000" w:themeColor="text1"/>
        </w:rPr>
        <w:t>prohlášení</w:t>
      </w:r>
      <w:r w:rsidR="00A7628A" w:rsidRPr="00577837">
        <w:rPr>
          <w:rFonts w:cs="Arial"/>
          <w:color w:val="000000" w:themeColor="text1"/>
        </w:rPr>
        <w:t xml:space="preserve"> o společném či odděleném hospodaření.</w:t>
      </w:r>
      <w:r w:rsidR="00663274">
        <w:rPr>
          <w:rFonts w:cs="Arial"/>
          <w:color w:val="000000" w:themeColor="text1"/>
        </w:rPr>
        <w:t xml:space="preserve"> V období 1970–</w:t>
      </w:r>
      <w:r w:rsidR="00F6547A">
        <w:rPr>
          <w:rFonts w:cs="Arial"/>
          <w:color w:val="000000" w:themeColor="text1"/>
        </w:rPr>
        <w:t xml:space="preserve">2001 tak byly konstruovány tři typy domácností (bytové, hospodařící a cenzové), které byly skladebné.  Bytová domácnost byla tvořena jednou nebo více domácnostmi hospodařícími, domácnost hospodařící pak </w:t>
      </w:r>
      <w:r w:rsidR="006E7469">
        <w:rPr>
          <w:rFonts w:cs="Arial"/>
          <w:color w:val="000000" w:themeColor="text1"/>
        </w:rPr>
        <w:t xml:space="preserve">byla </w:t>
      </w:r>
      <w:r w:rsidR="00F6547A">
        <w:rPr>
          <w:rFonts w:cs="Arial"/>
          <w:color w:val="000000" w:themeColor="text1"/>
        </w:rPr>
        <w:t xml:space="preserve">složena z jedné nebo více domácností cenzových.  </w:t>
      </w:r>
    </w:p>
    <w:p w:rsidR="00A7628A" w:rsidRPr="00577837" w:rsidRDefault="00A7628A" w:rsidP="002E5331">
      <w:pPr>
        <w:spacing w:after="120"/>
        <w:jc w:val="both"/>
        <w:rPr>
          <w:rFonts w:cs="Arial"/>
          <w:color w:val="000000" w:themeColor="text1"/>
        </w:rPr>
      </w:pPr>
      <w:r w:rsidRPr="00577837">
        <w:rPr>
          <w:rFonts w:cs="Arial"/>
          <w:i/>
          <w:color w:val="000000" w:themeColor="text1"/>
        </w:rPr>
        <w:t>Sčítání lidu, domů a bytů 2011</w:t>
      </w:r>
      <w:r w:rsidRPr="00577837">
        <w:rPr>
          <w:rFonts w:cs="Arial"/>
          <w:color w:val="000000" w:themeColor="text1"/>
        </w:rPr>
        <w:t xml:space="preserve"> umožnilo vzhledem k odlišnému způsobu </w:t>
      </w:r>
      <w:r w:rsidR="009A4D75" w:rsidRPr="00577837">
        <w:rPr>
          <w:rFonts w:cs="Arial"/>
          <w:color w:val="000000" w:themeColor="text1"/>
        </w:rPr>
        <w:t>organizace, sběru a </w:t>
      </w:r>
      <w:r w:rsidRPr="00577837">
        <w:rPr>
          <w:rFonts w:cs="Arial"/>
          <w:color w:val="000000" w:themeColor="text1"/>
        </w:rPr>
        <w:t xml:space="preserve">automatickému zpracování dat kvantifikovat pouze dva druhy domácností – </w:t>
      </w:r>
      <w:r w:rsidRPr="00577837">
        <w:rPr>
          <w:rFonts w:cs="Arial"/>
          <w:i/>
          <w:color w:val="000000" w:themeColor="text1"/>
        </w:rPr>
        <w:t xml:space="preserve">bytové </w:t>
      </w:r>
      <w:r w:rsidR="009A4D75" w:rsidRPr="00577837">
        <w:rPr>
          <w:rFonts w:cs="Arial"/>
          <w:i/>
          <w:color w:val="000000" w:themeColor="text1"/>
        </w:rPr>
        <w:t>a </w:t>
      </w:r>
      <w:r w:rsidRPr="00577837">
        <w:rPr>
          <w:rFonts w:cs="Arial"/>
          <w:i/>
          <w:color w:val="000000" w:themeColor="text1"/>
        </w:rPr>
        <w:t>hospodařící.</w:t>
      </w:r>
      <w:r w:rsidRPr="00577837">
        <w:rPr>
          <w:rFonts w:cs="Arial"/>
          <w:color w:val="000000" w:themeColor="text1"/>
        </w:rPr>
        <w:t xml:space="preserve"> </w:t>
      </w:r>
      <w:r w:rsidR="008A054C" w:rsidRPr="00FB4B2F">
        <w:rPr>
          <w:rFonts w:cs="Arial"/>
          <w:color w:val="000000" w:themeColor="text1"/>
        </w:rPr>
        <w:t>Cenzov</w:t>
      </w:r>
      <w:r w:rsidR="00FB4B2F" w:rsidRPr="00FB4B2F">
        <w:rPr>
          <w:rFonts w:cs="Arial"/>
          <w:color w:val="000000" w:themeColor="text1"/>
        </w:rPr>
        <w:t>ou</w:t>
      </w:r>
      <w:r w:rsidR="008A054C" w:rsidRPr="00FB4B2F">
        <w:rPr>
          <w:rFonts w:cs="Arial"/>
          <w:color w:val="000000" w:themeColor="text1"/>
        </w:rPr>
        <w:t xml:space="preserve"> domácnost </w:t>
      </w:r>
      <w:r w:rsidR="00FB4B2F">
        <w:rPr>
          <w:rFonts w:cs="Arial"/>
          <w:color w:val="000000" w:themeColor="text1"/>
        </w:rPr>
        <w:t>nebylo možné pro všechny typy domácností beze zbytku zkonstruovat</w:t>
      </w:r>
      <w:r w:rsidR="008A054C" w:rsidRPr="00577837">
        <w:rPr>
          <w:rFonts w:cs="Arial"/>
          <w:color w:val="000000" w:themeColor="text1"/>
        </w:rPr>
        <w:t xml:space="preserve">. </w:t>
      </w:r>
      <w:r w:rsidRPr="00577837">
        <w:rPr>
          <w:rFonts w:cs="Arial"/>
          <w:color w:val="000000" w:themeColor="text1"/>
        </w:rPr>
        <w:t xml:space="preserve">Informační ztráta </w:t>
      </w:r>
      <w:r w:rsidR="008A054C" w:rsidRPr="00577837">
        <w:rPr>
          <w:rFonts w:cs="Arial"/>
          <w:color w:val="000000" w:themeColor="text1"/>
        </w:rPr>
        <w:t>je však celkově nevýznamná, jelikož z důvodu dlouhodobého s</w:t>
      </w:r>
      <w:r w:rsidR="00B64C44">
        <w:rPr>
          <w:rFonts w:cs="Arial"/>
          <w:color w:val="000000" w:themeColor="text1"/>
        </w:rPr>
        <w:t>bližování počtu hospodařících a </w:t>
      </w:r>
      <w:r w:rsidR="008A054C" w:rsidRPr="00577837">
        <w:rPr>
          <w:rFonts w:cs="Arial"/>
          <w:color w:val="000000" w:themeColor="text1"/>
        </w:rPr>
        <w:t xml:space="preserve">cenzových domácností </w:t>
      </w:r>
      <w:r w:rsidR="009A4D75" w:rsidRPr="00577837">
        <w:rPr>
          <w:rFonts w:cs="Arial"/>
          <w:color w:val="000000" w:themeColor="text1"/>
        </w:rPr>
        <w:t>bylo</w:t>
      </w:r>
      <w:r w:rsidR="006157AA">
        <w:rPr>
          <w:rFonts w:cs="Arial"/>
          <w:color w:val="000000" w:themeColor="text1"/>
        </w:rPr>
        <w:t xml:space="preserve"> již v roce 2001</w:t>
      </w:r>
      <w:r w:rsidR="009A4D75" w:rsidRPr="00577837">
        <w:rPr>
          <w:rFonts w:cs="Arial"/>
          <w:color w:val="000000" w:themeColor="text1"/>
        </w:rPr>
        <w:t xml:space="preserve"> téměř 99 % hospodařících domácností tvořeno pouze jed</w:t>
      </w:r>
      <w:r w:rsidR="00BA0C9E">
        <w:rPr>
          <w:rFonts w:cs="Arial"/>
          <w:color w:val="000000" w:themeColor="text1"/>
        </w:rPr>
        <w:t>i</w:t>
      </w:r>
      <w:r w:rsidR="009A4D75" w:rsidRPr="00577837">
        <w:rPr>
          <w:rFonts w:cs="Arial"/>
          <w:color w:val="000000" w:themeColor="text1"/>
        </w:rPr>
        <w:t xml:space="preserve">nou cenzovou domácností. </w:t>
      </w:r>
    </w:p>
    <w:p w:rsidR="00F44CFA" w:rsidRPr="00577837" w:rsidRDefault="009A4D75" w:rsidP="002E5331">
      <w:pPr>
        <w:spacing w:after="120"/>
        <w:jc w:val="both"/>
        <w:rPr>
          <w:rFonts w:cs="Arial"/>
          <w:color w:val="000000" w:themeColor="text1"/>
        </w:rPr>
      </w:pPr>
      <w:r w:rsidRPr="00577837">
        <w:rPr>
          <w:rFonts w:cs="Arial"/>
          <w:color w:val="000000" w:themeColor="text1"/>
        </w:rPr>
        <w:t>Údaje o domácnostech byly v</w:t>
      </w:r>
      <w:r w:rsidR="00663274">
        <w:rPr>
          <w:rFonts w:cs="Arial"/>
          <w:color w:val="000000" w:themeColor="text1"/>
        </w:rPr>
        <w:t>e</w:t>
      </w:r>
      <w:r w:rsidRPr="00577837">
        <w:rPr>
          <w:rFonts w:cs="Arial"/>
          <w:color w:val="000000" w:themeColor="text1"/>
        </w:rPr>
        <w:t> </w:t>
      </w:r>
      <w:r w:rsidR="00E50FBD">
        <w:rPr>
          <w:rFonts w:cs="Arial"/>
          <w:color w:val="000000" w:themeColor="text1"/>
        </w:rPr>
        <w:t>sčítání</w:t>
      </w:r>
      <w:r w:rsidRPr="00577837">
        <w:rPr>
          <w:rFonts w:cs="Arial"/>
          <w:color w:val="000000" w:themeColor="text1"/>
        </w:rPr>
        <w:t xml:space="preserve"> 2011 zpracovány </w:t>
      </w:r>
      <w:r w:rsidR="0028675D">
        <w:rPr>
          <w:rFonts w:cs="Arial"/>
          <w:color w:val="000000" w:themeColor="text1"/>
        </w:rPr>
        <w:t>podle zápisů na druhé straně b</w:t>
      </w:r>
      <w:r w:rsidRPr="00577837">
        <w:rPr>
          <w:rFonts w:cs="Arial"/>
          <w:color w:val="000000" w:themeColor="text1"/>
        </w:rPr>
        <w:t>ytového listu</w:t>
      </w:r>
      <w:r w:rsidR="00F44CFA" w:rsidRPr="00577837">
        <w:rPr>
          <w:rFonts w:cs="Arial"/>
          <w:color w:val="000000" w:themeColor="text1"/>
        </w:rPr>
        <w:t xml:space="preserve">, kde osoby zaznamenaly příbuzenské a jiné vztahy v rámci jedné hospodařící domácnosti. Základním rozdílem v metodice odvozování domácností pramenící z mezinárodních </w:t>
      </w:r>
      <w:r w:rsidR="00440198" w:rsidRPr="00577837">
        <w:rPr>
          <w:rFonts w:cs="Arial"/>
          <w:color w:val="000000" w:themeColor="text1"/>
        </w:rPr>
        <w:t>nařízení</w:t>
      </w:r>
      <w:r w:rsidR="00440198" w:rsidRPr="00577837">
        <w:rPr>
          <w:rStyle w:val="Znakapoznpodarou"/>
          <w:rFonts w:cs="Arial"/>
          <w:color w:val="000000" w:themeColor="text1"/>
        </w:rPr>
        <w:footnoteReference w:id="1"/>
      </w:r>
      <w:r w:rsidR="00B64C44">
        <w:rPr>
          <w:rFonts w:cs="Arial"/>
          <w:color w:val="000000" w:themeColor="text1"/>
        </w:rPr>
        <w:t xml:space="preserve"> a </w:t>
      </w:r>
      <w:r w:rsidR="00F44CFA" w:rsidRPr="00577837">
        <w:rPr>
          <w:rFonts w:cs="Arial"/>
          <w:color w:val="000000" w:themeColor="text1"/>
        </w:rPr>
        <w:t xml:space="preserve">doporučení je zařazování osob do jedné domácnosti na základě </w:t>
      </w:r>
      <w:r w:rsidR="001C0142" w:rsidRPr="00577837">
        <w:rPr>
          <w:rFonts w:cs="Arial"/>
          <w:color w:val="000000" w:themeColor="text1"/>
        </w:rPr>
        <w:t xml:space="preserve">společného </w:t>
      </w:r>
      <w:r w:rsidR="001C0142" w:rsidRPr="00577837">
        <w:rPr>
          <w:rFonts w:cs="Arial"/>
          <w:i/>
          <w:color w:val="000000" w:themeColor="text1"/>
        </w:rPr>
        <w:t>místa obvyklého pobytu</w:t>
      </w:r>
      <w:r w:rsidR="001C0142" w:rsidRPr="00577837">
        <w:rPr>
          <w:rFonts w:cs="Arial"/>
          <w:color w:val="000000" w:themeColor="text1"/>
        </w:rPr>
        <w:t xml:space="preserve">. </w:t>
      </w:r>
      <w:r w:rsidR="001C0142" w:rsidRPr="00577837">
        <w:rPr>
          <w:rFonts w:cs="Arial"/>
          <w:color w:val="000000"/>
        </w:rPr>
        <w:t xml:space="preserve">Nový přístup může sice do určité míry komplikovat srovnatelnost výsledků v delší časové řadě, </w:t>
      </w:r>
      <w:r w:rsidR="00B64C44">
        <w:rPr>
          <w:rFonts w:cs="Arial"/>
          <w:color w:val="000000"/>
        </w:rPr>
        <w:t>nicméně</w:t>
      </w:r>
      <w:r w:rsidR="001C0142" w:rsidRPr="00577837">
        <w:rPr>
          <w:rFonts w:cs="Arial"/>
          <w:color w:val="000000"/>
        </w:rPr>
        <w:t xml:space="preserve"> </w:t>
      </w:r>
      <w:r w:rsidR="00B64C44">
        <w:rPr>
          <w:rFonts w:cs="Arial"/>
          <w:color w:val="000000"/>
        </w:rPr>
        <w:t>důležitou</w:t>
      </w:r>
      <w:r w:rsidR="001C0142" w:rsidRPr="00577837">
        <w:rPr>
          <w:rFonts w:cs="Arial"/>
          <w:color w:val="000000"/>
        </w:rPr>
        <w:t xml:space="preserve"> výhod</w:t>
      </w:r>
      <w:r w:rsidR="00B64C44">
        <w:rPr>
          <w:rFonts w:cs="Arial"/>
          <w:color w:val="000000"/>
        </w:rPr>
        <w:t>ou</w:t>
      </w:r>
      <w:r w:rsidR="001C0142" w:rsidRPr="00577837">
        <w:rPr>
          <w:rFonts w:cs="Arial"/>
          <w:color w:val="000000"/>
        </w:rPr>
        <w:t xml:space="preserve"> je odhalení spolehlivějšího počtu a struktury domácností, které mohly být v dřívějších sčítáních </w:t>
      </w:r>
      <w:r w:rsidR="00F6547A">
        <w:rPr>
          <w:rFonts w:cs="Arial"/>
          <w:color w:val="000000"/>
        </w:rPr>
        <w:t xml:space="preserve">částečně </w:t>
      </w:r>
      <w:r w:rsidR="001C0142" w:rsidRPr="00577837">
        <w:rPr>
          <w:rFonts w:cs="Arial"/>
          <w:color w:val="000000"/>
        </w:rPr>
        <w:t xml:space="preserve">zkresleny </w:t>
      </w:r>
      <w:r w:rsidR="00D42477">
        <w:rPr>
          <w:rFonts w:cs="Arial"/>
          <w:color w:val="000000"/>
        </w:rPr>
        <w:t xml:space="preserve">– např. domácnosti jednotlivců či </w:t>
      </w:r>
      <w:r w:rsidR="001C0142" w:rsidRPr="00577837">
        <w:rPr>
          <w:rFonts w:cs="Arial"/>
          <w:color w:val="000000"/>
        </w:rPr>
        <w:t>nese</w:t>
      </w:r>
      <w:r w:rsidR="00E730B8">
        <w:rPr>
          <w:rFonts w:cs="Arial"/>
          <w:color w:val="000000"/>
        </w:rPr>
        <w:t>z</w:t>
      </w:r>
      <w:r w:rsidR="001C0142" w:rsidRPr="00577837">
        <w:rPr>
          <w:rFonts w:cs="Arial"/>
          <w:color w:val="000000"/>
        </w:rPr>
        <w:t>daných soužití</w:t>
      </w:r>
      <w:r w:rsidR="00035294">
        <w:rPr>
          <w:rFonts w:cs="Arial"/>
          <w:color w:val="000000"/>
        </w:rPr>
        <w:t xml:space="preserve"> osob</w:t>
      </w:r>
      <w:r w:rsidR="001C0142" w:rsidRPr="00577837">
        <w:rPr>
          <w:rFonts w:cs="Arial"/>
          <w:color w:val="000000"/>
        </w:rPr>
        <w:t>, které spolu fakticky žijí v jedné domácnosti, přestože mají odlišné trvalé bydliště</w:t>
      </w:r>
      <w:r w:rsidR="00DF1E6F" w:rsidRPr="00577837">
        <w:rPr>
          <w:rFonts w:cs="Arial"/>
          <w:color w:val="000000" w:themeColor="text1"/>
        </w:rPr>
        <w:t>.</w:t>
      </w:r>
    </w:p>
    <w:p w:rsidR="00101377" w:rsidRDefault="00101377" w:rsidP="002E5331">
      <w:pPr>
        <w:spacing w:after="120"/>
        <w:jc w:val="both"/>
        <w:rPr>
          <w:rFonts w:cs="Arial"/>
          <w:color w:val="000000" w:themeColor="text1"/>
        </w:rPr>
      </w:pPr>
    </w:p>
    <w:p w:rsidR="00DF1E6F" w:rsidRPr="00577837" w:rsidRDefault="00B64C44" w:rsidP="002E5331">
      <w:pPr>
        <w:spacing w:after="120"/>
        <w:jc w:val="both"/>
        <w:rPr>
          <w:rFonts w:cs="Arial"/>
          <w:color w:val="000000" w:themeColor="text1"/>
        </w:rPr>
      </w:pPr>
      <w:r>
        <w:rPr>
          <w:rFonts w:cs="Arial"/>
          <w:color w:val="000000" w:themeColor="text1"/>
        </w:rPr>
        <w:lastRenderedPageBreak/>
        <w:t>V </w:t>
      </w:r>
      <w:r w:rsidR="00F6547A">
        <w:rPr>
          <w:rFonts w:cs="Arial"/>
          <w:color w:val="000000" w:themeColor="text1"/>
        </w:rPr>
        <w:t>roce</w:t>
      </w:r>
      <w:r>
        <w:rPr>
          <w:rFonts w:cs="Arial"/>
          <w:color w:val="000000" w:themeColor="text1"/>
        </w:rPr>
        <w:t xml:space="preserve"> 2011 se r</w:t>
      </w:r>
      <w:r w:rsidR="00DF1E6F" w:rsidRPr="00577837">
        <w:rPr>
          <w:rFonts w:cs="Arial"/>
          <w:color w:val="000000" w:themeColor="text1"/>
        </w:rPr>
        <w:t xml:space="preserve">ozlišovaly 2 druhy </w:t>
      </w:r>
      <w:r>
        <w:rPr>
          <w:rFonts w:cs="Arial"/>
          <w:color w:val="000000" w:themeColor="text1"/>
        </w:rPr>
        <w:t>domácností</w:t>
      </w:r>
      <w:r w:rsidR="00DF1E6F" w:rsidRPr="00577837">
        <w:rPr>
          <w:rFonts w:cs="Arial"/>
          <w:color w:val="000000" w:themeColor="text1"/>
        </w:rPr>
        <w:t>:</w:t>
      </w:r>
    </w:p>
    <w:p w:rsidR="00DF1E6F" w:rsidRPr="00577837" w:rsidRDefault="00DF1E6F" w:rsidP="002E5331">
      <w:pPr>
        <w:spacing w:after="120"/>
        <w:jc w:val="both"/>
        <w:rPr>
          <w:rFonts w:cs="Arial"/>
          <w:color w:val="000000" w:themeColor="text1"/>
        </w:rPr>
      </w:pPr>
      <w:r w:rsidRPr="00577837">
        <w:rPr>
          <w:rFonts w:cs="Arial"/>
          <w:b/>
          <w:color w:val="000000" w:themeColor="text1"/>
        </w:rPr>
        <w:t>Bytovou domácnost</w:t>
      </w:r>
      <w:r w:rsidRPr="00577837">
        <w:rPr>
          <w:rFonts w:cs="Arial"/>
          <w:color w:val="000000" w:themeColor="text1"/>
        </w:rPr>
        <w:t xml:space="preserve"> tvoří osoby žijící společně v jednom bytě.</w:t>
      </w:r>
    </w:p>
    <w:p w:rsidR="00DF1E6F" w:rsidRPr="00577837" w:rsidRDefault="00DF1E6F" w:rsidP="002E5331">
      <w:pPr>
        <w:spacing w:after="120"/>
        <w:jc w:val="both"/>
        <w:rPr>
          <w:rFonts w:cs="Arial"/>
          <w:color w:val="000000" w:themeColor="text1"/>
        </w:rPr>
      </w:pPr>
      <w:r w:rsidRPr="00577837">
        <w:rPr>
          <w:rFonts w:cs="Arial"/>
          <w:b/>
          <w:color w:val="000000" w:themeColor="text1"/>
        </w:rPr>
        <w:t>Hospodařící domácnost</w:t>
      </w:r>
      <w:r w:rsidRPr="00577837">
        <w:rPr>
          <w:rFonts w:cs="Arial"/>
          <w:color w:val="000000" w:themeColor="text1"/>
        </w:rPr>
        <w:t xml:space="preserve"> tvoří osoby, které společně hospodaří, tj. společně hradí výdaje domácnosti, jako je strava, náklady na bydlení aj. Společné hospodaření se vztahuje i na děti, které do příslušné domácnosti patří, i přestože samy na výdaje domácnosti nepřispívají. Hospodařící domácnost může být typu:</w:t>
      </w:r>
    </w:p>
    <w:p w:rsidR="00DF1E6F" w:rsidRPr="00577837" w:rsidRDefault="00DF1E6F" w:rsidP="00500B18">
      <w:pPr>
        <w:pStyle w:val="Odstavecseseznamem"/>
        <w:numPr>
          <w:ilvl w:val="0"/>
          <w:numId w:val="1"/>
        </w:numPr>
        <w:spacing w:after="120"/>
        <w:jc w:val="both"/>
        <w:rPr>
          <w:rFonts w:cs="Arial"/>
          <w:color w:val="000000" w:themeColor="text1"/>
        </w:rPr>
      </w:pPr>
      <w:r w:rsidRPr="00577837">
        <w:rPr>
          <w:rFonts w:cs="Arial"/>
          <w:i/>
          <w:color w:val="000000" w:themeColor="text1"/>
        </w:rPr>
        <w:t>Domácnost rodinná – tvořená 1 úplnou rodinou</w:t>
      </w:r>
      <w:r w:rsidRPr="00577837">
        <w:rPr>
          <w:rFonts w:cs="Arial"/>
          <w:color w:val="000000" w:themeColor="text1"/>
        </w:rPr>
        <w:t xml:space="preserve"> (manželský pár, neformální soužití druha a družky</w:t>
      </w:r>
      <w:r w:rsidR="00500B18" w:rsidRPr="00577837">
        <w:rPr>
          <w:rFonts w:cs="Arial"/>
          <w:color w:val="000000" w:themeColor="text1"/>
        </w:rPr>
        <w:t xml:space="preserve"> – tzv. faktické manželství, registrované partnerství, příp. neformální soužití osob stejného pohlaví – tzv. faktická partnerství, a to ve všech případech s dětmi nebo bez dětí)</w:t>
      </w:r>
    </w:p>
    <w:p w:rsidR="00500B18" w:rsidRPr="00577837" w:rsidRDefault="00500B18" w:rsidP="00500B18">
      <w:pPr>
        <w:pStyle w:val="Odstavecseseznamem"/>
        <w:numPr>
          <w:ilvl w:val="0"/>
          <w:numId w:val="1"/>
        </w:numPr>
        <w:spacing w:after="120"/>
        <w:jc w:val="both"/>
        <w:rPr>
          <w:rFonts w:cs="Arial"/>
          <w:color w:val="000000" w:themeColor="text1"/>
        </w:rPr>
      </w:pPr>
      <w:r w:rsidRPr="00577837">
        <w:rPr>
          <w:rFonts w:cs="Arial"/>
          <w:i/>
          <w:color w:val="000000" w:themeColor="text1"/>
        </w:rPr>
        <w:t>Domácnost rodinná – tvořená 1 neúplnou rodinou</w:t>
      </w:r>
      <w:r w:rsidRPr="00577837">
        <w:rPr>
          <w:rFonts w:cs="Arial"/>
          <w:color w:val="000000" w:themeColor="text1"/>
        </w:rPr>
        <w:t xml:space="preserve"> (jeden z rodičů s alespoň jedním dítětem)</w:t>
      </w:r>
    </w:p>
    <w:p w:rsidR="00500B18" w:rsidRPr="00577837" w:rsidRDefault="00500B18" w:rsidP="00500B18">
      <w:pPr>
        <w:pStyle w:val="Odstavecseseznamem"/>
        <w:numPr>
          <w:ilvl w:val="0"/>
          <w:numId w:val="1"/>
        </w:numPr>
        <w:spacing w:after="120"/>
        <w:jc w:val="both"/>
        <w:rPr>
          <w:rFonts w:cs="Arial"/>
          <w:i/>
          <w:color w:val="000000" w:themeColor="text1"/>
        </w:rPr>
      </w:pPr>
      <w:r w:rsidRPr="00577837">
        <w:rPr>
          <w:rFonts w:cs="Arial"/>
          <w:i/>
          <w:color w:val="000000" w:themeColor="text1"/>
        </w:rPr>
        <w:t>Domácnost rodinná – tvořená 2 a více rodinami</w:t>
      </w:r>
    </w:p>
    <w:p w:rsidR="00500B18" w:rsidRPr="00577837" w:rsidRDefault="00500B18" w:rsidP="00500B18">
      <w:pPr>
        <w:pStyle w:val="Odstavecseseznamem"/>
        <w:numPr>
          <w:ilvl w:val="0"/>
          <w:numId w:val="1"/>
        </w:numPr>
        <w:spacing w:after="120"/>
        <w:jc w:val="both"/>
        <w:rPr>
          <w:rFonts w:cs="Arial"/>
          <w:color w:val="000000" w:themeColor="text1"/>
        </w:rPr>
      </w:pPr>
      <w:r w:rsidRPr="00577837">
        <w:rPr>
          <w:rFonts w:cs="Arial"/>
          <w:i/>
          <w:color w:val="000000" w:themeColor="text1"/>
        </w:rPr>
        <w:t>Domácnost nerodinná vícečlenná</w:t>
      </w:r>
      <w:r w:rsidRPr="00577837">
        <w:rPr>
          <w:rFonts w:cs="Arial"/>
          <w:color w:val="000000" w:themeColor="text1"/>
        </w:rPr>
        <w:t xml:space="preserve"> (dvě nebo více osob příbuzných i nepříbuzných, které společně hospodaří; do této kategorie se řadí také domácnost prarodičů s vnoučaty)</w:t>
      </w:r>
    </w:p>
    <w:p w:rsidR="00500B18" w:rsidRPr="00577837" w:rsidRDefault="00500B18" w:rsidP="00500B18">
      <w:pPr>
        <w:pStyle w:val="Odstavecseseznamem"/>
        <w:numPr>
          <w:ilvl w:val="0"/>
          <w:numId w:val="1"/>
        </w:numPr>
        <w:spacing w:after="120"/>
        <w:jc w:val="both"/>
        <w:rPr>
          <w:rFonts w:cs="Arial"/>
          <w:i/>
          <w:color w:val="000000" w:themeColor="text1"/>
        </w:rPr>
      </w:pPr>
      <w:r w:rsidRPr="00577837">
        <w:rPr>
          <w:rFonts w:cs="Arial"/>
          <w:i/>
          <w:color w:val="000000" w:themeColor="text1"/>
        </w:rPr>
        <w:t>Domácnost jednotlivce</w:t>
      </w:r>
    </w:p>
    <w:p w:rsidR="00F94835" w:rsidRPr="00577837" w:rsidRDefault="00F6547A" w:rsidP="002E5331">
      <w:pPr>
        <w:spacing w:after="120"/>
        <w:jc w:val="both"/>
        <w:rPr>
          <w:rFonts w:cs="Arial"/>
          <w:color w:val="000000" w:themeColor="text1"/>
        </w:rPr>
      </w:pPr>
      <w:r>
        <w:rPr>
          <w:rFonts w:cs="Arial"/>
          <w:color w:val="000000" w:themeColor="text1"/>
        </w:rPr>
        <w:t>Domácnost jednotlivce</w:t>
      </w:r>
      <w:r w:rsidR="006E716E">
        <w:rPr>
          <w:rFonts w:cs="Arial"/>
          <w:color w:val="000000" w:themeColor="text1"/>
        </w:rPr>
        <w:t xml:space="preserve"> </w:t>
      </w:r>
      <w:r w:rsidR="005E1C7A" w:rsidRPr="00577837">
        <w:rPr>
          <w:rFonts w:cs="Arial"/>
          <w:color w:val="000000" w:themeColor="text1"/>
        </w:rPr>
        <w:t xml:space="preserve">tvoří jednotlivá </w:t>
      </w:r>
      <w:r w:rsidR="0025011B">
        <w:rPr>
          <w:rFonts w:cs="Arial"/>
          <w:color w:val="000000" w:themeColor="text1"/>
        </w:rPr>
        <w:t xml:space="preserve">minimálně 15letá </w:t>
      </w:r>
      <w:r w:rsidR="005E1C7A" w:rsidRPr="00577837">
        <w:rPr>
          <w:rFonts w:cs="Arial"/>
          <w:color w:val="000000" w:themeColor="text1"/>
        </w:rPr>
        <w:t xml:space="preserve">osoba samostatně hospodařící, která žije v bytě sama nebo s další hospodařící domácností. </w:t>
      </w:r>
      <w:r w:rsidR="005A0A73">
        <w:rPr>
          <w:rFonts w:cs="Arial"/>
          <w:color w:val="000000" w:themeColor="text1"/>
        </w:rPr>
        <w:t>I v</w:t>
      </w:r>
      <w:r w:rsidR="005E1C7A" w:rsidRPr="00577837">
        <w:rPr>
          <w:rFonts w:cs="Arial"/>
          <w:color w:val="000000" w:themeColor="text1"/>
        </w:rPr>
        <w:t> předchozí</w:t>
      </w:r>
      <w:r w:rsidR="009E081C" w:rsidRPr="00577837">
        <w:rPr>
          <w:rFonts w:cs="Arial"/>
          <w:color w:val="000000" w:themeColor="text1"/>
        </w:rPr>
        <w:t>m</w:t>
      </w:r>
      <w:r w:rsidR="005E1C7A" w:rsidRPr="00577837">
        <w:rPr>
          <w:rFonts w:cs="Arial"/>
          <w:color w:val="000000" w:themeColor="text1"/>
        </w:rPr>
        <w:t xml:space="preserve"> sčítání</w:t>
      </w:r>
      <w:r w:rsidR="009E081C" w:rsidRPr="00577837">
        <w:rPr>
          <w:rFonts w:cs="Arial"/>
          <w:color w:val="000000" w:themeColor="text1"/>
        </w:rPr>
        <w:t xml:space="preserve"> v roce 2001</w:t>
      </w:r>
      <w:r w:rsidR="005E1C7A" w:rsidRPr="00577837">
        <w:rPr>
          <w:rFonts w:cs="Arial"/>
          <w:color w:val="000000" w:themeColor="text1"/>
        </w:rPr>
        <w:t xml:space="preserve">, kdy </w:t>
      </w:r>
      <w:r w:rsidR="005A0A73">
        <w:rPr>
          <w:rFonts w:cs="Arial"/>
          <w:color w:val="000000" w:themeColor="text1"/>
        </w:rPr>
        <w:t xml:space="preserve">byla </w:t>
      </w:r>
      <w:r w:rsidR="005E1C7A" w:rsidRPr="00577837">
        <w:rPr>
          <w:rFonts w:cs="Arial"/>
          <w:color w:val="000000" w:themeColor="text1"/>
        </w:rPr>
        <w:t xml:space="preserve">základní jednotkou domácnost cenzová, bylo při zpracování domácností </w:t>
      </w:r>
      <w:r w:rsidR="008D0FF2" w:rsidRPr="00577837">
        <w:rPr>
          <w:rFonts w:cs="Arial"/>
          <w:color w:val="000000" w:themeColor="text1"/>
        </w:rPr>
        <w:t>jednotlivců</w:t>
      </w:r>
      <w:r w:rsidR="006E7469">
        <w:rPr>
          <w:rFonts w:cs="Arial"/>
          <w:color w:val="000000" w:themeColor="text1"/>
        </w:rPr>
        <w:t xml:space="preserve"> klíčové samostatné hospodaření, p</w:t>
      </w:r>
      <w:r w:rsidR="008D0FF2" w:rsidRPr="00577837">
        <w:rPr>
          <w:rFonts w:cs="Arial"/>
          <w:color w:val="000000" w:themeColor="text1"/>
        </w:rPr>
        <w:t xml:space="preserve">roto v případě jednotlivců </w:t>
      </w:r>
      <w:r w:rsidR="00F75965">
        <w:rPr>
          <w:rFonts w:cs="Arial"/>
          <w:color w:val="000000" w:themeColor="text1"/>
        </w:rPr>
        <w:t xml:space="preserve">byla </w:t>
      </w:r>
      <w:r w:rsidR="008D0FF2" w:rsidRPr="00577837">
        <w:rPr>
          <w:rFonts w:cs="Arial"/>
          <w:color w:val="000000" w:themeColor="text1"/>
        </w:rPr>
        <w:t>cenzová domácnost totožná s domácností hospodařící.</w:t>
      </w:r>
      <w:r w:rsidR="009E081C" w:rsidRPr="00577837">
        <w:rPr>
          <w:rFonts w:cs="Arial"/>
          <w:color w:val="000000" w:themeColor="text1"/>
        </w:rPr>
        <w:t xml:space="preserve"> V některých případech při sčítáních 1980 a 1991 mohly být vymezeny i cenzové domácnosti jednotlivců, které nebyly totožné s domácností hospodařící</w:t>
      </w:r>
      <w:r w:rsidR="00440198" w:rsidRPr="00577837">
        <w:rPr>
          <w:rStyle w:val="Znakapoznpodarou"/>
          <w:rFonts w:cs="Arial"/>
          <w:color w:val="000000" w:themeColor="text1"/>
        </w:rPr>
        <w:footnoteReference w:id="2"/>
      </w:r>
      <w:r w:rsidR="009E081C" w:rsidRPr="00577837">
        <w:rPr>
          <w:rFonts w:cs="Arial"/>
          <w:color w:val="000000" w:themeColor="text1"/>
        </w:rPr>
        <w:t>.</w:t>
      </w:r>
    </w:p>
    <w:p w:rsidR="00DC0EC3" w:rsidRDefault="004B42F9" w:rsidP="00B32274">
      <w:pPr>
        <w:spacing w:after="240"/>
        <w:jc w:val="both"/>
        <w:rPr>
          <w:color w:val="000000" w:themeColor="text1"/>
        </w:rPr>
      </w:pPr>
      <w:r>
        <w:rPr>
          <w:color w:val="000000" w:themeColor="text1"/>
        </w:rPr>
        <w:t xml:space="preserve">Zjišťovány byly </w:t>
      </w:r>
      <w:r w:rsidR="00035294">
        <w:rPr>
          <w:color w:val="000000" w:themeColor="text1"/>
        </w:rPr>
        <w:t xml:space="preserve">v roce 2011 </w:t>
      </w:r>
      <w:r>
        <w:rPr>
          <w:color w:val="000000" w:themeColor="text1"/>
        </w:rPr>
        <w:t>hospodařící domácno</w:t>
      </w:r>
      <w:r w:rsidR="00A45A97">
        <w:rPr>
          <w:color w:val="000000" w:themeColor="text1"/>
        </w:rPr>
        <w:t>sti v bytech, mimo byty</w:t>
      </w:r>
      <w:r w:rsidR="00A45A97">
        <w:rPr>
          <w:rStyle w:val="Znakapoznpodarou"/>
          <w:color w:val="000000" w:themeColor="text1"/>
        </w:rPr>
        <w:footnoteReference w:id="3"/>
      </w:r>
      <w:r w:rsidR="00723DF0">
        <w:rPr>
          <w:color w:val="000000" w:themeColor="text1"/>
        </w:rPr>
        <w:t xml:space="preserve"> a nově byly zpracovávány údaje za rodinné domácnosti </w:t>
      </w:r>
      <w:r w:rsidR="008A1537">
        <w:rPr>
          <w:color w:val="000000" w:themeColor="text1"/>
        </w:rPr>
        <w:t xml:space="preserve">bydlící </w:t>
      </w:r>
      <w:r w:rsidR="00723DF0" w:rsidRPr="003B616F">
        <w:rPr>
          <w:color w:val="000000" w:themeColor="text1"/>
        </w:rPr>
        <w:t>v zařízení</w:t>
      </w:r>
      <w:r w:rsidR="003B616F" w:rsidRPr="003B616F">
        <w:rPr>
          <w:color w:val="000000" w:themeColor="text1"/>
        </w:rPr>
        <w:t>ch</w:t>
      </w:r>
      <w:r w:rsidR="00723DF0" w:rsidRPr="003B616F">
        <w:rPr>
          <w:color w:val="000000" w:themeColor="text1"/>
        </w:rPr>
        <w:t>.</w:t>
      </w:r>
      <w:r w:rsidR="008A1537" w:rsidRPr="003B616F">
        <w:rPr>
          <w:color w:val="000000" w:themeColor="text1"/>
        </w:rPr>
        <w:t xml:space="preserve"> Jednotlivé osoby žijící v zařízení</w:t>
      </w:r>
      <w:r w:rsidR="003B616F" w:rsidRPr="003B616F">
        <w:rPr>
          <w:color w:val="000000" w:themeColor="text1"/>
        </w:rPr>
        <w:t>ch</w:t>
      </w:r>
      <w:r w:rsidR="008A1537" w:rsidRPr="003B616F">
        <w:rPr>
          <w:color w:val="000000" w:themeColor="text1"/>
        </w:rPr>
        <w:t xml:space="preserve"> </w:t>
      </w:r>
      <w:r w:rsidR="008F319D" w:rsidRPr="003B616F">
        <w:rPr>
          <w:color w:val="000000" w:themeColor="text1"/>
        </w:rPr>
        <w:t xml:space="preserve">ani bezdomovci </w:t>
      </w:r>
      <w:r w:rsidR="008A1537" w:rsidRPr="003B616F">
        <w:rPr>
          <w:color w:val="000000" w:themeColor="text1"/>
        </w:rPr>
        <w:t>domácnost netvořily.</w:t>
      </w:r>
    </w:p>
    <w:p w:rsidR="006E1088" w:rsidRPr="00BD0769" w:rsidRDefault="006E1088" w:rsidP="002E5331">
      <w:pPr>
        <w:spacing w:after="120"/>
        <w:jc w:val="both"/>
        <w:rPr>
          <w:b/>
          <w:color w:val="000000" w:themeColor="text1"/>
          <w:sz w:val="12"/>
        </w:rPr>
      </w:pPr>
    </w:p>
    <w:p w:rsidR="00553BEC" w:rsidRPr="00553BEC" w:rsidRDefault="00706071" w:rsidP="002E5331">
      <w:pPr>
        <w:spacing w:after="120"/>
        <w:jc w:val="both"/>
        <w:rPr>
          <w:b/>
          <w:color w:val="000000" w:themeColor="text1"/>
        </w:rPr>
      </w:pPr>
      <w:r>
        <w:rPr>
          <w:b/>
          <w:color w:val="000000" w:themeColor="text1"/>
        </w:rPr>
        <w:t>Dlouhodobý vývoj domácností</w:t>
      </w:r>
      <w:r w:rsidR="00553BEC" w:rsidRPr="00553BEC">
        <w:rPr>
          <w:b/>
          <w:color w:val="000000" w:themeColor="text1"/>
        </w:rPr>
        <w:t xml:space="preserve"> jednotlivců</w:t>
      </w:r>
      <w:r w:rsidR="00207B41">
        <w:rPr>
          <w:b/>
          <w:color w:val="000000" w:themeColor="text1"/>
        </w:rPr>
        <w:t xml:space="preserve"> od roku 1930</w:t>
      </w:r>
    </w:p>
    <w:p w:rsidR="006F7D50" w:rsidRDefault="008B7A5C" w:rsidP="002E5331">
      <w:pPr>
        <w:spacing w:after="120"/>
        <w:jc w:val="both"/>
        <w:rPr>
          <w:color w:val="000000" w:themeColor="text1"/>
        </w:rPr>
      </w:pPr>
      <w:r>
        <w:rPr>
          <w:color w:val="000000" w:themeColor="text1"/>
        </w:rPr>
        <w:t xml:space="preserve">V roce </w:t>
      </w:r>
      <w:r w:rsidR="009D7215">
        <w:rPr>
          <w:color w:val="000000" w:themeColor="text1"/>
        </w:rPr>
        <w:t xml:space="preserve">1930, kdy celkový počet domácností činil 2 814 </w:t>
      </w:r>
      <w:r w:rsidR="001D5872">
        <w:rPr>
          <w:color w:val="000000" w:themeColor="text1"/>
        </w:rPr>
        <w:t xml:space="preserve">tisíc, </w:t>
      </w:r>
      <w:r w:rsidR="003B616F">
        <w:rPr>
          <w:color w:val="000000" w:themeColor="text1"/>
        </w:rPr>
        <w:t xml:space="preserve">představovaly </w:t>
      </w:r>
      <w:r w:rsidR="009D7215" w:rsidRPr="003B616F">
        <w:rPr>
          <w:color w:val="000000" w:themeColor="text1"/>
        </w:rPr>
        <w:t xml:space="preserve">domácnosti jednotlivců </w:t>
      </w:r>
      <w:r w:rsidR="009D7215">
        <w:rPr>
          <w:color w:val="000000" w:themeColor="text1"/>
        </w:rPr>
        <w:t>pouze necelý</w:t>
      </w:r>
      <w:r w:rsidR="0043084C">
        <w:rPr>
          <w:color w:val="000000" w:themeColor="text1"/>
        </w:rPr>
        <w:t>ch</w:t>
      </w:r>
      <w:r w:rsidR="009D7215">
        <w:rPr>
          <w:color w:val="000000" w:themeColor="text1"/>
        </w:rPr>
        <w:t xml:space="preserve"> 8 % z nich. </w:t>
      </w:r>
      <w:r w:rsidR="001D5872">
        <w:rPr>
          <w:color w:val="000000" w:themeColor="text1"/>
        </w:rPr>
        <w:t xml:space="preserve">Jelikož </w:t>
      </w:r>
      <w:r w:rsidR="005A0A73">
        <w:rPr>
          <w:color w:val="000000" w:themeColor="text1"/>
        </w:rPr>
        <w:t xml:space="preserve">však </w:t>
      </w:r>
      <w:r w:rsidR="001D5872">
        <w:rPr>
          <w:color w:val="000000" w:themeColor="text1"/>
        </w:rPr>
        <w:t>v té době bylo sčítáno pouze přítomné obyvatelstvo</w:t>
      </w:r>
      <w:r w:rsidR="00CE45CF">
        <w:rPr>
          <w:rStyle w:val="Znakapoznpodarou"/>
          <w:color w:val="000000" w:themeColor="text1"/>
        </w:rPr>
        <w:footnoteReference w:id="4"/>
      </w:r>
      <w:r w:rsidR="00CE45CF">
        <w:rPr>
          <w:color w:val="000000" w:themeColor="text1"/>
        </w:rPr>
        <w:t xml:space="preserve"> a </w:t>
      </w:r>
      <w:r w:rsidR="001D5872">
        <w:rPr>
          <w:color w:val="000000" w:themeColor="text1"/>
        </w:rPr>
        <w:t xml:space="preserve">jednotlivci žijící v podnájmu byli </w:t>
      </w:r>
      <w:r w:rsidR="002C34C7">
        <w:rPr>
          <w:color w:val="000000" w:themeColor="text1"/>
        </w:rPr>
        <w:t xml:space="preserve">vždy </w:t>
      </w:r>
      <w:r w:rsidR="001D5872">
        <w:rPr>
          <w:color w:val="000000" w:themeColor="text1"/>
        </w:rPr>
        <w:t>zařazeni k domácnosti, u které žili, lze předpokládat, že počet</w:t>
      </w:r>
      <w:r w:rsidR="008D2823">
        <w:rPr>
          <w:color w:val="000000" w:themeColor="text1"/>
        </w:rPr>
        <w:t xml:space="preserve"> hospodařících domácností</w:t>
      </w:r>
      <w:r w:rsidR="001D5872">
        <w:rPr>
          <w:color w:val="000000" w:themeColor="text1"/>
        </w:rPr>
        <w:t xml:space="preserve"> jednotlivců byl </w:t>
      </w:r>
      <w:r w:rsidR="000D0C6E">
        <w:rPr>
          <w:color w:val="000000" w:themeColor="text1"/>
        </w:rPr>
        <w:t xml:space="preserve">v první </w:t>
      </w:r>
      <w:r w:rsidR="00900EBE">
        <w:rPr>
          <w:color w:val="000000" w:themeColor="text1"/>
        </w:rPr>
        <w:t>polovině</w:t>
      </w:r>
      <w:r w:rsidR="000D0C6E">
        <w:rPr>
          <w:color w:val="000000" w:themeColor="text1"/>
        </w:rPr>
        <w:t xml:space="preserve"> 20.</w:t>
      </w:r>
      <w:r w:rsidR="00900EBE">
        <w:rPr>
          <w:color w:val="000000" w:themeColor="text1"/>
        </w:rPr>
        <w:t> </w:t>
      </w:r>
      <w:r w:rsidR="000D0C6E">
        <w:rPr>
          <w:color w:val="000000" w:themeColor="text1"/>
        </w:rPr>
        <w:t xml:space="preserve">století </w:t>
      </w:r>
      <w:r w:rsidR="001C71D6">
        <w:rPr>
          <w:color w:val="000000" w:themeColor="text1"/>
        </w:rPr>
        <w:t>podhodnocený</w:t>
      </w:r>
      <w:r w:rsidR="001D5872">
        <w:rPr>
          <w:color w:val="000000" w:themeColor="text1"/>
        </w:rPr>
        <w:t xml:space="preserve">. </w:t>
      </w:r>
      <w:r w:rsidR="00191892">
        <w:rPr>
          <w:color w:val="000000" w:themeColor="text1"/>
        </w:rPr>
        <w:t xml:space="preserve">V roce 1970, </w:t>
      </w:r>
      <w:r w:rsidR="00C76450">
        <w:rPr>
          <w:color w:val="000000" w:themeColor="text1"/>
        </w:rPr>
        <w:t>tj. na počátku časové řady</w:t>
      </w:r>
      <w:r w:rsidR="00900EBE">
        <w:rPr>
          <w:color w:val="000000" w:themeColor="text1"/>
        </w:rPr>
        <w:t xml:space="preserve"> podrobných a </w:t>
      </w:r>
      <w:r w:rsidR="002C34C7">
        <w:rPr>
          <w:color w:val="000000" w:themeColor="text1"/>
        </w:rPr>
        <w:t>relativně srovnatelných údajů</w:t>
      </w:r>
      <w:r w:rsidR="00191892">
        <w:rPr>
          <w:color w:val="000000" w:themeColor="text1"/>
        </w:rPr>
        <w:t>, byl</w:t>
      </w:r>
      <w:r w:rsidR="00C76450">
        <w:rPr>
          <w:color w:val="000000" w:themeColor="text1"/>
        </w:rPr>
        <w:t>o</w:t>
      </w:r>
      <w:r w:rsidR="00191892">
        <w:rPr>
          <w:color w:val="000000" w:themeColor="text1"/>
        </w:rPr>
        <w:t xml:space="preserve"> při celkovém počtu </w:t>
      </w:r>
      <w:r w:rsidR="00B623FF">
        <w:rPr>
          <w:color w:val="000000" w:themeColor="text1"/>
        </w:rPr>
        <w:t xml:space="preserve">hospodařících </w:t>
      </w:r>
      <w:r w:rsidR="00191892">
        <w:rPr>
          <w:color w:val="000000" w:themeColor="text1"/>
        </w:rPr>
        <w:t xml:space="preserve">domácností </w:t>
      </w:r>
      <w:r w:rsidR="00B623FF">
        <w:rPr>
          <w:color w:val="000000" w:themeColor="text1"/>
        </w:rPr>
        <w:t>3 365 tisíc</w:t>
      </w:r>
      <w:r w:rsidR="00191892">
        <w:rPr>
          <w:color w:val="000000" w:themeColor="text1"/>
        </w:rPr>
        <w:t xml:space="preserve"> </w:t>
      </w:r>
      <w:r w:rsidR="00C76450">
        <w:rPr>
          <w:color w:val="000000" w:themeColor="text1"/>
        </w:rPr>
        <w:t xml:space="preserve">zastoupení </w:t>
      </w:r>
      <w:r w:rsidR="00F6547A">
        <w:rPr>
          <w:color w:val="000000" w:themeColor="text1"/>
        </w:rPr>
        <w:t xml:space="preserve">domácností jednotlivců </w:t>
      </w:r>
      <w:r w:rsidR="00B623FF">
        <w:rPr>
          <w:color w:val="000000" w:themeColor="text1"/>
        </w:rPr>
        <w:t xml:space="preserve">již </w:t>
      </w:r>
      <w:r w:rsidR="00C76450">
        <w:rPr>
          <w:color w:val="000000" w:themeColor="text1"/>
        </w:rPr>
        <w:t>téměř pětinové</w:t>
      </w:r>
      <w:r w:rsidR="0054659E">
        <w:rPr>
          <w:color w:val="000000" w:themeColor="text1"/>
        </w:rPr>
        <w:t xml:space="preserve"> (tab. 1)</w:t>
      </w:r>
      <w:r w:rsidR="00C76450">
        <w:rPr>
          <w:color w:val="000000" w:themeColor="text1"/>
        </w:rPr>
        <w:t>.</w:t>
      </w:r>
      <w:r w:rsidR="00B623FF">
        <w:rPr>
          <w:color w:val="000000" w:themeColor="text1"/>
        </w:rPr>
        <w:t xml:space="preserve"> </w:t>
      </w:r>
      <w:r w:rsidR="002C34C7">
        <w:rPr>
          <w:color w:val="000000" w:themeColor="text1"/>
        </w:rPr>
        <w:t xml:space="preserve">Během následujícího čtyřicetiletého období </w:t>
      </w:r>
      <w:r w:rsidR="005A0A73">
        <w:rPr>
          <w:color w:val="000000" w:themeColor="text1"/>
        </w:rPr>
        <w:t xml:space="preserve">jejich </w:t>
      </w:r>
      <w:r w:rsidR="00B82B1D">
        <w:rPr>
          <w:color w:val="000000" w:themeColor="text1"/>
        </w:rPr>
        <w:t xml:space="preserve">počet zaznamenával trvalý </w:t>
      </w:r>
      <w:r w:rsidR="00900EBE">
        <w:rPr>
          <w:color w:val="000000" w:themeColor="text1"/>
        </w:rPr>
        <w:t xml:space="preserve">významný </w:t>
      </w:r>
      <w:r w:rsidR="00B82B1D">
        <w:rPr>
          <w:color w:val="000000" w:themeColor="text1"/>
        </w:rPr>
        <w:t>růst, s nejv</w:t>
      </w:r>
      <w:r w:rsidR="00C8601E">
        <w:rPr>
          <w:color w:val="000000" w:themeColor="text1"/>
        </w:rPr>
        <w:t>ýraznějším</w:t>
      </w:r>
      <w:r w:rsidR="00B82B1D">
        <w:rPr>
          <w:color w:val="000000" w:themeColor="text1"/>
        </w:rPr>
        <w:t xml:space="preserve"> </w:t>
      </w:r>
      <w:r w:rsidR="00663274">
        <w:rPr>
          <w:color w:val="000000" w:themeColor="text1"/>
        </w:rPr>
        <w:t>ziskem</w:t>
      </w:r>
      <w:r w:rsidR="00B82B1D">
        <w:rPr>
          <w:color w:val="000000" w:themeColor="text1"/>
        </w:rPr>
        <w:t xml:space="preserve"> v prvním desetiletí</w:t>
      </w:r>
      <w:r w:rsidR="00900EBE">
        <w:rPr>
          <w:color w:val="000000" w:themeColor="text1"/>
        </w:rPr>
        <w:t xml:space="preserve"> o </w:t>
      </w:r>
      <w:r w:rsidR="006F7D50">
        <w:rPr>
          <w:color w:val="000000" w:themeColor="text1"/>
        </w:rPr>
        <w:t>34 % a </w:t>
      </w:r>
      <w:r w:rsidR="00B82B1D">
        <w:rPr>
          <w:color w:val="000000" w:themeColor="text1"/>
        </w:rPr>
        <w:t>s pozvolným nárůstem v </w:t>
      </w:r>
      <w:r w:rsidR="002151B5">
        <w:rPr>
          <w:color w:val="000000" w:themeColor="text1"/>
        </w:rPr>
        <w:t>posledních</w:t>
      </w:r>
      <w:r w:rsidR="00B82B1D">
        <w:rPr>
          <w:color w:val="000000" w:themeColor="text1"/>
        </w:rPr>
        <w:t xml:space="preserve"> deseti</w:t>
      </w:r>
      <w:r w:rsidR="00BD1D4B">
        <w:rPr>
          <w:color w:val="000000" w:themeColor="text1"/>
        </w:rPr>
        <w:t xml:space="preserve"> letech</w:t>
      </w:r>
      <w:r w:rsidR="00900EBE">
        <w:rPr>
          <w:color w:val="000000" w:themeColor="text1"/>
        </w:rPr>
        <w:t>,</w:t>
      </w:r>
      <w:r w:rsidR="00BD1D4B">
        <w:rPr>
          <w:color w:val="000000" w:themeColor="text1"/>
        </w:rPr>
        <w:t xml:space="preserve"> </w:t>
      </w:r>
      <w:r w:rsidR="00B82B1D">
        <w:rPr>
          <w:color w:val="000000" w:themeColor="text1"/>
        </w:rPr>
        <w:t xml:space="preserve">až na </w:t>
      </w:r>
      <w:r w:rsidR="00EB4DAC">
        <w:rPr>
          <w:color w:val="000000" w:themeColor="text1"/>
        </w:rPr>
        <w:t>1 422 tisíc v roce 2011.</w:t>
      </w:r>
      <w:r w:rsidR="00BD1D4B">
        <w:rPr>
          <w:color w:val="000000" w:themeColor="text1"/>
        </w:rPr>
        <w:t xml:space="preserve"> </w:t>
      </w:r>
      <w:r w:rsidR="00B74780">
        <w:rPr>
          <w:color w:val="000000" w:themeColor="text1"/>
        </w:rPr>
        <w:t>Absolutní p</w:t>
      </w:r>
      <w:r w:rsidR="006F7D50">
        <w:rPr>
          <w:color w:val="000000" w:themeColor="text1"/>
        </w:rPr>
        <w:t>očet domácností jednotlivců k 26.</w:t>
      </w:r>
      <w:r w:rsidR="00B74780">
        <w:rPr>
          <w:color w:val="000000" w:themeColor="text1"/>
        </w:rPr>
        <w:t xml:space="preserve"> </w:t>
      </w:r>
      <w:r w:rsidR="006F7D50">
        <w:rPr>
          <w:color w:val="000000" w:themeColor="text1"/>
        </w:rPr>
        <w:t>3.</w:t>
      </w:r>
      <w:r w:rsidR="00B74780">
        <w:rPr>
          <w:color w:val="000000" w:themeColor="text1"/>
        </w:rPr>
        <w:t xml:space="preserve"> </w:t>
      </w:r>
      <w:r w:rsidR="006F7D50">
        <w:rPr>
          <w:color w:val="000000" w:themeColor="text1"/>
        </w:rPr>
        <w:t xml:space="preserve">2011 představoval více než polovinu všech domácností v roce 1930. </w:t>
      </w:r>
    </w:p>
    <w:p w:rsidR="006E1088" w:rsidRDefault="006E1088" w:rsidP="002E5331">
      <w:pPr>
        <w:spacing w:after="120"/>
        <w:jc w:val="both"/>
        <w:rPr>
          <w:color w:val="000000" w:themeColor="text1"/>
        </w:rPr>
      </w:pPr>
    </w:p>
    <w:p w:rsidR="00CC41DC" w:rsidRDefault="00CC41DC" w:rsidP="00C8601E">
      <w:pPr>
        <w:spacing w:after="0"/>
        <w:jc w:val="both"/>
        <w:rPr>
          <w:b/>
          <w:color w:val="000000" w:themeColor="text1"/>
        </w:rPr>
      </w:pPr>
      <w:r w:rsidRPr="00A400DC">
        <w:rPr>
          <w:b/>
          <w:color w:val="000000" w:themeColor="text1"/>
        </w:rPr>
        <w:lastRenderedPageBreak/>
        <w:t>Tab. 1: Hospodařící a bytové domácnosti jednotlivců v letec</w:t>
      </w:r>
      <w:r w:rsidR="007C455C" w:rsidRPr="00A400DC">
        <w:rPr>
          <w:b/>
          <w:color w:val="000000" w:themeColor="text1"/>
        </w:rPr>
        <w:t>h 1930–</w:t>
      </w:r>
      <w:r w:rsidRPr="00A400DC">
        <w:rPr>
          <w:b/>
          <w:color w:val="000000" w:themeColor="text1"/>
        </w:rPr>
        <w:t>2011</w:t>
      </w:r>
    </w:p>
    <w:p w:rsidR="001057A5" w:rsidRPr="001057A5" w:rsidRDefault="00A16097" w:rsidP="002E5331">
      <w:pPr>
        <w:spacing w:after="120"/>
        <w:jc w:val="both"/>
        <w:rPr>
          <w:color w:val="000000" w:themeColor="text1"/>
          <w:sz w:val="2"/>
        </w:rPr>
      </w:pPr>
      <w:r w:rsidRPr="007D76AB">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188.35pt">
            <v:imagedata r:id="rId8" o:title=""/>
          </v:shape>
        </w:pict>
      </w:r>
    </w:p>
    <w:p w:rsidR="00DC01BF" w:rsidRPr="001057A5" w:rsidRDefault="001057A5" w:rsidP="00C146BF">
      <w:pPr>
        <w:jc w:val="both"/>
        <w:rPr>
          <w:color w:val="000000" w:themeColor="text1"/>
        </w:rPr>
      </w:pPr>
      <w:r w:rsidRPr="001057A5">
        <w:rPr>
          <w:color w:val="000000" w:themeColor="text1"/>
        </w:rPr>
        <w:t>Bytové domácnosti</w:t>
      </w:r>
      <w:r w:rsidR="005B5280">
        <w:rPr>
          <w:color w:val="000000" w:themeColor="text1"/>
        </w:rPr>
        <w:t xml:space="preserve"> jednotlivců, tj. byty obydlené jednou osobou, </w:t>
      </w:r>
      <w:r w:rsidR="006B7B2D">
        <w:rPr>
          <w:color w:val="000000" w:themeColor="text1"/>
        </w:rPr>
        <w:t>vykazovaly</w:t>
      </w:r>
      <w:r w:rsidR="005B5280">
        <w:rPr>
          <w:color w:val="000000" w:themeColor="text1"/>
        </w:rPr>
        <w:t xml:space="preserve"> velmi podobný trend.</w:t>
      </w:r>
      <w:r w:rsidR="006B7B2D">
        <w:rPr>
          <w:color w:val="000000" w:themeColor="text1"/>
        </w:rPr>
        <w:t xml:space="preserve"> Při celkovém nárůstu bytových domácností od roku 1961 o 33 % se počet bytových domácností s jednou osobou zvýšil téměř 2,5krát. Nejdynamičtější růst byl </w:t>
      </w:r>
      <w:r w:rsidR="005373FA">
        <w:rPr>
          <w:color w:val="000000" w:themeColor="text1"/>
        </w:rPr>
        <w:t xml:space="preserve">z důvodu intenzivní bytové výstavby </w:t>
      </w:r>
      <w:r w:rsidR="006B7B2D">
        <w:rPr>
          <w:color w:val="000000" w:themeColor="text1"/>
        </w:rPr>
        <w:t xml:space="preserve">zaznamenán mezi roky 1970 a 1980, v posledních letech je zvyšování </w:t>
      </w:r>
      <w:r w:rsidR="004232E7">
        <w:rPr>
          <w:color w:val="000000" w:themeColor="text1"/>
        </w:rPr>
        <w:t>podílu</w:t>
      </w:r>
      <w:r w:rsidR="006B7B2D">
        <w:rPr>
          <w:color w:val="000000" w:themeColor="text1"/>
        </w:rPr>
        <w:t xml:space="preserve"> tohoto typu domácnosti zapříčiněno </w:t>
      </w:r>
      <w:r w:rsidR="00B32136">
        <w:rPr>
          <w:color w:val="000000" w:themeColor="text1"/>
        </w:rPr>
        <w:t xml:space="preserve">mimo jiné i </w:t>
      </w:r>
      <w:r w:rsidR="006B7B2D" w:rsidRPr="004030E4">
        <w:rPr>
          <w:color w:val="000000" w:themeColor="text1"/>
        </w:rPr>
        <w:t xml:space="preserve">stárnutím </w:t>
      </w:r>
      <w:r w:rsidR="005373FA" w:rsidRPr="004030E4">
        <w:rPr>
          <w:color w:val="000000" w:themeColor="text1"/>
        </w:rPr>
        <w:t xml:space="preserve">české </w:t>
      </w:r>
      <w:r w:rsidR="006B7B2D" w:rsidRPr="004030E4">
        <w:rPr>
          <w:color w:val="000000" w:themeColor="text1"/>
        </w:rPr>
        <w:t>populace</w:t>
      </w:r>
      <w:r w:rsidR="004030E4" w:rsidRPr="004030E4">
        <w:rPr>
          <w:color w:val="000000" w:themeColor="text1"/>
        </w:rPr>
        <w:t>,</w:t>
      </w:r>
      <w:r w:rsidR="004030E4">
        <w:rPr>
          <w:color w:val="000000" w:themeColor="text1"/>
        </w:rPr>
        <w:t xml:space="preserve"> díky kterému vzrostl počet domácností </w:t>
      </w:r>
      <w:r w:rsidR="00A52E4F">
        <w:rPr>
          <w:color w:val="000000" w:themeColor="text1"/>
        </w:rPr>
        <w:t xml:space="preserve">jednotlivců </w:t>
      </w:r>
      <w:r w:rsidR="00F75965">
        <w:rPr>
          <w:color w:val="000000" w:themeColor="text1"/>
        </w:rPr>
        <w:t xml:space="preserve">především </w:t>
      </w:r>
      <w:r w:rsidR="004030E4">
        <w:rPr>
          <w:color w:val="000000" w:themeColor="text1"/>
        </w:rPr>
        <w:t>ve vyšších věkových skupinách</w:t>
      </w:r>
      <w:r w:rsidR="00B32136">
        <w:rPr>
          <w:color w:val="000000" w:themeColor="text1"/>
        </w:rPr>
        <w:t>. K 26.</w:t>
      </w:r>
      <w:r w:rsidR="004232E7">
        <w:rPr>
          <w:color w:val="000000" w:themeColor="text1"/>
        </w:rPr>
        <w:t xml:space="preserve"> </w:t>
      </w:r>
      <w:r w:rsidR="00B32136">
        <w:rPr>
          <w:color w:val="000000" w:themeColor="text1"/>
        </w:rPr>
        <w:t>3.</w:t>
      </w:r>
      <w:r w:rsidR="004232E7">
        <w:rPr>
          <w:color w:val="000000" w:themeColor="text1"/>
        </w:rPr>
        <w:t xml:space="preserve"> </w:t>
      </w:r>
      <w:r w:rsidR="00B32136">
        <w:rPr>
          <w:color w:val="000000" w:themeColor="text1"/>
        </w:rPr>
        <w:t xml:space="preserve">2011 </w:t>
      </w:r>
      <w:r w:rsidR="006B7B2D">
        <w:rPr>
          <w:color w:val="000000" w:themeColor="text1"/>
        </w:rPr>
        <w:t>bytové domácnosti s jednou osobou představ</w:t>
      </w:r>
      <w:r w:rsidR="00B32136">
        <w:rPr>
          <w:color w:val="000000" w:themeColor="text1"/>
        </w:rPr>
        <w:t xml:space="preserve">ovaly </w:t>
      </w:r>
      <w:r w:rsidR="006B7B2D">
        <w:rPr>
          <w:color w:val="000000" w:themeColor="text1"/>
        </w:rPr>
        <w:t>téměř 30 %</w:t>
      </w:r>
      <w:r w:rsidR="00B32136">
        <w:rPr>
          <w:color w:val="000000" w:themeColor="text1"/>
        </w:rPr>
        <w:t xml:space="preserve"> všech bytových domácností.</w:t>
      </w:r>
    </w:p>
    <w:p w:rsidR="00CC41DC" w:rsidRPr="00CC41DC" w:rsidRDefault="00CC41DC" w:rsidP="00C146BF">
      <w:pPr>
        <w:spacing w:before="120" w:after="60"/>
        <w:jc w:val="both"/>
        <w:rPr>
          <w:b/>
          <w:color w:val="000000" w:themeColor="text1"/>
        </w:rPr>
      </w:pPr>
      <w:r w:rsidRPr="00A400DC">
        <w:rPr>
          <w:b/>
          <w:color w:val="000000" w:themeColor="text1"/>
        </w:rPr>
        <w:t>Graf 1: Struktura hospoda</w:t>
      </w:r>
      <w:r w:rsidR="007C455C" w:rsidRPr="00A400DC">
        <w:rPr>
          <w:b/>
          <w:color w:val="000000" w:themeColor="text1"/>
        </w:rPr>
        <w:t>řících domácností v letech 1970–</w:t>
      </w:r>
      <w:r w:rsidRPr="00A400DC">
        <w:rPr>
          <w:b/>
          <w:color w:val="000000" w:themeColor="text1"/>
        </w:rPr>
        <w:t>2011</w:t>
      </w:r>
    </w:p>
    <w:p w:rsidR="00A22DB2" w:rsidRPr="001875FA" w:rsidRDefault="00A16097" w:rsidP="00CC41DC">
      <w:pPr>
        <w:spacing w:after="120"/>
        <w:jc w:val="both"/>
        <w:rPr>
          <w:b/>
          <w:color w:val="000000" w:themeColor="text1"/>
          <w:sz w:val="2"/>
        </w:rPr>
      </w:pPr>
      <w:r w:rsidRPr="007D76AB">
        <w:rPr>
          <w:b/>
          <w:color w:val="000000" w:themeColor="text1"/>
        </w:rPr>
        <w:pict>
          <v:shape id="_x0000_i1026" type="#_x0000_t75" style="width:431.15pt;height:226.9pt">
            <v:imagedata r:id="rId9" o:title=""/>
          </v:shape>
        </w:pict>
      </w:r>
    </w:p>
    <w:p w:rsidR="00DC01BF" w:rsidRDefault="00A22DB2" w:rsidP="00AC7EC8">
      <w:pPr>
        <w:spacing w:before="200" w:after="120"/>
        <w:jc w:val="both"/>
        <w:rPr>
          <w:color w:val="000000" w:themeColor="text1"/>
        </w:rPr>
      </w:pPr>
      <w:r w:rsidRPr="00A22DB2">
        <w:rPr>
          <w:color w:val="000000" w:themeColor="text1"/>
        </w:rPr>
        <w:t xml:space="preserve">Domácnosti jednotlivců patří </w:t>
      </w:r>
      <w:r>
        <w:rPr>
          <w:color w:val="000000" w:themeColor="text1"/>
        </w:rPr>
        <w:t xml:space="preserve">spolu s hospodařícími domácnostmi tvořenými </w:t>
      </w:r>
      <w:r w:rsidR="00D37538">
        <w:rPr>
          <w:color w:val="000000" w:themeColor="text1"/>
        </w:rPr>
        <w:t>1</w:t>
      </w:r>
      <w:r>
        <w:rPr>
          <w:color w:val="000000" w:themeColor="text1"/>
        </w:rPr>
        <w:t xml:space="preserve"> neúplnou rodinou k domácnostem s nejdynamičtějším rostoucím trendem.</w:t>
      </w:r>
      <w:r w:rsidR="00D37538">
        <w:rPr>
          <w:color w:val="000000" w:themeColor="text1"/>
        </w:rPr>
        <w:t xml:space="preserve"> </w:t>
      </w:r>
      <w:r w:rsidR="005373FA">
        <w:rPr>
          <w:color w:val="000000" w:themeColor="text1"/>
        </w:rPr>
        <w:t>U obou typů domácností</w:t>
      </w:r>
      <w:r w:rsidR="00D37538">
        <w:rPr>
          <w:color w:val="000000" w:themeColor="text1"/>
        </w:rPr>
        <w:t xml:space="preserve"> došlo k více než dvojnásobnému nárůstu od roku 1970, což v případě jednotlivců představuje</w:t>
      </w:r>
      <w:r w:rsidR="00F223E9">
        <w:rPr>
          <w:color w:val="000000" w:themeColor="text1"/>
        </w:rPr>
        <w:t xml:space="preserve"> navýšení o </w:t>
      </w:r>
      <w:r w:rsidR="00D37538">
        <w:rPr>
          <w:color w:val="000000" w:themeColor="text1"/>
        </w:rPr>
        <w:t>753 288 </w:t>
      </w:r>
      <w:r w:rsidR="004232E7">
        <w:rPr>
          <w:color w:val="000000" w:themeColor="text1"/>
        </w:rPr>
        <w:t>domácností v absolutním počtu</w:t>
      </w:r>
      <w:r w:rsidR="00D37538">
        <w:rPr>
          <w:color w:val="000000" w:themeColor="text1"/>
        </w:rPr>
        <w:t xml:space="preserve">. </w:t>
      </w:r>
      <w:r w:rsidR="00653FC9" w:rsidRPr="00653FC9">
        <w:rPr>
          <w:color w:val="000000" w:themeColor="text1"/>
        </w:rPr>
        <w:t>Nejen díky trvalému</w:t>
      </w:r>
      <w:r w:rsidR="00D37538" w:rsidRPr="00653FC9">
        <w:rPr>
          <w:color w:val="000000" w:themeColor="text1"/>
        </w:rPr>
        <w:t xml:space="preserve"> snižování </w:t>
      </w:r>
      <w:r w:rsidR="00E25D84" w:rsidRPr="00653FC9">
        <w:rPr>
          <w:color w:val="000000" w:themeColor="text1"/>
        </w:rPr>
        <w:t xml:space="preserve">počtu hospodařících </w:t>
      </w:r>
      <w:r w:rsidR="00E25D84" w:rsidRPr="00653FC9">
        <w:rPr>
          <w:color w:val="000000" w:themeColor="text1"/>
        </w:rPr>
        <w:lastRenderedPageBreak/>
        <w:t>domácn</w:t>
      </w:r>
      <w:r w:rsidR="00BF15BD" w:rsidRPr="00653FC9">
        <w:rPr>
          <w:color w:val="000000" w:themeColor="text1"/>
        </w:rPr>
        <w:t>ostí tvořených 1 úplnou rodinou</w:t>
      </w:r>
      <w:r w:rsidR="00462C64">
        <w:rPr>
          <w:color w:val="000000" w:themeColor="text1"/>
        </w:rPr>
        <w:t xml:space="preserve">, </w:t>
      </w:r>
      <w:r w:rsidR="00653FC9">
        <w:rPr>
          <w:color w:val="000000" w:themeColor="text1"/>
        </w:rPr>
        <w:t xml:space="preserve">vzrostlo </w:t>
      </w:r>
      <w:r w:rsidR="00462C64">
        <w:rPr>
          <w:color w:val="000000" w:themeColor="text1"/>
        </w:rPr>
        <w:t>zastoupení</w:t>
      </w:r>
      <w:r w:rsidR="00697FA0">
        <w:rPr>
          <w:color w:val="000000" w:themeColor="text1"/>
        </w:rPr>
        <w:t xml:space="preserve"> </w:t>
      </w:r>
      <w:r w:rsidR="00462C64">
        <w:rPr>
          <w:color w:val="000000" w:themeColor="text1"/>
        </w:rPr>
        <w:t xml:space="preserve">domácností </w:t>
      </w:r>
      <w:r w:rsidR="009110D8">
        <w:rPr>
          <w:color w:val="000000" w:themeColor="text1"/>
        </w:rPr>
        <w:t>jednotlivců o </w:t>
      </w:r>
      <w:r w:rsidR="00A469E6">
        <w:rPr>
          <w:color w:val="000000" w:themeColor="text1"/>
        </w:rPr>
        <w:t>13 </w:t>
      </w:r>
      <w:r w:rsidR="00462C64">
        <w:rPr>
          <w:color w:val="000000" w:themeColor="text1"/>
        </w:rPr>
        <w:t>procentních bodů na jednu třetinu všech hospodařících domácností (</w:t>
      </w:r>
      <w:r w:rsidR="002C5E9E">
        <w:rPr>
          <w:color w:val="000000" w:themeColor="text1"/>
        </w:rPr>
        <w:t>graf</w:t>
      </w:r>
      <w:r w:rsidR="00462C64">
        <w:rPr>
          <w:color w:val="000000" w:themeColor="text1"/>
        </w:rPr>
        <w:t xml:space="preserve"> 1).</w:t>
      </w:r>
    </w:p>
    <w:p w:rsidR="00EC61CB" w:rsidRPr="00EC61CB" w:rsidRDefault="00CB66B3" w:rsidP="0089213D">
      <w:pPr>
        <w:spacing w:after="0"/>
        <w:jc w:val="both"/>
        <w:rPr>
          <w:b/>
          <w:color w:val="000000" w:themeColor="text1"/>
        </w:rPr>
      </w:pPr>
      <w:r w:rsidRPr="0062638F">
        <w:rPr>
          <w:b/>
          <w:color w:val="000000" w:themeColor="text1"/>
        </w:rPr>
        <w:t>Tab. 2</w:t>
      </w:r>
      <w:r w:rsidR="00EC61CB" w:rsidRPr="0062638F">
        <w:rPr>
          <w:b/>
          <w:color w:val="000000" w:themeColor="text1"/>
        </w:rPr>
        <w:t xml:space="preserve">: </w:t>
      </w:r>
      <w:r w:rsidR="0062638F" w:rsidRPr="0062638F">
        <w:rPr>
          <w:b/>
          <w:color w:val="000000" w:themeColor="text1"/>
        </w:rPr>
        <w:t>H</w:t>
      </w:r>
      <w:r w:rsidRPr="0062638F">
        <w:rPr>
          <w:b/>
          <w:color w:val="000000" w:themeColor="text1"/>
        </w:rPr>
        <w:t>ospodařící domácnosti</w:t>
      </w:r>
      <w:r w:rsidR="00EC61CB" w:rsidRPr="0062638F">
        <w:rPr>
          <w:b/>
          <w:color w:val="000000" w:themeColor="text1"/>
        </w:rPr>
        <w:t xml:space="preserve"> </w:t>
      </w:r>
      <w:r w:rsidR="0062638F" w:rsidRPr="0062638F">
        <w:rPr>
          <w:b/>
          <w:color w:val="000000" w:themeColor="text1"/>
        </w:rPr>
        <w:t xml:space="preserve">podle počtu členů </w:t>
      </w:r>
      <w:r w:rsidR="00EC61CB" w:rsidRPr="0062638F">
        <w:rPr>
          <w:b/>
          <w:color w:val="000000" w:themeColor="text1"/>
        </w:rPr>
        <w:t>v letec</w:t>
      </w:r>
      <w:r w:rsidRPr="0062638F">
        <w:rPr>
          <w:b/>
          <w:color w:val="000000" w:themeColor="text1"/>
        </w:rPr>
        <w:t>h 197</w:t>
      </w:r>
      <w:r w:rsidR="00EC61CB" w:rsidRPr="0062638F">
        <w:rPr>
          <w:b/>
          <w:color w:val="000000" w:themeColor="text1"/>
        </w:rPr>
        <w:t>0–2011</w:t>
      </w:r>
    </w:p>
    <w:p w:rsidR="00EC61CB" w:rsidRPr="00AD0F43" w:rsidRDefault="007D76AB" w:rsidP="00EC61CB">
      <w:pPr>
        <w:spacing w:after="120"/>
        <w:jc w:val="both"/>
        <w:rPr>
          <w:color w:val="000000" w:themeColor="text1"/>
          <w:sz w:val="2"/>
        </w:rPr>
      </w:pPr>
      <w:r w:rsidRPr="007D76AB">
        <w:rPr>
          <w:color w:val="000000" w:themeColor="text1"/>
        </w:rPr>
        <w:pict>
          <v:shape id="_x0000_i1027" type="#_x0000_t75" style="width:430.35pt;height:123.9pt">
            <v:imagedata r:id="rId10" o:title=""/>
          </v:shape>
        </w:pict>
      </w:r>
    </w:p>
    <w:p w:rsidR="00EC61CB" w:rsidRPr="00EF6375" w:rsidRDefault="00EF6375" w:rsidP="00737B19">
      <w:pPr>
        <w:spacing w:before="240" w:after="400"/>
        <w:jc w:val="both"/>
        <w:rPr>
          <w:color w:val="000000" w:themeColor="text1"/>
        </w:rPr>
      </w:pPr>
      <w:r w:rsidRPr="00EF6375">
        <w:rPr>
          <w:color w:val="000000" w:themeColor="text1"/>
        </w:rPr>
        <w:t>Se změnou složení hospodařící</w:t>
      </w:r>
      <w:r>
        <w:rPr>
          <w:color w:val="000000" w:themeColor="text1"/>
        </w:rPr>
        <w:t>ch domácností koresponduje také vývoj průměrné velikosti hospodařící</w:t>
      </w:r>
      <w:r w:rsidR="002E50CA">
        <w:rPr>
          <w:color w:val="000000" w:themeColor="text1"/>
        </w:rPr>
        <w:t xml:space="preserve"> domácnosti</w:t>
      </w:r>
      <w:r>
        <w:rPr>
          <w:color w:val="000000" w:themeColor="text1"/>
        </w:rPr>
        <w:t xml:space="preserve"> (tab. 2). </w:t>
      </w:r>
      <w:r w:rsidR="00E34E9E">
        <w:rPr>
          <w:color w:val="000000" w:themeColor="text1"/>
        </w:rPr>
        <w:t xml:space="preserve">Zatímco v roce 1970 </w:t>
      </w:r>
      <w:r w:rsidR="00642F82">
        <w:rPr>
          <w:color w:val="000000" w:themeColor="text1"/>
        </w:rPr>
        <w:t xml:space="preserve">žilo v domácnosti průměrně 2,89 osob, o 40 let později to bylo </w:t>
      </w:r>
      <w:r w:rsidR="00C27230">
        <w:rPr>
          <w:color w:val="000000" w:themeColor="text1"/>
        </w:rPr>
        <w:t>pouze</w:t>
      </w:r>
      <w:r w:rsidR="00642F82">
        <w:rPr>
          <w:color w:val="000000" w:themeColor="text1"/>
        </w:rPr>
        <w:t xml:space="preserve"> 2,34 osoby na jednu hospodařící domácnost. </w:t>
      </w:r>
      <w:r w:rsidR="00394876">
        <w:rPr>
          <w:color w:val="000000" w:themeColor="text1"/>
        </w:rPr>
        <w:t>Dlouhodobě klesá zejména počet domácností s vyšším počtem členů (5 a</w:t>
      </w:r>
      <w:r w:rsidR="002E50CA">
        <w:rPr>
          <w:color w:val="000000" w:themeColor="text1"/>
        </w:rPr>
        <w:t xml:space="preserve"> více), přičemž počet domácností</w:t>
      </w:r>
      <w:r w:rsidR="00394876">
        <w:rPr>
          <w:color w:val="000000" w:themeColor="text1"/>
        </w:rPr>
        <w:t xml:space="preserve"> se 3 členy zůstává neměnný. Kromě jednočlenných domácností se trvale zvyšuje absolutní i relativní zastoupení </w:t>
      </w:r>
      <w:r w:rsidR="00F800C7">
        <w:rPr>
          <w:color w:val="000000" w:themeColor="text1"/>
        </w:rPr>
        <w:t xml:space="preserve">dvoučlenných domácností, způsobené především </w:t>
      </w:r>
      <w:r w:rsidR="00640D3A">
        <w:rPr>
          <w:color w:val="000000" w:themeColor="text1"/>
        </w:rPr>
        <w:t>zvyšujícím se podílem úplných rodin o</w:t>
      </w:r>
      <w:r w:rsidR="00F6547A">
        <w:rPr>
          <w:color w:val="000000" w:themeColor="text1"/>
        </w:rPr>
        <w:t>sob vyššího věku, které vznikly z původních úplných rodin s dětmi</w:t>
      </w:r>
      <w:r w:rsidR="00640D3A">
        <w:rPr>
          <w:color w:val="000000" w:themeColor="text1"/>
        </w:rPr>
        <w:t>, tj. </w:t>
      </w:r>
      <w:r w:rsidR="00F6547A">
        <w:rPr>
          <w:color w:val="000000" w:themeColor="text1"/>
        </w:rPr>
        <w:t>po osamostatnění dospělých</w:t>
      </w:r>
      <w:r w:rsidR="00640D3A">
        <w:rPr>
          <w:color w:val="000000" w:themeColor="text1"/>
        </w:rPr>
        <w:t xml:space="preserve"> dětí</w:t>
      </w:r>
      <w:r w:rsidR="00C27230">
        <w:rPr>
          <w:color w:val="000000" w:themeColor="text1"/>
        </w:rPr>
        <w:t xml:space="preserve"> a založení jejich</w:t>
      </w:r>
      <w:r w:rsidR="00640D3A">
        <w:rPr>
          <w:color w:val="000000" w:themeColor="text1"/>
        </w:rPr>
        <w:t xml:space="preserve"> vlastní domácnost</w:t>
      </w:r>
      <w:r w:rsidR="00C27230">
        <w:rPr>
          <w:color w:val="000000" w:themeColor="text1"/>
        </w:rPr>
        <w:t>i</w:t>
      </w:r>
      <w:r w:rsidR="00640D3A">
        <w:rPr>
          <w:color w:val="000000" w:themeColor="text1"/>
        </w:rPr>
        <w:t>.</w:t>
      </w:r>
    </w:p>
    <w:p w:rsidR="00EE5A93" w:rsidRDefault="00EE5A93" w:rsidP="008D16C3">
      <w:pPr>
        <w:spacing w:before="240" w:after="120"/>
        <w:jc w:val="both"/>
        <w:rPr>
          <w:b/>
          <w:color w:val="000000" w:themeColor="text1"/>
        </w:rPr>
      </w:pPr>
      <w:r w:rsidRPr="00EE5A93">
        <w:rPr>
          <w:b/>
          <w:color w:val="000000" w:themeColor="text1"/>
        </w:rPr>
        <w:t>Struktura domácností jednotlivců</w:t>
      </w:r>
      <w:r w:rsidR="00336F6E">
        <w:rPr>
          <w:b/>
          <w:color w:val="000000" w:themeColor="text1"/>
        </w:rPr>
        <w:t xml:space="preserve"> podle věku</w:t>
      </w:r>
      <w:r w:rsidR="004B3FD6">
        <w:rPr>
          <w:b/>
          <w:color w:val="000000" w:themeColor="text1"/>
        </w:rPr>
        <w:t xml:space="preserve">, </w:t>
      </w:r>
      <w:r w:rsidR="007826A0">
        <w:rPr>
          <w:b/>
          <w:color w:val="000000" w:themeColor="text1"/>
        </w:rPr>
        <w:t>pohlaví</w:t>
      </w:r>
      <w:r w:rsidR="004B3FD6">
        <w:rPr>
          <w:b/>
          <w:color w:val="000000" w:themeColor="text1"/>
        </w:rPr>
        <w:t xml:space="preserve"> a rodinného stavu</w:t>
      </w:r>
    </w:p>
    <w:p w:rsidR="00572F32" w:rsidRDefault="00622A0A" w:rsidP="00A22DB2">
      <w:pPr>
        <w:spacing w:before="120" w:after="120"/>
        <w:jc w:val="both"/>
        <w:rPr>
          <w:color w:val="000000" w:themeColor="text1"/>
        </w:rPr>
      </w:pPr>
      <w:r>
        <w:rPr>
          <w:color w:val="000000" w:themeColor="text1"/>
        </w:rPr>
        <w:t xml:space="preserve">Více </w:t>
      </w:r>
      <w:r w:rsidR="003E759C">
        <w:rPr>
          <w:color w:val="000000" w:themeColor="text1"/>
        </w:rPr>
        <w:t>než</w:t>
      </w:r>
      <w:r>
        <w:rPr>
          <w:color w:val="000000" w:themeColor="text1"/>
        </w:rPr>
        <w:t xml:space="preserve"> každá sedmá osoba obvykle bydlící v České republice </w:t>
      </w:r>
      <w:r w:rsidR="001B0575">
        <w:rPr>
          <w:color w:val="000000" w:themeColor="text1"/>
        </w:rPr>
        <w:t>žije</w:t>
      </w:r>
      <w:r>
        <w:rPr>
          <w:color w:val="000000" w:themeColor="text1"/>
        </w:rPr>
        <w:t xml:space="preserve"> a hospodaří</w:t>
      </w:r>
      <w:r w:rsidR="001B0575">
        <w:rPr>
          <w:color w:val="000000" w:themeColor="text1"/>
        </w:rPr>
        <w:t xml:space="preserve"> v domácnosti</w:t>
      </w:r>
      <w:r>
        <w:rPr>
          <w:color w:val="000000" w:themeColor="text1"/>
        </w:rPr>
        <w:t xml:space="preserve"> jako jednotlivec</w:t>
      </w:r>
      <w:r w:rsidR="001B0575">
        <w:rPr>
          <w:color w:val="000000" w:themeColor="text1"/>
        </w:rPr>
        <w:t>.</w:t>
      </w:r>
      <w:r w:rsidR="00113E20">
        <w:rPr>
          <w:color w:val="000000" w:themeColor="text1"/>
        </w:rPr>
        <w:t xml:space="preserve"> </w:t>
      </w:r>
      <w:r w:rsidR="00106760">
        <w:rPr>
          <w:color w:val="000000" w:themeColor="text1"/>
        </w:rPr>
        <w:t xml:space="preserve">Z osob nad </w:t>
      </w:r>
      <w:r w:rsidR="00106760" w:rsidRPr="0025011B">
        <w:rPr>
          <w:color w:val="000000" w:themeColor="text1"/>
        </w:rPr>
        <w:t>15 let věku</w:t>
      </w:r>
      <w:r w:rsidR="00DC76BF">
        <w:rPr>
          <w:color w:val="000000" w:themeColor="text1"/>
        </w:rPr>
        <w:t xml:space="preserve"> </w:t>
      </w:r>
      <w:r w:rsidR="00B0283A">
        <w:rPr>
          <w:color w:val="000000" w:themeColor="text1"/>
        </w:rPr>
        <w:t xml:space="preserve">tímto způsobem </w:t>
      </w:r>
      <w:r w:rsidR="00834A51">
        <w:rPr>
          <w:color w:val="000000" w:themeColor="text1"/>
        </w:rPr>
        <w:t xml:space="preserve">žije dokonce téměř každá </w:t>
      </w:r>
      <w:r w:rsidR="00D02A0B">
        <w:rPr>
          <w:color w:val="000000" w:themeColor="text1"/>
        </w:rPr>
        <w:t>šestá</w:t>
      </w:r>
      <w:r w:rsidR="00834A51">
        <w:rPr>
          <w:color w:val="000000" w:themeColor="text1"/>
        </w:rPr>
        <w:t xml:space="preserve"> osoba.</w:t>
      </w:r>
      <w:r w:rsidR="00F4692B">
        <w:rPr>
          <w:color w:val="000000" w:themeColor="text1"/>
        </w:rPr>
        <w:t xml:space="preserve"> Domácnosti jednotlivců tvoří častěji ženy, i přestože jejich </w:t>
      </w:r>
      <w:r w:rsidR="00F4692B" w:rsidRPr="00A400DC">
        <w:rPr>
          <w:color w:val="000000" w:themeColor="text1"/>
        </w:rPr>
        <w:t>podíl kle</w:t>
      </w:r>
      <w:r w:rsidR="005373FA" w:rsidRPr="00A400DC">
        <w:rPr>
          <w:color w:val="000000" w:themeColor="text1"/>
        </w:rPr>
        <w:t xml:space="preserve">sl </w:t>
      </w:r>
      <w:r w:rsidR="00A400DC" w:rsidRPr="00A400DC">
        <w:rPr>
          <w:color w:val="000000" w:themeColor="text1"/>
        </w:rPr>
        <w:t xml:space="preserve">od roku 2001 </w:t>
      </w:r>
      <w:r w:rsidR="005373FA" w:rsidRPr="00A400DC">
        <w:rPr>
          <w:color w:val="000000" w:themeColor="text1"/>
        </w:rPr>
        <w:t xml:space="preserve">o 6 procentních bodů na 55 </w:t>
      </w:r>
      <w:r w:rsidR="00F4692B" w:rsidRPr="00A400DC">
        <w:rPr>
          <w:color w:val="000000" w:themeColor="text1"/>
        </w:rPr>
        <w:t>%.</w:t>
      </w:r>
      <w:r w:rsidR="00F4692B">
        <w:rPr>
          <w:color w:val="000000" w:themeColor="text1"/>
        </w:rPr>
        <w:t xml:space="preserve"> Zastoupení žen mezi domácnostmi jednotlivců je </w:t>
      </w:r>
      <w:r w:rsidR="005373FA">
        <w:rPr>
          <w:color w:val="000000" w:themeColor="text1"/>
        </w:rPr>
        <w:t>však</w:t>
      </w:r>
      <w:r w:rsidR="00F4692B">
        <w:rPr>
          <w:color w:val="000000" w:themeColor="text1"/>
        </w:rPr>
        <w:t xml:space="preserve"> stále vyšší než jejich podíl v celé populaci (51 %).</w:t>
      </w:r>
    </w:p>
    <w:p w:rsidR="0006612E" w:rsidRDefault="0006612E" w:rsidP="00AC7EC8">
      <w:pPr>
        <w:spacing w:after="0"/>
        <w:jc w:val="center"/>
        <w:rPr>
          <w:b/>
        </w:rPr>
      </w:pPr>
      <w:r>
        <w:rPr>
          <w:b/>
        </w:rPr>
        <w:t>Graf 2: Podíl osob žijících v</w:t>
      </w:r>
      <w:r w:rsidR="00E50FBD">
        <w:rPr>
          <w:b/>
        </w:rPr>
        <w:t> domácnostech jednotlivců</w:t>
      </w:r>
      <w:r>
        <w:rPr>
          <w:b/>
        </w:rPr>
        <w:t xml:space="preserve"> podle věku a pohlaví, 2011</w:t>
      </w:r>
    </w:p>
    <w:p w:rsidR="0006612E" w:rsidRDefault="00A16097" w:rsidP="00AC7EC8">
      <w:pPr>
        <w:spacing w:after="120"/>
        <w:jc w:val="center"/>
        <w:rPr>
          <w:color w:val="000000" w:themeColor="text1"/>
        </w:rPr>
      </w:pPr>
      <w:r w:rsidRPr="007D76AB">
        <w:rPr>
          <w:color w:val="000000" w:themeColor="text1"/>
        </w:rPr>
        <w:pict>
          <v:shape id="_x0000_i1028" type="#_x0000_t75" style="width:387.65pt;height:206.8pt">
            <v:imagedata r:id="rId11" o:title=""/>
          </v:shape>
        </w:pict>
      </w:r>
    </w:p>
    <w:p w:rsidR="007A3251" w:rsidRPr="009F192C" w:rsidRDefault="0006612E" w:rsidP="0006612E">
      <w:pPr>
        <w:spacing w:before="120" w:after="60"/>
        <w:jc w:val="both"/>
        <w:rPr>
          <w:color w:val="000000" w:themeColor="text1"/>
          <w:highlight w:val="lightGray"/>
        </w:rPr>
      </w:pPr>
      <w:r>
        <w:rPr>
          <w:color w:val="000000" w:themeColor="text1"/>
        </w:rPr>
        <w:lastRenderedPageBreak/>
        <w:t>K 26.</w:t>
      </w:r>
      <w:r w:rsidR="0089213D" w:rsidRPr="0089213D">
        <w:rPr>
          <w:color w:val="000000" w:themeColor="text1"/>
          <w:spacing w:val="-40"/>
        </w:rPr>
        <w:t xml:space="preserve"> </w:t>
      </w:r>
      <w:r>
        <w:rPr>
          <w:color w:val="000000" w:themeColor="text1"/>
        </w:rPr>
        <w:t>3.</w:t>
      </w:r>
      <w:r w:rsidR="0089213D" w:rsidRPr="0089213D">
        <w:rPr>
          <w:color w:val="000000" w:themeColor="text1"/>
          <w:spacing w:val="-40"/>
        </w:rPr>
        <w:t xml:space="preserve"> </w:t>
      </w:r>
      <w:r>
        <w:rPr>
          <w:color w:val="000000" w:themeColor="text1"/>
        </w:rPr>
        <w:t xml:space="preserve">2011 byl </w:t>
      </w:r>
      <w:r w:rsidR="00397241">
        <w:rPr>
          <w:color w:val="000000" w:themeColor="text1"/>
        </w:rPr>
        <w:t>v mladší věkové skupině</w:t>
      </w:r>
      <w:r>
        <w:rPr>
          <w:color w:val="000000" w:themeColor="text1"/>
        </w:rPr>
        <w:t xml:space="preserve"> žen zaznamenán nejvyšší podíl žen žijících v domácnosti jednotlivce ve věku 27 let (graf 2). V tomto věku tímto způsobem žilo 13 % žen. </w:t>
      </w:r>
      <w:r w:rsidR="00D3184D">
        <w:rPr>
          <w:color w:val="000000" w:themeColor="text1"/>
        </w:rPr>
        <w:t xml:space="preserve">S rostoucím věkem se dále </w:t>
      </w:r>
      <w:r>
        <w:rPr>
          <w:color w:val="000000" w:themeColor="text1"/>
        </w:rPr>
        <w:t xml:space="preserve">podíl žen v domácnosti </w:t>
      </w:r>
      <w:r w:rsidR="00F223E9">
        <w:rPr>
          <w:color w:val="000000" w:themeColor="text1"/>
        </w:rPr>
        <w:t xml:space="preserve">jednotlivce </w:t>
      </w:r>
      <w:r>
        <w:rPr>
          <w:color w:val="000000" w:themeColor="text1"/>
        </w:rPr>
        <w:t>sniž</w:t>
      </w:r>
      <w:r w:rsidR="002B233D">
        <w:rPr>
          <w:color w:val="000000" w:themeColor="text1"/>
        </w:rPr>
        <w:t>oval</w:t>
      </w:r>
      <w:r>
        <w:rPr>
          <w:color w:val="000000" w:themeColor="text1"/>
        </w:rPr>
        <w:t xml:space="preserve"> na úkor </w:t>
      </w:r>
      <w:r w:rsidRPr="00CB7EBB">
        <w:rPr>
          <w:color w:val="000000" w:themeColor="text1"/>
        </w:rPr>
        <w:t>vzrůstající</w:t>
      </w:r>
      <w:r w:rsidR="00F223E9" w:rsidRPr="00CB7EBB">
        <w:rPr>
          <w:color w:val="000000" w:themeColor="text1"/>
        </w:rPr>
        <w:t>ho</w:t>
      </w:r>
      <w:r w:rsidRPr="00CB7EBB">
        <w:rPr>
          <w:color w:val="000000" w:themeColor="text1"/>
        </w:rPr>
        <w:t xml:space="preserve"> zastoupen</w:t>
      </w:r>
      <w:r w:rsidR="00D3184D" w:rsidRPr="00CB7EBB">
        <w:rPr>
          <w:color w:val="000000" w:themeColor="text1"/>
        </w:rPr>
        <w:t xml:space="preserve">í </w:t>
      </w:r>
      <w:r w:rsidR="00CB7EBB" w:rsidRPr="00CB7EBB">
        <w:rPr>
          <w:color w:val="000000" w:themeColor="text1"/>
        </w:rPr>
        <w:t>žen</w:t>
      </w:r>
      <w:r w:rsidR="00D3184D">
        <w:rPr>
          <w:color w:val="000000" w:themeColor="text1"/>
        </w:rPr>
        <w:t xml:space="preserve"> v rodinných domácnostech. Teprve od věku 40 let </w:t>
      </w:r>
      <w:r>
        <w:rPr>
          <w:color w:val="000000" w:themeColor="text1"/>
        </w:rPr>
        <w:t>dochází k </w:t>
      </w:r>
      <w:r w:rsidR="00A31AD7">
        <w:rPr>
          <w:color w:val="000000" w:themeColor="text1"/>
        </w:rPr>
        <w:t>významnému</w:t>
      </w:r>
      <w:r>
        <w:rPr>
          <w:color w:val="000000" w:themeColor="text1"/>
        </w:rPr>
        <w:t xml:space="preserve"> zvyšování podílu až do dosažení maxima ve věku </w:t>
      </w:r>
      <w:r w:rsidR="007A3251">
        <w:rPr>
          <w:color w:val="000000" w:themeColor="text1"/>
        </w:rPr>
        <w:t>84 let, kdy více než polovina žen žije sama jako jednotlivec v domácnosti.</w:t>
      </w:r>
      <w:r w:rsidR="0009334A">
        <w:rPr>
          <w:color w:val="000000" w:themeColor="text1"/>
        </w:rPr>
        <w:t xml:space="preserve"> U </w:t>
      </w:r>
      <w:r w:rsidR="007A3251">
        <w:rPr>
          <w:color w:val="000000" w:themeColor="text1"/>
        </w:rPr>
        <w:t>mužské části populace j</w:t>
      </w:r>
      <w:r w:rsidR="0009334A">
        <w:rPr>
          <w:color w:val="000000" w:themeColor="text1"/>
        </w:rPr>
        <w:t>e rozložení více rovnoměrné, s</w:t>
      </w:r>
      <w:r w:rsidR="00F223E9">
        <w:rPr>
          <w:color w:val="000000" w:themeColor="text1"/>
        </w:rPr>
        <w:t> patrným</w:t>
      </w:r>
      <w:r w:rsidR="0009334A">
        <w:rPr>
          <w:color w:val="000000" w:themeColor="text1"/>
        </w:rPr>
        <w:t xml:space="preserve"> vrcholem ve věku 29 let</w:t>
      </w:r>
      <w:r w:rsidR="001875FA">
        <w:rPr>
          <w:color w:val="000000" w:themeColor="text1"/>
        </w:rPr>
        <w:t xml:space="preserve"> a prudkým nárůstem v nejstarších věkových skupinách</w:t>
      </w:r>
      <w:r w:rsidR="0009334A">
        <w:rPr>
          <w:color w:val="000000" w:themeColor="text1"/>
        </w:rPr>
        <w:t xml:space="preserve">. </w:t>
      </w:r>
      <w:r w:rsidR="006A1B71">
        <w:rPr>
          <w:color w:val="000000" w:themeColor="text1"/>
        </w:rPr>
        <w:t>Značná</w:t>
      </w:r>
      <w:r w:rsidR="00CC5D92">
        <w:rPr>
          <w:color w:val="000000" w:themeColor="text1"/>
        </w:rPr>
        <w:t xml:space="preserve"> převaha žen nad muži ve </w:t>
      </w:r>
      <w:r w:rsidR="002B233D">
        <w:rPr>
          <w:color w:val="000000" w:themeColor="text1"/>
        </w:rPr>
        <w:t>starší</w:t>
      </w:r>
      <w:r w:rsidR="005C044B">
        <w:rPr>
          <w:color w:val="000000" w:themeColor="text1"/>
        </w:rPr>
        <w:t>m</w:t>
      </w:r>
      <w:r w:rsidR="00CC5D92">
        <w:rPr>
          <w:color w:val="000000" w:themeColor="text1"/>
        </w:rPr>
        <w:t xml:space="preserve"> vě</w:t>
      </w:r>
      <w:r w:rsidR="005C044B">
        <w:rPr>
          <w:color w:val="000000" w:themeColor="text1"/>
        </w:rPr>
        <w:t>ku</w:t>
      </w:r>
      <w:r w:rsidR="00CC5D92">
        <w:rPr>
          <w:color w:val="000000" w:themeColor="text1"/>
        </w:rPr>
        <w:t xml:space="preserve"> je způsobena </w:t>
      </w:r>
      <w:r w:rsidR="006A1B71">
        <w:rPr>
          <w:color w:val="000000" w:themeColor="text1"/>
        </w:rPr>
        <w:t>nad</w:t>
      </w:r>
      <w:r w:rsidR="00CC5D92">
        <w:rPr>
          <w:color w:val="000000" w:themeColor="text1"/>
        </w:rPr>
        <w:t xml:space="preserve">úmrtností </w:t>
      </w:r>
      <w:r w:rsidR="006A1B71">
        <w:rPr>
          <w:color w:val="000000" w:themeColor="text1"/>
        </w:rPr>
        <w:t xml:space="preserve">mužů, </w:t>
      </w:r>
      <w:r w:rsidR="005373FA">
        <w:rPr>
          <w:color w:val="000000" w:themeColor="text1"/>
        </w:rPr>
        <w:t>která zapříčiňuje</w:t>
      </w:r>
      <w:r w:rsidR="006A1B71">
        <w:rPr>
          <w:color w:val="000000" w:themeColor="text1"/>
        </w:rPr>
        <w:t xml:space="preserve"> vyšší pravděpodobnost rozpadu úplné rodiny </w:t>
      </w:r>
      <w:r w:rsidR="002B233D">
        <w:rPr>
          <w:color w:val="000000" w:themeColor="text1"/>
        </w:rPr>
        <w:t xml:space="preserve">ztrátou partnera muže </w:t>
      </w:r>
      <w:r w:rsidR="006A1B71">
        <w:rPr>
          <w:color w:val="000000" w:themeColor="text1"/>
        </w:rPr>
        <w:t xml:space="preserve">a vzniku domácnosti jednotlivce ovdovělé ženy. </w:t>
      </w:r>
      <w:r w:rsidR="0009334A">
        <w:rPr>
          <w:color w:val="000000" w:themeColor="text1"/>
        </w:rPr>
        <w:t xml:space="preserve">Pokles zastoupení žen v domácnostech jednotlivců </w:t>
      </w:r>
      <w:r w:rsidR="00D3184D">
        <w:rPr>
          <w:color w:val="000000" w:themeColor="text1"/>
        </w:rPr>
        <w:t>v</w:t>
      </w:r>
      <w:r w:rsidR="006A1B71">
        <w:rPr>
          <w:color w:val="000000" w:themeColor="text1"/>
        </w:rPr>
        <w:t> </w:t>
      </w:r>
      <w:r w:rsidR="0009334A">
        <w:rPr>
          <w:color w:val="000000" w:themeColor="text1"/>
        </w:rPr>
        <w:t xml:space="preserve">nejvyšších věcích je dán </w:t>
      </w:r>
      <w:r w:rsidR="00D3184D" w:rsidRPr="00070694">
        <w:rPr>
          <w:color w:val="000000" w:themeColor="text1"/>
        </w:rPr>
        <w:t xml:space="preserve">častějším soužitím </w:t>
      </w:r>
      <w:r w:rsidR="00070694" w:rsidRPr="00070694">
        <w:rPr>
          <w:color w:val="000000" w:themeColor="text1"/>
        </w:rPr>
        <w:t xml:space="preserve">jako další osoba </w:t>
      </w:r>
      <w:r w:rsidR="00C23541">
        <w:rPr>
          <w:color w:val="000000" w:themeColor="text1"/>
        </w:rPr>
        <w:t xml:space="preserve">v domácnosti </w:t>
      </w:r>
      <w:r w:rsidR="00897602">
        <w:rPr>
          <w:color w:val="000000" w:themeColor="text1"/>
        </w:rPr>
        <w:t>nebo</w:t>
      </w:r>
      <w:r w:rsidR="00DB0DCA">
        <w:rPr>
          <w:color w:val="000000" w:themeColor="text1"/>
        </w:rPr>
        <w:t> </w:t>
      </w:r>
      <w:r w:rsidR="00D3184D" w:rsidRPr="00070694">
        <w:rPr>
          <w:color w:val="000000" w:themeColor="text1"/>
        </w:rPr>
        <w:t>jako jednotlivec v zařízení.</w:t>
      </w:r>
      <w:r w:rsidR="0009334A" w:rsidRPr="00070694">
        <w:rPr>
          <w:color w:val="000000" w:themeColor="text1"/>
        </w:rPr>
        <w:t xml:space="preserve"> </w:t>
      </w:r>
    </w:p>
    <w:p w:rsidR="001B62A1" w:rsidRPr="00DB0DCA" w:rsidRDefault="0006612E" w:rsidP="00D3184D">
      <w:pPr>
        <w:spacing w:before="120" w:after="60"/>
        <w:jc w:val="both"/>
        <w:rPr>
          <w:b/>
        </w:rPr>
      </w:pPr>
      <w:r w:rsidRPr="00DB0DCA">
        <w:rPr>
          <w:color w:val="000000" w:themeColor="text1"/>
        </w:rPr>
        <w:t xml:space="preserve"> </w:t>
      </w:r>
      <w:r w:rsidR="001B62A1" w:rsidRPr="00DB0DCA">
        <w:rPr>
          <w:b/>
        </w:rPr>
        <w:t>Tab. 3: Vývoj počtu domácností jednotlivců podle pohlaví a věku mezi roky 2001 a 2011</w:t>
      </w:r>
    </w:p>
    <w:p w:rsidR="001B62A1" w:rsidRPr="009F192C" w:rsidRDefault="007D76AB" w:rsidP="00451CD5">
      <w:pPr>
        <w:spacing w:after="300"/>
        <w:jc w:val="both"/>
        <w:rPr>
          <w:sz w:val="4"/>
          <w:highlight w:val="lightGray"/>
        </w:rPr>
      </w:pPr>
      <w:r w:rsidRPr="007D76AB">
        <w:rPr>
          <w:highlight w:val="lightGray"/>
        </w:rPr>
        <w:pict>
          <v:shape id="_x0000_i1029" type="#_x0000_t75" style="width:427.8pt;height:225.2pt">
            <v:imagedata r:id="rId12" o:title=""/>
          </v:shape>
        </w:pict>
      </w:r>
    </w:p>
    <w:p w:rsidR="009F192C" w:rsidRPr="009F192C" w:rsidRDefault="00A779D7" w:rsidP="00E04474">
      <w:pPr>
        <w:spacing w:before="120"/>
        <w:jc w:val="both"/>
        <w:rPr>
          <w:color w:val="0070C0"/>
        </w:rPr>
      </w:pPr>
      <w:r w:rsidRPr="00EE27CC">
        <w:rPr>
          <w:color w:val="000000" w:themeColor="text1"/>
        </w:rPr>
        <w:t xml:space="preserve">Přestože </w:t>
      </w:r>
      <w:r w:rsidR="005373FA" w:rsidRPr="00EE27CC">
        <w:rPr>
          <w:color w:val="000000" w:themeColor="text1"/>
        </w:rPr>
        <w:t xml:space="preserve">se </w:t>
      </w:r>
      <w:r w:rsidRPr="00EE27CC">
        <w:rPr>
          <w:color w:val="000000" w:themeColor="text1"/>
        </w:rPr>
        <w:t>od roku 1970 mezi domácnostmi jednotlivců významně zvýšilo</w:t>
      </w:r>
      <w:r w:rsidR="009F192C" w:rsidRPr="00EE27CC">
        <w:rPr>
          <w:color w:val="000000" w:themeColor="text1"/>
        </w:rPr>
        <w:t xml:space="preserve"> absolutní</w:t>
      </w:r>
      <w:r w:rsidRPr="00EE27CC">
        <w:rPr>
          <w:color w:val="000000" w:themeColor="text1"/>
        </w:rPr>
        <w:t xml:space="preserve"> zastoupení </w:t>
      </w:r>
      <w:r w:rsidR="003136E3" w:rsidRPr="00EE27CC">
        <w:rPr>
          <w:color w:val="000000" w:themeColor="text1"/>
        </w:rPr>
        <w:t>osob v mladším a střed</w:t>
      </w:r>
      <w:r w:rsidR="001875FA">
        <w:rPr>
          <w:color w:val="000000" w:themeColor="text1"/>
        </w:rPr>
        <w:t xml:space="preserve">ním věku, téměř polovinu </w:t>
      </w:r>
      <w:r w:rsidR="00156967" w:rsidRPr="00EE27CC">
        <w:rPr>
          <w:color w:val="000000" w:themeColor="text1"/>
        </w:rPr>
        <w:t xml:space="preserve">jednotlivců </w:t>
      </w:r>
      <w:r w:rsidR="00795C63" w:rsidRPr="00EE27CC">
        <w:rPr>
          <w:color w:val="000000" w:themeColor="text1"/>
        </w:rPr>
        <w:t xml:space="preserve">stále </w:t>
      </w:r>
      <w:r w:rsidR="00680288">
        <w:rPr>
          <w:color w:val="000000" w:themeColor="text1"/>
        </w:rPr>
        <w:t>představují osoby ve věku 60 a více</w:t>
      </w:r>
      <w:r w:rsidR="001875FA">
        <w:rPr>
          <w:color w:val="000000" w:themeColor="text1"/>
        </w:rPr>
        <w:t xml:space="preserve"> </w:t>
      </w:r>
      <w:r w:rsidR="003136E3" w:rsidRPr="00EE27CC">
        <w:rPr>
          <w:color w:val="000000" w:themeColor="text1"/>
        </w:rPr>
        <w:t>let.</w:t>
      </w:r>
      <w:r w:rsidR="00795C63" w:rsidRPr="00EE27CC">
        <w:rPr>
          <w:color w:val="000000" w:themeColor="text1"/>
        </w:rPr>
        <w:t xml:space="preserve"> </w:t>
      </w:r>
      <w:r w:rsidR="00063189" w:rsidRPr="00EE27CC">
        <w:rPr>
          <w:color w:val="000000" w:themeColor="text1"/>
        </w:rPr>
        <w:t xml:space="preserve">Právě věková skupina 60–69 let zaznamenala </w:t>
      </w:r>
      <w:r w:rsidR="001D6EA4" w:rsidRPr="00EE27CC">
        <w:rPr>
          <w:color w:val="000000" w:themeColor="text1"/>
        </w:rPr>
        <w:t xml:space="preserve">v posledním desetiletí </w:t>
      </w:r>
      <w:r w:rsidR="00063189" w:rsidRPr="00EE27CC">
        <w:rPr>
          <w:color w:val="000000" w:themeColor="text1"/>
        </w:rPr>
        <w:t>nejvýraznější absolutní přírůstek</w:t>
      </w:r>
      <w:r w:rsidR="00396329">
        <w:rPr>
          <w:color w:val="000000" w:themeColor="text1"/>
        </w:rPr>
        <w:t xml:space="preserve"> (</w:t>
      </w:r>
      <w:r w:rsidR="001D6EA4" w:rsidRPr="00EE27CC">
        <w:rPr>
          <w:color w:val="000000" w:themeColor="text1"/>
        </w:rPr>
        <w:t>více než 74 tisíc osob</w:t>
      </w:r>
      <w:r w:rsidR="00396329">
        <w:rPr>
          <w:color w:val="000000" w:themeColor="text1"/>
        </w:rPr>
        <w:t>). N</w:t>
      </w:r>
      <w:r w:rsidR="00063189" w:rsidRPr="00EE27CC">
        <w:rPr>
          <w:color w:val="000000" w:themeColor="text1"/>
        </w:rPr>
        <w:t>ejvyšší relativní přírůstek</w:t>
      </w:r>
      <w:r w:rsidR="00794AD0" w:rsidRPr="00EE27CC">
        <w:rPr>
          <w:color w:val="000000" w:themeColor="text1"/>
        </w:rPr>
        <w:t xml:space="preserve"> až o </w:t>
      </w:r>
      <w:r w:rsidR="001D6EA4" w:rsidRPr="00EE27CC">
        <w:rPr>
          <w:color w:val="000000" w:themeColor="text1"/>
        </w:rPr>
        <w:t>40</w:t>
      </w:r>
      <w:r w:rsidR="00794AD0" w:rsidRPr="00EE27CC">
        <w:rPr>
          <w:color w:val="000000" w:themeColor="text1"/>
        </w:rPr>
        <w:t xml:space="preserve"> </w:t>
      </w:r>
      <w:r w:rsidR="001D6EA4" w:rsidRPr="00EE27CC">
        <w:rPr>
          <w:color w:val="000000" w:themeColor="text1"/>
        </w:rPr>
        <w:t>%</w:t>
      </w:r>
      <w:r w:rsidR="00396329">
        <w:rPr>
          <w:color w:val="000000" w:themeColor="text1"/>
        </w:rPr>
        <w:t xml:space="preserve"> oproti roku 2001</w:t>
      </w:r>
      <w:r w:rsidR="001D6EA4" w:rsidRPr="00EE27CC">
        <w:rPr>
          <w:color w:val="000000" w:themeColor="text1"/>
        </w:rPr>
        <w:t xml:space="preserve">, </w:t>
      </w:r>
      <w:r w:rsidR="00063189" w:rsidRPr="00EE27CC">
        <w:rPr>
          <w:color w:val="000000" w:themeColor="text1"/>
        </w:rPr>
        <w:t xml:space="preserve">si </w:t>
      </w:r>
      <w:r w:rsidR="002236FA">
        <w:rPr>
          <w:color w:val="000000" w:themeColor="text1"/>
        </w:rPr>
        <w:t>díky</w:t>
      </w:r>
      <w:r w:rsidR="00396329">
        <w:rPr>
          <w:color w:val="000000" w:themeColor="text1"/>
        </w:rPr>
        <w:t xml:space="preserve"> posouvání silných generací do vyššího věku </w:t>
      </w:r>
      <w:r w:rsidR="001B62A1" w:rsidRPr="00EE27CC">
        <w:rPr>
          <w:color w:val="000000" w:themeColor="text1"/>
        </w:rPr>
        <w:t>připsala věková kategorie 30–39 let</w:t>
      </w:r>
      <w:r w:rsidR="00396329">
        <w:rPr>
          <w:color w:val="000000" w:themeColor="text1"/>
        </w:rPr>
        <w:t xml:space="preserve"> (tab. 3)</w:t>
      </w:r>
      <w:r w:rsidR="0099257D" w:rsidRPr="00EE27CC">
        <w:rPr>
          <w:color w:val="000000" w:themeColor="text1"/>
        </w:rPr>
        <w:t xml:space="preserve">. </w:t>
      </w:r>
      <w:r w:rsidR="00396329">
        <w:rPr>
          <w:color w:val="000000" w:themeColor="text1"/>
        </w:rPr>
        <w:t xml:space="preserve">Její </w:t>
      </w:r>
      <w:r w:rsidR="00E74C17">
        <w:rPr>
          <w:color w:val="000000" w:themeColor="text1"/>
        </w:rPr>
        <w:t>zastoupení v rámci osob v daném věku zaznamenalo</w:t>
      </w:r>
      <w:r w:rsidR="001875FA">
        <w:rPr>
          <w:color w:val="000000" w:themeColor="text1"/>
        </w:rPr>
        <w:t xml:space="preserve"> však pouze </w:t>
      </w:r>
      <w:r w:rsidR="00E74C17">
        <w:rPr>
          <w:color w:val="000000" w:themeColor="text1"/>
        </w:rPr>
        <w:t>procentní</w:t>
      </w:r>
      <w:r w:rsidR="00396329">
        <w:rPr>
          <w:color w:val="000000" w:themeColor="text1"/>
        </w:rPr>
        <w:t xml:space="preserve"> přírůstek v intercenzálním období</w:t>
      </w:r>
      <w:r w:rsidR="00E74C17">
        <w:rPr>
          <w:color w:val="000000" w:themeColor="text1"/>
        </w:rPr>
        <w:t>.</w:t>
      </w:r>
      <w:r w:rsidR="00396329">
        <w:rPr>
          <w:color w:val="000000" w:themeColor="text1"/>
        </w:rPr>
        <w:t xml:space="preserve"> </w:t>
      </w:r>
    </w:p>
    <w:p w:rsidR="00156967" w:rsidRDefault="00E74C17" w:rsidP="00156967">
      <w:pPr>
        <w:spacing w:before="120" w:after="120"/>
        <w:jc w:val="both"/>
        <w:rPr>
          <w:color w:val="000000" w:themeColor="text1"/>
        </w:rPr>
      </w:pPr>
      <w:r>
        <w:rPr>
          <w:color w:val="000000" w:themeColor="text1"/>
        </w:rPr>
        <w:t>P</w:t>
      </w:r>
      <w:r w:rsidR="00156967">
        <w:rPr>
          <w:color w:val="000000" w:themeColor="text1"/>
        </w:rPr>
        <w:t xml:space="preserve">osouvání </w:t>
      </w:r>
      <w:r w:rsidR="00156967" w:rsidRPr="00CB7EBB">
        <w:rPr>
          <w:color w:val="000000" w:themeColor="text1"/>
        </w:rPr>
        <w:t>nej</w:t>
      </w:r>
      <w:r w:rsidR="00CB7EBB" w:rsidRPr="00CB7EBB">
        <w:rPr>
          <w:color w:val="000000" w:themeColor="text1"/>
        </w:rPr>
        <w:t>početnějších</w:t>
      </w:r>
      <w:r w:rsidR="00156967">
        <w:rPr>
          <w:color w:val="000000" w:themeColor="text1"/>
        </w:rPr>
        <w:t xml:space="preserve"> věkových skupin do vyššího věku</w:t>
      </w:r>
      <w:r>
        <w:rPr>
          <w:color w:val="000000" w:themeColor="text1"/>
        </w:rPr>
        <w:t xml:space="preserve"> je hlavní tendencí ve struktuře domácností jednotlivců </w:t>
      </w:r>
      <w:r w:rsidR="00156967">
        <w:rPr>
          <w:color w:val="000000" w:themeColor="text1"/>
        </w:rPr>
        <w:t>(graf 3, 4). Zatímco v roce 2001 byl</w:t>
      </w:r>
      <w:r w:rsidR="00B310DF">
        <w:rPr>
          <w:color w:val="000000" w:themeColor="text1"/>
        </w:rPr>
        <w:t>i</w:t>
      </w:r>
      <w:r w:rsidR="00156967">
        <w:rPr>
          <w:color w:val="000000" w:themeColor="text1"/>
        </w:rPr>
        <w:t xml:space="preserve"> jednotlivci muži v mladším věku zastoupen</w:t>
      </w:r>
      <w:r w:rsidR="009E3959">
        <w:rPr>
          <w:color w:val="000000" w:themeColor="text1"/>
        </w:rPr>
        <w:t xml:space="preserve">i </w:t>
      </w:r>
      <w:r w:rsidR="0070266F">
        <w:rPr>
          <w:color w:val="000000" w:themeColor="text1"/>
        </w:rPr>
        <w:t>s největší intenzitou mezi 25–</w:t>
      </w:r>
      <w:r w:rsidR="00156967">
        <w:rPr>
          <w:color w:val="000000" w:themeColor="text1"/>
        </w:rPr>
        <w:t>29 rokem</w:t>
      </w:r>
      <w:r w:rsidR="0070266F">
        <w:rPr>
          <w:color w:val="000000" w:themeColor="text1"/>
        </w:rPr>
        <w:t xml:space="preserve"> života</w:t>
      </w:r>
      <w:r w:rsidR="00156967">
        <w:rPr>
          <w:color w:val="000000" w:themeColor="text1"/>
        </w:rPr>
        <w:t>, za posledních deset let se intenzita přesunula do věk</w:t>
      </w:r>
      <w:r w:rsidR="0070266F">
        <w:rPr>
          <w:color w:val="000000" w:themeColor="text1"/>
        </w:rPr>
        <w:t>ové skupiny 30–34 let, příp. 30–</w:t>
      </w:r>
      <w:r w:rsidR="00156967">
        <w:rPr>
          <w:color w:val="000000" w:themeColor="text1"/>
        </w:rPr>
        <w:t xml:space="preserve">39 let. Stejný trend je pozorován i u starších středních věkových skupin mužů. U žen v mladším věku byl pozorován obdobný trend, přesto vrchol v mladší skupině zůstává přibližně ve stejném věku. </w:t>
      </w:r>
      <w:r w:rsidR="00156967" w:rsidRPr="00EE27CC">
        <w:rPr>
          <w:color w:val="000000" w:themeColor="text1"/>
        </w:rPr>
        <w:t xml:space="preserve">Důvodem </w:t>
      </w:r>
      <w:r w:rsidR="002D0B83">
        <w:rPr>
          <w:color w:val="000000" w:themeColor="text1"/>
        </w:rPr>
        <w:t>je</w:t>
      </w:r>
      <w:r w:rsidR="00156967" w:rsidRPr="00EE27CC">
        <w:rPr>
          <w:color w:val="000000" w:themeColor="text1"/>
        </w:rPr>
        <w:t xml:space="preserve"> </w:t>
      </w:r>
      <w:r w:rsidR="000D0E6D">
        <w:rPr>
          <w:color w:val="000000" w:themeColor="text1"/>
        </w:rPr>
        <w:t xml:space="preserve">mimo jiné </w:t>
      </w:r>
      <w:r w:rsidR="00156967" w:rsidRPr="00EE27CC">
        <w:rPr>
          <w:color w:val="000000" w:themeColor="text1"/>
        </w:rPr>
        <w:t xml:space="preserve">jak posouvání věku při </w:t>
      </w:r>
      <w:r w:rsidR="00F6547A" w:rsidRPr="00EE27CC">
        <w:rPr>
          <w:color w:val="000000" w:themeColor="text1"/>
        </w:rPr>
        <w:t>vytvoření</w:t>
      </w:r>
      <w:r w:rsidR="00156967" w:rsidRPr="00EE27CC">
        <w:rPr>
          <w:color w:val="000000" w:themeColor="text1"/>
        </w:rPr>
        <w:t xml:space="preserve"> </w:t>
      </w:r>
      <w:r w:rsidR="00F6547A" w:rsidRPr="00EE27CC">
        <w:rPr>
          <w:color w:val="000000" w:themeColor="text1"/>
        </w:rPr>
        <w:t>samostatné</w:t>
      </w:r>
      <w:r w:rsidR="00680288">
        <w:rPr>
          <w:color w:val="000000" w:themeColor="text1"/>
        </w:rPr>
        <w:t xml:space="preserve"> domácnosti</w:t>
      </w:r>
      <w:r w:rsidR="00156967" w:rsidRPr="00EE27CC">
        <w:rPr>
          <w:color w:val="000000" w:themeColor="text1"/>
        </w:rPr>
        <w:t xml:space="preserve"> jednotlivců (spíše charakteristické pro mladší věkové skupiny), tak </w:t>
      </w:r>
      <w:r w:rsidR="00156967" w:rsidRPr="000D0E6D">
        <w:rPr>
          <w:color w:val="000000" w:themeColor="text1"/>
        </w:rPr>
        <w:t>stárnutí populace</w:t>
      </w:r>
      <w:r w:rsidR="00384846" w:rsidRPr="000D0E6D">
        <w:rPr>
          <w:color w:val="000000" w:themeColor="text1"/>
        </w:rPr>
        <w:t xml:space="preserve"> </w:t>
      </w:r>
      <w:r w:rsidR="00156967" w:rsidRPr="000D0E6D">
        <w:rPr>
          <w:color w:val="000000" w:themeColor="text1"/>
        </w:rPr>
        <w:t>(u starších osob).</w:t>
      </w:r>
    </w:p>
    <w:p w:rsidR="001B62A1" w:rsidRDefault="001B62A1" w:rsidP="001B62A1">
      <w:pPr>
        <w:spacing w:after="0"/>
        <w:jc w:val="both"/>
        <w:rPr>
          <w:b/>
        </w:rPr>
      </w:pPr>
      <w:r>
        <w:rPr>
          <w:b/>
        </w:rPr>
        <w:lastRenderedPageBreak/>
        <w:t>Graf 3, 4: Změna rozložení domácností jednotlivců podle věku a pohlaví mezi 2001 a 2011</w:t>
      </w:r>
    </w:p>
    <w:p w:rsidR="001B62A1" w:rsidRDefault="007D76AB" w:rsidP="001B62A1">
      <w:pPr>
        <w:spacing w:after="0"/>
        <w:jc w:val="both"/>
        <w:rPr>
          <w:b/>
        </w:rPr>
      </w:pPr>
      <w:r>
        <w:rPr>
          <w:b/>
          <w:noProof/>
        </w:rPr>
        <w:pict>
          <v:shape id="_x0000_s2161" type="#_x0000_t75" style="position:absolute;left:0;text-align:left;margin-left:207.9pt;margin-top:1.1pt;width:215.35pt;height:193.5pt;z-index:251673600">
            <v:imagedata r:id="rId13" o:title=""/>
            <w10:wrap type="square"/>
          </v:shape>
        </w:pict>
      </w:r>
      <w:r w:rsidR="00A16097" w:rsidRPr="007D76AB">
        <w:rPr>
          <w:b/>
        </w:rPr>
        <w:pict>
          <v:shape id="_x0000_i1030" type="#_x0000_t75" style="width:212.65pt;height:193.4pt">
            <v:imagedata r:id="rId14" o:title=""/>
          </v:shape>
        </w:pict>
      </w:r>
    </w:p>
    <w:p w:rsidR="005F6F90" w:rsidRDefault="00BA1A00" w:rsidP="001E331C">
      <w:pPr>
        <w:spacing w:before="120" w:after="120"/>
        <w:jc w:val="both"/>
        <w:rPr>
          <w:color w:val="000000" w:themeColor="text1"/>
        </w:rPr>
      </w:pPr>
      <w:r>
        <w:rPr>
          <w:color w:val="000000" w:themeColor="text1"/>
        </w:rPr>
        <w:t>S věkovou strukturou koresponduje také rozložení domácností jednotlivců podle rodinného stavu</w:t>
      </w:r>
      <w:r w:rsidR="008B00E0">
        <w:rPr>
          <w:color w:val="000000" w:themeColor="text1"/>
        </w:rPr>
        <w:t xml:space="preserve"> (graf 5)</w:t>
      </w:r>
      <w:r>
        <w:rPr>
          <w:color w:val="000000" w:themeColor="text1"/>
        </w:rPr>
        <w:t>.</w:t>
      </w:r>
      <w:r w:rsidR="008B00E0">
        <w:rPr>
          <w:color w:val="000000" w:themeColor="text1"/>
        </w:rPr>
        <w:t xml:space="preserve"> Zatímco v nejnižších věkových skupinách převažují logicky svobodní, především muži, jejich podíl se s přibývajícím věkem snižuje, vzrůstá </w:t>
      </w:r>
      <w:r w:rsidR="00FB2E7F">
        <w:rPr>
          <w:color w:val="000000" w:themeColor="text1"/>
        </w:rPr>
        <w:t>naopak zastoupení rozvedených a </w:t>
      </w:r>
      <w:r w:rsidR="008B00E0">
        <w:rPr>
          <w:color w:val="000000" w:themeColor="text1"/>
        </w:rPr>
        <w:t>v nejvyšších věkových skupinách mají dominantní postavení ovdovělé ženy.</w:t>
      </w:r>
    </w:p>
    <w:p w:rsidR="00EE5A93" w:rsidRDefault="008B00E0" w:rsidP="008B00E0">
      <w:pPr>
        <w:spacing w:before="120" w:after="0"/>
        <w:jc w:val="center"/>
        <w:rPr>
          <w:color w:val="000000" w:themeColor="text1"/>
        </w:rPr>
      </w:pPr>
      <w:r>
        <w:rPr>
          <w:b/>
          <w:color w:val="000000" w:themeColor="text1"/>
        </w:rPr>
        <w:t>Graf 5</w:t>
      </w:r>
      <w:r w:rsidR="00572F32" w:rsidRPr="00572F32">
        <w:rPr>
          <w:b/>
          <w:color w:val="000000" w:themeColor="text1"/>
        </w:rPr>
        <w:t>: Věková struktura osob v domácnostech jednotlivců</w:t>
      </w:r>
      <w:r w:rsidR="00223A79">
        <w:rPr>
          <w:b/>
          <w:color w:val="000000" w:themeColor="text1"/>
        </w:rPr>
        <w:t>,</w:t>
      </w:r>
      <w:r w:rsidR="00572F32" w:rsidRPr="00572F32">
        <w:rPr>
          <w:b/>
          <w:color w:val="000000" w:themeColor="text1"/>
        </w:rPr>
        <w:t xml:space="preserve"> 20</w:t>
      </w:r>
      <w:r w:rsidR="004C2B2B">
        <w:rPr>
          <w:b/>
          <w:color w:val="000000" w:themeColor="text1"/>
        </w:rPr>
        <w:t>11</w:t>
      </w:r>
    </w:p>
    <w:p w:rsidR="00250880" w:rsidRPr="008B00E0" w:rsidRDefault="00A16097" w:rsidP="00250880">
      <w:pPr>
        <w:spacing w:after="0"/>
        <w:jc w:val="center"/>
        <w:rPr>
          <w:b/>
          <w:color w:val="000000" w:themeColor="text1"/>
        </w:rPr>
      </w:pPr>
      <w:r w:rsidRPr="007D76AB">
        <w:rPr>
          <w:color w:val="000000" w:themeColor="text1"/>
        </w:rPr>
        <w:pict>
          <v:shape id="_x0000_i1031" type="#_x0000_t75" style="width:354.15pt;height:293pt">
            <v:imagedata r:id="rId15" o:title=""/>
          </v:shape>
        </w:pict>
      </w:r>
    </w:p>
    <w:p w:rsidR="00DC01BF" w:rsidRPr="008B00E0" w:rsidRDefault="008B00E0" w:rsidP="000D0E6D">
      <w:pPr>
        <w:spacing w:after="120"/>
        <w:jc w:val="both"/>
        <w:rPr>
          <w:color w:val="000000" w:themeColor="text1"/>
        </w:rPr>
      </w:pPr>
      <w:r w:rsidRPr="008B00E0">
        <w:rPr>
          <w:color w:val="000000" w:themeColor="text1"/>
        </w:rPr>
        <w:t xml:space="preserve">Vzhledem </w:t>
      </w:r>
      <w:r w:rsidR="00B22944">
        <w:rPr>
          <w:color w:val="000000" w:themeColor="text1"/>
        </w:rPr>
        <w:t>k věkové struktuře domácností jednotlivců, tj. k významné převaze</w:t>
      </w:r>
      <w:r w:rsidR="00CF240E">
        <w:rPr>
          <w:color w:val="000000" w:themeColor="text1"/>
        </w:rPr>
        <w:t xml:space="preserve"> </w:t>
      </w:r>
      <w:r w:rsidR="00B22944">
        <w:rPr>
          <w:color w:val="000000" w:themeColor="text1"/>
        </w:rPr>
        <w:t xml:space="preserve">starších osob, </w:t>
      </w:r>
      <w:r w:rsidR="0076363D">
        <w:rPr>
          <w:color w:val="000000" w:themeColor="text1"/>
        </w:rPr>
        <w:t>zejména žen,</w:t>
      </w:r>
      <w:r w:rsidR="007F4B2A">
        <w:rPr>
          <w:color w:val="000000" w:themeColor="text1"/>
        </w:rPr>
        <w:t xml:space="preserve"> </w:t>
      </w:r>
      <w:r w:rsidR="007D238A">
        <w:rPr>
          <w:color w:val="000000" w:themeColor="text1"/>
        </w:rPr>
        <w:t xml:space="preserve">tvořily </w:t>
      </w:r>
      <w:r w:rsidR="00735DAC">
        <w:rPr>
          <w:color w:val="000000" w:themeColor="text1"/>
        </w:rPr>
        <w:t xml:space="preserve">jednu čtvrtinu všech jednotlivců </w:t>
      </w:r>
      <w:r w:rsidR="007D238A">
        <w:rPr>
          <w:color w:val="000000" w:themeColor="text1"/>
        </w:rPr>
        <w:t>v roce 2011 ovdovělé ženy</w:t>
      </w:r>
      <w:r w:rsidR="001C38CE">
        <w:rPr>
          <w:color w:val="000000" w:themeColor="text1"/>
        </w:rPr>
        <w:t>.</w:t>
      </w:r>
      <w:r w:rsidR="0076686C">
        <w:rPr>
          <w:color w:val="000000" w:themeColor="text1"/>
        </w:rPr>
        <w:t xml:space="preserve"> Ještě před deseti lety však ovdovělé ženy představovaly </w:t>
      </w:r>
      <w:r w:rsidR="00735DAC">
        <w:rPr>
          <w:color w:val="000000" w:themeColor="text1"/>
        </w:rPr>
        <w:t xml:space="preserve">dokonce </w:t>
      </w:r>
      <w:r w:rsidR="0076686C">
        <w:rPr>
          <w:color w:val="000000" w:themeColor="text1"/>
        </w:rPr>
        <w:t>30 % všech domácností</w:t>
      </w:r>
      <w:r w:rsidR="00735DAC">
        <w:rPr>
          <w:color w:val="000000" w:themeColor="text1"/>
        </w:rPr>
        <w:t xml:space="preserve"> jednotlivců</w:t>
      </w:r>
      <w:r w:rsidR="0076686C">
        <w:rPr>
          <w:color w:val="000000" w:themeColor="text1"/>
        </w:rPr>
        <w:t xml:space="preserve"> </w:t>
      </w:r>
      <w:r w:rsidR="0076686C">
        <w:rPr>
          <w:color w:val="000000" w:themeColor="text1"/>
        </w:rPr>
        <w:lastRenderedPageBreak/>
        <w:t>a</w:t>
      </w:r>
      <w:r w:rsidR="00D720EF">
        <w:rPr>
          <w:color w:val="000000" w:themeColor="text1"/>
        </w:rPr>
        <w:t> </w:t>
      </w:r>
      <w:r w:rsidR="0076686C">
        <w:rPr>
          <w:color w:val="000000" w:themeColor="text1"/>
        </w:rPr>
        <w:t xml:space="preserve">spolu s muži tvořili více než jednu třetinu všech jednotlivců. </w:t>
      </w:r>
      <w:r w:rsidR="005373FA">
        <w:rPr>
          <w:color w:val="000000" w:themeColor="text1"/>
        </w:rPr>
        <w:t>P</w:t>
      </w:r>
      <w:r w:rsidR="00D720EF">
        <w:rPr>
          <w:color w:val="000000" w:themeColor="text1"/>
        </w:rPr>
        <w:t xml:space="preserve">ředevším díky významnému </w:t>
      </w:r>
      <w:r w:rsidR="00F06900">
        <w:rPr>
          <w:color w:val="000000" w:themeColor="text1"/>
        </w:rPr>
        <w:t xml:space="preserve">absolutnímu </w:t>
      </w:r>
      <w:r w:rsidR="00D720EF">
        <w:rPr>
          <w:color w:val="000000" w:themeColor="text1"/>
        </w:rPr>
        <w:t>nárůstu počtu svobodných jednotlivců až o 117 tisíc</w:t>
      </w:r>
      <w:r w:rsidR="006250DD">
        <w:rPr>
          <w:color w:val="000000" w:themeColor="text1"/>
        </w:rPr>
        <w:t xml:space="preserve">, podíl svobodných mužů jednotlivců dosáhl téměř jedné pětiny všech domácností jednotlivců. </w:t>
      </w:r>
      <w:r w:rsidR="00337544">
        <w:rPr>
          <w:color w:val="000000" w:themeColor="text1"/>
        </w:rPr>
        <w:t>Zisk</w:t>
      </w:r>
      <w:r w:rsidR="00723674">
        <w:rPr>
          <w:color w:val="000000" w:themeColor="text1"/>
        </w:rPr>
        <w:t xml:space="preserve"> </w:t>
      </w:r>
      <w:r w:rsidR="00F06900">
        <w:rPr>
          <w:color w:val="000000" w:themeColor="text1"/>
        </w:rPr>
        <w:t>si připsali</w:t>
      </w:r>
      <w:r w:rsidR="00723674">
        <w:rPr>
          <w:color w:val="000000" w:themeColor="text1"/>
        </w:rPr>
        <w:t xml:space="preserve"> současně také ženatí/vdané spolu s rozvedenými osobami. Do určité míry se na této změně struktury projevuje </w:t>
      </w:r>
      <w:r w:rsidR="00337544">
        <w:rPr>
          <w:color w:val="000000" w:themeColor="text1"/>
        </w:rPr>
        <w:t>jak odlišná</w:t>
      </w:r>
      <w:r w:rsidR="00723674">
        <w:rPr>
          <w:color w:val="000000" w:themeColor="text1"/>
        </w:rPr>
        <w:t xml:space="preserve"> metodika zařazování osob do domácností </w:t>
      </w:r>
      <w:r w:rsidR="00337544">
        <w:rPr>
          <w:color w:val="000000" w:themeColor="text1"/>
        </w:rPr>
        <w:t>na základě obvyklého pobytu, tak čím dál častější samostatné bydlení jednotlivců v mladších věkových skupinách.</w:t>
      </w:r>
    </w:p>
    <w:p w:rsidR="002E5331" w:rsidRPr="005E5EBB" w:rsidRDefault="005D5FC3" w:rsidP="005D5FC3">
      <w:pPr>
        <w:spacing w:before="120" w:after="60"/>
        <w:jc w:val="both"/>
        <w:rPr>
          <w:b/>
        </w:rPr>
      </w:pPr>
      <w:r w:rsidRPr="007059EC">
        <w:rPr>
          <w:b/>
        </w:rPr>
        <w:t>Tab. 4: Vývoj struktury domácností jednotlivců podle rodinného stavu, 2001–2011</w:t>
      </w:r>
    </w:p>
    <w:p w:rsidR="00041C98" w:rsidRPr="005E5EBB" w:rsidRDefault="00A16097" w:rsidP="002E5331">
      <w:pPr>
        <w:spacing w:after="0"/>
        <w:jc w:val="both"/>
        <w:rPr>
          <w:b/>
        </w:rPr>
      </w:pPr>
      <w:r w:rsidRPr="007D76AB">
        <w:rPr>
          <w:b/>
        </w:rPr>
        <w:pict>
          <v:shape id="_x0000_i1032" type="#_x0000_t75" style="width:423.65pt;height:110.5pt">
            <v:imagedata r:id="rId16" o:title=""/>
          </v:shape>
        </w:pict>
      </w:r>
    </w:p>
    <w:p w:rsidR="006F3F8D" w:rsidRPr="000D0E6D" w:rsidRDefault="006F3F8D" w:rsidP="002E5331">
      <w:pPr>
        <w:spacing w:after="0"/>
        <w:jc w:val="both"/>
        <w:rPr>
          <w:b/>
          <w:sz w:val="14"/>
        </w:rPr>
      </w:pPr>
    </w:p>
    <w:p w:rsidR="00BF15BD" w:rsidRDefault="006E1088" w:rsidP="00B04F4E">
      <w:pPr>
        <w:spacing w:before="240" w:after="120"/>
        <w:jc w:val="both"/>
        <w:rPr>
          <w:b/>
          <w:color w:val="000000" w:themeColor="text1"/>
        </w:rPr>
      </w:pPr>
      <w:r>
        <w:rPr>
          <w:b/>
          <w:color w:val="000000" w:themeColor="text1"/>
        </w:rPr>
        <w:t>Domácnosti s</w:t>
      </w:r>
      <w:r w:rsidR="00A33279" w:rsidRPr="002723D9">
        <w:rPr>
          <w:b/>
          <w:color w:val="000000" w:themeColor="text1"/>
        </w:rPr>
        <w:t>ingles</w:t>
      </w:r>
    </w:p>
    <w:p w:rsidR="00DF07D5" w:rsidRDefault="00384846" w:rsidP="00B44611">
      <w:pPr>
        <w:spacing w:after="60"/>
        <w:jc w:val="both"/>
        <w:rPr>
          <w:color w:val="000000" w:themeColor="text1"/>
        </w:rPr>
      </w:pPr>
      <w:r>
        <w:rPr>
          <w:color w:val="000000" w:themeColor="text1"/>
        </w:rPr>
        <w:t>Dvě nejpočetnější skupiny</w:t>
      </w:r>
      <w:r w:rsidR="00B44611" w:rsidRPr="00B44611">
        <w:rPr>
          <w:color w:val="000000" w:themeColor="text1"/>
        </w:rPr>
        <w:t xml:space="preserve"> do</w:t>
      </w:r>
      <w:r w:rsidR="00084CDB">
        <w:rPr>
          <w:color w:val="000000" w:themeColor="text1"/>
        </w:rPr>
        <w:t>mácností</w:t>
      </w:r>
      <w:r w:rsidR="00B44611">
        <w:rPr>
          <w:color w:val="000000" w:themeColor="text1"/>
        </w:rPr>
        <w:t xml:space="preserve"> jednotlivců</w:t>
      </w:r>
      <w:r>
        <w:rPr>
          <w:color w:val="000000" w:themeColor="text1"/>
        </w:rPr>
        <w:t xml:space="preserve"> jsou</w:t>
      </w:r>
      <w:r w:rsidR="00B44611">
        <w:rPr>
          <w:color w:val="000000" w:themeColor="text1"/>
        </w:rPr>
        <w:t>:</w:t>
      </w:r>
    </w:p>
    <w:p w:rsidR="00B44611" w:rsidRPr="00B44611" w:rsidRDefault="003A17F2" w:rsidP="00B44611">
      <w:pPr>
        <w:pStyle w:val="Odstavecseseznamem"/>
        <w:numPr>
          <w:ilvl w:val="0"/>
          <w:numId w:val="4"/>
        </w:numPr>
        <w:spacing w:after="120"/>
        <w:jc w:val="both"/>
        <w:rPr>
          <w:color w:val="000000" w:themeColor="text1"/>
        </w:rPr>
      </w:pPr>
      <w:r>
        <w:rPr>
          <w:color w:val="000000" w:themeColor="text1"/>
        </w:rPr>
        <w:t>d</w:t>
      </w:r>
      <w:r w:rsidR="00B44611" w:rsidRPr="00B44611">
        <w:rPr>
          <w:color w:val="000000" w:themeColor="text1"/>
        </w:rPr>
        <w:t>omácnosti mladých osob – tzv. singles</w:t>
      </w:r>
    </w:p>
    <w:p w:rsidR="00B44611" w:rsidRPr="00B44611" w:rsidRDefault="003A17F2" w:rsidP="00B44611">
      <w:pPr>
        <w:pStyle w:val="Odstavecseseznamem"/>
        <w:numPr>
          <w:ilvl w:val="0"/>
          <w:numId w:val="4"/>
        </w:numPr>
        <w:spacing w:after="120"/>
        <w:jc w:val="both"/>
        <w:rPr>
          <w:color w:val="000000" w:themeColor="text1"/>
        </w:rPr>
      </w:pPr>
      <w:r>
        <w:rPr>
          <w:color w:val="000000" w:themeColor="text1"/>
        </w:rPr>
        <w:t>d</w:t>
      </w:r>
      <w:r w:rsidR="00B44611" w:rsidRPr="00B44611">
        <w:rPr>
          <w:color w:val="000000" w:themeColor="text1"/>
        </w:rPr>
        <w:t xml:space="preserve">omácnosti </w:t>
      </w:r>
      <w:r w:rsidR="009D16FA">
        <w:rPr>
          <w:color w:val="000000" w:themeColor="text1"/>
        </w:rPr>
        <w:t xml:space="preserve">jednotlivců </w:t>
      </w:r>
      <w:r w:rsidR="00B44611" w:rsidRPr="00B44611">
        <w:rPr>
          <w:color w:val="000000" w:themeColor="text1"/>
        </w:rPr>
        <w:t>seniorů</w:t>
      </w:r>
      <w:r w:rsidR="00131741">
        <w:rPr>
          <w:color w:val="000000" w:themeColor="text1"/>
        </w:rPr>
        <w:t>.</w:t>
      </w:r>
    </w:p>
    <w:p w:rsidR="00D2224E" w:rsidRDefault="006E37FB" w:rsidP="002723D9">
      <w:pPr>
        <w:spacing w:before="120" w:after="120"/>
        <w:jc w:val="both"/>
        <w:rPr>
          <w:color w:val="000000" w:themeColor="text1"/>
        </w:rPr>
      </w:pPr>
      <w:r w:rsidRPr="006E37FB">
        <w:rPr>
          <w:color w:val="000000" w:themeColor="text1"/>
        </w:rPr>
        <w:t xml:space="preserve">Domácnosti jednotlivců v mladších </w:t>
      </w:r>
      <w:r>
        <w:rPr>
          <w:color w:val="000000" w:themeColor="text1"/>
        </w:rPr>
        <w:t xml:space="preserve">věkových skupinách, tzv. </w:t>
      </w:r>
      <w:r w:rsidRPr="0056017D">
        <w:rPr>
          <w:i/>
          <w:color w:val="000000" w:themeColor="text1"/>
        </w:rPr>
        <w:t>singles</w:t>
      </w:r>
      <w:r>
        <w:rPr>
          <w:color w:val="000000" w:themeColor="text1"/>
        </w:rPr>
        <w:t xml:space="preserve">, </w:t>
      </w:r>
      <w:r w:rsidR="001D1DBF">
        <w:rPr>
          <w:color w:val="000000" w:themeColor="text1"/>
        </w:rPr>
        <w:t>je složité</w:t>
      </w:r>
      <w:r>
        <w:rPr>
          <w:color w:val="000000" w:themeColor="text1"/>
        </w:rPr>
        <w:t xml:space="preserve"> přesně vymezit, jak z důvodu neexistující </w:t>
      </w:r>
      <w:r w:rsidR="006473A7">
        <w:rPr>
          <w:color w:val="000000" w:themeColor="text1"/>
        </w:rPr>
        <w:t xml:space="preserve">univerzálně platné </w:t>
      </w:r>
      <w:r>
        <w:rPr>
          <w:color w:val="000000" w:themeColor="text1"/>
        </w:rPr>
        <w:t xml:space="preserve">definice, tak z důvodu </w:t>
      </w:r>
      <w:r w:rsidR="00D713A9">
        <w:rPr>
          <w:color w:val="000000" w:themeColor="text1"/>
        </w:rPr>
        <w:t>ne zcela jednotného</w:t>
      </w:r>
      <w:r w:rsidR="006473A7">
        <w:rPr>
          <w:color w:val="000000" w:themeColor="text1"/>
        </w:rPr>
        <w:t xml:space="preserve"> pohledu na tento novodobý fenomén. </w:t>
      </w:r>
      <w:r w:rsidR="00D713A9">
        <w:rPr>
          <w:color w:val="000000" w:themeColor="text1"/>
        </w:rPr>
        <w:t xml:space="preserve">Nejjednodušší vymezení je pouze na základě </w:t>
      </w:r>
      <w:r w:rsidR="000C3C78">
        <w:rPr>
          <w:color w:val="000000" w:themeColor="text1"/>
        </w:rPr>
        <w:t xml:space="preserve">věku a </w:t>
      </w:r>
      <w:r w:rsidR="00D713A9">
        <w:rPr>
          <w:color w:val="000000" w:themeColor="text1"/>
        </w:rPr>
        <w:t xml:space="preserve">rodinného stavu, </w:t>
      </w:r>
      <w:r w:rsidR="00D2224E">
        <w:rPr>
          <w:color w:val="000000" w:themeColor="text1"/>
        </w:rPr>
        <w:t>komplexní</w:t>
      </w:r>
      <w:r w:rsidR="00D713A9">
        <w:rPr>
          <w:color w:val="000000" w:themeColor="text1"/>
        </w:rPr>
        <w:t xml:space="preserve"> </w:t>
      </w:r>
      <w:r w:rsidR="00D2224E">
        <w:rPr>
          <w:color w:val="000000" w:themeColor="text1"/>
        </w:rPr>
        <w:t xml:space="preserve">pak </w:t>
      </w:r>
      <w:r w:rsidR="000C3C78">
        <w:rPr>
          <w:color w:val="000000" w:themeColor="text1"/>
        </w:rPr>
        <w:t xml:space="preserve">i </w:t>
      </w:r>
      <w:r w:rsidR="00D713A9">
        <w:rPr>
          <w:color w:val="000000" w:themeColor="text1"/>
        </w:rPr>
        <w:t xml:space="preserve">základě motivů </w:t>
      </w:r>
      <w:r w:rsidR="001D1DBF">
        <w:rPr>
          <w:color w:val="000000" w:themeColor="text1"/>
        </w:rPr>
        <w:t>žít samostatně</w:t>
      </w:r>
      <w:r w:rsidR="000D0E6D">
        <w:rPr>
          <w:color w:val="000000" w:themeColor="text1"/>
        </w:rPr>
        <w:t xml:space="preserve">. </w:t>
      </w:r>
      <w:r w:rsidR="00D2224E">
        <w:rPr>
          <w:color w:val="000000" w:themeColor="text1"/>
        </w:rPr>
        <w:t xml:space="preserve">Většina </w:t>
      </w:r>
      <w:r w:rsidR="000D0E6D">
        <w:rPr>
          <w:color w:val="000000" w:themeColor="text1"/>
        </w:rPr>
        <w:t xml:space="preserve">široce </w:t>
      </w:r>
      <w:r w:rsidR="000C3C78">
        <w:rPr>
          <w:color w:val="000000" w:themeColor="text1"/>
        </w:rPr>
        <w:t xml:space="preserve">používaných </w:t>
      </w:r>
      <w:r w:rsidR="00D2224E">
        <w:rPr>
          <w:color w:val="000000" w:themeColor="text1"/>
        </w:rPr>
        <w:t>definic má společný</w:t>
      </w:r>
      <w:r w:rsidR="001D1DBF">
        <w:rPr>
          <w:color w:val="000000" w:themeColor="text1"/>
        </w:rPr>
        <w:t xml:space="preserve"> </w:t>
      </w:r>
      <w:r w:rsidR="0056017D">
        <w:rPr>
          <w:color w:val="000000" w:themeColor="text1"/>
        </w:rPr>
        <w:t xml:space="preserve">základ - </w:t>
      </w:r>
      <w:r w:rsidR="001D1DBF">
        <w:rPr>
          <w:color w:val="000000" w:themeColor="text1"/>
        </w:rPr>
        <w:t xml:space="preserve">život osamoceně bez partnera. V rámci demografické statistiky, resp. </w:t>
      </w:r>
      <w:r w:rsidR="000C3C78">
        <w:rPr>
          <w:color w:val="000000" w:themeColor="text1"/>
        </w:rPr>
        <w:t>z</w:t>
      </w:r>
      <w:r w:rsidR="005373FA">
        <w:rPr>
          <w:color w:val="000000" w:themeColor="text1"/>
        </w:rPr>
        <w:t xml:space="preserve">jišťovaných </w:t>
      </w:r>
      <w:r w:rsidR="001D1DBF">
        <w:rPr>
          <w:color w:val="000000" w:themeColor="text1"/>
        </w:rPr>
        <w:t>údajů ze sčítání lid</w:t>
      </w:r>
      <w:r w:rsidR="00D8216E">
        <w:rPr>
          <w:color w:val="000000" w:themeColor="text1"/>
        </w:rPr>
        <w:t>u</w:t>
      </w:r>
      <w:r w:rsidR="001D1DBF">
        <w:rPr>
          <w:color w:val="000000" w:themeColor="text1"/>
        </w:rPr>
        <w:t xml:space="preserve">, není možné určit počet osob bez partnera. </w:t>
      </w:r>
      <w:r w:rsidR="00D8216E">
        <w:rPr>
          <w:color w:val="000000" w:themeColor="text1"/>
        </w:rPr>
        <w:t>Použijeme-li</w:t>
      </w:r>
      <w:r w:rsidR="001D1DBF">
        <w:rPr>
          <w:color w:val="000000" w:themeColor="text1"/>
        </w:rPr>
        <w:t xml:space="preserve"> </w:t>
      </w:r>
      <w:r w:rsidR="00D2224E">
        <w:rPr>
          <w:color w:val="000000" w:themeColor="text1"/>
        </w:rPr>
        <w:t>jako vymezující proměnn</w:t>
      </w:r>
      <w:r w:rsidR="00D8216E">
        <w:rPr>
          <w:color w:val="000000" w:themeColor="text1"/>
        </w:rPr>
        <w:t>ou</w:t>
      </w:r>
      <w:r w:rsidR="000D0E6D">
        <w:rPr>
          <w:color w:val="000000" w:themeColor="text1"/>
        </w:rPr>
        <w:t xml:space="preserve"> pouze rodinný stav</w:t>
      </w:r>
      <w:r w:rsidR="00D8216E">
        <w:rPr>
          <w:color w:val="000000" w:themeColor="text1"/>
        </w:rPr>
        <w:t>, pak</w:t>
      </w:r>
      <w:r w:rsidR="000D0E6D">
        <w:rPr>
          <w:color w:val="000000" w:themeColor="text1"/>
        </w:rPr>
        <w:t xml:space="preserve"> do této kategorie spadnou i osoby sice svobodné, žijí</w:t>
      </w:r>
      <w:r w:rsidR="00B04F4E">
        <w:rPr>
          <w:color w:val="000000" w:themeColor="text1"/>
        </w:rPr>
        <w:t>cí však</w:t>
      </w:r>
      <w:r w:rsidR="000D0E6D">
        <w:rPr>
          <w:color w:val="000000" w:themeColor="text1"/>
        </w:rPr>
        <w:t xml:space="preserve"> v nesezdaném soužití.</w:t>
      </w:r>
      <w:r w:rsidR="00863AD9">
        <w:rPr>
          <w:color w:val="000000" w:themeColor="text1"/>
        </w:rPr>
        <w:t xml:space="preserve"> V</w:t>
      </w:r>
      <w:r w:rsidR="001D1DBF">
        <w:rPr>
          <w:color w:val="000000" w:themeColor="text1"/>
        </w:rPr>
        <w:t xml:space="preserve"> případě domácnosti </w:t>
      </w:r>
      <w:r w:rsidR="00D2224E">
        <w:rPr>
          <w:color w:val="000000" w:themeColor="text1"/>
        </w:rPr>
        <w:t>je</w:t>
      </w:r>
      <w:r w:rsidR="001D1DBF">
        <w:rPr>
          <w:color w:val="000000" w:themeColor="text1"/>
        </w:rPr>
        <w:t xml:space="preserve"> naopak osoba odvozena jako jednotlivec vždy, </w:t>
      </w:r>
      <w:r w:rsidR="00B630A2">
        <w:rPr>
          <w:color w:val="000000" w:themeColor="text1"/>
        </w:rPr>
        <w:t>pokud</w:t>
      </w:r>
      <w:r w:rsidR="001D1DBF">
        <w:rPr>
          <w:color w:val="000000" w:themeColor="text1"/>
        </w:rPr>
        <w:t xml:space="preserve"> žije sama</w:t>
      </w:r>
      <w:r w:rsidR="000D0E6D">
        <w:rPr>
          <w:color w:val="000000" w:themeColor="text1"/>
        </w:rPr>
        <w:t>,</w:t>
      </w:r>
      <w:r w:rsidR="001D1DBF">
        <w:rPr>
          <w:color w:val="000000" w:themeColor="text1"/>
        </w:rPr>
        <w:t xml:space="preserve"> bez ohledu na de facto rodinný stav. </w:t>
      </w:r>
    </w:p>
    <w:p w:rsidR="001D1DBF" w:rsidRDefault="000B5DDE" w:rsidP="002723D9">
      <w:pPr>
        <w:spacing w:before="120" w:after="120"/>
        <w:jc w:val="both"/>
        <w:rPr>
          <w:color w:val="000000" w:themeColor="text1"/>
        </w:rPr>
      </w:pPr>
      <w:r>
        <w:rPr>
          <w:color w:val="000000" w:themeColor="text1"/>
        </w:rPr>
        <w:t xml:space="preserve">Z důvodu srovnatelnosti dat a snahou přiblížit se možné definici singles, jsou </w:t>
      </w:r>
      <w:r w:rsidR="001D1DBF">
        <w:rPr>
          <w:color w:val="000000" w:themeColor="text1"/>
        </w:rPr>
        <w:t>v této analýze za</w:t>
      </w:r>
      <w:r w:rsidR="001956D2">
        <w:rPr>
          <w:color w:val="000000" w:themeColor="text1"/>
        </w:rPr>
        <w:t xml:space="preserve"> domácnosti </w:t>
      </w:r>
      <w:r w:rsidR="001D1DBF">
        <w:rPr>
          <w:color w:val="000000" w:themeColor="text1"/>
        </w:rPr>
        <w:t xml:space="preserve">singles považováni </w:t>
      </w:r>
      <w:r w:rsidR="001D1DBF" w:rsidRPr="001D1DBF">
        <w:rPr>
          <w:i/>
          <w:color w:val="000000" w:themeColor="text1"/>
        </w:rPr>
        <w:t xml:space="preserve">všechny </w:t>
      </w:r>
      <w:r w:rsidR="007433A6">
        <w:rPr>
          <w:i/>
          <w:color w:val="000000" w:themeColor="text1"/>
        </w:rPr>
        <w:t xml:space="preserve">samostatně bydlící </w:t>
      </w:r>
      <w:r w:rsidR="001D1DBF" w:rsidRPr="001D1DBF">
        <w:rPr>
          <w:i/>
          <w:color w:val="000000" w:themeColor="text1"/>
        </w:rPr>
        <w:t xml:space="preserve">domácnosti jednotlivců ve věku </w:t>
      </w:r>
      <w:r w:rsidR="005B5E7B">
        <w:rPr>
          <w:i/>
          <w:color w:val="000000" w:themeColor="text1"/>
        </w:rPr>
        <w:t xml:space="preserve">    </w:t>
      </w:r>
      <w:r w:rsidR="001D1DBF" w:rsidRPr="001D1DBF">
        <w:rPr>
          <w:i/>
          <w:color w:val="000000" w:themeColor="text1"/>
        </w:rPr>
        <w:t>20–39 let</w:t>
      </w:r>
      <w:r w:rsidR="001D1DBF">
        <w:rPr>
          <w:color w:val="000000" w:themeColor="text1"/>
        </w:rPr>
        <w:t>.</w:t>
      </w:r>
    </w:p>
    <w:p w:rsidR="007E3F83" w:rsidRDefault="00790478" w:rsidP="001875FA">
      <w:pPr>
        <w:spacing w:before="120" w:after="120"/>
        <w:jc w:val="both"/>
        <w:rPr>
          <w:color w:val="000000" w:themeColor="text1"/>
        </w:rPr>
      </w:pPr>
      <w:r>
        <w:rPr>
          <w:color w:val="000000" w:themeColor="text1"/>
        </w:rPr>
        <w:t>K 26. 3. 2011 bylo sečteno na území České republiky 300 tisíc samostatně bydlících jednotlivců ve věku 20–39 let a jejich zastoupení mezi domácnostmi jednotlivců přesáhlo jednu pětinu</w:t>
      </w:r>
      <w:r w:rsidR="004925C9">
        <w:rPr>
          <w:color w:val="000000" w:themeColor="text1"/>
        </w:rPr>
        <w:t xml:space="preserve"> (tab. 5)</w:t>
      </w:r>
      <w:r>
        <w:rPr>
          <w:color w:val="000000" w:themeColor="text1"/>
        </w:rPr>
        <w:t xml:space="preserve">. </w:t>
      </w:r>
      <w:r w:rsidR="00EA449F">
        <w:rPr>
          <w:color w:val="000000" w:themeColor="text1"/>
        </w:rPr>
        <w:t xml:space="preserve">Vývoj počtu </w:t>
      </w:r>
      <w:r w:rsidR="007E3F83">
        <w:rPr>
          <w:color w:val="000000" w:themeColor="text1"/>
        </w:rPr>
        <w:t xml:space="preserve">domácností </w:t>
      </w:r>
      <w:r w:rsidR="00EA449F">
        <w:rPr>
          <w:color w:val="000000" w:themeColor="text1"/>
        </w:rPr>
        <w:t>singles má dlouhodobou vzrůstající tendenci, s velmi dynamickým nárůstem v  intercenzálním období</w:t>
      </w:r>
      <w:r w:rsidR="005B5E7B">
        <w:rPr>
          <w:color w:val="000000" w:themeColor="text1"/>
        </w:rPr>
        <w:t xml:space="preserve"> 2001–</w:t>
      </w:r>
      <w:r w:rsidR="000C3C78">
        <w:rPr>
          <w:color w:val="000000" w:themeColor="text1"/>
        </w:rPr>
        <w:t>2011</w:t>
      </w:r>
      <w:r w:rsidR="00EA449F">
        <w:rPr>
          <w:color w:val="000000" w:themeColor="text1"/>
        </w:rPr>
        <w:t>.</w:t>
      </w:r>
      <w:r w:rsidR="007E3F83">
        <w:rPr>
          <w:color w:val="000000" w:themeColor="text1"/>
        </w:rPr>
        <w:t xml:space="preserve"> </w:t>
      </w:r>
      <w:r w:rsidR="00F06ED6">
        <w:rPr>
          <w:color w:val="000000" w:themeColor="text1"/>
        </w:rPr>
        <w:t xml:space="preserve">Významný </w:t>
      </w:r>
      <w:r w:rsidR="00DB085F">
        <w:rPr>
          <w:color w:val="000000" w:themeColor="text1"/>
        </w:rPr>
        <w:t>přírůstek</w:t>
      </w:r>
      <w:r w:rsidR="007E3F83">
        <w:rPr>
          <w:color w:val="000000" w:themeColor="text1"/>
        </w:rPr>
        <w:t xml:space="preserve"> počtu domácností singles </w:t>
      </w:r>
      <w:r w:rsidR="008F5CE7">
        <w:rPr>
          <w:color w:val="000000" w:themeColor="text1"/>
        </w:rPr>
        <w:t>souvisí jak s rozvojem bytové výstavby</w:t>
      </w:r>
      <w:r w:rsidR="00FC6A0C">
        <w:rPr>
          <w:color w:val="000000" w:themeColor="text1"/>
        </w:rPr>
        <w:t>, změnou životního stylu</w:t>
      </w:r>
      <w:r w:rsidR="008F5CE7">
        <w:rPr>
          <w:color w:val="000000" w:themeColor="text1"/>
        </w:rPr>
        <w:t>, tak s obecným porevolučním demografickým chováním</w:t>
      </w:r>
      <w:r w:rsidR="00FC6A0C">
        <w:rPr>
          <w:color w:val="000000" w:themeColor="text1"/>
        </w:rPr>
        <w:t xml:space="preserve"> spojen</w:t>
      </w:r>
      <w:r w:rsidR="00050C85">
        <w:rPr>
          <w:color w:val="000000" w:themeColor="text1"/>
        </w:rPr>
        <w:t>ým</w:t>
      </w:r>
      <w:r w:rsidR="00FC6A0C">
        <w:rPr>
          <w:color w:val="000000" w:themeColor="text1"/>
        </w:rPr>
        <w:t xml:space="preserve"> s tzv. druhým demografickým přechodem</w:t>
      </w:r>
      <w:r w:rsidR="008F5CE7">
        <w:rPr>
          <w:rStyle w:val="Znakapoznpodarou"/>
          <w:color w:val="000000" w:themeColor="text1"/>
        </w:rPr>
        <w:footnoteReference w:id="5"/>
      </w:r>
      <w:r w:rsidR="00FC6A0C">
        <w:rPr>
          <w:color w:val="000000" w:themeColor="text1"/>
        </w:rPr>
        <w:t xml:space="preserve">. </w:t>
      </w:r>
      <w:r w:rsidR="00923A0D" w:rsidRPr="007E68CF">
        <w:rPr>
          <w:color w:val="000000" w:themeColor="text1"/>
        </w:rPr>
        <w:t>Mimo jiné se zde projevuje také odlišná metodika zařazování osob na základě místa obvyklého pobytu</w:t>
      </w:r>
      <w:r w:rsidR="007E68CF">
        <w:rPr>
          <w:color w:val="000000" w:themeColor="text1"/>
        </w:rPr>
        <w:t>.</w:t>
      </w:r>
      <w:r w:rsidR="00923A0D">
        <w:rPr>
          <w:color w:val="000000" w:themeColor="text1"/>
        </w:rPr>
        <w:t xml:space="preserve"> Zatímco v roce 2001 byly o</w:t>
      </w:r>
      <w:r w:rsidR="00296CB9">
        <w:rPr>
          <w:color w:val="000000" w:themeColor="text1"/>
        </w:rPr>
        <w:t>soby bydlící samostatně zařazeny</w:t>
      </w:r>
      <w:r w:rsidR="00923A0D">
        <w:rPr>
          <w:color w:val="000000" w:themeColor="text1"/>
        </w:rPr>
        <w:t xml:space="preserve"> do </w:t>
      </w:r>
      <w:r w:rsidR="00923A0D">
        <w:rPr>
          <w:color w:val="000000" w:themeColor="text1"/>
        </w:rPr>
        <w:lastRenderedPageBreak/>
        <w:t>domácnosti na základ</w:t>
      </w:r>
      <w:r w:rsidR="00863AD9">
        <w:rPr>
          <w:color w:val="000000" w:themeColor="text1"/>
        </w:rPr>
        <w:t>ě</w:t>
      </w:r>
      <w:r w:rsidR="00923A0D">
        <w:rPr>
          <w:color w:val="000000" w:themeColor="text1"/>
        </w:rPr>
        <w:t xml:space="preserve"> trvalého pobytu, v roce 2011 byl respektován faktický pobyt </w:t>
      </w:r>
      <w:r w:rsidR="00D9663D">
        <w:rPr>
          <w:color w:val="000000" w:themeColor="text1"/>
        </w:rPr>
        <w:t>obyvatel</w:t>
      </w:r>
      <w:r w:rsidR="00923A0D">
        <w:rPr>
          <w:color w:val="000000" w:themeColor="text1"/>
        </w:rPr>
        <w:t>.</w:t>
      </w:r>
      <w:r w:rsidR="007E68CF">
        <w:rPr>
          <w:color w:val="000000" w:themeColor="text1"/>
        </w:rPr>
        <w:t xml:space="preserve"> Z celkového počtu domácností singles byl</w:t>
      </w:r>
      <w:r w:rsidR="001956D2">
        <w:rPr>
          <w:color w:val="000000" w:themeColor="text1"/>
        </w:rPr>
        <w:t>a</w:t>
      </w:r>
      <w:r w:rsidR="007E68CF">
        <w:rPr>
          <w:color w:val="000000" w:themeColor="text1"/>
        </w:rPr>
        <w:t xml:space="preserve"> stál</w:t>
      </w:r>
      <w:r w:rsidR="00C2586C">
        <w:rPr>
          <w:color w:val="000000" w:themeColor="text1"/>
        </w:rPr>
        <w:t>e</w:t>
      </w:r>
      <w:r w:rsidR="007E68CF">
        <w:rPr>
          <w:color w:val="000000" w:themeColor="text1"/>
        </w:rPr>
        <w:t xml:space="preserve"> většina těch jednotlivců, kteří měli obvyklý pobyt na místě trvalého bydliště, přesto </w:t>
      </w:r>
      <w:r w:rsidR="00C2586C">
        <w:rPr>
          <w:color w:val="000000" w:themeColor="text1"/>
        </w:rPr>
        <w:t>více než 4</w:t>
      </w:r>
      <w:r w:rsidR="00D152C4">
        <w:rPr>
          <w:color w:val="000000" w:themeColor="text1"/>
        </w:rPr>
        <w:t>1</w:t>
      </w:r>
      <w:r w:rsidR="00C2586C">
        <w:rPr>
          <w:color w:val="000000" w:themeColor="text1"/>
        </w:rPr>
        <w:t xml:space="preserve"> tisíc</w:t>
      </w:r>
      <w:r w:rsidR="00AD341C">
        <w:rPr>
          <w:color w:val="000000" w:themeColor="text1"/>
        </w:rPr>
        <w:t xml:space="preserve"> z nich měl</w:t>
      </w:r>
      <w:r w:rsidR="00C2586C">
        <w:rPr>
          <w:color w:val="000000" w:themeColor="text1"/>
        </w:rPr>
        <w:t>o</w:t>
      </w:r>
      <w:r w:rsidR="00AD341C">
        <w:rPr>
          <w:color w:val="000000" w:themeColor="text1"/>
        </w:rPr>
        <w:t xml:space="preserve"> obvyklý pobyt na jiném místě než </w:t>
      </w:r>
      <w:r w:rsidR="00D152C4">
        <w:rPr>
          <w:color w:val="000000" w:themeColor="text1"/>
        </w:rPr>
        <w:t xml:space="preserve">na místě </w:t>
      </w:r>
      <w:r w:rsidR="00AD341C">
        <w:rPr>
          <w:color w:val="000000" w:themeColor="text1"/>
        </w:rPr>
        <w:t>trvalé</w:t>
      </w:r>
      <w:r w:rsidR="00D152C4">
        <w:rPr>
          <w:color w:val="000000" w:themeColor="text1"/>
        </w:rPr>
        <w:t>ho</w:t>
      </w:r>
      <w:r w:rsidR="00AD341C">
        <w:rPr>
          <w:color w:val="000000" w:themeColor="text1"/>
        </w:rPr>
        <w:t xml:space="preserve"> bydliště.</w:t>
      </w:r>
      <w:r w:rsidR="007E68CF">
        <w:rPr>
          <w:color w:val="000000" w:themeColor="text1"/>
        </w:rPr>
        <w:t xml:space="preserve"> </w:t>
      </w:r>
    </w:p>
    <w:p w:rsidR="00A60DD1" w:rsidRPr="00A60DD1" w:rsidRDefault="00A60DD1" w:rsidP="00A60DD1">
      <w:pPr>
        <w:spacing w:before="120" w:after="60"/>
        <w:jc w:val="both"/>
        <w:rPr>
          <w:b/>
        </w:rPr>
      </w:pPr>
      <w:r w:rsidRPr="0062638F">
        <w:rPr>
          <w:b/>
        </w:rPr>
        <w:t>Tab. 5: Vývoj samostatně bydlících domácností jednotlivců ve věku 20–39 let, 1970–2011</w:t>
      </w:r>
    </w:p>
    <w:p w:rsidR="007433A6" w:rsidRPr="000B1979" w:rsidRDefault="00A16097" w:rsidP="00BB32C1">
      <w:pPr>
        <w:spacing w:before="120" w:after="240"/>
        <w:jc w:val="both"/>
        <w:rPr>
          <w:color w:val="000000" w:themeColor="text1"/>
          <w:sz w:val="10"/>
        </w:rPr>
      </w:pPr>
      <w:r w:rsidRPr="007D76AB">
        <w:rPr>
          <w:color w:val="000000" w:themeColor="text1"/>
        </w:rPr>
        <w:pict>
          <v:shape id="_x0000_i1033" type="#_x0000_t75" style="width:422.8pt;height:194.25pt">
            <v:imagedata r:id="rId17" o:title=""/>
          </v:shape>
        </w:pict>
      </w:r>
    </w:p>
    <w:p w:rsidR="009827D9" w:rsidRDefault="00A41DFB" w:rsidP="002723D9">
      <w:pPr>
        <w:spacing w:before="120" w:after="120"/>
        <w:jc w:val="both"/>
        <w:rPr>
          <w:color w:val="000000" w:themeColor="text1"/>
        </w:rPr>
      </w:pPr>
      <w:r>
        <w:rPr>
          <w:color w:val="000000" w:themeColor="text1"/>
        </w:rPr>
        <w:t>K 26.</w:t>
      </w:r>
      <w:r w:rsidR="007D691C">
        <w:rPr>
          <w:color w:val="000000" w:themeColor="text1"/>
        </w:rPr>
        <w:t xml:space="preserve"> </w:t>
      </w:r>
      <w:r>
        <w:rPr>
          <w:color w:val="000000" w:themeColor="text1"/>
        </w:rPr>
        <w:t>3.</w:t>
      </w:r>
      <w:r w:rsidR="007D691C">
        <w:rPr>
          <w:color w:val="000000" w:themeColor="text1"/>
        </w:rPr>
        <w:t xml:space="preserve"> </w:t>
      </w:r>
      <w:r>
        <w:rPr>
          <w:color w:val="000000" w:themeColor="text1"/>
        </w:rPr>
        <w:t xml:space="preserve">2011 žil tímto způsobem života každý devátý muž a každá třináctá žena ve věku </w:t>
      </w:r>
      <w:r w:rsidR="001956D2">
        <w:rPr>
          <w:color w:val="000000" w:themeColor="text1"/>
        </w:rPr>
        <w:t xml:space="preserve">        </w:t>
      </w:r>
      <w:r>
        <w:rPr>
          <w:color w:val="000000" w:themeColor="text1"/>
        </w:rPr>
        <w:t>20–39 let.</w:t>
      </w:r>
      <w:r w:rsidR="000B1979">
        <w:rPr>
          <w:color w:val="000000" w:themeColor="text1"/>
        </w:rPr>
        <w:t xml:space="preserve"> Pro srovnání, na počátku 90.</w:t>
      </w:r>
      <w:r w:rsidR="007D691C">
        <w:rPr>
          <w:color w:val="000000" w:themeColor="text1"/>
        </w:rPr>
        <w:t xml:space="preserve"> </w:t>
      </w:r>
      <w:r w:rsidR="000B1979">
        <w:rPr>
          <w:color w:val="000000" w:themeColor="text1"/>
        </w:rPr>
        <w:t xml:space="preserve">let </w:t>
      </w:r>
      <w:r w:rsidR="0004577F">
        <w:rPr>
          <w:color w:val="000000" w:themeColor="text1"/>
        </w:rPr>
        <w:t>se jednalo o každého patnáctého</w:t>
      </w:r>
      <w:r w:rsidR="000B1979">
        <w:rPr>
          <w:color w:val="000000" w:themeColor="text1"/>
        </w:rPr>
        <w:t xml:space="preserve"> muž</w:t>
      </w:r>
      <w:r w:rsidR="0004577F">
        <w:rPr>
          <w:color w:val="000000" w:themeColor="text1"/>
        </w:rPr>
        <w:t>e a každou třicátou devátou ženu</w:t>
      </w:r>
      <w:r w:rsidR="000B1979">
        <w:rPr>
          <w:color w:val="000000" w:themeColor="text1"/>
        </w:rPr>
        <w:t xml:space="preserve"> v tomto věkovém rozpětí.</w:t>
      </w:r>
      <w:r>
        <w:rPr>
          <w:color w:val="000000" w:themeColor="text1"/>
        </w:rPr>
        <w:t xml:space="preserve"> </w:t>
      </w:r>
      <w:r w:rsidR="009827D9">
        <w:rPr>
          <w:color w:val="000000" w:themeColor="text1"/>
        </w:rPr>
        <w:t>Muži</w:t>
      </w:r>
      <w:r w:rsidR="00D60B7F">
        <w:rPr>
          <w:color w:val="000000" w:themeColor="text1"/>
        </w:rPr>
        <w:t xml:space="preserve"> </w:t>
      </w:r>
      <w:r w:rsidR="009A5681">
        <w:rPr>
          <w:color w:val="000000" w:themeColor="text1"/>
        </w:rPr>
        <w:t>v domácnostech singles převažoval</w:t>
      </w:r>
      <w:r w:rsidR="00193F18">
        <w:rPr>
          <w:color w:val="000000" w:themeColor="text1"/>
        </w:rPr>
        <w:t>i</w:t>
      </w:r>
      <w:r w:rsidR="009A5681">
        <w:rPr>
          <w:color w:val="000000" w:themeColor="text1"/>
        </w:rPr>
        <w:t xml:space="preserve"> nad ženami v celém </w:t>
      </w:r>
      <w:r w:rsidR="00B3221C">
        <w:rPr>
          <w:color w:val="000000" w:themeColor="text1"/>
        </w:rPr>
        <w:t>sledovaném období (v roce 2011 již pouze o 60 %)</w:t>
      </w:r>
      <w:r w:rsidR="000B1979">
        <w:rPr>
          <w:color w:val="000000" w:themeColor="text1"/>
        </w:rPr>
        <w:t>, přestože ženy zaznamen</w:t>
      </w:r>
      <w:r w:rsidR="005B5E7B">
        <w:rPr>
          <w:color w:val="000000" w:themeColor="text1"/>
        </w:rPr>
        <w:t>aly</w:t>
      </w:r>
      <w:r w:rsidR="000B1979">
        <w:rPr>
          <w:color w:val="000000" w:themeColor="text1"/>
        </w:rPr>
        <w:t xml:space="preserve"> dynamičtější vývoj</w:t>
      </w:r>
      <w:r w:rsidR="00972798">
        <w:rPr>
          <w:color w:val="000000" w:themeColor="text1"/>
        </w:rPr>
        <w:t xml:space="preserve"> než muži</w:t>
      </w:r>
      <w:r w:rsidR="000B1979">
        <w:rPr>
          <w:color w:val="000000" w:themeColor="text1"/>
        </w:rPr>
        <w:t>.</w:t>
      </w:r>
    </w:p>
    <w:p w:rsidR="00646372" w:rsidRPr="00646372" w:rsidRDefault="00646372" w:rsidP="00646372">
      <w:pPr>
        <w:spacing w:after="0"/>
        <w:jc w:val="both"/>
        <w:rPr>
          <w:b/>
        </w:rPr>
      </w:pPr>
      <w:r>
        <w:rPr>
          <w:b/>
        </w:rPr>
        <w:t>Graf 6</w:t>
      </w:r>
      <w:r w:rsidR="00167FB7">
        <w:rPr>
          <w:b/>
        </w:rPr>
        <w:t>, 7</w:t>
      </w:r>
      <w:r>
        <w:rPr>
          <w:b/>
        </w:rPr>
        <w:t xml:space="preserve">: </w:t>
      </w:r>
      <w:r w:rsidR="004E6B29">
        <w:rPr>
          <w:b/>
        </w:rPr>
        <w:t>Zastoupení osob samostatně bydlících ve věk</w:t>
      </w:r>
      <w:r w:rsidR="005E70EC">
        <w:rPr>
          <w:b/>
        </w:rPr>
        <w:t>ové skupině</w:t>
      </w:r>
      <w:r w:rsidR="004E6B29">
        <w:rPr>
          <w:b/>
        </w:rPr>
        <w:t xml:space="preserve"> 20–39 let, 2011</w:t>
      </w:r>
    </w:p>
    <w:p w:rsidR="00D2224E" w:rsidRDefault="00A16097" w:rsidP="002723D9">
      <w:pPr>
        <w:spacing w:before="120" w:after="120"/>
        <w:jc w:val="both"/>
        <w:rPr>
          <w:b/>
          <w:color w:val="000000" w:themeColor="text1"/>
        </w:rPr>
      </w:pPr>
      <w:r w:rsidRPr="007D76AB">
        <w:rPr>
          <w:b/>
          <w:color w:val="000000" w:themeColor="text1"/>
        </w:rPr>
        <w:pict>
          <v:shape id="_x0000_i1034" type="#_x0000_t75" style="width:211pt;height:171.65pt">
            <v:imagedata r:id="rId18" o:title=""/>
          </v:shape>
        </w:pict>
      </w:r>
      <w:r w:rsidRPr="007D76AB">
        <w:rPr>
          <w:b/>
          <w:color w:val="000000" w:themeColor="text1"/>
        </w:rPr>
        <w:pict>
          <v:shape id="_x0000_i1035" type="#_x0000_t75" style="width:211.8pt;height:168.3pt">
            <v:imagedata r:id="rId19" o:title=""/>
          </v:shape>
        </w:pict>
      </w:r>
    </w:p>
    <w:p w:rsidR="003E0843" w:rsidRDefault="003E0843" w:rsidP="004D74EC">
      <w:pPr>
        <w:spacing w:before="120" w:after="120"/>
        <w:jc w:val="both"/>
        <w:rPr>
          <w:color w:val="000000" w:themeColor="text1"/>
        </w:rPr>
      </w:pPr>
      <w:r>
        <w:rPr>
          <w:color w:val="000000" w:themeColor="text1"/>
        </w:rPr>
        <w:t>Osoby žijící jako</w:t>
      </w:r>
      <w:r w:rsidRPr="00BB32C1">
        <w:rPr>
          <w:color w:val="000000" w:themeColor="text1"/>
        </w:rPr>
        <w:t xml:space="preserve"> singles</w:t>
      </w:r>
      <w:r>
        <w:rPr>
          <w:color w:val="000000" w:themeColor="text1"/>
        </w:rPr>
        <w:t xml:space="preserve"> byly v roce 2011 ze zhruba 78 % svobodné (častěji ženy než muži). Ženatí/vdané a rozvedené osoby</w:t>
      </w:r>
      <w:r w:rsidR="004A5E4E">
        <w:rPr>
          <w:color w:val="000000" w:themeColor="text1"/>
        </w:rPr>
        <w:t xml:space="preserve"> jsou zastoupeny rovnoměrně (10–</w:t>
      </w:r>
      <w:r>
        <w:rPr>
          <w:color w:val="000000" w:themeColor="text1"/>
        </w:rPr>
        <w:t>11 %) s tím rozdílem, že muži jsou o téměř 3 procentní body častěji rozvedení než ženy</w:t>
      </w:r>
      <w:r w:rsidR="007D691C">
        <w:rPr>
          <w:color w:val="000000" w:themeColor="text1"/>
        </w:rPr>
        <w:t>. Důvodem je skutečnost, že</w:t>
      </w:r>
      <w:r w:rsidR="0004577F">
        <w:rPr>
          <w:color w:val="000000" w:themeColor="text1"/>
        </w:rPr>
        <w:t xml:space="preserve"> rozpadem úplné rodiny </w:t>
      </w:r>
      <w:r w:rsidR="0004577F" w:rsidRPr="00E415BD">
        <w:rPr>
          <w:color w:val="000000" w:themeColor="text1"/>
        </w:rPr>
        <w:t>ve vyšším věku</w:t>
      </w:r>
      <w:r w:rsidR="0004577F">
        <w:rPr>
          <w:color w:val="000000" w:themeColor="text1"/>
        </w:rPr>
        <w:t xml:space="preserve">, </w:t>
      </w:r>
      <w:r w:rsidR="007D691C">
        <w:rPr>
          <w:color w:val="000000" w:themeColor="text1"/>
        </w:rPr>
        <w:t>muži</w:t>
      </w:r>
      <w:r w:rsidR="00BD103B">
        <w:rPr>
          <w:color w:val="000000" w:themeColor="text1"/>
        </w:rPr>
        <w:t xml:space="preserve"> </w:t>
      </w:r>
      <w:r w:rsidR="0004577F">
        <w:rPr>
          <w:color w:val="000000" w:themeColor="text1"/>
        </w:rPr>
        <w:t xml:space="preserve">častěji vstupují do </w:t>
      </w:r>
      <w:r w:rsidR="007D691C">
        <w:rPr>
          <w:color w:val="000000" w:themeColor="text1"/>
        </w:rPr>
        <w:t>domácnosti singles</w:t>
      </w:r>
      <w:r w:rsidR="0004577F">
        <w:rPr>
          <w:color w:val="000000" w:themeColor="text1"/>
        </w:rPr>
        <w:t>, na rozdíl od žen, které spolu s dětmi</w:t>
      </w:r>
      <w:r w:rsidR="007D691C">
        <w:rPr>
          <w:color w:val="000000" w:themeColor="text1"/>
        </w:rPr>
        <w:t xml:space="preserve"> </w:t>
      </w:r>
      <w:r w:rsidR="00554B91">
        <w:rPr>
          <w:color w:val="000000" w:themeColor="text1"/>
        </w:rPr>
        <w:t>vy</w:t>
      </w:r>
      <w:r w:rsidR="005355E8">
        <w:rPr>
          <w:color w:val="000000" w:themeColor="text1"/>
        </w:rPr>
        <w:t>tvá</w:t>
      </w:r>
      <w:r w:rsidR="0004577F">
        <w:rPr>
          <w:color w:val="000000" w:themeColor="text1"/>
        </w:rPr>
        <w:t xml:space="preserve">ří </w:t>
      </w:r>
      <w:r w:rsidR="007D691C">
        <w:rPr>
          <w:color w:val="000000" w:themeColor="text1"/>
        </w:rPr>
        <w:t>neúpln</w:t>
      </w:r>
      <w:r w:rsidR="0004577F">
        <w:rPr>
          <w:color w:val="000000" w:themeColor="text1"/>
        </w:rPr>
        <w:t>ou</w:t>
      </w:r>
      <w:r w:rsidR="007D691C">
        <w:rPr>
          <w:color w:val="000000" w:themeColor="text1"/>
        </w:rPr>
        <w:t xml:space="preserve"> rodin</w:t>
      </w:r>
      <w:r w:rsidR="0004577F">
        <w:rPr>
          <w:color w:val="000000" w:themeColor="text1"/>
        </w:rPr>
        <w:t>u</w:t>
      </w:r>
      <w:r w:rsidR="007D691C">
        <w:rPr>
          <w:color w:val="000000" w:themeColor="text1"/>
        </w:rPr>
        <w:t xml:space="preserve"> osamělé matky s</w:t>
      </w:r>
      <w:r w:rsidR="004E4A52">
        <w:rPr>
          <w:color w:val="000000" w:themeColor="text1"/>
        </w:rPr>
        <w:t> </w:t>
      </w:r>
      <w:r w:rsidR="00BD103B">
        <w:rPr>
          <w:color w:val="000000" w:themeColor="text1"/>
        </w:rPr>
        <w:t>dítětem</w:t>
      </w:r>
      <w:r w:rsidR="005355E8">
        <w:rPr>
          <w:color w:val="000000" w:themeColor="text1"/>
        </w:rPr>
        <w:t xml:space="preserve"> (</w:t>
      </w:r>
      <w:r w:rsidR="00644997">
        <w:rPr>
          <w:color w:val="000000" w:themeColor="text1"/>
        </w:rPr>
        <w:t>g</w:t>
      </w:r>
      <w:r w:rsidR="004E4A52">
        <w:rPr>
          <w:color w:val="000000" w:themeColor="text1"/>
        </w:rPr>
        <w:t>raf </w:t>
      </w:r>
      <w:r w:rsidR="00554B91">
        <w:rPr>
          <w:color w:val="000000" w:themeColor="text1"/>
        </w:rPr>
        <w:t>6</w:t>
      </w:r>
      <w:r w:rsidR="005355E8">
        <w:rPr>
          <w:color w:val="000000" w:themeColor="text1"/>
        </w:rPr>
        <w:t>, 7</w:t>
      </w:r>
      <w:r w:rsidR="004E4A52">
        <w:rPr>
          <w:color w:val="000000" w:themeColor="text1"/>
        </w:rPr>
        <w:t>).</w:t>
      </w:r>
      <w:r w:rsidR="005E70EC">
        <w:rPr>
          <w:color w:val="000000" w:themeColor="text1"/>
        </w:rPr>
        <w:t xml:space="preserve"> </w:t>
      </w:r>
      <w:r w:rsidR="007059EC">
        <w:rPr>
          <w:color w:val="000000" w:themeColor="text1"/>
        </w:rPr>
        <w:lastRenderedPageBreak/>
        <w:t>Svobodní muži žijí jako</w:t>
      </w:r>
      <w:r w:rsidR="005E70EC">
        <w:rPr>
          <w:color w:val="000000" w:themeColor="text1"/>
        </w:rPr>
        <w:t xml:space="preserve"> singles s nejvyšší frekvencí ve věku 29 let, přičemž s dalším přibývajícím věkem kles</w:t>
      </w:r>
      <w:r w:rsidR="00F10D0F">
        <w:rPr>
          <w:color w:val="000000" w:themeColor="text1"/>
        </w:rPr>
        <w:t>á zastoupení svobodných singles mužů</w:t>
      </w:r>
      <w:r w:rsidR="005E70EC">
        <w:rPr>
          <w:color w:val="000000" w:themeColor="text1"/>
        </w:rPr>
        <w:t xml:space="preserve"> </w:t>
      </w:r>
      <w:r w:rsidR="00F10D0F">
        <w:rPr>
          <w:color w:val="000000" w:themeColor="text1"/>
        </w:rPr>
        <w:t>a naopak</w:t>
      </w:r>
      <w:r w:rsidR="005E70EC">
        <w:rPr>
          <w:color w:val="000000" w:themeColor="text1"/>
        </w:rPr>
        <w:t xml:space="preserve"> roste zastoupení rozvedených mužů</w:t>
      </w:r>
      <w:r w:rsidR="004E4A52">
        <w:rPr>
          <w:color w:val="000000" w:themeColor="text1"/>
        </w:rPr>
        <w:t xml:space="preserve">. </w:t>
      </w:r>
      <w:r w:rsidR="005E70EC" w:rsidRPr="00C44B58">
        <w:rPr>
          <w:color w:val="000000" w:themeColor="text1"/>
        </w:rPr>
        <w:t>U žen</w:t>
      </w:r>
      <w:r w:rsidR="004E4A52" w:rsidRPr="00C44B58">
        <w:rPr>
          <w:color w:val="000000" w:themeColor="text1"/>
        </w:rPr>
        <w:t xml:space="preserve"> je viditelná podobná tendence, nicméně s věkem vzrůstající podíl jiných než svobodných žen nepřeváží celkově </w:t>
      </w:r>
      <w:r w:rsidR="00C44B58" w:rsidRPr="00C44B58">
        <w:rPr>
          <w:color w:val="000000" w:themeColor="text1"/>
        </w:rPr>
        <w:t>snižující se zastoupení singles.</w:t>
      </w:r>
    </w:p>
    <w:p w:rsidR="00A3751C" w:rsidRPr="00A3751C" w:rsidRDefault="00A3751C" w:rsidP="00A3751C">
      <w:pPr>
        <w:spacing w:after="0"/>
        <w:jc w:val="both"/>
        <w:rPr>
          <w:b/>
        </w:rPr>
      </w:pPr>
      <w:r>
        <w:rPr>
          <w:b/>
        </w:rPr>
        <w:t xml:space="preserve">Graf </w:t>
      </w:r>
      <w:r w:rsidR="005355E8">
        <w:rPr>
          <w:b/>
        </w:rPr>
        <w:t>8</w:t>
      </w:r>
      <w:r>
        <w:rPr>
          <w:b/>
        </w:rPr>
        <w:t xml:space="preserve">: </w:t>
      </w:r>
      <w:r w:rsidR="00A50A98">
        <w:rPr>
          <w:b/>
        </w:rPr>
        <w:t xml:space="preserve">Struktura osob ve věku 20–39 let podle pohlaví a </w:t>
      </w:r>
      <w:r w:rsidR="000C3C78">
        <w:rPr>
          <w:b/>
        </w:rPr>
        <w:t>vzdělání</w:t>
      </w:r>
      <w:r>
        <w:rPr>
          <w:b/>
        </w:rPr>
        <w:t>, 2011</w:t>
      </w:r>
    </w:p>
    <w:p w:rsidR="005355E8" w:rsidRPr="005355E8" w:rsidRDefault="007D76AB" w:rsidP="005355E8">
      <w:pPr>
        <w:spacing w:after="0"/>
        <w:jc w:val="both"/>
        <w:rPr>
          <w:color w:val="000000" w:themeColor="text1"/>
          <w:sz w:val="2"/>
        </w:rPr>
      </w:pPr>
      <w:r w:rsidRPr="007D76AB">
        <w:rPr>
          <w:noProof/>
          <w:color w:val="000000" w:themeColor="text1"/>
          <w:lang w:eastAsia="cs-CZ"/>
        </w:rPr>
        <w:pict>
          <v:shapetype id="_x0000_t32" coordsize="21600,21600" o:spt="32" o:oned="t" path="m,l21600,21600e" filled="f">
            <v:path arrowok="t" fillok="f" o:connecttype="none"/>
            <o:lock v:ext="edit" shapetype="t"/>
          </v:shapetype>
          <v:shape id="_x0000_s2112" type="#_x0000_t32" style="position:absolute;left:0;text-align:left;margin-left:72.4pt;margin-top:66.85pt;width:338.2pt;height:0;z-index:251661312" o:connectortype="straight"/>
        </w:pict>
      </w:r>
      <w:r w:rsidR="00A16097" w:rsidRPr="007D76AB">
        <w:rPr>
          <w:color w:val="000000" w:themeColor="text1"/>
        </w:rPr>
        <w:pict>
          <v:shape id="_x0000_i1036" type="#_x0000_t75" style="width:428.65pt;height:166.6pt">
            <v:imagedata r:id="rId20" o:title=""/>
          </v:shape>
        </w:pict>
      </w:r>
    </w:p>
    <w:p w:rsidR="004E6B29" w:rsidRPr="00B71A57" w:rsidRDefault="007F6165" w:rsidP="005355E8">
      <w:pPr>
        <w:spacing w:after="0"/>
        <w:jc w:val="both"/>
        <w:rPr>
          <w:color w:val="000000" w:themeColor="text1"/>
          <w:sz w:val="16"/>
        </w:rPr>
      </w:pPr>
      <w:r>
        <w:rPr>
          <w:color w:val="000000" w:themeColor="text1"/>
          <w:sz w:val="16"/>
        </w:rPr>
        <w:t>Pozn.</w:t>
      </w:r>
      <w:r w:rsidR="00A50A98" w:rsidRPr="00B71A57">
        <w:rPr>
          <w:color w:val="000000" w:themeColor="text1"/>
          <w:sz w:val="16"/>
        </w:rPr>
        <w:t>: struktura vztažena k osobám se zjištěným nejvyšším ukončeným vzděláním</w:t>
      </w:r>
      <w:r>
        <w:rPr>
          <w:color w:val="000000" w:themeColor="text1"/>
          <w:sz w:val="16"/>
        </w:rPr>
        <w:t>,</w:t>
      </w:r>
    </w:p>
    <w:p w:rsidR="00A50A98" w:rsidRPr="00B71A57" w:rsidRDefault="00A50A98" w:rsidP="00461956">
      <w:pPr>
        <w:spacing w:after="240"/>
        <w:jc w:val="both"/>
        <w:rPr>
          <w:color w:val="000000" w:themeColor="text1"/>
          <w:sz w:val="16"/>
        </w:rPr>
      </w:pPr>
      <w:r w:rsidRPr="00B71A57">
        <w:rPr>
          <w:color w:val="000000" w:themeColor="text1"/>
          <w:sz w:val="16"/>
        </w:rPr>
        <w:t>* včetně neukončeného a bez vzdělání, ** včetně nástavbového a vyššího odborného</w:t>
      </w:r>
    </w:p>
    <w:p w:rsidR="004D74EC" w:rsidRDefault="004D74EC" w:rsidP="004D74EC">
      <w:pPr>
        <w:spacing w:before="120" w:after="120"/>
        <w:jc w:val="both"/>
        <w:rPr>
          <w:color w:val="000000" w:themeColor="text1"/>
        </w:rPr>
      </w:pPr>
      <w:r>
        <w:rPr>
          <w:color w:val="000000" w:themeColor="text1"/>
        </w:rPr>
        <w:t xml:space="preserve">Jak ilustruje graf </w:t>
      </w:r>
      <w:r w:rsidR="005355E8">
        <w:rPr>
          <w:color w:val="000000" w:themeColor="text1"/>
        </w:rPr>
        <w:t>8</w:t>
      </w:r>
      <w:r>
        <w:rPr>
          <w:color w:val="000000" w:themeColor="text1"/>
        </w:rPr>
        <w:t xml:space="preserve">, osoby v domácnostech singles dosahovaly v roce 2011 příznivějších hodnot z hlediska </w:t>
      </w:r>
      <w:r w:rsidR="0004577F">
        <w:rPr>
          <w:color w:val="000000" w:themeColor="text1"/>
        </w:rPr>
        <w:t>vzdělanostní úrovně</w:t>
      </w:r>
      <w:r>
        <w:rPr>
          <w:color w:val="000000" w:themeColor="text1"/>
        </w:rPr>
        <w:t>. Až téměř o polovinu častěji měly ženy vysokoškolské vzdělání ve srovnání s obecným průměrem všech žen ve stejné věkové skupině bez ohledu na postavení v</w:t>
      </w:r>
      <w:r w:rsidR="007917D9">
        <w:rPr>
          <w:color w:val="000000" w:themeColor="text1"/>
        </w:rPr>
        <w:t> </w:t>
      </w:r>
      <w:r>
        <w:rPr>
          <w:color w:val="000000" w:themeColor="text1"/>
        </w:rPr>
        <w:t>domácnosti</w:t>
      </w:r>
      <w:r w:rsidR="007917D9">
        <w:rPr>
          <w:color w:val="000000" w:themeColor="text1"/>
        </w:rPr>
        <w:t xml:space="preserve">. </w:t>
      </w:r>
      <w:r w:rsidR="000C3C78">
        <w:rPr>
          <w:color w:val="000000" w:themeColor="text1"/>
        </w:rPr>
        <w:t>P</w:t>
      </w:r>
      <w:r w:rsidR="0063377D">
        <w:rPr>
          <w:color w:val="000000" w:themeColor="text1"/>
        </w:rPr>
        <w:t xml:space="preserve">odíl vysokoškolsky vzdělaných singles </w:t>
      </w:r>
      <w:r w:rsidR="005355E8">
        <w:rPr>
          <w:color w:val="000000" w:themeColor="text1"/>
        </w:rPr>
        <w:t xml:space="preserve">byl </w:t>
      </w:r>
      <w:r w:rsidR="0063377D">
        <w:rPr>
          <w:color w:val="000000" w:themeColor="text1"/>
        </w:rPr>
        <w:t xml:space="preserve">celkově </w:t>
      </w:r>
      <w:r w:rsidR="009C6ED7">
        <w:rPr>
          <w:color w:val="000000" w:themeColor="text1"/>
        </w:rPr>
        <w:t xml:space="preserve">více než </w:t>
      </w:r>
      <w:r w:rsidR="0063377D">
        <w:rPr>
          <w:color w:val="000000" w:themeColor="text1"/>
        </w:rPr>
        <w:t xml:space="preserve">pětinový (u žen více než čtvrtinový), středoškolsky vzdělaných s maturitou </w:t>
      </w:r>
      <w:r w:rsidR="009C6ED7">
        <w:rPr>
          <w:color w:val="000000" w:themeColor="text1"/>
        </w:rPr>
        <w:t xml:space="preserve">více než </w:t>
      </w:r>
      <w:r w:rsidR="0063377D">
        <w:rPr>
          <w:color w:val="000000" w:themeColor="text1"/>
        </w:rPr>
        <w:t xml:space="preserve">třetinový a bez maturity čtvrtinový. </w:t>
      </w:r>
    </w:p>
    <w:p w:rsidR="001549FD" w:rsidRDefault="000C3C78" w:rsidP="004D74EC">
      <w:pPr>
        <w:spacing w:before="120" w:after="120"/>
        <w:jc w:val="both"/>
        <w:rPr>
          <w:color w:val="000000" w:themeColor="text1"/>
        </w:rPr>
      </w:pPr>
      <w:r>
        <w:rPr>
          <w:color w:val="000000" w:themeColor="text1"/>
        </w:rPr>
        <w:t>Podobné</w:t>
      </w:r>
      <w:r w:rsidR="00D13BFB">
        <w:rPr>
          <w:color w:val="000000" w:themeColor="text1"/>
        </w:rPr>
        <w:t xml:space="preserve"> závěry lze učinit i při pohledu na strukturu osob ve věku 20–39 let podle ekonomické aktivity. </w:t>
      </w:r>
      <w:r w:rsidR="00B32FEE">
        <w:rPr>
          <w:color w:val="000000" w:themeColor="text1"/>
        </w:rPr>
        <w:t xml:space="preserve">Osoby v domácnosti singles </w:t>
      </w:r>
      <w:r w:rsidR="00D842E5">
        <w:rPr>
          <w:color w:val="000000" w:themeColor="text1"/>
        </w:rPr>
        <w:t xml:space="preserve">jsou </w:t>
      </w:r>
      <w:r w:rsidR="00601641">
        <w:rPr>
          <w:color w:val="000000" w:themeColor="text1"/>
        </w:rPr>
        <w:t xml:space="preserve">logicky </w:t>
      </w:r>
      <w:r w:rsidR="00D842E5">
        <w:rPr>
          <w:color w:val="000000" w:themeColor="text1"/>
        </w:rPr>
        <w:t xml:space="preserve">častěji zaměstnané, především ženy, které </w:t>
      </w:r>
      <w:r w:rsidR="00B3221C">
        <w:rPr>
          <w:color w:val="000000" w:themeColor="text1"/>
        </w:rPr>
        <w:t>zvyšují</w:t>
      </w:r>
      <w:r w:rsidR="00D842E5">
        <w:rPr>
          <w:color w:val="000000" w:themeColor="text1"/>
        </w:rPr>
        <w:t xml:space="preserve"> podíl zaměstnaných až o 10 % nad hodnotu mezi osobami ve stejném věku bez ohledu na postavení v domácnosti. </w:t>
      </w:r>
      <w:r>
        <w:rPr>
          <w:color w:val="000000" w:themeColor="text1"/>
        </w:rPr>
        <w:t>Naopak</w:t>
      </w:r>
      <w:r w:rsidR="00D842E5">
        <w:rPr>
          <w:color w:val="000000" w:themeColor="text1"/>
        </w:rPr>
        <w:t xml:space="preserve"> jsou osoby v domácnosti singles méně často ekonomicky neaktivní (až o 60 %)</w:t>
      </w:r>
      <w:r>
        <w:rPr>
          <w:color w:val="000000" w:themeColor="text1"/>
        </w:rPr>
        <w:t>.</w:t>
      </w:r>
      <w:r w:rsidR="001956D2">
        <w:rPr>
          <w:color w:val="000000" w:themeColor="text1"/>
        </w:rPr>
        <w:t xml:space="preserve"> </w:t>
      </w:r>
      <w:r w:rsidR="00D842E5">
        <w:rPr>
          <w:color w:val="000000" w:themeColor="text1"/>
        </w:rPr>
        <w:t>Co se týče rozdělení zaměstnaných podle postavení v zaměstnání, zde nebyl nalezen významný rozdíl mezi osobami singles a ostatními.</w:t>
      </w:r>
    </w:p>
    <w:p w:rsidR="009D16FA" w:rsidRDefault="009D16FA" w:rsidP="009D16FA">
      <w:pPr>
        <w:spacing w:before="120" w:after="120"/>
        <w:jc w:val="both"/>
        <w:rPr>
          <w:color w:val="000000"/>
        </w:rPr>
      </w:pPr>
      <w:r>
        <w:rPr>
          <w:color w:val="000000"/>
        </w:rPr>
        <w:t xml:space="preserve">Z hlediska </w:t>
      </w:r>
      <w:r w:rsidR="001F7803">
        <w:rPr>
          <w:color w:val="000000"/>
        </w:rPr>
        <w:t>úrovně</w:t>
      </w:r>
      <w:r>
        <w:rPr>
          <w:color w:val="000000"/>
        </w:rPr>
        <w:t xml:space="preserve"> bydlení bylo možné pozorovat </w:t>
      </w:r>
      <w:r w:rsidR="000C3C78">
        <w:rPr>
          <w:color w:val="000000"/>
        </w:rPr>
        <w:t xml:space="preserve">v bydlení singles </w:t>
      </w:r>
      <w:r>
        <w:rPr>
          <w:color w:val="000000"/>
        </w:rPr>
        <w:t>významné rozdíly. K 26.</w:t>
      </w:r>
      <w:r w:rsidR="001F7803">
        <w:rPr>
          <w:color w:val="000000"/>
          <w:spacing w:val="-20"/>
        </w:rPr>
        <w:t> </w:t>
      </w:r>
      <w:r>
        <w:rPr>
          <w:color w:val="000000"/>
        </w:rPr>
        <w:t>3.</w:t>
      </w:r>
      <w:r w:rsidR="001F7803">
        <w:rPr>
          <w:color w:val="000000"/>
          <w:spacing w:val="-20"/>
        </w:rPr>
        <w:t> </w:t>
      </w:r>
      <w:r>
        <w:rPr>
          <w:color w:val="000000"/>
        </w:rPr>
        <w:t xml:space="preserve">2011 využívaly domácnosti singles ze 40 % </w:t>
      </w:r>
      <w:r w:rsidR="000C3C78">
        <w:rPr>
          <w:color w:val="000000"/>
        </w:rPr>
        <w:t>nájemní bydlení, ve 29 % bydlely</w:t>
      </w:r>
      <w:r>
        <w:rPr>
          <w:color w:val="000000"/>
        </w:rPr>
        <w:t xml:space="preserve"> v bytě v osobním vlastnictví a dle předpokladu pouze v 15 % ve vlastním domě, což je o téměř 25 procentních bodů méně než je průměr za všechny hospodařící domácnosti v</w:t>
      </w:r>
      <w:r w:rsidR="001F7803">
        <w:rPr>
          <w:color w:val="000000"/>
        </w:rPr>
        <w:t> </w:t>
      </w:r>
      <w:r>
        <w:rPr>
          <w:color w:val="000000"/>
        </w:rPr>
        <w:t>bytech</w:t>
      </w:r>
      <w:r w:rsidR="001F7803">
        <w:rPr>
          <w:color w:val="000000"/>
        </w:rPr>
        <w:t xml:space="preserve"> (graf </w:t>
      </w:r>
      <w:r w:rsidR="005355E8">
        <w:rPr>
          <w:color w:val="000000"/>
        </w:rPr>
        <w:t>9</w:t>
      </w:r>
      <w:r w:rsidR="001F7803">
        <w:rPr>
          <w:color w:val="000000"/>
        </w:rPr>
        <w:t>)</w:t>
      </w:r>
      <w:r>
        <w:rPr>
          <w:color w:val="000000"/>
        </w:rPr>
        <w:t xml:space="preserve">. Podíl singles bydlících ve vlastním domě zůstal od roku 2001 neměnný, jejich zastoupení v bytě v osobním vlastnictví </w:t>
      </w:r>
      <w:r w:rsidR="007F6165">
        <w:rPr>
          <w:color w:val="000000"/>
        </w:rPr>
        <w:t xml:space="preserve">však </w:t>
      </w:r>
      <w:r>
        <w:rPr>
          <w:color w:val="000000"/>
        </w:rPr>
        <w:t>zaznamenalo výrazný absolutní</w:t>
      </w:r>
      <w:r w:rsidR="001F7803">
        <w:rPr>
          <w:color w:val="000000"/>
        </w:rPr>
        <w:t xml:space="preserve"> i</w:t>
      </w:r>
      <w:r>
        <w:rPr>
          <w:color w:val="000000"/>
        </w:rPr>
        <w:t xml:space="preserve"> relativní přírůstek</w:t>
      </w:r>
      <w:r w:rsidR="000C3C78">
        <w:rPr>
          <w:color w:val="000000"/>
        </w:rPr>
        <w:t>, což souviselo zejména se změnami vlastnických forem bydlení v závislosti na intenzivním procesu privatizace domovního a bytového fondu po roce 2001.</w:t>
      </w:r>
      <w:r>
        <w:rPr>
          <w:color w:val="000000"/>
        </w:rPr>
        <w:t xml:space="preserve"> Zatímco v roce 2001 </w:t>
      </w:r>
      <w:r w:rsidR="000C3C78">
        <w:rPr>
          <w:color w:val="000000"/>
        </w:rPr>
        <w:t>v bytech v osobním vlastnictví</w:t>
      </w:r>
      <w:r>
        <w:rPr>
          <w:color w:val="000000"/>
        </w:rPr>
        <w:t xml:space="preserve"> žilo pouze 13 % singles, o deset let později se již jedná o druhý nejfrekventovanější právní důvod užívání bytu. S tím také koresponduje struktura singles podle druhu domu. Nejčastěji využívají singles k bydlení byty v bytových domech, kde žije více než tři čtvrtiny z nich, ve srovnání s o čtvrtinu nižším </w:t>
      </w:r>
      <w:r w:rsidR="00E415BD">
        <w:rPr>
          <w:color w:val="000000"/>
        </w:rPr>
        <w:t>podílem</w:t>
      </w:r>
      <w:r>
        <w:rPr>
          <w:color w:val="000000"/>
        </w:rPr>
        <w:t xml:space="preserve"> za všechny domácnosti v bytech.</w:t>
      </w:r>
    </w:p>
    <w:p w:rsidR="00E10190" w:rsidRDefault="00E10190" w:rsidP="009D16FA">
      <w:pPr>
        <w:spacing w:before="120" w:after="120"/>
        <w:jc w:val="both"/>
        <w:rPr>
          <w:color w:val="000000"/>
        </w:rPr>
      </w:pPr>
    </w:p>
    <w:p w:rsidR="00D842E5" w:rsidRPr="003F7948" w:rsidRDefault="003F7948" w:rsidP="003F7948">
      <w:pPr>
        <w:spacing w:after="0"/>
        <w:jc w:val="both"/>
        <w:rPr>
          <w:b/>
        </w:rPr>
      </w:pPr>
      <w:r>
        <w:rPr>
          <w:b/>
        </w:rPr>
        <w:lastRenderedPageBreak/>
        <w:t xml:space="preserve">Graf </w:t>
      </w:r>
      <w:r w:rsidR="005355E8">
        <w:rPr>
          <w:b/>
        </w:rPr>
        <w:t>9</w:t>
      </w:r>
      <w:r>
        <w:rPr>
          <w:b/>
        </w:rPr>
        <w:t>: Struktura domácností v byt</w:t>
      </w:r>
      <w:r w:rsidR="00E839DE">
        <w:rPr>
          <w:b/>
        </w:rPr>
        <w:t>ech</w:t>
      </w:r>
      <w:r>
        <w:rPr>
          <w:b/>
        </w:rPr>
        <w:t xml:space="preserve"> podle právního důvodu užívání bytu</w:t>
      </w:r>
      <w:r w:rsidR="00DA07CB">
        <w:rPr>
          <w:b/>
        </w:rPr>
        <w:t>*</w:t>
      </w:r>
      <w:r>
        <w:rPr>
          <w:b/>
        </w:rPr>
        <w:t>, 2011</w:t>
      </w:r>
    </w:p>
    <w:p w:rsidR="00D2224E" w:rsidRPr="005355E8" w:rsidRDefault="00A16097" w:rsidP="004D74EC">
      <w:pPr>
        <w:spacing w:before="120" w:after="120"/>
        <w:jc w:val="both"/>
        <w:rPr>
          <w:b/>
          <w:color w:val="000000" w:themeColor="text1"/>
          <w:sz w:val="18"/>
        </w:rPr>
      </w:pPr>
      <w:r w:rsidRPr="007D76AB">
        <w:rPr>
          <w:b/>
          <w:color w:val="000000" w:themeColor="text1"/>
        </w:rPr>
        <w:pict>
          <v:shape id="_x0000_i1037" type="#_x0000_t75" style="width:408.55pt;height:195.9pt">
            <v:imagedata r:id="rId21" o:title=""/>
          </v:shape>
        </w:pict>
      </w:r>
      <w:r w:rsidR="00DA07CB">
        <w:rPr>
          <w:b/>
          <w:color w:val="000000" w:themeColor="text1"/>
        </w:rPr>
        <w:t xml:space="preserve">    </w:t>
      </w:r>
      <w:r w:rsidR="007F6165">
        <w:rPr>
          <w:color w:val="000000" w:themeColor="text1"/>
          <w:sz w:val="16"/>
          <w:szCs w:val="18"/>
        </w:rPr>
        <w:t>Pozn.</w:t>
      </w:r>
      <w:r w:rsidR="00DA07CB" w:rsidRPr="005355E8">
        <w:rPr>
          <w:color w:val="000000" w:themeColor="text1"/>
          <w:sz w:val="16"/>
          <w:szCs w:val="18"/>
        </w:rPr>
        <w:t>: * pouze zjištěné hodnoty právního důvodu užívání bytu</w:t>
      </w:r>
    </w:p>
    <w:p w:rsidR="009D16FA" w:rsidRPr="00BB1493" w:rsidRDefault="009D16FA" w:rsidP="005355E8">
      <w:pPr>
        <w:spacing w:before="240" w:after="120"/>
        <w:jc w:val="both"/>
        <w:rPr>
          <w:color w:val="000000"/>
        </w:rPr>
      </w:pPr>
      <w:r w:rsidRPr="001D12CB">
        <w:rPr>
          <w:color w:val="000000"/>
        </w:rPr>
        <w:t xml:space="preserve">Rozdělení </w:t>
      </w:r>
      <w:r>
        <w:rPr>
          <w:color w:val="000000"/>
        </w:rPr>
        <w:t xml:space="preserve">domácností singles podle stáří domu, ve kterém bydlí, </w:t>
      </w:r>
      <w:r w:rsidR="00F146F3">
        <w:rPr>
          <w:color w:val="000000"/>
        </w:rPr>
        <w:t xml:space="preserve">však </w:t>
      </w:r>
      <w:r>
        <w:rPr>
          <w:color w:val="000000"/>
        </w:rPr>
        <w:t xml:space="preserve">neprojevovalo v roce 2011 významné odchylky od průměru bydlení domácností. Jediný větší rozdíl byl zjištěn u domů postavených v posledních deseti letech, ve kterých bydleli singles o polovinu častěji než byl </w:t>
      </w:r>
      <w:r w:rsidR="00BB1493">
        <w:rPr>
          <w:color w:val="000000"/>
        </w:rPr>
        <w:t xml:space="preserve">průměr u všech hospodařících domácností. I přesto byl podíl pouze 13%. </w:t>
      </w:r>
    </w:p>
    <w:p w:rsidR="009D16FA" w:rsidRDefault="009D16FA" w:rsidP="008619C4">
      <w:pPr>
        <w:spacing w:after="0"/>
        <w:jc w:val="both"/>
        <w:rPr>
          <w:b/>
        </w:rPr>
      </w:pPr>
      <w:r w:rsidRPr="008619C4">
        <w:rPr>
          <w:b/>
        </w:rPr>
        <w:t>Tab. 6: Vybrané typy bytových domácností podle velikosti bytu, 2011</w:t>
      </w:r>
    </w:p>
    <w:p w:rsidR="001956D2" w:rsidRPr="005355E8" w:rsidRDefault="00A16097" w:rsidP="008619C4">
      <w:pPr>
        <w:spacing w:after="0"/>
        <w:jc w:val="both"/>
        <w:rPr>
          <w:color w:val="000000" w:themeColor="text1"/>
          <w:sz w:val="2"/>
        </w:rPr>
      </w:pPr>
      <w:r w:rsidRPr="007D76AB">
        <w:rPr>
          <w:b/>
        </w:rPr>
        <w:pict>
          <v:shape id="_x0000_i1038" type="#_x0000_t75" style="width:430.35pt;height:159.05pt">
            <v:imagedata r:id="rId22" o:title=""/>
          </v:shape>
        </w:pict>
      </w:r>
    </w:p>
    <w:p w:rsidR="009D16FA" w:rsidRPr="006B6AAE" w:rsidRDefault="006B6AAE" w:rsidP="005355E8">
      <w:pPr>
        <w:spacing w:after="120"/>
        <w:jc w:val="both"/>
        <w:rPr>
          <w:i/>
          <w:color w:val="000000" w:themeColor="text1"/>
          <w:sz w:val="16"/>
          <w:szCs w:val="16"/>
        </w:rPr>
      </w:pPr>
      <w:r w:rsidRPr="006B6AAE">
        <w:rPr>
          <w:i/>
          <w:color w:val="000000" w:themeColor="text1"/>
          <w:sz w:val="16"/>
          <w:szCs w:val="16"/>
        </w:rPr>
        <w:t>Pozn. Obytná plocha bytu je součtem plochy všech obytných místností a kuchyně, pokud má plochu 8 m</w:t>
      </w:r>
      <w:r w:rsidRPr="00873E8E">
        <w:rPr>
          <w:i/>
          <w:color w:val="000000" w:themeColor="text1"/>
          <w:sz w:val="16"/>
          <w:szCs w:val="16"/>
          <w:vertAlign w:val="superscript"/>
        </w:rPr>
        <w:t>2</w:t>
      </w:r>
      <w:r w:rsidRPr="006B6AAE">
        <w:rPr>
          <w:i/>
          <w:color w:val="000000" w:themeColor="text1"/>
          <w:sz w:val="16"/>
          <w:szCs w:val="16"/>
        </w:rPr>
        <w:t xml:space="preserve"> </w:t>
      </w:r>
      <w:r w:rsidR="00873E8E">
        <w:rPr>
          <w:i/>
          <w:color w:val="000000" w:themeColor="text1"/>
          <w:sz w:val="16"/>
          <w:szCs w:val="16"/>
        </w:rPr>
        <w:t>a větší (kuchyňský kout, resp. k</w:t>
      </w:r>
      <w:r w:rsidRPr="006B6AAE">
        <w:rPr>
          <w:i/>
          <w:color w:val="000000" w:themeColor="text1"/>
          <w:sz w:val="16"/>
          <w:szCs w:val="16"/>
        </w:rPr>
        <w:t>uchyň menší než 8 m</w:t>
      </w:r>
      <w:r w:rsidRPr="00873E8E">
        <w:rPr>
          <w:i/>
          <w:color w:val="000000" w:themeColor="text1"/>
          <w:sz w:val="16"/>
          <w:szCs w:val="16"/>
          <w:vertAlign w:val="superscript"/>
        </w:rPr>
        <w:t>2</w:t>
      </w:r>
      <w:r w:rsidRPr="006B6AAE">
        <w:rPr>
          <w:i/>
          <w:color w:val="000000" w:themeColor="text1"/>
          <w:sz w:val="16"/>
          <w:szCs w:val="16"/>
        </w:rPr>
        <w:t xml:space="preserve"> není považována za obytnou místnost. Celková plocha bytu je součtem plochy všech obytných místností, kuchyně, kuchyňského koutu i ostatních prostor bytu (příslušenství, předsíň, apod.)</w:t>
      </w:r>
    </w:p>
    <w:p w:rsidR="00BB1493" w:rsidRPr="00D81347" w:rsidRDefault="00BB1493" w:rsidP="007C3E1A">
      <w:pPr>
        <w:spacing w:before="240"/>
        <w:jc w:val="both"/>
        <w:rPr>
          <w:color w:val="000000"/>
        </w:rPr>
      </w:pPr>
      <w:r>
        <w:rPr>
          <w:color w:val="000000"/>
        </w:rPr>
        <w:t>Domácnosti singles žily v roce 2011 průměrně v bytě o velikosti 68</w:t>
      </w:r>
      <w:r w:rsidR="00873E8E">
        <w:rPr>
          <w:color w:val="000000"/>
        </w:rPr>
        <w:t xml:space="preserve"> </w:t>
      </w:r>
      <w:r>
        <w:rPr>
          <w:color w:val="000000"/>
        </w:rPr>
        <w:t>m</w:t>
      </w:r>
      <w:r w:rsidRPr="001F0E25">
        <w:rPr>
          <w:color w:val="000000"/>
          <w:vertAlign w:val="superscript"/>
        </w:rPr>
        <w:t>2</w:t>
      </w:r>
      <w:r>
        <w:rPr>
          <w:color w:val="000000"/>
        </w:rPr>
        <w:t xml:space="preserve"> s obytnou plochou 51 m</w:t>
      </w:r>
      <w:r w:rsidRPr="001F0E25">
        <w:rPr>
          <w:color w:val="000000"/>
          <w:vertAlign w:val="superscript"/>
        </w:rPr>
        <w:t>2</w:t>
      </w:r>
      <w:r>
        <w:rPr>
          <w:color w:val="000000"/>
        </w:rPr>
        <w:t xml:space="preserve"> (tab. 6). V porovnání s ostatními základními typy hospodařících domácností, domácnosti singles obývaly nejmenší byty, přesto pouze o 0,4 m</w:t>
      </w:r>
      <w:r w:rsidRPr="001F0E25">
        <w:rPr>
          <w:color w:val="000000"/>
          <w:vertAlign w:val="superscript"/>
        </w:rPr>
        <w:t>2</w:t>
      </w:r>
      <w:r>
        <w:rPr>
          <w:color w:val="000000"/>
          <w:vertAlign w:val="superscript"/>
        </w:rPr>
        <w:t xml:space="preserve"> </w:t>
      </w:r>
      <w:r>
        <w:rPr>
          <w:color w:val="000000"/>
        </w:rPr>
        <w:t>menší co se týče obytné plochy než domácnosti jednotlivce seniora</w:t>
      </w:r>
      <w:r w:rsidR="004B356C">
        <w:rPr>
          <w:color w:val="000000"/>
        </w:rPr>
        <w:t xml:space="preserve"> bydlícího samostatně v bytě</w:t>
      </w:r>
      <w:r w:rsidRPr="008619C4">
        <w:rPr>
          <w:color w:val="000000"/>
        </w:rPr>
        <w:t xml:space="preserve">. </w:t>
      </w:r>
      <w:r w:rsidR="00D81347">
        <w:rPr>
          <w:color w:val="000000"/>
        </w:rPr>
        <w:t>Bytové d</w:t>
      </w:r>
      <w:r w:rsidRPr="008619C4">
        <w:rPr>
          <w:color w:val="000000"/>
        </w:rPr>
        <w:t xml:space="preserve">omácnosti tvořené 1 úplnou rodinou </w:t>
      </w:r>
      <w:r w:rsidR="004B356C" w:rsidRPr="008619C4">
        <w:rPr>
          <w:color w:val="000000"/>
        </w:rPr>
        <w:t>sice</w:t>
      </w:r>
      <w:r w:rsidRPr="008619C4">
        <w:rPr>
          <w:color w:val="000000"/>
        </w:rPr>
        <w:t xml:space="preserve"> bydlely </w:t>
      </w:r>
      <w:r w:rsidR="00D04AFC">
        <w:rPr>
          <w:color w:val="000000"/>
        </w:rPr>
        <w:t xml:space="preserve">v </w:t>
      </w:r>
      <w:r w:rsidRPr="008619C4">
        <w:rPr>
          <w:color w:val="000000"/>
        </w:rPr>
        <w:t>o více jak 20</w:t>
      </w:r>
      <w:r w:rsidR="005355E8" w:rsidRPr="008619C4">
        <w:rPr>
          <w:color w:val="000000"/>
        </w:rPr>
        <w:t> </w:t>
      </w:r>
      <w:r w:rsidRPr="008619C4">
        <w:rPr>
          <w:color w:val="000000"/>
        </w:rPr>
        <w:t>m</w:t>
      </w:r>
      <w:r w:rsidRPr="008619C4">
        <w:rPr>
          <w:color w:val="000000"/>
          <w:vertAlign w:val="superscript"/>
        </w:rPr>
        <w:t xml:space="preserve">2 </w:t>
      </w:r>
      <w:r w:rsidRPr="008619C4">
        <w:rPr>
          <w:color w:val="000000"/>
        </w:rPr>
        <w:t>větším bytě</w:t>
      </w:r>
      <w:r w:rsidR="004B356C" w:rsidRPr="008619C4">
        <w:rPr>
          <w:color w:val="000000"/>
        </w:rPr>
        <w:t>, průměrně však na 1 osobu připadal</w:t>
      </w:r>
      <w:r w:rsidR="008619C4" w:rsidRPr="008619C4">
        <w:rPr>
          <w:color w:val="000000"/>
        </w:rPr>
        <w:t>o pouze 25 m</w:t>
      </w:r>
      <w:r w:rsidR="008619C4" w:rsidRPr="008619C4">
        <w:rPr>
          <w:color w:val="000000"/>
          <w:vertAlign w:val="superscript"/>
        </w:rPr>
        <w:t>2</w:t>
      </w:r>
      <w:r w:rsidR="00873E8E">
        <w:rPr>
          <w:color w:val="000000"/>
        </w:rPr>
        <w:t>, což představuje </w:t>
      </w:r>
      <w:r w:rsidR="008619C4" w:rsidRPr="008619C4">
        <w:rPr>
          <w:color w:val="000000"/>
        </w:rPr>
        <w:t>polovin</w:t>
      </w:r>
      <w:r w:rsidR="00873E8E">
        <w:rPr>
          <w:color w:val="000000"/>
        </w:rPr>
        <w:t>u</w:t>
      </w:r>
      <w:r w:rsidR="008619C4" w:rsidRPr="008619C4">
        <w:rPr>
          <w:color w:val="000000"/>
        </w:rPr>
        <w:t xml:space="preserve"> obytné plochy ve srovnání s domácnostmi jednotlivců</w:t>
      </w:r>
      <w:r w:rsidR="005C006E">
        <w:rPr>
          <w:color w:val="000000"/>
        </w:rPr>
        <w:t>. Stejné závěry lze učinit i z rozložení domácností podle počtu obytných místností</w:t>
      </w:r>
      <w:r>
        <w:rPr>
          <w:color w:val="000000"/>
        </w:rPr>
        <w:t xml:space="preserve"> (graf </w:t>
      </w:r>
      <w:r w:rsidR="005355E8">
        <w:rPr>
          <w:color w:val="000000"/>
        </w:rPr>
        <w:t>10</w:t>
      </w:r>
      <w:r>
        <w:rPr>
          <w:color w:val="000000"/>
        </w:rPr>
        <w:t>). Zatímco domácnosti průměrně žijí ve 4, popř. 3 pokojovém bytě,</w:t>
      </w:r>
      <w:r w:rsidR="00D81347">
        <w:rPr>
          <w:color w:val="000000"/>
        </w:rPr>
        <w:t xml:space="preserve"> singles obývají logicky byty s </w:t>
      </w:r>
      <w:r>
        <w:rPr>
          <w:color w:val="000000"/>
        </w:rPr>
        <w:t xml:space="preserve">menším </w:t>
      </w:r>
      <w:r>
        <w:rPr>
          <w:color w:val="000000"/>
        </w:rPr>
        <w:lastRenderedPageBreak/>
        <w:t>počtem místností, přesto průměrně 3 pokojový. Z celkového počtu domácností si</w:t>
      </w:r>
      <w:r w:rsidR="006A673A">
        <w:rPr>
          <w:color w:val="000000"/>
        </w:rPr>
        <w:t>ngles</w:t>
      </w:r>
      <w:r>
        <w:rPr>
          <w:color w:val="000000"/>
        </w:rPr>
        <w:t xml:space="preserve"> </w:t>
      </w:r>
      <w:r w:rsidR="006A673A">
        <w:rPr>
          <w:color w:val="000000"/>
        </w:rPr>
        <w:t xml:space="preserve">žije </w:t>
      </w:r>
      <w:r w:rsidR="00764F32">
        <w:rPr>
          <w:color w:val="000000"/>
        </w:rPr>
        <w:t>58 </w:t>
      </w:r>
      <w:r w:rsidRPr="00BB1493">
        <w:rPr>
          <w:color w:val="000000"/>
        </w:rPr>
        <w:t>%</w:t>
      </w:r>
      <w:r w:rsidR="005355E8">
        <w:rPr>
          <w:color w:val="000000"/>
        </w:rPr>
        <w:t>. V bytě s 1 </w:t>
      </w:r>
      <w:r>
        <w:rPr>
          <w:color w:val="000000"/>
        </w:rPr>
        <w:t xml:space="preserve">obytnou místností bydlelo pouze </w:t>
      </w:r>
      <w:r w:rsidR="00D81347">
        <w:rPr>
          <w:color w:val="000000"/>
        </w:rPr>
        <w:t>14 </w:t>
      </w:r>
      <w:r w:rsidRPr="00BB1493">
        <w:rPr>
          <w:color w:val="000000"/>
        </w:rPr>
        <w:t>%</w:t>
      </w:r>
      <w:r>
        <w:rPr>
          <w:color w:val="000000"/>
        </w:rPr>
        <w:t xml:space="preserve"> singles.</w:t>
      </w:r>
      <w:r w:rsidRPr="009D16FA">
        <w:rPr>
          <w:b/>
        </w:rPr>
        <w:t xml:space="preserve"> </w:t>
      </w:r>
    </w:p>
    <w:p w:rsidR="00EC30F5" w:rsidRPr="0046303F" w:rsidRDefault="0046303F" w:rsidP="007C3E1A">
      <w:pPr>
        <w:spacing w:after="0"/>
        <w:jc w:val="center"/>
        <w:rPr>
          <w:b/>
        </w:rPr>
      </w:pPr>
      <w:r>
        <w:rPr>
          <w:b/>
        </w:rPr>
        <w:t xml:space="preserve">Graf </w:t>
      </w:r>
      <w:r w:rsidR="005355E8">
        <w:rPr>
          <w:b/>
        </w:rPr>
        <w:t>10</w:t>
      </w:r>
      <w:r>
        <w:rPr>
          <w:b/>
        </w:rPr>
        <w:t>: Struktura domácností v bytě podle počtu obytných místností v bytě*, 2011</w:t>
      </w:r>
    </w:p>
    <w:p w:rsidR="00EC30F5" w:rsidRDefault="00A16097" w:rsidP="006A640B">
      <w:pPr>
        <w:spacing w:after="0"/>
        <w:jc w:val="center"/>
        <w:rPr>
          <w:color w:val="000000" w:themeColor="text1"/>
        </w:rPr>
      </w:pPr>
      <w:r w:rsidRPr="007D76AB">
        <w:rPr>
          <w:color w:val="000000" w:themeColor="text1"/>
        </w:rPr>
        <w:pict>
          <v:shape id="_x0000_i1039" type="#_x0000_t75" style="width:365.85pt;height:212.65pt">
            <v:imagedata r:id="rId23" o:title=""/>
          </v:shape>
        </w:pict>
      </w:r>
    </w:p>
    <w:p w:rsidR="009D16FA" w:rsidRDefault="007C3E1A" w:rsidP="007C3E1A">
      <w:pPr>
        <w:spacing w:before="20" w:after="120"/>
        <w:ind w:firstLine="357"/>
        <w:jc w:val="center"/>
        <w:rPr>
          <w:color w:val="000000"/>
        </w:rPr>
      </w:pPr>
      <w:r>
        <w:rPr>
          <w:color w:val="000000"/>
          <w:sz w:val="18"/>
          <w:szCs w:val="18"/>
        </w:rPr>
        <w:t>Pozn.</w:t>
      </w:r>
      <w:r w:rsidR="009D16FA" w:rsidRPr="000E1895">
        <w:rPr>
          <w:color w:val="000000"/>
          <w:sz w:val="18"/>
          <w:szCs w:val="18"/>
        </w:rPr>
        <w:t>: *</w:t>
      </w:r>
      <w:r w:rsidR="009D16FA" w:rsidRPr="00DA07CB">
        <w:rPr>
          <w:color w:val="000000"/>
          <w:sz w:val="18"/>
          <w:szCs w:val="18"/>
        </w:rPr>
        <w:t xml:space="preserve"> </w:t>
      </w:r>
      <w:r w:rsidR="000E1895">
        <w:rPr>
          <w:color w:val="000000"/>
          <w:sz w:val="18"/>
          <w:szCs w:val="18"/>
        </w:rPr>
        <w:t>do počtu obytných místností zahrnuta i kuchyň, pokud je větší než 8m</w:t>
      </w:r>
      <w:r w:rsidR="000E1895" w:rsidRPr="000E1895">
        <w:rPr>
          <w:color w:val="000000"/>
          <w:sz w:val="18"/>
          <w:szCs w:val="18"/>
          <w:vertAlign w:val="superscript"/>
        </w:rPr>
        <w:t>2</w:t>
      </w:r>
    </w:p>
    <w:p w:rsidR="001956D2" w:rsidRPr="00B7508B" w:rsidRDefault="009D16FA" w:rsidP="00467979">
      <w:pPr>
        <w:spacing w:before="240" w:after="240"/>
        <w:jc w:val="both"/>
        <w:rPr>
          <w:color w:val="000000"/>
        </w:rPr>
      </w:pPr>
      <w:r>
        <w:rPr>
          <w:color w:val="000000"/>
        </w:rPr>
        <w:t>K 26.</w:t>
      </w:r>
      <w:r w:rsidR="00354C35">
        <w:rPr>
          <w:color w:val="000000"/>
        </w:rPr>
        <w:t xml:space="preserve"> </w:t>
      </w:r>
      <w:r>
        <w:rPr>
          <w:color w:val="000000"/>
        </w:rPr>
        <w:t>3.</w:t>
      </w:r>
      <w:r w:rsidR="00354C35">
        <w:rPr>
          <w:color w:val="000000"/>
        </w:rPr>
        <w:t xml:space="preserve"> </w:t>
      </w:r>
      <w:r>
        <w:rPr>
          <w:color w:val="000000"/>
        </w:rPr>
        <w:t xml:space="preserve">2011 </w:t>
      </w:r>
      <w:r w:rsidR="00FB5A27">
        <w:rPr>
          <w:color w:val="000000"/>
        </w:rPr>
        <w:t>žilo</w:t>
      </w:r>
      <w:r>
        <w:rPr>
          <w:color w:val="000000"/>
        </w:rPr>
        <w:t xml:space="preserve"> v České republice </w:t>
      </w:r>
      <w:r w:rsidR="00FB5A27" w:rsidRPr="00C0550C">
        <w:rPr>
          <w:color w:val="000000"/>
        </w:rPr>
        <w:t>9</w:t>
      </w:r>
      <w:r w:rsidRPr="00C0550C">
        <w:rPr>
          <w:color w:val="000000"/>
        </w:rPr>
        <w:t xml:space="preserve"> %</w:t>
      </w:r>
      <w:r>
        <w:rPr>
          <w:color w:val="000000"/>
        </w:rPr>
        <w:t xml:space="preserve"> </w:t>
      </w:r>
      <w:r w:rsidR="00FB5A27">
        <w:rPr>
          <w:color w:val="000000"/>
        </w:rPr>
        <w:t>osob ve věk</w:t>
      </w:r>
      <w:r w:rsidR="00C0550C">
        <w:rPr>
          <w:color w:val="000000"/>
        </w:rPr>
        <w:t>ové skupině</w:t>
      </w:r>
      <w:r w:rsidR="00FB5A27">
        <w:rPr>
          <w:color w:val="000000"/>
        </w:rPr>
        <w:t xml:space="preserve"> 20–39 le</w:t>
      </w:r>
      <w:r w:rsidR="00C0550C">
        <w:rPr>
          <w:color w:val="000000"/>
        </w:rPr>
        <w:t>t v domácnosti singles. Z</w:t>
      </w:r>
      <w:r w:rsidR="00FB5A27">
        <w:rPr>
          <w:color w:val="000000"/>
        </w:rPr>
        <w:t>astoupení</w:t>
      </w:r>
      <w:r w:rsidR="00C0550C">
        <w:rPr>
          <w:color w:val="000000"/>
        </w:rPr>
        <w:t xml:space="preserve"> singles bylo</w:t>
      </w:r>
      <w:r w:rsidR="00FB5A27">
        <w:rPr>
          <w:color w:val="000000"/>
        </w:rPr>
        <w:t xml:space="preserve"> nejnižší v obcích s 500–999 obyvateli</w:t>
      </w:r>
      <w:r w:rsidR="001F4EC4">
        <w:rPr>
          <w:color w:val="000000"/>
        </w:rPr>
        <w:t xml:space="preserve">, přičemž se </w:t>
      </w:r>
      <w:r w:rsidR="00FB5A27">
        <w:rPr>
          <w:color w:val="000000"/>
        </w:rPr>
        <w:t>zvyšujícím se počtem obyvatel v obci</w:t>
      </w:r>
      <w:r>
        <w:rPr>
          <w:color w:val="000000"/>
        </w:rPr>
        <w:t xml:space="preserve"> </w:t>
      </w:r>
      <w:r w:rsidR="00FB5A27">
        <w:rPr>
          <w:color w:val="000000"/>
        </w:rPr>
        <w:t>rost</w:t>
      </w:r>
      <w:r w:rsidR="00C0550C">
        <w:rPr>
          <w:color w:val="000000"/>
        </w:rPr>
        <w:t>la</w:t>
      </w:r>
      <w:r w:rsidR="00FB5A27">
        <w:rPr>
          <w:color w:val="000000"/>
        </w:rPr>
        <w:t xml:space="preserve"> také intenzita osob žijících v tomto typu domácnosti</w:t>
      </w:r>
      <w:r w:rsidR="00467979">
        <w:rPr>
          <w:color w:val="000000"/>
        </w:rPr>
        <w:t xml:space="preserve"> (graf 11)</w:t>
      </w:r>
      <w:r w:rsidR="00FB5A27">
        <w:rPr>
          <w:color w:val="000000"/>
        </w:rPr>
        <w:t xml:space="preserve">. </w:t>
      </w:r>
      <w:r w:rsidR="00C0550C">
        <w:rPr>
          <w:color w:val="000000"/>
        </w:rPr>
        <w:t xml:space="preserve">Maximální podíl byl zjištěn </w:t>
      </w:r>
      <w:r>
        <w:rPr>
          <w:color w:val="000000"/>
        </w:rPr>
        <w:t>v obcích nad 100 tisíc obyvatel, kde domácnosti singles představ</w:t>
      </w:r>
      <w:r w:rsidR="00C0550C">
        <w:rPr>
          <w:color w:val="000000"/>
        </w:rPr>
        <w:t>ovaly</w:t>
      </w:r>
      <w:r>
        <w:rPr>
          <w:color w:val="000000"/>
        </w:rPr>
        <w:t xml:space="preserve"> </w:t>
      </w:r>
      <w:r w:rsidR="001F4EC4">
        <w:rPr>
          <w:color w:val="000000"/>
        </w:rPr>
        <w:t>až</w:t>
      </w:r>
      <w:r>
        <w:rPr>
          <w:color w:val="000000"/>
        </w:rPr>
        <w:t xml:space="preserve"> 1</w:t>
      </w:r>
      <w:r w:rsidR="001F4EC4">
        <w:rPr>
          <w:color w:val="000000"/>
        </w:rPr>
        <w:t>4</w:t>
      </w:r>
      <w:r>
        <w:rPr>
          <w:color w:val="000000"/>
        </w:rPr>
        <w:t xml:space="preserve"> % všech </w:t>
      </w:r>
      <w:r w:rsidR="001F4EC4">
        <w:rPr>
          <w:color w:val="000000"/>
        </w:rPr>
        <w:t>osob ve stejné věkové skupině.</w:t>
      </w:r>
    </w:p>
    <w:p w:rsidR="00FB1626" w:rsidRPr="0046303F" w:rsidRDefault="00FB1626" w:rsidP="007C3E1A">
      <w:pPr>
        <w:spacing w:after="60"/>
        <w:rPr>
          <w:b/>
        </w:rPr>
      </w:pPr>
      <w:r>
        <w:rPr>
          <w:b/>
        </w:rPr>
        <w:t>Graf 1</w:t>
      </w:r>
      <w:r w:rsidR="00467979">
        <w:rPr>
          <w:b/>
        </w:rPr>
        <w:t>1</w:t>
      </w:r>
      <w:r>
        <w:rPr>
          <w:b/>
        </w:rPr>
        <w:t xml:space="preserve">: </w:t>
      </w:r>
      <w:r w:rsidR="001956D2">
        <w:rPr>
          <w:b/>
        </w:rPr>
        <w:t>O</w:t>
      </w:r>
      <w:r w:rsidR="00943F79">
        <w:rPr>
          <w:b/>
        </w:rPr>
        <w:t>sob</w:t>
      </w:r>
      <w:r w:rsidR="001956D2">
        <w:rPr>
          <w:b/>
        </w:rPr>
        <w:t>y</w:t>
      </w:r>
      <w:r w:rsidR="00943F79">
        <w:rPr>
          <w:b/>
        </w:rPr>
        <w:t xml:space="preserve"> ve věku 20-39 let v domácnostech</w:t>
      </w:r>
      <w:r w:rsidR="002B53DA">
        <w:rPr>
          <w:b/>
        </w:rPr>
        <w:t xml:space="preserve"> singles podle velikosti obce</w:t>
      </w:r>
      <w:r>
        <w:rPr>
          <w:b/>
        </w:rPr>
        <w:t>, 2011</w:t>
      </w:r>
    </w:p>
    <w:p w:rsidR="00943F79" w:rsidRDefault="007D76AB" w:rsidP="001F4EC4">
      <w:pPr>
        <w:spacing w:after="0"/>
        <w:jc w:val="both"/>
        <w:rPr>
          <w:color w:val="000000" w:themeColor="text1"/>
        </w:rPr>
      </w:pPr>
      <w:r w:rsidRPr="007D76AB">
        <w:rPr>
          <w:color w:val="000000" w:themeColor="text1"/>
        </w:rPr>
        <w:pict>
          <v:shape id="_x0000_i1040" type="#_x0000_t75" style="width:369.2pt;height:226.05pt">
            <v:imagedata r:id="rId24" o:title=""/>
          </v:shape>
        </w:pict>
      </w:r>
    </w:p>
    <w:p w:rsidR="001956D2" w:rsidRPr="001C7835" w:rsidRDefault="001956D2" w:rsidP="001956D2">
      <w:pPr>
        <w:spacing w:after="120"/>
        <w:jc w:val="both"/>
        <w:rPr>
          <w:color w:val="000000"/>
        </w:rPr>
      </w:pPr>
      <w:r>
        <w:rPr>
          <w:color w:val="000000"/>
        </w:rPr>
        <w:lastRenderedPageBreak/>
        <w:t>Dominantní postavení velkých měst názorně ilustruje také mapa územního rozložení domácností singles (graf 1</w:t>
      </w:r>
      <w:r w:rsidR="00467979">
        <w:rPr>
          <w:color w:val="000000"/>
        </w:rPr>
        <w:t>2</w:t>
      </w:r>
      <w:r>
        <w:rPr>
          <w:color w:val="000000"/>
        </w:rPr>
        <w:t>). I přestože zdaleka nejvýznamnější zastoupení singles vykazovala Praha, ostrý kontrast mezi velkoměstem a jeho zázemím je patrný především v Brně. Zatímco ve SO ORP</w:t>
      </w:r>
      <w:r>
        <w:rPr>
          <w:rStyle w:val="Znakapoznpodarou"/>
          <w:color w:val="000000"/>
        </w:rPr>
        <w:footnoteReference w:id="6"/>
      </w:r>
      <w:r>
        <w:rPr>
          <w:color w:val="000000"/>
        </w:rPr>
        <w:t xml:space="preserve"> Brno žilo více než 13 % osob ve věku 20–39 let jako singles, v okolních SO ORP se jednalo pouze o 5% podíl. Druhý významný trend územního rozložení singles vystihuje </w:t>
      </w:r>
      <w:r w:rsidR="007C3E1A">
        <w:rPr>
          <w:color w:val="000000"/>
        </w:rPr>
        <w:t>tzv. polohový gradient v ose SZ-</w:t>
      </w:r>
      <w:r>
        <w:rPr>
          <w:color w:val="000000"/>
        </w:rPr>
        <w:t xml:space="preserve">JV, který obecně ovlivňuje celou strukturu hospodařících domácností na území České republiky. Při odhlédnutí od největších měst, nejvyšší podíl osob v domácnostech singles byl zaznamenán v roce 2011 v Ústeckém a Karlovarském kraji, zatímco směrem k jihovýchodu dochází ke snižování podílu osob v domácnostech singles. Velmi nízké relativní zastoupení singles bylo také zjištěno v oblastech vnitřní periferie na pomezi Čech a Moravy - v ekonomicky slabších regionech s </w:t>
      </w:r>
      <w:r>
        <w:rPr>
          <w:rFonts w:cs="Arial"/>
        </w:rPr>
        <w:t>horší dopravní dostupností, občanskou vybaveností a s vysokou mírou tradiční hodnoty rodiny</w:t>
      </w:r>
      <w:r>
        <w:rPr>
          <w:color w:val="000000"/>
        </w:rPr>
        <w:t>, tj. s vyšším zastoupením osob v úplných rodinách v mladším věku.</w:t>
      </w:r>
    </w:p>
    <w:p w:rsidR="001956D2" w:rsidRPr="00D4414F" w:rsidRDefault="001956D2" w:rsidP="001956D2">
      <w:pPr>
        <w:spacing w:after="120"/>
        <w:jc w:val="both"/>
        <w:rPr>
          <w:color w:val="000000"/>
        </w:rPr>
      </w:pPr>
      <w:r w:rsidRPr="002F5074">
        <w:rPr>
          <w:color w:val="000000"/>
        </w:rPr>
        <w:t xml:space="preserve">Ačkoli </w:t>
      </w:r>
      <w:r>
        <w:rPr>
          <w:color w:val="000000"/>
        </w:rPr>
        <w:t xml:space="preserve">v zázemí Prahy byl podíl celkového počtu </w:t>
      </w:r>
      <w:r w:rsidRPr="009877C2">
        <w:rPr>
          <w:color w:val="000000"/>
        </w:rPr>
        <w:t>domácností jednotlivců</w:t>
      </w:r>
      <w:r>
        <w:rPr>
          <w:color w:val="000000"/>
        </w:rPr>
        <w:t xml:space="preserve"> v rámci domácností na nízké úrovni (z důvodu vyššího zastoupení rodinných domácností), ve všech SO ORP sousedících s Prahou bylo zaznamenáno nadprůměrné zastoupení jednotlivců v m</w:t>
      </w:r>
      <w:r w:rsidR="00764F32">
        <w:rPr>
          <w:color w:val="000000"/>
        </w:rPr>
        <w:t>ladších věkových skupinách (</w:t>
      </w:r>
      <w:r>
        <w:rPr>
          <w:color w:val="000000"/>
        </w:rPr>
        <w:t>graf 1</w:t>
      </w:r>
      <w:r w:rsidR="00467979">
        <w:rPr>
          <w:color w:val="000000"/>
        </w:rPr>
        <w:t>3</w:t>
      </w:r>
      <w:r>
        <w:rPr>
          <w:color w:val="000000"/>
        </w:rPr>
        <w:t>). Naopak v SO ORP vnitřní periferie Čech (především jihovýchodní okraj Středočeského a Plzeňského kraje</w:t>
      </w:r>
      <w:r>
        <w:rPr>
          <w:rStyle w:val="Znakapoznpodarou"/>
          <w:color w:val="000000"/>
        </w:rPr>
        <w:footnoteReference w:id="7"/>
      </w:r>
      <w:r>
        <w:rPr>
          <w:color w:val="000000"/>
        </w:rPr>
        <w:t>) a Moravy byli jednotlivci zpravidla představováni osobami ve starším, příp. středním věku.</w:t>
      </w:r>
    </w:p>
    <w:p w:rsidR="00984963" w:rsidRDefault="00984963" w:rsidP="003D7C51">
      <w:pPr>
        <w:spacing w:after="0"/>
        <w:jc w:val="both"/>
      </w:pPr>
      <w:r>
        <w:rPr>
          <w:b/>
        </w:rPr>
        <w:t>Graf 1</w:t>
      </w:r>
      <w:r w:rsidR="00467979">
        <w:rPr>
          <w:b/>
        </w:rPr>
        <w:t>2</w:t>
      </w:r>
      <w:r>
        <w:rPr>
          <w:b/>
        </w:rPr>
        <w:t>:</w:t>
      </w:r>
      <w:r w:rsidR="009A1864">
        <w:rPr>
          <w:b/>
        </w:rPr>
        <w:t xml:space="preserve"> Zastoupení osob v domácnostech singles, </w:t>
      </w:r>
      <w:r w:rsidR="00C65BA6">
        <w:rPr>
          <w:b/>
        </w:rPr>
        <w:t>SO ORP</w:t>
      </w:r>
      <w:r w:rsidR="009A1864">
        <w:rPr>
          <w:b/>
        </w:rPr>
        <w:t>, 2011</w:t>
      </w:r>
    </w:p>
    <w:p w:rsidR="00203DEA" w:rsidRDefault="00FA76CA" w:rsidP="003D7C51">
      <w:pPr>
        <w:spacing w:after="0"/>
        <w:jc w:val="both"/>
      </w:pPr>
      <w:r>
        <w:rPr>
          <w:noProof/>
          <w:lang w:eastAsia="cs-CZ"/>
        </w:rPr>
        <w:drawing>
          <wp:inline distT="0" distB="0" distL="0" distR="0">
            <wp:extent cx="5329127" cy="3627449"/>
            <wp:effectExtent l="19050" t="0" r="4873" b="0"/>
            <wp:docPr id="9" name="Obrázek 8" descr="Singles_Sig_na_osobach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s_Sig_na_osobach_01.jpg"/>
                    <pic:cNvPicPr/>
                  </pic:nvPicPr>
                  <pic:blipFill>
                    <a:blip r:embed="rId25" cstate="print"/>
                    <a:srcRect t="3621"/>
                    <a:stretch>
                      <a:fillRect/>
                    </a:stretch>
                  </pic:blipFill>
                  <pic:spPr>
                    <a:xfrm>
                      <a:off x="0" y="0"/>
                      <a:ext cx="5333411" cy="3630365"/>
                    </a:xfrm>
                    <a:prstGeom prst="rect">
                      <a:avLst/>
                    </a:prstGeom>
                  </pic:spPr>
                </pic:pic>
              </a:graphicData>
            </a:graphic>
          </wp:inline>
        </w:drawing>
      </w:r>
    </w:p>
    <w:p w:rsidR="009D16FA" w:rsidRDefault="009D16FA" w:rsidP="009D16FA">
      <w:pPr>
        <w:spacing w:after="0"/>
        <w:jc w:val="both"/>
      </w:pPr>
      <w:r>
        <w:rPr>
          <w:b/>
        </w:rPr>
        <w:lastRenderedPageBreak/>
        <w:t>Graf 1</w:t>
      </w:r>
      <w:r w:rsidR="00467979">
        <w:rPr>
          <w:b/>
        </w:rPr>
        <w:t>3</w:t>
      </w:r>
      <w:r>
        <w:rPr>
          <w:b/>
        </w:rPr>
        <w:t>: Zastoupení domácností singles, </w:t>
      </w:r>
      <w:r w:rsidR="00C65BA6">
        <w:rPr>
          <w:b/>
        </w:rPr>
        <w:t xml:space="preserve">SO ORP, </w:t>
      </w:r>
      <w:r>
        <w:rPr>
          <w:b/>
        </w:rPr>
        <w:t>2011</w:t>
      </w:r>
    </w:p>
    <w:p w:rsidR="00203DEA" w:rsidRDefault="00AB4FD2" w:rsidP="003D7C51">
      <w:pPr>
        <w:spacing w:after="0"/>
        <w:jc w:val="both"/>
      </w:pPr>
      <w:r>
        <w:rPr>
          <w:noProof/>
          <w:lang w:eastAsia="cs-CZ"/>
        </w:rPr>
        <w:drawing>
          <wp:inline distT="0" distB="0" distL="0" distR="0">
            <wp:extent cx="5404663" cy="3572539"/>
            <wp:effectExtent l="19050" t="0" r="5537" b="0"/>
            <wp:docPr id="8" name="Obrázek 7" descr="Singles_Sig_na_DJ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s_Sig_na_DJ_02.jpg"/>
                    <pic:cNvPicPr/>
                  </pic:nvPicPr>
                  <pic:blipFill>
                    <a:blip r:embed="rId26" cstate="print"/>
                    <a:srcRect t="6407"/>
                    <a:stretch>
                      <a:fillRect/>
                    </a:stretch>
                  </pic:blipFill>
                  <pic:spPr>
                    <a:xfrm>
                      <a:off x="0" y="0"/>
                      <a:ext cx="5404663" cy="3572539"/>
                    </a:xfrm>
                    <a:prstGeom prst="rect">
                      <a:avLst/>
                    </a:prstGeom>
                  </pic:spPr>
                </pic:pic>
              </a:graphicData>
            </a:graphic>
          </wp:inline>
        </w:drawing>
      </w:r>
    </w:p>
    <w:p w:rsidR="007D5C1F" w:rsidRDefault="007D5C1F" w:rsidP="004957C7">
      <w:pPr>
        <w:spacing w:before="360" w:after="120"/>
        <w:jc w:val="both"/>
        <w:rPr>
          <w:b/>
        </w:rPr>
      </w:pPr>
      <w:r w:rsidRPr="00DF07D5">
        <w:rPr>
          <w:b/>
        </w:rPr>
        <w:t xml:space="preserve">Domácnosti </w:t>
      </w:r>
      <w:r>
        <w:rPr>
          <w:b/>
        </w:rPr>
        <w:t>jednotlivců</w:t>
      </w:r>
      <w:r w:rsidR="00242026" w:rsidRPr="00242026">
        <w:rPr>
          <w:b/>
        </w:rPr>
        <w:t xml:space="preserve"> </w:t>
      </w:r>
      <w:r w:rsidR="00242026" w:rsidRPr="00DF07D5">
        <w:rPr>
          <w:b/>
        </w:rPr>
        <w:t>seniorů</w:t>
      </w:r>
    </w:p>
    <w:p w:rsidR="007D5C1F" w:rsidRDefault="007D5C1F" w:rsidP="007D5C1F">
      <w:pPr>
        <w:spacing w:after="120"/>
        <w:jc w:val="both"/>
        <w:rPr>
          <w:bCs/>
        </w:rPr>
      </w:pPr>
      <w:r w:rsidRPr="00D743FC">
        <w:rPr>
          <w:bCs/>
        </w:rPr>
        <w:t>Nejvýznamnější sk</w:t>
      </w:r>
      <w:r>
        <w:rPr>
          <w:bCs/>
        </w:rPr>
        <w:t>u</w:t>
      </w:r>
      <w:r w:rsidRPr="00D743FC">
        <w:rPr>
          <w:bCs/>
        </w:rPr>
        <w:t>pinou domácností jed</w:t>
      </w:r>
      <w:r>
        <w:rPr>
          <w:bCs/>
        </w:rPr>
        <w:t>not</w:t>
      </w:r>
      <w:r w:rsidRPr="00D743FC">
        <w:rPr>
          <w:bCs/>
        </w:rPr>
        <w:t xml:space="preserve">livců jsou však </w:t>
      </w:r>
      <w:r w:rsidR="00041FD4">
        <w:rPr>
          <w:bCs/>
        </w:rPr>
        <w:t xml:space="preserve">stále </w:t>
      </w:r>
      <w:r w:rsidRPr="00D743FC">
        <w:rPr>
          <w:bCs/>
        </w:rPr>
        <w:t xml:space="preserve">domácnosti </w:t>
      </w:r>
      <w:r w:rsidR="00041FD4">
        <w:rPr>
          <w:bCs/>
        </w:rPr>
        <w:t xml:space="preserve">jednotlivců </w:t>
      </w:r>
      <w:r>
        <w:rPr>
          <w:bCs/>
        </w:rPr>
        <w:t>seniorů, tj. </w:t>
      </w:r>
      <w:r w:rsidRPr="00680343">
        <w:rPr>
          <w:bCs/>
          <w:i/>
        </w:rPr>
        <w:t xml:space="preserve">hospodařící </w:t>
      </w:r>
      <w:r w:rsidRPr="004805F1">
        <w:rPr>
          <w:bCs/>
          <w:i/>
        </w:rPr>
        <w:t>domácnost</w:t>
      </w:r>
      <w:r w:rsidR="00242026">
        <w:rPr>
          <w:bCs/>
          <w:i/>
        </w:rPr>
        <w:t>i</w:t>
      </w:r>
      <w:r w:rsidRPr="004805F1">
        <w:rPr>
          <w:bCs/>
          <w:i/>
        </w:rPr>
        <w:t xml:space="preserve"> jednotlivců ve věku 65 a více</w:t>
      </w:r>
      <w:r>
        <w:rPr>
          <w:bCs/>
        </w:rPr>
        <w:t xml:space="preserve"> let. Tato velmi početná skupina čítala k 26.</w:t>
      </w:r>
      <w:r w:rsidR="00C00A6B">
        <w:rPr>
          <w:bCs/>
        </w:rPr>
        <w:t xml:space="preserve"> </w:t>
      </w:r>
      <w:r>
        <w:rPr>
          <w:bCs/>
        </w:rPr>
        <w:t>3.</w:t>
      </w:r>
      <w:r w:rsidR="00C00A6B">
        <w:rPr>
          <w:bCs/>
        </w:rPr>
        <w:t xml:space="preserve"> </w:t>
      </w:r>
      <w:r>
        <w:rPr>
          <w:bCs/>
        </w:rPr>
        <w:t>2011 více než půl milionu domácností a podílela se z 3</w:t>
      </w:r>
      <w:r w:rsidR="001D1DC3">
        <w:rPr>
          <w:bCs/>
        </w:rPr>
        <w:t>6</w:t>
      </w:r>
      <w:r>
        <w:rPr>
          <w:bCs/>
        </w:rPr>
        <w:t> % na všech hospodařících domácnostech</w:t>
      </w:r>
      <w:r w:rsidR="001A4744">
        <w:rPr>
          <w:bCs/>
        </w:rPr>
        <w:t xml:space="preserve"> jednotlivců</w:t>
      </w:r>
      <w:r>
        <w:rPr>
          <w:bCs/>
        </w:rPr>
        <w:t xml:space="preserve">. </w:t>
      </w:r>
    </w:p>
    <w:p w:rsidR="007D5C1F" w:rsidRDefault="007D5C1F" w:rsidP="007D5C1F">
      <w:pPr>
        <w:spacing w:before="120" w:after="60"/>
        <w:jc w:val="both"/>
        <w:rPr>
          <w:b/>
        </w:rPr>
      </w:pPr>
      <w:r w:rsidRPr="003D22CF">
        <w:rPr>
          <w:b/>
        </w:rPr>
        <w:t>Tab. 7:</w:t>
      </w:r>
      <w:r w:rsidRPr="003332BD">
        <w:rPr>
          <w:b/>
        </w:rPr>
        <w:t xml:space="preserve"> Vývoj </w:t>
      </w:r>
      <w:r>
        <w:rPr>
          <w:b/>
        </w:rPr>
        <w:t>domácností jednotlivců</w:t>
      </w:r>
      <w:r w:rsidR="008846A5">
        <w:rPr>
          <w:b/>
        </w:rPr>
        <w:t xml:space="preserve"> seniorů</w:t>
      </w:r>
      <w:r>
        <w:rPr>
          <w:b/>
        </w:rPr>
        <w:t>, 1970–</w:t>
      </w:r>
      <w:r w:rsidRPr="003332BD">
        <w:rPr>
          <w:b/>
        </w:rPr>
        <w:t>2011</w:t>
      </w:r>
    </w:p>
    <w:p w:rsidR="007D5C1F" w:rsidRDefault="007D76AB" w:rsidP="007D5C1F">
      <w:pPr>
        <w:spacing w:after="0"/>
        <w:jc w:val="both"/>
        <w:rPr>
          <w:b/>
        </w:rPr>
      </w:pPr>
      <w:r w:rsidRPr="007D76AB">
        <w:rPr>
          <w:b/>
        </w:rPr>
        <w:pict>
          <v:shape id="_x0000_i1041" type="#_x0000_t75" style="width:423.65pt;height:208.45pt">
            <v:imagedata r:id="rId27" o:title=""/>
          </v:shape>
        </w:pict>
      </w:r>
    </w:p>
    <w:p w:rsidR="007D5C1F" w:rsidRDefault="007D5C1F" w:rsidP="007D5C1F">
      <w:pPr>
        <w:spacing w:after="120"/>
        <w:jc w:val="both"/>
        <w:rPr>
          <w:bCs/>
        </w:rPr>
      </w:pPr>
      <w:r>
        <w:rPr>
          <w:bCs/>
        </w:rPr>
        <w:lastRenderedPageBreak/>
        <w:t xml:space="preserve">Od roku 1970 vzrostl počet domácností </w:t>
      </w:r>
      <w:r w:rsidR="006D31C4">
        <w:rPr>
          <w:bCs/>
        </w:rPr>
        <w:t xml:space="preserve">jednotlivců </w:t>
      </w:r>
      <w:r>
        <w:rPr>
          <w:bCs/>
        </w:rPr>
        <w:t xml:space="preserve">seniorů o téměř 200 tisíc, tj. </w:t>
      </w:r>
      <w:r w:rsidR="001A4744">
        <w:rPr>
          <w:bCs/>
        </w:rPr>
        <w:t xml:space="preserve">o </w:t>
      </w:r>
      <w:r w:rsidR="001D1DC3">
        <w:rPr>
          <w:bCs/>
        </w:rPr>
        <w:t>5</w:t>
      </w:r>
      <w:r>
        <w:rPr>
          <w:bCs/>
        </w:rPr>
        <w:t xml:space="preserve">0 % v relativním vyjádření. Přestože v roce 2011 stále tři čtvrtiny těchto domácností tvořily ženy, jejich převaha nad muži se </w:t>
      </w:r>
      <w:r w:rsidR="001A4744">
        <w:rPr>
          <w:bCs/>
        </w:rPr>
        <w:t xml:space="preserve">od roku 2001 </w:t>
      </w:r>
      <w:r>
        <w:rPr>
          <w:bCs/>
        </w:rPr>
        <w:t xml:space="preserve">snížila o 6 procentních bodů. Za posledních 40 let ženy vykázaly výraznější absolutní zisk, oproti mužům s naopak vyšším relativním přírůstkem (tab. 7). Zatímco v roce 1970 byla polovina domácností jednotlivců tvořena osobami ve věku 65 a více let, během následujícího třicetiletí </w:t>
      </w:r>
      <w:r w:rsidR="008C2F4C">
        <w:rPr>
          <w:bCs/>
        </w:rPr>
        <w:t xml:space="preserve">jednotlivci mladších věkových skupin přibývali na významu </w:t>
      </w:r>
      <w:r>
        <w:rPr>
          <w:bCs/>
        </w:rPr>
        <w:t xml:space="preserve">a zastoupení seniorů pozvolna dlouhodobě </w:t>
      </w:r>
      <w:r w:rsidR="008C2F4C">
        <w:rPr>
          <w:bCs/>
        </w:rPr>
        <w:t>snižovalo svůj podíl na celkovém počtu domácnosti jednotlivců</w:t>
      </w:r>
      <w:r>
        <w:rPr>
          <w:bCs/>
        </w:rPr>
        <w:t xml:space="preserve">. Nicméně dlouhodobý vývoj seniorů tvořících domácnosti jednotlivce se ustálil a v roce 2011 téměř </w:t>
      </w:r>
      <w:r w:rsidR="001A4744">
        <w:rPr>
          <w:bCs/>
        </w:rPr>
        <w:t xml:space="preserve">každá třetí osoba ve věku nad 65 let žila v domácnosti jednotlivce. </w:t>
      </w:r>
    </w:p>
    <w:p w:rsidR="007D5C1F" w:rsidRDefault="007D5C1F" w:rsidP="007D5C1F">
      <w:pPr>
        <w:spacing w:after="120"/>
        <w:jc w:val="both"/>
        <w:rPr>
          <w:bCs/>
        </w:rPr>
      </w:pPr>
      <w:r>
        <w:rPr>
          <w:bCs/>
        </w:rPr>
        <w:t>V rodinných domácnostech jsou v této věkové skupině domácnosti seniorů</w:t>
      </w:r>
      <w:r>
        <w:rPr>
          <w:rStyle w:val="Znakapoznpodarou"/>
          <w:bCs/>
        </w:rPr>
        <w:footnoteReference w:id="8"/>
      </w:r>
      <w:r>
        <w:rPr>
          <w:bCs/>
        </w:rPr>
        <w:t xml:space="preserve"> zastoupeny cca ve 20 % případů, přičemž s rostoucím věkem ubývá podíl rodinných domácností a dochází ke zvyšování podílu domácností jednotlivců. Závislost mezi věkem a typem domácnosti, ve které senioři žijí, potvrzuje také struktura osob podle postavení osoby v</w:t>
      </w:r>
      <w:r w:rsidR="00041FD4">
        <w:rPr>
          <w:bCs/>
        </w:rPr>
        <w:t> </w:t>
      </w:r>
      <w:r>
        <w:rPr>
          <w:bCs/>
        </w:rPr>
        <w:t>domácnosti</w:t>
      </w:r>
      <w:r w:rsidR="00041FD4">
        <w:rPr>
          <w:bCs/>
        </w:rPr>
        <w:t xml:space="preserve"> (graf 14). Muži a </w:t>
      </w:r>
      <w:r>
        <w:rPr>
          <w:bCs/>
        </w:rPr>
        <w:t>ženy v nižší věkové kategorii seniorů (65–74 let) jsou mnohe</w:t>
      </w:r>
      <w:r w:rsidR="00DE0D01">
        <w:rPr>
          <w:bCs/>
        </w:rPr>
        <w:t xml:space="preserve">m častěji v postavení </w:t>
      </w:r>
      <w:r w:rsidR="00027D10" w:rsidRPr="00027D10">
        <w:rPr>
          <w:bCs/>
        </w:rPr>
        <w:t>manžel/</w:t>
      </w:r>
      <w:r w:rsidRPr="00027D10">
        <w:rPr>
          <w:bCs/>
        </w:rPr>
        <w:t>manželka</w:t>
      </w:r>
      <w:r>
        <w:rPr>
          <w:bCs/>
        </w:rPr>
        <w:t xml:space="preserve"> než jako jednotlivec žijící samostatně v domácnosti. Pouze 11 tisíc (1 %) seniorů v tomto věku žije mimo domácnosti jako jednotlivá osoba v zařízení, zpravidla v domovech důchodců, domovech s pečovatelskou službou apod. </w:t>
      </w:r>
    </w:p>
    <w:p w:rsidR="0031679C" w:rsidRPr="00D33B4D" w:rsidRDefault="00BB4401" w:rsidP="0045555E">
      <w:pPr>
        <w:spacing w:after="0"/>
        <w:rPr>
          <w:b/>
          <w:sz w:val="2"/>
        </w:rPr>
      </w:pPr>
      <w:r w:rsidRPr="0031679C">
        <w:rPr>
          <w:b/>
        </w:rPr>
        <w:t>Graf 1</w:t>
      </w:r>
      <w:r w:rsidR="00041FD4">
        <w:rPr>
          <w:b/>
        </w:rPr>
        <w:t>4</w:t>
      </w:r>
      <w:r w:rsidRPr="0031679C">
        <w:rPr>
          <w:b/>
        </w:rPr>
        <w:t>:</w:t>
      </w:r>
      <w:r>
        <w:rPr>
          <w:b/>
        </w:rPr>
        <w:t xml:space="preserve"> Struktura osob ve věku 65 a více let podle postavení v</w:t>
      </w:r>
      <w:r w:rsidR="00D33B4D">
        <w:rPr>
          <w:b/>
        </w:rPr>
        <w:t> </w:t>
      </w:r>
      <w:r>
        <w:rPr>
          <w:b/>
        </w:rPr>
        <w:t>domácnosti</w:t>
      </w:r>
      <w:r w:rsidR="00D33B4D">
        <w:rPr>
          <w:b/>
        </w:rPr>
        <w:t>, 2011</w:t>
      </w:r>
    </w:p>
    <w:p w:rsidR="007D5C1F" w:rsidRPr="007D5C1F" w:rsidRDefault="00A16097" w:rsidP="00320821">
      <w:pPr>
        <w:spacing w:before="120" w:after="120"/>
        <w:jc w:val="both"/>
        <w:rPr>
          <w:b/>
        </w:rPr>
      </w:pPr>
      <w:r w:rsidRPr="007D76AB">
        <w:rPr>
          <w:bCs/>
        </w:rPr>
        <w:pict>
          <v:shape id="_x0000_i1042" type="#_x0000_t75" style="width:430.35pt;height:273.75pt">
            <v:imagedata r:id="rId28" o:title=""/>
          </v:shape>
        </w:pict>
      </w:r>
      <w:r w:rsidR="007D5C1F">
        <w:rPr>
          <w:bCs/>
        </w:rPr>
        <w:t>Se stoupajícím věkem se struktura mění. Se zvyšující se intenzitou úmrtnosti ve vyšším věku se jako důsledek ztráty partnera zvyšuje počet domácností jednotlivců</w:t>
      </w:r>
      <w:r w:rsidR="00FA6FBE">
        <w:rPr>
          <w:bCs/>
        </w:rPr>
        <w:t xml:space="preserve"> seniorů</w:t>
      </w:r>
      <w:r w:rsidR="007D5C1F">
        <w:rPr>
          <w:bCs/>
        </w:rPr>
        <w:t>, osob využívající</w:t>
      </w:r>
      <w:r w:rsidR="00DE0D01">
        <w:rPr>
          <w:bCs/>
        </w:rPr>
        <w:t>ch</w:t>
      </w:r>
      <w:r w:rsidR="007D5C1F">
        <w:rPr>
          <w:bCs/>
        </w:rPr>
        <w:t xml:space="preserve"> možnost spolužití s jinou domácností či </w:t>
      </w:r>
      <w:r w:rsidR="00C00A6B">
        <w:rPr>
          <w:bCs/>
        </w:rPr>
        <w:t>bydlení</w:t>
      </w:r>
      <w:r w:rsidR="007D5C1F">
        <w:rPr>
          <w:bCs/>
        </w:rPr>
        <w:t xml:space="preserve"> v zařízení, a naopak klesá podíl osob žijících v páru. Osoby ve</w:t>
      </w:r>
      <w:r w:rsidR="001A4744">
        <w:rPr>
          <w:bCs/>
        </w:rPr>
        <w:t xml:space="preserve"> věku 85 a více let žijí </w:t>
      </w:r>
      <w:r w:rsidR="007D5C1F">
        <w:rPr>
          <w:bCs/>
        </w:rPr>
        <w:t>nejčastěji samostatně</w:t>
      </w:r>
      <w:r w:rsidR="001A4744">
        <w:rPr>
          <w:bCs/>
        </w:rPr>
        <w:t xml:space="preserve"> (43 %)</w:t>
      </w:r>
      <w:r w:rsidR="007D5C1F">
        <w:rPr>
          <w:bCs/>
        </w:rPr>
        <w:t xml:space="preserve">, 13 % žije jako další osoba v rodinné domácnosti (např. rodič, </w:t>
      </w:r>
      <w:r w:rsidR="00027D10" w:rsidRPr="00027D10">
        <w:rPr>
          <w:bCs/>
        </w:rPr>
        <w:t>tchán/</w:t>
      </w:r>
      <w:r w:rsidR="007D5C1F" w:rsidRPr="00027D10">
        <w:rPr>
          <w:bCs/>
        </w:rPr>
        <w:t>tchýně</w:t>
      </w:r>
      <w:r w:rsidR="007D5C1F">
        <w:rPr>
          <w:bCs/>
        </w:rPr>
        <w:t xml:space="preserve"> nebo prarodi</w:t>
      </w:r>
      <w:r w:rsidR="001D645E">
        <w:rPr>
          <w:bCs/>
        </w:rPr>
        <w:t>č osoby v čele domácnosti) a 12 </w:t>
      </w:r>
      <w:r w:rsidR="007D5C1F">
        <w:rPr>
          <w:bCs/>
        </w:rPr>
        <w:t>% osob starších 85 let žije v zařízení.</w:t>
      </w:r>
    </w:p>
    <w:p w:rsidR="007D5C1F" w:rsidRPr="00CE369A" w:rsidRDefault="007166BC" w:rsidP="007D5C1F">
      <w:pPr>
        <w:spacing w:after="120"/>
        <w:jc w:val="both"/>
        <w:rPr>
          <w:bCs/>
        </w:rPr>
      </w:pPr>
      <w:r>
        <w:rPr>
          <w:bCs/>
        </w:rPr>
        <w:lastRenderedPageBreak/>
        <w:t>J</w:t>
      </w:r>
      <w:r w:rsidR="007D5C1F" w:rsidRPr="00CE369A">
        <w:rPr>
          <w:bCs/>
        </w:rPr>
        <w:t>ednotlivc</w:t>
      </w:r>
      <w:r>
        <w:rPr>
          <w:bCs/>
        </w:rPr>
        <w:t>i</w:t>
      </w:r>
      <w:r w:rsidR="007D5C1F" w:rsidRPr="00CE369A">
        <w:rPr>
          <w:bCs/>
        </w:rPr>
        <w:t xml:space="preserve"> </w:t>
      </w:r>
      <w:r w:rsidR="00FA6FBE" w:rsidRPr="00CE369A">
        <w:rPr>
          <w:bCs/>
        </w:rPr>
        <w:t>senio</w:t>
      </w:r>
      <w:r>
        <w:rPr>
          <w:bCs/>
        </w:rPr>
        <w:t>ři</w:t>
      </w:r>
      <w:r w:rsidR="00FA6FBE" w:rsidRPr="00CE369A">
        <w:rPr>
          <w:bCs/>
        </w:rPr>
        <w:t xml:space="preserve"> </w:t>
      </w:r>
      <w:r w:rsidR="009E659D">
        <w:rPr>
          <w:bCs/>
        </w:rPr>
        <w:t xml:space="preserve">bydlí ve většině případů </w:t>
      </w:r>
      <w:r w:rsidR="007D5C1F">
        <w:rPr>
          <w:bCs/>
        </w:rPr>
        <w:t xml:space="preserve">sami v bytě, pouze </w:t>
      </w:r>
      <w:r w:rsidR="009E659D">
        <w:rPr>
          <w:bCs/>
        </w:rPr>
        <w:t xml:space="preserve">necelých 8 % z nich </w:t>
      </w:r>
      <w:r w:rsidR="007D5C1F">
        <w:rPr>
          <w:bCs/>
        </w:rPr>
        <w:t>využívá spolubydlení s jinou hospodařící domácností.</w:t>
      </w:r>
      <w:r w:rsidR="009F0650">
        <w:rPr>
          <w:bCs/>
        </w:rPr>
        <w:t xml:space="preserve"> Zastoupení spolubydlení je s věkem celkem vyrovnané a pohybuje se mezi 6–9 %, s minimem ve věku 80 let</w:t>
      </w:r>
      <w:r w:rsidR="00EC245E">
        <w:rPr>
          <w:bCs/>
        </w:rPr>
        <w:t xml:space="preserve">, přičemž muži využívají spolubydlení s jinou </w:t>
      </w:r>
      <w:r w:rsidR="009341F2">
        <w:rPr>
          <w:bCs/>
        </w:rPr>
        <w:t>domácností</w:t>
      </w:r>
      <w:r w:rsidR="00EC245E">
        <w:rPr>
          <w:bCs/>
        </w:rPr>
        <w:t xml:space="preserve"> </w:t>
      </w:r>
      <w:r w:rsidR="001D6F7E">
        <w:rPr>
          <w:bCs/>
        </w:rPr>
        <w:t xml:space="preserve">o něco </w:t>
      </w:r>
      <w:r w:rsidR="00EC245E" w:rsidRPr="001D6F7E">
        <w:rPr>
          <w:bCs/>
        </w:rPr>
        <w:t>častěji než ženy</w:t>
      </w:r>
      <w:r w:rsidR="001D6F7E" w:rsidRPr="001D6F7E">
        <w:rPr>
          <w:bCs/>
        </w:rPr>
        <w:t xml:space="preserve"> (</w:t>
      </w:r>
      <w:r w:rsidR="001D6F7E">
        <w:rPr>
          <w:bCs/>
        </w:rPr>
        <w:t>cca v průměru o 2 procentní body</w:t>
      </w:r>
      <w:r w:rsidR="00D33B4D">
        <w:rPr>
          <w:bCs/>
        </w:rPr>
        <w:t>; graf 15,16</w:t>
      </w:r>
      <w:r w:rsidR="001D6F7E">
        <w:rPr>
          <w:bCs/>
        </w:rPr>
        <w:t>).</w:t>
      </w:r>
    </w:p>
    <w:p w:rsidR="001D645E" w:rsidRDefault="004A534B" w:rsidP="004A534B">
      <w:pPr>
        <w:spacing w:after="0"/>
        <w:rPr>
          <w:b/>
        </w:rPr>
      </w:pPr>
      <w:r>
        <w:rPr>
          <w:b/>
        </w:rPr>
        <w:t>Graf 1</w:t>
      </w:r>
      <w:r w:rsidR="00D33B4D">
        <w:rPr>
          <w:b/>
        </w:rPr>
        <w:t>5, 16</w:t>
      </w:r>
      <w:r>
        <w:rPr>
          <w:b/>
        </w:rPr>
        <w:t>: Domácnosti jednotlivců seniorů podle spolubydlení domácností, 2011</w:t>
      </w:r>
    </w:p>
    <w:p w:rsidR="000C7E16" w:rsidRPr="00313121" w:rsidRDefault="00A16097" w:rsidP="004A534B">
      <w:pPr>
        <w:rPr>
          <w:sz w:val="6"/>
        </w:rPr>
      </w:pPr>
      <w:r>
        <w:pict>
          <v:shape id="_x0000_i1043" type="#_x0000_t75" style="width:205.95pt;height:201.75pt">
            <v:imagedata r:id="rId29" o:title=""/>
          </v:shape>
        </w:pict>
      </w:r>
      <w:r w:rsidR="007D76AB" w:rsidRPr="007D76AB">
        <w:rPr>
          <w:noProof/>
        </w:rPr>
        <w:pict>
          <v:shape id="_x0000_s2160" type="#_x0000_t75" style="position:absolute;margin-left:0;margin-top:.25pt;width:208.35pt;height:201.8pt;z-index:251671552;mso-position-horizontal:left;mso-position-horizontal-relative:text;mso-position-vertical-relative:text">
            <v:imagedata r:id="rId30" o:title=""/>
            <w10:wrap type="square" side="right"/>
          </v:shape>
        </w:pict>
      </w:r>
      <w:r w:rsidR="001D645E">
        <w:br w:type="textWrapping" w:clear="all"/>
      </w:r>
    </w:p>
    <w:p w:rsidR="000D4120" w:rsidRDefault="000D4120" w:rsidP="000D4120">
      <w:pPr>
        <w:spacing w:after="120"/>
        <w:jc w:val="both"/>
        <w:rPr>
          <w:bCs/>
        </w:rPr>
      </w:pPr>
      <w:r>
        <w:rPr>
          <w:bCs/>
        </w:rPr>
        <w:t xml:space="preserve">Téměř tři pětiny všech </w:t>
      </w:r>
      <w:r w:rsidRPr="001D6F7E">
        <w:rPr>
          <w:bCs/>
        </w:rPr>
        <w:t>domácností</w:t>
      </w:r>
      <w:r>
        <w:rPr>
          <w:bCs/>
        </w:rPr>
        <w:t xml:space="preserve"> </w:t>
      </w:r>
      <w:r w:rsidR="001D6F7E">
        <w:rPr>
          <w:bCs/>
        </w:rPr>
        <w:t xml:space="preserve">jednotlivců seniorů </w:t>
      </w:r>
      <w:r>
        <w:rPr>
          <w:bCs/>
        </w:rPr>
        <w:t xml:space="preserve">byly v roce 2011 představovány ovdovělými ženami (graf 5). Vztaženo pouze k ženské populaci </w:t>
      </w:r>
      <w:r w:rsidR="00F8015B">
        <w:rPr>
          <w:bCs/>
        </w:rPr>
        <w:t>seniorů jednotlivců</w:t>
      </w:r>
      <w:r>
        <w:rPr>
          <w:bCs/>
        </w:rPr>
        <w:t xml:space="preserve">, jednalo se dokonce o 77 % z nich. U mužů je sice rozdělení podle rodinného stavu rovnoměrnější, nicméně ovdovělých mužů jednotlivců byla v roce 2011 stále téměř polovina. Rozvedených seniorů jednotlivců bylo zaznamenáno pouze 18 % a v necelých </w:t>
      </w:r>
      <w:r w:rsidR="00C3510F">
        <w:rPr>
          <w:bCs/>
        </w:rPr>
        <w:t>6 % případů se jednalo o </w:t>
      </w:r>
      <w:r>
        <w:rPr>
          <w:bCs/>
        </w:rPr>
        <w:t>svobodné osoby.</w:t>
      </w:r>
    </w:p>
    <w:p w:rsidR="000D4120" w:rsidRDefault="000D4120" w:rsidP="000D4120">
      <w:pPr>
        <w:spacing w:after="120"/>
        <w:jc w:val="both"/>
        <w:rPr>
          <w:bCs/>
        </w:rPr>
      </w:pPr>
      <w:r>
        <w:rPr>
          <w:bCs/>
        </w:rPr>
        <w:t xml:space="preserve">Rozložení jednotlivců seniorů </w:t>
      </w:r>
      <w:r w:rsidR="006D31C4">
        <w:rPr>
          <w:bCs/>
        </w:rPr>
        <w:t xml:space="preserve">podle </w:t>
      </w:r>
      <w:r w:rsidR="00C3510F">
        <w:rPr>
          <w:bCs/>
        </w:rPr>
        <w:t xml:space="preserve">nejvyššího </w:t>
      </w:r>
      <w:r w:rsidR="006D31C4">
        <w:rPr>
          <w:bCs/>
        </w:rPr>
        <w:t xml:space="preserve">dosaženého vzdělání </w:t>
      </w:r>
      <w:r>
        <w:rPr>
          <w:bCs/>
        </w:rPr>
        <w:t>vykazovalo téměř stejnou tendenci jako rozložení osob ve věku nad 65 let bez přihlédnutí k typu domácnosti, ve které žije. Největší zastoupení měly v roce 2011 osoby se základním vzděláním a střední</w:t>
      </w:r>
      <w:r w:rsidR="00C3510F">
        <w:rPr>
          <w:bCs/>
        </w:rPr>
        <w:t>m</w:t>
      </w:r>
      <w:r>
        <w:rPr>
          <w:bCs/>
        </w:rPr>
        <w:t xml:space="preserve"> vzděláním bez maturity, kterých bylo vzhledem k obecně nižší dosahované vzdělanostní úrovni </w:t>
      </w:r>
      <w:r w:rsidR="00534D29">
        <w:rPr>
          <w:bCs/>
        </w:rPr>
        <w:t>generace</w:t>
      </w:r>
      <w:r w:rsidR="006D31C4">
        <w:rPr>
          <w:bCs/>
        </w:rPr>
        <w:t xml:space="preserve"> starších osob </w:t>
      </w:r>
      <w:r>
        <w:rPr>
          <w:bCs/>
        </w:rPr>
        <w:t xml:space="preserve">více než dvě třetiny. Ženy vykazovaly obecně nižší </w:t>
      </w:r>
      <w:r w:rsidR="006D31C4">
        <w:rPr>
          <w:bCs/>
        </w:rPr>
        <w:t>vzdělanostní úroveň</w:t>
      </w:r>
      <w:r>
        <w:rPr>
          <w:bCs/>
        </w:rPr>
        <w:t xml:space="preserve"> ve srovnání s muži, např. 5 % </w:t>
      </w:r>
      <w:r w:rsidR="00C3510F">
        <w:rPr>
          <w:bCs/>
        </w:rPr>
        <w:t xml:space="preserve">vysokoškolsky vzdělaných žen </w:t>
      </w:r>
      <w:r>
        <w:rPr>
          <w:bCs/>
        </w:rPr>
        <w:t>ze všech žen v domácnostech jednotlivce seniora vs. 13 % mužů</w:t>
      </w:r>
      <w:r w:rsidR="001A4744">
        <w:rPr>
          <w:bCs/>
        </w:rPr>
        <w:t xml:space="preserve"> vysokoškoláků</w:t>
      </w:r>
      <w:r>
        <w:rPr>
          <w:bCs/>
        </w:rPr>
        <w:t>.</w:t>
      </w:r>
    </w:p>
    <w:p w:rsidR="000D4120" w:rsidRDefault="000D4120" w:rsidP="000D4120">
      <w:pPr>
        <w:spacing w:after="120"/>
        <w:jc w:val="both"/>
        <w:rPr>
          <w:bCs/>
        </w:rPr>
      </w:pPr>
      <w:r>
        <w:rPr>
          <w:bCs/>
        </w:rPr>
        <w:t>Drtivá většina domácností jednotlivců seniorů byla tvořena v roce 2011 logicky nepracujícími důchodci, zjištěno bylo pouze 5 % ekonomicky aktivních jednotlivců ve věku nad 65 let, většinou zpravidla v nižších věkových skupinách.</w:t>
      </w:r>
    </w:p>
    <w:p w:rsidR="007A2AF8" w:rsidRPr="000D4120" w:rsidRDefault="000D4120" w:rsidP="000D4120">
      <w:pPr>
        <w:spacing w:after="120"/>
        <w:jc w:val="both"/>
        <w:rPr>
          <w:bCs/>
        </w:rPr>
      </w:pPr>
      <w:r>
        <w:rPr>
          <w:bCs/>
        </w:rPr>
        <w:t xml:space="preserve">Jednotlivci senioři bydleli </w:t>
      </w:r>
      <w:r w:rsidR="009341F2">
        <w:rPr>
          <w:bCs/>
        </w:rPr>
        <w:t>většinou</w:t>
      </w:r>
      <w:r>
        <w:rPr>
          <w:bCs/>
        </w:rPr>
        <w:t xml:space="preserve"> v bytových nebo rodinných domech postavených v letech 1920–1980. Pouze necelých 5 % jednotlivců </w:t>
      </w:r>
      <w:r w:rsidR="00F8015B">
        <w:rPr>
          <w:bCs/>
        </w:rPr>
        <w:t xml:space="preserve">seniorů </w:t>
      </w:r>
      <w:r>
        <w:rPr>
          <w:bCs/>
        </w:rPr>
        <w:t xml:space="preserve">mělo obvyklý pobyt v novostavbách postavených po roce 2000. Většina domácností jednotlivce staršího 65 let vznikla rozpadem úplné resp. neúplné rodiny (úmrtím partnera, odchodem dětí </w:t>
      </w:r>
      <w:r w:rsidR="001151B2">
        <w:rPr>
          <w:bCs/>
        </w:rPr>
        <w:t>z</w:t>
      </w:r>
      <w:r>
        <w:rPr>
          <w:bCs/>
        </w:rPr>
        <w:t xml:space="preserve"> d</w:t>
      </w:r>
      <w:r w:rsidR="001151B2">
        <w:rPr>
          <w:bCs/>
        </w:rPr>
        <w:t>omácnosti), proto také úroveň a </w:t>
      </w:r>
      <w:r>
        <w:rPr>
          <w:bCs/>
        </w:rPr>
        <w:t>způsob bydlení je velmi často pouze zachováním dosavadního způsobu bydlení před</w:t>
      </w:r>
      <w:r w:rsidR="003E38DA">
        <w:rPr>
          <w:bCs/>
        </w:rPr>
        <w:t>chozího typu domácnosti. D</w:t>
      </w:r>
      <w:r>
        <w:rPr>
          <w:bCs/>
        </w:rPr>
        <w:t xml:space="preserve">vě třetiny jednotlivců seniorů obývalo </w:t>
      </w:r>
      <w:r w:rsidRPr="003E38DA">
        <w:rPr>
          <w:bCs/>
        </w:rPr>
        <w:t xml:space="preserve">minimálně 3 pokojový byt (včetně </w:t>
      </w:r>
      <w:r w:rsidRPr="003E38DA">
        <w:rPr>
          <w:bCs/>
        </w:rPr>
        <w:lastRenderedPageBreak/>
        <w:t xml:space="preserve">kuchyně) a průměrná plocha bytu na jednotlivce ve věku 65 a více let činila </w:t>
      </w:r>
      <w:r w:rsidR="003E38DA" w:rsidRPr="003E38DA">
        <w:rPr>
          <w:bCs/>
        </w:rPr>
        <w:t>6</w:t>
      </w:r>
      <w:r w:rsidR="00694C13">
        <w:rPr>
          <w:bCs/>
        </w:rPr>
        <w:t xml:space="preserve">8 </w:t>
      </w:r>
      <w:r w:rsidR="003E38DA" w:rsidRPr="003E38DA">
        <w:rPr>
          <w:bCs/>
        </w:rPr>
        <w:t>m</w:t>
      </w:r>
      <w:r w:rsidR="003E38DA" w:rsidRPr="003E38DA">
        <w:rPr>
          <w:bCs/>
          <w:vertAlign w:val="superscript"/>
        </w:rPr>
        <w:t>2</w:t>
      </w:r>
      <w:r w:rsidR="003E38DA">
        <w:rPr>
          <w:bCs/>
        </w:rPr>
        <w:t>.</w:t>
      </w:r>
      <w:r w:rsidRPr="003E38DA">
        <w:rPr>
          <w:bCs/>
        </w:rPr>
        <w:t xml:space="preserve"> </w:t>
      </w:r>
      <w:r w:rsidR="003E38DA">
        <w:rPr>
          <w:bCs/>
        </w:rPr>
        <w:t>V</w:t>
      </w:r>
      <w:r w:rsidR="00C3510F">
        <w:rPr>
          <w:bCs/>
        </w:rPr>
        <w:t> </w:t>
      </w:r>
      <w:r w:rsidR="003E38DA" w:rsidRPr="003E38DA">
        <w:rPr>
          <w:bCs/>
        </w:rPr>
        <w:t>nájemním bytě bydlela v roce 2011</w:t>
      </w:r>
      <w:r w:rsidR="00363E43">
        <w:rPr>
          <w:bCs/>
        </w:rPr>
        <w:t xml:space="preserve"> </w:t>
      </w:r>
      <w:r w:rsidRPr="003E38DA">
        <w:rPr>
          <w:bCs/>
        </w:rPr>
        <w:t>více než čtvrtina jednotlivců</w:t>
      </w:r>
      <w:r w:rsidR="00F8015B">
        <w:rPr>
          <w:bCs/>
        </w:rPr>
        <w:t xml:space="preserve"> seniorů</w:t>
      </w:r>
      <w:r w:rsidRPr="003E38DA">
        <w:rPr>
          <w:bCs/>
        </w:rPr>
        <w:t>.</w:t>
      </w:r>
    </w:p>
    <w:p w:rsidR="00DF07D5" w:rsidRDefault="004E0EBD" w:rsidP="001F08E0">
      <w:pPr>
        <w:spacing w:after="0"/>
        <w:rPr>
          <w:b/>
        </w:rPr>
      </w:pPr>
      <w:r>
        <w:rPr>
          <w:b/>
        </w:rPr>
        <w:t xml:space="preserve">Graf </w:t>
      </w:r>
      <w:r w:rsidR="00C3510F">
        <w:rPr>
          <w:b/>
        </w:rPr>
        <w:t>17, 18</w:t>
      </w:r>
      <w:r w:rsidR="001F08E0">
        <w:rPr>
          <w:b/>
        </w:rPr>
        <w:t xml:space="preserve">: Domácnosti jednotlivců seniorů </w:t>
      </w:r>
      <w:r w:rsidR="00751F01">
        <w:rPr>
          <w:b/>
        </w:rPr>
        <w:t xml:space="preserve">podle velikostních skupin obce, </w:t>
      </w:r>
      <w:r w:rsidR="001F08E0">
        <w:rPr>
          <w:b/>
        </w:rPr>
        <w:t>2011</w:t>
      </w:r>
    </w:p>
    <w:p w:rsidR="001F08E0" w:rsidRDefault="007D76AB" w:rsidP="00637B02">
      <w:pPr>
        <w:spacing w:after="0"/>
        <w:rPr>
          <w:b/>
        </w:rPr>
      </w:pPr>
      <w:r>
        <w:rPr>
          <w:b/>
          <w:noProof/>
        </w:rPr>
        <w:pict>
          <v:shape id="_x0000_s2159" type="#_x0000_t75" style="position:absolute;margin-left:216.3pt;margin-top:1.8pt;width:208.5pt;height:297.65pt;z-index:251669504">
            <v:imagedata r:id="rId31" o:title=""/>
            <w10:wrap type="square"/>
          </v:shape>
        </w:pict>
      </w:r>
      <w:r w:rsidR="00A16097" w:rsidRPr="007D76AB">
        <w:rPr>
          <w:b/>
        </w:rPr>
        <w:pict>
          <v:shape id="_x0000_i1044" type="#_x0000_t75" style="width:3in;height:295.55pt">
            <v:imagedata r:id="rId32" o:title=""/>
          </v:shape>
        </w:pict>
      </w:r>
    </w:p>
    <w:p w:rsidR="00D6248C" w:rsidRPr="00D6248C" w:rsidRDefault="00D6248C" w:rsidP="00D6248C">
      <w:pPr>
        <w:spacing w:after="0"/>
        <w:rPr>
          <w:b/>
          <w:sz w:val="10"/>
        </w:rPr>
      </w:pPr>
    </w:p>
    <w:p w:rsidR="00D6248C" w:rsidRDefault="00D6248C" w:rsidP="00D6248C">
      <w:pPr>
        <w:spacing w:after="120"/>
        <w:jc w:val="both"/>
        <w:rPr>
          <w:bCs/>
        </w:rPr>
      </w:pPr>
      <w:r>
        <w:rPr>
          <w:bCs/>
        </w:rPr>
        <w:t xml:space="preserve">Podprůměrný </w:t>
      </w:r>
      <w:r w:rsidRPr="00BC4925">
        <w:rPr>
          <w:bCs/>
        </w:rPr>
        <w:t>podíl</w:t>
      </w:r>
      <w:r>
        <w:rPr>
          <w:bCs/>
        </w:rPr>
        <w:t xml:space="preserve"> jednotlivců seniorů v rámci všech hospodařících domácností byl k </w:t>
      </w:r>
      <w:proofErr w:type="gramStart"/>
      <w:r>
        <w:rPr>
          <w:bCs/>
        </w:rPr>
        <w:t>26.3.2011</w:t>
      </w:r>
      <w:proofErr w:type="gramEnd"/>
      <w:r>
        <w:rPr>
          <w:bCs/>
        </w:rPr>
        <w:t xml:space="preserve"> zjištěn v malých obcích do 2 000 obyvatel,  kde byl stejně tak i podíl osob ve věku 65 a více let nejnižší, kopíroval však křivku střídavě rostoucího podílu osob v této věkové skupině a maximální úroveň dosahoval v obcích s 50–99 000 obyvateli (graf 17, 18). Přesto rozdíly mezi jednotlivými velikostními skupinami obcí nebyly výrazné a hodnoty oscilovaly mezi 11–12 % ze všech hospodařících domácností. </w:t>
      </w:r>
      <w:r w:rsidRPr="00672A93">
        <w:rPr>
          <w:bCs/>
        </w:rPr>
        <w:t>Opačná</w:t>
      </w:r>
      <w:r>
        <w:rPr>
          <w:bCs/>
        </w:rPr>
        <w:t xml:space="preserve"> je však situace v zastoupení jednotlivců seniorů pouze v rámci domácností jednotlivců. Mezi populační velikostí obce a zastoupení</w:t>
      </w:r>
      <w:r w:rsidR="00AC288C">
        <w:rPr>
          <w:bCs/>
        </w:rPr>
        <w:t>m</w:t>
      </w:r>
      <w:r>
        <w:rPr>
          <w:bCs/>
        </w:rPr>
        <w:t xml:space="preserve"> jednotlivců se projevila zřetelná negativní závislost, která poukazuje na snižující se podíl jednotlivců seniorů v rámci domácností jednotlivců se zvyšující se velikostí obce. Zcela n</w:t>
      </w:r>
      <w:r w:rsidRPr="00EF64BE">
        <w:rPr>
          <w:bCs/>
        </w:rPr>
        <w:t xml:space="preserve">ejnižší podíl jednotlivců seniorů </w:t>
      </w:r>
      <w:r>
        <w:rPr>
          <w:bCs/>
        </w:rPr>
        <w:t>v rámci jednotlivců byl zaznamenán</w:t>
      </w:r>
      <w:r w:rsidRPr="00EF64BE">
        <w:rPr>
          <w:bCs/>
        </w:rPr>
        <w:t xml:space="preserve"> ve velkoměstech </w:t>
      </w:r>
      <w:r>
        <w:rPr>
          <w:bCs/>
        </w:rPr>
        <w:t xml:space="preserve">nad 100 000 obyvatel </w:t>
      </w:r>
      <w:r w:rsidRPr="00EF64BE">
        <w:rPr>
          <w:bCs/>
        </w:rPr>
        <w:t>z důvodu výrazného zastoupen</w:t>
      </w:r>
      <w:r>
        <w:rPr>
          <w:bCs/>
        </w:rPr>
        <w:t xml:space="preserve">í singles. </w:t>
      </w:r>
    </w:p>
    <w:p w:rsidR="00A24B82" w:rsidRDefault="00A24B82" w:rsidP="000D4120">
      <w:pPr>
        <w:spacing w:after="120"/>
        <w:jc w:val="both"/>
        <w:rPr>
          <w:bCs/>
        </w:rPr>
      </w:pPr>
      <w:r>
        <w:rPr>
          <w:bCs/>
        </w:rPr>
        <w:t>Nej</w:t>
      </w:r>
      <w:r w:rsidR="00694C13">
        <w:rPr>
          <w:bCs/>
        </w:rPr>
        <w:t>nižší podíl obyvatel ve věku 65 a více</w:t>
      </w:r>
      <w:r>
        <w:rPr>
          <w:bCs/>
        </w:rPr>
        <w:t xml:space="preserve"> let a tedy i logicky domácností jednotlivců seniorů v rámci hospodařících domácností byl zjištěn </w:t>
      </w:r>
      <w:r w:rsidR="008C05A7">
        <w:rPr>
          <w:bCs/>
        </w:rPr>
        <w:t xml:space="preserve">v </w:t>
      </w:r>
      <w:r>
        <w:rPr>
          <w:bCs/>
        </w:rPr>
        <w:t>obcích s 500-2000 obyvateli. Pokud se však v takto populačně velkých obcích domácnosti jednotlivců vyskytují, jedná se ze 40 % o seniora.</w:t>
      </w:r>
    </w:p>
    <w:p w:rsidR="000D4120" w:rsidRDefault="00145AC2" w:rsidP="00674D34">
      <w:pPr>
        <w:spacing w:after="120"/>
        <w:jc w:val="both"/>
        <w:rPr>
          <w:bCs/>
        </w:rPr>
      </w:pPr>
      <w:r>
        <w:rPr>
          <w:bCs/>
        </w:rPr>
        <w:t>Zcela m</w:t>
      </w:r>
      <w:r w:rsidR="00D744A2">
        <w:rPr>
          <w:bCs/>
        </w:rPr>
        <w:t>inimální</w:t>
      </w:r>
      <w:r w:rsidR="00674D34">
        <w:rPr>
          <w:bCs/>
        </w:rPr>
        <w:t xml:space="preserve"> podíl domácností jednotlivců seniorů jak v rámci hospodařících domácností</w:t>
      </w:r>
      <w:r w:rsidR="00506189">
        <w:rPr>
          <w:bCs/>
        </w:rPr>
        <w:t>,</w:t>
      </w:r>
      <w:r w:rsidR="00674D34">
        <w:rPr>
          <w:bCs/>
        </w:rPr>
        <w:t xml:space="preserve"> tak v rámci domácností jednotlivců byl zjištěn v zázemí velkých měst (Praha, Brno), kde převažují rodinné domácnosti a domácnosti singles (graf 1</w:t>
      </w:r>
      <w:r w:rsidR="00C3510F">
        <w:rPr>
          <w:bCs/>
        </w:rPr>
        <w:t>9</w:t>
      </w:r>
      <w:r w:rsidR="00674D34">
        <w:rPr>
          <w:bCs/>
        </w:rPr>
        <w:t>, graf 1</w:t>
      </w:r>
      <w:r w:rsidR="00C3510F">
        <w:rPr>
          <w:bCs/>
        </w:rPr>
        <w:t>3</w:t>
      </w:r>
      <w:r w:rsidR="00674D34">
        <w:rPr>
          <w:bCs/>
        </w:rPr>
        <w:t>).</w:t>
      </w:r>
      <w:r w:rsidR="00D744A2">
        <w:rPr>
          <w:bCs/>
        </w:rPr>
        <w:t xml:space="preserve"> Zcela nejnižší zastoupení domácností jednotlivců seniorů vykazovaly SO ORP</w:t>
      </w:r>
      <w:r w:rsidR="00694C13" w:rsidRPr="00694C13">
        <w:rPr>
          <w:bCs/>
          <w:vertAlign w:val="superscript"/>
        </w:rPr>
        <w:t>6</w:t>
      </w:r>
      <w:r w:rsidR="00D744A2">
        <w:rPr>
          <w:bCs/>
        </w:rPr>
        <w:t xml:space="preserve"> </w:t>
      </w:r>
      <w:proofErr w:type="spellStart"/>
      <w:r w:rsidR="00D744A2">
        <w:rPr>
          <w:bCs/>
        </w:rPr>
        <w:t>Černošice</w:t>
      </w:r>
      <w:proofErr w:type="spellEnd"/>
      <w:r w:rsidR="00D744A2">
        <w:rPr>
          <w:bCs/>
        </w:rPr>
        <w:t xml:space="preserve"> a Říčany (8 % ze všech hospodařících domácností). Naopak nejvyšší zastoupení měli jednotlivci senioři ve výše zmíněných vnitřních periferiích, především v </w:t>
      </w:r>
      <w:proofErr w:type="spellStart"/>
      <w:r w:rsidR="00446DA1">
        <w:rPr>
          <w:bCs/>
        </w:rPr>
        <w:t>půl</w:t>
      </w:r>
      <w:r w:rsidR="00D744A2">
        <w:rPr>
          <w:bCs/>
        </w:rPr>
        <w:t>prstenci</w:t>
      </w:r>
      <w:proofErr w:type="spellEnd"/>
      <w:r w:rsidR="00D744A2">
        <w:rPr>
          <w:bCs/>
        </w:rPr>
        <w:t xml:space="preserve"> </w:t>
      </w:r>
      <w:r w:rsidR="00446DA1">
        <w:rPr>
          <w:bCs/>
        </w:rPr>
        <w:t>kol</w:t>
      </w:r>
      <w:r w:rsidR="0047334B">
        <w:rPr>
          <w:bCs/>
        </w:rPr>
        <w:t xml:space="preserve">em hranic Středočeského kraje </w:t>
      </w:r>
      <w:r w:rsidR="0047334B">
        <w:rPr>
          <w:bCs/>
        </w:rPr>
        <w:lastRenderedPageBreak/>
        <w:t>a </w:t>
      </w:r>
      <w:r w:rsidR="00B5483D">
        <w:rPr>
          <w:bCs/>
        </w:rPr>
        <w:t>podé</w:t>
      </w:r>
      <w:r w:rsidR="00446DA1">
        <w:rPr>
          <w:bCs/>
        </w:rPr>
        <w:t>l hranic některých krajů,</w:t>
      </w:r>
      <w:r w:rsidR="00D744A2">
        <w:rPr>
          <w:bCs/>
        </w:rPr>
        <w:t xml:space="preserve"> tj. ve větší dojížďkové vzdálenosti od krajských center</w:t>
      </w:r>
      <w:r w:rsidR="00446DA1">
        <w:rPr>
          <w:bCs/>
        </w:rPr>
        <w:t xml:space="preserve">, s nedostatkem dobrých pracovních příležitostí a tedy s vyšším </w:t>
      </w:r>
      <w:r w:rsidR="00610574">
        <w:rPr>
          <w:bCs/>
        </w:rPr>
        <w:t>zastoupením st</w:t>
      </w:r>
      <w:r w:rsidR="00446DA1">
        <w:rPr>
          <w:bCs/>
        </w:rPr>
        <w:t>a</w:t>
      </w:r>
      <w:r w:rsidR="00610574">
        <w:rPr>
          <w:bCs/>
        </w:rPr>
        <w:t>r</w:t>
      </w:r>
      <w:r w:rsidR="00446DA1">
        <w:rPr>
          <w:bCs/>
        </w:rPr>
        <w:t>ších věkových skupin.</w:t>
      </w:r>
      <w:r w:rsidR="00B5483D">
        <w:rPr>
          <w:bCs/>
        </w:rPr>
        <w:t xml:space="preserve"> Maximální hodnot</w:t>
      </w:r>
      <w:r w:rsidR="00C3510F">
        <w:rPr>
          <w:bCs/>
        </w:rPr>
        <w:t>a byla zjištěna</w:t>
      </w:r>
      <w:r w:rsidR="00B5483D">
        <w:rPr>
          <w:bCs/>
        </w:rPr>
        <w:t xml:space="preserve"> </w:t>
      </w:r>
      <w:r w:rsidR="00C3510F">
        <w:rPr>
          <w:bCs/>
        </w:rPr>
        <w:t xml:space="preserve">v </w:t>
      </w:r>
      <w:r w:rsidR="00B5483D">
        <w:rPr>
          <w:bCs/>
        </w:rPr>
        <w:t xml:space="preserve">SO ORP Milevsko, kde podíl jednotlivců seniorů </w:t>
      </w:r>
      <w:r w:rsidR="00C3510F">
        <w:rPr>
          <w:bCs/>
        </w:rPr>
        <w:t>přesáhl</w:t>
      </w:r>
      <w:r w:rsidR="00D53493">
        <w:rPr>
          <w:bCs/>
        </w:rPr>
        <w:t xml:space="preserve"> více než 15 % všech hospodařících domácností.</w:t>
      </w:r>
    </w:p>
    <w:p w:rsidR="00762FC3" w:rsidRDefault="00762FC3" w:rsidP="00762FC3">
      <w:pPr>
        <w:spacing w:after="0"/>
        <w:jc w:val="both"/>
      </w:pPr>
      <w:r>
        <w:rPr>
          <w:b/>
        </w:rPr>
        <w:t>Graf 1</w:t>
      </w:r>
      <w:r w:rsidR="00C3510F">
        <w:rPr>
          <w:b/>
        </w:rPr>
        <w:t>9</w:t>
      </w:r>
      <w:r>
        <w:rPr>
          <w:b/>
        </w:rPr>
        <w:t xml:space="preserve">: Domácnosti </w:t>
      </w:r>
      <w:r w:rsidR="00EE612A">
        <w:rPr>
          <w:b/>
        </w:rPr>
        <w:t xml:space="preserve">jednotlivců seniorů v SO ORP, </w:t>
      </w:r>
      <w:r>
        <w:rPr>
          <w:b/>
        </w:rPr>
        <w:t>2011</w:t>
      </w:r>
    </w:p>
    <w:p w:rsidR="001F08E0" w:rsidRDefault="00762FC3" w:rsidP="002E5331">
      <w:pPr>
        <w:spacing w:after="0"/>
        <w:jc w:val="both"/>
        <w:rPr>
          <w:b/>
        </w:rPr>
      </w:pPr>
      <w:r>
        <w:rPr>
          <w:b/>
          <w:noProof/>
          <w:lang w:eastAsia="cs-CZ"/>
        </w:rPr>
        <w:drawing>
          <wp:inline distT="0" distB="0" distL="0" distR="0">
            <wp:extent cx="5409108" cy="3498112"/>
            <wp:effectExtent l="19050" t="0" r="1092" b="0"/>
            <wp:docPr id="1" name="Obrázek 0" descr="Singles_Sen_na_H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s_Sen_na_HD_01.jpg"/>
                    <pic:cNvPicPr/>
                  </pic:nvPicPr>
                  <pic:blipFill>
                    <a:blip r:embed="rId33" cstate="print"/>
                    <a:srcRect t="5014" b="3343"/>
                    <a:stretch>
                      <a:fillRect/>
                    </a:stretch>
                  </pic:blipFill>
                  <pic:spPr>
                    <a:xfrm>
                      <a:off x="0" y="0"/>
                      <a:ext cx="5409108" cy="3498112"/>
                    </a:xfrm>
                    <a:prstGeom prst="rect">
                      <a:avLst/>
                    </a:prstGeom>
                  </pic:spPr>
                </pic:pic>
              </a:graphicData>
            </a:graphic>
          </wp:inline>
        </w:drawing>
      </w:r>
    </w:p>
    <w:p w:rsidR="00BF15BD" w:rsidRPr="00D6248C" w:rsidRDefault="00BF15BD" w:rsidP="002E5331">
      <w:pPr>
        <w:spacing w:after="0"/>
        <w:jc w:val="both"/>
        <w:rPr>
          <w:b/>
        </w:rPr>
      </w:pPr>
    </w:p>
    <w:p w:rsidR="002E5331" w:rsidRPr="005E5EBB" w:rsidRDefault="002E5331" w:rsidP="00B62B50">
      <w:pPr>
        <w:spacing w:after="120"/>
        <w:jc w:val="both"/>
        <w:rPr>
          <w:b/>
        </w:rPr>
      </w:pPr>
      <w:r w:rsidRPr="005E5EBB">
        <w:rPr>
          <w:b/>
        </w:rPr>
        <w:t>Závěr</w:t>
      </w:r>
    </w:p>
    <w:p w:rsidR="00C3510F" w:rsidRDefault="00A72FD6" w:rsidP="00D42477">
      <w:pPr>
        <w:spacing w:after="120"/>
        <w:jc w:val="both"/>
        <w:rPr>
          <w:bCs/>
        </w:rPr>
      </w:pPr>
      <w:r w:rsidRPr="00D42477">
        <w:rPr>
          <w:bCs/>
        </w:rPr>
        <w:t xml:space="preserve">Domácnosti jednotlivců </w:t>
      </w:r>
      <w:r w:rsidR="00052932" w:rsidRPr="00D42477">
        <w:rPr>
          <w:bCs/>
        </w:rPr>
        <w:t xml:space="preserve">patří </w:t>
      </w:r>
      <w:r w:rsidRPr="00D42477">
        <w:rPr>
          <w:bCs/>
        </w:rPr>
        <w:t>k nejdynamičtěji rostoucím typů</w:t>
      </w:r>
      <w:r w:rsidR="00052932" w:rsidRPr="00D42477">
        <w:rPr>
          <w:bCs/>
        </w:rPr>
        <w:t>m</w:t>
      </w:r>
      <w:r w:rsidRPr="00D42477">
        <w:rPr>
          <w:bCs/>
        </w:rPr>
        <w:t xml:space="preserve"> hospodařících domácností.</w:t>
      </w:r>
      <w:r w:rsidR="000E2FBC" w:rsidRPr="00D42477">
        <w:rPr>
          <w:bCs/>
        </w:rPr>
        <w:t xml:space="preserve"> K 26.</w:t>
      </w:r>
      <w:r w:rsidR="00824A8C" w:rsidRPr="00D42477">
        <w:rPr>
          <w:bCs/>
        </w:rPr>
        <w:t> </w:t>
      </w:r>
      <w:r w:rsidR="000E2FBC" w:rsidRPr="00D42477">
        <w:rPr>
          <w:bCs/>
        </w:rPr>
        <w:t>3.</w:t>
      </w:r>
      <w:r w:rsidR="00824A8C" w:rsidRPr="00D42477">
        <w:rPr>
          <w:bCs/>
        </w:rPr>
        <w:t xml:space="preserve"> </w:t>
      </w:r>
      <w:r w:rsidR="000E2FBC" w:rsidRPr="00D42477">
        <w:rPr>
          <w:bCs/>
        </w:rPr>
        <w:t xml:space="preserve">2011 </w:t>
      </w:r>
      <w:r w:rsidR="00E12A09" w:rsidRPr="00D42477">
        <w:rPr>
          <w:bCs/>
        </w:rPr>
        <w:t>více než každý sedmý člověk ve věku 15 a více let žil a ho</w:t>
      </w:r>
      <w:r w:rsidR="00C3510F">
        <w:rPr>
          <w:bCs/>
        </w:rPr>
        <w:t>spodařil sám, přičemž domácnosti</w:t>
      </w:r>
      <w:r w:rsidR="00E12A09" w:rsidRPr="00D42477">
        <w:rPr>
          <w:bCs/>
        </w:rPr>
        <w:t xml:space="preserve"> jednotlivců představovaly třetinu všech hospodařících domácností. </w:t>
      </w:r>
    </w:p>
    <w:p w:rsidR="000E1D5E" w:rsidRPr="00D42477" w:rsidRDefault="00701B71" w:rsidP="00D42477">
      <w:pPr>
        <w:spacing w:after="120"/>
        <w:jc w:val="both"/>
        <w:rPr>
          <w:bCs/>
        </w:rPr>
      </w:pPr>
      <w:r w:rsidRPr="00D42477">
        <w:rPr>
          <w:bCs/>
        </w:rPr>
        <w:t xml:space="preserve">Domácnosti jednotlivců </w:t>
      </w:r>
      <w:r w:rsidR="00E12A09" w:rsidRPr="00D42477">
        <w:rPr>
          <w:bCs/>
        </w:rPr>
        <w:t xml:space="preserve">zahrnují 2 nejvýznamnější skupiny jednotlivců – domácnosti singles a domácnosti jednotlivců seniorů. </w:t>
      </w:r>
      <w:r w:rsidR="00213B21" w:rsidRPr="00D42477">
        <w:rPr>
          <w:bCs/>
        </w:rPr>
        <w:t>Jako domácnost singles žilo v roce 2011 témě</w:t>
      </w:r>
      <w:r w:rsidR="00694C13">
        <w:rPr>
          <w:bCs/>
        </w:rPr>
        <w:t>ř</w:t>
      </w:r>
      <w:r w:rsidR="00213B21" w:rsidRPr="00D42477">
        <w:rPr>
          <w:bCs/>
        </w:rPr>
        <w:t xml:space="preserve"> 10 % obyvatel ve věku 20–39 let</w:t>
      </w:r>
      <w:r w:rsidR="0005124F" w:rsidRPr="00D42477">
        <w:rPr>
          <w:bCs/>
        </w:rPr>
        <w:t>. Zpravidla se jednalo o svobodné osoby, čas</w:t>
      </w:r>
      <w:r w:rsidR="00B62B50">
        <w:rPr>
          <w:bCs/>
        </w:rPr>
        <w:t xml:space="preserve">těji muže, ekonomicky aktivní, </w:t>
      </w:r>
      <w:r w:rsidR="00694C13">
        <w:rPr>
          <w:bCs/>
        </w:rPr>
        <w:t>s vyšší</w:t>
      </w:r>
      <w:r w:rsidR="0005124F" w:rsidRPr="00D42477">
        <w:rPr>
          <w:bCs/>
        </w:rPr>
        <w:t xml:space="preserve"> </w:t>
      </w:r>
      <w:r w:rsidR="00B62B50">
        <w:rPr>
          <w:bCs/>
        </w:rPr>
        <w:t>vzdělanostní úrovní</w:t>
      </w:r>
      <w:r w:rsidR="0005124F" w:rsidRPr="00D42477">
        <w:rPr>
          <w:bCs/>
        </w:rPr>
        <w:t xml:space="preserve"> než je průměr u populace ve stejném věku. </w:t>
      </w:r>
      <w:r w:rsidR="00213B21" w:rsidRPr="00D42477">
        <w:rPr>
          <w:bCs/>
        </w:rPr>
        <w:t xml:space="preserve"> </w:t>
      </w:r>
      <w:r w:rsidR="00694C13">
        <w:rPr>
          <w:bCs/>
        </w:rPr>
        <w:t>Singles využívali</w:t>
      </w:r>
      <w:r w:rsidR="0005124F" w:rsidRPr="00D42477">
        <w:rPr>
          <w:bCs/>
        </w:rPr>
        <w:t xml:space="preserve"> nejčastěji k bydlení byty v bytových domech v nájemním,</w:t>
      </w:r>
      <w:r w:rsidR="00E95F57">
        <w:rPr>
          <w:bCs/>
        </w:rPr>
        <w:t xml:space="preserve"> příp. osobním vlastnictví se                      2–3 obytnými </w:t>
      </w:r>
      <w:r w:rsidR="0005124F" w:rsidRPr="00D42477">
        <w:rPr>
          <w:bCs/>
        </w:rPr>
        <w:t>mís</w:t>
      </w:r>
      <w:r w:rsidR="00260FC8" w:rsidRPr="00D42477">
        <w:rPr>
          <w:bCs/>
        </w:rPr>
        <w:t>t</w:t>
      </w:r>
      <w:r w:rsidR="0005124F" w:rsidRPr="00D42477">
        <w:rPr>
          <w:bCs/>
        </w:rPr>
        <w:t xml:space="preserve">nostmi. </w:t>
      </w:r>
      <w:r w:rsidR="00694C13">
        <w:rPr>
          <w:bCs/>
        </w:rPr>
        <w:t>Jejich n</w:t>
      </w:r>
      <w:r w:rsidR="00260FC8" w:rsidRPr="00D42477">
        <w:rPr>
          <w:bCs/>
        </w:rPr>
        <w:t>ejvyšší zastoupení bylo zjištěno ve velk</w:t>
      </w:r>
      <w:r w:rsidR="001367D1">
        <w:rPr>
          <w:bCs/>
        </w:rPr>
        <w:t>ých městech, kde singles tvořil</w:t>
      </w:r>
      <w:r w:rsidR="00694C13">
        <w:rPr>
          <w:bCs/>
        </w:rPr>
        <w:t>i</w:t>
      </w:r>
      <w:r w:rsidR="00260FC8" w:rsidRPr="00D42477">
        <w:rPr>
          <w:bCs/>
        </w:rPr>
        <w:t xml:space="preserve"> až 14 % osob ve stejné věkové skupině. </w:t>
      </w:r>
      <w:r w:rsidR="00E63A86" w:rsidRPr="00D42477">
        <w:rPr>
          <w:bCs/>
        </w:rPr>
        <w:t xml:space="preserve">Nejvýznamnější skupinou zůstávají </w:t>
      </w:r>
      <w:r w:rsidR="00B123E2" w:rsidRPr="00D42477">
        <w:rPr>
          <w:bCs/>
        </w:rPr>
        <w:t xml:space="preserve">však </w:t>
      </w:r>
      <w:r w:rsidR="00E63A86" w:rsidRPr="00D42477">
        <w:rPr>
          <w:bCs/>
        </w:rPr>
        <w:t xml:space="preserve">stále senioři, kteří v roce 2011 představovali více než třetinu všech domácností jednotlivců. Nejčastěji se </w:t>
      </w:r>
      <w:r w:rsidR="00204E21" w:rsidRPr="00D42477">
        <w:rPr>
          <w:bCs/>
        </w:rPr>
        <w:t>z důvodu nadúmrtnosti mužů jednalo o </w:t>
      </w:r>
      <w:r w:rsidR="00E63A86" w:rsidRPr="00D42477">
        <w:rPr>
          <w:bCs/>
        </w:rPr>
        <w:t xml:space="preserve">ovdovělé ženy, </w:t>
      </w:r>
      <w:r w:rsidR="00204E21" w:rsidRPr="00D42477">
        <w:rPr>
          <w:bCs/>
        </w:rPr>
        <w:t xml:space="preserve">zpravidla </w:t>
      </w:r>
      <w:r w:rsidR="00E63A86" w:rsidRPr="00D42477">
        <w:rPr>
          <w:bCs/>
        </w:rPr>
        <w:t>nepracující důchodce</w:t>
      </w:r>
      <w:r w:rsidR="00204E21" w:rsidRPr="00D42477">
        <w:rPr>
          <w:bCs/>
        </w:rPr>
        <w:t xml:space="preserve">, kteří neprojevovali žádné výrazné odchylky </w:t>
      </w:r>
      <w:r w:rsidR="0053278D" w:rsidRPr="00D42477">
        <w:rPr>
          <w:bCs/>
        </w:rPr>
        <w:t xml:space="preserve">v sociodemografických charakteristikách </w:t>
      </w:r>
      <w:r w:rsidR="00204E21" w:rsidRPr="00D42477">
        <w:rPr>
          <w:bCs/>
        </w:rPr>
        <w:t>od ostatních osob ve stejném věku</w:t>
      </w:r>
      <w:r w:rsidR="00B123E2" w:rsidRPr="00D42477">
        <w:rPr>
          <w:bCs/>
        </w:rPr>
        <w:t xml:space="preserve">. Důvodem je především </w:t>
      </w:r>
      <w:r w:rsidR="004D08FA" w:rsidRPr="00D42477">
        <w:rPr>
          <w:bCs/>
        </w:rPr>
        <w:t>v</w:t>
      </w:r>
      <w:r w:rsidR="004D08FA">
        <w:rPr>
          <w:bCs/>
        </w:rPr>
        <w:t>ynucená životní změna</w:t>
      </w:r>
      <w:r w:rsidR="004D08FA" w:rsidRPr="00D42477">
        <w:rPr>
          <w:bCs/>
        </w:rPr>
        <w:t xml:space="preserve"> </w:t>
      </w:r>
      <w:r w:rsidR="004D08FA">
        <w:rPr>
          <w:bCs/>
        </w:rPr>
        <w:t xml:space="preserve">na rozdíl od </w:t>
      </w:r>
      <w:r w:rsidR="00B123E2" w:rsidRPr="00D42477">
        <w:rPr>
          <w:bCs/>
        </w:rPr>
        <w:t xml:space="preserve">spíše dobrovolného způsobu života </w:t>
      </w:r>
      <w:r w:rsidR="004D08FA">
        <w:rPr>
          <w:bCs/>
        </w:rPr>
        <w:t>singles</w:t>
      </w:r>
      <w:r w:rsidR="00B123E2" w:rsidRPr="00D42477">
        <w:rPr>
          <w:bCs/>
        </w:rPr>
        <w:t xml:space="preserve">. Jednotlivci senioři se s nejvyšší </w:t>
      </w:r>
      <w:r w:rsidR="00F42F18">
        <w:rPr>
          <w:bCs/>
        </w:rPr>
        <w:t>četností vyskytovali</w:t>
      </w:r>
      <w:r w:rsidR="00B123E2" w:rsidRPr="00D42477">
        <w:rPr>
          <w:bCs/>
        </w:rPr>
        <w:t xml:space="preserve"> zejména ve vnitřních perifer</w:t>
      </w:r>
      <w:r w:rsidR="003F0C45">
        <w:rPr>
          <w:bCs/>
        </w:rPr>
        <w:t>i</w:t>
      </w:r>
      <w:r w:rsidR="00B123E2" w:rsidRPr="00D42477">
        <w:rPr>
          <w:bCs/>
        </w:rPr>
        <w:t>ích, nejméně pak v zázemí velkých měst.</w:t>
      </w:r>
    </w:p>
    <w:p w:rsidR="00313121" w:rsidRDefault="00313121" w:rsidP="001D2B1F">
      <w:pPr>
        <w:spacing w:after="0"/>
        <w:jc w:val="both"/>
        <w:rPr>
          <w:b/>
        </w:rPr>
      </w:pPr>
    </w:p>
    <w:p w:rsidR="0045555E" w:rsidRDefault="0045555E" w:rsidP="001D2B1F">
      <w:pPr>
        <w:spacing w:after="0"/>
        <w:jc w:val="both"/>
        <w:rPr>
          <w:b/>
        </w:rPr>
      </w:pPr>
    </w:p>
    <w:p w:rsidR="001D2B1F" w:rsidRPr="005E5EBB" w:rsidRDefault="001D2B1F" w:rsidP="001D2B1F">
      <w:pPr>
        <w:spacing w:after="0"/>
        <w:jc w:val="both"/>
        <w:rPr>
          <w:b/>
        </w:rPr>
      </w:pPr>
      <w:r w:rsidRPr="005E5EBB">
        <w:rPr>
          <w:b/>
        </w:rPr>
        <w:lastRenderedPageBreak/>
        <w:t>Kontaktní osoba:</w:t>
      </w:r>
    </w:p>
    <w:p w:rsidR="001D2B1F" w:rsidRPr="005E5EBB" w:rsidRDefault="001D2B1F" w:rsidP="001D2B1F">
      <w:pPr>
        <w:spacing w:after="0"/>
        <w:jc w:val="both"/>
      </w:pPr>
      <w:r w:rsidRPr="005E5EBB">
        <w:t xml:space="preserve">Mgr. </w:t>
      </w:r>
      <w:r>
        <w:t>Pavlína Habartová</w:t>
      </w:r>
    </w:p>
    <w:p w:rsidR="001D2B1F" w:rsidRDefault="001D2B1F" w:rsidP="001D2B1F">
      <w:pPr>
        <w:spacing w:after="0"/>
      </w:pPr>
      <w:r>
        <w:t>Oddělení metodiky, analýz a diseminace sčítání</w:t>
      </w:r>
    </w:p>
    <w:p w:rsidR="001D2B1F" w:rsidRPr="005E5EBB" w:rsidRDefault="001D2B1F" w:rsidP="001D2B1F">
      <w:pPr>
        <w:spacing w:after="0"/>
      </w:pPr>
      <w:r w:rsidRPr="005E5EBB">
        <w:t xml:space="preserve">Tel.: </w:t>
      </w:r>
      <w:r>
        <w:t>274054288</w:t>
      </w:r>
    </w:p>
    <w:p w:rsidR="001D2B1F" w:rsidRDefault="001D2B1F" w:rsidP="001D2B1F">
      <w:pPr>
        <w:spacing w:after="0"/>
      </w:pPr>
      <w:r w:rsidRPr="005E5EBB">
        <w:t xml:space="preserve">E-mail: </w:t>
      </w:r>
      <w:hyperlink r:id="rId34" w:history="1">
        <w:r w:rsidR="007F4965" w:rsidRPr="004440BD">
          <w:rPr>
            <w:rStyle w:val="Hypertextovodkaz"/>
          </w:rPr>
          <w:t>pavlina.habartova@czso.cz</w:t>
        </w:r>
      </w:hyperlink>
    </w:p>
    <w:p w:rsidR="007F4965" w:rsidRDefault="007F4965" w:rsidP="001D2B1F">
      <w:pPr>
        <w:spacing w:after="0"/>
      </w:pPr>
    </w:p>
    <w:p w:rsidR="007F4965" w:rsidRDefault="007F4965" w:rsidP="001D2B1F">
      <w:pPr>
        <w:spacing w:after="0"/>
      </w:pPr>
    </w:p>
    <w:p w:rsidR="002E5331" w:rsidRPr="005E5EBB" w:rsidRDefault="002E5331" w:rsidP="007F4965">
      <w:pPr>
        <w:spacing w:after="60"/>
        <w:jc w:val="both"/>
      </w:pPr>
    </w:p>
    <w:sectPr w:rsidR="002E5331" w:rsidRPr="005E5EBB" w:rsidSect="00E77258">
      <w:headerReference w:type="default" r:id="rId35"/>
      <w:footerReference w:type="default" r:id="rId36"/>
      <w:pgSz w:w="11906" w:h="16838"/>
      <w:pgMar w:top="279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98" w:rsidRDefault="00754A98" w:rsidP="002E5331">
      <w:pPr>
        <w:spacing w:after="0" w:line="240" w:lineRule="auto"/>
      </w:pPr>
      <w:r>
        <w:separator/>
      </w:r>
    </w:p>
  </w:endnote>
  <w:endnote w:type="continuationSeparator" w:id="0">
    <w:p w:rsidR="00754A98" w:rsidRDefault="00754A98" w:rsidP="002E5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1438"/>
      <w:docPartObj>
        <w:docPartGallery w:val="Page Numbers (Bottom of Page)"/>
        <w:docPartUnique/>
      </w:docPartObj>
    </w:sdtPr>
    <w:sdtContent>
      <w:p w:rsidR="00E77258" w:rsidRDefault="007D76AB">
        <w:pPr>
          <w:pStyle w:val="Zpat"/>
          <w:jc w:val="center"/>
        </w:pPr>
        <w:fldSimple w:instr=" PAGE   \* MERGEFORMAT ">
          <w:r w:rsidR="00FD5456">
            <w:rPr>
              <w:noProof/>
            </w:rPr>
            <w:t>1</w:t>
          </w:r>
        </w:fldSimple>
      </w:p>
    </w:sdtContent>
  </w:sdt>
  <w:p w:rsidR="00E77258" w:rsidRDefault="00E7725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98" w:rsidRDefault="00754A98" w:rsidP="002E5331">
      <w:pPr>
        <w:spacing w:after="0" w:line="240" w:lineRule="auto"/>
      </w:pPr>
      <w:r>
        <w:separator/>
      </w:r>
    </w:p>
  </w:footnote>
  <w:footnote w:type="continuationSeparator" w:id="0">
    <w:p w:rsidR="00754A98" w:rsidRDefault="00754A98" w:rsidP="002E5331">
      <w:pPr>
        <w:spacing w:after="0" w:line="240" w:lineRule="auto"/>
      </w:pPr>
      <w:r>
        <w:continuationSeparator/>
      </w:r>
    </w:p>
  </w:footnote>
  <w:footnote w:id="1">
    <w:p w:rsidR="00440198" w:rsidRDefault="00440198">
      <w:pPr>
        <w:pStyle w:val="Textpoznpodarou"/>
      </w:pPr>
      <w:r>
        <w:rPr>
          <w:rStyle w:val="Znakapoznpodarou"/>
        </w:rPr>
        <w:footnoteRef/>
      </w:r>
      <w:r>
        <w:t xml:space="preserve"> </w:t>
      </w:r>
      <w:r w:rsidRPr="009B5A61">
        <w:rPr>
          <w:rFonts w:ascii="Calibri" w:hAnsi="Calibri" w:cs="Calibri"/>
          <w:sz w:val="18"/>
        </w:rPr>
        <w:t>Nařízení Evropského parlamentu a Rady</w:t>
      </w:r>
      <w:r>
        <w:rPr>
          <w:rFonts w:ascii="Calibri" w:hAnsi="Calibri" w:cs="Calibri"/>
          <w:sz w:val="18"/>
        </w:rPr>
        <w:t xml:space="preserve"> (ES) </w:t>
      </w:r>
      <w:r w:rsidRPr="009B5A61">
        <w:rPr>
          <w:rFonts w:ascii="Calibri" w:hAnsi="Calibri" w:cs="Calibri"/>
          <w:sz w:val="18"/>
        </w:rPr>
        <w:t>o sčítání lidu, domů a bytů č. 763/2008 ze dne 9. července 2008 jednoznačně stanovuje, že sčítání lidu zahrnuje všechny osoby, které mají v dané zemi obvyklý pobyt.</w:t>
      </w:r>
    </w:p>
  </w:footnote>
  <w:footnote w:id="2">
    <w:p w:rsidR="00440198" w:rsidRDefault="00440198">
      <w:pPr>
        <w:pStyle w:val="Textpoznpodarou"/>
      </w:pPr>
      <w:r>
        <w:rPr>
          <w:rStyle w:val="Znakapoznpodarou"/>
        </w:rPr>
        <w:footnoteRef/>
      </w:r>
      <w:r>
        <w:t xml:space="preserve"> </w:t>
      </w:r>
      <w:r w:rsidRPr="00440198">
        <w:rPr>
          <w:sz w:val="16"/>
        </w:rPr>
        <w:t>Například při odděleném bydlení manželů z jiných než bytových důvodů.</w:t>
      </w:r>
    </w:p>
  </w:footnote>
  <w:footnote w:id="3">
    <w:p w:rsidR="00A45A97" w:rsidRDefault="00A45A97">
      <w:pPr>
        <w:pStyle w:val="Textpoznpodarou"/>
      </w:pPr>
      <w:r>
        <w:rPr>
          <w:rStyle w:val="Znakapoznpodarou"/>
        </w:rPr>
        <w:footnoteRef/>
      </w:r>
      <w:r>
        <w:t xml:space="preserve"> </w:t>
      </w:r>
      <w:r w:rsidRPr="00A45A97">
        <w:rPr>
          <w:sz w:val="16"/>
        </w:rPr>
        <w:t>Nouzová obydlí, rekreační chalupy, chaty, nezkolaudované domy apod.</w:t>
      </w:r>
    </w:p>
  </w:footnote>
  <w:footnote w:id="4">
    <w:p w:rsidR="00CE45CF" w:rsidRDefault="00CE45CF">
      <w:pPr>
        <w:pStyle w:val="Textpoznpodarou"/>
      </w:pPr>
      <w:r>
        <w:rPr>
          <w:rStyle w:val="Znakapoznpodarou"/>
        </w:rPr>
        <w:footnoteRef/>
      </w:r>
      <w:r>
        <w:t xml:space="preserve"> </w:t>
      </w:r>
      <w:r w:rsidRPr="00CE45CF">
        <w:rPr>
          <w:color w:val="000000" w:themeColor="text1"/>
          <w:sz w:val="16"/>
        </w:rPr>
        <w:t>Osoby však byly do domácnosti zařazovány na základě trvalého pobytu.</w:t>
      </w:r>
    </w:p>
  </w:footnote>
  <w:footnote w:id="5">
    <w:p w:rsidR="008F5CE7" w:rsidRDefault="008F5CE7" w:rsidP="00A976D6">
      <w:pPr>
        <w:pStyle w:val="Textpoznpodarou"/>
        <w:jc w:val="both"/>
      </w:pPr>
      <w:r>
        <w:rPr>
          <w:rStyle w:val="Znakapoznpodarou"/>
        </w:rPr>
        <w:footnoteRef/>
      </w:r>
      <w:r>
        <w:t xml:space="preserve">  </w:t>
      </w:r>
      <w:r w:rsidRPr="00C561D9">
        <w:rPr>
          <w:sz w:val="16"/>
        </w:rPr>
        <w:t>V České republice  se začaly projevovat procesy spojené s tzv. druhým demografickým přechodem zhruba na počátku 90. let 20. století. Mezi hlavní projevy těchto změn patří pokles úrovně plodnosti pod hranici prosté reprodukce odkládání mateřství do vyššího věku, zvyšování podílu dětí narozených mimo ma</w:t>
      </w:r>
      <w:r w:rsidR="00A976D6">
        <w:rPr>
          <w:sz w:val="16"/>
        </w:rPr>
        <w:t>nželství, nárůst různorodosti v </w:t>
      </w:r>
      <w:r w:rsidRPr="00C561D9">
        <w:rPr>
          <w:sz w:val="16"/>
        </w:rPr>
        <w:t>životních drahách a formách soužití a tím spojené stárnutí populace.</w:t>
      </w:r>
    </w:p>
  </w:footnote>
  <w:footnote w:id="6">
    <w:p w:rsidR="001956D2" w:rsidRPr="00B7508B" w:rsidRDefault="001956D2" w:rsidP="001956D2">
      <w:pPr>
        <w:pStyle w:val="Textpoznpodarou"/>
        <w:rPr>
          <w:sz w:val="18"/>
        </w:rPr>
      </w:pPr>
      <w:r w:rsidRPr="00B7508B">
        <w:rPr>
          <w:rStyle w:val="Znakapoznpodarou"/>
          <w:sz w:val="16"/>
          <w:szCs w:val="18"/>
        </w:rPr>
        <w:footnoteRef/>
      </w:r>
      <w:r w:rsidRPr="00B7508B">
        <w:rPr>
          <w:sz w:val="16"/>
          <w:szCs w:val="18"/>
        </w:rPr>
        <w:t xml:space="preserve"> Správní obvod obce s rozšířenou působností.</w:t>
      </w:r>
    </w:p>
  </w:footnote>
  <w:footnote w:id="7">
    <w:p w:rsidR="001956D2" w:rsidRPr="00B7508B" w:rsidRDefault="001956D2" w:rsidP="001956D2">
      <w:pPr>
        <w:autoSpaceDE w:val="0"/>
        <w:autoSpaceDN w:val="0"/>
        <w:adjustRightInd w:val="0"/>
        <w:spacing w:after="120"/>
        <w:jc w:val="both"/>
        <w:rPr>
          <w:rFonts w:cs="Arial"/>
          <w:sz w:val="18"/>
        </w:rPr>
      </w:pPr>
      <w:r w:rsidRPr="00B7508B">
        <w:rPr>
          <w:rStyle w:val="Znakapoznpodarou"/>
          <w:sz w:val="18"/>
        </w:rPr>
        <w:footnoteRef/>
      </w:r>
      <w:r w:rsidR="0074170A">
        <w:rPr>
          <w:sz w:val="18"/>
        </w:rPr>
        <w:t xml:space="preserve"> </w:t>
      </w:r>
      <w:r w:rsidRPr="00B7508B">
        <w:rPr>
          <w:rFonts w:cs="Arial"/>
          <w:sz w:val="16"/>
          <w:szCs w:val="18"/>
        </w:rPr>
        <w:t>Regiony s nedostatkem dobrých pracovních příležitostí, s horší dopravní dostupností do</w:t>
      </w:r>
      <w:r w:rsidR="00B7508B">
        <w:rPr>
          <w:rFonts w:cs="Arial"/>
          <w:sz w:val="16"/>
          <w:szCs w:val="18"/>
        </w:rPr>
        <w:t xml:space="preserve"> dojížďkových center, a proto i </w:t>
      </w:r>
      <w:r w:rsidRPr="00B7508B">
        <w:rPr>
          <w:rFonts w:cs="Arial"/>
          <w:sz w:val="16"/>
          <w:szCs w:val="18"/>
        </w:rPr>
        <w:t>s výrazně nižším zastoupením osob mladších věkových skupin.</w:t>
      </w:r>
    </w:p>
    <w:p w:rsidR="001956D2" w:rsidRDefault="001956D2" w:rsidP="001956D2">
      <w:pPr>
        <w:autoSpaceDE w:val="0"/>
        <w:autoSpaceDN w:val="0"/>
        <w:adjustRightInd w:val="0"/>
        <w:spacing w:after="120"/>
        <w:jc w:val="both"/>
      </w:pPr>
    </w:p>
  </w:footnote>
  <w:footnote w:id="8">
    <w:p w:rsidR="007D5C1F" w:rsidRDefault="007D5C1F" w:rsidP="007D5C1F">
      <w:pPr>
        <w:pStyle w:val="Textpoznpodarou"/>
      </w:pPr>
      <w:r w:rsidRPr="00B7508B">
        <w:rPr>
          <w:rStyle w:val="Znakapoznpodarou"/>
          <w:sz w:val="16"/>
        </w:rPr>
        <w:footnoteRef/>
      </w:r>
      <w:r w:rsidRPr="00B7508B">
        <w:rPr>
          <w:sz w:val="16"/>
        </w:rPr>
        <w:t xml:space="preserve"> Osoba v čele hospodařící domácnosti tvořené 1 rodinou ve věku 65 a více let.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3C" w:rsidRDefault="00E77258">
    <w:pPr>
      <w:pStyle w:val="Zhlav"/>
    </w:pPr>
    <w:r>
      <w:rPr>
        <w:noProof/>
        <w:lang w:eastAsia="cs-CZ"/>
      </w:rPr>
      <w:drawing>
        <wp:anchor distT="0" distB="0" distL="114300" distR="114300" simplePos="0" relativeHeight="251658240" behindDoc="0" locked="0" layoutInCell="1" allowOverlap="1">
          <wp:simplePos x="0" y="0"/>
          <wp:positionH relativeFrom="page">
            <wp:posOffset>369924</wp:posOffset>
          </wp:positionH>
          <wp:positionV relativeFrom="page">
            <wp:posOffset>595423</wp:posOffset>
          </wp:positionV>
          <wp:extent cx="6328588" cy="1041991"/>
          <wp:effectExtent l="19050" t="0" r="0" b="0"/>
          <wp:wrapSquare wrapText="bothSides"/>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srcRect/>
                  <a:stretch>
                    <a:fillRect/>
                  </a:stretch>
                </pic:blipFill>
                <pic:spPr bwMode="auto">
                  <a:xfrm>
                    <a:off x="0" y="0"/>
                    <a:ext cx="6328588" cy="1041991"/>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6C5E"/>
    <w:multiLevelType w:val="hybridMultilevel"/>
    <w:tmpl w:val="4CD6FC54"/>
    <w:lvl w:ilvl="0" w:tplc="B4768F7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9B6074"/>
    <w:multiLevelType w:val="hybridMultilevel"/>
    <w:tmpl w:val="0D584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BB1A7A"/>
    <w:multiLevelType w:val="hybridMultilevel"/>
    <w:tmpl w:val="D0CCC7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FFB4E71"/>
    <w:multiLevelType w:val="hybridMultilevel"/>
    <w:tmpl w:val="53BCAF54"/>
    <w:lvl w:ilvl="0" w:tplc="7520BCC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55A5307"/>
    <w:multiLevelType w:val="hybridMultilevel"/>
    <w:tmpl w:val="184EB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2E5331"/>
    <w:rsid w:val="00005BF7"/>
    <w:rsid w:val="0002199B"/>
    <w:rsid w:val="00024718"/>
    <w:rsid w:val="000249AE"/>
    <w:rsid w:val="00026270"/>
    <w:rsid w:val="00027D10"/>
    <w:rsid w:val="00035294"/>
    <w:rsid w:val="00037FC4"/>
    <w:rsid w:val="00040522"/>
    <w:rsid w:val="00041C98"/>
    <w:rsid w:val="00041FD4"/>
    <w:rsid w:val="0004392C"/>
    <w:rsid w:val="0004577F"/>
    <w:rsid w:val="00050C85"/>
    <w:rsid w:val="0005124F"/>
    <w:rsid w:val="00052932"/>
    <w:rsid w:val="000569D5"/>
    <w:rsid w:val="00061DF0"/>
    <w:rsid w:val="00063189"/>
    <w:rsid w:val="0006612E"/>
    <w:rsid w:val="00070694"/>
    <w:rsid w:val="000707D5"/>
    <w:rsid w:val="0007148D"/>
    <w:rsid w:val="00077B6C"/>
    <w:rsid w:val="00080BA3"/>
    <w:rsid w:val="00083421"/>
    <w:rsid w:val="00084CDB"/>
    <w:rsid w:val="000867F5"/>
    <w:rsid w:val="00087537"/>
    <w:rsid w:val="00090B7E"/>
    <w:rsid w:val="0009334A"/>
    <w:rsid w:val="00094887"/>
    <w:rsid w:val="00096BCB"/>
    <w:rsid w:val="000B1979"/>
    <w:rsid w:val="000B1A8D"/>
    <w:rsid w:val="000B57FD"/>
    <w:rsid w:val="000B5DDE"/>
    <w:rsid w:val="000C3C78"/>
    <w:rsid w:val="000C7E16"/>
    <w:rsid w:val="000D0C6E"/>
    <w:rsid w:val="000D0E6D"/>
    <w:rsid w:val="000D4120"/>
    <w:rsid w:val="000D5508"/>
    <w:rsid w:val="000E1895"/>
    <w:rsid w:val="000E1D5E"/>
    <w:rsid w:val="000E2FBC"/>
    <w:rsid w:val="000F0619"/>
    <w:rsid w:val="000F4061"/>
    <w:rsid w:val="000F71A6"/>
    <w:rsid w:val="00101377"/>
    <w:rsid w:val="001025C6"/>
    <w:rsid w:val="00103D3A"/>
    <w:rsid w:val="001057A5"/>
    <w:rsid w:val="00106760"/>
    <w:rsid w:val="00107760"/>
    <w:rsid w:val="00113E20"/>
    <w:rsid w:val="001151B2"/>
    <w:rsid w:val="00115A8A"/>
    <w:rsid w:val="001243C2"/>
    <w:rsid w:val="00131741"/>
    <w:rsid w:val="0013177F"/>
    <w:rsid w:val="001367D1"/>
    <w:rsid w:val="00140A67"/>
    <w:rsid w:val="00142A79"/>
    <w:rsid w:val="00145115"/>
    <w:rsid w:val="00145AC2"/>
    <w:rsid w:val="0015039F"/>
    <w:rsid w:val="001549FD"/>
    <w:rsid w:val="00156967"/>
    <w:rsid w:val="00166A1D"/>
    <w:rsid w:val="00166B87"/>
    <w:rsid w:val="00167FB7"/>
    <w:rsid w:val="00170BE6"/>
    <w:rsid w:val="0017365C"/>
    <w:rsid w:val="001741FE"/>
    <w:rsid w:val="001824AA"/>
    <w:rsid w:val="00186F70"/>
    <w:rsid w:val="00187273"/>
    <w:rsid w:val="001875FA"/>
    <w:rsid w:val="00191892"/>
    <w:rsid w:val="001923A7"/>
    <w:rsid w:val="00192CC4"/>
    <w:rsid w:val="00193F18"/>
    <w:rsid w:val="001956D2"/>
    <w:rsid w:val="00197C96"/>
    <w:rsid w:val="001A078B"/>
    <w:rsid w:val="001A2A4F"/>
    <w:rsid w:val="001A4744"/>
    <w:rsid w:val="001B0575"/>
    <w:rsid w:val="001B0D67"/>
    <w:rsid w:val="001B4902"/>
    <w:rsid w:val="001B56EE"/>
    <w:rsid w:val="001B604B"/>
    <w:rsid w:val="001B62A1"/>
    <w:rsid w:val="001C0142"/>
    <w:rsid w:val="001C38CE"/>
    <w:rsid w:val="001C51B4"/>
    <w:rsid w:val="001C5FC9"/>
    <w:rsid w:val="001C6C64"/>
    <w:rsid w:val="001C71D6"/>
    <w:rsid w:val="001C743D"/>
    <w:rsid w:val="001C7835"/>
    <w:rsid w:val="001D12CB"/>
    <w:rsid w:val="001D1DA7"/>
    <w:rsid w:val="001D1DBF"/>
    <w:rsid w:val="001D1DC3"/>
    <w:rsid w:val="001D2B1F"/>
    <w:rsid w:val="001D5872"/>
    <w:rsid w:val="001D645E"/>
    <w:rsid w:val="001D6EA4"/>
    <w:rsid w:val="001D6F7E"/>
    <w:rsid w:val="001E14BF"/>
    <w:rsid w:val="001E331C"/>
    <w:rsid w:val="001E38FC"/>
    <w:rsid w:val="001E3B2C"/>
    <w:rsid w:val="001E5434"/>
    <w:rsid w:val="001E7063"/>
    <w:rsid w:val="001F08E0"/>
    <w:rsid w:val="001F14B6"/>
    <w:rsid w:val="001F26AF"/>
    <w:rsid w:val="001F4EC4"/>
    <w:rsid w:val="001F7803"/>
    <w:rsid w:val="00203DEA"/>
    <w:rsid w:val="002048E3"/>
    <w:rsid w:val="00204E21"/>
    <w:rsid w:val="00207B41"/>
    <w:rsid w:val="00210E5E"/>
    <w:rsid w:val="002111FF"/>
    <w:rsid w:val="00213B21"/>
    <w:rsid w:val="002151B5"/>
    <w:rsid w:val="002172B6"/>
    <w:rsid w:val="002236FA"/>
    <w:rsid w:val="00223A79"/>
    <w:rsid w:val="002262EB"/>
    <w:rsid w:val="00235E1B"/>
    <w:rsid w:val="002375CC"/>
    <w:rsid w:val="00240563"/>
    <w:rsid w:val="00240BB2"/>
    <w:rsid w:val="00241975"/>
    <w:rsid w:val="00242026"/>
    <w:rsid w:val="00244312"/>
    <w:rsid w:val="00246ECD"/>
    <w:rsid w:val="0025011B"/>
    <w:rsid w:val="00250880"/>
    <w:rsid w:val="00260FC8"/>
    <w:rsid w:val="00261985"/>
    <w:rsid w:val="0026509A"/>
    <w:rsid w:val="00267785"/>
    <w:rsid w:val="0026793E"/>
    <w:rsid w:val="002723D9"/>
    <w:rsid w:val="00272FAC"/>
    <w:rsid w:val="0027314D"/>
    <w:rsid w:val="00273B85"/>
    <w:rsid w:val="00284B3D"/>
    <w:rsid w:val="002860E3"/>
    <w:rsid w:val="0028675D"/>
    <w:rsid w:val="00286A02"/>
    <w:rsid w:val="00296CB9"/>
    <w:rsid w:val="002976E9"/>
    <w:rsid w:val="002A4A74"/>
    <w:rsid w:val="002A522F"/>
    <w:rsid w:val="002A60B3"/>
    <w:rsid w:val="002A6616"/>
    <w:rsid w:val="002B233D"/>
    <w:rsid w:val="002B53DA"/>
    <w:rsid w:val="002B771D"/>
    <w:rsid w:val="002C03A3"/>
    <w:rsid w:val="002C106F"/>
    <w:rsid w:val="002C2B25"/>
    <w:rsid w:val="002C34C7"/>
    <w:rsid w:val="002C36E5"/>
    <w:rsid w:val="002C5E9E"/>
    <w:rsid w:val="002D0A39"/>
    <w:rsid w:val="002D0B83"/>
    <w:rsid w:val="002E4A9F"/>
    <w:rsid w:val="002E5088"/>
    <w:rsid w:val="002E50CA"/>
    <w:rsid w:val="002E5331"/>
    <w:rsid w:val="002F1AD0"/>
    <w:rsid w:val="002F3794"/>
    <w:rsid w:val="002F5074"/>
    <w:rsid w:val="00303C9C"/>
    <w:rsid w:val="00305ECE"/>
    <w:rsid w:val="0030610B"/>
    <w:rsid w:val="00313121"/>
    <w:rsid w:val="003136E3"/>
    <w:rsid w:val="0031679C"/>
    <w:rsid w:val="00316E82"/>
    <w:rsid w:val="00320821"/>
    <w:rsid w:val="0033000B"/>
    <w:rsid w:val="003332BD"/>
    <w:rsid w:val="00333557"/>
    <w:rsid w:val="00336F6E"/>
    <w:rsid w:val="00337544"/>
    <w:rsid w:val="00342B13"/>
    <w:rsid w:val="003454B4"/>
    <w:rsid w:val="00347A70"/>
    <w:rsid w:val="0035296C"/>
    <w:rsid w:val="003542FD"/>
    <w:rsid w:val="00354C35"/>
    <w:rsid w:val="00360C25"/>
    <w:rsid w:val="00361F1D"/>
    <w:rsid w:val="00361F37"/>
    <w:rsid w:val="00363E43"/>
    <w:rsid w:val="003642C4"/>
    <w:rsid w:val="00372520"/>
    <w:rsid w:val="00374BAA"/>
    <w:rsid w:val="0037525C"/>
    <w:rsid w:val="00381676"/>
    <w:rsid w:val="00384846"/>
    <w:rsid w:val="00385FB2"/>
    <w:rsid w:val="00392F1C"/>
    <w:rsid w:val="00394876"/>
    <w:rsid w:val="00396329"/>
    <w:rsid w:val="00397241"/>
    <w:rsid w:val="003A1258"/>
    <w:rsid w:val="003A17F2"/>
    <w:rsid w:val="003B2885"/>
    <w:rsid w:val="003B5643"/>
    <w:rsid w:val="003B616F"/>
    <w:rsid w:val="003C0282"/>
    <w:rsid w:val="003C0FC3"/>
    <w:rsid w:val="003D22CF"/>
    <w:rsid w:val="003D7C51"/>
    <w:rsid w:val="003E0843"/>
    <w:rsid w:val="003E38DA"/>
    <w:rsid w:val="003E759C"/>
    <w:rsid w:val="003F0C45"/>
    <w:rsid w:val="003F5814"/>
    <w:rsid w:val="003F6113"/>
    <w:rsid w:val="003F7948"/>
    <w:rsid w:val="003F7C00"/>
    <w:rsid w:val="004030E4"/>
    <w:rsid w:val="00403CFF"/>
    <w:rsid w:val="00410D13"/>
    <w:rsid w:val="00415B98"/>
    <w:rsid w:val="004232E7"/>
    <w:rsid w:val="0043084C"/>
    <w:rsid w:val="00440198"/>
    <w:rsid w:val="0044156E"/>
    <w:rsid w:val="00442C47"/>
    <w:rsid w:val="0044391C"/>
    <w:rsid w:val="00446DA1"/>
    <w:rsid w:val="004518F1"/>
    <w:rsid w:val="00451CD5"/>
    <w:rsid w:val="0045555E"/>
    <w:rsid w:val="00461956"/>
    <w:rsid w:val="00462C64"/>
    <w:rsid w:val="0046303F"/>
    <w:rsid w:val="0046603C"/>
    <w:rsid w:val="00467979"/>
    <w:rsid w:val="00471EF9"/>
    <w:rsid w:val="0047334B"/>
    <w:rsid w:val="00474A59"/>
    <w:rsid w:val="00475B9F"/>
    <w:rsid w:val="00481022"/>
    <w:rsid w:val="004925C9"/>
    <w:rsid w:val="004957C7"/>
    <w:rsid w:val="00496721"/>
    <w:rsid w:val="00496FFB"/>
    <w:rsid w:val="004A12E1"/>
    <w:rsid w:val="004A249B"/>
    <w:rsid w:val="004A28C0"/>
    <w:rsid w:val="004A3A07"/>
    <w:rsid w:val="004A4E4B"/>
    <w:rsid w:val="004A534B"/>
    <w:rsid w:val="004A5E4E"/>
    <w:rsid w:val="004A632E"/>
    <w:rsid w:val="004B356C"/>
    <w:rsid w:val="004B3FD6"/>
    <w:rsid w:val="004B42F9"/>
    <w:rsid w:val="004C2B2B"/>
    <w:rsid w:val="004D0390"/>
    <w:rsid w:val="004D08FA"/>
    <w:rsid w:val="004D3914"/>
    <w:rsid w:val="004D74EC"/>
    <w:rsid w:val="004E0EBD"/>
    <w:rsid w:val="004E1687"/>
    <w:rsid w:val="004E4A52"/>
    <w:rsid w:val="004E5A2F"/>
    <w:rsid w:val="004E6595"/>
    <w:rsid w:val="004E66BD"/>
    <w:rsid w:val="004E6B29"/>
    <w:rsid w:val="004E7DEF"/>
    <w:rsid w:val="004F1A16"/>
    <w:rsid w:val="004F1D94"/>
    <w:rsid w:val="004F25DC"/>
    <w:rsid w:val="004F339D"/>
    <w:rsid w:val="004F4B2D"/>
    <w:rsid w:val="00500B18"/>
    <w:rsid w:val="005026C1"/>
    <w:rsid w:val="00502DB5"/>
    <w:rsid w:val="00506189"/>
    <w:rsid w:val="005062F7"/>
    <w:rsid w:val="00507E45"/>
    <w:rsid w:val="00511193"/>
    <w:rsid w:val="00516D26"/>
    <w:rsid w:val="005209DC"/>
    <w:rsid w:val="005220F6"/>
    <w:rsid w:val="00526DE1"/>
    <w:rsid w:val="00530AEC"/>
    <w:rsid w:val="00531EDC"/>
    <w:rsid w:val="0053278D"/>
    <w:rsid w:val="00534D29"/>
    <w:rsid w:val="005355E8"/>
    <w:rsid w:val="005373FA"/>
    <w:rsid w:val="00540455"/>
    <w:rsid w:val="0054659E"/>
    <w:rsid w:val="00551723"/>
    <w:rsid w:val="00553BEC"/>
    <w:rsid w:val="00553C47"/>
    <w:rsid w:val="005544FC"/>
    <w:rsid w:val="00554B91"/>
    <w:rsid w:val="0056017D"/>
    <w:rsid w:val="0056524D"/>
    <w:rsid w:val="00567E31"/>
    <w:rsid w:val="00572A11"/>
    <w:rsid w:val="00572F32"/>
    <w:rsid w:val="00577837"/>
    <w:rsid w:val="00581615"/>
    <w:rsid w:val="005845C2"/>
    <w:rsid w:val="00586B35"/>
    <w:rsid w:val="00586CC5"/>
    <w:rsid w:val="00587C1D"/>
    <w:rsid w:val="00590D06"/>
    <w:rsid w:val="005A0A73"/>
    <w:rsid w:val="005A525E"/>
    <w:rsid w:val="005A54D2"/>
    <w:rsid w:val="005A5574"/>
    <w:rsid w:val="005B269F"/>
    <w:rsid w:val="005B42C7"/>
    <w:rsid w:val="005B5280"/>
    <w:rsid w:val="005B5E7B"/>
    <w:rsid w:val="005C006E"/>
    <w:rsid w:val="005C044B"/>
    <w:rsid w:val="005C7DB0"/>
    <w:rsid w:val="005C7FEE"/>
    <w:rsid w:val="005D32DB"/>
    <w:rsid w:val="005D5FC3"/>
    <w:rsid w:val="005E1C7A"/>
    <w:rsid w:val="005E5EBB"/>
    <w:rsid w:val="005E671D"/>
    <w:rsid w:val="005E70EC"/>
    <w:rsid w:val="005E7876"/>
    <w:rsid w:val="005F15A1"/>
    <w:rsid w:val="005F4A07"/>
    <w:rsid w:val="005F63CF"/>
    <w:rsid w:val="005F6F90"/>
    <w:rsid w:val="006009DA"/>
    <w:rsid w:val="00601641"/>
    <w:rsid w:val="0060174F"/>
    <w:rsid w:val="00604108"/>
    <w:rsid w:val="00604B56"/>
    <w:rsid w:val="00610574"/>
    <w:rsid w:val="00610DD3"/>
    <w:rsid w:val="0061136F"/>
    <w:rsid w:val="006157AA"/>
    <w:rsid w:val="0061678A"/>
    <w:rsid w:val="00621875"/>
    <w:rsid w:val="00622A0A"/>
    <w:rsid w:val="006250DD"/>
    <w:rsid w:val="0062638F"/>
    <w:rsid w:val="00627560"/>
    <w:rsid w:val="0063377D"/>
    <w:rsid w:val="0063581F"/>
    <w:rsid w:val="00636E40"/>
    <w:rsid w:val="00637576"/>
    <w:rsid w:val="00637B02"/>
    <w:rsid w:val="00640D3A"/>
    <w:rsid w:val="00642F82"/>
    <w:rsid w:val="00644997"/>
    <w:rsid w:val="00645B8A"/>
    <w:rsid w:val="00646372"/>
    <w:rsid w:val="006473A7"/>
    <w:rsid w:val="006536D2"/>
    <w:rsid w:val="00653FC9"/>
    <w:rsid w:val="00654556"/>
    <w:rsid w:val="00663274"/>
    <w:rsid w:val="006632F6"/>
    <w:rsid w:val="00672A93"/>
    <w:rsid w:val="00674D34"/>
    <w:rsid w:val="00677446"/>
    <w:rsid w:val="0068007F"/>
    <w:rsid w:val="00680288"/>
    <w:rsid w:val="006806F7"/>
    <w:rsid w:val="00680D53"/>
    <w:rsid w:val="00686D2D"/>
    <w:rsid w:val="00694C13"/>
    <w:rsid w:val="00695093"/>
    <w:rsid w:val="00697753"/>
    <w:rsid w:val="00697DE6"/>
    <w:rsid w:val="00697FA0"/>
    <w:rsid w:val="006A1B71"/>
    <w:rsid w:val="006A1C54"/>
    <w:rsid w:val="006A640B"/>
    <w:rsid w:val="006A66C1"/>
    <w:rsid w:val="006A673A"/>
    <w:rsid w:val="006B0452"/>
    <w:rsid w:val="006B3A31"/>
    <w:rsid w:val="006B6AAE"/>
    <w:rsid w:val="006B7B2D"/>
    <w:rsid w:val="006C4ED2"/>
    <w:rsid w:val="006D31C4"/>
    <w:rsid w:val="006D348C"/>
    <w:rsid w:val="006D5E2B"/>
    <w:rsid w:val="006D76C4"/>
    <w:rsid w:val="006E1088"/>
    <w:rsid w:val="006E2330"/>
    <w:rsid w:val="006E3773"/>
    <w:rsid w:val="006E37FB"/>
    <w:rsid w:val="006E716E"/>
    <w:rsid w:val="006E7469"/>
    <w:rsid w:val="006E7BED"/>
    <w:rsid w:val="006F3F8D"/>
    <w:rsid w:val="006F546B"/>
    <w:rsid w:val="006F7D50"/>
    <w:rsid w:val="00701B71"/>
    <w:rsid w:val="0070266F"/>
    <w:rsid w:val="00703E82"/>
    <w:rsid w:val="00704346"/>
    <w:rsid w:val="007059EC"/>
    <w:rsid w:val="00706071"/>
    <w:rsid w:val="007153EE"/>
    <w:rsid w:val="007166BC"/>
    <w:rsid w:val="007169D2"/>
    <w:rsid w:val="00723674"/>
    <w:rsid w:val="00723DF0"/>
    <w:rsid w:val="007303D9"/>
    <w:rsid w:val="00735DAC"/>
    <w:rsid w:val="00737B19"/>
    <w:rsid w:val="0074170A"/>
    <w:rsid w:val="007433A6"/>
    <w:rsid w:val="00746057"/>
    <w:rsid w:val="00751F01"/>
    <w:rsid w:val="00754A98"/>
    <w:rsid w:val="00762FC3"/>
    <w:rsid w:val="0076363D"/>
    <w:rsid w:val="00764F32"/>
    <w:rsid w:val="007661AA"/>
    <w:rsid w:val="0076686C"/>
    <w:rsid w:val="00772868"/>
    <w:rsid w:val="00780C24"/>
    <w:rsid w:val="00781CB9"/>
    <w:rsid w:val="007826A0"/>
    <w:rsid w:val="0078386B"/>
    <w:rsid w:val="00786CD4"/>
    <w:rsid w:val="0078759B"/>
    <w:rsid w:val="0079016F"/>
    <w:rsid w:val="00790478"/>
    <w:rsid w:val="007917D9"/>
    <w:rsid w:val="007928A0"/>
    <w:rsid w:val="00794AD0"/>
    <w:rsid w:val="00795C63"/>
    <w:rsid w:val="007A08AD"/>
    <w:rsid w:val="007A0DE0"/>
    <w:rsid w:val="007A2AF8"/>
    <w:rsid w:val="007A3251"/>
    <w:rsid w:val="007A4826"/>
    <w:rsid w:val="007A5690"/>
    <w:rsid w:val="007A7DAE"/>
    <w:rsid w:val="007C05DD"/>
    <w:rsid w:val="007C3E1A"/>
    <w:rsid w:val="007C455C"/>
    <w:rsid w:val="007D238A"/>
    <w:rsid w:val="007D5C1F"/>
    <w:rsid w:val="007D5FF2"/>
    <w:rsid w:val="007D691C"/>
    <w:rsid w:val="007D76AB"/>
    <w:rsid w:val="007E2195"/>
    <w:rsid w:val="007E2E30"/>
    <w:rsid w:val="007E3259"/>
    <w:rsid w:val="007E3F83"/>
    <w:rsid w:val="007E68CF"/>
    <w:rsid w:val="007F11B6"/>
    <w:rsid w:val="007F4965"/>
    <w:rsid w:val="007F4B2A"/>
    <w:rsid w:val="007F6165"/>
    <w:rsid w:val="007F763B"/>
    <w:rsid w:val="00802C6F"/>
    <w:rsid w:val="008146D1"/>
    <w:rsid w:val="00820E18"/>
    <w:rsid w:val="00824A8C"/>
    <w:rsid w:val="008276C1"/>
    <w:rsid w:val="00827F81"/>
    <w:rsid w:val="00834A51"/>
    <w:rsid w:val="00837BD6"/>
    <w:rsid w:val="00841795"/>
    <w:rsid w:val="00847CCE"/>
    <w:rsid w:val="00851CD4"/>
    <w:rsid w:val="0085294E"/>
    <w:rsid w:val="00852EEF"/>
    <w:rsid w:val="008619C4"/>
    <w:rsid w:val="00863AD9"/>
    <w:rsid w:val="00870ED0"/>
    <w:rsid w:val="00873E8E"/>
    <w:rsid w:val="00874B74"/>
    <w:rsid w:val="00875AEF"/>
    <w:rsid w:val="00877E5E"/>
    <w:rsid w:val="008846A5"/>
    <w:rsid w:val="0089213D"/>
    <w:rsid w:val="00893377"/>
    <w:rsid w:val="00893DDF"/>
    <w:rsid w:val="00897602"/>
    <w:rsid w:val="008A054C"/>
    <w:rsid w:val="008A0692"/>
    <w:rsid w:val="008A1537"/>
    <w:rsid w:val="008A2DC6"/>
    <w:rsid w:val="008A7071"/>
    <w:rsid w:val="008A720A"/>
    <w:rsid w:val="008B00E0"/>
    <w:rsid w:val="008B2C29"/>
    <w:rsid w:val="008B476A"/>
    <w:rsid w:val="008B7A5C"/>
    <w:rsid w:val="008C05A7"/>
    <w:rsid w:val="008C0CA5"/>
    <w:rsid w:val="008C2CF1"/>
    <w:rsid w:val="008C2F4C"/>
    <w:rsid w:val="008C53EE"/>
    <w:rsid w:val="008D0FF2"/>
    <w:rsid w:val="008D16C3"/>
    <w:rsid w:val="008D2823"/>
    <w:rsid w:val="008D643F"/>
    <w:rsid w:val="008E48A2"/>
    <w:rsid w:val="008E7620"/>
    <w:rsid w:val="008F116F"/>
    <w:rsid w:val="008F319D"/>
    <w:rsid w:val="008F44AB"/>
    <w:rsid w:val="008F5CE7"/>
    <w:rsid w:val="00900EBE"/>
    <w:rsid w:val="00905CB4"/>
    <w:rsid w:val="009110D8"/>
    <w:rsid w:val="00914220"/>
    <w:rsid w:val="009144F3"/>
    <w:rsid w:val="00921440"/>
    <w:rsid w:val="00923A0D"/>
    <w:rsid w:val="00925139"/>
    <w:rsid w:val="009341F2"/>
    <w:rsid w:val="00937A1D"/>
    <w:rsid w:val="00943F79"/>
    <w:rsid w:val="0094794F"/>
    <w:rsid w:val="00951A5A"/>
    <w:rsid w:val="00961DD8"/>
    <w:rsid w:val="009621D8"/>
    <w:rsid w:val="00972798"/>
    <w:rsid w:val="00974361"/>
    <w:rsid w:val="009827D9"/>
    <w:rsid w:val="00984963"/>
    <w:rsid w:val="009877C2"/>
    <w:rsid w:val="009915CE"/>
    <w:rsid w:val="0099257D"/>
    <w:rsid w:val="009925E3"/>
    <w:rsid w:val="009A1864"/>
    <w:rsid w:val="009A436A"/>
    <w:rsid w:val="009A4D75"/>
    <w:rsid w:val="009A5681"/>
    <w:rsid w:val="009B1C6F"/>
    <w:rsid w:val="009B3682"/>
    <w:rsid w:val="009C677C"/>
    <w:rsid w:val="009C6ED7"/>
    <w:rsid w:val="009D16FA"/>
    <w:rsid w:val="009D1B89"/>
    <w:rsid w:val="009D1CE3"/>
    <w:rsid w:val="009D2464"/>
    <w:rsid w:val="009D61C9"/>
    <w:rsid w:val="009D7215"/>
    <w:rsid w:val="009E081C"/>
    <w:rsid w:val="009E3959"/>
    <w:rsid w:val="009E659D"/>
    <w:rsid w:val="009F0650"/>
    <w:rsid w:val="009F192C"/>
    <w:rsid w:val="009F72A8"/>
    <w:rsid w:val="00A05047"/>
    <w:rsid w:val="00A0592B"/>
    <w:rsid w:val="00A05D0A"/>
    <w:rsid w:val="00A064B7"/>
    <w:rsid w:val="00A16097"/>
    <w:rsid w:val="00A208B1"/>
    <w:rsid w:val="00A22DB2"/>
    <w:rsid w:val="00A24B82"/>
    <w:rsid w:val="00A2705C"/>
    <w:rsid w:val="00A31AD7"/>
    <w:rsid w:val="00A33279"/>
    <w:rsid w:val="00A34300"/>
    <w:rsid w:val="00A3751C"/>
    <w:rsid w:val="00A400DC"/>
    <w:rsid w:val="00A41DFB"/>
    <w:rsid w:val="00A4258B"/>
    <w:rsid w:val="00A42E59"/>
    <w:rsid w:val="00A45A97"/>
    <w:rsid w:val="00A461A8"/>
    <w:rsid w:val="00A469E6"/>
    <w:rsid w:val="00A50A98"/>
    <w:rsid w:val="00A52E4F"/>
    <w:rsid w:val="00A53979"/>
    <w:rsid w:val="00A60DD1"/>
    <w:rsid w:val="00A70816"/>
    <w:rsid w:val="00A72FD6"/>
    <w:rsid w:val="00A743B0"/>
    <w:rsid w:val="00A7628A"/>
    <w:rsid w:val="00A779D7"/>
    <w:rsid w:val="00A9082E"/>
    <w:rsid w:val="00A94C9A"/>
    <w:rsid w:val="00A976D6"/>
    <w:rsid w:val="00AA13B4"/>
    <w:rsid w:val="00AA6B1D"/>
    <w:rsid w:val="00AB37E7"/>
    <w:rsid w:val="00AB4FD2"/>
    <w:rsid w:val="00AC288C"/>
    <w:rsid w:val="00AC7EC8"/>
    <w:rsid w:val="00AD0F43"/>
    <w:rsid w:val="00AD341C"/>
    <w:rsid w:val="00AD4283"/>
    <w:rsid w:val="00AE00CC"/>
    <w:rsid w:val="00AF230B"/>
    <w:rsid w:val="00AF732B"/>
    <w:rsid w:val="00B0283A"/>
    <w:rsid w:val="00B04F4E"/>
    <w:rsid w:val="00B055BC"/>
    <w:rsid w:val="00B100E4"/>
    <w:rsid w:val="00B123E2"/>
    <w:rsid w:val="00B138B7"/>
    <w:rsid w:val="00B21F3E"/>
    <w:rsid w:val="00B22944"/>
    <w:rsid w:val="00B27713"/>
    <w:rsid w:val="00B27999"/>
    <w:rsid w:val="00B310DF"/>
    <w:rsid w:val="00B32136"/>
    <w:rsid w:val="00B3221C"/>
    <w:rsid w:val="00B32274"/>
    <w:rsid w:val="00B3250B"/>
    <w:rsid w:val="00B32FEE"/>
    <w:rsid w:val="00B37408"/>
    <w:rsid w:val="00B41D9C"/>
    <w:rsid w:val="00B43906"/>
    <w:rsid w:val="00B439C6"/>
    <w:rsid w:val="00B44611"/>
    <w:rsid w:val="00B44618"/>
    <w:rsid w:val="00B54340"/>
    <w:rsid w:val="00B5483D"/>
    <w:rsid w:val="00B61B7D"/>
    <w:rsid w:val="00B623FF"/>
    <w:rsid w:val="00B62B50"/>
    <w:rsid w:val="00B630A2"/>
    <w:rsid w:val="00B64C44"/>
    <w:rsid w:val="00B66FD3"/>
    <w:rsid w:val="00B71A57"/>
    <w:rsid w:val="00B73B77"/>
    <w:rsid w:val="00B74780"/>
    <w:rsid w:val="00B7508B"/>
    <w:rsid w:val="00B82B1D"/>
    <w:rsid w:val="00B8504B"/>
    <w:rsid w:val="00B91C93"/>
    <w:rsid w:val="00B96A1D"/>
    <w:rsid w:val="00BA0C9E"/>
    <w:rsid w:val="00BA1A00"/>
    <w:rsid w:val="00BA26C9"/>
    <w:rsid w:val="00BA5956"/>
    <w:rsid w:val="00BA7AA0"/>
    <w:rsid w:val="00BB1493"/>
    <w:rsid w:val="00BB32C1"/>
    <w:rsid w:val="00BB4401"/>
    <w:rsid w:val="00BB6C4F"/>
    <w:rsid w:val="00BC6AE9"/>
    <w:rsid w:val="00BC748D"/>
    <w:rsid w:val="00BD0769"/>
    <w:rsid w:val="00BD103B"/>
    <w:rsid w:val="00BD1D4B"/>
    <w:rsid w:val="00BD1E42"/>
    <w:rsid w:val="00BD36A6"/>
    <w:rsid w:val="00BD5550"/>
    <w:rsid w:val="00BD5A7C"/>
    <w:rsid w:val="00BD5C6F"/>
    <w:rsid w:val="00BD7A8F"/>
    <w:rsid w:val="00BE3357"/>
    <w:rsid w:val="00BE5475"/>
    <w:rsid w:val="00BE58E1"/>
    <w:rsid w:val="00BE6A39"/>
    <w:rsid w:val="00BF15BD"/>
    <w:rsid w:val="00BF28FC"/>
    <w:rsid w:val="00BF4FBD"/>
    <w:rsid w:val="00BF5A27"/>
    <w:rsid w:val="00BF6F45"/>
    <w:rsid w:val="00BF784E"/>
    <w:rsid w:val="00C00A6B"/>
    <w:rsid w:val="00C0550C"/>
    <w:rsid w:val="00C06A58"/>
    <w:rsid w:val="00C107DB"/>
    <w:rsid w:val="00C125AB"/>
    <w:rsid w:val="00C146BF"/>
    <w:rsid w:val="00C17332"/>
    <w:rsid w:val="00C23541"/>
    <w:rsid w:val="00C2440E"/>
    <w:rsid w:val="00C2467D"/>
    <w:rsid w:val="00C2586C"/>
    <w:rsid w:val="00C270B6"/>
    <w:rsid w:val="00C27230"/>
    <w:rsid w:val="00C3510F"/>
    <w:rsid w:val="00C36780"/>
    <w:rsid w:val="00C42E2E"/>
    <w:rsid w:val="00C43B53"/>
    <w:rsid w:val="00C44B58"/>
    <w:rsid w:val="00C52042"/>
    <w:rsid w:val="00C5588F"/>
    <w:rsid w:val="00C5615D"/>
    <w:rsid w:val="00C561D9"/>
    <w:rsid w:val="00C56E06"/>
    <w:rsid w:val="00C5763A"/>
    <w:rsid w:val="00C611BE"/>
    <w:rsid w:val="00C65BA6"/>
    <w:rsid w:val="00C670D5"/>
    <w:rsid w:val="00C76450"/>
    <w:rsid w:val="00C85348"/>
    <w:rsid w:val="00C8601E"/>
    <w:rsid w:val="00C8706E"/>
    <w:rsid w:val="00CA2FB8"/>
    <w:rsid w:val="00CA68CD"/>
    <w:rsid w:val="00CB66B3"/>
    <w:rsid w:val="00CB6B34"/>
    <w:rsid w:val="00CB6BC4"/>
    <w:rsid w:val="00CB7EBB"/>
    <w:rsid w:val="00CC41DC"/>
    <w:rsid w:val="00CC5D92"/>
    <w:rsid w:val="00CC6DA6"/>
    <w:rsid w:val="00CD349E"/>
    <w:rsid w:val="00CD626C"/>
    <w:rsid w:val="00CD75D0"/>
    <w:rsid w:val="00CE07E8"/>
    <w:rsid w:val="00CE45CF"/>
    <w:rsid w:val="00CF0345"/>
    <w:rsid w:val="00CF1C05"/>
    <w:rsid w:val="00CF240E"/>
    <w:rsid w:val="00D004A5"/>
    <w:rsid w:val="00D01825"/>
    <w:rsid w:val="00D02A0B"/>
    <w:rsid w:val="00D04AFC"/>
    <w:rsid w:val="00D05C21"/>
    <w:rsid w:val="00D117F7"/>
    <w:rsid w:val="00D13BFB"/>
    <w:rsid w:val="00D152C4"/>
    <w:rsid w:val="00D15E17"/>
    <w:rsid w:val="00D2224E"/>
    <w:rsid w:val="00D242C7"/>
    <w:rsid w:val="00D26D17"/>
    <w:rsid w:val="00D3184D"/>
    <w:rsid w:val="00D33B4D"/>
    <w:rsid w:val="00D37538"/>
    <w:rsid w:val="00D42477"/>
    <w:rsid w:val="00D43AD5"/>
    <w:rsid w:val="00D4414F"/>
    <w:rsid w:val="00D50849"/>
    <w:rsid w:val="00D51943"/>
    <w:rsid w:val="00D53493"/>
    <w:rsid w:val="00D5526C"/>
    <w:rsid w:val="00D55281"/>
    <w:rsid w:val="00D60B7F"/>
    <w:rsid w:val="00D60CF5"/>
    <w:rsid w:val="00D6124D"/>
    <w:rsid w:val="00D6248C"/>
    <w:rsid w:val="00D64143"/>
    <w:rsid w:val="00D65B5A"/>
    <w:rsid w:val="00D70BB5"/>
    <w:rsid w:val="00D7134F"/>
    <w:rsid w:val="00D713A9"/>
    <w:rsid w:val="00D720EF"/>
    <w:rsid w:val="00D744A2"/>
    <w:rsid w:val="00D7488A"/>
    <w:rsid w:val="00D757D4"/>
    <w:rsid w:val="00D7732C"/>
    <w:rsid w:val="00D77802"/>
    <w:rsid w:val="00D80D02"/>
    <w:rsid w:val="00D811D3"/>
    <w:rsid w:val="00D81347"/>
    <w:rsid w:val="00D8216E"/>
    <w:rsid w:val="00D8312D"/>
    <w:rsid w:val="00D83BD6"/>
    <w:rsid w:val="00D842E5"/>
    <w:rsid w:val="00D9663D"/>
    <w:rsid w:val="00DA07CB"/>
    <w:rsid w:val="00DA264D"/>
    <w:rsid w:val="00DA2B33"/>
    <w:rsid w:val="00DB085F"/>
    <w:rsid w:val="00DB0DCA"/>
    <w:rsid w:val="00DB1775"/>
    <w:rsid w:val="00DB44C0"/>
    <w:rsid w:val="00DC01BF"/>
    <w:rsid w:val="00DC0EC3"/>
    <w:rsid w:val="00DC5CC5"/>
    <w:rsid w:val="00DC76BF"/>
    <w:rsid w:val="00DD10B4"/>
    <w:rsid w:val="00DE0D01"/>
    <w:rsid w:val="00DE1286"/>
    <w:rsid w:val="00DF07D5"/>
    <w:rsid w:val="00DF0D90"/>
    <w:rsid w:val="00DF16BE"/>
    <w:rsid w:val="00DF1E6F"/>
    <w:rsid w:val="00DF45F6"/>
    <w:rsid w:val="00DF4808"/>
    <w:rsid w:val="00DF5195"/>
    <w:rsid w:val="00E028C9"/>
    <w:rsid w:val="00E04474"/>
    <w:rsid w:val="00E04CC2"/>
    <w:rsid w:val="00E10190"/>
    <w:rsid w:val="00E103DD"/>
    <w:rsid w:val="00E10F32"/>
    <w:rsid w:val="00E118F2"/>
    <w:rsid w:val="00E12A09"/>
    <w:rsid w:val="00E13B97"/>
    <w:rsid w:val="00E21989"/>
    <w:rsid w:val="00E238BC"/>
    <w:rsid w:val="00E25D84"/>
    <w:rsid w:val="00E34E9E"/>
    <w:rsid w:val="00E35BA7"/>
    <w:rsid w:val="00E400DF"/>
    <w:rsid w:val="00E40836"/>
    <w:rsid w:val="00E415BD"/>
    <w:rsid w:val="00E458C9"/>
    <w:rsid w:val="00E4722D"/>
    <w:rsid w:val="00E50FBD"/>
    <w:rsid w:val="00E51E18"/>
    <w:rsid w:val="00E529F2"/>
    <w:rsid w:val="00E53025"/>
    <w:rsid w:val="00E545D8"/>
    <w:rsid w:val="00E54631"/>
    <w:rsid w:val="00E61A17"/>
    <w:rsid w:val="00E63A86"/>
    <w:rsid w:val="00E70AB6"/>
    <w:rsid w:val="00E710B7"/>
    <w:rsid w:val="00E730B8"/>
    <w:rsid w:val="00E74538"/>
    <w:rsid w:val="00E74C17"/>
    <w:rsid w:val="00E75504"/>
    <w:rsid w:val="00E75F54"/>
    <w:rsid w:val="00E7642B"/>
    <w:rsid w:val="00E7653F"/>
    <w:rsid w:val="00E77258"/>
    <w:rsid w:val="00E839DE"/>
    <w:rsid w:val="00E84708"/>
    <w:rsid w:val="00E932A5"/>
    <w:rsid w:val="00E95F57"/>
    <w:rsid w:val="00EA449F"/>
    <w:rsid w:val="00EB04B2"/>
    <w:rsid w:val="00EB2199"/>
    <w:rsid w:val="00EB4DAC"/>
    <w:rsid w:val="00EC245E"/>
    <w:rsid w:val="00EC30F5"/>
    <w:rsid w:val="00EC4965"/>
    <w:rsid w:val="00EC4967"/>
    <w:rsid w:val="00EC61CB"/>
    <w:rsid w:val="00ED1DC0"/>
    <w:rsid w:val="00ED5955"/>
    <w:rsid w:val="00ED7D6F"/>
    <w:rsid w:val="00EE27CC"/>
    <w:rsid w:val="00EE2AB5"/>
    <w:rsid w:val="00EE5A93"/>
    <w:rsid w:val="00EE612A"/>
    <w:rsid w:val="00EF6375"/>
    <w:rsid w:val="00F06900"/>
    <w:rsid w:val="00F06ED6"/>
    <w:rsid w:val="00F10D0F"/>
    <w:rsid w:val="00F146F3"/>
    <w:rsid w:val="00F223E9"/>
    <w:rsid w:val="00F32C7E"/>
    <w:rsid w:val="00F41FEB"/>
    <w:rsid w:val="00F428DE"/>
    <w:rsid w:val="00F42F18"/>
    <w:rsid w:val="00F439D8"/>
    <w:rsid w:val="00F44CFA"/>
    <w:rsid w:val="00F45FDC"/>
    <w:rsid w:val="00F4692B"/>
    <w:rsid w:val="00F47BD4"/>
    <w:rsid w:val="00F5033F"/>
    <w:rsid w:val="00F50825"/>
    <w:rsid w:val="00F5546D"/>
    <w:rsid w:val="00F6547A"/>
    <w:rsid w:val="00F666EA"/>
    <w:rsid w:val="00F75965"/>
    <w:rsid w:val="00F75985"/>
    <w:rsid w:val="00F76B3B"/>
    <w:rsid w:val="00F800C7"/>
    <w:rsid w:val="00F8015B"/>
    <w:rsid w:val="00F81178"/>
    <w:rsid w:val="00F842E8"/>
    <w:rsid w:val="00F860B8"/>
    <w:rsid w:val="00F94835"/>
    <w:rsid w:val="00F95E0E"/>
    <w:rsid w:val="00F97752"/>
    <w:rsid w:val="00FA12DC"/>
    <w:rsid w:val="00FA1D47"/>
    <w:rsid w:val="00FA4302"/>
    <w:rsid w:val="00FA4FD7"/>
    <w:rsid w:val="00FA6FBE"/>
    <w:rsid w:val="00FA76CA"/>
    <w:rsid w:val="00FB0E74"/>
    <w:rsid w:val="00FB0EDE"/>
    <w:rsid w:val="00FB1626"/>
    <w:rsid w:val="00FB2E7F"/>
    <w:rsid w:val="00FB4B2F"/>
    <w:rsid w:val="00FB5A27"/>
    <w:rsid w:val="00FC01E5"/>
    <w:rsid w:val="00FC03E0"/>
    <w:rsid w:val="00FC6A0C"/>
    <w:rsid w:val="00FD5456"/>
    <w:rsid w:val="00FD6C0C"/>
    <w:rsid w:val="00FE1A97"/>
    <w:rsid w:val="00FE2E06"/>
    <w:rsid w:val="00FE60E3"/>
    <w:rsid w:val="00FE65EC"/>
    <w:rsid w:val="00FF39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rules v:ext="edit">
        <o:r id="V:Rule2" type="connector" idref="#_x0000_s2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331"/>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E53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5331"/>
    <w:rPr>
      <w:rFonts w:ascii="Arial" w:eastAsia="Calibri" w:hAnsi="Arial" w:cs="Times New Roman"/>
      <w:sz w:val="20"/>
    </w:rPr>
  </w:style>
  <w:style w:type="paragraph" w:styleId="Zpat">
    <w:name w:val="footer"/>
    <w:basedOn w:val="Normln"/>
    <w:link w:val="ZpatChar"/>
    <w:uiPriority w:val="99"/>
    <w:unhideWhenUsed/>
    <w:rsid w:val="002E5331"/>
    <w:pPr>
      <w:tabs>
        <w:tab w:val="center" w:pos="4536"/>
        <w:tab w:val="right" w:pos="9072"/>
      </w:tabs>
      <w:spacing w:after="0" w:line="240" w:lineRule="auto"/>
    </w:pPr>
  </w:style>
  <w:style w:type="character" w:customStyle="1" w:styleId="ZpatChar">
    <w:name w:val="Zápatí Char"/>
    <w:basedOn w:val="Standardnpsmoodstavce"/>
    <w:link w:val="Zpat"/>
    <w:uiPriority w:val="99"/>
    <w:rsid w:val="002E5331"/>
    <w:rPr>
      <w:rFonts w:ascii="Arial" w:eastAsia="Calibri" w:hAnsi="Arial" w:cs="Times New Roman"/>
      <w:sz w:val="20"/>
    </w:rPr>
  </w:style>
  <w:style w:type="paragraph" w:styleId="Textpoznpodarou">
    <w:name w:val="footnote text"/>
    <w:basedOn w:val="Normln"/>
    <w:link w:val="TextpoznpodarouChar"/>
    <w:uiPriority w:val="99"/>
    <w:semiHidden/>
    <w:unhideWhenUsed/>
    <w:rsid w:val="002E5331"/>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2E5331"/>
    <w:rPr>
      <w:rFonts w:ascii="Arial" w:eastAsia="Calibri" w:hAnsi="Arial" w:cs="Times New Roman"/>
      <w:sz w:val="20"/>
      <w:szCs w:val="20"/>
    </w:rPr>
  </w:style>
  <w:style w:type="character" w:styleId="Znakapoznpodarou">
    <w:name w:val="footnote reference"/>
    <w:basedOn w:val="Standardnpsmoodstavce"/>
    <w:uiPriority w:val="99"/>
    <w:semiHidden/>
    <w:unhideWhenUsed/>
    <w:rsid w:val="002E5331"/>
    <w:rPr>
      <w:vertAlign w:val="superscript"/>
    </w:rPr>
  </w:style>
  <w:style w:type="paragraph" w:customStyle="1" w:styleId="Default">
    <w:name w:val="Default"/>
    <w:rsid w:val="002E5331"/>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uiPriority w:val="99"/>
    <w:unhideWhenUsed/>
    <w:rsid w:val="002E5331"/>
    <w:rPr>
      <w:color w:val="0000FF"/>
      <w:u w:val="single"/>
    </w:rPr>
  </w:style>
  <w:style w:type="paragraph" w:styleId="Textbubliny">
    <w:name w:val="Balloon Text"/>
    <w:basedOn w:val="Normln"/>
    <w:link w:val="TextbublinyChar"/>
    <w:uiPriority w:val="99"/>
    <w:semiHidden/>
    <w:unhideWhenUsed/>
    <w:rsid w:val="002E53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5331"/>
    <w:rPr>
      <w:rFonts w:ascii="Tahoma" w:eastAsia="Calibri" w:hAnsi="Tahoma" w:cs="Tahoma"/>
      <w:sz w:val="16"/>
      <w:szCs w:val="16"/>
    </w:rPr>
  </w:style>
  <w:style w:type="paragraph" w:styleId="Textkomente">
    <w:name w:val="annotation text"/>
    <w:basedOn w:val="Normln"/>
    <w:link w:val="TextkomenteChar"/>
    <w:uiPriority w:val="99"/>
    <w:unhideWhenUsed/>
    <w:rsid w:val="00697753"/>
    <w:pPr>
      <w:spacing w:line="240" w:lineRule="auto"/>
    </w:pPr>
    <w:rPr>
      <w:szCs w:val="20"/>
    </w:rPr>
  </w:style>
  <w:style w:type="character" w:customStyle="1" w:styleId="TextkomenteChar">
    <w:name w:val="Text komentáře Char"/>
    <w:basedOn w:val="Standardnpsmoodstavce"/>
    <w:link w:val="Textkomente"/>
    <w:uiPriority w:val="99"/>
    <w:rsid w:val="00697753"/>
    <w:rPr>
      <w:rFonts w:ascii="Arial" w:eastAsia="Calibri" w:hAnsi="Arial" w:cs="Times New Roman"/>
      <w:sz w:val="20"/>
      <w:szCs w:val="20"/>
    </w:rPr>
  </w:style>
  <w:style w:type="paragraph" w:styleId="Bezmezer">
    <w:name w:val="No Spacing"/>
    <w:uiPriority w:val="1"/>
    <w:qFormat/>
    <w:rsid w:val="00697753"/>
    <w:pPr>
      <w:spacing w:after="0" w:line="240" w:lineRule="auto"/>
    </w:pPr>
    <w:rPr>
      <w:rFonts w:ascii="Arial" w:eastAsia="Calibri" w:hAnsi="Arial" w:cs="Times New Roman"/>
      <w:sz w:val="20"/>
    </w:rPr>
  </w:style>
  <w:style w:type="paragraph" w:styleId="Odstavecseseznamem">
    <w:name w:val="List Paragraph"/>
    <w:basedOn w:val="Normln"/>
    <w:uiPriority w:val="34"/>
    <w:qFormat/>
    <w:rsid w:val="00500B18"/>
    <w:pPr>
      <w:ind w:left="720"/>
      <w:contextualSpacing/>
    </w:pPr>
  </w:style>
  <w:style w:type="character" w:styleId="Odkaznakoment">
    <w:name w:val="annotation reference"/>
    <w:basedOn w:val="Standardnpsmoodstavce"/>
    <w:uiPriority w:val="99"/>
    <w:semiHidden/>
    <w:unhideWhenUsed/>
    <w:rsid w:val="00A53979"/>
    <w:rPr>
      <w:sz w:val="16"/>
      <w:szCs w:val="16"/>
    </w:rPr>
  </w:style>
  <w:style w:type="paragraph" w:styleId="Pedmtkomente">
    <w:name w:val="annotation subject"/>
    <w:basedOn w:val="Textkomente"/>
    <w:next w:val="Textkomente"/>
    <w:link w:val="PedmtkomenteChar"/>
    <w:uiPriority w:val="99"/>
    <w:semiHidden/>
    <w:unhideWhenUsed/>
    <w:rsid w:val="00A53979"/>
    <w:rPr>
      <w:b/>
      <w:bCs/>
    </w:rPr>
  </w:style>
  <w:style w:type="character" w:customStyle="1" w:styleId="PedmtkomenteChar">
    <w:name w:val="Předmět komentáře Char"/>
    <w:basedOn w:val="TextkomenteChar"/>
    <w:link w:val="Pedmtkomente"/>
    <w:uiPriority w:val="99"/>
    <w:semiHidden/>
    <w:rsid w:val="00A53979"/>
    <w:rPr>
      <w:b/>
      <w:bCs/>
    </w:rPr>
  </w:style>
</w:styles>
</file>

<file path=word/webSettings.xml><?xml version="1.0" encoding="utf-8"?>
<w:webSettings xmlns:r="http://schemas.openxmlformats.org/officeDocument/2006/relationships" xmlns:w="http://schemas.openxmlformats.org/wordprocessingml/2006/main">
  <w:divs>
    <w:div w:id="181627119">
      <w:bodyDiv w:val="1"/>
      <w:marLeft w:val="0"/>
      <w:marRight w:val="0"/>
      <w:marTop w:val="0"/>
      <w:marBottom w:val="0"/>
      <w:divBdr>
        <w:top w:val="none" w:sz="0" w:space="0" w:color="auto"/>
        <w:left w:val="none" w:sz="0" w:space="0" w:color="auto"/>
        <w:bottom w:val="none" w:sz="0" w:space="0" w:color="auto"/>
        <w:right w:val="none" w:sz="0" w:space="0" w:color="auto"/>
      </w:divBdr>
    </w:div>
    <w:div w:id="781077047">
      <w:bodyDiv w:val="1"/>
      <w:marLeft w:val="0"/>
      <w:marRight w:val="0"/>
      <w:marTop w:val="0"/>
      <w:marBottom w:val="0"/>
      <w:divBdr>
        <w:top w:val="none" w:sz="0" w:space="0" w:color="auto"/>
        <w:left w:val="none" w:sz="0" w:space="0" w:color="auto"/>
        <w:bottom w:val="none" w:sz="0" w:space="0" w:color="auto"/>
        <w:right w:val="none" w:sz="0" w:space="0" w:color="auto"/>
      </w:divBdr>
    </w:div>
    <w:div w:id="13378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yperlink" Target="mailto:pavlina.habartova@czso.cz"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7.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18878-0C2C-45CC-BBC0-FA3B80C5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4434</Words>
  <Characters>26165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30538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habartova16980</cp:lastModifiedBy>
  <cp:revision>4</cp:revision>
  <cp:lastPrinted>2014-03-12T09:24:00Z</cp:lastPrinted>
  <dcterms:created xsi:type="dcterms:W3CDTF">2014-03-17T15:58:00Z</dcterms:created>
  <dcterms:modified xsi:type="dcterms:W3CDTF">2014-03-18T09:24:00Z</dcterms:modified>
</cp:coreProperties>
</file>