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0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</w:p>
    <w:p w:rsidR="00821090" w:rsidRDefault="00821090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statistiky zahraničního obchodu </w:t>
      </w:r>
      <w:r w:rsidR="005C2B75"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8A1FA1" w:rsidRDefault="008A1FA1" w:rsidP="008A1FA1">
      <w:pPr>
        <w:spacing w:after="120"/>
        <w:jc w:val="both"/>
        <w:rPr>
          <w:rFonts w:ascii="Arial" w:hAnsi="Arial"/>
          <w:sz w:val="18"/>
          <w:szCs w:val="20"/>
        </w:rPr>
      </w:pPr>
      <w:r w:rsidRPr="008A1FA1"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242/2016 Sb., ze dne 14. července 2016. Pravidla provádění Intrastatu stanoví naří</w:t>
      </w:r>
      <w:r w:rsidR="004C7E31">
        <w:rPr>
          <w:rFonts w:ascii="Arial" w:hAnsi="Arial"/>
          <w:sz w:val="18"/>
          <w:szCs w:val="20"/>
        </w:rPr>
        <w:t xml:space="preserve">zení vlády </w:t>
      </w:r>
      <w:r w:rsidR="00036748">
        <w:rPr>
          <w:rFonts w:ascii="Arial" w:hAnsi="Arial"/>
          <w:sz w:val="18"/>
          <w:szCs w:val="20"/>
        </w:rPr>
        <w:t xml:space="preserve">č. </w:t>
      </w:r>
      <w:r w:rsidR="004C7E31">
        <w:rPr>
          <w:rFonts w:ascii="Arial" w:hAnsi="Arial"/>
          <w:sz w:val="18"/>
          <w:szCs w:val="20"/>
        </w:rPr>
        <w:t>244/2016 Sb., ze dne </w:t>
      </w:r>
      <w:r w:rsidRPr="008A1FA1">
        <w:rPr>
          <w:rFonts w:ascii="Arial" w:hAnsi="Arial"/>
          <w:sz w:val="18"/>
          <w:szCs w:val="20"/>
        </w:rPr>
        <w:t>18. května 2016 k provedení některých ustanovení celního zákona v oblasti statistiky.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8A1FA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Publikované ú</w:t>
      </w:r>
      <w:r w:rsidR="00792FB1">
        <w:rPr>
          <w:rFonts w:ascii="Arial" w:hAnsi="Arial"/>
          <w:sz w:val="18"/>
        </w:rPr>
        <w:t xml:space="preserve">daje o zahraničním obchodě v USD a v </w:t>
      </w:r>
      <w:proofErr w:type="gramStart"/>
      <w:r w:rsidR="00792FB1">
        <w:rPr>
          <w:rFonts w:ascii="Arial" w:hAnsi="Arial"/>
          <w:sz w:val="18"/>
        </w:rPr>
        <w:t>EUR</w:t>
      </w:r>
      <w:proofErr w:type="gramEnd"/>
      <w:r w:rsidR="00792FB1">
        <w:rPr>
          <w:rFonts w:ascii="Arial" w:hAnsi="Arial"/>
          <w:sz w:val="18"/>
        </w:rPr>
        <w:t xml:space="preserve">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A1FA1" w:rsidRDefault="008A1FA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11624D" w:rsidRDefault="0011624D">
      <w:pPr>
        <w:jc w:val="both"/>
        <w:rPr>
          <w:rFonts w:ascii="Arial" w:hAnsi="Arial"/>
          <w:sz w:val="18"/>
        </w:rPr>
      </w:pPr>
    </w:p>
    <w:p w:rsidR="0011624D" w:rsidRDefault="0011624D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  <w:bookmarkStart w:id="0" w:name="_GoBack"/>
      <w:bookmarkEnd w:id="0"/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382BF2" w:rsidRDefault="00382BF2" w:rsidP="0011624D">
      <w:pPr>
        <w:spacing w:after="120"/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 xml:space="preserve">Údaje za jednotlivé měsíce roku </w:t>
      </w:r>
      <w:r w:rsidR="007348B5">
        <w:rPr>
          <w:rFonts w:ascii="Arial" w:hAnsi="Arial" w:cs="Arial"/>
          <w:b/>
          <w:bCs/>
          <w:sz w:val="17"/>
        </w:rPr>
        <w:t>201</w:t>
      </w:r>
      <w:r w:rsidR="000C290B">
        <w:rPr>
          <w:rFonts w:ascii="Arial" w:hAnsi="Arial" w:cs="Arial"/>
          <w:b/>
          <w:bCs/>
          <w:sz w:val="17"/>
        </w:rPr>
        <w:t>6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0C290B">
        <w:rPr>
          <w:rFonts w:ascii="Arial" w:hAnsi="Arial" w:cs="Arial"/>
          <w:bCs/>
          <w:sz w:val="17"/>
        </w:rPr>
        <w:t xml:space="preserve">Údaje za jednotlivé měsíce roku </w:t>
      </w:r>
      <w:r w:rsidR="0011624D" w:rsidRPr="000C290B">
        <w:rPr>
          <w:rFonts w:ascii="Arial" w:hAnsi="Arial" w:cs="Arial"/>
          <w:bCs/>
          <w:sz w:val="17"/>
        </w:rPr>
        <w:t>2017</w:t>
      </w:r>
      <w:r w:rsidR="00B81AAC">
        <w:rPr>
          <w:rFonts w:ascii="Arial" w:hAnsi="Arial" w:cs="Arial"/>
          <w:bCs/>
          <w:sz w:val="17"/>
        </w:rPr>
        <w:t xml:space="preserve"> a 201</w:t>
      </w:r>
      <w:r w:rsidR="00E14E37">
        <w:rPr>
          <w:rFonts w:ascii="Arial" w:hAnsi="Arial" w:cs="Arial"/>
          <w:bCs/>
          <w:sz w:val="17"/>
        </w:rPr>
        <w:t>8</w:t>
      </w:r>
      <w:r w:rsidR="0011624D" w:rsidRPr="000C290B">
        <w:rPr>
          <w:rFonts w:ascii="Arial" w:hAnsi="Arial" w:cs="Arial"/>
          <w:bCs/>
          <w:sz w:val="17"/>
        </w:rPr>
        <w:t xml:space="preserve"> </w:t>
      </w:r>
      <w:r w:rsidRPr="000C290B">
        <w:rPr>
          <w:rFonts w:ascii="Arial" w:hAnsi="Arial" w:cs="Arial"/>
          <w:bCs/>
          <w:sz w:val="17"/>
        </w:rPr>
        <w:t xml:space="preserve">jsou </w:t>
      </w:r>
      <w:r w:rsidR="009A544A" w:rsidRPr="000C290B">
        <w:rPr>
          <w:rFonts w:ascii="Arial" w:hAnsi="Arial" w:cs="Arial"/>
          <w:bCs/>
          <w:sz w:val="17"/>
        </w:rPr>
        <w:t>předběžné</w:t>
      </w:r>
      <w:r w:rsidRPr="000C290B">
        <w:rPr>
          <w:rFonts w:ascii="Arial" w:hAnsi="Arial" w:cs="Arial"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</w:p>
    <w:p w:rsidR="0003109A" w:rsidRDefault="00792FB1" w:rsidP="0011624D">
      <w:pPr>
        <w:spacing w:after="120"/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Default="00B72F51" w:rsidP="0011624D">
      <w:pPr>
        <w:spacing w:after="120"/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F64305">
        <w:rPr>
          <w:rFonts w:cs="Arial"/>
          <w:bCs/>
          <w:sz w:val="17"/>
          <w:szCs w:val="24"/>
          <w:lang w:val="cs-CZ"/>
        </w:rPr>
        <w:t>9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Default="00B72F51" w:rsidP="0011624D">
      <w:pPr>
        <w:pStyle w:val="Zkladntext3"/>
        <w:spacing w:after="120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F64305">
        <w:rPr>
          <w:rFonts w:cs="Arial"/>
          <w:bCs/>
          <w:sz w:val="17"/>
          <w:szCs w:val="24"/>
          <w:lang w:val="cs-CZ"/>
        </w:rPr>
        <w:t xml:space="preserve">Litva,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7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48" w:rsidRDefault="002C1B48">
      <w:r>
        <w:separator/>
      </w:r>
    </w:p>
  </w:endnote>
  <w:endnote w:type="continuationSeparator" w:id="0">
    <w:p w:rsidR="002C1B48" w:rsidRDefault="002C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48" w:rsidRDefault="002C1B48">
      <w:r>
        <w:separator/>
      </w:r>
    </w:p>
  </w:footnote>
  <w:footnote w:type="continuationSeparator" w:id="0">
    <w:p w:rsidR="002C1B48" w:rsidRDefault="002C1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B1" w:rsidRDefault="006366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FCD"/>
    <w:rsid w:val="000051FD"/>
    <w:rsid w:val="000309A9"/>
    <w:rsid w:val="0003109A"/>
    <w:rsid w:val="00036748"/>
    <w:rsid w:val="00036DDB"/>
    <w:rsid w:val="00053582"/>
    <w:rsid w:val="000A2D82"/>
    <w:rsid w:val="000B21F1"/>
    <w:rsid w:val="000C290B"/>
    <w:rsid w:val="000E6D5B"/>
    <w:rsid w:val="000F55A8"/>
    <w:rsid w:val="00100EC2"/>
    <w:rsid w:val="0011624D"/>
    <w:rsid w:val="00136754"/>
    <w:rsid w:val="0014064F"/>
    <w:rsid w:val="001A6BCE"/>
    <w:rsid w:val="001B27A9"/>
    <w:rsid w:val="0022069F"/>
    <w:rsid w:val="002A23F8"/>
    <w:rsid w:val="002B21D0"/>
    <w:rsid w:val="002C1B48"/>
    <w:rsid w:val="00312E54"/>
    <w:rsid w:val="00356596"/>
    <w:rsid w:val="00371313"/>
    <w:rsid w:val="0037441D"/>
    <w:rsid w:val="00382BF2"/>
    <w:rsid w:val="003D36BC"/>
    <w:rsid w:val="003D7FCD"/>
    <w:rsid w:val="003E2C70"/>
    <w:rsid w:val="003E327E"/>
    <w:rsid w:val="003E6BA4"/>
    <w:rsid w:val="003E7FCA"/>
    <w:rsid w:val="003F458F"/>
    <w:rsid w:val="004007FF"/>
    <w:rsid w:val="0040278A"/>
    <w:rsid w:val="00467E94"/>
    <w:rsid w:val="0049532D"/>
    <w:rsid w:val="004C084D"/>
    <w:rsid w:val="004C7E31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366F9"/>
    <w:rsid w:val="00650358"/>
    <w:rsid w:val="00660C5A"/>
    <w:rsid w:val="006807ED"/>
    <w:rsid w:val="0068667F"/>
    <w:rsid w:val="006A2610"/>
    <w:rsid w:val="006B63FD"/>
    <w:rsid w:val="006B7A70"/>
    <w:rsid w:val="006E434B"/>
    <w:rsid w:val="007076C6"/>
    <w:rsid w:val="007348B5"/>
    <w:rsid w:val="0078067F"/>
    <w:rsid w:val="00792FB1"/>
    <w:rsid w:val="007939E8"/>
    <w:rsid w:val="007E4F13"/>
    <w:rsid w:val="007F289A"/>
    <w:rsid w:val="00821090"/>
    <w:rsid w:val="00831B31"/>
    <w:rsid w:val="00836066"/>
    <w:rsid w:val="008517D5"/>
    <w:rsid w:val="00875C52"/>
    <w:rsid w:val="008A1FA1"/>
    <w:rsid w:val="0091424F"/>
    <w:rsid w:val="00967D22"/>
    <w:rsid w:val="00993599"/>
    <w:rsid w:val="009A544A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1AAC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CB0CEE"/>
    <w:rsid w:val="00D56026"/>
    <w:rsid w:val="00DC61D5"/>
    <w:rsid w:val="00DF7CBB"/>
    <w:rsid w:val="00E11FD2"/>
    <w:rsid w:val="00E14E37"/>
    <w:rsid w:val="00E17DA7"/>
    <w:rsid w:val="00E627B3"/>
    <w:rsid w:val="00EA7802"/>
    <w:rsid w:val="00EB5E33"/>
    <w:rsid w:val="00EC36C7"/>
    <w:rsid w:val="00ED3713"/>
    <w:rsid w:val="00F613A3"/>
    <w:rsid w:val="00F64305"/>
    <w:rsid w:val="00F70984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Monika Bartlová</cp:lastModifiedBy>
  <cp:revision>23</cp:revision>
  <cp:lastPrinted>2013-03-26T12:51:00Z</cp:lastPrinted>
  <dcterms:created xsi:type="dcterms:W3CDTF">2013-12-05T06:47:00Z</dcterms:created>
  <dcterms:modified xsi:type="dcterms:W3CDTF">2018-02-28T12:52:00Z</dcterms:modified>
</cp:coreProperties>
</file>