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C30" w:rsidRDefault="00224C30" w:rsidP="007C480F">
      <w:pPr>
        <w:tabs>
          <w:tab w:val="left" w:pos="851"/>
          <w:tab w:val="left" w:pos="993"/>
        </w:tabs>
        <w:jc w:val="center"/>
        <w:rPr>
          <w:rFonts w:ascii="Arial" w:hAnsi="Arial" w:cs="Arial"/>
          <w:sz w:val="32"/>
        </w:rPr>
      </w:pPr>
      <w:bookmarkStart w:id="0" w:name="_GoBack"/>
      <w:bookmarkEnd w:id="0"/>
      <w:r w:rsidRPr="00AD565B">
        <w:rPr>
          <w:rFonts w:ascii="Arial" w:hAnsi="Arial" w:cs="Arial"/>
          <w:sz w:val="32"/>
        </w:rPr>
        <w:t>Vývoj</w:t>
      </w:r>
      <w:r w:rsidRPr="00AD565B">
        <w:rPr>
          <w:rFonts w:ascii="Arial" w:hAnsi="Arial" w:cs="Arial"/>
          <w:b/>
          <w:bCs/>
          <w:sz w:val="32"/>
        </w:rPr>
        <w:t xml:space="preserve"> </w:t>
      </w:r>
      <w:r w:rsidRPr="00AD565B">
        <w:rPr>
          <w:rFonts w:ascii="Arial" w:hAnsi="Arial" w:cs="Arial"/>
          <w:sz w:val="32"/>
        </w:rPr>
        <w:t>cen průmyslových výrobců v </w:t>
      </w:r>
      <w:r w:rsidR="00B9177F">
        <w:rPr>
          <w:rFonts w:ascii="Arial" w:hAnsi="Arial" w:cs="Arial"/>
          <w:sz w:val="32"/>
        </w:rPr>
        <w:t>červnu</w:t>
      </w:r>
      <w:r w:rsidRPr="00AD565B">
        <w:rPr>
          <w:rFonts w:ascii="Arial" w:hAnsi="Arial" w:cs="Arial"/>
          <w:sz w:val="32"/>
        </w:rPr>
        <w:t xml:space="preserve"> 202</w:t>
      </w:r>
      <w:r w:rsidR="00A238DA">
        <w:rPr>
          <w:rFonts w:ascii="Arial" w:hAnsi="Arial" w:cs="Arial"/>
          <w:sz w:val="32"/>
        </w:rPr>
        <w:t>4</w:t>
      </w:r>
    </w:p>
    <w:p w:rsidR="006E7983" w:rsidRPr="00A238DA" w:rsidRDefault="006E7983" w:rsidP="007C480F">
      <w:pPr>
        <w:tabs>
          <w:tab w:val="left" w:pos="851"/>
          <w:tab w:val="left" w:pos="993"/>
        </w:tabs>
        <w:jc w:val="center"/>
        <w:rPr>
          <w:rFonts w:ascii="Arial" w:hAnsi="Arial" w:cs="Arial"/>
          <w:sz w:val="20"/>
          <w:szCs w:val="20"/>
        </w:rPr>
      </w:pPr>
    </w:p>
    <w:p w:rsidR="00FF2040" w:rsidRPr="00D003E1" w:rsidRDefault="00FF2040" w:rsidP="004124D2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  <w:r w:rsidRPr="00D003E1">
        <w:rPr>
          <w:rFonts w:ascii="Arial" w:hAnsi="Arial" w:cs="Arial"/>
          <w:b/>
          <w:sz w:val="20"/>
          <w:szCs w:val="20"/>
        </w:rPr>
        <w:t>Meziměsíční srovnání:</w:t>
      </w:r>
    </w:p>
    <w:p w:rsidR="00D003E1" w:rsidRPr="00D003E1" w:rsidRDefault="00D003E1" w:rsidP="004124D2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</w:p>
    <w:p w:rsidR="00FF2040" w:rsidRDefault="00D003E1" w:rsidP="004124D2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b/>
          <w:sz w:val="20"/>
          <w:szCs w:val="20"/>
        </w:rPr>
        <w:t xml:space="preserve">Meziměsíčně byly </w:t>
      </w:r>
      <w:r w:rsidRPr="00D003E1">
        <w:rPr>
          <w:rFonts w:ascii="Arial" w:hAnsi="Arial" w:cs="Arial"/>
          <w:sz w:val="20"/>
          <w:szCs w:val="20"/>
        </w:rPr>
        <w:t xml:space="preserve">ceny </w:t>
      </w:r>
      <w:r w:rsidRPr="00D003E1">
        <w:rPr>
          <w:rFonts w:ascii="Arial" w:hAnsi="Arial" w:cs="Arial"/>
          <w:b/>
          <w:sz w:val="20"/>
          <w:szCs w:val="20"/>
        </w:rPr>
        <w:t xml:space="preserve">průmyslových výrobců nižší </w:t>
      </w:r>
      <w:r w:rsidRPr="00D003E1">
        <w:rPr>
          <w:rFonts w:ascii="Arial" w:hAnsi="Arial" w:cs="Arial"/>
          <w:sz w:val="20"/>
          <w:szCs w:val="20"/>
        </w:rPr>
        <w:t>o 0,3 %.</w:t>
      </w:r>
    </w:p>
    <w:p w:rsidR="00D003E1" w:rsidRPr="00D003E1" w:rsidRDefault="00D003E1" w:rsidP="004124D2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</w:p>
    <w:p w:rsidR="00DA36BA" w:rsidRPr="00D003E1" w:rsidRDefault="00D003E1" w:rsidP="004124D2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4BD1CC1" wp14:editId="5F03EF4D">
            <wp:extent cx="5760720" cy="3926205"/>
            <wp:effectExtent l="0" t="0" r="11430" b="17145"/>
            <wp:docPr id="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60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003E1" w:rsidRPr="00D003E1" w:rsidRDefault="00D003E1" w:rsidP="004124D2">
      <w:pPr>
        <w:tabs>
          <w:tab w:val="left" w:pos="1276"/>
        </w:tabs>
        <w:rPr>
          <w:rFonts w:ascii="Arial" w:hAnsi="Arial" w:cs="Arial"/>
          <w:sz w:val="20"/>
          <w:szCs w:val="20"/>
        </w:rPr>
      </w:pPr>
    </w:p>
    <w:p w:rsidR="00D003E1" w:rsidRDefault="00D003E1" w:rsidP="00D003E1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sz w:val="20"/>
          <w:szCs w:val="20"/>
        </w:rPr>
        <w:t xml:space="preserve">Klesly zejména ceny v odvětví koksu a rafinovaných ropných produktů. Snížily se ceny v odvětvích chemických látek a chemických přípravků a elektrických zařízeních shodně o 1,0 %, elektřiny, plynu, páry a klimatizovaného vzduchu o 0,6 %, ropy a zemního plynu o 5,2 % a potravinářských výrobků o 0,4  %. </w:t>
      </w:r>
    </w:p>
    <w:p w:rsidR="00D003E1" w:rsidRDefault="00D003E1" w:rsidP="00D003E1">
      <w:pPr>
        <w:tabs>
          <w:tab w:val="left" w:pos="1276"/>
        </w:tabs>
        <w:rPr>
          <w:rFonts w:ascii="Arial" w:hAnsi="Arial" w:cs="Arial"/>
          <w:sz w:val="20"/>
          <w:szCs w:val="20"/>
        </w:rPr>
      </w:pPr>
    </w:p>
    <w:p w:rsidR="00D003E1" w:rsidRPr="00D003E1" w:rsidRDefault="00D003E1" w:rsidP="00D003E1">
      <w:pPr>
        <w:tabs>
          <w:tab w:val="left" w:pos="127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D003E1">
        <w:rPr>
          <w:rFonts w:ascii="Arial" w:hAnsi="Arial" w:cs="Arial"/>
          <w:sz w:val="20"/>
          <w:szCs w:val="20"/>
        </w:rPr>
        <w:t>výšily se ceny motorových vozidel, přívěsů a návěsů o 0,5 % a papíru a výrobků z papíru o 0,6 %</w:t>
      </w:r>
    </w:p>
    <w:p w:rsidR="00D003E1" w:rsidRPr="00D003E1" w:rsidRDefault="00D003E1" w:rsidP="004124D2">
      <w:pPr>
        <w:tabs>
          <w:tab w:val="left" w:pos="1276"/>
        </w:tabs>
        <w:rPr>
          <w:rFonts w:ascii="Arial" w:hAnsi="Arial" w:cs="Arial"/>
          <w:sz w:val="20"/>
          <w:szCs w:val="20"/>
        </w:rPr>
      </w:pPr>
    </w:p>
    <w:p w:rsidR="00AA576A" w:rsidRPr="00D003E1" w:rsidRDefault="005937E4" w:rsidP="00FF2040">
      <w:pPr>
        <w:tabs>
          <w:tab w:val="left" w:pos="1134"/>
        </w:tabs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sz w:val="20"/>
          <w:szCs w:val="20"/>
        </w:rPr>
        <w:t>Vybraná odvětví, která nejvíce ovlivnila výši celkového meziměsíčního indexu:</w:t>
      </w:r>
    </w:p>
    <w:p w:rsidR="00AA576A" w:rsidRPr="00D003E1" w:rsidRDefault="00AA576A" w:rsidP="00774F2D">
      <w:pPr>
        <w:tabs>
          <w:tab w:val="left" w:pos="1134"/>
        </w:tabs>
        <w:jc w:val="center"/>
        <w:rPr>
          <w:rFonts w:ascii="Arial" w:hAnsi="Arial" w:cs="Arial"/>
          <w:sz w:val="20"/>
          <w:szCs w:val="20"/>
        </w:rPr>
      </w:pPr>
    </w:p>
    <w:p w:rsidR="002A20A9" w:rsidRPr="00D003E1" w:rsidRDefault="00DD211F" w:rsidP="00FF2040">
      <w:pPr>
        <w:tabs>
          <w:tab w:val="left" w:pos="1134"/>
        </w:tabs>
        <w:rPr>
          <w:rFonts w:ascii="Arial" w:hAnsi="Arial" w:cs="Arial"/>
          <w:sz w:val="20"/>
          <w:szCs w:val="20"/>
        </w:rPr>
      </w:pPr>
      <w:r w:rsidRPr="00DD211F">
        <w:rPr>
          <w:noProof/>
        </w:rPr>
        <w:drawing>
          <wp:inline distT="0" distB="0" distL="0" distR="0">
            <wp:extent cx="5741035" cy="1383665"/>
            <wp:effectExtent l="0" t="0" r="0" b="698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0A9" w:rsidRPr="00D003E1" w:rsidRDefault="002A20A9" w:rsidP="00FF2040">
      <w:pPr>
        <w:tabs>
          <w:tab w:val="left" w:pos="1134"/>
        </w:tabs>
        <w:rPr>
          <w:rFonts w:ascii="Arial" w:hAnsi="Arial" w:cs="Arial"/>
          <w:sz w:val="20"/>
          <w:szCs w:val="20"/>
        </w:rPr>
      </w:pPr>
    </w:p>
    <w:p w:rsidR="008E0052" w:rsidRPr="00D003E1" w:rsidRDefault="00F90E5B" w:rsidP="00FF2040">
      <w:pPr>
        <w:tabs>
          <w:tab w:val="left" w:pos="1134"/>
        </w:tabs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sz w:val="20"/>
          <w:szCs w:val="20"/>
        </w:rPr>
        <w:t xml:space="preserve"> </w:t>
      </w:r>
    </w:p>
    <w:p w:rsidR="008E0052" w:rsidRPr="00D003E1" w:rsidRDefault="008E0052" w:rsidP="00774F2D">
      <w:pPr>
        <w:tabs>
          <w:tab w:val="left" w:pos="1134"/>
        </w:tabs>
        <w:jc w:val="center"/>
        <w:rPr>
          <w:rFonts w:ascii="Arial" w:hAnsi="Arial" w:cs="Arial"/>
          <w:sz w:val="20"/>
          <w:szCs w:val="20"/>
        </w:rPr>
      </w:pPr>
    </w:p>
    <w:p w:rsidR="006B2ED7" w:rsidRPr="00D003E1" w:rsidRDefault="006B2ED7" w:rsidP="006E7983">
      <w:pPr>
        <w:spacing w:line="276" w:lineRule="auto"/>
        <w:rPr>
          <w:rFonts w:ascii="Arial" w:hAnsi="Arial" w:cs="Arial"/>
          <w:sz w:val="20"/>
          <w:szCs w:val="20"/>
        </w:rPr>
      </w:pPr>
    </w:p>
    <w:p w:rsidR="00FF2040" w:rsidRPr="00D003E1" w:rsidRDefault="00FF2040" w:rsidP="006E7983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FF2040" w:rsidRPr="00D003E1" w:rsidRDefault="00FF2040" w:rsidP="006E7983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FF2040" w:rsidRPr="00D003E1" w:rsidRDefault="00FF2040" w:rsidP="006E7983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6D0B68" w:rsidRPr="00D003E1" w:rsidRDefault="00FF2040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D003E1">
        <w:rPr>
          <w:rFonts w:ascii="Arial" w:hAnsi="Arial" w:cs="Arial"/>
          <w:b/>
          <w:sz w:val="20"/>
          <w:szCs w:val="20"/>
        </w:rPr>
        <w:lastRenderedPageBreak/>
        <w:t>Meziroční srovnání:</w:t>
      </w:r>
    </w:p>
    <w:p w:rsidR="00D003E1" w:rsidRPr="00D003E1" w:rsidRDefault="00D003E1" w:rsidP="00B9177F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D003E1" w:rsidRPr="00D003E1" w:rsidRDefault="00D003E1" w:rsidP="00D003E1">
      <w:pPr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sz w:val="20"/>
          <w:szCs w:val="20"/>
        </w:rPr>
        <w:t xml:space="preserve">Ceny </w:t>
      </w:r>
      <w:r w:rsidRPr="00D003E1">
        <w:rPr>
          <w:rFonts w:ascii="Arial" w:hAnsi="Arial" w:cs="Arial"/>
          <w:b/>
          <w:bCs/>
          <w:sz w:val="20"/>
          <w:szCs w:val="20"/>
        </w:rPr>
        <w:t>průmyslových výrobců se meziročně</w:t>
      </w:r>
      <w:r w:rsidRPr="00D003E1">
        <w:rPr>
          <w:rFonts w:ascii="Arial" w:hAnsi="Arial" w:cs="Arial"/>
          <w:bCs/>
          <w:sz w:val="20"/>
          <w:szCs w:val="20"/>
        </w:rPr>
        <w:t xml:space="preserve"> zvýšily o 1,0 %, stejně jako v květnu.</w:t>
      </w:r>
    </w:p>
    <w:p w:rsidR="00D003E1" w:rsidRPr="00D003E1" w:rsidRDefault="00D003E1" w:rsidP="00B9177F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p w:rsidR="00A72363" w:rsidRPr="00D003E1" w:rsidRDefault="00D003E1" w:rsidP="00FF2040">
      <w:pPr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63742EA" wp14:editId="55047B10">
            <wp:extent cx="5760720" cy="3279140"/>
            <wp:effectExtent l="0" t="0" r="11430" b="16510"/>
            <wp:docPr id="2" name="Graf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B9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003E1" w:rsidRPr="00D003E1" w:rsidRDefault="00D003E1" w:rsidP="00FF2040">
      <w:pPr>
        <w:rPr>
          <w:rFonts w:ascii="Arial" w:hAnsi="Arial" w:cs="Arial"/>
          <w:sz w:val="20"/>
          <w:szCs w:val="20"/>
        </w:rPr>
      </w:pPr>
    </w:p>
    <w:p w:rsidR="00D003E1" w:rsidRPr="00D003E1" w:rsidRDefault="00D003E1" w:rsidP="00FF2040">
      <w:pPr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91E3FE7" wp14:editId="1CA38857">
            <wp:extent cx="5760720" cy="4377055"/>
            <wp:effectExtent l="0" t="0" r="11430" b="4445"/>
            <wp:docPr id="3" name="Graf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BA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D211F" w:rsidRDefault="00DD211F" w:rsidP="00FF2040">
      <w:pPr>
        <w:rPr>
          <w:rFonts w:ascii="Arial" w:hAnsi="Arial" w:cs="Arial"/>
          <w:sz w:val="20"/>
          <w:szCs w:val="20"/>
        </w:rPr>
      </w:pPr>
    </w:p>
    <w:p w:rsidR="00DD211F" w:rsidRDefault="00DD211F" w:rsidP="00FF2040">
      <w:pPr>
        <w:rPr>
          <w:rFonts w:ascii="Arial" w:hAnsi="Arial" w:cs="Arial"/>
          <w:sz w:val="20"/>
          <w:szCs w:val="20"/>
        </w:rPr>
      </w:pPr>
    </w:p>
    <w:p w:rsidR="009B6CA3" w:rsidRDefault="005937E4" w:rsidP="00FF2040">
      <w:pPr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sz w:val="20"/>
          <w:szCs w:val="20"/>
        </w:rPr>
        <w:lastRenderedPageBreak/>
        <w:t>Vybraná odvětví, která nejvíce ovlivnila výši celkového meziročního indexu:</w:t>
      </w:r>
    </w:p>
    <w:p w:rsidR="00DD211F" w:rsidRDefault="00DD211F" w:rsidP="00FF2040">
      <w:pPr>
        <w:rPr>
          <w:rFonts w:ascii="Arial" w:hAnsi="Arial" w:cs="Arial"/>
          <w:sz w:val="20"/>
          <w:szCs w:val="20"/>
        </w:rPr>
      </w:pPr>
    </w:p>
    <w:p w:rsidR="00DD211F" w:rsidRPr="00D003E1" w:rsidRDefault="00DD211F" w:rsidP="00FF2040">
      <w:pPr>
        <w:rPr>
          <w:rFonts w:ascii="Arial" w:hAnsi="Arial" w:cs="Arial"/>
          <w:sz w:val="20"/>
          <w:szCs w:val="20"/>
        </w:rPr>
      </w:pPr>
      <w:r w:rsidRPr="00DD211F">
        <w:rPr>
          <w:noProof/>
        </w:rPr>
        <w:drawing>
          <wp:inline distT="0" distB="0" distL="0" distR="0">
            <wp:extent cx="5741035" cy="1232535"/>
            <wp:effectExtent l="0" t="0" r="0" b="571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DFF" w:rsidRPr="00D003E1" w:rsidRDefault="008E7C34">
      <w:pPr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sz w:val="20"/>
          <w:szCs w:val="20"/>
        </w:rPr>
        <w:t xml:space="preserve">   </w:t>
      </w:r>
      <w:r w:rsidR="00AA0CC0" w:rsidRPr="00D003E1">
        <w:rPr>
          <w:rFonts w:ascii="Arial" w:hAnsi="Arial" w:cs="Arial"/>
          <w:sz w:val="20"/>
          <w:szCs w:val="20"/>
        </w:rPr>
        <w:t xml:space="preserve">  </w:t>
      </w:r>
      <w:r w:rsidR="007D0933" w:rsidRPr="00D003E1">
        <w:rPr>
          <w:rFonts w:ascii="Arial" w:hAnsi="Arial" w:cs="Arial"/>
          <w:sz w:val="20"/>
          <w:szCs w:val="20"/>
        </w:rPr>
        <w:t xml:space="preserve">     </w:t>
      </w:r>
      <w:r w:rsidR="004508AD" w:rsidRPr="00D003E1">
        <w:rPr>
          <w:rFonts w:ascii="Arial" w:hAnsi="Arial" w:cs="Arial"/>
          <w:sz w:val="20"/>
          <w:szCs w:val="20"/>
        </w:rPr>
        <w:t xml:space="preserve"> </w:t>
      </w:r>
    </w:p>
    <w:p w:rsidR="008E7C34" w:rsidRPr="00D003E1" w:rsidRDefault="008E7C34" w:rsidP="00FF2040">
      <w:pPr>
        <w:rPr>
          <w:rFonts w:ascii="Arial" w:hAnsi="Arial" w:cs="Arial"/>
          <w:sz w:val="20"/>
          <w:szCs w:val="20"/>
        </w:rPr>
      </w:pPr>
    </w:p>
    <w:p w:rsidR="000D7CFF" w:rsidRPr="00D003E1" w:rsidRDefault="000D7CFF">
      <w:pPr>
        <w:rPr>
          <w:rFonts w:ascii="Arial" w:hAnsi="Arial" w:cs="Arial"/>
          <w:sz w:val="20"/>
          <w:szCs w:val="20"/>
        </w:rPr>
      </w:pPr>
    </w:p>
    <w:p w:rsidR="00761F0F" w:rsidRPr="00D003E1" w:rsidRDefault="00761F0F" w:rsidP="007E3F25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p w:rsidR="00D003E1" w:rsidRDefault="00D003E1" w:rsidP="00D003E1">
      <w:pPr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bCs/>
          <w:sz w:val="20"/>
          <w:szCs w:val="20"/>
        </w:rPr>
        <w:t>Vyšší byly</w:t>
      </w:r>
      <w:r w:rsidRPr="00D003E1">
        <w:rPr>
          <w:rFonts w:ascii="Arial" w:hAnsi="Arial" w:cs="Arial"/>
          <w:sz w:val="20"/>
          <w:szCs w:val="20"/>
        </w:rPr>
        <w:t xml:space="preserve"> ceny v odvětví koksu a rafinovaných ropných výrobků. Ceny motorových vozidel, přívěsů a návěsů se zvýšily o 3,8 %, elektřiny, plynu, páry a klimatizovaného vzduchu o 4,2 % a oprav, údržby a instalace strojů a zařízení o 4,7 %.</w:t>
      </w:r>
    </w:p>
    <w:p w:rsidR="00D003E1" w:rsidRDefault="00D003E1" w:rsidP="00D003E1">
      <w:pPr>
        <w:rPr>
          <w:rFonts w:ascii="Arial" w:hAnsi="Arial" w:cs="Arial"/>
          <w:sz w:val="20"/>
          <w:szCs w:val="20"/>
        </w:rPr>
      </w:pPr>
    </w:p>
    <w:p w:rsidR="00D003E1" w:rsidRDefault="00D003E1" w:rsidP="00D003E1">
      <w:pPr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sz w:val="20"/>
          <w:szCs w:val="20"/>
        </w:rPr>
        <w:t xml:space="preserve">Ceny dřeva a dřevěných a korkových výrobků byly nižší o 5,4 %, základních kovů o 7,0 % a ropy a zemního plynu o 17,7 %. </w:t>
      </w:r>
    </w:p>
    <w:p w:rsidR="00D003E1" w:rsidRDefault="00D003E1" w:rsidP="00D003E1">
      <w:pPr>
        <w:rPr>
          <w:rFonts w:ascii="Arial" w:hAnsi="Arial" w:cs="Arial"/>
          <w:sz w:val="20"/>
          <w:szCs w:val="20"/>
        </w:rPr>
      </w:pPr>
    </w:p>
    <w:p w:rsidR="00D003E1" w:rsidRDefault="00D003E1" w:rsidP="00D003E1">
      <w:pPr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bCs/>
          <w:sz w:val="20"/>
          <w:szCs w:val="20"/>
        </w:rPr>
        <w:t>Klesly</w:t>
      </w:r>
      <w:r w:rsidRPr="00D003E1">
        <w:rPr>
          <w:rFonts w:ascii="Arial" w:hAnsi="Arial" w:cs="Arial"/>
          <w:sz w:val="20"/>
          <w:szCs w:val="20"/>
        </w:rPr>
        <w:t xml:space="preserve"> ceny potravinářských výrobků o 3,8 %, z toho zejména rostlinných a živočišných olejů a tuků o 17,1 %, mlýnských a škrobárenských výrobků o 15,3 % a průmyslových krmiv o 14,6 %. </w:t>
      </w:r>
    </w:p>
    <w:p w:rsidR="00D003E1" w:rsidRDefault="00D003E1" w:rsidP="00D003E1">
      <w:pPr>
        <w:rPr>
          <w:rFonts w:ascii="Arial" w:hAnsi="Arial" w:cs="Arial"/>
          <w:sz w:val="20"/>
          <w:szCs w:val="20"/>
        </w:rPr>
      </w:pPr>
    </w:p>
    <w:p w:rsidR="00D003E1" w:rsidRPr="00D003E1" w:rsidRDefault="00D003E1" w:rsidP="00D003E1">
      <w:pPr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sz w:val="20"/>
          <w:szCs w:val="20"/>
        </w:rPr>
        <w:t xml:space="preserve">Při hodnocení podle </w:t>
      </w:r>
      <w:r w:rsidRPr="00D003E1">
        <w:rPr>
          <w:rFonts w:ascii="Arial" w:hAnsi="Arial" w:cs="Arial"/>
          <w:b/>
          <w:sz w:val="20"/>
          <w:szCs w:val="20"/>
        </w:rPr>
        <w:t>hlavních průmyslových skupin</w:t>
      </w:r>
      <w:r w:rsidRPr="00D003E1">
        <w:rPr>
          <w:rFonts w:ascii="Arial" w:hAnsi="Arial" w:cs="Arial"/>
          <w:sz w:val="20"/>
          <w:szCs w:val="20"/>
        </w:rPr>
        <w:t xml:space="preserve"> vzrostly ceny energií o 4,2 % a výrobků investiční povahy o 3,2 %. Snížily se ceny meziproduktů o 2,8 %. Ceny </w:t>
      </w:r>
      <w:r w:rsidRPr="00D003E1">
        <w:rPr>
          <w:rFonts w:ascii="Arial" w:hAnsi="Arial" w:cs="Arial"/>
          <w:b/>
          <w:sz w:val="20"/>
          <w:szCs w:val="20"/>
        </w:rPr>
        <w:t>průmyslových výrobců</w:t>
      </w:r>
      <w:r w:rsidRPr="00D003E1">
        <w:rPr>
          <w:rFonts w:ascii="Arial" w:hAnsi="Arial" w:cs="Arial"/>
          <w:sz w:val="20"/>
          <w:szCs w:val="20"/>
        </w:rPr>
        <w:t xml:space="preserve"> </w:t>
      </w:r>
      <w:r w:rsidRPr="00D003E1">
        <w:rPr>
          <w:rFonts w:ascii="Arial" w:hAnsi="Arial" w:cs="Arial"/>
          <w:b/>
          <w:sz w:val="20"/>
          <w:szCs w:val="20"/>
        </w:rPr>
        <w:t>bez energií</w:t>
      </w:r>
      <w:r w:rsidRPr="00D003E1">
        <w:rPr>
          <w:rFonts w:ascii="Arial" w:hAnsi="Arial" w:cs="Arial"/>
          <w:sz w:val="20"/>
          <w:szCs w:val="20"/>
        </w:rPr>
        <w:t xml:space="preserve"> byly </w:t>
      </w:r>
      <w:r w:rsidRPr="00D003E1">
        <w:rPr>
          <w:rFonts w:ascii="Arial" w:hAnsi="Arial" w:cs="Arial"/>
          <w:b/>
          <w:sz w:val="20"/>
          <w:szCs w:val="20"/>
        </w:rPr>
        <w:t>meziročně</w:t>
      </w:r>
      <w:r w:rsidRPr="00D003E1">
        <w:rPr>
          <w:rFonts w:ascii="Arial" w:hAnsi="Arial" w:cs="Arial"/>
          <w:sz w:val="20"/>
          <w:szCs w:val="20"/>
        </w:rPr>
        <w:t xml:space="preserve"> nižší o 0,3 % (v květnu klesly o 0,6 %).</w:t>
      </w:r>
    </w:p>
    <w:p w:rsidR="00A238DA" w:rsidRPr="00D003E1" w:rsidRDefault="00A238DA" w:rsidP="007219F4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p w:rsidR="00F054BD" w:rsidRPr="00D003E1" w:rsidRDefault="005937E4" w:rsidP="007219F4">
      <w:pPr>
        <w:spacing w:line="276" w:lineRule="auto"/>
        <w:rPr>
          <w:rFonts w:ascii="Arial" w:hAnsi="Arial" w:cs="Arial"/>
          <w:sz w:val="20"/>
          <w:szCs w:val="20"/>
        </w:rPr>
      </w:pPr>
      <w:r w:rsidRPr="00D003E1">
        <w:rPr>
          <w:rFonts w:ascii="Arial" w:hAnsi="Arial" w:cs="Arial"/>
          <w:b/>
          <w:sz w:val="20"/>
          <w:szCs w:val="20"/>
        </w:rPr>
        <w:t xml:space="preserve">Klouzavý průměr </w:t>
      </w:r>
      <w:r w:rsidRPr="00D003E1">
        <w:rPr>
          <w:rFonts w:ascii="Arial" w:hAnsi="Arial" w:cs="Arial"/>
          <w:sz w:val="20"/>
          <w:szCs w:val="20"/>
        </w:rPr>
        <w:t>úhrnného indexu cen průmyslových výrobců (tj.</w:t>
      </w:r>
      <w:r w:rsidR="00B3603E" w:rsidRPr="00D003E1">
        <w:rPr>
          <w:rFonts w:ascii="Arial" w:hAnsi="Arial" w:cs="Arial"/>
          <w:sz w:val="20"/>
          <w:szCs w:val="20"/>
        </w:rPr>
        <w:t xml:space="preserve"> </w:t>
      </w:r>
      <w:r w:rsidR="005F5E25" w:rsidRPr="00D003E1">
        <w:rPr>
          <w:rFonts w:ascii="Arial" w:hAnsi="Arial" w:cs="Arial"/>
          <w:sz w:val="20"/>
          <w:szCs w:val="20"/>
        </w:rPr>
        <w:t>podíl průměru bazických indexů za</w:t>
      </w:r>
      <w:r w:rsidR="00803942" w:rsidRPr="00D003E1">
        <w:rPr>
          <w:rFonts w:ascii="Arial" w:hAnsi="Arial" w:cs="Arial"/>
          <w:sz w:val="20"/>
          <w:szCs w:val="20"/>
        </w:rPr>
        <w:t> </w:t>
      </w:r>
      <w:r w:rsidRPr="00D003E1">
        <w:rPr>
          <w:rFonts w:ascii="Arial" w:hAnsi="Arial" w:cs="Arial"/>
          <w:sz w:val="20"/>
          <w:szCs w:val="20"/>
        </w:rPr>
        <w:t>posledních 12 měsíců k</w:t>
      </w:r>
      <w:r w:rsidR="00BA05E1" w:rsidRPr="00D003E1">
        <w:rPr>
          <w:rFonts w:ascii="Arial" w:hAnsi="Arial" w:cs="Arial"/>
          <w:sz w:val="20"/>
          <w:szCs w:val="20"/>
        </w:rPr>
        <w:t xml:space="preserve"> průměru bazických indexů za </w:t>
      </w:r>
      <w:r w:rsidRPr="00D003E1">
        <w:rPr>
          <w:rFonts w:ascii="Arial" w:hAnsi="Arial" w:cs="Arial"/>
          <w:sz w:val="20"/>
          <w:szCs w:val="20"/>
        </w:rPr>
        <w:t>předchozí</w:t>
      </w:r>
      <w:r w:rsidR="00BA05E1" w:rsidRPr="00D003E1">
        <w:rPr>
          <w:rFonts w:ascii="Arial" w:hAnsi="Arial" w:cs="Arial"/>
          <w:sz w:val="20"/>
          <w:szCs w:val="20"/>
        </w:rPr>
        <w:t>ch</w:t>
      </w:r>
      <w:r w:rsidRPr="00D003E1">
        <w:rPr>
          <w:rFonts w:ascii="Arial" w:hAnsi="Arial" w:cs="Arial"/>
          <w:sz w:val="20"/>
          <w:szCs w:val="20"/>
        </w:rPr>
        <w:t xml:space="preserve"> 12 měsíců) byl </w:t>
      </w:r>
      <w:r w:rsidR="00D003E1" w:rsidRPr="00D003E1">
        <w:rPr>
          <w:rFonts w:ascii="Arial" w:hAnsi="Arial" w:cs="Arial"/>
          <w:sz w:val="20"/>
          <w:szCs w:val="20"/>
        </w:rPr>
        <w:t>100,6</w:t>
      </w:r>
      <w:r w:rsidR="00D003E1">
        <w:rPr>
          <w:rFonts w:ascii="Arial" w:hAnsi="Arial" w:cs="Arial"/>
          <w:sz w:val="20"/>
          <w:szCs w:val="20"/>
        </w:rPr>
        <w:t xml:space="preserve"> </w:t>
      </w:r>
      <w:r w:rsidRPr="00D003E1">
        <w:rPr>
          <w:rFonts w:ascii="Arial" w:hAnsi="Arial" w:cs="Arial"/>
          <w:sz w:val="20"/>
          <w:szCs w:val="20"/>
        </w:rPr>
        <w:t>%.</w:t>
      </w:r>
    </w:p>
    <w:p w:rsidR="00A72363" w:rsidRPr="00D003E1" w:rsidRDefault="00A72363" w:rsidP="007219F4">
      <w:pPr>
        <w:spacing w:line="276" w:lineRule="auto"/>
        <w:rPr>
          <w:rFonts w:ascii="Arial" w:hAnsi="Arial" w:cs="Arial"/>
          <w:sz w:val="20"/>
          <w:szCs w:val="20"/>
        </w:rPr>
      </w:pPr>
    </w:p>
    <w:p w:rsidR="00FF2040" w:rsidRPr="00D003E1" w:rsidRDefault="00FF2040" w:rsidP="007219F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FF2040" w:rsidRPr="00D003E1" w:rsidRDefault="00FF2040" w:rsidP="007219F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FF2040" w:rsidRPr="00D003E1" w:rsidRDefault="00FF2040" w:rsidP="007219F4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D003E1">
        <w:rPr>
          <w:rFonts w:ascii="Arial" w:hAnsi="Arial" w:cs="Arial"/>
          <w:b/>
          <w:sz w:val="20"/>
          <w:szCs w:val="20"/>
        </w:rPr>
        <w:t xml:space="preserve">Komentář k průměrným cenám průmyslových výrobců – </w:t>
      </w:r>
      <w:r w:rsidR="00B9177F" w:rsidRPr="00D003E1">
        <w:rPr>
          <w:rFonts w:ascii="Arial" w:hAnsi="Arial" w:cs="Arial"/>
          <w:b/>
          <w:sz w:val="20"/>
          <w:szCs w:val="20"/>
        </w:rPr>
        <w:t>červen</w:t>
      </w:r>
      <w:r w:rsidRPr="00D003E1">
        <w:rPr>
          <w:rFonts w:ascii="Arial" w:hAnsi="Arial" w:cs="Arial"/>
          <w:b/>
          <w:sz w:val="20"/>
          <w:szCs w:val="20"/>
        </w:rPr>
        <w:t xml:space="preserve"> 2024</w:t>
      </w:r>
    </w:p>
    <w:p w:rsidR="00FF2040" w:rsidRDefault="00FF2040" w:rsidP="007219F4">
      <w:pPr>
        <w:spacing w:line="276" w:lineRule="auto"/>
        <w:rPr>
          <w:rFonts w:ascii="Arial" w:hAnsi="Arial" w:cs="Arial"/>
          <w:sz w:val="20"/>
          <w:szCs w:val="20"/>
        </w:rPr>
      </w:pPr>
    </w:p>
    <w:p w:rsidR="00607528" w:rsidRDefault="00607528" w:rsidP="00607528">
      <w:pPr>
        <w:rPr>
          <w:rFonts w:ascii="Arial" w:hAnsi="Arial" w:cs="Arial"/>
          <w:sz w:val="20"/>
          <w:szCs w:val="20"/>
        </w:rPr>
      </w:pPr>
      <w:r w:rsidRPr="00953B78">
        <w:rPr>
          <w:rFonts w:ascii="Arial" w:hAnsi="Arial" w:cs="Arial"/>
          <w:b/>
          <w:sz w:val="20"/>
          <w:szCs w:val="20"/>
        </w:rPr>
        <w:t>101314 Špekáčky</w:t>
      </w:r>
      <w:r>
        <w:rPr>
          <w:rFonts w:ascii="Arial" w:hAnsi="Arial" w:cs="Arial"/>
          <w:sz w:val="20"/>
          <w:szCs w:val="20"/>
        </w:rPr>
        <w:t xml:space="preserve">: </w:t>
      </w:r>
      <w:r w:rsidRPr="00953B78">
        <w:rPr>
          <w:rFonts w:ascii="Arial" w:hAnsi="Arial" w:cs="Arial"/>
          <w:sz w:val="20"/>
          <w:szCs w:val="20"/>
        </w:rPr>
        <w:t>vliv trhu</w:t>
      </w:r>
    </w:p>
    <w:p w:rsidR="00607528" w:rsidRDefault="00607528" w:rsidP="00607528">
      <w:pPr>
        <w:rPr>
          <w:rFonts w:ascii="Arial" w:hAnsi="Arial" w:cs="Arial"/>
          <w:sz w:val="20"/>
          <w:szCs w:val="20"/>
        </w:rPr>
      </w:pPr>
    </w:p>
    <w:p w:rsidR="00607528" w:rsidRDefault="00607528" w:rsidP="00607528">
      <w:pPr>
        <w:rPr>
          <w:rFonts w:ascii="Arial" w:hAnsi="Arial" w:cs="Arial"/>
          <w:sz w:val="20"/>
          <w:szCs w:val="20"/>
        </w:rPr>
      </w:pPr>
      <w:r w:rsidRPr="00953B78">
        <w:rPr>
          <w:rFonts w:ascii="Arial" w:hAnsi="Arial" w:cs="Arial"/>
          <w:b/>
          <w:sz w:val="20"/>
          <w:szCs w:val="20"/>
        </w:rPr>
        <w:t>105111 Mléko polotučné</w:t>
      </w:r>
      <w:r>
        <w:rPr>
          <w:rFonts w:ascii="Arial" w:hAnsi="Arial" w:cs="Arial"/>
          <w:sz w:val="20"/>
          <w:szCs w:val="20"/>
        </w:rPr>
        <w:t xml:space="preserve">: </w:t>
      </w:r>
      <w:r w:rsidRPr="00953B78">
        <w:rPr>
          <w:rFonts w:ascii="Arial" w:hAnsi="Arial" w:cs="Arial"/>
          <w:sz w:val="20"/>
          <w:szCs w:val="20"/>
        </w:rPr>
        <w:t>akční slevy</w:t>
      </w:r>
    </w:p>
    <w:p w:rsidR="00607528" w:rsidRDefault="00607528" w:rsidP="00607528">
      <w:pPr>
        <w:rPr>
          <w:rFonts w:ascii="Arial" w:hAnsi="Arial" w:cs="Arial"/>
          <w:sz w:val="20"/>
          <w:szCs w:val="20"/>
        </w:rPr>
      </w:pPr>
    </w:p>
    <w:p w:rsidR="00607528" w:rsidRDefault="00607528" w:rsidP="00607528">
      <w:pPr>
        <w:rPr>
          <w:rFonts w:ascii="Arial" w:hAnsi="Arial" w:cs="Arial"/>
          <w:sz w:val="20"/>
          <w:szCs w:val="20"/>
        </w:rPr>
      </w:pPr>
      <w:r w:rsidRPr="00953B78">
        <w:rPr>
          <w:rFonts w:ascii="Arial" w:hAnsi="Arial" w:cs="Arial"/>
          <w:b/>
          <w:sz w:val="20"/>
          <w:szCs w:val="20"/>
        </w:rPr>
        <w:t>106121 Pšeničná mouka chlebová</w:t>
      </w:r>
      <w:r>
        <w:rPr>
          <w:rFonts w:ascii="Arial" w:hAnsi="Arial" w:cs="Arial"/>
          <w:sz w:val="20"/>
          <w:szCs w:val="20"/>
        </w:rPr>
        <w:t xml:space="preserve">: </w:t>
      </w:r>
      <w:r w:rsidRPr="00953B78">
        <w:rPr>
          <w:rFonts w:ascii="Arial" w:hAnsi="Arial" w:cs="Arial"/>
          <w:sz w:val="20"/>
          <w:szCs w:val="20"/>
        </w:rPr>
        <w:t>nízká cena pšenice</w:t>
      </w:r>
    </w:p>
    <w:p w:rsidR="00607528" w:rsidRPr="00953B78" w:rsidRDefault="00607528" w:rsidP="00607528">
      <w:pPr>
        <w:rPr>
          <w:rFonts w:ascii="Arial" w:hAnsi="Arial" w:cs="Arial"/>
          <w:sz w:val="20"/>
          <w:szCs w:val="20"/>
        </w:rPr>
      </w:pPr>
    </w:p>
    <w:p w:rsidR="00607528" w:rsidRPr="00D003E1" w:rsidRDefault="00607528" w:rsidP="007219F4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607528" w:rsidRPr="00D003E1" w:rsidSect="00AF2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0E"/>
    <w:rsid w:val="0000106B"/>
    <w:rsid w:val="000022D7"/>
    <w:rsid w:val="0001782E"/>
    <w:rsid w:val="000202E4"/>
    <w:rsid w:val="00020BE2"/>
    <w:rsid w:val="00023DA6"/>
    <w:rsid w:val="00023E59"/>
    <w:rsid w:val="000254C0"/>
    <w:rsid w:val="00032AB0"/>
    <w:rsid w:val="00033058"/>
    <w:rsid w:val="00035BE7"/>
    <w:rsid w:val="00042A37"/>
    <w:rsid w:val="00044663"/>
    <w:rsid w:val="00045708"/>
    <w:rsid w:val="00045CEE"/>
    <w:rsid w:val="00046747"/>
    <w:rsid w:val="00046FC1"/>
    <w:rsid w:val="000477C0"/>
    <w:rsid w:val="00050637"/>
    <w:rsid w:val="000550B0"/>
    <w:rsid w:val="00055F1C"/>
    <w:rsid w:val="00061AA0"/>
    <w:rsid w:val="00062B13"/>
    <w:rsid w:val="00062CF4"/>
    <w:rsid w:val="000678F4"/>
    <w:rsid w:val="0007002B"/>
    <w:rsid w:val="0007353A"/>
    <w:rsid w:val="00074098"/>
    <w:rsid w:val="0007418D"/>
    <w:rsid w:val="000741FE"/>
    <w:rsid w:val="00075487"/>
    <w:rsid w:val="00083E8E"/>
    <w:rsid w:val="00085AE9"/>
    <w:rsid w:val="00085D17"/>
    <w:rsid w:val="00086E5E"/>
    <w:rsid w:val="00087B53"/>
    <w:rsid w:val="00090D82"/>
    <w:rsid w:val="000926E5"/>
    <w:rsid w:val="00092D76"/>
    <w:rsid w:val="00093B86"/>
    <w:rsid w:val="0009716F"/>
    <w:rsid w:val="000978C7"/>
    <w:rsid w:val="000A0479"/>
    <w:rsid w:val="000A3B03"/>
    <w:rsid w:val="000A3FCB"/>
    <w:rsid w:val="000B0045"/>
    <w:rsid w:val="000B2012"/>
    <w:rsid w:val="000B40B5"/>
    <w:rsid w:val="000B474E"/>
    <w:rsid w:val="000C08CA"/>
    <w:rsid w:val="000C5DE1"/>
    <w:rsid w:val="000D0A77"/>
    <w:rsid w:val="000D1D25"/>
    <w:rsid w:val="000D28E7"/>
    <w:rsid w:val="000D380B"/>
    <w:rsid w:val="000D6552"/>
    <w:rsid w:val="000D68AA"/>
    <w:rsid w:val="000D7CFF"/>
    <w:rsid w:val="000E5FED"/>
    <w:rsid w:val="000E66A8"/>
    <w:rsid w:val="000F05A3"/>
    <w:rsid w:val="000F186E"/>
    <w:rsid w:val="001024B5"/>
    <w:rsid w:val="00103E6B"/>
    <w:rsid w:val="0010409B"/>
    <w:rsid w:val="00105D75"/>
    <w:rsid w:val="00111BF2"/>
    <w:rsid w:val="00113546"/>
    <w:rsid w:val="00117006"/>
    <w:rsid w:val="001178ED"/>
    <w:rsid w:val="00117E2E"/>
    <w:rsid w:val="00120962"/>
    <w:rsid w:val="0012169E"/>
    <w:rsid w:val="00122A60"/>
    <w:rsid w:val="00122B3C"/>
    <w:rsid w:val="00126429"/>
    <w:rsid w:val="00126495"/>
    <w:rsid w:val="0012740D"/>
    <w:rsid w:val="0013275B"/>
    <w:rsid w:val="00134B24"/>
    <w:rsid w:val="0013605E"/>
    <w:rsid w:val="00136357"/>
    <w:rsid w:val="00136D6E"/>
    <w:rsid w:val="00137BD3"/>
    <w:rsid w:val="001448DC"/>
    <w:rsid w:val="00146378"/>
    <w:rsid w:val="0014757F"/>
    <w:rsid w:val="001501C2"/>
    <w:rsid w:val="001508AA"/>
    <w:rsid w:val="001511F2"/>
    <w:rsid w:val="0015155D"/>
    <w:rsid w:val="00156776"/>
    <w:rsid w:val="00156EE7"/>
    <w:rsid w:val="00157CCC"/>
    <w:rsid w:val="001602F6"/>
    <w:rsid w:val="00171EF3"/>
    <w:rsid w:val="00172892"/>
    <w:rsid w:val="00175755"/>
    <w:rsid w:val="00176980"/>
    <w:rsid w:val="00184992"/>
    <w:rsid w:val="00190F5B"/>
    <w:rsid w:val="0019496E"/>
    <w:rsid w:val="00196D74"/>
    <w:rsid w:val="001A7E52"/>
    <w:rsid w:val="001B3D82"/>
    <w:rsid w:val="001B50F0"/>
    <w:rsid w:val="001B5D34"/>
    <w:rsid w:val="001B5ED9"/>
    <w:rsid w:val="001B6EE4"/>
    <w:rsid w:val="001C097E"/>
    <w:rsid w:val="001C3C89"/>
    <w:rsid w:val="001D3179"/>
    <w:rsid w:val="001E15AF"/>
    <w:rsid w:val="001E2575"/>
    <w:rsid w:val="001E650C"/>
    <w:rsid w:val="001F102A"/>
    <w:rsid w:val="001F12D2"/>
    <w:rsid w:val="001F5A1A"/>
    <w:rsid w:val="001F69EE"/>
    <w:rsid w:val="00200845"/>
    <w:rsid w:val="002013D1"/>
    <w:rsid w:val="0020233F"/>
    <w:rsid w:val="00202CFF"/>
    <w:rsid w:val="002033EA"/>
    <w:rsid w:val="00204A1A"/>
    <w:rsid w:val="002068D1"/>
    <w:rsid w:val="002139B4"/>
    <w:rsid w:val="002227CA"/>
    <w:rsid w:val="002234D6"/>
    <w:rsid w:val="00224C30"/>
    <w:rsid w:val="0022640E"/>
    <w:rsid w:val="00235F74"/>
    <w:rsid w:val="002442A3"/>
    <w:rsid w:val="00244757"/>
    <w:rsid w:val="00244FDA"/>
    <w:rsid w:val="00256B85"/>
    <w:rsid w:val="00257A86"/>
    <w:rsid w:val="00262BF3"/>
    <w:rsid w:val="00262C3B"/>
    <w:rsid w:val="002660C4"/>
    <w:rsid w:val="00277979"/>
    <w:rsid w:val="00277CCD"/>
    <w:rsid w:val="0028058B"/>
    <w:rsid w:val="0028404E"/>
    <w:rsid w:val="00285A29"/>
    <w:rsid w:val="002864C3"/>
    <w:rsid w:val="00290EE2"/>
    <w:rsid w:val="00291CAE"/>
    <w:rsid w:val="002A1B44"/>
    <w:rsid w:val="002A20A9"/>
    <w:rsid w:val="002A3424"/>
    <w:rsid w:val="002A3CF4"/>
    <w:rsid w:val="002A6B83"/>
    <w:rsid w:val="002B1A4A"/>
    <w:rsid w:val="002B34C4"/>
    <w:rsid w:val="002C0A0E"/>
    <w:rsid w:val="002C52BA"/>
    <w:rsid w:val="002D21CE"/>
    <w:rsid w:val="002D30AF"/>
    <w:rsid w:val="002D4A20"/>
    <w:rsid w:val="002E00B1"/>
    <w:rsid w:val="002E37A6"/>
    <w:rsid w:val="002E424F"/>
    <w:rsid w:val="002E4B33"/>
    <w:rsid w:val="002E4D62"/>
    <w:rsid w:val="002E5AF7"/>
    <w:rsid w:val="002F380B"/>
    <w:rsid w:val="002F4EED"/>
    <w:rsid w:val="002F52EA"/>
    <w:rsid w:val="002F6771"/>
    <w:rsid w:val="0030021B"/>
    <w:rsid w:val="00300F53"/>
    <w:rsid w:val="00302EB4"/>
    <w:rsid w:val="003101B0"/>
    <w:rsid w:val="003118A9"/>
    <w:rsid w:val="00311EB7"/>
    <w:rsid w:val="003159FB"/>
    <w:rsid w:val="00316C58"/>
    <w:rsid w:val="003178D3"/>
    <w:rsid w:val="003206BF"/>
    <w:rsid w:val="00322E8F"/>
    <w:rsid w:val="00325CA7"/>
    <w:rsid w:val="0032638E"/>
    <w:rsid w:val="00332459"/>
    <w:rsid w:val="0033347F"/>
    <w:rsid w:val="00335CBC"/>
    <w:rsid w:val="00340E6F"/>
    <w:rsid w:val="003448B6"/>
    <w:rsid w:val="00350B23"/>
    <w:rsid w:val="00352062"/>
    <w:rsid w:val="00357423"/>
    <w:rsid w:val="0036165F"/>
    <w:rsid w:val="0036166C"/>
    <w:rsid w:val="00375C47"/>
    <w:rsid w:val="00377F2E"/>
    <w:rsid w:val="00381BD9"/>
    <w:rsid w:val="0038697C"/>
    <w:rsid w:val="003969B5"/>
    <w:rsid w:val="00396D4D"/>
    <w:rsid w:val="003B4449"/>
    <w:rsid w:val="003B47B1"/>
    <w:rsid w:val="003B4FEA"/>
    <w:rsid w:val="003C780A"/>
    <w:rsid w:val="003D706C"/>
    <w:rsid w:val="003E2247"/>
    <w:rsid w:val="003E3523"/>
    <w:rsid w:val="003E4894"/>
    <w:rsid w:val="003E5603"/>
    <w:rsid w:val="003E6128"/>
    <w:rsid w:val="003E767F"/>
    <w:rsid w:val="003E7B1B"/>
    <w:rsid w:val="003F090B"/>
    <w:rsid w:val="003F5EA5"/>
    <w:rsid w:val="004047F7"/>
    <w:rsid w:val="00404DC9"/>
    <w:rsid w:val="00406847"/>
    <w:rsid w:val="00411AE0"/>
    <w:rsid w:val="00412275"/>
    <w:rsid w:val="004124D2"/>
    <w:rsid w:val="004159F2"/>
    <w:rsid w:val="004175FF"/>
    <w:rsid w:val="00421872"/>
    <w:rsid w:val="00422C9E"/>
    <w:rsid w:val="00425B4C"/>
    <w:rsid w:val="004260D7"/>
    <w:rsid w:val="004339B8"/>
    <w:rsid w:val="00434D42"/>
    <w:rsid w:val="00435CD8"/>
    <w:rsid w:val="00436807"/>
    <w:rsid w:val="00436FA9"/>
    <w:rsid w:val="00440442"/>
    <w:rsid w:val="00444463"/>
    <w:rsid w:val="00445652"/>
    <w:rsid w:val="00447BA3"/>
    <w:rsid w:val="004508AD"/>
    <w:rsid w:val="00451F0D"/>
    <w:rsid w:val="00460F69"/>
    <w:rsid w:val="004614A7"/>
    <w:rsid w:val="004670F3"/>
    <w:rsid w:val="004678BA"/>
    <w:rsid w:val="004704DD"/>
    <w:rsid w:val="0047091B"/>
    <w:rsid w:val="00471D95"/>
    <w:rsid w:val="004732E2"/>
    <w:rsid w:val="004825D8"/>
    <w:rsid w:val="00497183"/>
    <w:rsid w:val="004A0AE2"/>
    <w:rsid w:val="004B4730"/>
    <w:rsid w:val="004B4CA5"/>
    <w:rsid w:val="004B5F23"/>
    <w:rsid w:val="004C177C"/>
    <w:rsid w:val="004C1C89"/>
    <w:rsid w:val="004C2F62"/>
    <w:rsid w:val="004D6159"/>
    <w:rsid w:val="004D706E"/>
    <w:rsid w:val="004D7DFF"/>
    <w:rsid w:val="004E200F"/>
    <w:rsid w:val="004E4B06"/>
    <w:rsid w:val="004E6777"/>
    <w:rsid w:val="004E74E7"/>
    <w:rsid w:val="004F11BE"/>
    <w:rsid w:val="004F142B"/>
    <w:rsid w:val="005025B6"/>
    <w:rsid w:val="00504F7C"/>
    <w:rsid w:val="00506963"/>
    <w:rsid w:val="00513D80"/>
    <w:rsid w:val="005161D6"/>
    <w:rsid w:val="00520709"/>
    <w:rsid w:val="00535B4A"/>
    <w:rsid w:val="00546770"/>
    <w:rsid w:val="005566DB"/>
    <w:rsid w:val="00557407"/>
    <w:rsid w:val="00560EB8"/>
    <w:rsid w:val="00560F0A"/>
    <w:rsid w:val="005617F2"/>
    <w:rsid w:val="0057148E"/>
    <w:rsid w:val="005724DE"/>
    <w:rsid w:val="00572DFA"/>
    <w:rsid w:val="00573148"/>
    <w:rsid w:val="005745D1"/>
    <w:rsid w:val="00581475"/>
    <w:rsid w:val="005823AF"/>
    <w:rsid w:val="0058565A"/>
    <w:rsid w:val="00585780"/>
    <w:rsid w:val="00585E7D"/>
    <w:rsid w:val="005937E4"/>
    <w:rsid w:val="005A1352"/>
    <w:rsid w:val="005A29CC"/>
    <w:rsid w:val="005A78DB"/>
    <w:rsid w:val="005C03F2"/>
    <w:rsid w:val="005C220D"/>
    <w:rsid w:val="005C6810"/>
    <w:rsid w:val="005C6C3B"/>
    <w:rsid w:val="005D350A"/>
    <w:rsid w:val="005D5D38"/>
    <w:rsid w:val="005E5135"/>
    <w:rsid w:val="005E70CB"/>
    <w:rsid w:val="005F0136"/>
    <w:rsid w:val="005F1F5B"/>
    <w:rsid w:val="005F56CE"/>
    <w:rsid w:val="005F5E25"/>
    <w:rsid w:val="005F700E"/>
    <w:rsid w:val="00602E58"/>
    <w:rsid w:val="0060464A"/>
    <w:rsid w:val="006058C6"/>
    <w:rsid w:val="00606D36"/>
    <w:rsid w:val="00607528"/>
    <w:rsid w:val="006164FB"/>
    <w:rsid w:val="0061659D"/>
    <w:rsid w:val="0062686C"/>
    <w:rsid w:val="006325DE"/>
    <w:rsid w:val="00635BF4"/>
    <w:rsid w:val="0063614F"/>
    <w:rsid w:val="00636F9A"/>
    <w:rsid w:val="006427A4"/>
    <w:rsid w:val="00646F2B"/>
    <w:rsid w:val="00647755"/>
    <w:rsid w:val="00650170"/>
    <w:rsid w:val="00650A06"/>
    <w:rsid w:val="00651A58"/>
    <w:rsid w:val="006526A1"/>
    <w:rsid w:val="00653453"/>
    <w:rsid w:val="00663167"/>
    <w:rsid w:val="00663CE1"/>
    <w:rsid w:val="0066435D"/>
    <w:rsid w:val="00664603"/>
    <w:rsid w:val="00666FF6"/>
    <w:rsid w:val="00670F46"/>
    <w:rsid w:val="0067544B"/>
    <w:rsid w:val="00675EC8"/>
    <w:rsid w:val="00676E87"/>
    <w:rsid w:val="00683450"/>
    <w:rsid w:val="006856E2"/>
    <w:rsid w:val="00687B18"/>
    <w:rsid w:val="00690877"/>
    <w:rsid w:val="00693E11"/>
    <w:rsid w:val="00695342"/>
    <w:rsid w:val="006977A1"/>
    <w:rsid w:val="006A0D23"/>
    <w:rsid w:val="006A2D17"/>
    <w:rsid w:val="006A48C6"/>
    <w:rsid w:val="006A4C35"/>
    <w:rsid w:val="006B1973"/>
    <w:rsid w:val="006B2ED7"/>
    <w:rsid w:val="006B3B7A"/>
    <w:rsid w:val="006B6B00"/>
    <w:rsid w:val="006C07A1"/>
    <w:rsid w:val="006C11CE"/>
    <w:rsid w:val="006C155A"/>
    <w:rsid w:val="006C1DCC"/>
    <w:rsid w:val="006C6809"/>
    <w:rsid w:val="006C759F"/>
    <w:rsid w:val="006C75CC"/>
    <w:rsid w:val="006D0389"/>
    <w:rsid w:val="006D0B68"/>
    <w:rsid w:val="006D1AB5"/>
    <w:rsid w:val="006D3C62"/>
    <w:rsid w:val="006D4052"/>
    <w:rsid w:val="006E0F86"/>
    <w:rsid w:val="006E3CE5"/>
    <w:rsid w:val="006E6DEF"/>
    <w:rsid w:val="006E7983"/>
    <w:rsid w:val="006F041D"/>
    <w:rsid w:val="006F04B3"/>
    <w:rsid w:val="006F1A94"/>
    <w:rsid w:val="006F244F"/>
    <w:rsid w:val="006F2662"/>
    <w:rsid w:val="00700E93"/>
    <w:rsid w:val="00705002"/>
    <w:rsid w:val="0071017A"/>
    <w:rsid w:val="007115EE"/>
    <w:rsid w:val="00714272"/>
    <w:rsid w:val="007144D5"/>
    <w:rsid w:val="00714746"/>
    <w:rsid w:val="00715E65"/>
    <w:rsid w:val="007219F4"/>
    <w:rsid w:val="00722138"/>
    <w:rsid w:val="00730FDF"/>
    <w:rsid w:val="00732D9A"/>
    <w:rsid w:val="00737FA4"/>
    <w:rsid w:val="00747CC6"/>
    <w:rsid w:val="007552DF"/>
    <w:rsid w:val="007556FF"/>
    <w:rsid w:val="00761F0F"/>
    <w:rsid w:val="00763E61"/>
    <w:rsid w:val="007715AF"/>
    <w:rsid w:val="00771866"/>
    <w:rsid w:val="0077335E"/>
    <w:rsid w:val="00773693"/>
    <w:rsid w:val="00774F2D"/>
    <w:rsid w:val="00784238"/>
    <w:rsid w:val="00785634"/>
    <w:rsid w:val="00794CFF"/>
    <w:rsid w:val="007A00FA"/>
    <w:rsid w:val="007A484F"/>
    <w:rsid w:val="007B0BBD"/>
    <w:rsid w:val="007B13E2"/>
    <w:rsid w:val="007B3BC8"/>
    <w:rsid w:val="007B642D"/>
    <w:rsid w:val="007B65F1"/>
    <w:rsid w:val="007B78FC"/>
    <w:rsid w:val="007C480F"/>
    <w:rsid w:val="007C6B13"/>
    <w:rsid w:val="007D0933"/>
    <w:rsid w:val="007D4D1C"/>
    <w:rsid w:val="007D55D5"/>
    <w:rsid w:val="007E2343"/>
    <w:rsid w:val="007E2421"/>
    <w:rsid w:val="007E351E"/>
    <w:rsid w:val="007E3F25"/>
    <w:rsid w:val="007E49A7"/>
    <w:rsid w:val="007E5E47"/>
    <w:rsid w:val="007F1FCB"/>
    <w:rsid w:val="00801C1B"/>
    <w:rsid w:val="00802BDA"/>
    <w:rsid w:val="00803942"/>
    <w:rsid w:val="0080581C"/>
    <w:rsid w:val="00807AC1"/>
    <w:rsid w:val="00810BDC"/>
    <w:rsid w:val="008132F7"/>
    <w:rsid w:val="008137E8"/>
    <w:rsid w:val="00816C56"/>
    <w:rsid w:val="0082067F"/>
    <w:rsid w:val="00820A9F"/>
    <w:rsid w:val="00823A8F"/>
    <w:rsid w:val="008251FA"/>
    <w:rsid w:val="008256AC"/>
    <w:rsid w:val="00836A4B"/>
    <w:rsid w:val="00860B9A"/>
    <w:rsid w:val="00861923"/>
    <w:rsid w:val="008620AC"/>
    <w:rsid w:val="008714A1"/>
    <w:rsid w:val="00871706"/>
    <w:rsid w:val="0087470E"/>
    <w:rsid w:val="00875BF6"/>
    <w:rsid w:val="00875F95"/>
    <w:rsid w:val="008857BC"/>
    <w:rsid w:val="00887784"/>
    <w:rsid w:val="0089290C"/>
    <w:rsid w:val="00895BDA"/>
    <w:rsid w:val="0089617D"/>
    <w:rsid w:val="00897381"/>
    <w:rsid w:val="008B24A9"/>
    <w:rsid w:val="008C3B50"/>
    <w:rsid w:val="008C3DC1"/>
    <w:rsid w:val="008C4046"/>
    <w:rsid w:val="008C430C"/>
    <w:rsid w:val="008C48ED"/>
    <w:rsid w:val="008C751B"/>
    <w:rsid w:val="008D76EA"/>
    <w:rsid w:val="008E0052"/>
    <w:rsid w:val="008E01DA"/>
    <w:rsid w:val="008E294B"/>
    <w:rsid w:val="008E488A"/>
    <w:rsid w:val="008E6E66"/>
    <w:rsid w:val="008E7298"/>
    <w:rsid w:val="008E7C34"/>
    <w:rsid w:val="008F03D0"/>
    <w:rsid w:val="008F0728"/>
    <w:rsid w:val="008F23B3"/>
    <w:rsid w:val="008F4F04"/>
    <w:rsid w:val="008F5B73"/>
    <w:rsid w:val="00901376"/>
    <w:rsid w:val="00901972"/>
    <w:rsid w:val="00911F43"/>
    <w:rsid w:val="00913ECC"/>
    <w:rsid w:val="00914D16"/>
    <w:rsid w:val="00917AE3"/>
    <w:rsid w:val="00917CFF"/>
    <w:rsid w:val="009273B1"/>
    <w:rsid w:val="00930B44"/>
    <w:rsid w:val="009314B5"/>
    <w:rsid w:val="00931BB1"/>
    <w:rsid w:val="009343B5"/>
    <w:rsid w:val="009420F1"/>
    <w:rsid w:val="0094536A"/>
    <w:rsid w:val="00946225"/>
    <w:rsid w:val="009472DD"/>
    <w:rsid w:val="00951E6E"/>
    <w:rsid w:val="00955638"/>
    <w:rsid w:val="00971276"/>
    <w:rsid w:val="0097344B"/>
    <w:rsid w:val="00973751"/>
    <w:rsid w:val="0098055F"/>
    <w:rsid w:val="00987312"/>
    <w:rsid w:val="00993ECE"/>
    <w:rsid w:val="00996B27"/>
    <w:rsid w:val="00996BBA"/>
    <w:rsid w:val="009975B6"/>
    <w:rsid w:val="009A4C74"/>
    <w:rsid w:val="009A5488"/>
    <w:rsid w:val="009A6510"/>
    <w:rsid w:val="009B2F28"/>
    <w:rsid w:val="009B6CA3"/>
    <w:rsid w:val="009B6EF5"/>
    <w:rsid w:val="009D0DCE"/>
    <w:rsid w:val="009D34A0"/>
    <w:rsid w:val="009D38FD"/>
    <w:rsid w:val="009E083E"/>
    <w:rsid w:val="009E2DAF"/>
    <w:rsid w:val="009E6438"/>
    <w:rsid w:val="009F3935"/>
    <w:rsid w:val="009F5717"/>
    <w:rsid w:val="00A014FF"/>
    <w:rsid w:val="00A029D1"/>
    <w:rsid w:val="00A038D1"/>
    <w:rsid w:val="00A06D45"/>
    <w:rsid w:val="00A13216"/>
    <w:rsid w:val="00A238DA"/>
    <w:rsid w:val="00A356F1"/>
    <w:rsid w:val="00A42158"/>
    <w:rsid w:val="00A42F43"/>
    <w:rsid w:val="00A44295"/>
    <w:rsid w:val="00A44297"/>
    <w:rsid w:val="00A523C8"/>
    <w:rsid w:val="00A53EA0"/>
    <w:rsid w:val="00A611E1"/>
    <w:rsid w:val="00A61BAD"/>
    <w:rsid w:val="00A61E69"/>
    <w:rsid w:val="00A6363C"/>
    <w:rsid w:val="00A63CF8"/>
    <w:rsid w:val="00A64D32"/>
    <w:rsid w:val="00A6766E"/>
    <w:rsid w:val="00A67C7B"/>
    <w:rsid w:val="00A70637"/>
    <w:rsid w:val="00A70E0C"/>
    <w:rsid w:val="00A72363"/>
    <w:rsid w:val="00A75009"/>
    <w:rsid w:val="00A76F65"/>
    <w:rsid w:val="00A76FFE"/>
    <w:rsid w:val="00A77F0E"/>
    <w:rsid w:val="00A80423"/>
    <w:rsid w:val="00A91A05"/>
    <w:rsid w:val="00A945B8"/>
    <w:rsid w:val="00A97E8A"/>
    <w:rsid w:val="00AA0CC0"/>
    <w:rsid w:val="00AA33DE"/>
    <w:rsid w:val="00AA350E"/>
    <w:rsid w:val="00AA576A"/>
    <w:rsid w:val="00AA7964"/>
    <w:rsid w:val="00AB3D5B"/>
    <w:rsid w:val="00AB7D40"/>
    <w:rsid w:val="00AC6404"/>
    <w:rsid w:val="00AD0D15"/>
    <w:rsid w:val="00AD5145"/>
    <w:rsid w:val="00AD565B"/>
    <w:rsid w:val="00AD6EDB"/>
    <w:rsid w:val="00AD7810"/>
    <w:rsid w:val="00AE7033"/>
    <w:rsid w:val="00AF208D"/>
    <w:rsid w:val="00AF7DC3"/>
    <w:rsid w:val="00B00954"/>
    <w:rsid w:val="00B03323"/>
    <w:rsid w:val="00B03691"/>
    <w:rsid w:val="00B074D1"/>
    <w:rsid w:val="00B1302C"/>
    <w:rsid w:val="00B13906"/>
    <w:rsid w:val="00B1685D"/>
    <w:rsid w:val="00B206C0"/>
    <w:rsid w:val="00B2180D"/>
    <w:rsid w:val="00B23957"/>
    <w:rsid w:val="00B24A49"/>
    <w:rsid w:val="00B31151"/>
    <w:rsid w:val="00B32C37"/>
    <w:rsid w:val="00B34E91"/>
    <w:rsid w:val="00B3603E"/>
    <w:rsid w:val="00B42510"/>
    <w:rsid w:val="00B4512F"/>
    <w:rsid w:val="00B45822"/>
    <w:rsid w:val="00B46F4E"/>
    <w:rsid w:val="00B518C8"/>
    <w:rsid w:val="00B545A0"/>
    <w:rsid w:val="00B55175"/>
    <w:rsid w:val="00B56FE7"/>
    <w:rsid w:val="00B625C7"/>
    <w:rsid w:val="00B64EBC"/>
    <w:rsid w:val="00B6681B"/>
    <w:rsid w:val="00B775B7"/>
    <w:rsid w:val="00B77F7D"/>
    <w:rsid w:val="00B80596"/>
    <w:rsid w:val="00B83258"/>
    <w:rsid w:val="00B85E1C"/>
    <w:rsid w:val="00B9071F"/>
    <w:rsid w:val="00B9177F"/>
    <w:rsid w:val="00B934B4"/>
    <w:rsid w:val="00B95695"/>
    <w:rsid w:val="00B95718"/>
    <w:rsid w:val="00B9609B"/>
    <w:rsid w:val="00B96113"/>
    <w:rsid w:val="00BA05E1"/>
    <w:rsid w:val="00BA4875"/>
    <w:rsid w:val="00BA7EAA"/>
    <w:rsid w:val="00BB5ABE"/>
    <w:rsid w:val="00BB5DD5"/>
    <w:rsid w:val="00BB5E90"/>
    <w:rsid w:val="00BB6459"/>
    <w:rsid w:val="00BC1C9D"/>
    <w:rsid w:val="00BC28A8"/>
    <w:rsid w:val="00BC5E10"/>
    <w:rsid w:val="00BD2AF1"/>
    <w:rsid w:val="00BD74E2"/>
    <w:rsid w:val="00BE0BBE"/>
    <w:rsid w:val="00BE56EA"/>
    <w:rsid w:val="00BE6CD3"/>
    <w:rsid w:val="00BF14A3"/>
    <w:rsid w:val="00BF4B6F"/>
    <w:rsid w:val="00C05115"/>
    <w:rsid w:val="00C05921"/>
    <w:rsid w:val="00C12D15"/>
    <w:rsid w:val="00C22829"/>
    <w:rsid w:val="00C26498"/>
    <w:rsid w:val="00C31D50"/>
    <w:rsid w:val="00C43795"/>
    <w:rsid w:val="00C4718D"/>
    <w:rsid w:val="00C50954"/>
    <w:rsid w:val="00C52920"/>
    <w:rsid w:val="00C5587C"/>
    <w:rsid w:val="00C6219A"/>
    <w:rsid w:val="00C86135"/>
    <w:rsid w:val="00C90D0B"/>
    <w:rsid w:val="00C959FD"/>
    <w:rsid w:val="00C9674E"/>
    <w:rsid w:val="00C969A6"/>
    <w:rsid w:val="00CA2B35"/>
    <w:rsid w:val="00CA4712"/>
    <w:rsid w:val="00CB1C2D"/>
    <w:rsid w:val="00CB1C3A"/>
    <w:rsid w:val="00CB71B4"/>
    <w:rsid w:val="00CD5037"/>
    <w:rsid w:val="00CD70BD"/>
    <w:rsid w:val="00CE0CD7"/>
    <w:rsid w:val="00CE4FC6"/>
    <w:rsid w:val="00CE5237"/>
    <w:rsid w:val="00CE587E"/>
    <w:rsid w:val="00CE606A"/>
    <w:rsid w:val="00CE690E"/>
    <w:rsid w:val="00CF19F5"/>
    <w:rsid w:val="00CF1A97"/>
    <w:rsid w:val="00CF43B4"/>
    <w:rsid w:val="00CF52EA"/>
    <w:rsid w:val="00CF7C57"/>
    <w:rsid w:val="00D003E1"/>
    <w:rsid w:val="00D01202"/>
    <w:rsid w:val="00D02B71"/>
    <w:rsid w:val="00D04096"/>
    <w:rsid w:val="00D06386"/>
    <w:rsid w:val="00D128E4"/>
    <w:rsid w:val="00D1395E"/>
    <w:rsid w:val="00D14FCA"/>
    <w:rsid w:val="00D21F36"/>
    <w:rsid w:val="00D2319B"/>
    <w:rsid w:val="00D257D0"/>
    <w:rsid w:val="00D327C5"/>
    <w:rsid w:val="00D37091"/>
    <w:rsid w:val="00D41624"/>
    <w:rsid w:val="00D44441"/>
    <w:rsid w:val="00D473C0"/>
    <w:rsid w:val="00D47C05"/>
    <w:rsid w:val="00D50B6B"/>
    <w:rsid w:val="00D50F55"/>
    <w:rsid w:val="00D51BB8"/>
    <w:rsid w:val="00D525D0"/>
    <w:rsid w:val="00D62716"/>
    <w:rsid w:val="00D638F5"/>
    <w:rsid w:val="00D706BC"/>
    <w:rsid w:val="00D72030"/>
    <w:rsid w:val="00D72A93"/>
    <w:rsid w:val="00D77E5D"/>
    <w:rsid w:val="00D77FD3"/>
    <w:rsid w:val="00D877E1"/>
    <w:rsid w:val="00D91ACE"/>
    <w:rsid w:val="00D92AC6"/>
    <w:rsid w:val="00D95A2B"/>
    <w:rsid w:val="00DA0E4E"/>
    <w:rsid w:val="00DA1C0C"/>
    <w:rsid w:val="00DA36BA"/>
    <w:rsid w:val="00DA42F9"/>
    <w:rsid w:val="00DA6A61"/>
    <w:rsid w:val="00DA6EFB"/>
    <w:rsid w:val="00DA6F65"/>
    <w:rsid w:val="00DB0627"/>
    <w:rsid w:val="00DB23EA"/>
    <w:rsid w:val="00DB2688"/>
    <w:rsid w:val="00DB6A75"/>
    <w:rsid w:val="00DC1C2B"/>
    <w:rsid w:val="00DC21C7"/>
    <w:rsid w:val="00DC2B03"/>
    <w:rsid w:val="00DC426B"/>
    <w:rsid w:val="00DC497A"/>
    <w:rsid w:val="00DC54E8"/>
    <w:rsid w:val="00DC5A6B"/>
    <w:rsid w:val="00DD164D"/>
    <w:rsid w:val="00DD211F"/>
    <w:rsid w:val="00DD2F7C"/>
    <w:rsid w:val="00DD47FE"/>
    <w:rsid w:val="00DD6369"/>
    <w:rsid w:val="00DD64C4"/>
    <w:rsid w:val="00DE24F0"/>
    <w:rsid w:val="00DE3721"/>
    <w:rsid w:val="00DE5C41"/>
    <w:rsid w:val="00DE5CAD"/>
    <w:rsid w:val="00E00327"/>
    <w:rsid w:val="00E01B84"/>
    <w:rsid w:val="00E02309"/>
    <w:rsid w:val="00E10D42"/>
    <w:rsid w:val="00E123A9"/>
    <w:rsid w:val="00E12FED"/>
    <w:rsid w:val="00E15B3F"/>
    <w:rsid w:val="00E15D60"/>
    <w:rsid w:val="00E21485"/>
    <w:rsid w:val="00E21FD7"/>
    <w:rsid w:val="00E24491"/>
    <w:rsid w:val="00E25741"/>
    <w:rsid w:val="00E3262E"/>
    <w:rsid w:val="00E351D4"/>
    <w:rsid w:val="00E35289"/>
    <w:rsid w:val="00E422AF"/>
    <w:rsid w:val="00E43A05"/>
    <w:rsid w:val="00E45195"/>
    <w:rsid w:val="00E50CD7"/>
    <w:rsid w:val="00E51712"/>
    <w:rsid w:val="00E51E1F"/>
    <w:rsid w:val="00E54FFA"/>
    <w:rsid w:val="00E62C8D"/>
    <w:rsid w:val="00E704D6"/>
    <w:rsid w:val="00E75B71"/>
    <w:rsid w:val="00E8027F"/>
    <w:rsid w:val="00E8237E"/>
    <w:rsid w:val="00E85E0D"/>
    <w:rsid w:val="00E86A23"/>
    <w:rsid w:val="00E91922"/>
    <w:rsid w:val="00E92612"/>
    <w:rsid w:val="00E96BBC"/>
    <w:rsid w:val="00EB5F8C"/>
    <w:rsid w:val="00EB6293"/>
    <w:rsid w:val="00EB65E6"/>
    <w:rsid w:val="00EC4029"/>
    <w:rsid w:val="00ED1B7F"/>
    <w:rsid w:val="00ED55D0"/>
    <w:rsid w:val="00ED7DC7"/>
    <w:rsid w:val="00EE1D7C"/>
    <w:rsid w:val="00EE2D46"/>
    <w:rsid w:val="00EF1BEE"/>
    <w:rsid w:val="00F054BD"/>
    <w:rsid w:val="00F11DB8"/>
    <w:rsid w:val="00F223E9"/>
    <w:rsid w:val="00F22DB1"/>
    <w:rsid w:val="00F25ED1"/>
    <w:rsid w:val="00F41689"/>
    <w:rsid w:val="00F42105"/>
    <w:rsid w:val="00F43181"/>
    <w:rsid w:val="00F43AC8"/>
    <w:rsid w:val="00F43C0B"/>
    <w:rsid w:val="00F5102E"/>
    <w:rsid w:val="00F52EC5"/>
    <w:rsid w:val="00F533B8"/>
    <w:rsid w:val="00F55152"/>
    <w:rsid w:val="00F57858"/>
    <w:rsid w:val="00F64FA4"/>
    <w:rsid w:val="00F65A0C"/>
    <w:rsid w:val="00F66265"/>
    <w:rsid w:val="00F858F7"/>
    <w:rsid w:val="00F90E5B"/>
    <w:rsid w:val="00F92903"/>
    <w:rsid w:val="00F93A0C"/>
    <w:rsid w:val="00F952CF"/>
    <w:rsid w:val="00F963D0"/>
    <w:rsid w:val="00FA1424"/>
    <w:rsid w:val="00FA6AA2"/>
    <w:rsid w:val="00FC1F43"/>
    <w:rsid w:val="00FC4849"/>
    <w:rsid w:val="00FC4A4B"/>
    <w:rsid w:val="00FC60A0"/>
    <w:rsid w:val="00FD0365"/>
    <w:rsid w:val="00FD3534"/>
    <w:rsid w:val="00FD6627"/>
    <w:rsid w:val="00FD7AC2"/>
    <w:rsid w:val="00FE089C"/>
    <w:rsid w:val="00FE412E"/>
    <w:rsid w:val="00FE4FD8"/>
    <w:rsid w:val="00FE5357"/>
    <w:rsid w:val="00FF1036"/>
    <w:rsid w:val="00FF2040"/>
    <w:rsid w:val="00FF4375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78AE8"/>
  <w15:docId w15:val="{41890891-EA2F-4AD3-B4DA-70798086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F208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E51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AF208D"/>
    <w:pPr>
      <w:keepNext/>
      <w:spacing w:before="240" w:after="240"/>
      <w:jc w:val="both"/>
      <w:outlineLvl w:val="1"/>
    </w:pPr>
    <w:rPr>
      <w:rFonts w:ascii="Arial" w:hAnsi="Arial" w:cs="Arial"/>
      <w:b/>
      <w:bCs/>
      <w:iCs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rsid w:val="00AF208D"/>
    <w:pPr>
      <w:jc w:val="both"/>
    </w:pPr>
    <w:rPr>
      <w:rFonts w:ascii="Arial" w:hAnsi="Arial" w:cs="Arial"/>
      <w:sz w:val="20"/>
    </w:rPr>
  </w:style>
  <w:style w:type="paragraph" w:styleId="Zkladntext">
    <w:name w:val="Body Text"/>
    <w:basedOn w:val="Normln"/>
    <w:semiHidden/>
    <w:rsid w:val="00AF208D"/>
    <w:rPr>
      <w:sz w:val="22"/>
    </w:rPr>
  </w:style>
  <w:style w:type="paragraph" w:styleId="Zkladntext3">
    <w:name w:val="Body Text 3"/>
    <w:basedOn w:val="Normln"/>
    <w:semiHidden/>
    <w:rsid w:val="00AF208D"/>
    <w:rPr>
      <w:rFonts w:ascii="Arial" w:hAnsi="Arial" w:cs="Arial"/>
      <w:sz w:val="20"/>
    </w:rPr>
  </w:style>
  <w:style w:type="paragraph" w:styleId="Zkladntextodsazen">
    <w:name w:val="Body Text Indent"/>
    <w:basedOn w:val="Normln"/>
    <w:semiHidden/>
    <w:rsid w:val="00AF208D"/>
    <w:pPr>
      <w:ind w:firstLine="708"/>
      <w:jc w:val="both"/>
    </w:pPr>
    <w:rPr>
      <w:rFonts w:ascii="Arial" w:hAnsi="Arial" w:cs="Arial"/>
      <w:sz w:val="20"/>
    </w:rPr>
  </w:style>
  <w:style w:type="character" w:customStyle="1" w:styleId="Nadpis1Char">
    <w:name w:val="Nadpis 1 Char"/>
    <w:link w:val="Nadpis1"/>
    <w:uiPriority w:val="9"/>
    <w:rsid w:val="005E513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beranek426\Documents\u\icpv\publikace\2024\06-2024\0110442406gk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beranek426\Documents\u\icpv\publikace\2024\06-2024\0110442406gk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beranek426\Documents\u\icpv\publikace\2024\06-2024\0110442406gk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400"/>
              <a:t>Indexy cen průmyslových výrobců</a:t>
            </a:r>
          </a:p>
          <a:p>
            <a:pPr>
              <a:defRPr sz="12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000"/>
              <a:t>(změna proti předchozímu měsíci v %)</a:t>
            </a:r>
          </a:p>
        </c:rich>
      </c:tx>
      <c:layout>
        <c:manualLayout>
          <c:xMode val="edge"/>
          <c:yMode val="edge"/>
          <c:x val="0.30396101275776793"/>
          <c:y val="3.8045706714406366E-2"/>
        </c:manualLayout>
      </c:layout>
      <c:overlay val="0"/>
      <c:spPr>
        <a:noFill/>
        <a:ln w="25400">
          <a:noFill/>
        </a:ln>
      </c:spPr>
    </c:title>
    <c:autoTitleDeleted val="0"/>
    <c:view3D>
      <c:rotX val="0"/>
      <c:hPercent val="100"/>
      <c:rotY val="0"/>
      <c:depthPercent val="100"/>
      <c:rAngAx val="0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9657964896306494E-2"/>
          <c:y val="0.11145263987173416"/>
          <c:w val="0.85955841314208437"/>
          <c:h val="0.75831567687655665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List1!$A$7</c:f>
              <c:strCache>
                <c:ptCount val="1"/>
                <c:pt idx="0">
                  <c:v>Průmysl celkem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5087719298245454E-3"/>
                  <c:y val="-2.8982857754363591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CE1-414C-B40A-EBA7A00A2113}"/>
                </c:ext>
              </c:extLst>
            </c:dLbl>
            <c:dLbl>
              <c:idx val="1"/>
              <c:layout>
                <c:manualLayout>
                  <c:x val="-3.50416119141480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CE1-414C-B40A-EBA7A00A2113}"/>
                </c:ext>
              </c:extLst>
            </c:dLbl>
            <c:dLbl>
              <c:idx val="2"/>
              <c:layout>
                <c:manualLayout>
                  <c:x val="-2.2793203481143804E-6"/>
                  <c:y val="6.33245040333796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5186158563293909E-2"/>
                      <c:h val="3.866421456909006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0CE1-414C-B40A-EBA7A00A2113}"/>
                </c:ext>
              </c:extLst>
            </c:dLbl>
            <c:dLbl>
              <c:idx val="3"/>
              <c:layout>
                <c:manualLayout>
                  <c:x val="-1.7520375742506192E-3"/>
                  <c:y val="7.75179972399401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CE1-414C-B40A-EBA7A00A2113}"/>
                </c:ext>
              </c:extLst>
            </c:dLbl>
            <c:dLbl>
              <c:idx val="4"/>
              <c:layout>
                <c:manualLayout>
                  <c:x val="-5.2631578947368741E-3"/>
                  <c:y val="-7.69200991254280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CE1-414C-B40A-EBA7A00A2113}"/>
                </c:ext>
              </c:extLst>
            </c:dLbl>
            <c:dLbl>
              <c:idx val="5"/>
              <c:layout>
                <c:manualLayout>
                  <c:x val="-1.7543859649123128E-3"/>
                  <c:y val="-9.437898497730099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CE1-414C-B40A-EBA7A00A2113}"/>
                </c:ext>
              </c:extLst>
            </c:dLbl>
            <c:dLbl>
              <c:idx val="6"/>
              <c:layout>
                <c:manualLayout>
                  <c:x val="-5.2562417871222077E-3"/>
                  <c:y val="-2.54452875227329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CE1-414C-B40A-EBA7A00A2113}"/>
                </c:ext>
              </c:extLst>
            </c:dLbl>
            <c:dLbl>
              <c:idx val="7"/>
              <c:layout>
                <c:manualLayout>
                  <c:x val="1.7543859649122163E-3"/>
                  <c:y val="-5.08882232515077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CE1-414C-B40A-EBA7A00A2113}"/>
                </c:ext>
              </c:extLst>
            </c:dLbl>
            <c:dLbl>
              <c:idx val="8"/>
              <c:layout>
                <c:manualLayout>
                  <c:x val="0"/>
                  <c:y val="-2.57400205231070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CE1-414C-B40A-EBA7A00A2113}"/>
                </c:ext>
              </c:extLst>
            </c:dLbl>
            <c:dLbl>
              <c:idx val="9"/>
              <c:layout>
                <c:manualLayout>
                  <c:x val="0"/>
                  <c:y val="-2.57400205231070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CE1-414C-B40A-EBA7A00A2113}"/>
                </c:ext>
              </c:extLst>
            </c:dLbl>
            <c:dLbl>
              <c:idx val="10"/>
              <c:layout>
                <c:manualLayout>
                  <c:x val="-8.771929824561403E-3"/>
                  <c:y val="-1.02956028545886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CE1-414C-B40A-EBA7A00A2113}"/>
                </c:ext>
              </c:extLst>
            </c:dLbl>
            <c:dLbl>
              <c:idx val="11"/>
              <c:layout>
                <c:manualLayout>
                  <c:x val="-6.4326742272101015E-17"/>
                  <c:y val="-9.437898497730099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CE1-414C-B40A-EBA7A00A2113}"/>
                </c:ext>
              </c:extLst>
            </c:dLbl>
            <c:dLbl>
              <c:idx val="12"/>
              <c:layout>
                <c:manualLayout>
                  <c:x val="1.75438596491228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CE1-414C-B40A-EBA7A00A2113}"/>
                </c:ext>
              </c:extLst>
            </c:dLbl>
            <c:dLbl>
              <c:idx val="14"/>
              <c:layout>
                <c:manualLayout>
                  <c:x val="6.9070313577937116E-6"/>
                  <c:y val="-7.968881727670669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CE1-414C-B40A-EBA7A00A2113}"/>
                </c:ext>
              </c:extLst>
            </c:dLbl>
            <c:dLbl>
              <c:idx val="15"/>
              <c:layout>
                <c:manualLayout>
                  <c:x val="-1.7520375742507157E-3"/>
                  <c:y val="2.82848370403354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CE1-414C-B40A-EBA7A00A2113}"/>
                </c:ext>
              </c:extLst>
            </c:dLbl>
            <c:dLbl>
              <c:idx val="16"/>
              <c:layout>
                <c:manualLayout>
                  <c:x val="0"/>
                  <c:y val="7.63358625681988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CE1-414C-B40A-EBA7A00A2113}"/>
                </c:ext>
              </c:extLst>
            </c:dLbl>
            <c:dLbl>
              <c:idx val="17"/>
              <c:layout>
                <c:manualLayout>
                  <c:x val="-1.7543859649124093E-3"/>
                  <c:y val="-2.57400205231061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0CE1-414C-B40A-EBA7A00A2113}"/>
                </c:ext>
              </c:extLst>
            </c:dLbl>
            <c:dLbl>
              <c:idx val="18"/>
              <c:layout>
                <c:manualLayout>
                  <c:x val="-8.8175162315236907E-4"/>
                  <c:y val="2.69400729759984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0449371460146428E-2"/>
                      <c:h val="5.66233835723135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0CE1-414C-B40A-EBA7A00A2113}"/>
                </c:ext>
              </c:extLst>
            </c:dLbl>
            <c:dLbl>
              <c:idx val="19"/>
              <c:layout>
                <c:manualLayout>
                  <c:x val="1.7543859649121521E-3"/>
                  <c:y val="-5.147396072640269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0CE1-414C-B40A-EBA7A00A2113}"/>
                </c:ext>
              </c:extLst>
            </c:dLbl>
            <c:dLbl>
              <c:idx val="20"/>
              <c:layout>
                <c:manualLayout>
                  <c:x val="-1.7543859649122807E-3"/>
                  <c:y val="2.05636415927113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CE1-414C-B40A-EBA7A00A2113}"/>
                </c:ext>
              </c:extLst>
            </c:dLbl>
            <c:dLbl>
              <c:idx val="21"/>
              <c:layout>
                <c:manualLayout>
                  <c:x val="1.7543859649122807E-3"/>
                  <c:y val="-2.8780180427410001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0CE1-414C-B40A-EBA7A00A2113}"/>
                </c:ext>
              </c:extLst>
            </c:dLbl>
            <c:dLbl>
              <c:idx val="22"/>
              <c:layout>
                <c:manualLayout>
                  <c:x val="-5.247064511672883E-3"/>
                  <c:y val="2.56792173250200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5199889487498264E-2"/>
                      <c:h val="4.316196087070990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5-0CE1-414C-B40A-EBA7A00A2113}"/>
                </c:ext>
              </c:extLst>
            </c:dLbl>
            <c:dLbl>
              <c:idx val="23"/>
              <c:layout>
                <c:manualLayout>
                  <c:x val="-7.0106368282913294E-3"/>
                  <c:y val="-2.57339402032975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0CE1-414C-B40A-EBA7A00A2113}"/>
                </c:ext>
              </c:extLst>
            </c:dLbl>
            <c:numFmt formatCode="0.0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List1!$B$6:$Y$6</c:f>
              <c:strCache>
                <c:ptCount val="24"/>
                <c:pt idx="0">
                  <c:v>VII.22</c:v>
                </c:pt>
                <c:pt idx="1">
                  <c:v>VIII.22</c:v>
                </c:pt>
                <c:pt idx="2">
                  <c:v>IX.22</c:v>
                </c:pt>
                <c:pt idx="3">
                  <c:v>X.22</c:v>
                </c:pt>
                <c:pt idx="4">
                  <c:v>XI.22</c:v>
                </c:pt>
                <c:pt idx="5">
                  <c:v>XII.22</c:v>
                </c:pt>
                <c:pt idx="6">
                  <c:v>I.23</c:v>
                </c:pt>
                <c:pt idx="7">
                  <c:v>II.23</c:v>
                </c:pt>
                <c:pt idx="8">
                  <c:v>III.23</c:v>
                </c:pt>
                <c:pt idx="9">
                  <c:v>IV.23</c:v>
                </c:pt>
                <c:pt idx="10">
                  <c:v>V.23</c:v>
                </c:pt>
                <c:pt idx="11">
                  <c:v>VI.23</c:v>
                </c:pt>
                <c:pt idx="12">
                  <c:v>VII.23</c:v>
                </c:pt>
                <c:pt idx="13">
                  <c:v>VIII.23</c:v>
                </c:pt>
                <c:pt idx="14">
                  <c:v>IX.23</c:v>
                </c:pt>
                <c:pt idx="15">
                  <c:v>X.23</c:v>
                </c:pt>
                <c:pt idx="16">
                  <c:v>XI.23</c:v>
                </c:pt>
                <c:pt idx="17">
                  <c:v>XII.23</c:v>
                </c:pt>
                <c:pt idx="18">
                  <c:v>I.24</c:v>
                </c:pt>
                <c:pt idx="19">
                  <c:v>II.24</c:v>
                </c:pt>
                <c:pt idx="20">
                  <c:v>III.24</c:v>
                </c:pt>
                <c:pt idx="21">
                  <c:v>IV.24</c:v>
                </c:pt>
                <c:pt idx="22">
                  <c:v>V.24</c:v>
                </c:pt>
                <c:pt idx="23">
                  <c:v>VI.24</c:v>
                </c:pt>
              </c:strCache>
            </c:strRef>
          </c:cat>
          <c:val>
            <c:numRef>
              <c:f>List1!$B$7:$Y$7</c:f>
              <c:numCache>
                <c:formatCode>0.0</c:formatCode>
                <c:ptCount val="24"/>
                <c:pt idx="0">
                  <c:v>0.3</c:v>
                </c:pt>
                <c:pt idx="1">
                  <c:v>-0.1</c:v>
                </c:pt>
                <c:pt idx="2">
                  <c:v>1.2000000000000028</c:v>
                </c:pt>
                <c:pt idx="3">
                  <c:v>0.59999999999999432</c:v>
                </c:pt>
                <c:pt idx="4">
                  <c:v>-1</c:v>
                </c:pt>
                <c:pt idx="5">
                  <c:v>-1.1000000000000001</c:v>
                </c:pt>
                <c:pt idx="6" formatCode="General">
                  <c:v>5.8</c:v>
                </c:pt>
                <c:pt idx="7">
                  <c:v>-0.3</c:v>
                </c:pt>
                <c:pt idx="8">
                  <c:v>-1</c:v>
                </c:pt>
                <c:pt idx="9">
                  <c:v>-1.2</c:v>
                </c:pt>
                <c:pt idx="10">
                  <c:v>-0.8</c:v>
                </c:pt>
                <c:pt idx="11">
                  <c:v>-0.3</c:v>
                </c:pt>
                <c:pt idx="12">
                  <c:v>-0.1</c:v>
                </c:pt>
                <c:pt idx="13">
                  <c:v>0.2</c:v>
                </c:pt>
                <c:pt idx="14">
                  <c:v>0.3</c:v>
                </c:pt>
                <c:pt idx="15">
                  <c:v>-0.1</c:v>
                </c:pt>
                <c:pt idx="16">
                  <c:v>-0.4</c:v>
                </c:pt>
                <c:pt idx="17">
                  <c:v>-0.5</c:v>
                </c:pt>
                <c:pt idx="18">
                  <c:v>2.5</c:v>
                </c:pt>
                <c:pt idx="19" formatCode="General">
                  <c:v>0.5</c:v>
                </c:pt>
                <c:pt idx="20">
                  <c:v>-0.1</c:v>
                </c:pt>
                <c:pt idx="21">
                  <c:v>0.2</c:v>
                </c:pt>
                <c:pt idx="22">
                  <c:v>-1.2</c:v>
                </c:pt>
                <c:pt idx="23">
                  <c:v>-0.3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0CE1-414C-B40A-EBA7A00A211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7608448"/>
        <c:axId val="71779456"/>
        <c:axId val="4274368"/>
      </c:bar3DChart>
      <c:dateAx>
        <c:axId val="37608448"/>
        <c:scaling>
          <c:orientation val="minMax"/>
        </c:scaling>
        <c:delete val="0"/>
        <c:axPos val="b"/>
        <c:numFmt formatCode="mmm/yy" sourceLinked="0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77945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71779456"/>
        <c:scaling>
          <c:orientation val="minMax"/>
          <c:max val="7"/>
          <c:min val="-2"/>
        </c:scaling>
        <c:delete val="0"/>
        <c:axPos val="l"/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37608448"/>
        <c:crosses val="autoZero"/>
        <c:crossBetween val="between"/>
        <c:majorUnit val="1"/>
      </c:valAx>
      <c:serAx>
        <c:axId val="4274368"/>
        <c:scaling>
          <c:orientation val="minMax"/>
        </c:scaling>
        <c:delete val="1"/>
        <c:axPos val="b"/>
        <c:majorTickMark val="out"/>
        <c:minorTickMark val="none"/>
        <c:tickLblPos val="none"/>
        <c:crossAx val="71779456"/>
        <c:crosses val="autoZero"/>
      </c:ser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7320103055449211"/>
          <c:y val="0.93304244483890386"/>
          <c:w val="0.2308207531877175"/>
          <c:h val="4.3836167877859197E-2"/>
        </c:manualLayout>
      </c:layout>
      <c:overlay val="0"/>
      <c:txPr>
        <a:bodyPr/>
        <a:lstStyle/>
        <a:p>
          <a:pPr>
            <a:defRPr sz="1000"/>
          </a:pPr>
          <a:endParaRPr lang="cs-CZ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425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/>
              <a:t>Indexy cen průmyslových výrobců</a:t>
            </a:r>
          </a:p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/>
              <a:t>(změna proti stejnému období předchozího roku</a:t>
            </a:r>
            <a:r>
              <a:rPr lang="cs-CZ" baseline="0"/>
              <a:t> v %)</a:t>
            </a:r>
            <a:endParaRPr lang="cs-CZ"/>
          </a:p>
        </c:rich>
      </c:tx>
      <c:layout>
        <c:manualLayout>
          <c:xMode val="edge"/>
          <c:yMode val="edge"/>
          <c:x val="0.28107374290078146"/>
          <c:y val="3.6745406824146977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9341014576567757E-2"/>
          <c:y val="0.1595202541429894"/>
          <c:w val="0.85828743864644041"/>
          <c:h val="0.618259901978272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List1!$A$6</c:f>
              <c:strCache>
                <c:ptCount val="1"/>
                <c:pt idx="0">
                  <c:v>Průmysl celkem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List1!$B$5:$Y$5</c:f>
              <c:strCache>
                <c:ptCount val="24"/>
                <c:pt idx="0">
                  <c:v>VII.22</c:v>
                </c:pt>
                <c:pt idx="1">
                  <c:v>VIII.22</c:v>
                </c:pt>
                <c:pt idx="2">
                  <c:v>IX.22</c:v>
                </c:pt>
                <c:pt idx="3">
                  <c:v>X.22</c:v>
                </c:pt>
                <c:pt idx="4">
                  <c:v>XI.22</c:v>
                </c:pt>
                <c:pt idx="5">
                  <c:v>XII.22</c:v>
                </c:pt>
                <c:pt idx="6">
                  <c:v>I.23</c:v>
                </c:pt>
                <c:pt idx="7">
                  <c:v>II.23</c:v>
                </c:pt>
                <c:pt idx="8">
                  <c:v>III.23</c:v>
                </c:pt>
                <c:pt idx="9">
                  <c:v>IV.23</c:v>
                </c:pt>
                <c:pt idx="10">
                  <c:v>V.23</c:v>
                </c:pt>
                <c:pt idx="11">
                  <c:v>VI.23</c:v>
                </c:pt>
                <c:pt idx="12">
                  <c:v>VII.23</c:v>
                </c:pt>
                <c:pt idx="13">
                  <c:v>VIII.23</c:v>
                </c:pt>
                <c:pt idx="14">
                  <c:v>IX.23</c:v>
                </c:pt>
                <c:pt idx="15">
                  <c:v>X.23</c:v>
                </c:pt>
                <c:pt idx="16">
                  <c:v>XI.23</c:v>
                </c:pt>
                <c:pt idx="17">
                  <c:v>XII.23</c:v>
                </c:pt>
                <c:pt idx="18">
                  <c:v>I.24</c:v>
                </c:pt>
                <c:pt idx="19">
                  <c:v>II.24</c:v>
                </c:pt>
                <c:pt idx="20">
                  <c:v>III.24</c:v>
                </c:pt>
                <c:pt idx="21">
                  <c:v>IV.24</c:v>
                </c:pt>
                <c:pt idx="22">
                  <c:v>V.24</c:v>
                </c:pt>
                <c:pt idx="23">
                  <c:v>VI.24</c:v>
                </c:pt>
              </c:strCache>
            </c:strRef>
          </c:cat>
          <c:val>
            <c:numRef>
              <c:f>List1!$B$6:$Y$6</c:f>
              <c:numCache>
                <c:formatCode>General</c:formatCode>
                <c:ptCount val="24"/>
                <c:pt idx="0" formatCode="0.0">
                  <c:v>26.799999999999997</c:v>
                </c:pt>
                <c:pt idx="1">
                  <c:v>25.2</c:v>
                </c:pt>
                <c:pt idx="2">
                  <c:v>25.8</c:v>
                </c:pt>
                <c:pt idx="3">
                  <c:v>24.1</c:v>
                </c:pt>
                <c:pt idx="4">
                  <c:v>21.3</c:v>
                </c:pt>
                <c:pt idx="5">
                  <c:v>20.099999999999994</c:v>
                </c:pt>
                <c:pt idx="6" formatCode="0.0">
                  <c:v>19</c:v>
                </c:pt>
                <c:pt idx="7" formatCode="0.0">
                  <c:v>16</c:v>
                </c:pt>
                <c:pt idx="8">
                  <c:v>10.199999999999999</c:v>
                </c:pt>
                <c:pt idx="9">
                  <c:v>6.4</c:v>
                </c:pt>
                <c:pt idx="10">
                  <c:v>3.6</c:v>
                </c:pt>
                <c:pt idx="11">
                  <c:v>1.9</c:v>
                </c:pt>
                <c:pt idx="12">
                  <c:v>1.4</c:v>
                </c:pt>
                <c:pt idx="13">
                  <c:v>1.8</c:v>
                </c:pt>
                <c:pt idx="14">
                  <c:v>0.8</c:v>
                </c:pt>
                <c:pt idx="15">
                  <c:v>0.2</c:v>
                </c:pt>
                <c:pt idx="16">
                  <c:v>0.8</c:v>
                </c:pt>
                <c:pt idx="17">
                  <c:v>1.4</c:v>
                </c:pt>
                <c:pt idx="18">
                  <c:v>-1.8</c:v>
                </c:pt>
                <c:pt idx="19">
                  <c:v>-0.9</c:v>
                </c:pt>
                <c:pt idx="20">
                  <c:v>0</c:v>
                </c:pt>
                <c:pt idx="21">
                  <c:v>1.4</c:v>
                </c:pt>
                <c:pt idx="22" formatCode="0.0">
                  <c:v>1</c:v>
                </c:pt>
                <c:pt idx="23" formatCode="0.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24-43F8-91A0-4209FAE2C5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7571584"/>
        <c:axId val="37586816"/>
      </c:barChart>
      <c:dateAx>
        <c:axId val="37571584"/>
        <c:scaling>
          <c:orientation val="minMax"/>
        </c:scaling>
        <c:delete val="0"/>
        <c:axPos val="b"/>
        <c:numFmt formatCode="mmm/yy" sourceLinked="0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3758681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37586816"/>
        <c:scaling>
          <c:orientation val="minMax"/>
          <c:max val="30"/>
          <c:min val="-3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ysDash"/>
            </a:ln>
          </c:spPr>
        </c:majorGridlines>
        <c:title>
          <c:tx>
            <c:rich>
              <a:bodyPr rot="-5400000" vert="horz"/>
              <a:lstStyle/>
              <a:p>
                <a:pPr algn="ctr">
                  <a:defRPr sz="9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cs-CZ" sz="800"/>
                  <a:t>meziroční tempo růstu (%)</a:t>
                </a:r>
              </a:p>
            </c:rich>
          </c:tx>
          <c:layout>
            <c:manualLayout>
              <c:xMode val="edge"/>
              <c:yMode val="edge"/>
              <c:x val="2.3069679849340868E-2"/>
              <c:y val="0.22002089544632164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37571584"/>
        <c:crosses val="autoZero"/>
        <c:crossBetween val="between"/>
        <c:majorUnit val="3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0860032326467666"/>
          <c:y val="0.90301144648585596"/>
          <c:w val="0.16395539540608273"/>
          <c:h val="7.3840405365995912E-2"/>
        </c:manualLayout>
      </c:layout>
      <c:overlay val="0"/>
      <c:spPr>
        <a:ln w="0" cmpd="sng"/>
      </c:sp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000"/>
              <a:t>Indexy cen průmyslových výrobců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 sz="1000" b="1" i="0" baseline="0">
                <a:effectLst/>
              </a:rPr>
              <a:t>(změna proti stejnému období předchozího roku v %)</a:t>
            </a:r>
            <a:endParaRPr lang="cs-CZ" sz="1000">
              <a:effectLst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 sz="1000"/>
          </a:p>
        </c:rich>
      </c:tx>
      <c:layout>
        <c:manualLayout>
          <c:xMode val="edge"/>
          <c:yMode val="edge"/>
          <c:x val="0.27674097075893683"/>
          <c:y val="1.4587142124475819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8372851280913831E-2"/>
          <c:y val="9.2429385720724302E-2"/>
          <c:w val="0.85972111936712137"/>
          <c:h val="0.66663939421365437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List1!$A$11</c:f>
              <c:strCache>
                <c:ptCount val="1"/>
                <c:pt idx="0">
                  <c:v>Výrobky a služby zprac. průmyslu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List1!$B$9:$Y$9</c:f>
              <c:strCache>
                <c:ptCount val="24"/>
                <c:pt idx="0">
                  <c:v>VII.22</c:v>
                </c:pt>
                <c:pt idx="1">
                  <c:v>VIII.22</c:v>
                </c:pt>
                <c:pt idx="2">
                  <c:v>IX.22</c:v>
                </c:pt>
                <c:pt idx="3">
                  <c:v>X.22</c:v>
                </c:pt>
                <c:pt idx="4">
                  <c:v>XI.22</c:v>
                </c:pt>
                <c:pt idx="5">
                  <c:v>XII.22</c:v>
                </c:pt>
                <c:pt idx="6">
                  <c:v>I.23</c:v>
                </c:pt>
                <c:pt idx="7">
                  <c:v>II.23</c:v>
                </c:pt>
                <c:pt idx="8">
                  <c:v>III.23</c:v>
                </c:pt>
                <c:pt idx="9">
                  <c:v>IV.23</c:v>
                </c:pt>
                <c:pt idx="10">
                  <c:v>V.23</c:v>
                </c:pt>
                <c:pt idx="11">
                  <c:v>VI.23</c:v>
                </c:pt>
                <c:pt idx="12">
                  <c:v>VII.23</c:v>
                </c:pt>
                <c:pt idx="13">
                  <c:v>VIII.23</c:v>
                </c:pt>
                <c:pt idx="14">
                  <c:v>IX.23</c:v>
                </c:pt>
                <c:pt idx="15">
                  <c:v>X.23</c:v>
                </c:pt>
                <c:pt idx="16">
                  <c:v>XI.23</c:v>
                </c:pt>
                <c:pt idx="17">
                  <c:v>XII.23</c:v>
                </c:pt>
                <c:pt idx="18">
                  <c:v>I.24</c:v>
                </c:pt>
                <c:pt idx="19">
                  <c:v>II.24</c:v>
                </c:pt>
                <c:pt idx="20">
                  <c:v>III.24</c:v>
                </c:pt>
                <c:pt idx="21">
                  <c:v>IV.24</c:v>
                </c:pt>
                <c:pt idx="22">
                  <c:v>V.24</c:v>
                </c:pt>
                <c:pt idx="23">
                  <c:v>VI.24</c:v>
                </c:pt>
              </c:strCache>
            </c:strRef>
          </c:cat>
          <c:val>
            <c:numRef>
              <c:f>List1!$B$11:$Y$11</c:f>
              <c:numCache>
                <c:formatCode>0.0</c:formatCode>
                <c:ptCount val="24"/>
                <c:pt idx="0">
                  <c:v>22.700000000000003</c:v>
                </c:pt>
                <c:pt idx="1">
                  <c:v>20</c:v>
                </c:pt>
                <c:pt idx="2">
                  <c:v>18.899999999999999</c:v>
                </c:pt>
                <c:pt idx="3">
                  <c:v>18.399999999999999</c:v>
                </c:pt>
                <c:pt idx="4">
                  <c:v>15.7</c:v>
                </c:pt>
                <c:pt idx="5">
                  <c:v>14</c:v>
                </c:pt>
                <c:pt idx="6">
                  <c:v>13.599999999999994</c:v>
                </c:pt>
                <c:pt idx="7">
                  <c:v>11.6</c:v>
                </c:pt>
                <c:pt idx="8">
                  <c:v>5.9</c:v>
                </c:pt>
                <c:pt idx="9">
                  <c:v>2.4</c:v>
                </c:pt>
                <c:pt idx="10">
                  <c:v>-1.4</c:v>
                </c:pt>
                <c:pt idx="11">
                  <c:v>-3.6</c:v>
                </c:pt>
                <c:pt idx="12">
                  <c:v>-3.5</c:v>
                </c:pt>
                <c:pt idx="13">
                  <c:v>-2.2000000000000028</c:v>
                </c:pt>
                <c:pt idx="14" formatCode="General">
                  <c:v>-1.6</c:v>
                </c:pt>
                <c:pt idx="15">
                  <c:v>-3</c:v>
                </c:pt>
                <c:pt idx="16">
                  <c:v>-2.5</c:v>
                </c:pt>
                <c:pt idx="17">
                  <c:v>-1.4</c:v>
                </c:pt>
                <c:pt idx="18" formatCode="General">
                  <c:v>-2.5</c:v>
                </c:pt>
                <c:pt idx="19" formatCode="General">
                  <c:v>-1.7000000000000028</c:v>
                </c:pt>
                <c:pt idx="20">
                  <c:v>-0.9</c:v>
                </c:pt>
                <c:pt idx="21">
                  <c:v>0.3</c:v>
                </c:pt>
                <c:pt idx="22">
                  <c:v>0</c:v>
                </c:pt>
                <c:pt idx="2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AF-4F83-AA0A-420742E252E8}"/>
            </c:ext>
          </c:extLst>
        </c:ser>
        <c:ser>
          <c:idx val="2"/>
          <c:order val="2"/>
          <c:tx>
            <c:strRef>
              <c:f>List1!$A$12</c:f>
              <c:strCache>
                <c:ptCount val="1"/>
                <c:pt idx="0">
                  <c:v>Elektřina, plyn, pára a klimat. vzduch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List1!$B$9:$Y$9</c:f>
              <c:strCache>
                <c:ptCount val="24"/>
                <c:pt idx="0">
                  <c:v>VII.22</c:v>
                </c:pt>
                <c:pt idx="1">
                  <c:v>VIII.22</c:v>
                </c:pt>
                <c:pt idx="2">
                  <c:v>IX.22</c:v>
                </c:pt>
                <c:pt idx="3">
                  <c:v>X.22</c:v>
                </c:pt>
                <c:pt idx="4">
                  <c:v>XI.22</c:v>
                </c:pt>
                <c:pt idx="5">
                  <c:v>XII.22</c:v>
                </c:pt>
                <c:pt idx="6">
                  <c:v>I.23</c:v>
                </c:pt>
                <c:pt idx="7">
                  <c:v>II.23</c:v>
                </c:pt>
                <c:pt idx="8">
                  <c:v>III.23</c:v>
                </c:pt>
                <c:pt idx="9">
                  <c:v>IV.23</c:v>
                </c:pt>
                <c:pt idx="10">
                  <c:v>V.23</c:v>
                </c:pt>
                <c:pt idx="11">
                  <c:v>VI.23</c:v>
                </c:pt>
                <c:pt idx="12">
                  <c:v>VII.23</c:v>
                </c:pt>
                <c:pt idx="13">
                  <c:v>VIII.23</c:v>
                </c:pt>
                <c:pt idx="14">
                  <c:v>IX.23</c:v>
                </c:pt>
                <c:pt idx="15">
                  <c:v>X.23</c:v>
                </c:pt>
                <c:pt idx="16">
                  <c:v>XI.23</c:v>
                </c:pt>
                <c:pt idx="17">
                  <c:v>XII.23</c:v>
                </c:pt>
                <c:pt idx="18">
                  <c:v>I.24</c:v>
                </c:pt>
                <c:pt idx="19">
                  <c:v>II.24</c:v>
                </c:pt>
                <c:pt idx="20">
                  <c:v>III.24</c:v>
                </c:pt>
                <c:pt idx="21">
                  <c:v>IV.24</c:v>
                </c:pt>
                <c:pt idx="22">
                  <c:v>V.24</c:v>
                </c:pt>
                <c:pt idx="23">
                  <c:v>VI.24</c:v>
                </c:pt>
              </c:strCache>
            </c:strRef>
          </c:cat>
          <c:val>
            <c:numRef>
              <c:f>List1!$B$12:$Y$12</c:f>
              <c:numCache>
                <c:formatCode>0.0</c:formatCode>
                <c:ptCount val="24"/>
                <c:pt idx="0">
                  <c:v>49.800000000000011</c:v>
                </c:pt>
                <c:pt idx="1">
                  <c:v>54.3</c:v>
                </c:pt>
                <c:pt idx="2">
                  <c:v>64</c:v>
                </c:pt>
                <c:pt idx="3">
                  <c:v>56.8</c:v>
                </c:pt>
                <c:pt idx="4">
                  <c:v>52.6</c:v>
                </c:pt>
                <c:pt idx="5">
                  <c:v>53.5</c:v>
                </c:pt>
                <c:pt idx="6">
                  <c:v>35.699999999999989</c:v>
                </c:pt>
                <c:pt idx="7">
                  <c:v>28.5</c:v>
                </c:pt>
                <c:pt idx="8">
                  <c:v>21.4</c:v>
                </c:pt>
                <c:pt idx="9">
                  <c:v>16.5</c:v>
                </c:pt>
                <c:pt idx="10">
                  <c:v>19.3</c:v>
                </c:pt>
                <c:pt idx="11">
                  <c:v>19.600000000000001</c:v>
                </c:pt>
                <c:pt idx="12">
                  <c:v>15.900000000000006</c:v>
                </c:pt>
                <c:pt idx="13">
                  <c:v>11.700000000000003</c:v>
                </c:pt>
                <c:pt idx="14">
                  <c:v>4.4000000000000004</c:v>
                </c:pt>
                <c:pt idx="15">
                  <c:v>7</c:v>
                </c:pt>
                <c:pt idx="16">
                  <c:v>8</c:v>
                </c:pt>
                <c:pt idx="17">
                  <c:v>6.3</c:v>
                </c:pt>
                <c:pt idx="18" formatCode="General">
                  <c:v>-0.7</c:v>
                </c:pt>
                <c:pt idx="19" formatCode="General">
                  <c:v>0.7</c:v>
                </c:pt>
                <c:pt idx="20">
                  <c:v>2.6</c:v>
                </c:pt>
                <c:pt idx="21">
                  <c:v>5.0999999999999996</c:v>
                </c:pt>
                <c:pt idx="22">
                  <c:v>4.2</c:v>
                </c:pt>
                <c:pt idx="23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0AF-4F83-AA0A-420742E252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836800"/>
        <c:axId val="71878144"/>
      </c:barChart>
      <c:lineChart>
        <c:grouping val="standard"/>
        <c:varyColors val="0"/>
        <c:ser>
          <c:idx val="0"/>
          <c:order val="0"/>
          <c:tx>
            <c:strRef>
              <c:f>List1!$A$10</c:f>
              <c:strCache>
                <c:ptCount val="1"/>
                <c:pt idx="0">
                  <c:v>Těžba a dobývání</c:v>
                </c:pt>
              </c:strCache>
            </c:strRef>
          </c:tx>
          <c:spPr>
            <a:ln w="25400">
              <a:solidFill>
                <a:srgbClr val="000080"/>
              </a:solidFill>
              <a:prstDash val="solid"/>
            </a:ln>
          </c:spPr>
          <c:marker>
            <c:symbol val="diamond"/>
            <c:size val="7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strRef>
              <c:f>List1!$B$9:$Y$9</c:f>
              <c:strCache>
                <c:ptCount val="24"/>
                <c:pt idx="0">
                  <c:v>VII.22</c:v>
                </c:pt>
                <c:pt idx="1">
                  <c:v>VIII.22</c:v>
                </c:pt>
                <c:pt idx="2">
                  <c:v>IX.22</c:v>
                </c:pt>
                <c:pt idx="3">
                  <c:v>X.22</c:v>
                </c:pt>
                <c:pt idx="4">
                  <c:v>XI.22</c:v>
                </c:pt>
                <c:pt idx="5">
                  <c:v>XII.22</c:v>
                </c:pt>
                <c:pt idx="6">
                  <c:v>I.23</c:v>
                </c:pt>
                <c:pt idx="7">
                  <c:v>II.23</c:v>
                </c:pt>
                <c:pt idx="8">
                  <c:v>III.23</c:v>
                </c:pt>
                <c:pt idx="9">
                  <c:v>IV.23</c:v>
                </c:pt>
                <c:pt idx="10">
                  <c:v>V.23</c:v>
                </c:pt>
                <c:pt idx="11">
                  <c:v>VI.23</c:v>
                </c:pt>
                <c:pt idx="12">
                  <c:v>VII.23</c:v>
                </c:pt>
                <c:pt idx="13">
                  <c:v>VIII.23</c:v>
                </c:pt>
                <c:pt idx="14">
                  <c:v>IX.23</c:v>
                </c:pt>
                <c:pt idx="15">
                  <c:v>X.23</c:v>
                </c:pt>
                <c:pt idx="16">
                  <c:v>XI.23</c:v>
                </c:pt>
                <c:pt idx="17">
                  <c:v>XII.23</c:v>
                </c:pt>
                <c:pt idx="18">
                  <c:v>I.24</c:v>
                </c:pt>
                <c:pt idx="19">
                  <c:v>II.24</c:v>
                </c:pt>
                <c:pt idx="20">
                  <c:v>III.24</c:v>
                </c:pt>
                <c:pt idx="21">
                  <c:v>IV.24</c:v>
                </c:pt>
                <c:pt idx="22">
                  <c:v>V.24</c:v>
                </c:pt>
                <c:pt idx="23">
                  <c:v>VI.24</c:v>
                </c:pt>
              </c:strCache>
            </c:strRef>
          </c:cat>
          <c:val>
            <c:numRef>
              <c:f>List1!$B$10:$Y$10</c:f>
              <c:numCache>
                <c:formatCode>0.0</c:formatCode>
                <c:ptCount val="24"/>
                <c:pt idx="0">
                  <c:v>30.400000000000006</c:v>
                </c:pt>
                <c:pt idx="1">
                  <c:v>28.8</c:v>
                </c:pt>
                <c:pt idx="2">
                  <c:v>31.3</c:v>
                </c:pt>
                <c:pt idx="3">
                  <c:v>24.5</c:v>
                </c:pt>
                <c:pt idx="4">
                  <c:v>23.5</c:v>
                </c:pt>
                <c:pt idx="5">
                  <c:v>21.900000000000006</c:v>
                </c:pt>
                <c:pt idx="6">
                  <c:v>54</c:v>
                </c:pt>
                <c:pt idx="7">
                  <c:v>53.3</c:v>
                </c:pt>
                <c:pt idx="8">
                  <c:v>54.6</c:v>
                </c:pt>
                <c:pt idx="9">
                  <c:v>51.4</c:v>
                </c:pt>
                <c:pt idx="10">
                  <c:v>45.6</c:v>
                </c:pt>
                <c:pt idx="11">
                  <c:v>45.9</c:v>
                </c:pt>
                <c:pt idx="12">
                  <c:v>46</c:v>
                </c:pt>
                <c:pt idx="13">
                  <c:v>45</c:v>
                </c:pt>
                <c:pt idx="14">
                  <c:v>42.5</c:v>
                </c:pt>
                <c:pt idx="15">
                  <c:v>40.200000000000003</c:v>
                </c:pt>
                <c:pt idx="16">
                  <c:v>39.700000000000003</c:v>
                </c:pt>
                <c:pt idx="17">
                  <c:v>40.5</c:v>
                </c:pt>
                <c:pt idx="18" formatCode="General">
                  <c:v>-1.3</c:v>
                </c:pt>
                <c:pt idx="19" formatCode="General">
                  <c:v>-0.4</c:v>
                </c:pt>
                <c:pt idx="20">
                  <c:v>-2</c:v>
                </c:pt>
                <c:pt idx="21">
                  <c:v>-1.3</c:v>
                </c:pt>
                <c:pt idx="22">
                  <c:v>-1.8</c:v>
                </c:pt>
                <c:pt idx="23">
                  <c:v>-1.9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0AF-4F83-AA0A-420742E252E8}"/>
            </c:ext>
          </c:extLst>
        </c:ser>
        <c:ser>
          <c:idx val="3"/>
          <c:order val="3"/>
          <c:tx>
            <c:strRef>
              <c:f>List1!$A$13</c:f>
              <c:strCache>
                <c:ptCount val="1"/>
                <c:pt idx="0">
                  <c:v>Zásobování vodou, služby souv. s odpad. vodami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olid"/>
            </a:ln>
          </c:spPr>
          <c:marker>
            <c:symbol val="x"/>
            <c:size val="3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List1!$B$9:$Y$9</c:f>
              <c:strCache>
                <c:ptCount val="24"/>
                <c:pt idx="0">
                  <c:v>VII.22</c:v>
                </c:pt>
                <c:pt idx="1">
                  <c:v>VIII.22</c:v>
                </c:pt>
                <c:pt idx="2">
                  <c:v>IX.22</c:v>
                </c:pt>
                <c:pt idx="3">
                  <c:v>X.22</c:v>
                </c:pt>
                <c:pt idx="4">
                  <c:v>XI.22</c:v>
                </c:pt>
                <c:pt idx="5">
                  <c:v>XII.22</c:v>
                </c:pt>
                <c:pt idx="6">
                  <c:v>I.23</c:v>
                </c:pt>
                <c:pt idx="7">
                  <c:v>II.23</c:v>
                </c:pt>
                <c:pt idx="8">
                  <c:v>III.23</c:v>
                </c:pt>
                <c:pt idx="9">
                  <c:v>IV.23</c:v>
                </c:pt>
                <c:pt idx="10">
                  <c:v>V.23</c:v>
                </c:pt>
                <c:pt idx="11">
                  <c:v>VI.23</c:v>
                </c:pt>
                <c:pt idx="12">
                  <c:v>VII.23</c:v>
                </c:pt>
                <c:pt idx="13">
                  <c:v>VIII.23</c:v>
                </c:pt>
                <c:pt idx="14">
                  <c:v>IX.23</c:v>
                </c:pt>
                <c:pt idx="15">
                  <c:v>X.23</c:v>
                </c:pt>
                <c:pt idx="16">
                  <c:v>XI.23</c:v>
                </c:pt>
                <c:pt idx="17">
                  <c:v>XII.23</c:v>
                </c:pt>
                <c:pt idx="18">
                  <c:v>I.24</c:v>
                </c:pt>
                <c:pt idx="19">
                  <c:v>II.24</c:v>
                </c:pt>
                <c:pt idx="20">
                  <c:v>III.24</c:v>
                </c:pt>
                <c:pt idx="21">
                  <c:v>IV.24</c:v>
                </c:pt>
                <c:pt idx="22">
                  <c:v>V.24</c:v>
                </c:pt>
                <c:pt idx="23">
                  <c:v>VI.24</c:v>
                </c:pt>
              </c:strCache>
            </c:strRef>
          </c:cat>
          <c:val>
            <c:numRef>
              <c:f>List1!$B$13:$Y$13</c:f>
              <c:numCache>
                <c:formatCode>0.0</c:formatCode>
                <c:ptCount val="24"/>
                <c:pt idx="0">
                  <c:v>5.2999999999999972</c:v>
                </c:pt>
                <c:pt idx="1">
                  <c:v>5.3</c:v>
                </c:pt>
                <c:pt idx="2">
                  <c:v>5.3</c:v>
                </c:pt>
                <c:pt idx="3">
                  <c:v>5.3</c:v>
                </c:pt>
                <c:pt idx="4">
                  <c:v>5.3</c:v>
                </c:pt>
                <c:pt idx="5">
                  <c:v>5.2999999999999972</c:v>
                </c:pt>
                <c:pt idx="6">
                  <c:v>16.299999999999997</c:v>
                </c:pt>
                <c:pt idx="7">
                  <c:v>16.3</c:v>
                </c:pt>
                <c:pt idx="8">
                  <c:v>16.3</c:v>
                </c:pt>
                <c:pt idx="9">
                  <c:v>16.3</c:v>
                </c:pt>
                <c:pt idx="10">
                  <c:v>16.3</c:v>
                </c:pt>
                <c:pt idx="11">
                  <c:v>16.3</c:v>
                </c:pt>
                <c:pt idx="12">
                  <c:v>16.299999999999997</c:v>
                </c:pt>
                <c:pt idx="13">
                  <c:v>16.299999999999997</c:v>
                </c:pt>
                <c:pt idx="14">
                  <c:v>16.3</c:v>
                </c:pt>
                <c:pt idx="15">
                  <c:v>16.3</c:v>
                </c:pt>
                <c:pt idx="16">
                  <c:v>16.3</c:v>
                </c:pt>
                <c:pt idx="17">
                  <c:v>16.3</c:v>
                </c:pt>
                <c:pt idx="18" formatCode="General">
                  <c:v>9.1999999999999993</c:v>
                </c:pt>
                <c:pt idx="19" formatCode="General">
                  <c:v>9.2000000000000028</c:v>
                </c:pt>
                <c:pt idx="20">
                  <c:v>9.1999999999999993</c:v>
                </c:pt>
                <c:pt idx="21">
                  <c:v>9.1999999999999993</c:v>
                </c:pt>
                <c:pt idx="22">
                  <c:v>9.1999999999999993</c:v>
                </c:pt>
                <c:pt idx="23">
                  <c:v>9.1999999999999993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0AF-4F83-AA0A-420742E252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1836800"/>
        <c:axId val="71878144"/>
      </c:lineChart>
      <c:dateAx>
        <c:axId val="71836800"/>
        <c:scaling>
          <c:orientation val="minMax"/>
        </c:scaling>
        <c:delete val="0"/>
        <c:axPos val="b"/>
        <c:numFmt formatCode="mmm/yy" sourceLinked="0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878144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71878144"/>
        <c:scaling>
          <c:orientation val="minMax"/>
          <c:max val="65"/>
          <c:min val="-5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ysDash"/>
            </a:ln>
          </c:spPr>
        </c:majorGridlines>
        <c:title>
          <c:tx>
            <c:rich>
              <a:bodyPr rot="-5400000" vert="horz"/>
              <a:lstStyle/>
              <a:p>
                <a:pPr algn="ctr">
                  <a:defRPr sz="9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cs-CZ" sz="800"/>
                  <a:t>meziroční tempo růstu (%)</a:t>
                </a:r>
              </a:p>
            </c:rich>
          </c:tx>
          <c:layout>
            <c:manualLayout>
              <c:xMode val="edge"/>
              <c:yMode val="edge"/>
              <c:x val="1.5536726923219104E-2"/>
              <c:y val="0.27828786918876941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836800"/>
        <c:crosses val="autoZero"/>
        <c:crossBetween val="between"/>
        <c:majorUnit val="5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7.7683782484935876E-2"/>
          <c:y val="0.87699082486484059"/>
          <c:w val="0.88841920816235243"/>
          <c:h val="0.11649216575200827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 CE"/>
              <a:ea typeface="Arial CE"/>
              <a:cs typeface="Arial CE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0.00657</cdr:x>
      <cdr:y>0.30512</cdr:y>
    </cdr:from>
    <cdr:to>
      <cdr:x>0.03942</cdr:x>
      <cdr:y>0.68182</cdr:y>
    </cdr:to>
    <cdr:sp macro="" textlink="">
      <cdr:nvSpPr>
        <cdr:cNvPr id="2" name="TextovéPole 1"/>
        <cdr:cNvSpPr txBox="1"/>
      </cdr:nvSpPr>
      <cdr:spPr>
        <a:xfrm xmlns:a="http://schemas.openxmlformats.org/drawingml/2006/main">
          <a:off x="47624" y="1476376"/>
          <a:ext cx="238126" cy="18227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vert="vert270" wrap="none" rtlCol="0"/>
        <a:lstStyle xmlns:a="http://schemas.openxmlformats.org/drawingml/2006/main"/>
        <a:p xmlns:a="http://schemas.openxmlformats.org/drawingml/2006/main">
          <a:r>
            <a:rPr lang="cs-CZ" sz="880" b="1">
              <a:latin typeface="Arial" pitchFamily="34" charset="0"/>
              <a:cs typeface="Arial" pitchFamily="34" charset="0"/>
            </a:rPr>
            <a:t>meziměsíční tempo růstu (%)</a:t>
          </a:r>
        </a:p>
        <a:p xmlns:a="http://schemas.openxmlformats.org/drawingml/2006/main">
          <a:endParaRPr lang="cs-CZ" sz="880" b="1">
            <a:latin typeface="Arial" pitchFamily="34" charset="0"/>
            <a:cs typeface="Arial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12D61-924D-45E1-9C93-E998D7224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3</Pages>
  <Words>287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Vývoj cen průmyslových výrobců v říjnu 2007</vt:lpstr>
    </vt:vector>
  </TitlesOfParts>
  <Company>CSU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Vývoj cen průmyslových výrobců v říjnu 2007</dc:title>
  <dc:subject/>
  <dc:creator>simakova</dc:creator>
  <cp:keywords/>
  <dc:description/>
  <cp:lastModifiedBy>Beránek Miloslav</cp:lastModifiedBy>
  <cp:revision>36</cp:revision>
  <cp:lastPrinted>2011-06-10T07:57:00Z</cp:lastPrinted>
  <dcterms:created xsi:type="dcterms:W3CDTF">2023-10-11T06:42:00Z</dcterms:created>
  <dcterms:modified xsi:type="dcterms:W3CDTF">2024-07-12T08:42:00Z</dcterms:modified>
</cp:coreProperties>
</file>