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6C0F67" w:rsidP="0097104F">
      <w:pPr>
        <w:pStyle w:val="Nadpis1"/>
      </w:pPr>
      <w:bookmarkStart w:id="0" w:name="_GoBack"/>
      <w:bookmarkEnd w:id="0"/>
      <w:r w:rsidRPr="006C0F67">
        <w:t xml:space="preserve">Meziroční růst </w:t>
      </w:r>
      <w:r w:rsidR="00E14EC2">
        <w:t xml:space="preserve">spotřebitelských </w:t>
      </w:r>
      <w:r w:rsidRPr="006C0F67">
        <w:t xml:space="preserve">cen </w:t>
      </w:r>
      <w:r w:rsidR="00E14EC2">
        <w:t xml:space="preserve">mírně </w:t>
      </w:r>
      <w:r w:rsidRPr="006C0F67">
        <w:t>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C0F67">
        <w:t>červ</w:t>
      </w:r>
      <w:r w:rsidR="007944EB">
        <w:t>en</w:t>
      </w:r>
      <w:r w:rsidR="00E14EC2">
        <w:t>ec</w:t>
      </w:r>
      <w:r w:rsidR="00250429">
        <w:t> 20</w:t>
      </w:r>
      <w:r w:rsidR="00D563FA">
        <w:t>20</w:t>
      </w:r>
    </w:p>
    <w:p w:rsidR="00C031B4" w:rsidRPr="0072569E" w:rsidRDefault="00E14EC2" w:rsidP="00C031B4">
      <w:pPr>
        <w:pStyle w:val="Perex"/>
        <w:rPr>
          <w:b w:val="0"/>
        </w:rPr>
      </w:pPr>
      <w:r w:rsidRPr="002E7BAD">
        <w:t xml:space="preserve">Spotřebitelské ceny </w:t>
      </w:r>
      <w:r>
        <w:t xml:space="preserve">vzrostly </w:t>
      </w:r>
      <w:r w:rsidRPr="002E7BAD">
        <w:t>v</w:t>
      </w:r>
      <w:r>
        <w:t xml:space="preserve"> červenci proti červnu </w:t>
      </w:r>
      <w:r w:rsidRPr="002E7BAD">
        <w:t>o </w:t>
      </w:r>
      <w:r>
        <w:t>0,4</w:t>
      </w:r>
      <w:r w:rsidRPr="002E7BAD">
        <w:t> %</w:t>
      </w:r>
      <w:r>
        <w:t>. Tento vývoj byl ovlivněn zejména zvýšením cen v oddíle rekreace a kultura.</w:t>
      </w:r>
      <w:r w:rsidRPr="00186648">
        <w:t xml:space="preserve"> </w:t>
      </w:r>
      <w:r w:rsidRPr="002E7BAD">
        <w:t>Meziročně vzrostly spotřebitelské ceny v</w:t>
      </w:r>
      <w:r>
        <w:t xml:space="preserve"> červenci </w:t>
      </w:r>
      <w:r w:rsidRPr="002E7BAD">
        <w:t>o </w:t>
      </w:r>
      <w:r>
        <w:t>3,4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 xml:space="preserve">více než </w:t>
      </w:r>
      <w:r w:rsidRPr="00895A77">
        <w:t>v</w:t>
      </w:r>
      <w:r>
        <w:t> červnu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E14EC2" w:rsidRDefault="00E14EC2" w:rsidP="00E14EC2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C873A9">
        <w:rPr>
          <w:rFonts w:cs="Arial"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Pr="00555E84">
        <w:rPr>
          <w:rFonts w:cs="Arial"/>
          <w:szCs w:val="20"/>
        </w:rPr>
        <w:t>spotřebit</w:t>
      </w:r>
      <w:r>
        <w:rPr>
          <w:rFonts w:cs="Arial"/>
          <w:szCs w:val="20"/>
        </w:rPr>
        <w:t>elských cen v oddíle rekreace a </w:t>
      </w:r>
      <w:r w:rsidRPr="00A04B13">
        <w:rPr>
          <w:rFonts w:cs="Arial"/>
          <w:szCs w:val="20"/>
        </w:rPr>
        <w:t>kultura byl způsoben zejména zvýšením sezónních cen dovolených s komplexními službami o </w:t>
      </w:r>
      <w:r>
        <w:rPr>
          <w:rFonts w:cs="Arial"/>
          <w:szCs w:val="20"/>
        </w:rPr>
        <w:t>23</w:t>
      </w:r>
      <w:r w:rsidRPr="00A04B13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A04B13">
        <w:rPr>
          <w:rFonts w:cs="Arial"/>
          <w:szCs w:val="20"/>
        </w:rPr>
        <w:t> %.</w:t>
      </w:r>
      <w:r w:rsidRPr="00A04B13"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V oddíle doprava vzrostly ceny pohonných hmot a olejů o 4,4 % a ceny automobilů o 1,0 %. Z potravin byly vyšší především ceny nealkoholických nápojů o 2,7 %.</w:t>
      </w:r>
    </w:p>
    <w:p w:rsidR="00E14EC2" w:rsidRPr="00311740" w:rsidRDefault="00E14EC2" w:rsidP="00E14EC2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046315">
        <w:rPr>
          <w:rFonts w:eastAsia="Calibri" w:cs="Arial"/>
          <w:szCs w:val="20"/>
        </w:rPr>
        <w:t>Na snižování celkové úrovně spotřebitelských cen v červenci působil pokles cen v oddíle potraviny a nealkoholické nápoje. Zde byly nižší zejména ceny zeleniny o 12,2 %</w:t>
      </w:r>
      <w:r>
        <w:rPr>
          <w:rFonts w:eastAsia="Calibri" w:cs="Arial"/>
          <w:szCs w:val="20"/>
        </w:rPr>
        <w:t>, z toho ceny brambor klesly o 28,0 </w:t>
      </w:r>
      <w:r w:rsidRPr="00046315">
        <w:rPr>
          <w:rFonts w:eastAsia="Calibri" w:cs="Arial"/>
          <w:szCs w:val="20"/>
        </w:rPr>
        <w:t>%</w:t>
      </w:r>
      <w:r>
        <w:rPr>
          <w:rFonts w:eastAsia="Calibri" w:cs="Arial"/>
          <w:szCs w:val="20"/>
        </w:rPr>
        <w:t xml:space="preserve"> a dosáhly hodnoty 16,04 </w:t>
      </w:r>
      <w:r w:rsidRPr="00046315">
        <w:rPr>
          <w:rFonts w:eastAsia="Calibri" w:cs="Arial"/>
          <w:szCs w:val="20"/>
        </w:rPr>
        <w:t>Kč/kg</w:t>
      </w:r>
      <w:r>
        <w:rPr>
          <w:rFonts w:eastAsia="Calibri" w:cs="Arial"/>
          <w:szCs w:val="20"/>
        </w:rPr>
        <w:t>.</w:t>
      </w:r>
      <w:r w:rsidRPr="0004631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B</w:t>
      </w:r>
      <w:r w:rsidRPr="00046315">
        <w:rPr>
          <w:rFonts w:eastAsia="Calibri" w:cs="Arial"/>
          <w:szCs w:val="20"/>
        </w:rPr>
        <w:t xml:space="preserve">yla </w:t>
      </w:r>
      <w:r>
        <w:rPr>
          <w:rFonts w:eastAsia="Calibri" w:cs="Arial"/>
          <w:szCs w:val="20"/>
        </w:rPr>
        <w:t xml:space="preserve">to </w:t>
      </w:r>
      <w:r w:rsidRPr="00046315">
        <w:rPr>
          <w:rFonts w:eastAsia="Calibri" w:cs="Arial"/>
          <w:szCs w:val="20"/>
        </w:rPr>
        <w:t>nejnižší hodnota od listopadu 2018. Ceny ovoce se snížily o 6,0 %, vepřového masa o </w:t>
      </w:r>
      <w:r>
        <w:rPr>
          <w:rFonts w:eastAsia="Calibri" w:cs="Arial"/>
          <w:szCs w:val="20"/>
        </w:rPr>
        <w:t>3,3 % a </w:t>
      </w:r>
      <w:r w:rsidRPr="00046315">
        <w:rPr>
          <w:rFonts w:eastAsia="Calibri" w:cs="Arial"/>
          <w:szCs w:val="20"/>
        </w:rPr>
        <w:t xml:space="preserve">cukru o 10,1 %. </w:t>
      </w:r>
      <w:r w:rsidRPr="00311740">
        <w:rPr>
          <w:rFonts w:eastAsia="Calibri" w:cs="Arial"/>
          <w:szCs w:val="20"/>
        </w:rPr>
        <w:t xml:space="preserve">V oddíle odívání a obuv klesly ceny oděvů </w:t>
      </w:r>
      <w:r>
        <w:rPr>
          <w:rFonts w:eastAsia="Calibri" w:cs="Arial"/>
          <w:szCs w:val="20"/>
        </w:rPr>
        <w:t xml:space="preserve">o 1,5 % a obuvi </w:t>
      </w:r>
      <w:r w:rsidRPr="00311740">
        <w:rPr>
          <w:rFonts w:eastAsia="Calibri" w:cs="Arial"/>
          <w:szCs w:val="20"/>
        </w:rPr>
        <w:t>o </w:t>
      </w:r>
      <w:r>
        <w:rPr>
          <w:rFonts w:eastAsia="Calibri" w:cs="Arial"/>
          <w:szCs w:val="20"/>
        </w:rPr>
        <w:t>2,7</w:t>
      </w:r>
      <w:r w:rsidRPr="00311740">
        <w:rPr>
          <w:rFonts w:eastAsia="Calibri" w:cs="Arial"/>
          <w:szCs w:val="20"/>
        </w:rPr>
        <w:t> %.</w:t>
      </w:r>
    </w:p>
    <w:p w:rsidR="00D563FA" w:rsidRPr="00D563FA" w:rsidRDefault="00E14EC2" w:rsidP="00E14EC2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0,2 %, zatímco ceny služeb vzrostly o 1,6 %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E14EC2" w:rsidRDefault="00E14EC2" w:rsidP="00E14EC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červenci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3,4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více než v červnu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alkoholické nápoje, tabák zrychlil růst cen lihovin na 10,6 % (v červnu 8,0 %) a tabákových výrobků na 13,8 % (v červnu 12,2 %). </w:t>
      </w:r>
      <w:r w:rsidRPr="00D6768C">
        <w:rPr>
          <w:rFonts w:cs="Arial"/>
          <w:szCs w:val="20"/>
        </w:rPr>
        <w:t>V oddíle doprava zmír</w:t>
      </w:r>
      <w:r>
        <w:rPr>
          <w:rFonts w:cs="Arial"/>
          <w:szCs w:val="20"/>
        </w:rPr>
        <w:t>nil pokles cen pohonných hmot a </w:t>
      </w:r>
      <w:r w:rsidRPr="00D6768C">
        <w:rPr>
          <w:rFonts w:cs="Arial"/>
          <w:szCs w:val="20"/>
        </w:rPr>
        <w:t>olejů, které byly v červ</w:t>
      </w:r>
      <w:r>
        <w:rPr>
          <w:rFonts w:cs="Arial"/>
          <w:szCs w:val="20"/>
        </w:rPr>
        <w:t>e</w:t>
      </w:r>
      <w:r w:rsidRPr="00D6768C">
        <w:rPr>
          <w:rFonts w:cs="Arial"/>
          <w:szCs w:val="20"/>
        </w:rPr>
        <w:t>n</w:t>
      </w:r>
      <w:r>
        <w:rPr>
          <w:rFonts w:cs="Arial"/>
          <w:szCs w:val="20"/>
        </w:rPr>
        <w:t>ci</w:t>
      </w:r>
      <w:r w:rsidRPr="00D6768C">
        <w:rPr>
          <w:rFonts w:cs="Arial"/>
          <w:szCs w:val="20"/>
        </w:rPr>
        <w:t xml:space="preserve"> n</w:t>
      </w:r>
      <w:r>
        <w:rPr>
          <w:rFonts w:cs="Arial"/>
          <w:szCs w:val="20"/>
        </w:rPr>
        <w:t>ižší o 14,4 % (v červnu o 19,2 </w:t>
      </w:r>
      <w:r w:rsidRPr="00D6768C">
        <w:rPr>
          <w:rFonts w:cs="Arial"/>
          <w:szCs w:val="20"/>
        </w:rPr>
        <w:t>%)</w:t>
      </w:r>
      <w:r>
        <w:rPr>
          <w:rFonts w:cs="Arial"/>
          <w:szCs w:val="20"/>
        </w:rPr>
        <w:t>. V oddíle potraviny a nealkoholické nápoje došlo ke zpomalení meziročního cenového růstu. Ceny mouky byly v červenci vyšší o 6,8 % (v červnu o 12,9 %), vepřového masa o 5,0 % (v červnu o 10,2 %), ovoce o 22,8 % (v červnu o 27,2 %), cukru o 10,3 % (v červnu o 15,9 %). Ceny zeleniny přešly z růstu o 4,0 % v červnu v pokles o 5,0 % v červenci, přičemž ceny brambor meziročně klesly o 13,3 % (v červnu růst o 1,5 %).</w:t>
      </w:r>
    </w:p>
    <w:p w:rsidR="00E14EC2" w:rsidRDefault="00E14EC2" w:rsidP="00E14EC2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7B39C3">
        <w:rPr>
          <w:rFonts w:cs="Arial"/>
          <w:szCs w:val="20"/>
        </w:rPr>
        <w:t>Na meziroční zvyšování cenové hladiny měly v </w:t>
      </w:r>
      <w:r>
        <w:rPr>
          <w:rFonts w:cs="Arial"/>
          <w:szCs w:val="20"/>
        </w:rPr>
        <w:t>červenci</w:t>
      </w:r>
      <w:r w:rsidRPr="007B39C3">
        <w:rPr>
          <w:rFonts w:cs="Arial"/>
          <w:szCs w:val="20"/>
        </w:rPr>
        <w:t xml:space="preserve"> největší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10,5 %). </w:t>
      </w:r>
      <w:r w:rsidRPr="009335E2">
        <w:rPr>
          <w:rFonts w:cs="Arial"/>
          <w:szCs w:val="20"/>
        </w:rPr>
        <w:t>Druhé v pořadí vlivu byly ceny v oddíle potraviny a nealkoholické nápoje</w:t>
      </w:r>
      <w:r>
        <w:rPr>
          <w:rFonts w:cs="Arial"/>
          <w:szCs w:val="20"/>
        </w:rPr>
        <w:t>, kde ceny uzenin vzrostly o 10,3 % a vajec o 9,4 %. V</w:t>
      </w:r>
      <w:r w:rsidRPr="007B39C3">
        <w:rPr>
          <w:rFonts w:cs="Arial"/>
          <w:szCs w:val="20"/>
        </w:rPr>
        <w:t> oddíle bydlení se zvýšily ceny nájemného z bytu o </w:t>
      </w:r>
      <w:r>
        <w:rPr>
          <w:rFonts w:cs="Arial"/>
          <w:szCs w:val="20"/>
        </w:rPr>
        <w:t>2,8</w:t>
      </w:r>
      <w:r w:rsidRPr="007B39C3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vodného o 1,7 %, stočného o 1,5 %, </w:t>
      </w:r>
      <w:r w:rsidRPr="007B39C3">
        <w:rPr>
          <w:rFonts w:cs="Arial"/>
          <w:szCs w:val="20"/>
        </w:rPr>
        <w:t>elektřiny o </w:t>
      </w:r>
      <w:r>
        <w:rPr>
          <w:rFonts w:cs="Arial"/>
          <w:szCs w:val="20"/>
        </w:rPr>
        <w:t>7,6</w:t>
      </w:r>
      <w:r w:rsidRPr="007B39C3">
        <w:rPr>
          <w:rFonts w:cs="Arial"/>
          <w:szCs w:val="20"/>
        </w:rPr>
        <w:t> % a zemního plynu o 0,4 %.</w:t>
      </w:r>
      <w:r>
        <w:rPr>
          <w:rFonts w:cs="Arial"/>
          <w:szCs w:val="20"/>
        </w:rPr>
        <w:t xml:space="preserve"> V</w:t>
      </w:r>
      <w:r w:rsidRPr="007B39C3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ubytování</w:t>
      </w:r>
      <w:r w:rsidRPr="007B39C3">
        <w:rPr>
          <w:rFonts w:cs="Arial"/>
          <w:szCs w:val="20"/>
        </w:rPr>
        <w:t xml:space="preserve"> vzrostly ceny </w:t>
      </w:r>
      <w:r>
        <w:rPr>
          <w:rFonts w:cs="Arial"/>
          <w:szCs w:val="20"/>
        </w:rPr>
        <w:t>stravovacích služeb o 5,6 %.</w:t>
      </w:r>
      <w:r w:rsidRPr="009335E2"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červenci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doprava (pokles o 0,6 %) a 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3,9 %).</w:t>
      </w:r>
    </w:p>
    <w:p w:rsidR="00E14EC2" w:rsidRDefault="00E14EC2" w:rsidP="00E14EC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3,7 %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3,0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103,</w:t>
      </w:r>
      <w:r>
        <w:rPr>
          <w:rFonts w:cs="Arial"/>
          <w:szCs w:val="20"/>
        </w:rPr>
        <w:t>5</w:t>
      </w:r>
      <w:r w:rsidRPr="00916640">
        <w:rPr>
          <w:rFonts w:cs="Arial"/>
          <w:szCs w:val="20"/>
        </w:rPr>
        <w:t> %.</w:t>
      </w:r>
    </w:p>
    <w:p w:rsidR="00E14EC2" w:rsidRPr="00576E20" w:rsidRDefault="00E14EC2" w:rsidP="00E14EC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červenci 3,2</w:t>
      </w:r>
      <w:r w:rsidRPr="00576E20">
        <w:rPr>
          <w:rFonts w:cs="Arial"/>
          <w:szCs w:val="20"/>
        </w:rPr>
        <w:t> %.</w:t>
      </w:r>
    </w:p>
    <w:p w:rsidR="006C0F67" w:rsidRPr="006C0F67" w:rsidRDefault="00E14EC2" w:rsidP="00E14EC2">
      <w:pPr>
        <w:jc w:val="both"/>
        <w:rPr>
          <w:rFonts w:eastAsia="Calibri" w:cs="Arial"/>
          <w:szCs w:val="20"/>
          <w:lang w:eastAsia="en-US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</w:t>
      </w:r>
      <w:r>
        <w:rPr>
          <w:rFonts w:cs="Arial"/>
          <w:b/>
          <w:bCs/>
          <w:szCs w:val="20"/>
        </w:rPr>
        <w:t>7</w:t>
      </w:r>
      <w:r w:rsidRPr="0077017F">
        <w:rPr>
          <w:rFonts w:cs="Arial"/>
          <w:b/>
          <w:bCs/>
          <w:szCs w:val="20"/>
        </w:rPr>
        <w:t>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červnu</w:t>
      </w:r>
      <w:r w:rsidRPr="00693C75">
        <w:rPr>
          <w:rFonts w:cs="Arial"/>
          <w:b/>
          <w:szCs w:val="20"/>
        </w:rPr>
        <w:t xml:space="preserve"> </w:t>
      </w:r>
      <w:r w:rsidRPr="00693C75">
        <w:rPr>
          <w:rFonts w:cs="Arial"/>
          <w:szCs w:val="20"/>
        </w:rPr>
        <w:t>0,</w:t>
      </w:r>
      <w:r>
        <w:rPr>
          <w:rFonts w:cs="Arial"/>
          <w:szCs w:val="20"/>
        </w:rPr>
        <w:t>7</w:t>
      </w:r>
      <w:r w:rsidRPr="00693C75">
        <w:rPr>
          <w:rFonts w:cs="Arial"/>
          <w:szCs w:val="20"/>
        </w:rPr>
        <w:t> %,</w:t>
      </w:r>
      <w:r w:rsidRPr="005E28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což 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0,2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v květnu. </w:t>
      </w:r>
      <w:r w:rsidRPr="006F3483">
        <w:rPr>
          <w:rFonts w:cs="Arial"/>
          <w:bCs/>
          <w:szCs w:val="22"/>
        </w:rPr>
        <w:t xml:space="preserve">Nejvíce ceny vzrostly </w:t>
      </w:r>
      <w:r>
        <w:rPr>
          <w:rFonts w:cs="Arial"/>
          <w:bCs/>
          <w:szCs w:val="22"/>
        </w:rPr>
        <w:t>v Polsku a </w:t>
      </w:r>
      <w:r w:rsidRPr="006F3483">
        <w:rPr>
          <w:rFonts w:cs="Arial"/>
          <w:bCs/>
          <w:szCs w:val="22"/>
        </w:rPr>
        <w:t>v</w:t>
      </w:r>
      <w:r>
        <w:rPr>
          <w:rFonts w:cs="Arial"/>
          <w:bCs/>
          <w:szCs w:val="22"/>
        </w:rPr>
        <w:t> České republice (o 3,8 </w:t>
      </w:r>
      <w:r w:rsidRPr="00A76035">
        <w:rPr>
          <w:rFonts w:cs="Arial"/>
          <w:bCs/>
          <w:szCs w:val="22"/>
        </w:rPr>
        <w:t>%</w:t>
      </w:r>
      <w:r>
        <w:rPr>
          <w:rFonts w:cs="Arial"/>
          <w:bCs/>
          <w:szCs w:val="22"/>
        </w:rPr>
        <w:t>, resp. o 3,4 %</w:t>
      </w:r>
      <w:r w:rsidRPr="00A76035"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 xml:space="preserve">. </w:t>
      </w:r>
      <w:r>
        <w:rPr>
          <w:rFonts w:cs="Arial"/>
          <w:szCs w:val="20"/>
        </w:rPr>
        <w:t xml:space="preserve">Naopak </w:t>
      </w:r>
      <w:r w:rsidRPr="00F9149D">
        <w:rPr>
          <w:rFonts w:cs="Arial"/>
          <w:szCs w:val="20"/>
        </w:rPr>
        <w:t xml:space="preserve">pokles cen </w:t>
      </w:r>
      <w:r w:rsidRPr="00F9149D">
        <w:rPr>
          <w:rFonts w:cs="Arial"/>
          <w:szCs w:val="20"/>
        </w:rPr>
        <w:lastRenderedPageBreak/>
        <w:t>nastal v</w:t>
      </w:r>
      <w:r>
        <w:rPr>
          <w:rFonts w:cs="Arial"/>
          <w:szCs w:val="20"/>
        </w:rPr>
        <w:t> 10 zemích EU, z toho nejvíce na Kypru (o 2,2 %) a v Řecku</w:t>
      </w:r>
      <w:r w:rsidRPr="00F9149D">
        <w:rPr>
          <w:rFonts w:cs="Arial"/>
          <w:szCs w:val="20"/>
        </w:rPr>
        <w:t xml:space="preserve"> (o </w:t>
      </w:r>
      <w:r>
        <w:rPr>
          <w:rFonts w:cs="Arial"/>
          <w:szCs w:val="20"/>
        </w:rPr>
        <w:t>1,9</w:t>
      </w:r>
      <w:r w:rsidRPr="00F9149D">
        <w:rPr>
          <w:rFonts w:cs="Arial"/>
          <w:szCs w:val="20"/>
        </w:rPr>
        <w:t> %).</w:t>
      </w:r>
      <w:r>
        <w:rPr>
          <w:rFonts w:cs="Arial"/>
          <w:bCs/>
          <w:szCs w:val="22"/>
        </w:rPr>
        <w:t xml:space="preserve"> </w:t>
      </w:r>
      <w:r w:rsidRPr="006F3483">
        <w:rPr>
          <w:rFonts w:cs="Arial"/>
          <w:bCs/>
          <w:szCs w:val="22"/>
        </w:rPr>
        <w:t>Na </w:t>
      </w:r>
      <w:r w:rsidRPr="007E32EE">
        <w:rPr>
          <w:rFonts w:cs="Arial"/>
          <w:bCs/>
          <w:szCs w:val="22"/>
        </w:rPr>
        <w:t>Slovensku b</w:t>
      </w:r>
      <w:r>
        <w:rPr>
          <w:rFonts w:cs="Arial"/>
          <w:bCs/>
          <w:szCs w:val="22"/>
        </w:rPr>
        <w:t xml:space="preserve">yly </w:t>
      </w:r>
      <w:r>
        <w:rPr>
          <w:rFonts w:cs="Arial"/>
          <w:szCs w:val="20"/>
        </w:rPr>
        <w:t>ceny v červnu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květnu o 2,1 %)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vzrostly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0,8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květnu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0,5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 xml:space="preserve">. </w:t>
      </w:r>
      <w:r w:rsidRPr="003533D0">
        <w:rPr>
          <w:rFonts w:cs="Arial"/>
          <w:szCs w:val="20"/>
        </w:rPr>
        <w:t xml:space="preserve">Podle předběžných výpočtů </w:t>
      </w:r>
      <w:r>
        <w:rPr>
          <w:rFonts w:cs="Arial"/>
          <w:szCs w:val="20"/>
        </w:rPr>
        <w:t>vzrostl</w:t>
      </w:r>
      <w:r w:rsidRPr="003533D0">
        <w:rPr>
          <w:rFonts w:cs="Arial"/>
          <w:szCs w:val="20"/>
        </w:rPr>
        <w:t xml:space="preserve"> </w:t>
      </w:r>
      <w:r w:rsidRPr="003533D0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červenci</w:t>
      </w:r>
      <w:r w:rsidRPr="003533D0">
        <w:rPr>
          <w:rFonts w:cs="Arial"/>
          <w:b/>
          <w:szCs w:val="20"/>
        </w:rPr>
        <w:t xml:space="preserve"> </w:t>
      </w:r>
      <w:r w:rsidRPr="003533D0">
        <w:rPr>
          <w:rFonts w:cs="Arial"/>
          <w:szCs w:val="20"/>
        </w:rPr>
        <w:t>HICP v ČR</w:t>
      </w:r>
      <w:r w:rsidRPr="003533D0">
        <w:rPr>
          <w:rFonts w:cs="Arial"/>
          <w:b/>
          <w:szCs w:val="20"/>
        </w:rPr>
        <w:t xml:space="preserve"> </w:t>
      </w:r>
      <w:r w:rsidRPr="009305D1">
        <w:rPr>
          <w:rFonts w:cs="Arial"/>
          <w:b/>
          <w:szCs w:val="20"/>
        </w:rPr>
        <w:t xml:space="preserve">meziměsíčně </w:t>
      </w:r>
      <w:r w:rsidRPr="00F74F0F">
        <w:rPr>
          <w:rFonts w:cs="Arial"/>
          <w:szCs w:val="20"/>
        </w:rPr>
        <w:t>o </w:t>
      </w:r>
      <w:r w:rsidRPr="00710D1B">
        <w:rPr>
          <w:rFonts w:cs="Arial"/>
          <w:szCs w:val="20"/>
        </w:rPr>
        <w:t>0,5 % a </w:t>
      </w:r>
      <w:r w:rsidRPr="00710D1B">
        <w:rPr>
          <w:rFonts w:cs="Arial"/>
          <w:b/>
          <w:szCs w:val="20"/>
        </w:rPr>
        <w:t xml:space="preserve">meziročně </w:t>
      </w:r>
      <w:r w:rsidRPr="00710D1B">
        <w:rPr>
          <w:rFonts w:cs="Arial"/>
          <w:szCs w:val="20"/>
        </w:rPr>
        <w:t>o 3,6 %.</w:t>
      </w:r>
      <w:r>
        <w:rPr>
          <w:rFonts w:cs="Arial"/>
          <w:szCs w:val="20"/>
        </w:rPr>
        <w:t xml:space="preserve"> </w:t>
      </w:r>
      <w:r w:rsidRPr="0008480C">
        <w:rPr>
          <w:rFonts w:cs="Arial"/>
          <w:szCs w:val="20"/>
        </w:rPr>
        <w:t xml:space="preserve">Bleskový odhad meziroční změny HICP </w:t>
      </w:r>
      <w:r w:rsidRPr="0008480C">
        <w:rPr>
          <w:rFonts w:cs="Arial"/>
          <w:b/>
          <w:szCs w:val="20"/>
        </w:rPr>
        <w:t>pro</w:t>
      </w:r>
      <w:r w:rsidRPr="0008480C">
        <w:rPr>
          <w:rFonts w:cs="Arial"/>
          <w:b/>
          <w:bCs/>
          <w:szCs w:val="20"/>
        </w:rPr>
        <w:t xml:space="preserve"> eurozónu </w:t>
      </w:r>
      <w:r w:rsidRPr="0008480C">
        <w:rPr>
          <w:rFonts w:cs="Arial"/>
          <w:b/>
          <w:szCs w:val="20"/>
        </w:rPr>
        <w:t>za</w:t>
      </w:r>
      <w:r w:rsidRPr="0008480C">
        <w:rPr>
          <w:rFonts w:cs="Arial"/>
          <w:b/>
          <w:bCs/>
          <w:szCs w:val="20"/>
        </w:rPr>
        <w:t> </w:t>
      </w:r>
      <w:r>
        <w:rPr>
          <w:rFonts w:cs="Arial"/>
          <w:b/>
          <w:bCs/>
          <w:szCs w:val="20"/>
        </w:rPr>
        <w:t xml:space="preserve">červenec </w:t>
      </w:r>
      <w:r w:rsidRPr="007C69AE">
        <w:rPr>
          <w:rFonts w:cs="Arial"/>
          <w:b/>
          <w:bCs/>
          <w:szCs w:val="20"/>
        </w:rPr>
        <w:t>20</w:t>
      </w:r>
      <w:r>
        <w:rPr>
          <w:rFonts w:cs="Arial"/>
          <w:b/>
          <w:bCs/>
          <w:szCs w:val="20"/>
        </w:rPr>
        <w:t>20</w:t>
      </w:r>
      <w:r>
        <w:rPr>
          <w:rFonts w:cs="Arial"/>
          <w:szCs w:val="20"/>
        </w:rPr>
        <w:t xml:space="preserve"> </w:t>
      </w:r>
      <w:r w:rsidRPr="00710D1B">
        <w:rPr>
          <w:rFonts w:cs="Arial"/>
          <w:szCs w:val="20"/>
        </w:rPr>
        <w:t>je 0,4</w:t>
      </w:r>
      <w:r w:rsidRPr="00A448A9">
        <w:rPr>
          <w:rFonts w:cs="Arial"/>
          <w:szCs w:val="20"/>
        </w:rPr>
        <w:t> %, jak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6C0F67" w:rsidRPr="006C0F67" w:rsidRDefault="006C0F67" w:rsidP="006C0F67">
      <w:pPr>
        <w:jc w:val="both"/>
        <w:rPr>
          <w:rFonts w:eastAsia="Calibri" w:cs="Arial"/>
          <w:szCs w:val="20"/>
          <w:lang w:eastAsia="en-US"/>
        </w:rPr>
      </w:pPr>
    </w:p>
    <w:p w:rsidR="00D20C94" w:rsidRPr="006C0F67" w:rsidRDefault="00E14EC2" w:rsidP="006C0F6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hyperlink r:id="rId9" w:history="1">
        <w:r w:rsidR="006C0F67" w:rsidRPr="00E14EC2">
          <w:rPr>
            <w:rStyle w:val="Hypertextovodkaz"/>
            <w:rFonts w:eastAsia="Calibri" w:cs="Arial"/>
            <w:bCs/>
            <w:szCs w:val="20"/>
            <w:lang w:eastAsia="en-US"/>
          </w:rPr>
          <w:t>Metodická poznámka k indexu spotřebitelských cen za červen</w:t>
        </w:r>
        <w:r w:rsidRPr="00E14EC2">
          <w:rPr>
            <w:rStyle w:val="Hypertextovodkaz"/>
            <w:rFonts w:eastAsia="Calibri" w:cs="Arial"/>
            <w:bCs/>
            <w:szCs w:val="20"/>
            <w:lang w:eastAsia="en-US"/>
          </w:rPr>
          <w:t>ec</w:t>
        </w:r>
        <w:r w:rsidR="006C0F67" w:rsidRPr="00E14EC2">
          <w:rPr>
            <w:rStyle w:val="Hypertextovodkaz"/>
            <w:rFonts w:eastAsia="Calibri" w:cs="Arial"/>
            <w:bCs/>
            <w:szCs w:val="20"/>
            <w:lang w:eastAsia="en-US"/>
          </w:rPr>
          <w:t xml:space="preserve"> 2020 (COVID-19)</w:t>
        </w:r>
      </w:hyperlink>
    </w:p>
    <w:sectPr w:rsidR="00D20C94" w:rsidRPr="006C0F67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6A" w:rsidRDefault="00BE126A" w:rsidP="00E71A58">
      <w:r>
        <w:separator/>
      </w:r>
    </w:p>
  </w:endnote>
  <w:endnote w:type="continuationSeparator" w:id="0">
    <w:p w:rsidR="00BE126A" w:rsidRDefault="00BE126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E00EA3">
      <w:rPr>
        <w:szCs w:val="16"/>
      </w:rPr>
      <w:t>červ</w:t>
    </w:r>
    <w:r w:rsidR="00D07F46">
      <w:rPr>
        <w:szCs w:val="16"/>
      </w:rPr>
      <w:t>en</w:t>
    </w:r>
    <w:r w:rsidR="00E24880">
      <w:rPr>
        <w:szCs w:val="16"/>
      </w:rPr>
      <w:t>ec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E24880">
      <w:rPr>
        <w:rStyle w:val="ZpatChar"/>
        <w:i/>
        <w:szCs w:val="16"/>
      </w:rPr>
      <w:t>July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6A" w:rsidRDefault="00BE126A" w:rsidP="00E71A58">
      <w:r>
        <w:separator/>
      </w:r>
    </w:p>
  </w:footnote>
  <w:footnote w:type="continuationSeparator" w:id="0">
    <w:p w:rsidR="00BE126A" w:rsidRDefault="00BE126A" w:rsidP="00E71A58">
      <w:r>
        <w:continuationSeparator/>
      </w:r>
    </w:p>
  </w:footnote>
  <w:footnote w:id="1">
    <w:p w:rsidR="00E14EC2" w:rsidRDefault="00E14EC2" w:rsidP="00E14EC2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B7CC073"/>
  <w15:docId w15:val="{BC4318A2-7E48-4E9F-85CA-DB373E2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cervenec-2020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E9CD-72C5-4AA3-AEE5-A48D65E3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226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130</cp:revision>
  <cp:lastPrinted>2017-01-18T13:33:00Z</cp:lastPrinted>
  <dcterms:created xsi:type="dcterms:W3CDTF">2017-02-09T16:27:00Z</dcterms:created>
  <dcterms:modified xsi:type="dcterms:W3CDTF">2020-08-12T19:10:00Z</dcterms:modified>
</cp:coreProperties>
</file>