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B7581" w:rsidRPr="006B7581" w:rsidRDefault="006B7581" w:rsidP="00B80EDA">
      <w:pPr>
        <w:pStyle w:val="Nadpis1"/>
      </w:pPr>
      <w:bookmarkStart w:id="0" w:name="_Toc481748789"/>
      <w:r w:rsidRPr="006B7581">
        <w:t>3. Specifické výsledky o výdajích na zdravotní péči</w:t>
      </w:r>
      <w:bookmarkEnd w:id="0"/>
    </w:p>
    <w:p w:rsidR="006B7581" w:rsidRPr="006B7581" w:rsidRDefault="006B7581" w:rsidP="006B7581">
      <w:pPr>
        <w:spacing w:before="120"/>
        <w:jc w:val="both"/>
        <w:rPr>
          <w:szCs w:val="17"/>
        </w:rPr>
      </w:pPr>
      <w:r w:rsidRPr="006B7581">
        <w:rPr>
          <w:szCs w:val="17"/>
        </w:rPr>
        <w:t xml:space="preserve">Všechny zdroje dat potřebné k sestavení zdravotnických účtů nepřinášejí údaje na stejné úrovni podrobnosti a ve stejné kvalitě. V rámci specifických výsledků jsou uvedeny zejména informace vycházející z podrobných údajů, které mají k dispozici </w:t>
      </w:r>
      <w:r w:rsidRPr="004F0E28">
        <w:rPr>
          <w:b/>
          <w:szCs w:val="17"/>
        </w:rPr>
        <w:t>zdravotní pojišťovny</w:t>
      </w:r>
      <w:r w:rsidRPr="006B7581">
        <w:rPr>
          <w:szCs w:val="17"/>
        </w:rPr>
        <w:t xml:space="preserve">. Patří sem také informace, které přinášejí bližší pohled na sociálně či ekonomicky významnou oblast zdravotní péče  - </w:t>
      </w:r>
      <w:r w:rsidRPr="004F0E28">
        <w:rPr>
          <w:b/>
          <w:szCs w:val="17"/>
        </w:rPr>
        <w:t>účast domácností, dlouhodobá péče, výdaje</w:t>
      </w:r>
      <w:r w:rsidR="00EE39DC">
        <w:rPr>
          <w:b/>
          <w:szCs w:val="17"/>
        </w:rPr>
        <w:t> </w:t>
      </w:r>
      <w:r w:rsidRPr="004F0E28">
        <w:rPr>
          <w:b/>
          <w:szCs w:val="17"/>
        </w:rPr>
        <w:t>za léky či zahraniční obchod se zdravotní péčí.</w:t>
      </w:r>
    </w:p>
    <w:p w:rsidR="006B7581" w:rsidRPr="006B7581" w:rsidRDefault="006B7581" w:rsidP="00EE39DC">
      <w:pPr>
        <w:pStyle w:val="Nadpis2"/>
        <w:spacing w:before="240" w:after="120"/>
      </w:pPr>
      <w:bookmarkStart w:id="1" w:name="_3.1_Výdaje_zdravotních"/>
      <w:bookmarkStart w:id="2" w:name="_Toc481748790"/>
      <w:bookmarkEnd w:id="1"/>
      <w:r w:rsidRPr="006B7581">
        <w:t>3.1 Výdaje zdravotních pojišťoven</w:t>
      </w:r>
      <w:bookmarkEnd w:id="2"/>
    </w:p>
    <w:p w:rsidR="006B7581" w:rsidRPr="006B7581" w:rsidRDefault="006B7581" w:rsidP="006B7581">
      <w:pPr>
        <w:keepNext/>
        <w:jc w:val="both"/>
      </w:pPr>
      <w:r w:rsidRPr="006B7581">
        <w:t xml:space="preserve">Zdravotní péče je v našem systému hrazená převážně z veřejného zdravotního pojištění a pouze v některých případech bývá doplněna o spoluúčast pacientů (např. doplatky za některé léky, stomatologická péče apod.). Významnou roli v systému financování zdravotní péče hrají výdaje ze státního a místních rozpočtů. Následující kapitola podává ucelenou informaci </w:t>
      </w:r>
      <w:r w:rsidRPr="004F0E28">
        <w:rPr>
          <w:b/>
        </w:rPr>
        <w:t>o výdajích zdravotních pojišťoven na zdravotní péči</w:t>
      </w:r>
      <w:r w:rsidRPr="006B7581">
        <w:t xml:space="preserve">. Rovněž zahrnuje podrobné informace o výdajích na jednotlivé druhy diagnóz podle Mezinárodní statistické klasifikace nemocí a přidružených zdravotních problémů (dále také „MKN-10“) a </w:t>
      </w:r>
      <w:r w:rsidR="00EE39DC">
        <w:t>nechybí</w:t>
      </w:r>
      <w:r w:rsidRPr="006B7581">
        <w:t xml:space="preserve"> ani vý</w:t>
      </w:r>
      <w:r w:rsidRPr="006B7581">
        <w:rPr>
          <w:bCs/>
        </w:rPr>
        <w:t>daje zdravotních pojišťoven na zdravotní péči na 1 pojištěnce v ČR podle pohlaví a diagnóz.</w:t>
      </w:r>
    </w:p>
    <w:p w:rsidR="006B7581" w:rsidRPr="006B7581" w:rsidRDefault="006B7581" w:rsidP="00EE39DC">
      <w:pPr>
        <w:pStyle w:val="Nadpis3"/>
      </w:pPr>
      <w:bookmarkStart w:id="3" w:name="_Toc481748791"/>
      <w:r w:rsidRPr="006B7581">
        <w:t>3.1.1. Základní údaje</w:t>
      </w:r>
      <w:bookmarkEnd w:id="3"/>
    </w:p>
    <w:p w:rsidR="006B7581" w:rsidRPr="006B7581" w:rsidRDefault="006B7581" w:rsidP="006B7581">
      <w:pPr>
        <w:spacing w:before="120"/>
        <w:jc w:val="both"/>
      </w:pPr>
      <w:r w:rsidRPr="006B7581">
        <w:rPr>
          <w:b/>
        </w:rPr>
        <w:t xml:space="preserve">Zdravotní pojišťovny </w:t>
      </w:r>
      <w:r w:rsidRPr="006B7581">
        <w:t>vydaly v roce 2015 na zdravotní péči 234,7 mld. Kč, tedy 6</w:t>
      </w:r>
      <w:r w:rsidR="00BB2745">
        <w:t>5,6</w:t>
      </w:r>
      <w:r w:rsidRPr="006B7581">
        <w:t xml:space="preserve"> % z celkových výdajů na zdravotní péči v  České republice.</w:t>
      </w:r>
      <w:r w:rsidRPr="006B7581">
        <w:rPr>
          <w:szCs w:val="17"/>
        </w:rPr>
        <w:t xml:space="preserve"> </w:t>
      </w:r>
      <w:r w:rsidRPr="006B7581">
        <w:t>V roce 2014 byl v rámci sledovaného období poprvé zaznamenán meziroční pokles výdajů na zdravotní péči financovan</w:t>
      </w:r>
      <w:r w:rsidR="00EE39DC">
        <w:t>é</w:t>
      </w:r>
      <w:r w:rsidRPr="006B7581">
        <w:t xml:space="preserve"> z povinného zdravotního pojištění. Zatímco v roce 2013 dosáhly celkové výdaje zdravotních pojištěn na zdravotní péči 238,4 mld. Kč, o rok později to bylo o</w:t>
      </w:r>
      <w:r w:rsidR="00EE39DC">
        <w:t> </w:t>
      </w:r>
      <w:r w:rsidRPr="006B7581">
        <w:t>3,8 mld. Kč (1,6 %) méně. V roce 2015 zůstaly výdaje zdravotních pojišťoven na zdravotní péči stabilní.</w:t>
      </w:r>
      <w:r w:rsidRPr="006B7581">
        <w:rPr>
          <w:bCs/>
        </w:rPr>
        <w:t xml:space="preserve"> Průměrné výdaje zdravotních pojišťoven na jednoho pojištěnce dosáhly v roce 2015 částky 22 514 Kč.</w:t>
      </w:r>
    </w:p>
    <w:p w:rsidR="006B7581" w:rsidRPr="006B7581" w:rsidRDefault="006B7581" w:rsidP="006B7581">
      <w:pPr>
        <w:keepNext/>
        <w:spacing w:before="120"/>
        <w:jc w:val="both"/>
      </w:pPr>
      <w:r w:rsidRPr="006B7581">
        <w:t>V </w:t>
      </w:r>
      <w:r w:rsidRPr="006B7581">
        <w:rPr>
          <w:b/>
        </w:rPr>
        <w:t>mezinárodním srovnání</w:t>
      </w:r>
      <w:r w:rsidRPr="006B7581">
        <w:t xml:space="preserve"> výdaje na zdravotní péči v České republice z povinného zdravotního pojištění vysoce převyšují průměr zemí EU (42 %). Náš stát se tak řadí k zemím jako Nizozemsko, Francie a</w:t>
      </w:r>
      <w:r w:rsidR="00D03693">
        <w:t> </w:t>
      </w:r>
      <w:r w:rsidRPr="006B7581">
        <w:t>Německo, kde je systém zdravotnictví založený především na všeobecném zdravotním pojištění. Naopak</w:t>
      </w:r>
      <w:r w:rsidR="00D03693">
        <w:t> </w:t>
      </w:r>
      <w:r w:rsidRPr="006B7581">
        <w:t xml:space="preserve">nejnižších hodnot dosahují Španělsko (5 %), Portugalsko a Kypr (shodně 1 %), kde jsou výdaje na zdravotní péči založeny především na výdajích z veřejných rozpočtů a domácností. </w:t>
      </w:r>
    </w:p>
    <w:p w:rsidR="006B7581" w:rsidRPr="006B7581" w:rsidRDefault="006B7581" w:rsidP="006B7581">
      <w:pPr>
        <w:spacing w:before="240" w:after="120"/>
        <w:jc w:val="both"/>
        <w:rPr>
          <w:b/>
          <w:bCs/>
          <w:sz w:val="18"/>
          <w:szCs w:val="18"/>
        </w:rPr>
      </w:pPr>
      <w:r w:rsidRPr="006B7581">
        <w:rPr>
          <w:b/>
          <w:bCs/>
          <w:sz w:val="18"/>
          <w:szCs w:val="18"/>
        </w:rPr>
        <w:t>Graf č. 3.1.1 Celkové výdaje</w:t>
      </w:r>
      <w:r w:rsidR="00DF4DBA">
        <w:rPr>
          <w:b/>
          <w:bCs/>
          <w:sz w:val="18"/>
          <w:szCs w:val="18"/>
        </w:rPr>
        <w:t xml:space="preserve"> na zdravotní péči a výdaje</w:t>
      </w:r>
      <w:r w:rsidRPr="006B7581">
        <w:rPr>
          <w:b/>
          <w:bCs/>
          <w:sz w:val="18"/>
          <w:szCs w:val="18"/>
        </w:rPr>
        <w:t xml:space="preserve"> zdravotních pojišťoven</w:t>
      </w:r>
      <w:r w:rsidR="00DF4DBA">
        <w:rPr>
          <w:b/>
          <w:bCs/>
          <w:sz w:val="18"/>
          <w:szCs w:val="18"/>
        </w:rPr>
        <w:t xml:space="preserve"> na zdravotní péči</w:t>
      </w:r>
      <w:r w:rsidRPr="006B7581">
        <w:rPr>
          <w:b/>
          <w:bCs/>
          <w:sz w:val="18"/>
          <w:szCs w:val="18"/>
        </w:rPr>
        <w:t xml:space="preserve"> v ČR, 2010-2015 (mld. Kč; %)</w:t>
      </w:r>
    </w:p>
    <w:p w:rsidR="00BB2745" w:rsidRDefault="00BB2745" w:rsidP="006B7581">
      <w:pPr>
        <w:keepNext/>
        <w:spacing w:line="240" w:lineRule="auto"/>
        <w:jc w:val="right"/>
        <w:rPr>
          <w:b/>
          <w:bCs/>
          <w:i/>
          <w:sz w:val="16"/>
          <w:szCs w:val="16"/>
        </w:rPr>
      </w:pPr>
      <w:r>
        <w:rPr>
          <w:noProof/>
        </w:rPr>
        <w:drawing>
          <wp:inline distT="0" distB="0" distL="0" distR="0" wp14:anchorId="34C38612" wp14:editId="01347B62">
            <wp:extent cx="6038850" cy="2609850"/>
            <wp:effectExtent l="0" t="0" r="0" b="0"/>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BB2745" w:rsidRDefault="00BB2745" w:rsidP="006B7581">
      <w:pPr>
        <w:keepNext/>
        <w:spacing w:line="240" w:lineRule="auto"/>
        <w:jc w:val="right"/>
        <w:rPr>
          <w:b/>
          <w:bCs/>
          <w:i/>
          <w:sz w:val="16"/>
          <w:szCs w:val="16"/>
        </w:rPr>
      </w:pPr>
    </w:p>
    <w:p w:rsidR="00BB2745" w:rsidRDefault="00BB2745" w:rsidP="006B7581">
      <w:pPr>
        <w:keepNext/>
        <w:spacing w:line="240" w:lineRule="auto"/>
        <w:jc w:val="right"/>
        <w:rPr>
          <w:b/>
          <w:bCs/>
          <w:i/>
          <w:sz w:val="16"/>
          <w:szCs w:val="16"/>
        </w:rPr>
      </w:pPr>
    </w:p>
    <w:p w:rsidR="00BB2745" w:rsidRDefault="00BB2745" w:rsidP="006B7581">
      <w:pPr>
        <w:keepNext/>
        <w:spacing w:line="240" w:lineRule="auto"/>
        <w:jc w:val="right"/>
        <w:rPr>
          <w:b/>
          <w:bCs/>
          <w:i/>
          <w:sz w:val="16"/>
          <w:szCs w:val="16"/>
        </w:rPr>
      </w:pPr>
    </w:p>
    <w:p w:rsidR="006B7581" w:rsidRPr="006B7581" w:rsidRDefault="006B7581" w:rsidP="006B7581">
      <w:pPr>
        <w:keepNext/>
        <w:spacing w:line="240" w:lineRule="auto"/>
        <w:jc w:val="right"/>
        <w:rPr>
          <w:b/>
          <w:bCs/>
          <w:i/>
          <w:sz w:val="16"/>
          <w:szCs w:val="16"/>
        </w:rPr>
      </w:pPr>
      <w:r w:rsidRPr="006B7581">
        <w:rPr>
          <w:b/>
          <w:bCs/>
          <w:i/>
          <w:sz w:val="16"/>
          <w:szCs w:val="16"/>
        </w:rPr>
        <w:t>Zdroj: ČSÚ 2017, Zdravotnické účty ČR 2010 - 2</w:t>
      </w:r>
      <w:bookmarkStart w:id="4" w:name="_GoBack"/>
      <w:bookmarkEnd w:id="4"/>
      <w:r w:rsidRPr="006B7581">
        <w:rPr>
          <w:b/>
          <w:bCs/>
          <w:i/>
          <w:sz w:val="16"/>
          <w:szCs w:val="16"/>
        </w:rPr>
        <w:t xml:space="preserve">015 </w:t>
      </w:r>
    </w:p>
    <w:p w:rsidR="006B7581" w:rsidRPr="006B7581" w:rsidRDefault="003B5B99" w:rsidP="003B5B99">
      <w:pPr>
        <w:spacing w:line="240" w:lineRule="auto"/>
        <w:rPr>
          <w:rFonts w:eastAsia="MS Gothic"/>
          <w:b/>
          <w:bCs/>
          <w:i/>
        </w:rPr>
      </w:pPr>
      <w:r>
        <w:rPr>
          <w:rFonts w:eastAsia="MS Gothic"/>
          <w:b/>
          <w:bCs/>
          <w:i/>
        </w:rPr>
        <w:br w:type="page"/>
      </w:r>
      <w:r>
        <w:rPr>
          <w:rFonts w:eastAsia="MS Gothic"/>
          <w:b/>
          <w:bCs/>
          <w:i/>
        </w:rPr>
        <w:lastRenderedPageBreak/>
        <w:t>N</w:t>
      </w:r>
      <w:r w:rsidR="006B7581" w:rsidRPr="006B7581">
        <w:rPr>
          <w:rFonts w:eastAsia="MS Gothic"/>
          <w:b/>
          <w:bCs/>
          <w:i/>
        </w:rPr>
        <w:t>ejvíce peněz vydávají zdravotní pojišťovny na léčení nemocí srdce a cév</w:t>
      </w:r>
    </w:p>
    <w:p w:rsidR="006B7581" w:rsidRPr="006B7581" w:rsidRDefault="006B7581" w:rsidP="006B7581">
      <w:pPr>
        <w:spacing w:before="120"/>
        <w:jc w:val="both"/>
      </w:pPr>
      <w:r w:rsidRPr="006B7581">
        <w:t xml:space="preserve">Nejprve se budeme věnovat výdajům na zdravotní péči v členění podle </w:t>
      </w:r>
      <w:r w:rsidRPr="006B7581">
        <w:rPr>
          <w:b/>
        </w:rPr>
        <w:t>hlavních kapitol diagnóz</w:t>
      </w:r>
      <w:r w:rsidRPr="006B7581">
        <w:t xml:space="preserve"> MKN-10 (graf č.</w:t>
      </w:r>
      <w:r w:rsidR="00D03693">
        <w:t xml:space="preserve"> </w:t>
      </w:r>
      <w:r w:rsidRPr="006B7581">
        <w:t>3.1.2). Většinu výdajů zdravotních pojišťoven lze přiřadit ke konkrétní diagnóze MKN-10</w:t>
      </w:r>
      <w:r w:rsidR="00190B38">
        <w:t xml:space="preserve"> (podrobněji </w:t>
      </w:r>
      <w:proofErr w:type="gramStart"/>
      <w:r w:rsidR="00190B38">
        <w:t xml:space="preserve">viz. </w:t>
      </w:r>
      <w:r w:rsidR="001C1D52">
        <w:t>k</w:t>
      </w:r>
      <w:r w:rsidR="00190B38">
        <w:t>lasifikace</w:t>
      </w:r>
      <w:proofErr w:type="gramEnd"/>
      <w:r w:rsidR="00190B38">
        <w:t xml:space="preserve"> č.4 v </w:t>
      </w:r>
      <w:r w:rsidR="001C1D52">
        <w:t xml:space="preserve"> </w:t>
      </w:r>
      <w:r w:rsidR="00190B38">
        <w:t xml:space="preserve">příloze). </w:t>
      </w:r>
      <w:r w:rsidRPr="006B7581">
        <w:t>Ostatní</w:t>
      </w:r>
      <w:r w:rsidR="00D03693">
        <w:t> </w:t>
      </w:r>
      <w:r w:rsidRPr="006B7581">
        <w:t>výdaje pojišťoven, které není možné takto rozčlenit, jsou zahrnuty do společné kategorie. Jedná se například o kapitační platby registrujícím lékařům, návštěvní službu v rámci domácí péče, léky na recept, různé bonusy a příspěvky a také náklady pojišťoven na správu a provoz vlastních organizací.</w:t>
      </w:r>
    </w:p>
    <w:p w:rsidR="006B7581" w:rsidRPr="006B7581" w:rsidRDefault="006B7581" w:rsidP="006B7581">
      <w:pPr>
        <w:spacing w:before="120"/>
        <w:jc w:val="both"/>
      </w:pPr>
      <w:r w:rsidRPr="006B7581">
        <w:t xml:space="preserve">Na celkových výdajích u jednotlivých kapitol diagnóz se podílí jednak četnost daných onemocnění v populaci a pochopitelně také nákladnost jejich léčby. Nejnákladnější skupinou onemocnění jsou dlouhodobě </w:t>
      </w:r>
      <w:r w:rsidRPr="006B7581">
        <w:rPr>
          <w:b/>
        </w:rPr>
        <w:t>nemoci oběhové soustavy</w:t>
      </w:r>
      <w:r w:rsidRPr="006B7581">
        <w:t xml:space="preserve">, kam spadají mimo jiné ischemické choroby srdeční (např. infarkt myokardu, angina pectoris aj.) a cévní nemoci mozku (mrtvice), což jsou jak vysoce nákladná tak i relativně častá onemocnění. Podle informací </w:t>
      </w:r>
      <w:r w:rsidR="00D03693">
        <w:t>Ústavu zdravotnických informací a statistiky</w:t>
      </w:r>
      <w:r w:rsidR="004242B2">
        <w:t xml:space="preserve"> ČR</w:t>
      </w:r>
      <w:r w:rsidRPr="006B7581">
        <w:t xml:space="preserve"> </w:t>
      </w:r>
      <w:r w:rsidR="004242B2">
        <w:t xml:space="preserve">(dále jen ÚZIS </w:t>
      </w:r>
      <w:r w:rsidRPr="006B7581">
        <w:t>ČR</w:t>
      </w:r>
      <w:r w:rsidR="004242B2">
        <w:t>)</w:t>
      </w:r>
      <w:r w:rsidRPr="006B7581">
        <w:t xml:space="preserve"> patří kardiovaskulární onemocnění k</w:t>
      </w:r>
      <w:r w:rsidR="00D03693">
        <w:t> </w:t>
      </w:r>
      <w:r w:rsidRPr="006B7581">
        <w:t>nejčastějším příčinám úmrtí v Česku. V roce 2015 byly příčinou 42 % úmrtí mužů a 50 % úmrtí žen, celkem</w:t>
      </w:r>
      <w:r w:rsidR="00D03693">
        <w:t> </w:t>
      </w:r>
      <w:r w:rsidRPr="006B7581">
        <w:t>zapříčinily téměř 51 tisíc případů úmrtí z celkového počtu 111 173 úmrtí.</w:t>
      </w:r>
    </w:p>
    <w:p w:rsidR="006B7581" w:rsidRPr="006B7581" w:rsidRDefault="006B7581" w:rsidP="006B7581">
      <w:pPr>
        <w:spacing w:before="120"/>
        <w:jc w:val="both"/>
      </w:pPr>
      <w:r w:rsidRPr="006B7581">
        <w:t xml:space="preserve">V souvislosti s nárůstem počtu nově hlášených </w:t>
      </w:r>
      <w:r w:rsidRPr="006B7581">
        <w:rPr>
          <w:b/>
        </w:rPr>
        <w:t>zhoubných novotvarů</w:t>
      </w:r>
      <w:r w:rsidRPr="006B7581">
        <w:t xml:space="preserve"> v populaci a vývojem nových účinnějších metod jejich léčby, které většinou představují také vyšší náklady, nabývá tato skupina onemocnění ve výdajích pojišťoven stále většího podílu. </w:t>
      </w:r>
    </w:p>
    <w:p w:rsidR="006B7581" w:rsidRPr="006B7581" w:rsidRDefault="006B7581" w:rsidP="006B7581">
      <w:pPr>
        <w:spacing w:before="120"/>
        <w:jc w:val="both"/>
      </w:pPr>
      <w:r w:rsidRPr="006B7581">
        <w:t xml:space="preserve">Třetí nejnákladnější kapitolou jsou </w:t>
      </w:r>
      <w:r w:rsidR="00D03693">
        <w:rPr>
          <w:b/>
        </w:rPr>
        <w:t>f</w:t>
      </w:r>
      <w:r w:rsidRPr="006B7581">
        <w:rPr>
          <w:b/>
        </w:rPr>
        <w:t>aktory ovlivňující zdravotní stav a kontakt se zdravotnickými službami</w:t>
      </w:r>
      <w:r w:rsidRPr="006B7581">
        <w:t xml:space="preserve">. Jedná se obsahově o velmi různorodou skupinu příčin čerpání zdravotní péče. Patří sem nejrůznější prohlídky (preventivní, zubní, gynekologické, v těhotenství, oční atd.), laboratorní vyšetření, screeningové vyšetření, očkování, lékařské pozorování, kosmetické výkony, přizpůsobení a seřízení implantovaných nebo protetických pomůcek, následná vyšetření po chemoterapii, dárcovství orgánů a tkání, hospitalizace novorozenců po porodu, doprovod dítěte při hospitalizaci a další. </w:t>
      </w:r>
    </w:p>
    <w:p w:rsidR="006B7581" w:rsidRPr="006B7581" w:rsidRDefault="006B7581" w:rsidP="006B7581">
      <w:pPr>
        <w:spacing w:before="240" w:after="120"/>
        <w:jc w:val="both"/>
        <w:rPr>
          <w:b/>
          <w:bCs/>
          <w:sz w:val="18"/>
          <w:szCs w:val="18"/>
        </w:rPr>
      </w:pPr>
      <w:r w:rsidRPr="006B7581">
        <w:rPr>
          <w:b/>
          <w:bCs/>
          <w:sz w:val="18"/>
          <w:szCs w:val="18"/>
        </w:rPr>
        <w:t>Graf č. 3.1.2 Výdaje zdravotních pojišťoven na zdravotní péči v ČR podle diagnóz</w:t>
      </w:r>
      <w:r w:rsidR="001C1D52">
        <w:rPr>
          <w:b/>
          <w:bCs/>
          <w:sz w:val="18"/>
          <w:szCs w:val="18"/>
        </w:rPr>
        <w:t xml:space="preserve"> MKN-10</w:t>
      </w:r>
      <w:r w:rsidRPr="006B7581">
        <w:rPr>
          <w:b/>
          <w:bCs/>
          <w:sz w:val="18"/>
          <w:szCs w:val="18"/>
        </w:rPr>
        <w:t>*, 2015 (v mld. Kč; %)</w:t>
      </w:r>
    </w:p>
    <w:p w:rsidR="006B7581" w:rsidRPr="006B7581" w:rsidRDefault="006B7581" w:rsidP="006B7581">
      <w:pPr>
        <w:spacing w:before="240" w:after="120"/>
        <w:jc w:val="center"/>
        <w:rPr>
          <w:b/>
          <w:bCs/>
          <w:sz w:val="18"/>
          <w:szCs w:val="18"/>
        </w:rPr>
      </w:pPr>
      <w:r w:rsidRPr="006B7581">
        <w:rPr>
          <w:noProof/>
        </w:rPr>
        <w:drawing>
          <wp:inline distT="0" distB="0" distL="0" distR="0">
            <wp:extent cx="6010275" cy="3505200"/>
            <wp:effectExtent l="0" t="0" r="0" b="0"/>
            <wp:docPr id="19" name="Graf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B7581" w:rsidRDefault="006B7581" w:rsidP="006B7581">
      <w:pPr>
        <w:spacing w:line="240" w:lineRule="auto"/>
        <w:jc w:val="both"/>
        <w:rPr>
          <w:bCs/>
          <w:i/>
          <w:sz w:val="16"/>
          <w:szCs w:val="16"/>
        </w:rPr>
      </w:pPr>
      <w:r w:rsidRPr="006B7581">
        <w:rPr>
          <w:bCs/>
          <w:i/>
          <w:sz w:val="16"/>
          <w:szCs w:val="16"/>
        </w:rPr>
        <w:t xml:space="preserve">*Pozn.: Celkové výdaje na zdravotní péči financované ze všeobecného zdravotního pojištění uvedené v tomto grafu neobsahují údaje za ostatní výdaje zdravotních pojišťoven (45,9 mld. Kč), které v roce 2015 nebylo možno přiřadit ke konkrétní diagnóze. </w:t>
      </w:r>
    </w:p>
    <w:p w:rsidR="006B7581" w:rsidRPr="006B7581" w:rsidRDefault="006B7581" w:rsidP="006B7581">
      <w:pPr>
        <w:spacing w:before="120" w:line="240" w:lineRule="auto"/>
        <w:jc w:val="right"/>
        <w:rPr>
          <w:b/>
          <w:bCs/>
          <w:i/>
          <w:sz w:val="16"/>
          <w:szCs w:val="16"/>
        </w:rPr>
      </w:pPr>
      <w:r w:rsidRPr="006B7581">
        <w:rPr>
          <w:b/>
          <w:bCs/>
          <w:i/>
          <w:sz w:val="16"/>
          <w:szCs w:val="16"/>
        </w:rPr>
        <w:t xml:space="preserve">Zdroj: ČSÚ 2017, Zdravotnické účty ČR 2010 - 2015 </w:t>
      </w:r>
    </w:p>
    <w:p w:rsidR="006B7581" w:rsidRPr="007949E3" w:rsidRDefault="006B7581" w:rsidP="007949E3">
      <w:pPr>
        <w:spacing w:before="240" w:after="120"/>
        <w:rPr>
          <w:rFonts w:eastAsia="MS Gothic"/>
          <w:b/>
          <w:i/>
        </w:rPr>
      </w:pPr>
      <w:r w:rsidRPr="007949E3">
        <w:rPr>
          <w:rFonts w:eastAsia="MS Gothic"/>
          <w:b/>
          <w:i/>
        </w:rPr>
        <w:lastRenderedPageBreak/>
        <w:t>V roce 2015 přesáhly náklady na onkologickou léčbu 23,5 miliard korun</w:t>
      </w:r>
    </w:p>
    <w:p w:rsidR="006B7581" w:rsidRPr="006B7581" w:rsidRDefault="006B7581" w:rsidP="006B7581">
      <w:pPr>
        <w:keepNext/>
        <w:spacing w:before="120"/>
        <w:jc w:val="both"/>
      </w:pPr>
      <w:r w:rsidRPr="006B7581">
        <w:t>V</w:t>
      </w:r>
      <w:r w:rsidR="00D03693">
        <w:t> </w:t>
      </w:r>
      <w:r w:rsidRPr="006B7581">
        <w:t>roce</w:t>
      </w:r>
      <w:r w:rsidR="00D03693">
        <w:t xml:space="preserve"> </w:t>
      </w:r>
      <w:r w:rsidRPr="006B7581">
        <w:t xml:space="preserve">2015 vykázaly zdravotní pojišťovny největší objem výdajů na zdravotní péči (27,1 mld. Kč) za </w:t>
      </w:r>
      <w:r w:rsidRPr="006B7581">
        <w:rPr>
          <w:b/>
        </w:rPr>
        <w:t>nemoci oběhové soustavy</w:t>
      </w:r>
      <w:r w:rsidRPr="006B7581">
        <w:t xml:space="preserve">. Ve stejném roce dosáhly náklady zdravotních pojišťoven na léčbu </w:t>
      </w:r>
      <w:r w:rsidRPr="006B7581">
        <w:rPr>
          <w:b/>
        </w:rPr>
        <w:t>onkologických onemocnění</w:t>
      </w:r>
      <w:r w:rsidRPr="006B7581">
        <w:t xml:space="preserve"> hodnoty 23,7 mld. Kč, což je zatím historicky nejvyšší částka. Nárůst výdajů na onkologickou léčbu souvisí s možnostmi nových moderních léčebných i diagnostických metod, přístrojů a léčivých prostředků a bohužel také se zvyšujícím se počtem nově hlášených onkologických onemocnění v populaci. Nádorová onemocnění jsou stále druhou nejběžnější příčinou úmrtí, po nemocech oběhové soustavy. Diagnostikována jsou u více než pětiny zemřelých. U mužů se týkají zejména plic, tlustého střeva a prostaty. U žen je zaznamenána nejvýznamnější část úmrtí v důsledku novotvarů plic, tlustého střeva, prsu a pohlavních orgánů.</w:t>
      </w:r>
    </w:p>
    <w:p w:rsidR="006B7581" w:rsidRPr="006B7581" w:rsidRDefault="006B7581" w:rsidP="006B7581">
      <w:pPr>
        <w:keepNext/>
        <w:spacing w:before="120"/>
        <w:jc w:val="both"/>
      </w:pPr>
      <w:r w:rsidRPr="006B7581">
        <w:t xml:space="preserve">Ještě v roce 2010 byly třetí nejnákladovější položkou výdajů zdravotních pojišťoven nemoci trávicí soustavy, ale v roce 2015 je ve výši výdajů předstihly diagnózy z kapitol </w:t>
      </w:r>
      <w:r w:rsidR="00D03693">
        <w:rPr>
          <w:b/>
        </w:rPr>
        <w:t>f</w:t>
      </w:r>
      <w:r w:rsidRPr="006B7581">
        <w:rPr>
          <w:b/>
        </w:rPr>
        <w:t>aktory ovlivňující zdravotní stav a kontakt se zdravotnickými službami</w:t>
      </w:r>
      <w:r w:rsidRPr="00D03693">
        <w:t xml:space="preserve"> a</w:t>
      </w:r>
      <w:r w:rsidRPr="006B7581">
        <w:rPr>
          <w:b/>
        </w:rPr>
        <w:t> </w:t>
      </w:r>
      <w:r w:rsidR="00D03693">
        <w:rPr>
          <w:b/>
        </w:rPr>
        <w:t>n</w:t>
      </w:r>
      <w:r w:rsidRPr="006B7581">
        <w:rPr>
          <w:b/>
        </w:rPr>
        <w:t>emoci svalové a kosterní soustavy a pojivové tkáně</w:t>
      </w:r>
      <w:r w:rsidRPr="006B7581">
        <w:t xml:space="preserve">. </w:t>
      </w:r>
      <w:r w:rsidRPr="006B7581">
        <w:rPr>
          <w:rFonts w:cs="Arial"/>
          <w:szCs w:val="20"/>
        </w:rPr>
        <w:t>Právě nemoci svalové a kosterní soustavy a pohybové tkáně zapříčiňují největší počet dnů prostonaných v pracovní neschopnosti a jsou také nejčastější příčinou invalidity.</w:t>
      </w:r>
    </w:p>
    <w:p w:rsidR="006B7581" w:rsidRPr="006B7581" w:rsidRDefault="006B7581" w:rsidP="006B7581">
      <w:pPr>
        <w:spacing w:before="240" w:after="120"/>
        <w:jc w:val="both"/>
        <w:rPr>
          <w:b/>
          <w:bCs/>
          <w:sz w:val="18"/>
          <w:szCs w:val="18"/>
        </w:rPr>
      </w:pPr>
      <w:r w:rsidRPr="006B7581">
        <w:rPr>
          <w:b/>
          <w:bCs/>
          <w:sz w:val="18"/>
          <w:szCs w:val="18"/>
        </w:rPr>
        <w:t>Graf č. 3.1.3 Vývoj výdajů zdravotních pojišťoven na zdravotní péči v ČR podle diagnóz</w:t>
      </w:r>
      <w:r w:rsidR="001C1D52">
        <w:rPr>
          <w:b/>
          <w:bCs/>
          <w:sz w:val="18"/>
          <w:szCs w:val="18"/>
        </w:rPr>
        <w:t xml:space="preserve"> MKN-10</w:t>
      </w:r>
      <w:r w:rsidRPr="006B7581">
        <w:rPr>
          <w:b/>
          <w:bCs/>
          <w:sz w:val="18"/>
          <w:szCs w:val="18"/>
        </w:rPr>
        <w:t xml:space="preserve">, 2010 a 2015 (mil. Kč) </w:t>
      </w:r>
    </w:p>
    <w:p w:rsidR="006B7581" w:rsidRPr="006B7581" w:rsidRDefault="006B7581" w:rsidP="006B7581">
      <w:pPr>
        <w:spacing w:line="240" w:lineRule="auto"/>
        <w:rPr>
          <w:i/>
          <w:sz w:val="16"/>
          <w:szCs w:val="16"/>
        </w:rPr>
      </w:pPr>
      <w:r w:rsidRPr="006B7581">
        <w:rPr>
          <w:noProof/>
        </w:rPr>
        <w:drawing>
          <wp:inline distT="0" distB="0" distL="0" distR="0">
            <wp:extent cx="6038850" cy="5429250"/>
            <wp:effectExtent l="0" t="0" r="0" b="0"/>
            <wp:docPr id="20" name="Graf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6B7581" w:rsidRPr="006B7581" w:rsidRDefault="006B7581" w:rsidP="006B7581">
      <w:pPr>
        <w:spacing w:before="120" w:line="240" w:lineRule="auto"/>
        <w:jc w:val="right"/>
        <w:rPr>
          <w:b/>
          <w:bCs/>
          <w:i/>
          <w:sz w:val="16"/>
          <w:szCs w:val="16"/>
        </w:rPr>
      </w:pPr>
      <w:r w:rsidRPr="006B7581">
        <w:rPr>
          <w:b/>
          <w:bCs/>
          <w:i/>
          <w:sz w:val="16"/>
          <w:szCs w:val="16"/>
        </w:rPr>
        <w:t xml:space="preserve">Zdroj: ČSÚ 2017, Zdravotnické účty ČR 2010 - 2017 </w:t>
      </w:r>
    </w:p>
    <w:p w:rsidR="006B7581" w:rsidRPr="007949E3" w:rsidRDefault="006B7581" w:rsidP="007949E3">
      <w:pPr>
        <w:spacing w:before="240" w:after="120"/>
        <w:rPr>
          <w:rFonts w:eastAsia="MS Gothic"/>
          <w:b/>
          <w:i/>
        </w:rPr>
      </w:pPr>
      <w:r w:rsidRPr="007949E3">
        <w:rPr>
          <w:rFonts w:eastAsia="MS Gothic"/>
          <w:b/>
          <w:i/>
        </w:rPr>
        <w:lastRenderedPageBreak/>
        <w:t>Mezi roky 2010 a 2015 nepatrně poklesly výdaje na zdravotní péči v </w:t>
      </w:r>
      <w:r w:rsidR="00D03693" w:rsidRPr="007949E3">
        <w:rPr>
          <w:rFonts w:eastAsia="MS Gothic"/>
          <w:b/>
          <w:i/>
        </w:rPr>
        <w:t>t</w:t>
      </w:r>
      <w:r w:rsidRPr="007949E3">
        <w:rPr>
          <w:rFonts w:eastAsia="MS Gothic"/>
          <w:b/>
          <w:i/>
        </w:rPr>
        <w:t>ěhotenství, porodu a šestinedělí</w:t>
      </w:r>
    </w:p>
    <w:p w:rsidR="006B7581" w:rsidRPr="006B7581" w:rsidRDefault="006B7581" w:rsidP="006B7581">
      <w:pPr>
        <w:spacing w:before="120"/>
        <w:jc w:val="both"/>
      </w:pPr>
      <w:r w:rsidRPr="006B7581">
        <w:t xml:space="preserve">Od roku 2010 se nejvíce zvýšily náklady na léčení </w:t>
      </w:r>
      <w:r w:rsidRPr="006B7581">
        <w:rPr>
          <w:b/>
        </w:rPr>
        <w:t>nemocí svalové a kosterní soustavy a pojivové tkáně</w:t>
      </w:r>
      <w:r w:rsidRPr="006B7581">
        <w:t xml:space="preserve"> a na diagnózy z kapitoly </w:t>
      </w:r>
      <w:r w:rsidR="00D03693">
        <w:rPr>
          <w:b/>
        </w:rPr>
        <w:t>f</w:t>
      </w:r>
      <w:r w:rsidRPr="006B7581">
        <w:rPr>
          <w:b/>
        </w:rPr>
        <w:t>aktory ovlivňující zdravotní stav</w:t>
      </w:r>
      <w:r w:rsidRPr="006B7581">
        <w:t xml:space="preserve"> (zahrnují různá vyšetření, poradny, hospitalizaci dětí po porodu, doprovod při hospitalizaci, laboratorní vyšetření atd.). V absolutních číslech o více než 5</w:t>
      </w:r>
      <w:r w:rsidR="00D03693">
        <w:t> </w:t>
      </w:r>
      <w:r w:rsidRPr="006B7581">
        <w:t>miliard Kč. Vysoce nadprůměrnou dynamiku v absolutních hodnotách měly diagnózy poranění a otrav stejně jako onkologická onemocnění. V obou případech se jednalo ve sledovaném období o nárůst výdajů ve</w:t>
      </w:r>
      <w:r w:rsidR="00D03693">
        <w:t> </w:t>
      </w:r>
      <w:r w:rsidRPr="006B7581">
        <w:t>výši o 4,4 mld. Kč. Výdaje na léčbu nemocí nervové soustavy a močové a pohlavní soustavy stouply v</w:t>
      </w:r>
      <w:r w:rsidR="00D03693">
        <w:t> </w:t>
      </w:r>
      <w:r w:rsidRPr="006B7581">
        <w:t xml:space="preserve">průměru o 2,5 miliardy Kč. </w:t>
      </w:r>
    </w:p>
    <w:p w:rsidR="006B7581" w:rsidRPr="006B7581" w:rsidRDefault="006B7581" w:rsidP="006B7581">
      <w:pPr>
        <w:spacing w:before="120"/>
        <w:jc w:val="both"/>
      </w:pPr>
      <w:r w:rsidRPr="006B7581">
        <w:t xml:space="preserve">Procentuálně mezi roky 2010 a 2015 nejvíce vzrostly výdaje na léčbu </w:t>
      </w:r>
      <w:r w:rsidRPr="006B7581">
        <w:rPr>
          <w:b/>
        </w:rPr>
        <w:t>následků poranění a otrav</w:t>
      </w:r>
      <w:r w:rsidRPr="006B7581">
        <w:t xml:space="preserve"> (nárůst o</w:t>
      </w:r>
      <w:r w:rsidR="00D03693">
        <w:t> </w:t>
      </w:r>
      <w:r w:rsidRPr="006B7581">
        <w:t>66 %) a onemocnění svalové</w:t>
      </w:r>
      <w:r w:rsidRPr="006B7581">
        <w:rPr>
          <w:b/>
        </w:rPr>
        <w:t xml:space="preserve"> nemocí svalové a kosterní soustavy a pojivové tkáně</w:t>
      </w:r>
      <w:r w:rsidRPr="006B7581">
        <w:t xml:space="preserve"> (nárůst o 54 %).</w:t>
      </w:r>
    </w:p>
    <w:p w:rsidR="006B7581" w:rsidRPr="006B7581" w:rsidRDefault="006B7581" w:rsidP="006B7581">
      <w:pPr>
        <w:keepNext/>
        <w:spacing w:before="120"/>
        <w:jc w:val="both"/>
        <w:rPr>
          <w:rFonts w:eastAsia="Calibri"/>
        </w:rPr>
      </w:pPr>
      <w:r w:rsidRPr="006B7581">
        <w:rPr>
          <w:rFonts w:eastAsia="Calibri"/>
        </w:rPr>
        <w:t xml:space="preserve">Podle informací ÚZIS ČR jsou </w:t>
      </w:r>
      <w:r w:rsidRPr="006B7581">
        <w:rPr>
          <w:rFonts w:eastAsia="Calibri"/>
          <w:b/>
        </w:rPr>
        <w:t>nemoci svalové a kosterní soustavy</w:t>
      </w:r>
      <w:r w:rsidRPr="006B7581">
        <w:rPr>
          <w:rFonts w:eastAsia="Calibri"/>
        </w:rPr>
        <w:t xml:space="preserve"> dlouhodobě druhou nejčastější příčinou pracovní neschopnosti (dále jen PN). V letech 2010 a 2015 tvořily shodně zhruba 18 % všech případů PN. Tyto nemoci se vyznačují poměrně dlouhou průměrnou dobou trvání jednoho případu, která v obou sledovaných letech činila 67 dnů. Na celkovém počtu prostonaných dnů se nemoci svalové a kosterní soustavy podílely 29 %, což je dlouhodobě nejvyšší podíl. Z této skupiny onemocnění se na pracovní neschopnosti nejvíce podílely onemocnění zad a páteře.</w:t>
      </w:r>
    </w:p>
    <w:p w:rsidR="006B7581" w:rsidRPr="006B7581" w:rsidRDefault="006B7581" w:rsidP="006B7581">
      <w:pPr>
        <w:keepNext/>
        <w:spacing w:before="120"/>
        <w:jc w:val="both"/>
      </w:pPr>
      <w:r w:rsidRPr="006B7581">
        <w:rPr>
          <w:rFonts w:eastAsia="Calibri"/>
          <w:b/>
        </w:rPr>
        <w:t>Poranění, otravy a jiné následky vnějších příčin</w:t>
      </w:r>
      <w:r w:rsidRPr="006B7581">
        <w:rPr>
          <w:rFonts w:eastAsia="Calibri"/>
        </w:rPr>
        <w:t xml:space="preserve"> byly mezi důvody pracovní neschopnosti na třetím místě v roce 2010 i 2015 a způsobily 13 % případů PN. Poranění, otravy a jiné následky vnějších příčin bylo důvodem 15 % prostonaných dnů v PN. Nejvíce případů PN z této skupiny příčin způsobila vymknutí, podvrtnutí a natažení kloubních vazů a zlomeniny.</w:t>
      </w:r>
    </w:p>
    <w:p w:rsidR="006B7581" w:rsidRPr="006B7581" w:rsidRDefault="006B7581" w:rsidP="006B7581">
      <w:pPr>
        <w:spacing w:before="120"/>
        <w:jc w:val="both"/>
      </w:pPr>
      <w:r w:rsidRPr="006B7581">
        <w:t xml:space="preserve">K velmi mírnému poklesu výdajů pojišťoven na zdravotní péči mezi roky 2010 a 2015 došlo pouze u kapitol </w:t>
      </w:r>
      <w:r w:rsidR="004242B2">
        <w:rPr>
          <w:b/>
        </w:rPr>
        <w:t>t</w:t>
      </w:r>
      <w:r w:rsidRPr="006B7581">
        <w:rPr>
          <w:b/>
        </w:rPr>
        <w:t xml:space="preserve">ěhotenství, porod a šestinedělí </w:t>
      </w:r>
      <w:r w:rsidRPr="006B7581">
        <w:t xml:space="preserve">a </w:t>
      </w:r>
      <w:r w:rsidR="004242B2">
        <w:rPr>
          <w:b/>
        </w:rPr>
        <w:t>s</w:t>
      </w:r>
      <w:r w:rsidRPr="006B7581">
        <w:rPr>
          <w:b/>
        </w:rPr>
        <w:t>tavy vzniklé v perinatálním období</w:t>
      </w:r>
      <w:r w:rsidRPr="006B7581">
        <w:t>. Tuto skutečnost ovlivnil s největší pravděpodobností pokles počtu narozených dětí v tomto období, který se snížil ze 117 tisíc v roce 2010 na 111 tisíc v roce 2015.</w:t>
      </w:r>
    </w:p>
    <w:p w:rsidR="006B7581" w:rsidRPr="004242B2" w:rsidRDefault="006B7581" w:rsidP="00EE5A6E">
      <w:pPr>
        <w:spacing w:before="240" w:after="80"/>
        <w:jc w:val="both"/>
        <w:rPr>
          <w:rFonts w:cs="Arial"/>
          <w:b/>
          <w:bCs/>
          <w:spacing w:val="-7"/>
          <w:sz w:val="18"/>
          <w:szCs w:val="18"/>
        </w:rPr>
      </w:pPr>
      <w:r w:rsidRPr="004242B2">
        <w:rPr>
          <w:rFonts w:cs="Arial"/>
          <w:b/>
          <w:bCs/>
          <w:spacing w:val="-7"/>
          <w:sz w:val="18"/>
          <w:szCs w:val="18"/>
        </w:rPr>
        <w:t>Graf č. 3.1.4 Rozdíl ve výdajích zdravotních pojišťoven na zdravotní péči v ČR dle diagnóz</w:t>
      </w:r>
      <w:r w:rsidR="00DF4DBA">
        <w:rPr>
          <w:rFonts w:cs="Arial"/>
          <w:b/>
          <w:bCs/>
          <w:spacing w:val="-7"/>
          <w:sz w:val="18"/>
          <w:szCs w:val="18"/>
        </w:rPr>
        <w:t xml:space="preserve"> </w:t>
      </w:r>
      <w:r w:rsidR="00DF4DBA">
        <w:rPr>
          <w:b/>
          <w:bCs/>
          <w:sz w:val="18"/>
          <w:szCs w:val="18"/>
        </w:rPr>
        <w:t xml:space="preserve">MKN-10 </w:t>
      </w:r>
      <w:r w:rsidRPr="004242B2">
        <w:rPr>
          <w:rFonts w:cs="Arial"/>
          <w:b/>
          <w:bCs/>
          <w:spacing w:val="-7"/>
          <w:sz w:val="18"/>
          <w:szCs w:val="18"/>
        </w:rPr>
        <w:t xml:space="preserve"> mezi roky 2010 a 2015 (mil. Kč) </w:t>
      </w:r>
    </w:p>
    <w:p w:rsidR="006B7581" w:rsidRPr="006B7581" w:rsidRDefault="006B7581" w:rsidP="006B7581">
      <w:pPr>
        <w:keepNext/>
        <w:spacing w:before="200" w:after="120" w:line="276" w:lineRule="auto"/>
        <w:jc w:val="both"/>
        <w:outlineLvl w:val="1"/>
        <w:rPr>
          <w:rFonts w:eastAsia="MS Gothic"/>
          <w:b/>
          <w:bCs/>
          <w:i/>
        </w:rPr>
      </w:pPr>
      <w:r w:rsidRPr="006B7581">
        <w:rPr>
          <w:rFonts w:eastAsia="MS Gothic"/>
          <w:b/>
          <w:bCs/>
          <w:noProof/>
          <w:color w:val="BC091B"/>
          <w:sz w:val="28"/>
          <w:szCs w:val="26"/>
        </w:rPr>
        <w:drawing>
          <wp:inline distT="0" distB="0" distL="0" distR="0">
            <wp:extent cx="6191250" cy="3609975"/>
            <wp:effectExtent l="0" t="0" r="0" b="0"/>
            <wp:docPr id="21" name="Graf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6B7581" w:rsidRPr="006B7581" w:rsidRDefault="006B7581" w:rsidP="006B7581">
      <w:pPr>
        <w:spacing w:before="120" w:line="240" w:lineRule="auto"/>
        <w:jc w:val="right"/>
        <w:rPr>
          <w:b/>
          <w:bCs/>
          <w:i/>
          <w:sz w:val="16"/>
          <w:szCs w:val="16"/>
        </w:rPr>
      </w:pPr>
      <w:r w:rsidRPr="006B7581">
        <w:rPr>
          <w:b/>
          <w:bCs/>
          <w:i/>
          <w:sz w:val="16"/>
          <w:szCs w:val="16"/>
        </w:rPr>
        <w:t xml:space="preserve">Zdroj: ČSÚ 2017, Zdravotnické účty ČR 2010 - 2017 </w:t>
      </w:r>
    </w:p>
    <w:p w:rsidR="006B7581" w:rsidRPr="007949E3" w:rsidRDefault="006B7581" w:rsidP="00BD2BDC">
      <w:pPr>
        <w:spacing w:before="240" w:after="120"/>
        <w:jc w:val="both"/>
        <w:rPr>
          <w:rFonts w:eastAsia="MS Gothic"/>
          <w:b/>
          <w:i/>
        </w:rPr>
      </w:pPr>
      <w:r w:rsidRPr="007949E3">
        <w:rPr>
          <w:rFonts w:eastAsia="MS Gothic"/>
          <w:b/>
          <w:i/>
        </w:rPr>
        <w:lastRenderedPageBreak/>
        <w:t>Zdravotní pojišťovny přispívají u dětí nejčastěji na léčbu onemocnění dýchacích cest a stavů vzniklých v perinatálním období</w:t>
      </w:r>
    </w:p>
    <w:p w:rsidR="006B7581" w:rsidRPr="006B7581" w:rsidRDefault="006B7581" w:rsidP="006B7581">
      <w:pPr>
        <w:keepNext/>
        <w:jc w:val="both"/>
        <w:rPr>
          <w:rFonts w:eastAsia="Calibri"/>
        </w:rPr>
      </w:pPr>
      <w:r w:rsidRPr="006B7581">
        <w:t>Následující graf č. 3.1.5 přináší přehled nejnákladnějších kapitol diagnóz z roku 2015 ve třech základních věkových skupinách.</w:t>
      </w:r>
      <w:r w:rsidRPr="006B7581">
        <w:rPr>
          <w:rFonts w:cs="Arial"/>
          <w:szCs w:val="20"/>
          <w:vertAlign w:val="superscript"/>
        </w:rPr>
        <w:footnoteReference w:id="1"/>
      </w:r>
      <w:r w:rsidRPr="006B7581">
        <w:t xml:space="preserve">  Ve věkových skupinách </w:t>
      </w:r>
      <w:r w:rsidRPr="006B7581">
        <w:rPr>
          <w:b/>
        </w:rPr>
        <w:t>15</w:t>
      </w:r>
      <w:r w:rsidR="004242B2">
        <w:rPr>
          <w:b/>
        </w:rPr>
        <w:t xml:space="preserve"> </w:t>
      </w:r>
      <w:r w:rsidRPr="006B7581">
        <w:rPr>
          <w:b/>
        </w:rPr>
        <w:t>–</w:t>
      </w:r>
      <w:r w:rsidR="004242B2">
        <w:rPr>
          <w:b/>
        </w:rPr>
        <w:t xml:space="preserve"> </w:t>
      </w:r>
      <w:r w:rsidRPr="006B7581">
        <w:rPr>
          <w:b/>
        </w:rPr>
        <w:t xml:space="preserve">64 let </w:t>
      </w:r>
      <w:r w:rsidRPr="006B7581">
        <w:t xml:space="preserve">a </w:t>
      </w:r>
      <w:r w:rsidRPr="006B7581">
        <w:rPr>
          <w:b/>
        </w:rPr>
        <w:t>65 a více let</w:t>
      </w:r>
      <w:r w:rsidRPr="006B7581">
        <w:t xml:space="preserve"> je výčet nejnákladovějších skupin diagnóz téměř totožný a mění se mírně pouze jejich pořadí. Nejmarkantnější </w:t>
      </w:r>
      <w:r w:rsidRPr="006B7581">
        <w:rPr>
          <w:b/>
        </w:rPr>
        <w:t>rozdíl</w:t>
      </w:r>
      <w:r w:rsidRPr="006B7581">
        <w:t xml:space="preserve"> podle věku je ve výdajích zdravotních pojišťoven </w:t>
      </w:r>
      <w:r w:rsidRPr="006B7581">
        <w:rPr>
          <w:b/>
        </w:rPr>
        <w:t>na léčení nemocí kardiovaskulárního systému</w:t>
      </w:r>
      <w:r w:rsidRPr="006B7581">
        <w:t xml:space="preserve">. Ve věkové skupině 65+ tvoří téměř čtvrtinu výdajů zdravotních pojišťoven na zdravotní péči, zatímco ve skupině 15 – 64 let se jedná o desetinu. </w:t>
      </w:r>
      <w:r w:rsidRPr="006B7581">
        <w:rPr>
          <w:rFonts w:eastAsia="Calibri"/>
        </w:rPr>
        <w:t xml:space="preserve">Z hlediska struktury příčin nemocnosti jsou stále nemoci oběhové soustavy nejčastějším důvodem pro hospitalizaci a také </w:t>
      </w:r>
      <w:r w:rsidRPr="006B7581">
        <w:t xml:space="preserve">úmrtnosti. Podle demografické statistiky umírá polovina seniorů v České republice na nemoci oběhové soustavy (zejména na infarkt myokardu a cévní onemocnění), ve středním věku jsou nejčastějšími příčinami úmrtí zhoubné novotvary. </w:t>
      </w:r>
    </w:p>
    <w:p w:rsidR="006B7581" w:rsidRPr="006B7581" w:rsidRDefault="006B7581" w:rsidP="006B7581">
      <w:pPr>
        <w:spacing w:before="120"/>
        <w:jc w:val="both"/>
      </w:pPr>
      <w:r w:rsidRPr="006B7581">
        <w:rPr>
          <w:b/>
        </w:rPr>
        <w:t>U dětí do 14 let</w:t>
      </w:r>
      <w:r w:rsidRPr="006B7581">
        <w:t xml:space="preserve"> je výčet finančně nejnáročnějších diagnóz z hlediska výdajů zdravotních pojišťoven odlišný. Jedná se zejména o nemoci </w:t>
      </w:r>
      <w:r w:rsidRPr="006B7581">
        <w:rPr>
          <w:b/>
        </w:rPr>
        <w:t xml:space="preserve">dýchací soustavy </w:t>
      </w:r>
      <w:r w:rsidRPr="006B7581">
        <w:t>a</w:t>
      </w:r>
      <w:r w:rsidRPr="006B7581">
        <w:rPr>
          <w:b/>
        </w:rPr>
        <w:t xml:space="preserve"> stavy vzniklé v perinatálním období</w:t>
      </w:r>
      <w:r w:rsidRPr="006B7581">
        <w:t>, což je pravděpodobně ovlivněno nárůstem počtu předčasně narozených dětí s nízkou či velmi nízkou porodní hmotností. Zdravotní péče o tyto velmi ohrožené děti je značně nákladná a s vývojem stále dokonalejších léčebných metod, léků a přístrojů budou tyto náklady pravděpodobně nadále narůstat.</w:t>
      </w:r>
    </w:p>
    <w:p w:rsidR="006B7581" w:rsidRPr="00DF4DBA" w:rsidRDefault="006B7581" w:rsidP="006B7581">
      <w:pPr>
        <w:spacing w:before="240" w:after="120"/>
        <w:rPr>
          <w:b/>
          <w:bCs/>
          <w:spacing w:val="-6"/>
          <w:sz w:val="18"/>
          <w:szCs w:val="18"/>
        </w:rPr>
      </w:pPr>
      <w:r w:rsidRPr="00DF4DBA">
        <w:rPr>
          <w:b/>
          <w:bCs/>
          <w:spacing w:val="-6"/>
          <w:sz w:val="18"/>
          <w:szCs w:val="18"/>
        </w:rPr>
        <w:t>Graf č. 3.1.5 Výdaje zdravotních pojišťoven na zdravotní péči v ČR podle věkových skupin a diagnóz</w:t>
      </w:r>
      <w:r w:rsidR="00DF4DBA" w:rsidRPr="00DF4DBA">
        <w:rPr>
          <w:b/>
          <w:bCs/>
          <w:spacing w:val="-6"/>
          <w:sz w:val="18"/>
          <w:szCs w:val="18"/>
        </w:rPr>
        <w:t xml:space="preserve"> MKN-10</w:t>
      </w:r>
      <w:r w:rsidRPr="00DF4DBA">
        <w:rPr>
          <w:b/>
          <w:bCs/>
          <w:spacing w:val="-6"/>
          <w:sz w:val="18"/>
          <w:szCs w:val="18"/>
        </w:rPr>
        <w:t xml:space="preserve">*, 2015 (%) </w:t>
      </w:r>
    </w:p>
    <w:p w:rsidR="006B7581" w:rsidRPr="006B7581" w:rsidRDefault="006B7581" w:rsidP="006B7581">
      <w:pPr>
        <w:keepNext/>
        <w:spacing w:line="240" w:lineRule="auto"/>
        <w:jc w:val="both"/>
        <w:rPr>
          <w:b/>
          <w:bCs/>
          <w:sz w:val="18"/>
          <w:szCs w:val="18"/>
        </w:rPr>
      </w:pPr>
      <w:r w:rsidRPr="006B7581">
        <w:rPr>
          <w:b/>
          <w:bCs/>
          <w:noProof/>
          <w:color w:val="E5DFEC" w:themeColor="accent4" w:themeTint="33"/>
          <w:szCs w:val="17"/>
        </w:rPr>
        <w:drawing>
          <wp:inline distT="0" distB="0" distL="0" distR="0">
            <wp:extent cx="6124575" cy="4533900"/>
            <wp:effectExtent l="0" t="0" r="0" b="0"/>
            <wp:docPr id="28" name="Graf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6B7581" w:rsidRPr="006B7581" w:rsidRDefault="007D6E98" w:rsidP="006B7581">
      <w:pPr>
        <w:keepNext/>
        <w:spacing w:line="240" w:lineRule="auto"/>
        <w:jc w:val="both"/>
        <w:rPr>
          <w:bCs/>
          <w:i/>
          <w:sz w:val="16"/>
          <w:szCs w:val="16"/>
        </w:rPr>
      </w:pPr>
      <w:r>
        <w:rPr>
          <w:bCs/>
          <w:i/>
          <w:sz w:val="16"/>
          <w:szCs w:val="16"/>
        </w:rPr>
        <w:t>*</w:t>
      </w:r>
      <w:r w:rsidR="006B7581" w:rsidRPr="006B7581">
        <w:rPr>
          <w:bCs/>
          <w:i/>
          <w:sz w:val="16"/>
          <w:szCs w:val="16"/>
        </w:rPr>
        <w:t xml:space="preserve">Pozn.: Celkové výdaje na zdravotní péči financované ze všeobecného zdravotního pojištění uvedené v tomto grafu neobsahují údaje za ostatní výdaje zdravotních pojišťoven (45,9 mld. Kč), které v roce 2015 nebylo možno přiřadit ke konkrétní diagnóze. </w:t>
      </w:r>
    </w:p>
    <w:p w:rsidR="006B7581" w:rsidRPr="006B7581" w:rsidRDefault="006B7581" w:rsidP="006B7581">
      <w:pPr>
        <w:keepNext/>
        <w:spacing w:before="120" w:line="240" w:lineRule="auto"/>
        <w:jc w:val="right"/>
        <w:rPr>
          <w:b/>
          <w:bCs/>
          <w:i/>
          <w:sz w:val="16"/>
          <w:szCs w:val="16"/>
        </w:rPr>
      </w:pPr>
      <w:r w:rsidRPr="006B7581">
        <w:rPr>
          <w:b/>
          <w:bCs/>
          <w:i/>
          <w:sz w:val="16"/>
          <w:szCs w:val="16"/>
        </w:rPr>
        <w:t>Zdroj: ČSÚ 2017, Zdravotnické účty ČR 2010 - 2015</w:t>
      </w:r>
    </w:p>
    <w:p w:rsidR="006B7581" w:rsidRPr="007949E3" w:rsidRDefault="00E263D4" w:rsidP="0052495E">
      <w:pPr>
        <w:spacing w:line="240" w:lineRule="auto"/>
        <w:rPr>
          <w:rFonts w:eastAsia="MS Gothic"/>
          <w:b/>
          <w:i/>
        </w:rPr>
      </w:pPr>
      <w:r>
        <w:rPr>
          <w:rFonts w:eastAsia="MS Gothic"/>
          <w:b/>
          <w:bCs/>
          <w:i/>
        </w:rPr>
        <w:br w:type="page"/>
      </w:r>
      <w:r w:rsidR="006B7581" w:rsidRPr="007949E3">
        <w:rPr>
          <w:rFonts w:eastAsia="MS Gothic"/>
          <w:b/>
          <w:i/>
        </w:rPr>
        <w:lastRenderedPageBreak/>
        <w:t>Výrazně vyšší výdaje jdou na léčení nemocí oběhové soustavy u mužů a nemocí svalové a kosterní soustavy u žen</w:t>
      </w:r>
    </w:p>
    <w:p w:rsidR="006B7581" w:rsidRPr="006B7581" w:rsidRDefault="006B7581" w:rsidP="006B7581">
      <w:pPr>
        <w:spacing w:before="120"/>
        <w:jc w:val="both"/>
        <w:rPr>
          <w:szCs w:val="20"/>
        </w:rPr>
      </w:pPr>
      <w:r w:rsidRPr="006B7581">
        <w:rPr>
          <w:szCs w:val="20"/>
        </w:rPr>
        <w:t xml:space="preserve">Graf č. 3.1.6 podává přehled o průměrných výdajích zdravotních pojišťoven podle diagnóz přepočtených na jednoho pojištěnce daného pohlaví. Je zde patrná převaha výdajů na zdravotní péči </w:t>
      </w:r>
      <w:r w:rsidRPr="00E263D4">
        <w:rPr>
          <w:szCs w:val="20"/>
        </w:rPr>
        <w:t>o</w:t>
      </w:r>
      <w:r w:rsidRPr="006B7581">
        <w:rPr>
          <w:b/>
          <w:szCs w:val="20"/>
        </w:rPr>
        <w:t xml:space="preserve"> ženy</w:t>
      </w:r>
      <w:r w:rsidRPr="006B7581">
        <w:rPr>
          <w:szCs w:val="20"/>
        </w:rPr>
        <w:t xml:space="preserve"> u nemocí svalové a kosterní soustavy, ale také u diagnóz ze skupiny </w:t>
      </w:r>
      <w:r w:rsidR="00E263D4">
        <w:rPr>
          <w:szCs w:val="20"/>
        </w:rPr>
        <w:t>f</w:t>
      </w:r>
      <w:r w:rsidRPr="006B7581">
        <w:rPr>
          <w:szCs w:val="20"/>
        </w:rPr>
        <w:t>aktory ovlivňující zdravotní stav.  Také u nemocí močové a pohlavní soustavy a nemocí nervové soustavy jsou průměrné výdaje pojišťoven vyšší u žen než u</w:t>
      </w:r>
      <w:r w:rsidR="00E263D4">
        <w:rPr>
          <w:szCs w:val="20"/>
        </w:rPr>
        <w:t> </w:t>
      </w:r>
      <w:r w:rsidRPr="006B7581">
        <w:rPr>
          <w:szCs w:val="20"/>
        </w:rPr>
        <w:t xml:space="preserve">mužů. </w:t>
      </w:r>
    </w:p>
    <w:p w:rsidR="006B7581" w:rsidRDefault="006B7581" w:rsidP="006B7581">
      <w:pPr>
        <w:spacing w:before="120"/>
        <w:jc w:val="both"/>
        <w:rPr>
          <w:szCs w:val="20"/>
        </w:rPr>
      </w:pPr>
      <w:r w:rsidRPr="006B7581">
        <w:rPr>
          <w:szCs w:val="20"/>
        </w:rPr>
        <w:t>Naopak vyšší výdaje pojišťoven na zdravotní péči o </w:t>
      </w:r>
      <w:r w:rsidRPr="006B7581">
        <w:rPr>
          <w:b/>
          <w:szCs w:val="20"/>
        </w:rPr>
        <w:t xml:space="preserve">muže </w:t>
      </w:r>
      <w:r w:rsidRPr="006B7581">
        <w:rPr>
          <w:szCs w:val="20"/>
        </w:rPr>
        <w:t>jsou zaznamenány u onemocnění oběhové soustavy. I v tomto případě odrážejí průměrné náklady jak četnost onemocnění, která může být pro muže a</w:t>
      </w:r>
      <w:r w:rsidR="00E263D4">
        <w:rPr>
          <w:szCs w:val="20"/>
        </w:rPr>
        <w:t> </w:t>
      </w:r>
      <w:r w:rsidRPr="006B7581">
        <w:rPr>
          <w:szCs w:val="20"/>
        </w:rPr>
        <w:t>ženy různá, tak i nákladnost léčby. Při tom v jedné skupině diagnóz často najdeme diagnózy typické jak pro muže, tak pro ženy, které se svou frekvencí i nákladností léčby mohou velmi lišit.</w:t>
      </w:r>
    </w:p>
    <w:p w:rsidR="00DF4DBA" w:rsidRDefault="006B7581" w:rsidP="00DF4DBA">
      <w:pPr>
        <w:spacing w:before="240"/>
        <w:jc w:val="both"/>
        <w:rPr>
          <w:b/>
          <w:bCs/>
          <w:sz w:val="18"/>
          <w:szCs w:val="18"/>
        </w:rPr>
      </w:pPr>
      <w:r w:rsidRPr="00DF4DBA">
        <w:rPr>
          <w:b/>
          <w:bCs/>
          <w:sz w:val="18"/>
          <w:szCs w:val="18"/>
        </w:rPr>
        <w:t>Graf č. 3.1.6 Výdaje zdrav</w:t>
      </w:r>
      <w:r w:rsidR="0052495E" w:rsidRPr="00DF4DBA">
        <w:rPr>
          <w:b/>
          <w:bCs/>
          <w:sz w:val="18"/>
          <w:szCs w:val="18"/>
        </w:rPr>
        <w:t>otních</w:t>
      </w:r>
      <w:r w:rsidRPr="00DF4DBA">
        <w:rPr>
          <w:b/>
          <w:bCs/>
          <w:sz w:val="18"/>
          <w:szCs w:val="18"/>
        </w:rPr>
        <w:t xml:space="preserve"> pojišťoven na zdravotní péči na 1 pojištěnce v ČR podle pohlaví a diagnóz</w:t>
      </w:r>
      <w:r w:rsidR="00DF4DBA" w:rsidRPr="00DF4DBA">
        <w:rPr>
          <w:b/>
          <w:bCs/>
          <w:sz w:val="18"/>
          <w:szCs w:val="18"/>
        </w:rPr>
        <w:t xml:space="preserve"> </w:t>
      </w:r>
    </w:p>
    <w:p w:rsidR="006B7581" w:rsidRPr="006B7581" w:rsidRDefault="00DF4DBA" w:rsidP="00DF4DBA">
      <w:pPr>
        <w:spacing w:line="240" w:lineRule="auto"/>
        <w:rPr>
          <w:sz w:val="18"/>
          <w:szCs w:val="18"/>
        </w:rPr>
      </w:pPr>
      <w:r w:rsidRPr="00DF4DBA">
        <w:rPr>
          <w:b/>
          <w:bCs/>
          <w:sz w:val="18"/>
          <w:szCs w:val="18"/>
        </w:rPr>
        <w:t>MKN-10</w:t>
      </w:r>
      <w:r w:rsidR="006B7581" w:rsidRPr="00DF4DBA">
        <w:rPr>
          <w:b/>
          <w:bCs/>
          <w:sz w:val="18"/>
          <w:szCs w:val="18"/>
        </w:rPr>
        <w:t xml:space="preserve">, 2015 (Kč) </w:t>
      </w:r>
      <w:r w:rsidR="006B7581" w:rsidRPr="006B7581">
        <w:rPr>
          <w:noProof/>
        </w:rPr>
        <w:drawing>
          <wp:inline distT="0" distB="0" distL="0" distR="0">
            <wp:extent cx="6172200" cy="6153150"/>
            <wp:effectExtent l="0" t="0" r="0" b="0"/>
            <wp:docPr id="29" name="Graf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6B7581" w:rsidRPr="006B7581" w:rsidRDefault="00473469" w:rsidP="006B7581">
      <w:pPr>
        <w:spacing w:before="120" w:line="240" w:lineRule="auto"/>
        <w:jc w:val="right"/>
        <w:rPr>
          <w:b/>
          <w:i/>
          <w:sz w:val="16"/>
          <w:szCs w:val="16"/>
        </w:rPr>
      </w:pPr>
      <w:r>
        <w:rPr>
          <w:b/>
          <w:noProof/>
          <w:sz w:val="18"/>
          <w:szCs w:val="20"/>
        </w:rPr>
        <mc:AlternateContent>
          <mc:Choice Requires="wps">
            <w:drawing>
              <wp:anchor distT="0" distB="0" distL="114300" distR="114300" simplePos="0" relativeHeight="251665920" behindDoc="0" locked="0" layoutInCell="1" allowOverlap="1">
                <wp:simplePos x="0" y="0"/>
                <wp:positionH relativeFrom="column">
                  <wp:posOffset>3689985</wp:posOffset>
                </wp:positionH>
                <wp:positionV relativeFrom="paragraph">
                  <wp:posOffset>3882390</wp:posOffset>
                </wp:positionV>
                <wp:extent cx="466725" cy="276225"/>
                <wp:effectExtent l="0" t="0" r="0" b="0"/>
                <wp:wrapNone/>
                <wp:docPr id="8"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66725" cy="276225"/>
                        </a:xfrm>
                        <a:prstGeom prst="rect">
                          <a:avLst/>
                        </a:prstGeom>
                      </wps:spPr>
                      <wps:txbx>
                        <w:txbxContent>
                          <w:p w:rsidR="00BD2BDC" w:rsidRDefault="00BD2BDC" w:rsidP="006B7581">
                            <w:pPr>
                              <w:pStyle w:val="Normlnweb"/>
                              <w:spacing w:before="0" w:beforeAutospacing="0" w:after="0" w:afterAutospacing="0"/>
                            </w:pPr>
                          </w:p>
                        </w:txbxContent>
                      </wps:txbx>
                      <wps:bodyPr vertOverflow="clip" wrap="square" rtlCol="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17" o:spid="_x0000_s1026" type="#_x0000_t202" style="position:absolute;left:0;text-align:left;margin-left:290.55pt;margin-top:305.7pt;width:36.75pt;height:21.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" filled="f" stroked="f">
                <v:path arrowok="t"/>
                <v:textbox>
                  <w:txbxContent>
                    <w:p w:rsidR="00BD2BDC" w:rsidRDefault="00BD2BDC" w:rsidP="006B7581">
                      <w:pPr>
                        <w:pStyle w:val="Normlnweb"/>
                        <w:spacing w:before="0" w:beforeAutospacing="0" w:after="0" w:afterAutospacing="0"/>
                      </w:pPr>
                    </w:p>
                  </w:txbxContent>
                </v:textbox>
              </v:shape>
            </w:pict>
          </mc:Fallback>
        </mc:AlternateContent>
      </w:r>
      <w:r w:rsidR="006B7581" w:rsidRPr="006B7581">
        <w:rPr>
          <w:b/>
          <w:i/>
          <w:sz w:val="16"/>
          <w:szCs w:val="16"/>
        </w:rPr>
        <w:t xml:space="preserve">Zdroj: ČSÚ 2017, Zdravotnické účty ČR 2010 - 2015 </w:t>
      </w:r>
    </w:p>
    <w:p w:rsidR="00E263D4" w:rsidRDefault="00E263D4">
      <w:pPr>
        <w:spacing w:line="240" w:lineRule="auto"/>
        <w:rPr>
          <w:rFonts w:eastAsia="MS Gothic"/>
          <w:b/>
          <w:bCs/>
          <w:i/>
        </w:rPr>
      </w:pPr>
      <w:r>
        <w:rPr>
          <w:rFonts w:eastAsia="MS Gothic"/>
          <w:b/>
          <w:bCs/>
          <w:i/>
        </w:rPr>
        <w:br w:type="page"/>
      </w:r>
    </w:p>
    <w:p w:rsidR="006B7581" w:rsidRPr="007949E3" w:rsidRDefault="006B7581" w:rsidP="007949E3">
      <w:pPr>
        <w:spacing w:before="240" w:after="120"/>
        <w:rPr>
          <w:rFonts w:eastAsia="MS Gothic"/>
          <w:b/>
          <w:i/>
        </w:rPr>
      </w:pPr>
      <w:r w:rsidRPr="007949E3">
        <w:rPr>
          <w:rFonts w:eastAsia="MS Gothic"/>
          <w:b/>
          <w:i/>
        </w:rPr>
        <w:lastRenderedPageBreak/>
        <w:t>Nejvíce peněz vydaly zdravotní pojišťovny na péči o muže ve věku 65 až 69 let</w:t>
      </w:r>
    </w:p>
    <w:p w:rsidR="006B7581" w:rsidRPr="006B7581" w:rsidRDefault="00E263D4" w:rsidP="006B7581">
      <w:pPr>
        <w:keepNext/>
        <w:spacing w:before="120"/>
        <w:jc w:val="both"/>
      </w:pPr>
      <w:r>
        <w:t>Následující část je zaměřena</w:t>
      </w:r>
      <w:r w:rsidR="006B7581" w:rsidRPr="006B7581">
        <w:t xml:space="preserve"> na výdaje pojišťoven na zdravotní péči členěné</w:t>
      </w:r>
      <w:r w:rsidR="006B7581" w:rsidRPr="006B7581">
        <w:rPr>
          <w:b/>
        </w:rPr>
        <w:t xml:space="preserve"> podle věku </w:t>
      </w:r>
      <w:r w:rsidR="006B7581" w:rsidRPr="006B7581">
        <w:t>a</w:t>
      </w:r>
      <w:r w:rsidR="006B7581" w:rsidRPr="006B7581">
        <w:rPr>
          <w:b/>
        </w:rPr>
        <w:t xml:space="preserve"> pohlaví pojištěnců</w:t>
      </w:r>
      <w:r w:rsidR="006B7581" w:rsidRPr="006B7581">
        <w:t>, na které byla tato péče vykázána. Každá věková skupina má odlišný počet pojištěnců, který</w:t>
      </w:r>
      <w:r>
        <w:t> </w:t>
      </w:r>
      <w:r w:rsidR="006B7581" w:rsidRPr="006B7581">
        <w:t>přímo úměrně ovlivňuje výši celkových vynaložených výdajů. Při vyčíslení výdajů na jednoho pojištěnce se ukazuje jako potřebné vzít v úvahu i věk pojištěnce, protože v různém věku se stejná nemoc může projevovat různě, mít odlišnou délkou léčení, specifické komplikace, odlišný průběh a tudíž rozdílné náklady.</w:t>
      </w:r>
    </w:p>
    <w:p w:rsidR="006B7581" w:rsidRPr="006B7581" w:rsidRDefault="006B7581" w:rsidP="006B7581">
      <w:pPr>
        <w:keepNext/>
        <w:spacing w:before="120"/>
        <w:jc w:val="both"/>
      </w:pPr>
      <w:r w:rsidRPr="006B7581">
        <w:t>Velmi zajímavé je také srovnání výdajů na zdravotní péči podle toho, zda byla poskytnuta mužům nebo ženám. Ženy se obecně dožívají vyššího věku než muži, ve věku nad 85 let tvoří 70 % populace ČR, což</w:t>
      </w:r>
      <w:r w:rsidR="00E263D4">
        <w:t> </w:t>
      </w:r>
      <w:r w:rsidRPr="006B7581">
        <w:t>je</w:t>
      </w:r>
      <w:r w:rsidR="00E263D4">
        <w:t> </w:t>
      </w:r>
      <w:r w:rsidRPr="006B7581">
        <w:t xml:space="preserve">jedním z důvodů, proč je uvedená struktura výdajů dle věku a pohlaví odlišná. </w:t>
      </w:r>
    </w:p>
    <w:p w:rsidR="006B7581" w:rsidRPr="006B7581" w:rsidRDefault="006B7581" w:rsidP="00E263D4">
      <w:pPr>
        <w:keepNext/>
        <w:spacing w:before="120"/>
        <w:jc w:val="both"/>
      </w:pPr>
      <w:r w:rsidRPr="006B7581">
        <w:t>Z celkových výdajů zdravotních pojišťoven na zdravotní péči připadalo každoročně zhruba 47 % na péči o muže a 53 % na péči o ženy. Vyšší výdaje na zdravotní péči o muže než na péči o ženy byly v roce 2015 pojišťovnami evidovány pouze ve věkových skupinách 0</w:t>
      </w:r>
      <w:r w:rsidR="00E263D4">
        <w:t xml:space="preserve"> </w:t>
      </w:r>
      <w:r w:rsidR="00E263D4" w:rsidRPr="006B7581">
        <w:t xml:space="preserve">– </w:t>
      </w:r>
      <w:r w:rsidRPr="006B7581">
        <w:t>14 a 55</w:t>
      </w:r>
      <w:r w:rsidR="00E263D4">
        <w:t xml:space="preserve"> </w:t>
      </w:r>
      <w:r w:rsidR="00E263D4" w:rsidRPr="006B7581">
        <w:t xml:space="preserve">– </w:t>
      </w:r>
      <w:r w:rsidRPr="006B7581">
        <w:t>69 let. Ve všech ostatních věkových skupinách byly vyšší výdaje na zdravotní péči o ženy než o muže. U mužů se nejvyšší částka objevuje ve věkové skupině 65</w:t>
      </w:r>
      <w:r w:rsidR="00E263D4">
        <w:t xml:space="preserve"> </w:t>
      </w:r>
      <w:r w:rsidR="00E263D4" w:rsidRPr="006B7581">
        <w:t xml:space="preserve">– </w:t>
      </w:r>
      <w:r w:rsidRPr="006B7581">
        <w:t>69 let, u žen pak ve věkové skupině 70 – 74 let.</w:t>
      </w:r>
    </w:p>
    <w:p w:rsidR="006B7581" w:rsidRPr="006B7581" w:rsidRDefault="006B7581" w:rsidP="006B7581">
      <w:pPr>
        <w:keepNext/>
        <w:spacing w:before="240" w:after="120" w:line="240" w:lineRule="auto"/>
        <w:jc w:val="both"/>
        <w:rPr>
          <w:b/>
          <w:bCs/>
          <w:sz w:val="18"/>
          <w:szCs w:val="18"/>
        </w:rPr>
      </w:pPr>
      <w:r w:rsidRPr="006B7581">
        <w:rPr>
          <w:b/>
          <w:bCs/>
          <w:sz w:val="18"/>
          <w:szCs w:val="18"/>
        </w:rPr>
        <w:t xml:space="preserve">Tab. </w:t>
      </w:r>
      <w:proofErr w:type="gramStart"/>
      <w:r w:rsidRPr="006B7581">
        <w:rPr>
          <w:b/>
          <w:bCs/>
          <w:sz w:val="18"/>
          <w:szCs w:val="18"/>
        </w:rPr>
        <w:t>č.</w:t>
      </w:r>
      <w:proofErr w:type="gramEnd"/>
      <w:r w:rsidRPr="006B7581">
        <w:rPr>
          <w:b/>
          <w:bCs/>
          <w:sz w:val="18"/>
          <w:szCs w:val="18"/>
        </w:rPr>
        <w:t xml:space="preserve"> 3.1.1 Výdaje zdravotních pojišťoven na zdravotní péči v ČR podle věku a pohlaví, 2010 a 2015 (mil. Kč) </w:t>
      </w:r>
    </w:p>
    <w:tbl>
      <w:tblPr>
        <w:tblStyle w:val="Stednmka3zvraznn2"/>
        <w:tblW w:w="9781" w:type="dxa"/>
        <w:tblInd w:w="108" w:type="dxa"/>
        <w:tblLayout w:type="fixed"/>
        <w:tblLook w:val="04A0" w:firstRow="1" w:lastRow="0" w:firstColumn="1" w:lastColumn="0" w:noHBand="0" w:noVBand="1"/>
      </w:tblPr>
      <w:tblGrid>
        <w:gridCol w:w="1843"/>
        <w:gridCol w:w="1419"/>
        <w:gridCol w:w="1363"/>
        <w:gridCol w:w="1363"/>
        <w:gridCol w:w="1363"/>
        <w:gridCol w:w="1363"/>
        <w:gridCol w:w="1067"/>
      </w:tblGrid>
      <w:tr w:rsidR="006B7581" w:rsidRPr="006B7581" w:rsidTr="001351C9">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vMerge w:val="restart"/>
            <w:vAlign w:val="center"/>
            <w:hideMark/>
          </w:tcPr>
          <w:p w:rsidR="006B7581" w:rsidRPr="006B7581" w:rsidRDefault="006B7581" w:rsidP="001351C9">
            <w:pPr>
              <w:spacing w:line="240" w:lineRule="auto"/>
              <w:jc w:val="center"/>
              <w:rPr>
                <w:rFonts w:cs="Arial"/>
                <w:sz w:val="18"/>
                <w:szCs w:val="18"/>
              </w:rPr>
            </w:pPr>
            <w:r w:rsidRPr="006B7581">
              <w:rPr>
                <w:rFonts w:cs="Arial"/>
                <w:sz w:val="18"/>
                <w:szCs w:val="18"/>
              </w:rPr>
              <w:t>Věková skupina</w:t>
            </w:r>
          </w:p>
        </w:tc>
        <w:tc>
          <w:tcPr>
            <w:tcW w:w="4145" w:type="dxa"/>
            <w:gridSpan w:val="3"/>
            <w:noWrap/>
            <w:vAlign w:val="center"/>
            <w:hideMark/>
          </w:tcPr>
          <w:p w:rsidR="006B7581" w:rsidRPr="006B7581" w:rsidRDefault="006B7581" w:rsidP="001351C9">
            <w:pPr>
              <w:spacing w:line="240" w:lineRule="auto"/>
              <w:jc w:val="center"/>
              <w:cnfStyle w:val="100000000000" w:firstRow="1" w:lastRow="0" w:firstColumn="0" w:lastColumn="0" w:oddVBand="0" w:evenVBand="0" w:oddHBand="0" w:evenHBand="0" w:firstRowFirstColumn="0" w:firstRowLastColumn="0" w:lastRowFirstColumn="0" w:lastRowLastColumn="0"/>
              <w:rPr>
                <w:rFonts w:cs="Arial"/>
                <w:b w:val="0"/>
                <w:bCs w:val="0"/>
                <w:sz w:val="18"/>
                <w:szCs w:val="18"/>
              </w:rPr>
            </w:pPr>
            <w:r w:rsidRPr="006B7581">
              <w:rPr>
                <w:rFonts w:cs="Arial"/>
                <w:sz w:val="18"/>
                <w:szCs w:val="18"/>
              </w:rPr>
              <w:t>2010</w:t>
            </w:r>
          </w:p>
        </w:tc>
        <w:tc>
          <w:tcPr>
            <w:tcW w:w="3793" w:type="dxa"/>
            <w:gridSpan w:val="3"/>
            <w:noWrap/>
            <w:vAlign w:val="center"/>
            <w:hideMark/>
          </w:tcPr>
          <w:p w:rsidR="006B7581" w:rsidRPr="006B7581" w:rsidRDefault="006B7581" w:rsidP="001351C9">
            <w:pPr>
              <w:spacing w:line="240" w:lineRule="auto"/>
              <w:jc w:val="center"/>
              <w:cnfStyle w:val="100000000000" w:firstRow="1" w:lastRow="0" w:firstColumn="0" w:lastColumn="0" w:oddVBand="0" w:evenVBand="0" w:oddHBand="0" w:evenHBand="0" w:firstRowFirstColumn="0" w:firstRowLastColumn="0" w:lastRowFirstColumn="0" w:lastRowLastColumn="0"/>
              <w:rPr>
                <w:rFonts w:cs="Arial"/>
                <w:b w:val="0"/>
                <w:bCs w:val="0"/>
                <w:sz w:val="18"/>
                <w:szCs w:val="18"/>
              </w:rPr>
            </w:pPr>
            <w:r w:rsidRPr="006B7581">
              <w:rPr>
                <w:rFonts w:cs="Arial"/>
                <w:sz w:val="18"/>
                <w:szCs w:val="18"/>
              </w:rPr>
              <w:t>2015</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vMerge/>
            <w:hideMark/>
          </w:tcPr>
          <w:p w:rsidR="006B7581" w:rsidRPr="006B7581" w:rsidRDefault="006B7581" w:rsidP="001351C9">
            <w:pPr>
              <w:spacing w:line="240" w:lineRule="auto"/>
              <w:rPr>
                <w:rFonts w:cs="Arial"/>
                <w:color w:val="000000"/>
                <w:sz w:val="18"/>
                <w:szCs w:val="18"/>
              </w:rPr>
            </w:pPr>
          </w:p>
        </w:tc>
        <w:tc>
          <w:tcPr>
            <w:tcW w:w="1419"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Muži</w:t>
            </w:r>
          </w:p>
        </w:tc>
        <w:tc>
          <w:tcPr>
            <w:tcW w:w="1363"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Ženy</w:t>
            </w:r>
          </w:p>
        </w:tc>
        <w:tc>
          <w:tcPr>
            <w:tcW w:w="1363"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Celkem</w:t>
            </w:r>
          </w:p>
        </w:tc>
        <w:tc>
          <w:tcPr>
            <w:tcW w:w="1363"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Muži</w:t>
            </w:r>
          </w:p>
        </w:tc>
        <w:tc>
          <w:tcPr>
            <w:tcW w:w="1363"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Ženy</w:t>
            </w:r>
          </w:p>
        </w:tc>
        <w:tc>
          <w:tcPr>
            <w:tcW w:w="1067" w:type="dxa"/>
            <w:noWrap/>
            <w:vAlign w:val="center"/>
            <w:hideMark/>
          </w:tcPr>
          <w:p w:rsidR="006B7581" w:rsidRPr="006B7581" w:rsidRDefault="006B7581"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Celkem</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Do 4 let</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5 256</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4 072</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9 327</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5 453</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4 523</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9 976</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5-9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2 716</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2 188</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4 903</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2 980</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2 400</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5 380</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10-14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2 584</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2 627</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5 210</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2 526</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2 404</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4 931</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15-19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2 964</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3 385</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6 348</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2 419</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2 756</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5 176</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20-24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2 831</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3 673</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6 503</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2 602</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3 360</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5 963</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25-29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3 503</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5 446</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8 948</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3 193</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4 904</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8 097</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30-34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4 650</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7 589</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12 238</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3 784</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5 809</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9 593</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35-39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4 780</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5 975</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10 754</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5 319</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6 921</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12 240</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40-44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5 368</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5 759</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11 126</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5 809</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6 825</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12 634</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45-49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5 499</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6 229</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11 727</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5 722</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6 456</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12 177</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50-54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8 201</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8 664</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16 864</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7 162</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7 485</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14 647</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55-59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10 631</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10 095</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20 725</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9 294</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8 775</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18 069</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60-64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13 828</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11 523</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25 350</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12 950</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11 347</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24 297</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65-69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11 282</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11 942</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23 223</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14 882</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10 376</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25 258</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70-74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8 650</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10 182</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18 831</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10 148</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12 546</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22 693</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75-79</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7 730</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9 707</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17 436</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7 976</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9 724</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17 700</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80-84</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5 092</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8 071</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13 162</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5 488</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8 626</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14 114</w:t>
            </w:r>
          </w:p>
        </w:tc>
      </w:tr>
      <w:tr w:rsidR="006B7581"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85+</w:t>
            </w:r>
          </w:p>
        </w:tc>
        <w:tc>
          <w:tcPr>
            <w:tcW w:w="1419"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2 772</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6 435</w:t>
            </w:r>
          </w:p>
        </w:tc>
        <w:tc>
          <w:tcPr>
            <w:tcW w:w="1363" w:type="dxa"/>
            <w:noWrap/>
            <w:vAlign w:val="center"/>
            <w:hideMark/>
          </w:tcPr>
          <w:p w:rsidR="006B7581" w:rsidRPr="006B7581" w:rsidRDefault="006B7581" w:rsidP="001351C9">
            <w:pPr>
              <w:spacing w:line="240" w:lineRule="auto"/>
              <w:ind w:left="57"/>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9 206</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3 514</w:t>
            </w:r>
          </w:p>
        </w:tc>
        <w:tc>
          <w:tcPr>
            <w:tcW w:w="1363"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8 247</w:t>
            </w:r>
          </w:p>
        </w:tc>
        <w:tc>
          <w:tcPr>
            <w:tcW w:w="1067" w:type="dxa"/>
            <w:noWrap/>
            <w:vAlign w:val="center"/>
          </w:tcPr>
          <w:p w:rsidR="006B7581" w:rsidRPr="006B7581" w:rsidRDefault="006B7581"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11 760</w:t>
            </w:r>
          </w:p>
        </w:tc>
      </w:tr>
      <w:tr w:rsidR="006B7581"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43" w:type="dxa"/>
            <w:noWrap/>
            <w:vAlign w:val="center"/>
            <w:hideMark/>
          </w:tcPr>
          <w:p w:rsidR="006B7581" w:rsidRPr="006B7581" w:rsidRDefault="006B7581" w:rsidP="001351C9">
            <w:pPr>
              <w:spacing w:line="240" w:lineRule="auto"/>
              <w:rPr>
                <w:rFonts w:cs="Arial"/>
                <w:sz w:val="18"/>
                <w:szCs w:val="18"/>
              </w:rPr>
            </w:pPr>
            <w:r w:rsidRPr="006B7581">
              <w:rPr>
                <w:rFonts w:cs="Arial"/>
                <w:sz w:val="18"/>
                <w:szCs w:val="18"/>
              </w:rPr>
              <w:t>Celkem</w:t>
            </w:r>
          </w:p>
        </w:tc>
        <w:tc>
          <w:tcPr>
            <w:tcW w:w="1419"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108 332</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123 557</w:t>
            </w:r>
          </w:p>
        </w:tc>
        <w:tc>
          <w:tcPr>
            <w:tcW w:w="1363" w:type="dxa"/>
            <w:noWrap/>
            <w:vAlign w:val="center"/>
            <w:hideMark/>
          </w:tcPr>
          <w:p w:rsidR="006B7581" w:rsidRPr="006B7581" w:rsidRDefault="006B7581" w:rsidP="001351C9">
            <w:pPr>
              <w:spacing w:line="240" w:lineRule="auto"/>
              <w:ind w:left="57"/>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231 888</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111 221</w:t>
            </w:r>
          </w:p>
        </w:tc>
        <w:tc>
          <w:tcPr>
            <w:tcW w:w="1363"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123 485</w:t>
            </w:r>
          </w:p>
        </w:tc>
        <w:tc>
          <w:tcPr>
            <w:tcW w:w="1067" w:type="dxa"/>
            <w:noWrap/>
            <w:vAlign w:val="center"/>
          </w:tcPr>
          <w:p w:rsidR="006B7581" w:rsidRPr="006B7581" w:rsidRDefault="006B7581"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234 706</w:t>
            </w:r>
          </w:p>
        </w:tc>
      </w:tr>
    </w:tbl>
    <w:p w:rsidR="006B7581" w:rsidRPr="006B7581" w:rsidRDefault="006B7581" w:rsidP="006B7581">
      <w:pPr>
        <w:spacing w:before="120" w:line="240" w:lineRule="auto"/>
        <w:jc w:val="right"/>
        <w:rPr>
          <w:b/>
          <w:bCs/>
          <w:i/>
          <w:sz w:val="16"/>
          <w:szCs w:val="16"/>
        </w:rPr>
      </w:pPr>
      <w:r w:rsidRPr="006B7581">
        <w:rPr>
          <w:b/>
          <w:bCs/>
          <w:i/>
          <w:sz w:val="16"/>
          <w:szCs w:val="16"/>
        </w:rPr>
        <w:t xml:space="preserve">Zdroj: ČSÚ 2017, Zdravotnické účty ČR 2010 - 2015 </w:t>
      </w:r>
    </w:p>
    <w:p w:rsidR="006B7581" w:rsidRPr="006B7581" w:rsidRDefault="006B7581" w:rsidP="00E263D4">
      <w:pPr>
        <w:spacing w:before="240"/>
        <w:jc w:val="both"/>
      </w:pPr>
      <w:r w:rsidRPr="006B7581">
        <w:t>V porovnání s rokem 2010 se celkové výdaje pojišťoven na zdravotní péči v roce 2015 zvýšily o necelé tři miliardy korun. Největší nárůst výdajů zdravotních pojišťoven na zdravotní péči o muže byl mezi lety 2010 a</w:t>
      </w:r>
      <w:r w:rsidR="00E263D4">
        <w:t> </w:t>
      </w:r>
      <w:r w:rsidRPr="006B7581">
        <w:t xml:space="preserve">2015 zaznamenán ve věkové skupině 85 a více let (55 %) a výdaje na zdravotní péči o ženy se nejvíce zvýšily ve věkové skupině 5 </w:t>
      </w:r>
      <w:r w:rsidR="0087055B" w:rsidRPr="006B7581">
        <w:t>–</w:t>
      </w:r>
      <w:r w:rsidRPr="006B7581">
        <w:t xml:space="preserve"> 9 let (42 %). V těchto skupinách rozlišených dle věku a pohlaví došlo zároveň </w:t>
      </w:r>
      <w:r w:rsidRPr="006B7581">
        <w:lastRenderedPageBreak/>
        <w:t xml:space="preserve">k výraznému nárůstu počtu obyvatel a zároveň se jedná o věkové skupiny, u nichž je vysoká míra nemocnosti. Zvýšení nákladů na zdravotní péči je tedy u těchto skupin osob očekávatelné. </w:t>
      </w:r>
    </w:p>
    <w:p w:rsidR="006B7581" w:rsidRPr="006B7581" w:rsidRDefault="006B7581" w:rsidP="006B7581">
      <w:pPr>
        <w:spacing w:before="120"/>
        <w:jc w:val="both"/>
      </w:pPr>
      <w:r w:rsidRPr="006B7581">
        <w:t>K největšímu poklesu naopak došlo u výdajů na zdravotní péči o muže ve věkové skupině 55</w:t>
      </w:r>
      <w:r w:rsidR="0087055B">
        <w:t xml:space="preserve"> </w:t>
      </w:r>
      <w:r w:rsidR="0087055B" w:rsidRPr="006B7581">
        <w:t>–</w:t>
      </w:r>
      <w:r w:rsidR="0087055B">
        <w:t xml:space="preserve"> </w:t>
      </w:r>
      <w:r w:rsidRPr="006B7581">
        <w:t>59 let (o 7 %) a u výdajů na péči o ženy ve věkové skupině 30</w:t>
      </w:r>
      <w:r w:rsidR="0087055B">
        <w:t xml:space="preserve"> </w:t>
      </w:r>
      <w:r w:rsidR="0087055B" w:rsidRPr="006B7581">
        <w:t>–</w:t>
      </w:r>
      <w:r w:rsidR="0087055B">
        <w:t xml:space="preserve"> </w:t>
      </w:r>
      <w:r w:rsidRPr="006B7581">
        <w:t>34 let (o 18 %), což může být, s ohledem na důvody čerpání zdravotní péče mladými ženami, do jisté míry ovlivněno také poklesem porodnosti v uvedeném období.</w:t>
      </w:r>
    </w:p>
    <w:p w:rsidR="006B7581" w:rsidRPr="006B7581" w:rsidRDefault="006B7581" w:rsidP="001351C9">
      <w:pPr>
        <w:spacing w:line="240" w:lineRule="auto"/>
        <w:rPr>
          <w:b/>
          <w:bCs/>
          <w:sz w:val="18"/>
          <w:szCs w:val="18"/>
        </w:rPr>
      </w:pPr>
      <w:r w:rsidRPr="006B7581">
        <w:rPr>
          <w:b/>
          <w:bCs/>
          <w:sz w:val="18"/>
          <w:szCs w:val="18"/>
        </w:rPr>
        <w:t>Graf č. 3.1.7 Výdaje zdravotních pojišťoven na zdravotní péči v ČR podle věku a pohlaví v roce 2015 (v mil. Kč)</w:t>
      </w:r>
    </w:p>
    <w:p w:rsidR="006B7581" w:rsidRPr="006B7581" w:rsidRDefault="006B7581" w:rsidP="006B7581">
      <w:pPr>
        <w:spacing w:before="240" w:after="120"/>
        <w:rPr>
          <w:b/>
          <w:bCs/>
          <w:sz w:val="18"/>
          <w:szCs w:val="18"/>
        </w:rPr>
      </w:pPr>
      <w:r w:rsidRPr="006B7581">
        <w:rPr>
          <w:noProof/>
        </w:rPr>
        <w:drawing>
          <wp:inline distT="0" distB="0" distL="0" distR="0">
            <wp:extent cx="6124575" cy="3543300"/>
            <wp:effectExtent l="0" t="0" r="0" b="0"/>
            <wp:docPr id="30" name="Graf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6B7581" w:rsidRPr="006B7581" w:rsidRDefault="006B7581" w:rsidP="006B7581">
      <w:pPr>
        <w:spacing w:line="240" w:lineRule="auto"/>
        <w:jc w:val="right"/>
      </w:pPr>
      <w:r w:rsidRPr="006B7581">
        <w:rPr>
          <w:b/>
          <w:i/>
          <w:sz w:val="16"/>
          <w:szCs w:val="16"/>
        </w:rPr>
        <w:t>Zdroj: ČSÚ 2017, Zdravotnické účty ČR 2010 - 2015</w:t>
      </w:r>
      <w:r w:rsidRPr="006B7581">
        <w:rPr>
          <w:i/>
          <w:sz w:val="16"/>
          <w:szCs w:val="16"/>
        </w:rPr>
        <w:t xml:space="preserve"> </w:t>
      </w:r>
    </w:p>
    <w:p w:rsidR="006B7581" w:rsidRPr="007949E3" w:rsidRDefault="006B7581" w:rsidP="007949E3">
      <w:pPr>
        <w:spacing w:before="240" w:after="120"/>
        <w:rPr>
          <w:rFonts w:eastAsia="MS Gothic"/>
          <w:b/>
          <w:i/>
        </w:rPr>
      </w:pPr>
      <w:r w:rsidRPr="007949E3">
        <w:rPr>
          <w:rFonts w:eastAsia="MS Gothic"/>
          <w:b/>
          <w:i/>
        </w:rPr>
        <w:t>Výdaje na léčení žen jsou v průměru o 8 % vyšší než na léčení mužů</w:t>
      </w:r>
    </w:p>
    <w:p w:rsidR="006B7581" w:rsidRPr="006B7581" w:rsidRDefault="006B7581" w:rsidP="006B7581">
      <w:pPr>
        <w:keepNext/>
        <w:spacing w:before="120"/>
        <w:jc w:val="both"/>
        <w:rPr>
          <w:bCs/>
          <w:szCs w:val="17"/>
        </w:rPr>
      </w:pPr>
      <w:r w:rsidRPr="006B7581">
        <w:rPr>
          <w:bCs/>
          <w:szCs w:val="17"/>
        </w:rPr>
        <w:t xml:space="preserve">Pohled očištěný o vliv věkové a pohlavní struktury pojištěnců nám přináší výše </w:t>
      </w:r>
      <w:r w:rsidRPr="006B7581">
        <w:rPr>
          <w:b/>
          <w:bCs/>
          <w:szCs w:val="17"/>
        </w:rPr>
        <w:t>průměrných výdajů zdravotních pojišťoven na zdravotní péči na jednoho pojištěnce podle pohlaví a věku</w:t>
      </w:r>
      <w:r w:rsidRPr="006B7581">
        <w:rPr>
          <w:bCs/>
          <w:szCs w:val="17"/>
        </w:rPr>
        <w:t>.</w:t>
      </w:r>
      <w:r w:rsidRPr="006B7581">
        <w:rPr>
          <w:bCs/>
          <w:szCs w:val="17"/>
          <w:vertAlign w:val="superscript"/>
        </w:rPr>
        <w:footnoteReference w:id="2"/>
      </w:r>
      <w:r w:rsidRPr="006B7581">
        <w:rPr>
          <w:bCs/>
          <w:szCs w:val="17"/>
        </w:rPr>
        <w:t xml:space="preserve"> Obecně lze říci, že výdaje na zdravotní péči rostou spolu s věkem a v jednotlivých věkových skupinách se jejich výše liší i v závislosti na pohlaví. </w:t>
      </w:r>
    </w:p>
    <w:p w:rsidR="006B7581" w:rsidRPr="006B7581" w:rsidRDefault="006B7581" w:rsidP="006B7581">
      <w:pPr>
        <w:keepNext/>
        <w:spacing w:before="120"/>
        <w:jc w:val="both"/>
      </w:pPr>
      <w:r w:rsidRPr="006B7581">
        <w:t>Důvodem je čerpání velmi odlišné zdravotní péče u každé věkové skupiny. Poměrně vysoké výdaje na jednoho pojištěnce jsou vykazovány v nejmladší věkové skupině dětí do 4 let, což je dáno nákladnější péčí o novorozence (každý novorozenec je po porodu hospitalizován), zejména u předčasně narozených dětí. V následujících věkových skupinách až do 34 let se hodnota průměrných ročních výdajů na jednoho pojištěnce pohybuje kolem 9,8 tisíc Kč u mužů a 12,5 tisíc Kč u žen (výdaje na zdravotní péči jsou vyšší u</w:t>
      </w:r>
      <w:r w:rsidR="009E3131">
        <w:t> </w:t>
      </w:r>
      <w:r w:rsidRPr="006B7581">
        <w:t xml:space="preserve">žen než u mužů také z důvodů zajištění péče související s těhotenstvím a porodem). Od 35. roku věku se průměrné výdaje na zdravotní péči zvyšují s narůstajícím věkem. U mladších ročníků obou pohlaví jsou často průměrné výdaje na jednoho pojištěnce v dané věkové skupině ovlivněny nabídkou zdravotních pojišťoven na očkování nebo preventivní programy. </w:t>
      </w:r>
    </w:p>
    <w:p w:rsidR="006B7581" w:rsidRPr="006B7581" w:rsidRDefault="006B7581" w:rsidP="006B7581">
      <w:pPr>
        <w:keepNext/>
        <w:spacing w:before="120"/>
        <w:jc w:val="both"/>
      </w:pPr>
      <w:r w:rsidRPr="006B7581">
        <w:t>Celkově byly v roce 2015 průměrné výdaje zdravotních pojišťoven na jednu pojištěnou ženu (23 326 Kč) o</w:t>
      </w:r>
      <w:r w:rsidR="009E3131">
        <w:t> </w:t>
      </w:r>
      <w:r w:rsidRPr="006B7581">
        <w:t xml:space="preserve">7,6 % vyšší než průměrné výdaje na jednoho pojištěného muže (21 677 Kč). Průměrné výdaje na jednoho pojištěnce zůstaly mezi roky 2010 a 2015 stabilní, </w:t>
      </w:r>
      <w:r w:rsidR="009E3131">
        <w:t xml:space="preserve">výdaje </w:t>
      </w:r>
      <w:r w:rsidRPr="006B7581">
        <w:t xml:space="preserve">na jednoho pojištěnce - muže vzrostly o 1,9 % a na jednu ženu poklesly o 0,5 %. K největšímu nárůstu průměrných výdajů došlo u nejmladší věkové skupiny </w:t>
      </w:r>
      <w:r w:rsidRPr="006B7581">
        <w:lastRenderedPageBreak/>
        <w:t>do</w:t>
      </w:r>
      <w:r w:rsidR="009E3131">
        <w:t> </w:t>
      </w:r>
      <w:r w:rsidRPr="006B7581">
        <w:t>4 let – u dívek o 16,1 % a u chlapců o 8,2 %.  Naopak nejvíce se za toto šestileté období snížily průměrné výdaje u mužů ve věkové skupině 50</w:t>
      </w:r>
      <w:r w:rsidR="009E3131">
        <w:t xml:space="preserve"> </w:t>
      </w:r>
      <w:r w:rsidRPr="006B7581">
        <w:t>–</w:t>
      </w:r>
      <w:r w:rsidR="009E3131">
        <w:t xml:space="preserve"> </w:t>
      </w:r>
      <w:r w:rsidRPr="006B7581">
        <w:t>54 let a 70 – 74 let (o 12 %) a u žen ve věkové skupině 65 – 69 let (o</w:t>
      </w:r>
      <w:r w:rsidR="009E3131">
        <w:t> </w:t>
      </w:r>
      <w:r w:rsidRPr="006B7581">
        <w:t>29 %).</w:t>
      </w:r>
    </w:p>
    <w:p w:rsidR="009E3131" w:rsidRDefault="006B7581" w:rsidP="001351C9">
      <w:pPr>
        <w:keepNext/>
        <w:spacing w:before="120"/>
        <w:jc w:val="both"/>
        <w:rPr>
          <w:b/>
          <w:bCs/>
          <w:sz w:val="18"/>
          <w:szCs w:val="18"/>
        </w:rPr>
      </w:pPr>
      <w:r w:rsidRPr="006B7581">
        <w:t>Vývoj průměrných ročních výdajů zdravotních pojišťoven na zdravotní péči na jednoho pojištěnce podle věku a pohlaví mezi roky 2010 a 2015 přehledně zachycuje následující tabulka č.</w:t>
      </w:r>
      <w:r w:rsidR="009E3131">
        <w:t xml:space="preserve"> </w:t>
      </w:r>
      <w:r w:rsidRPr="006B7581">
        <w:t xml:space="preserve">3.1.2. </w:t>
      </w:r>
    </w:p>
    <w:p w:rsidR="006B7581" w:rsidRDefault="006B7581" w:rsidP="006B7581">
      <w:pPr>
        <w:spacing w:before="240" w:after="120"/>
        <w:rPr>
          <w:b/>
          <w:bCs/>
          <w:sz w:val="18"/>
          <w:szCs w:val="18"/>
        </w:rPr>
      </w:pPr>
      <w:r w:rsidRPr="006B7581">
        <w:rPr>
          <w:b/>
          <w:bCs/>
          <w:sz w:val="18"/>
          <w:szCs w:val="18"/>
        </w:rPr>
        <w:t>Tabulka č. 3.1.2 Porovnání průměrných výdajů zdravotních pojišťoven na zdravotní péči na jednoho pojištěnce podle věku a pohlaví v letech 2010 a 2015 (v Kč)</w:t>
      </w:r>
    </w:p>
    <w:tbl>
      <w:tblPr>
        <w:tblStyle w:val="Stednmka3zvraznn2"/>
        <w:tblpPr w:leftFromText="141" w:rightFromText="141" w:vertAnchor="text" w:horzAnchor="margin" w:tblpY="141"/>
        <w:tblW w:w="9639" w:type="dxa"/>
        <w:tblLayout w:type="fixed"/>
        <w:tblLook w:val="04A0" w:firstRow="1" w:lastRow="0" w:firstColumn="1" w:lastColumn="0" w:noHBand="0" w:noVBand="1"/>
      </w:tblPr>
      <w:tblGrid>
        <w:gridCol w:w="1899"/>
        <w:gridCol w:w="1363"/>
        <w:gridCol w:w="1363"/>
        <w:gridCol w:w="1363"/>
        <w:gridCol w:w="1363"/>
        <w:gridCol w:w="1363"/>
        <w:gridCol w:w="925"/>
      </w:tblGrid>
      <w:tr w:rsidR="001351C9" w:rsidRPr="006B7581" w:rsidTr="001351C9">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vMerge w:val="restart"/>
            <w:vAlign w:val="center"/>
            <w:hideMark/>
          </w:tcPr>
          <w:p w:rsidR="001351C9" w:rsidRPr="006B7581" w:rsidRDefault="001351C9" w:rsidP="001351C9">
            <w:pPr>
              <w:spacing w:line="240" w:lineRule="auto"/>
              <w:jc w:val="center"/>
              <w:rPr>
                <w:rFonts w:cs="Arial"/>
                <w:sz w:val="18"/>
                <w:szCs w:val="18"/>
              </w:rPr>
            </w:pPr>
            <w:r w:rsidRPr="006B7581">
              <w:rPr>
                <w:rFonts w:cs="Arial"/>
                <w:sz w:val="18"/>
                <w:szCs w:val="18"/>
              </w:rPr>
              <w:t>Věková skupina</w:t>
            </w:r>
          </w:p>
        </w:tc>
        <w:tc>
          <w:tcPr>
            <w:tcW w:w="4089" w:type="dxa"/>
            <w:gridSpan w:val="3"/>
            <w:noWrap/>
            <w:vAlign w:val="center"/>
            <w:hideMark/>
          </w:tcPr>
          <w:p w:rsidR="001351C9" w:rsidRPr="006B7581" w:rsidRDefault="001351C9" w:rsidP="001351C9">
            <w:pPr>
              <w:spacing w:line="240" w:lineRule="auto"/>
              <w:jc w:val="center"/>
              <w:cnfStyle w:val="100000000000" w:firstRow="1" w:lastRow="0" w:firstColumn="0" w:lastColumn="0" w:oddVBand="0" w:evenVBand="0" w:oddHBand="0" w:evenHBand="0" w:firstRowFirstColumn="0" w:firstRowLastColumn="0" w:lastRowFirstColumn="0" w:lastRowLastColumn="0"/>
              <w:rPr>
                <w:rFonts w:cs="Arial"/>
                <w:b w:val="0"/>
                <w:bCs w:val="0"/>
                <w:sz w:val="18"/>
                <w:szCs w:val="18"/>
              </w:rPr>
            </w:pPr>
            <w:r w:rsidRPr="006B7581">
              <w:rPr>
                <w:rFonts w:cs="Arial"/>
                <w:sz w:val="18"/>
                <w:szCs w:val="18"/>
              </w:rPr>
              <w:t>2010</w:t>
            </w:r>
          </w:p>
        </w:tc>
        <w:tc>
          <w:tcPr>
            <w:tcW w:w="3651" w:type="dxa"/>
            <w:gridSpan w:val="3"/>
            <w:noWrap/>
            <w:vAlign w:val="center"/>
            <w:hideMark/>
          </w:tcPr>
          <w:p w:rsidR="001351C9" w:rsidRPr="006B7581" w:rsidRDefault="001351C9" w:rsidP="001351C9">
            <w:pPr>
              <w:spacing w:line="240" w:lineRule="auto"/>
              <w:jc w:val="center"/>
              <w:cnfStyle w:val="100000000000" w:firstRow="1" w:lastRow="0" w:firstColumn="0" w:lastColumn="0" w:oddVBand="0" w:evenVBand="0" w:oddHBand="0" w:evenHBand="0" w:firstRowFirstColumn="0" w:firstRowLastColumn="0" w:lastRowFirstColumn="0" w:lastRowLastColumn="0"/>
              <w:rPr>
                <w:rFonts w:cs="Arial"/>
                <w:b w:val="0"/>
                <w:bCs w:val="0"/>
                <w:sz w:val="18"/>
                <w:szCs w:val="18"/>
              </w:rPr>
            </w:pPr>
            <w:r w:rsidRPr="006B7581">
              <w:rPr>
                <w:rFonts w:cs="Arial"/>
                <w:sz w:val="18"/>
                <w:szCs w:val="18"/>
              </w:rPr>
              <w:t>2015</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vMerge/>
            <w:hideMark/>
          </w:tcPr>
          <w:p w:rsidR="001351C9" w:rsidRPr="006B7581" w:rsidRDefault="001351C9" w:rsidP="001351C9">
            <w:pPr>
              <w:spacing w:line="240" w:lineRule="auto"/>
              <w:rPr>
                <w:rFonts w:cs="Arial"/>
                <w:color w:val="000000"/>
                <w:sz w:val="18"/>
                <w:szCs w:val="18"/>
              </w:rPr>
            </w:pPr>
          </w:p>
        </w:tc>
        <w:tc>
          <w:tcPr>
            <w:tcW w:w="1363"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Muži</w:t>
            </w:r>
          </w:p>
        </w:tc>
        <w:tc>
          <w:tcPr>
            <w:tcW w:w="1363"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Ženy</w:t>
            </w:r>
          </w:p>
        </w:tc>
        <w:tc>
          <w:tcPr>
            <w:tcW w:w="1363"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Celkem</w:t>
            </w:r>
          </w:p>
        </w:tc>
        <w:tc>
          <w:tcPr>
            <w:tcW w:w="1363"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Muži</w:t>
            </w:r>
          </w:p>
        </w:tc>
        <w:tc>
          <w:tcPr>
            <w:tcW w:w="1363"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Ženy</w:t>
            </w:r>
          </w:p>
        </w:tc>
        <w:tc>
          <w:tcPr>
            <w:tcW w:w="925" w:type="dxa"/>
            <w:noWrap/>
            <w:vAlign w:val="center"/>
            <w:hideMark/>
          </w:tcPr>
          <w:p w:rsidR="001351C9" w:rsidRPr="006B7581" w:rsidRDefault="001351C9" w:rsidP="001351C9">
            <w:pPr>
              <w:spacing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Celkem</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Do 4 let</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17 666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14 361</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32 027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19 113</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16 672</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35 785</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5-9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11 156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9 514</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20 670</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10 089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8 520</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18 609</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10-14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11 014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11 822</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22 836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10 280</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10 357</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20 637</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15-19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9 667</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11 659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21 326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10 219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12 329</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22 548</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20-24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8 345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11 412</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19 757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8 409</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11 554</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19 963</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25-29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9 618</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15 907</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25 525</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9 271</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15 103</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24 374</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30-34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10 281</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17 854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28 135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10 318</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16 860</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27 178</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35-39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10 922</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14 566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25 488</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11 794</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16 307</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28 101</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40-44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15 088</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17 168</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32 256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13 352</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16 630</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29 982</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45-49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15 761</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18 675</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34 436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16 261</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19 279</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35 540</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50-54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23 815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25 436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49 251</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20 960</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22 598</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43 558</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55-59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28 516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26 057</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54 573</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28 125</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26 195</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54 320</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60-64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39 756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30 036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69 792</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37 220</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30 109</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67 329</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65-69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45 612</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40 172</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85 784</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47 511</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28 332</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75 843</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70-74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54 245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47 241</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101 486</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47 879</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45 525</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93 404</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75-79</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62 624</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50 086</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112 710</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63 113</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51 353</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114 465</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80-84</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65 217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53 670</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118 887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65 115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57 337</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122 452</w:t>
            </w:r>
          </w:p>
        </w:tc>
      </w:tr>
      <w:tr w:rsidR="001351C9" w:rsidRPr="006B7581" w:rsidTr="001351C9">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85+</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68 462</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60 030</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128 492</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65 975</w:t>
            </w:r>
          </w:p>
        </w:tc>
        <w:tc>
          <w:tcPr>
            <w:tcW w:w="1363"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6B7581">
              <w:rPr>
                <w:rFonts w:cs="Arial"/>
                <w:color w:val="000000"/>
                <w:sz w:val="18"/>
                <w:szCs w:val="18"/>
              </w:rPr>
              <w:t>63 088</w:t>
            </w:r>
          </w:p>
        </w:tc>
        <w:tc>
          <w:tcPr>
            <w:tcW w:w="925" w:type="dxa"/>
            <w:noWrap/>
            <w:vAlign w:val="center"/>
          </w:tcPr>
          <w:p w:rsidR="001351C9" w:rsidRPr="006B7581" w:rsidRDefault="001351C9" w:rsidP="001351C9">
            <w:pPr>
              <w:spacing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rPr>
            </w:pPr>
            <w:r w:rsidRPr="006B7581">
              <w:rPr>
                <w:rFonts w:cs="Arial"/>
                <w:sz w:val="18"/>
                <w:szCs w:val="18"/>
              </w:rPr>
              <w:t>129 063</w:t>
            </w:r>
          </w:p>
        </w:tc>
      </w:tr>
      <w:tr w:rsidR="001351C9" w:rsidRPr="006B7581" w:rsidTr="001351C9">
        <w:trPr>
          <w:trHeight w:val="340"/>
        </w:trPr>
        <w:tc>
          <w:tcPr>
            <w:cnfStyle w:val="001000000000" w:firstRow="0" w:lastRow="0" w:firstColumn="1" w:lastColumn="0" w:oddVBand="0" w:evenVBand="0" w:oddHBand="0" w:evenHBand="0" w:firstRowFirstColumn="0" w:firstRowLastColumn="0" w:lastRowFirstColumn="0" w:lastRowLastColumn="0"/>
            <w:tcW w:w="1899" w:type="dxa"/>
            <w:noWrap/>
            <w:vAlign w:val="center"/>
            <w:hideMark/>
          </w:tcPr>
          <w:p w:rsidR="001351C9" w:rsidRPr="006B7581" w:rsidRDefault="001351C9" w:rsidP="001351C9">
            <w:pPr>
              <w:spacing w:line="240" w:lineRule="auto"/>
              <w:rPr>
                <w:rFonts w:cs="Arial"/>
                <w:sz w:val="18"/>
                <w:szCs w:val="18"/>
              </w:rPr>
            </w:pPr>
            <w:r w:rsidRPr="006B7581">
              <w:rPr>
                <w:rFonts w:cs="Arial"/>
                <w:sz w:val="18"/>
                <w:szCs w:val="18"/>
              </w:rPr>
              <w:t>Celkem</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21 267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23 445</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44 712</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21 677</w:t>
            </w:r>
          </w:p>
        </w:tc>
        <w:tc>
          <w:tcPr>
            <w:tcW w:w="1363"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6B7581">
              <w:rPr>
                <w:rFonts w:cs="Arial"/>
                <w:color w:val="000000"/>
                <w:sz w:val="18"/>
                <w:szCs w:val="18"/>
              </w:rPr>
              <w:t>23 326</w:t>
            </w:r>
          </w:p>
        </w:tc>
        <w:tc>
          <w:tcPr>
            <w:tcW w:w="925" w:type="dxa"/>
            <w:noWrap/>
            <w:vAlign w:val="center"/>
          </w:tcPr>
          <w:p w:rsidR="001351C9" w:rsidRPr="006B7581" w:rsidRDefault="001351C9" w:rsidP="001351C9">
            <w:pPr>
              <w:spacing w:line="240" w:lineRule="auto"/>
              <w:jc w:val="right"/>
              <w:cnfStyle w:val="000000000000" w:firstRow="0" w:lastRow="0" w:firstColumn="0" w:lastColumn="0" w:oddVBand="0" w:evenVBand="0" w:oddHBand="0" w:evenHBand="0" w:firstRowFirstColumn="0" w:firstRowLastColumn="0" w:lastRowFirstColumn="0" w:lastRowLastColumn="0"/>
              <w:rPr>
                <w:rFonts w:cs="Arial"/>
                <w:sz w:val="18"/>
                <w:szCs w:val="18"/>
              </w:rPr>
            </w:pPr>
            <w:r w:rsidRPr="006B7581">
              <w:rPr>
                <w:rFonts w:cs="Arial"/>
                <w:sz w:val="18"/>
                <w:szCs w:val="18"/>
              </w:rPr>
              <w:t>45 003</w:t>
            </w:r>
          </w:p>
        </w:tc>
      </w:tr>
    </w:tbl>
    <w:p w:rsidR="001351C9" w:rsidRPr="006B7581" w:rsidRDefault="001351C9" w:rsidP="001351C9">
      <w:pPr>
        <w:spacing w:before="120" w:line="240" w:lineRule="auto"/>
        <w:jc w:val="right"/>
        <w:rPr>
          <w:b/>
          <w:bCs/>
          <w:i/>
          <w:sz w:val="16"/>
          <w:szCs w:val="16"/>
        </w:rPr>
      </w:pPr>
      <w:r w:rsidRPr="006B7581">
        <w:rPr>
          <w:b/>
          <w:bCs/>
          <w:i/>
          <w:sz w:val="16"/>
          <w:szCs w:val="16"/>
        </w:rPr>
        <w:t xml:space="preserve">Zdroj: ČSÚ 2017, Zdravotnické účty ČR 2010 - 2015 </w:t>
      </w:r>
    </w:p>
    <w:p w:rsidR="001351C9" w:rsidRDefault="001351C9">
      <w:pPr>
        <w:spacing w:line="240" w:lineRule="auto"/>
        <w:rPr>
          <w:rFonts w:eastAsia="MS Gothic"/>
          <w:b/>
          <w:bCs/>
          <w:color w:val="BC091B"/>
          <w:sz w:val="28"/>
          <w:szCs w:val="26"/>
        </w:rPr>
      </w:pPr>
      <w:bookmarkStart w:id="5" w:name="_Toc127174559"/>
      <w:bookmarkStart w:id="6" w:name="_Toc127757331"/>
      <w:bookmarkStart w:id="7" w:name="_Toc127758621"/>
      <w:bookmarkStart w:id="8" w:name="_Toc130184766"/>
      <w:bookmarkStart w:id="9" w:name="_Toc256065142"/>
      <w:bookmarkStart w:id="10" w:name="_Toc481748792"/>
      <w:bookmarkEnd w:id="5"/>
      <w:bookmarkEnd w:id="6"/>
      <w:bookmarkEnd w:id="7"/>
      <w:bookmarkEnd w:id="8"/>
      <w:bookmarkEnd w:id="9"/>
      <w:bookmarkEnd w:id="10"/>
    </w:p>
    <w:sectPr w:rsidR="001351C9" w:rsidSect="00E71F03">
      <w:headerReference w:type="even" r:id="rId16"/>
      <w:headerReference w:type="default" r:id="rId17"/>
      <w:footerReference w:type="even" r:id="rId18"/>
      <w:footerReference w:type="default" r:id="rId19"/>
      <w:headerReference w:type="first" r:id="rId20"/>
      <w:footerReference w:type="first" r:id="rId21"/>
      <w:pgSz w:w="11906" w:h="16838" w:code="9"/>
      <w:pgMar w:top="1134" w:right="1134" w:bottom="1418" w:left="1134" w:header="680" w:footer="680" w:gutter="0"/>
      <w:pgNumType w:start="17"/>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4300" w:rsidRDefault="001C4300" w:rsidP="00E71A58">
      <w:r>
        <w:separator/>
      </w:r>
    </w:p>
  </w:endnote>
  <w:endnote w:type="continuationSeparator" w:id="0">
    <w:p w:rsidR="001C4300" w:rsidRDefault="001C4300" w:rsidP="00E71A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Tahoma">
    <w:panose1 w:val="020B0604030504040204"/>
    <w:charset w:val="00"/>
    <w:family w:val="swiss"/>
    <w:notTrueType/>
    <w:pitch w:val="variable"/>
    <w:sig w:usb0="00000003" w:usb1="00000000" w:usb2="00000000" w:usb3="00000000" w:csb0="00000001" w:csb1="00000000"/>
  </w:font>
  <w:font w:name="Minion Pro">
    <w:altName w:val="Times New Roman"/>
    <w:charset w:val="00"/>
    <w:family w:val="auto"/>
    <w:pitch w:val="variable"/>
    <w:sig w:usb0="00000001" w:usb1="00000001"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2BDC" w:rsidRDefault="00BD2BDC" w:rsidP="003A6B38">
    <w:pPr>
      <w:pStyle w:val="Zpat"/>
      <w:tabs>
        <w:tab w:val="clear" w:pos="4536"/>
        <w:tab w:val="clear" w:pos="9072"/>
        <w:tab w:val="center" w:pos="4820"/>
        <w:tab w:val="right" w:pos="9639"/>
      </w:tabs>
    </w:pPr>
    <w:r>
      <w:rPr>
        <w:noProof/>
        <w:lang w:eastAsia="cs-CZ"/>
      </w:rPr>
      <w:drawing>
        <wp:anchor distT="0" distB="0" distL="114300" distR="114300" simplePos="0" relativeHeight="251659264" behindDoc="0" locked="0" layoutInCell="1" allowOverlap="1" wp14:anchorId="4960997E" wp14:editId="19ED5C87">
          <wp:simplePos x="0" y="0"/>
          <wp:positionH relativeFrom="column">
            <wp:posOffset>5660390</wp:posOffset>
          </wp:positionH>
          <wp:positionV relativeFrom="paragraph">
            <wp:posOffset>-52070</wp:posOffset>
          </wp:positionV>
          <wp:extent cx="466725" cy="219075"/>
          <wp:effectExtent l="0" t="0" r="9525" b="9525"/>
          <wp:wrapNone/>
          <wp:docPr id="2" name="obrázek 4" descr="Descripti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Description: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6725" cy="219075"/>
                  </a:xfrm>
                  <a:prstGeom prst="rect">
                    <a:avLst/>
                  </a:prstGeom>
                  <a:noFill/>
                </pic:spPr>
              </pic:pic>
            </a:graphicData>
          </a:graphic>
        </wp:anchor>
      </w:drawing>
    </w:r>
    <w:r w:rsidR="00416C0A" w:rsidRPr="005A21E0">
      <w:rPr>
        <w:rFonts w:ascii="Arial" w:hAnsi="Arial" w:cs="Arial"/>
        <w:sz w:val="16"/>
        <w:szCs w:val="16"/>
      </w:rPr>
      <w:fldChar w:fldCharType="begin"/>
    </w:r>
    <w:r w:rsidRPr="005A21E0">
      <w:rPr>
        <w:rFonts w:ascii="Arial" w:hAnsi="Arial" w:cs="Arial"/>
        <w:sz w:val="16"/>
        <w:szCs w:val="16"/>
      </w:rPr>
      <w:instrText>PAGE   \* MERGEFORMAT</w:instrText>
    </w:r>
    <w:r w:rsidR="00416C0A" w:rsidRPr="005A21E0">
      <w:rPr>
        <w:rFonts w:ascii="Arial" w:hAnsi="Arial" w:cs="Arial"/>
        <w:sz w:val="16"/>
        <w:szCs w:val="16"/>
      </w:rPr>
      <w:fldChar w:fldCharType="separate"/>
    </w:r>
    <w:r w:rsidR="00910DA5">
      <w:rPr>
        <w:rFonts w:ascii="Arial" w:hAnsi="Arial" w:cs="Arial"/>
        <w:noProof/>
        <w:sz w:val="16"/>
        <w:szCs w:val="16"/>
      </w:rPr>
      <w:t>18</w:t>
    </w:r>
    <w:r w:rsidR="00416C0A" w:rsidRPr="005A21E0">
      <w:rPr>
        <w:rFonts w:ascii="Arial" w:hAnsi="Arial" w:cs="Arial"/>
        <w:sz w:val="16"/>
        <w:szCs w:val="16"/>
      </w:rPr>
      <w:fldChar w:fldCharType="end"/>
    </w:r>
    <w:r>
      <w:rPr>
        <w:rFonts w:ascii="Arial" w:hAnsi="Arial" w:cs="Arial"/>
        <w:sz w:val="16"/>
        <w:szCs w:val="16"/>
      </w:rPr>
      <w:tab/>
      <w:t>2017</w:t>
    </w:r>
    <w:r>
      <w:tab/>
    </w:r>
    <w: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2BDC" w:rsidRDefault="00BD2BDC" w:rsidP="003A6B38">
    <w:pPr>
      <w:pStyle w:val="Zpat"/>
      <w:tabs>
        <w:tab w:val="clear" w:pos="4536"/>
        <w:tab w:val="clear" w:pos="9072"/>
        <w:tab w:val="left" w:pos="1134"/>
        <w:tab w:val="left" w:pos="1920"/>
        <w:tab w:val="center" w:pos="4820"/>
        <w:tab w:val="right" w:pos="9639"/>
      </w:tabs>
    </w:pPr>
    <w:r>
      <w:rPr>
        <w:noProof/>
        <w:lang w:eastAsia="cs-CZ"/>
      </w:rPr>
      <w:drawing>
        <wp:anchor distT="0" distB="0" distL="114300" distR="114300" simplePos="0" relativeHeight="251656192" behindDoc="0" locked="0" layoutInCell="1" allowOverlap="1" wp14:anchorId="42037425" wp14:editId="198B85C3">
          <wp:simplePos x="0" y="0"/>
          <wp:positionH relativeFrom="column">
            <wp:posOffset>3810</wp:posOffset>
          </wp:positionH>
          <wp:positionV relativeFrom="paragraph">
            <wp:posOffset>90170</wp:posOffset>
          </wp:positionV>
          <wp:extent cx="495300" cy="266700"/>
          <wp:effectExtent l="0" t="0" r="0" b="0"/>
          <wp:wrapNone/>
          <wp:docPr id="1" name="obrázek 3" descr="Descriptio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descr="Description: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95300" cy="266700"/>
                  </a:xfrm>
                  <a:prstGeom prst="rect">
                    <a:avLst/>
                  </a:prstGeom>
                  <a:noFill/>
                </pic:spPr>
              </pic:pic>
            </a:graphicData>
          </a:graphic>
        </wp:anchor>
      </w:drawing>
    </w:r>
    <w:r>
      <w:tab/>
    </w:r>
    <w:r>
      <w:tab/>
    </w:r>
  </w:p>
  <w:p w:rsidR="00BD2BDC" w:rsidRDefault="00BD2BDC" w:rsidP="00EE3E78">
    <w:pPr>
      <w:pStyle w:val="Zpat"/>
      <w:tabs>
        <w:tab w:val="clear" w:pos="4536"/>
        <w:tab w:val="clear" w:pos="9072"/>
        <w:tab w:val="left" w:pos="1134"/>
        <w:tab w:val="left" w:pos="1920"/>
        <w:tab w:val="center" w:pos="4820"/>
        <w:tab w:val="left" w:pos="9495"/>
        <w:tab w:val="right" w:pos="9639"/>
      </w:tabs>
    </w:pPr>
    <w:r>
      <w:rPr>
        <w:rFonts w:ascii="Arial" w:hAnsi="Arial" w:cs="Arial"/>
        <w:sz w:val="16"/>
        <w:szCs w:val="16"/>
      </w:rPr>
      <w:tab/>
    </w:r>
    <w:r>
      <w:rPr>
        <w:rFonts w:ascii="Arial" w:hAnsi="Arial" w:cs="Arial"/>
        <w:sz w:val="16"/>
        <w:szCs w:val="16"/>
      </w:rPr>
      <w:tab/>
    </w:r>
    <w:r>
      <w:rPr>
        <w:rFonts w:ascii="Arial" w:hAnsi="Arial" w:cs="Arial"/>
        <w:sz w:val="16"/>
        <w:szCs w:val="16"/>
      </w:rPr>
      <w:tab/>
      <w:t>2017</w:t>
    </w:r>
    <w:r>
      <w:tab/>
    </w:r>
    <w:r>
      <w:tab/>
    </w:r>
    <w:r w:rsidR="00416C0A" w:rsidRPr="00B6608F">
      <w:rPr>
        <w:rFonts w:ascii="Arial" w:hAnsi="Arial" w:cs="Arial"/>
        <w:sz w:val="16"/>
        <w:szCs w:val="16"/>
      </w:rPr>
      <w:fldChar w:fldCharType="begin"/>
    </w:r>
    <w:r w:rsidRPr="00B6608F">
      <w:rPr>
        <w:rFonts w:ascii="Arial" w:hAnsi="Arial" w:cs="Arial"/>
        <w:sz w:val="16"/>
        <w:szCs w:val="16"/>
      </w:rPr>
      <w:instrText>PAGE   \* MERGEFORMAT</w:instrText>
    </w:r>
    <w:r w:rsidR="00416C0A" w:rsidRPr="00B6608F">
      <w:rPr>
        <w:rFonts w:ascii="Arial" w:hAnsi="Arial" w:cs="Arial"/>
        <w:sz w:val="16"/>
        <w:szCs w:val="16"/>
      </w:rPr>
      <w:fldChar w:fldCharType="separate"/>
    </w:r>
    <w:r w:rsidR="00910DA5">
      <w:rPr>
        <w:rFonts w:ascii="Arial" w:hAnsi="Arial" w:cs="Arial"/>
        <w:noProof/>
        <w:sz w:val="16"/>
        <w:szCs w:val="16"/>
      </w:rPr>
      <w:t>17</w:t>
    </w:r>
    <w:r w:rsidR="00416C0A" w:rsidRPr="00B6608F">
      <w:rPr>
        <w:rFonts w:ascii="Arial" w:hAnsi="Arial" w:cs="Arial"/>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1F03" w:rsidRDefault="00E71F03">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4300" w:rsidRDefault="001C4300" w:rsidP="00E71A58">
      <w:r>
        <w:separator/>
      </w:r>
    </w:p>
  </w:footnote>
  <w:footnote w:type="continuationSeparator" w:id="0">
    <w:p w:rsidR="001C4300" w:rsidRDefault="001C4300" w:rsidP="00E71A58">
      <w:r>
        <w:continuationSeparator/>
      </w:r>
    </w:p>
  </w:footnote>
  <w:footnote w:id="1">
    <w:p w:rsidR="00BD2BDC" w:rsidRDefault="00BD2BDC" w:rsidP="006B7581">
      <w:pPr>
        <w:pStyle w:val="Textpoznpodarou"/>
      </w:pPr>
      <w:r w:rsidRPr="00991FEF">
        <w:rPr>
          <w:rStyle w:val="Znakapoznpodarou"/>
        </w:rPr>
        <w:footnoteRef/>
      </w:r>
      <w:r w:rsidRPr="00991FEF">
        <w:t xml:space="preserve"> Nejsou zde samostatně zahrnuty diagnózy z kapitoly - Faktory ovlivňující zdravotní stav a kontakt se zdravotnickými službami, které</w:t>
      </w:r>
      <w:r>
        <w:t> </w:t>
      </w:r>
      <w:r w:rsidRPr="00991FEF">
        <w:t>jsou uvedeny v položce ostatní diagnózy.</w:t>
      </w:r>
    </w:p>
    <w:p w:rsidR="00BD2BDC" w:rsidRDefault="00BD2BDC" w:rsidP="006B7581">
      <w:pPr>
        <w:pStyle w:val="Textpoznpodarou"/>
      </w:pPr>
    </w:p>
  </w:footnote>
  <w:footnote w:id="2">
    <w:p w:rsidR="00BD2BDC" w:rsidRDefault="00BD2BDC" w:rsidP="006B7581">
      <w:pPr>
        <w:pStyle w:val="Textpoznpodarou"/>
      </w:pPr>
      <w:r>
        <w:rPr>
          <w:rStyle w:val="Znakapoznpodarou"/>
        </w:rPr>
        <w:footnoteRef/>
      </w:r>
      <w:r>
        <w:t xml:space="preserve"> </w:t>
      </w:r>
      <w:r w:rsidRPr="00B23596">
        <w:t xml:space="preserve">Tabulka počtu pojištěnců podle věku a pohlaví je uvedena </w:t>
      </w:r>
      <w:r w:rsidRPr="00223335">
        <w:t xml:space="preserve">v příloze (viz tabulka </w:t>
      </w:r>
      <w:proofErr w:type="gramStart"/>
      <w:r w:rsidRPr="00223335">
        <w:t>č.16</w:t>
      </w:r>
      <w:proofErr w:type="gramEnd"/>
      <w: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2BDC" w:rsidRPr="002175EE" w:rsidRDefault="00BD2BDC" w:rsidP="00D67975">
    <w:pPr>
      <w:pStyle w:val="Nadpis1"/>
      <w:rPr>
        <w:b w:val="0"/>
        <w:color w:val="auto"/>
        <w:sz w:val="16"/>
        <w:szCs w:val="16"/>
      </w:rPr>
    </w:pPr>
    <w:r w:rsidRPr="002175EE">
      <w:rPr>
        <w:b w:val="0"/>
        <w:color w:val="auto"/>
        <w:sz w:val="16"/>
        <w:szCs w:val="16"/>
      </w:rPr>
      <w:t>Výs</w:t>
    </w:r>
    <w:r>
      <w:rPr>
        <w:b w:val="0"/>
        <w:color w:val="auto"/>
        <w:sz w:val="16"/>
        <w:szCs w:val="16"/>
      </w:rPr>
      <w:t>ledky zdravotnických účtů ČR 2010–2015</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2BDC" w:rsidRPr="002175EE" w:rsidRDefault="00BD2BDC" w:rsidP="002175EE">
    <w:pPr>
      <w:pStyle w:val="Nadpis1"/>
      <w:rPr>
        <w:b w:val="0"/>
        <w:color w:val="auto"/>
        <w:sz w:val="16"/>
        <w:szCs w:val="16"/>
      </w:rPr>
    </w:pPr>
    <w:r w:rsidRPr="002175EE">
      <w:rPr>
        <w:b w:val="0"/>
        <w:color w:val="auto"/>
        <w:sz w:val="16"/>
        <w:szCs w:val="16"/>
      </w:rPr>
      <w:t xml:space="preserve">Výsledky </w:t>
    </w:r>
    <w:r>
      <w:rPr>
        <w:b w:val="0"/>
        <w:color w:val="auto"/>
        <w:sz w:val="16"/>
        <w:szCs w:val="16"/>
      </w:rPr>
      <w:t>zdravotnických účtů ČR 2010–2015</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1F03" w:rsidRDefault="00E71F03">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E81C21"/>
    <w:multiLevelType w:val="hybridMultilevel"/>
    <w:tmpl w:val="99D61F0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8AF5F6D"/>
    <w:multiLevelType w:val="hybridMultilevel"/>
    <w:tmpl w:val="5824D116"/>
    <w:lvl w:ilvl="0" w:tplc="F9388996">
      <w:start w:val="1"/>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nsid w:val="0BA26586"/>
    <w:multiLevelType w:val="hybridMultilevel"/>
    <w:tmpl w:val="5F2EFD9C"/>
    <w:lvl w:ilvl="0" w:tplc="04050001">
      <w:start w:val="5"/>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2087D8F"/>
    <w:multiLevelType w:val="hybridMultilevel"/>
    <w:tmpl w:val="5DE801E0"/>
    <w:lvl w:ilvl="0" w:tplc="267E35CE">
      <w:start w:val="1"/>
      <w:numFmt w:val="decimal"/>
      <w:lvlText w:val="(%1)"/>
      <w:lvlJc w:val="left"/>
      <w:pPr>
        <w:ind w:left="720" w:hanging="360"/>
      </w:pPr>
      <w:rPr>
        <w:rFonts w:hint="default"/>
        <w:b/>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4DB521B"/>
    <w:multiLevelType w:val="hybridMultilevel"/>
    <w:tmpl w:val="2DC43A6C"/>
    <w:lvl w:ilvl="0" w:tplc="0405000B">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1D9632BB"/>
    <w:multiLevelType w:val="hybridMultilevel"/>
    <w:tmpl w:val="29F85DA0"/>
    <w:lvl w:ilvl="0" w:tplc="04050017">
      <w:start w:val="1"/>
      <w:numFmt w:val="lowerLetter"/>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6">
    <w:nsid w:val="1FFD6DEF"/>
    <w:multiLevelType w:val="multilevel"/>
    <w:tmpl w:val="58CE67C4"/>
    <w:lvl w:ilvl="0">
      <w:start w:val="1"/>
      <w:numFmt w:val="decimal"/>
      <w:lvlText w:val="%1."/>
      <w:lvlJc w:val="left"/>
      <w:pPr>
        <w:ind w:left="480" w:hanging="48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7">
    <w:nsid w:val="206C0299"/>
    <w:multiLevelType w:val="hybridMultilevel"/>
    <w:tmpl w:val="B5E0FF56"/>
    <w:lvl w:ilvl="0" w:tplc="C02A922C">
      <w:start w:val="1"/>
      <w:numFmt w:val="bullet"/>
      <w:pStyle w:val="normalnsodrkami"/>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nsid w:val="25666454"/>
    <w:multiLevelType w:val="hybridMultilevel"/>
    <w:tmpl w:val="936055BA"/>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9">
    <w:nsid w:val="28504B67"/>
    <w:multiLevelType w:val="hybridMultilevel"/>
    <w:tmpl w:val="141024E0"/>
    <w:lvl w:ilvl="0" w:tplc="04050017">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nsid w:val="2C8760B6"/>
    <w:multiLevelType w:val="hybridMultilevel"/>
    <w:tmpl w:val="2EF6101A"/>
    <w:lvl w:ilvl="0" w:tplc="04050017">
      <w:start w:val="1"/>
      <w:numFmt w:val="lowerLetter"/>
      <w:lvlText w:val="%1)"/>
      <w:lvlJc w:val="left"/>
      <w:pPr>
        <w:ind w:left="644" w:hanging="360"/>
      </w:pPr>
      <w:rPr>
        <w:rFonts w:hint="default"/>
      </w:rPr>
    </w:lvl>
    <w:lvl w:ilvl="1" w:tplc="04050019" w:tentative="1">
      <w:start w:val="1"/>
      <w:numFmt w:val="lowerLetter"/>
      <w:lvlText w:val="%2."/>
      <w:lvlJc w:val="left"/>
      <w:pPr>
        <w:ind w:left="1364" w:hanging="360"/>
      </w:pPr>
    </w:lvl>
    <w:lvl w:ilvl="2" w:tplc="0405001B" w:tentative="1">
      <w:start w:val="1"/>
      <w:numFmt w:val="lowerRoman"/>
      <w:lvlText w:val="%3."/>
      <w:lvlJc w:val="right"/>
      <w:pPr>
        <w:ind w:left="2084" w:hanging="180"/>
      </w:pPr>
    </w:lvl>
    <w:lvl w:ilvl="3" w:tplc="0405000F" w:tentative="1">
      <w:start w:val="1"/>
      <w:numFmt w:val="decimal"/>
      <w:lvlText w:val="%4."/>
      <w:lvlJc w:val="left"/>
      <w:pPr>
        <w:ind w:left="2804" w:hanging="360"/>
      </w:pPr>
    </w:lvl>
    <w:lvl w:ilvl="4" w:tplc="04050019" w:tentative="1">
      <w:start w:val="1"/>
      <w:numFmt w:val="lowerLetter"/>
      <w:lvlText w:val="%5."/>
      <w:lvlJc w:val="left"/>
      <w:pPr>
        <w:ind w:left="3524" w:hanging="360"/>
      </w:pPr>
    </w:lvl>
    <w:lvl w:ilvl="5" w:tplc="0405001B" w:tentative="1">
      <w:start w:val="1"/>
      <w:numFmt w:val="lowerRoman"/>
      <w:lvlText w:val="%6."/>
      <w:lvlJc w:val="right"/>
      <w:pPr>
        <w:ind w:left="4244" w:hanging="180"/>
      </w:pPr>
    </w:lvl>
    <w:lvl w:ilvl="6" w:tplc="0405000F" w:tentative="1">
      <w:start w:val="1"/>
      <w:numFmt w:val="decimal"/>
      <w:lvlText w:val="%7."/>
      <w:lvlJc w:val="left"/>
      <w:pPr>
        <w:ind w:left="4964" w:hanging="360"/>
      </w:pPr>
    </w:lvl>
    <w:lvl w:ilvl="7" w:tplc="04050019" w:tentative="1">
      <w:start w:val="1"/>
      <w:numFmt w:val="lowerLetter"/>
      <w:lvlText w:val="%8."/>
      <w:lvlJc w:val="left"/>
      <w:pPr>
        <w:ind w:left="5684" w:hanging="360"/>
      </w:pPr>
    </w:lvl>
    <w:lvl w:ilvl="8" w:tplc="0405001B" w:tentative="1">
      <w:start w:val="1"/>
      <w:numFmt w:val="lowerRoman"/>
      <w:lvlText w:val="%9."/>
      <w:lvlJc w:val="right"/>
      <w:pPr>
        <w:ind w:left="6404" w:hanging="180"/>
      </w:pPr>
    </w:lvl>
  </w:abstractNum>
  <w:abstractNum w:abstractNumId="11">
    <w:nsid w:val="2E814446"/>
    <w:multiLevelType w:val="hybridMultilevel"/>
    <w:tmpl w:val="12C803C8"/>
    <w:lvl w:ilvl="0" w:tplc="CD9C6B54">
      <w:start w:val="2"/>
      <w:numFmt w:val="decimal"/>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2F952F38"/>
    <w:multiLevelType w:val="multilevel"/>
    <w:tmpl w:val="7BD287E4"/>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3BD815B2"/>
    <w:multiLevelType w:val="hybridMultilevel"/>
    <w:tmpl w:val="132CDB4A"/>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4">
    <w:nsid w:val="3D0A6F9C"/>
    <w:multiLevelType w:val="hybridMultilevel"/>
    <w:tmpl w:val="5C0CA8E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42322D3E"/>
    <w:multiLevelType w:val="hybridMultilevel"/>
    <w:tmpl w:val="2DA69084"/>
    <w:lvl w:ilvl="0" w:tplc="F9388996">
      <w:start w:val="1"/>
      <w:numFmt w:val="bullet"/>
      <w:lvlText w:val="-"/>
      <w:lvlJc w:val="left"/>
      <w:pPr>
        <w:tabs>
          <w:tab w:val="num" w:pos="765"/>
        </w:tabs>
        <w:ind w:left="765" w:hanging="405"/>
      </w:pPr>
      <w:rPr>
        <w:rFonts w:ascii="Times New Roman" w:eastAsia="Times New Roman" w:hAnsi="Times New Roman" w:cs="Times New Roman" w:hint="default"/>
      </w:rPr>
    </w:lvl>
    <w:lvl w:ilvl="1" w:tplc="F9388996">
      <w:start w:val="1"/>
      <w:numFmt w:val="bullet"/>
      <w:lvlText w:val="-"/>
      <w:lvlJc w:val="left"/>
      <w:pPr>
        <w:tabs>
          <w:tab w:val="num" w:pos="1440"/>
        </w:tabs>
        <w:ind w:left="1440" w:hanging="360"/>
      </w:pPr>
      <w:rPr>
        <w:rFonts w:ascii="Times New Roman" w:eastAsia="Times New Roman" w:hAnsi="Times New Roman" w:cs="Times New Roman"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6">
    <w:nsid w:val="4251525A"/>
    <w:multiLevelType w:val="multilevel"/>
    <w:tmpl w:val="1B6E9F1A"/>
    <w:lvl w:ilvl="0">
      <w:start w:val="2"/>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
    <w:nsid w:val="437647E6"/>
    <w:multiLevelType w:val="hybridMultilevel"/>
    <w:tmpl w:val="7D3E41A0"/>
    <w:lvl w:ilvl="0" w:tplc="F9388996">
      <w:start w:val="1"/>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
    <w:nsid w:val="45645A0C"/>
    <w:multiLevelType w:val="hybridMultilevel"/>
    <w:tmpl w:val="D004DAF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497844F8"/>
    <w:multiLevelType w:val="hybridMultilevel"/>
    <w:tmpl w:val="1C3A2F2C"/>
    <w:lvl w:ilvl="0" w:tplc="04050003">
      <w:start w:val="1"/>
      <w:numFmt w:val="bullet"/>
      <w:lvlText w:val="o"/>
      <w:lvlJc w:val="left"/>
      <w:pPr>
        <w:ind w:left="1440" w:hanging="360"/>
      </w:pPr>
      <w:rPr>
        <w:rFonts w:ascii="Courier New" w:hAnsi="Courier New" w:cs="Courier New"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0">
    <w:nsid w:val="4AFF5011"/>
    <w:multiLevelType w:val="hybridMultilevel"/>
    <w:tmpl w:val="AAAE5906"/>
    <w:lvl w:ilvl="0" w:tplc="BB2899F4">
      <w:start w:val="2"/>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4CC32522"/>
    <w:multiLevelType w:val="hybridMultilevel"/>
    <w:tmpl w:val="7F9C2826"/>
    <w:lvl w:ilvl="0" w:tplc="F9388996">
      <w:start w:val="1"/>
      <w:numFmt w:val="bullet"/>
      <w:lvlText w:val="-"/>
      <w:lvlJc w:val="left"/>
      <w:pPr>
        <w:ind w:left="360" w:hanging="360"/>
      </w:pPr>
      <w:rPr>
        <w:rFonts w:ascii="Times New Roman" w:eastAsia="Times New Roman" w:hAnsi="Times New Roman" w:cs="Times New Roman"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
    <w:nsid w:val="52566727"/>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53854D3E"/>
    <w:multiLevelType w:val="multilevel"/>
    <w:tmpl w:val="C57A87AC"/>
    <w:lvl w:ilvl="0">
      <w:start w:val="2"/>
      <w:numFmt w:val="decimal"/>
      <w:lvlText w:val="%1."/>
      <w:lvlJc w:val="left"/>
      <w:pPr>
        <w:ind w:left="360" w:hanging="360"/>
      </w:pPr>
      <w:rPr>
        <w:rFonts w:hint="default"/>
      </w:rPr>
    </w:lvl>
    <w:lvl w:ilvl="1">
      <w:start w:val="4"/>
      <w:numFmt w:val="decimal"/>
      <w:isLgl/>
      <w:lvlText w:val="%1.%2"/>
      <w:lvlJc w:val="left"/>
      <w:pPr>
        <w:ind w:left="144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3240" w:hanging="1080"/>
      </w:pPr>
      <w:rPr>
        <w:rFonts w:hint="default"/>
      </w:rPr>
    </w:lvl>
    <w:lvl w:ilvl="4">
      <w:start w:val="1"/>
      <w:numFmt w:val="decimal"/>
      <w:isLgl/>
      <w:lvlText w:val="%1.%2.%3.%4.%5"/>
      <w:lvlJc w:val="left"/>
      <w:pPr>
        <w:ind w:left="4320" w:hanging="1440"/>
      </w:pPr>
      <w:rPr>
        <w:rFonts w:hint="default"/>
      </w:rPr>
    </w:lvl>
    <w:lvl w:ilvl="5">
      <w:start w:val="1"/>
      <w:numFmt w:val="decimal"/>
      <w:isLgl/>
      <w:lvlText w:val="%1.%2.%3.%4.%5.%6"/>
      <w:lvlJc w:val="left"/>
      <w:pPr>
        <w:ind w:left="5040" w:hanging="1440"/>
      </w:pPr>
      <w:rPr>
        <w:rFonts w:hint="default"/>
      </w:rPr>
    </w:lvl>
    <w:lvl w:ilvl="6">
      <w:start w:val="1"/>
      <w:numFmt w:val="decimal"/>
      <w:isLgl/>
      <w:lvlText w:val="%1.%2.%3.%4.%5.%6.%7"/>
      <w:lvlJc w:val="left"/>
      <w:pPr>
        <w:ind w:left="6120" w:hanging="1800"/>
      </w:pPr>
      <w:rPr>
        <w:rFonts w:hint="default"/>
      </w:rPr>
    </w:lvl>
    <w:lvl w:ilvl="7">
      <w:start w:val="1"/>
      <w:numFmt w:val="decimal"/>
      <w:isLgl/>
      <w:lvlText w:val="%1.%2.%3.%4.%5.%6.%7.%8"/>
      <w:lvlJc w:val="left"/>
      <w:pPr>
        <w:ind w:left="6840" w:hanging="1800"/>
      </w:pPr>
      <w:rPr>
        <w:rFonts w:hint="default"/>
      </w:rPr>
    </w:lvl>
    <w:lvl w:ilvl="8">
      <w:start w:val="1"/>
      <w:numFmt w:val="decimal"/>
      <w:isLgl/>
      <w:lvlText w:val="%1.%2.%3.%4.%5.%6.%7.%8.%9"/>
      <w:lvlJc w:val="left"/>
      <w:pPr>
        <w:ind w:left="7920" w:hanging="2160"/>
      </w:pPr>
      <w:rPr>
        <w:rFonts w:hint="default"/>
      </w:rPr>
    </w:lvl>
  </w:abstractNum>
  <w:abstractNum w:abstractNumId="24">
    <w:nsid w:val="5B952ED8"/>
    <w:multiLevelType w:val="multilevel"/>
    <w:tmpl w:val="83DAB85A"/>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nsid w:val="63050CCD"/>
    <w:multiLevelType w:val="multilevel"/>
    <w:tmpl w:val="61B826CE"/>
    <w:lvl w:ilvl="0">
      <w:start w:val="2"/>
      <w:numFmt w:val="decimal"/>
      <w:lvlText w:val="%1."/>
      <w:lvlJc w:val="left"/>
      <w:pPr>
        <w:ind w:left="360" w:hanging="360"/>
      </w:pPr>
      <w:rPr>
        <w:rFonts w:hint="default"/>
      </w:rPr>
    </w:lvl>
    <w:lvl w:ilvl="1">
      <w:start w:val="2"/>
      <w:numFmt w:val="decimal"/>
      <w:isLgl/>
      <w:lvlText w:val="%1.%2"/>
      <w:lvlJc w:val="left"/>
      <w:pPr>
        <w:ind w:left="480" w:hanging="360"/>
      </w:pPr>
      <w:rPr>
        <w:rFonts w:hint="default"/>
      </w:rPr>
    </w:lvl>
    <w:lvl w:ilvl="2">
      <w:start w:val="1"/>
      <w:numFmt w:val="decimal"/>
      <w:isLgl/>
      <w:lvlText w:val="%1.%2.%3"/>
      <w:lvlJc w:val="left"/>
      <w:pPr>
        <w:ind w:left="600" w:hanging="36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200" w:hanging="720"/>
      </w:pPr>
      <w:rPr>
        <w:rFonts w:hint="default"/>
      </w:rPr>
    </w:lvl>
    <w:lvl w:ilvl="5">
      <w:start w:val="1"/>
      <w:numFmt w:val="decimal"/>
      <w:isLgl/>
      <w:lvlText w:val="%1.%2.%3.%4.%5.%6"/>
      <w:lvlJc w:val="left"/>
      <w:pPr>
        <w:ind w:left="1680" w:hanging="1080"/>
      </w:pPr>
      <w:rPr>
        <w:rFonts w:hint="default"/>
      </w:rPr>
    </w:lvl>
    <w:lvl w:ilvl="6">
      <w:start w:val="1"/>
      <w:numFmt w:val="decimal"/>
      <w:isLgl/>
      <w:lvlText w:val="%1.%2.%3.%4.%5.%6.%7"/>
      <w:lvlJc w:val="left"/>
      <w:pPr>
        <w:ind w:left="1800" w:hanging="1080"/>
      </w:pPr>
      <w:rPr>
        <w:rFonts w:hint="default"/>
      </w:rPr>
    </w:lvl>
    <w:lvl w:ilvl="7">
      <w:start w:val="1"/>
      <w:numFmt w:val="decimal"/>
      <w:isLgl/>
      <w:lvlText w:val="%1.%2.%3.%4.%5.%6.%7.%8"/>
      <w:lvlJc w:val="left"/>
      <w:pPr>
        <w:ind w:left="1920" w:hanging="1080"/>
      </w:pPr>
      <w:rPr>
        <w:rFonts w:hint="default"/>
      </w:rPr>
    </w:lvl>
    <w:lvl w:ilvl="8">
      <w:start w:val="1"/>
      <w:numFmt w:val="decimal"/>
      <w:isLgl/>
      <w:lvlText w:val="%1.%2.%3.%4.%5.%6.%7.%8.%9"/>
      <w:lvlJc w:val="left"/>
      <w:pPr>
        <w:ind w:left="2400" w:hanging="1440"/>
      </w:pPr>
      <w:rPr>
        <w:rFonts w:hint="default"/>
      </w:rPr>
    </w:lvl>
  </w:abstractNum>
  <w:abstractNum w:abstractNumId="26">
    <w:nsid w:val="6F893287"/>
    <w:multiLevelType w:val="multilevel"/>
    <w:tmpl w:val="418C03A2"/>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73FE39F3"/>
    <w:multiLevelType w:val="hybridMultilevel"/>
    <w:tmpl w:val="405C553E"/>
    <w:lvl w:ilvl="0" w:tplc="04050001">
      <w:start w:val="7"/>
      <w:numFmt w:val="bullet"/>
      <w:lvlText w:val=""/>
      <w:lvlJc w:val="left"/>
      <w:pPr>
        <w:ind w:left="720" w:hanging="360"/>
      </w:pPr>
      <w:rPr>
        <w:rFonts w:ascii="Symbol" w:eastAsia="Times New Roman" w:hAnsi="Symbol"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nsid w:val="76415C6D"/>
    <w:multiLevelType w:val="hybridMultilevel"/>
    <w:tmpl w:val="A598291C"/>
    <w:lvl w:ilvl="0" w:tplc="5F1AC2C0">
      <w:start w:val="1"/>
      <w:numFmt w:val="lowerLetter"/>
      <w:lvlText w:val="%1)"/>
      <w:lvlJc w:val="left"/>
      <w:pPr>
        <w:ind w:left="360" w:hanging="360"/>
      </w:pPr>
      <w:rPr>
        <w:rFonts w:hint="default"/>
        <w:i w:val="0"/>
        <w:sz w:val="20"/>
        <w:szCs w:val="20"/>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
    <w:nsid w:val="7A020001"/>
    <w:multiLevelType w:val="multilevel"/>
    <w:tmpl w:val="4A3A04D4"/>
    <w:lvl w:ilvl="0">
      <w:start w:val="2"/>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nsid w:val="7B762E6D"/>
    <w:multiLevelType w:val="hybridMultilevel"/>
    <w:tmpl w:val="586A2F6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7E571231"/>
    <w:multiLevelType w:val="hybridMultilevel"/>
    <w:tmpl w:val="EF7631D6"/>
    <w:lvl w:ilvl="0" w:tplc="D4C2B7B4">
      <w:start w:val="1"/>
      <w:numFmt w:val="lowerLetter"/>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2">
    <w:nsid w:val="7F9F4163"/>
    <w:multiLevelType w:val="hybridMultilevel"/>
    <w:tmpl w:val="A78ADFC6"/>
    <w:lvl w:ilvl="0" w:tplc="242AA788">
      <w:numFmt w:val="bullet"/>
      <w:lvlText w:val="-"/>
      <w:lvlJc w:val="left"/>
      <w:pPr>
        <w:ind w:left="1788" w:hanging="360"/>
      </w:pPr>
      <w:rPr>
        <w:rFonts w:ascii="Arial" w:eastAsia="Times New Roman" w:hAnsi="Arial" w:cs="Arial" w:hint="default"/>
      </w:rPr>
    </w:lvl>
    <w:lvl w:ilvl="1" w:tplc="04050003" w:tentative="1">
      <w:start w:val="1"/>
      <w:numFmt w:val="bullet"/>
      <w:lvlText w:val="o"/>
      <w:lvlJc w:val="left"/>
      <w:pPr>
        <w:ind w:left="2508" w:hanging="360"/>
      </w:pPr>
      <w:rPr>
        <w:rFonts w:ascii="Courier New" w:hAnsi="Courier New" w:cs="Courier New" w:hint="default"/>
      </w:rPr>
    </w:lvl>
    <w:lvl w:ilvl="2" w:tplc="04050005" w:tentative="1">
      <w:start w:val="1"/>
      <w:numFmt w:val="bullet"/>
      <w:lvlText w:val=""/>
      <w:lvlJc w:val="left"/>
      <w:pPr>
        <w:ind w:left="3228" w:hanging="360"/>
      </w:pPr>
      <w:rPr>
        <w:rFonts w:ascii="Wingdings" w:hAnsi="Wingdings" w:hint="default"/>
      </w:rPr>
    </w:lvl>
    <w:lvl w:ilvl="3" w:tplc="04050001" w:tentative="1">
      <w:start w:val="1"/>
      <w:numFmt w:val="bullet"/>
      <w:lvlText w:val=""/>
      <w:lvlJc w:val="left"/>
      <w:pPr>
        <w:ind w:left="3948" w:hanging="360"/>
      </w:pPr>
      <w:rPr>
        <w:rFonts w:ascii="Symbol" w:hAnsi="Symbol" w:hint="default"/>
      </w:rPr>
    </w:lvl>
    <w:lvl w:ilvl="4" w:tplc="04050003" w:tentative="1">
      <w:start w:val="1"/>
      <w:numFmt w:val="bullet"/>
      <w:lvlText w:val="o"/>
      <w:lvlJc w:val="left"/>
      <w:pPr>
        <w:ind w:left="4668" w:hanging="360"/>
      </w:pPr>
      <w:rPr>
        <w:rFonts w:ascii="Courier New" w:hAnsi="Courier New" w:cs="Courier New" w:hint="default"/>
      </w:rPr>
    </w:lvl>
    <w:lvl w:ilvl="5" w:tplc="04050005" w:tentative="1">
      <w:start w:val="1"/>
      <w:numFmt w:val="bullet"/>
      <w:lvlText w:val=""/>
      <w:lvlJc w:val="left"/>
      <w:pPr>
        <w:ind w:left="5388" w:hanging="360"/>
      </w:pPr>
      <w:rPr>
        <w:rFonts w:ascii="Wingdings" w:hAnsi="Wingdings" w:hint="default"/>
      </w:rPr>
    </w:lvl>
    <w:lvl w:ilvl="6" w:tplc="04050001" w:tentative="1">
      <w:start w:val="1"/>
      <w:numFmt w:val="bullet"/>
      <w:lvlText w:val=""/>
      <w:lvlJc w:val="left"/>
      <w:pPr>
        <w:ind w:left="6108" w:hanging="360"/>
      </w:pPr>
      <w:rPr>
        <w:rFonts w:ascii="Symbol" w:hAnsi="Symbol" w:hint="default"/>
      </w:rPr>
    </w:lvl>
    <w:lvl w:ilvl="7" w:tplc="04050003" w:tentative="1">
      <w:start w:val="1"/>
      <w:numFmt w:val="bullet"/>
      <w:lvlText w:val="o"/>
      <w:lvlJc w:val="left"/>
      <w:pPr>
        <w:ind w:left="6828" w:hanging="360"/>
      </w:pPr>
      <w:rPr>
        <w:rFonts w:ascii="Courier New" w:hAnsi="Courier New" w:cs="Courier New" w:hint="default"/>
      </w:rPr>
    </w:lvl>
    <w:lvl w:ilvl="8" w:tplc="04050005" w:tentative="1">
      <w:start w:val="1"/>
      <w:numFmt w:val="bullet"/>
      <w:lvlText w:val=""/>
      <w:lvlJc w:val="left"/>
      <w:pPr>
        <w:ind w:left="7548" w:hanging="360"/>
      </w:pPr>
      <w:rPr>
        <w:rFonts w:ascii="Wingdings" w:hAnsi="Wingdings" w:hint="default"/>
      </w:rPr>
    </w:lvl>
  </w:abstractNum>
  <w:num w:numId="1">
    <w:abstractNumId w:val="15"/>
  </w:num>
  <w:num w:numId="2">
    <w:abstractNumId w:val="21"/>
  </w:num>
  <w:num w:numId="3">
    <w:abstractNumId w:val="3"/>
  </w:num>
  <w:num w:numId="4">
    <w:abstractNumId w:val="22"/>
  </w:num>
  <w:num w:numId="5">
    <w:abstractNumId w:val="1"/>
  </w:num>
  <w:num w:numId="6">
    <w:abstractNumId w:val="7"/>
  </w:num>
  <w:num w:numId="7">
    <w:abstractNumId w:val="17"/>
  </w:num>
  <w:num w:numId="8">
    <w:abstractNumId w:val="26"/>
  </w:num>
  <w:num w:numId="9">
    <w:abstractNumId w:val="16"/>
  </w:num>
  <w:num w:numId="10">
    <w:abstractNumId w:val="24"/>
  </w:num>
  <w:num w:numId="11">
    <w:abstractNumId w:val="6"/>
  </w:num>
  <w:num w:numId="12">
    <w:abstractNumId w:val="29"/>
  </w:num>
  <w:num w:numId="13">
    <w:abstractNumId w:val="20"/>
  </w:num>
  <w:num w:numId="14">
    <w:abstractNumId w:val="23"/>
  </w:num>
  <w:num w:numId="15">
    <w:abstractNumId w:val="25"/>
  </w:num>
  <w:num w:numId="16">
    <w:abstractNumId w:val="2"/>
  </w:num>
  <w:num w:numId="17">
    <w:abstractNumId w:val="11"/>
  </w:num>
  <w:num w:numId="18">
    <w:abstractNumId w:val="27"/>
  </w:num>
  <w:num w:numId="19">
    <w:abstractNumId w:val="0"/>
  </w:num>
  <w:num w:numId="20">
    <w:abstractNumId w:val="32"/>
  </w:num>
  <w:num w:numId="21">
    <w:abstractNumId w:val="4"/>
  </w:num>
  <w:num w:numId="22">
    <w:abstractNumId w:val="19"/>
  </w:num>
  <w:num w:numId="23">
    <w:abstractNumId w:val="12"/>
  </w:num>
  <w:num w:numId="24">
    <w:abstractNumId w:val="9"/>
  </w:num>
  <w:num w:numId="25">
    <w:abstractNumId w:val="31"/>
  </w:num>
  <w:num w:numId="26">
    <w:abstractNumId w:val="13"/>
  </w:num>
  <w:num w:numId="27">
    <w:abstractNumId w:val="8"/>
  </w:num>
  <w:num w:numId="28">
    <w:abstractNumId w:val="28"/>
  </w:num>
  <w:num w:numId="29">
    <w:abstractNumId w:val="10"/>
  </w:num>
  <w:num w:numId="30">
    <w:abstractNumId w:val="14"/>
  </w:num>
  <w:num w:numId="31">
    <w:abstractNumId w:val="5"/>
  </w:num>
  <w:num w:numId="32">
    <w:abstractNumId w:val="30"/>
  </w:num>
  <w:num w:numId="33">
    <w:abstractNumId w:val="1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attachedTemplate r:id="rId1"/>
  <w:defaultTabStop w:val="708"/>
  <w:hyphenationZone w:val="425"/>
  <w:evenAndOddHeaders/>
  <w:drawingGridHorizontalSpacing w:val="110"/>
  <w:displayHorizontalDrawingGridEvery w:val="2"/>
  <w:characterSpacingControl w:val="doNotCompress"/>
  <w:hdrShapeDefaults>
    <o:shapedefaults v:ext="edit" spidmax="2049">
      <o:colormru v:ext="edit" colors="#ecf4dd,#eaecee,#fcec0a,#fcecdb,#f1daf5"/>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5641"/>
    <w:rsid w:val="0000767A"/>
    <w:rsid w:val="00007BF6"/>
    <w:rsid w:val="00010702"/>
    <w:rsid w:val="0002040C"/>
    <w:rsid w:val="000307D2"/>
    <w:rsid w:val="0004694F"/>
    <w:rsid w:val="00052D0B"/>
    <w:rsid w:val="00062EC5"/>
    <w:rsid w:val="0006345C"/>
    <w:rsid w:val="00074403"/>
    <w:rsid w:val="0007543A"/>
    <w:rsid w:val="00087634"/>
    <w:rsid w:val="000A1183"/>
    <w:rsid w:val="000A2D10"/>
    <w:rsid w:val="000C3408"/>
    <w:rsid w:val="000D0933"/>
    <w:rsid w:val="000D21E1"/>
    <w:rsid w:val="000D5E39"/>
    <w:rsid w:val="000E5DE5"/>
    <w:rsid w:val="00110E3B"/>
    <w:rsid w:val="001149A1"/>
    <w:rsid w:val="00121C92"/>
    <w:rsid w:val="00133BA8"/>
    <w:rsid w:val="001351C9"/>
    <w:rsid w:val="001405FA"/>
    <w:rsid w:val="001425C3"/>
    <w:rsid w:val="00154ED5"/>
    <w:rsid w:val="00162D56"/>
    <w:rsid w:val="00163793"/>
    <w:rsid w:val="001714F2"/>
    <w:rsid w:val="00172311"/>
    <w:rsid w:val="00185010"/>
    <w:rsid w:val="00190B38"/>
    <w:rsid w:val="00193560"/>
    <w:rsid w:val="001A177C"/>
    <w:rsid w:val="001A3B66"/>
    <w:rsid w:val="001A552F"/>
    <w:rsid w:val="001B3110"/>
    <w:rsid w:val="001B61BC"/>
    <w:rsid w:val="001C1D52"/>
    <w:rsid w:val="001C4300"/>
    <w:rsid w:val="001E3731"/>
    <w:rsid w:val="001F4597"/>
    <w:rsid w:val="00210AA5"/>
    <w:rsid w:val="00213C72"/>
    <w:rsid w:val="002175EE"/>
    <w:rsid w:val="0022139E"/>
    <w:rsid w:val="00223335"/>
    <w:rsid w:val="002237C6"/>
    <w:rsid w:val="002252E0"/>
    <w:rsid w:val="002255F6"/>
    <w:rsid w:val="00226272"/>
    <w:rsid w:val="00227AA9"/>
    <w:rsid w:val="00236443"/>
    <w:rsid w:val="002436BA"/>
    <w:rsid w:val="00244A15"/>
    <w:rsid w:val="0024799E"/>
    <w:rsid w:val="00247A40"/>
    <w:rsid w:val="00254100"/>
    <w:rsid w:val="00264C1E"/>
    <w:rsid w:val="00270041"/>
    <w:rsid w:val="0028438F"/>
    <w:rsid w:val="00290B98"/>
    <w:rsid w:val="002A795D"/>
    <w:rsid w:val="002B6C95"/>
    <w:rsid w:val="002C1EDC"/>
    <w:rsid w:val="002C43BD"/>
    <w:rsid w:val="002C757A"/>
    <w:rsid w:val="002E02A1"/>
    <w:rsid w:val="002F59C4"/>
    <w:rsid w:val="00304771"/>
    <w:rsid w:val="00306C5B"/>
    <w:rsid w:val="003209D6"/>
    <w:rsid w:val="00330C8E"/>
    <w:rsid w:val="00341E61"/>
    <w:rsid w:val="00344398"/>
    <w:rsid w:val="00345347"/>
    <w:rsid w:val="0035195A"/>
    <w:rsid w:val="00352ACB"/>
    <w:rsid w:val="00356E1F"/>
    <w:rsid w:val="003657F3"/>
    <w:rsid w:val="00375B3D"/>
    <w:rsid w:val="00385D98"/>
    <w:rsid w:val="00394B23"/>
    <w:rsid w:val="00396A34"/>
    <w:rsid w:val="00397972"/>
    <w:rsid w:val="003A2B4D"/>
    <w:rsid w:val="003A478C"/>
    <w:rsid w:val="003A5525"/>
    <w:rsid w:val="003A6B38"/>
    <w:rsid w:val="003B34FF"/>
    <w:rsid w:val="003B4169"/>
    <w:rsid w:val="003B5A32"/>
    <w:rsid w:val="003B5B99"/>
    <w:rsid w:val="003C627D"/>
    <w:rsid w:val="003C6CC2"/>
    <w:rsid w:val="003E037E"/>
    <w:rsid w:val="003F313C"/>
    <w:rsid w:val="004004F4"/>
    <w:rsid w:val="0040155D"/>
    <w:rsid w:val="00403484"/>
    <w:rsid w:val="00416C0A"/>
    <w:rsid w:val="004242B2"/>
    <w:rsid w:val="00426A61"/>
    <w:rsid w:val="00437DC6"/>
    <w:rsid w:val="00452EBE"/>
    <w:rsid w:val="00470E57"/>
    <w:rsid w:val="00473469"/>
    <w:rsid w:val="00476265"/>
    <w:rsid w:val="0048086F"/>
    <w:rsid w:val="0048139F"/>
    <w:rsid w:val="004859A8"/>
    <w:rsid w:val="004A081C"/>
    <w:rsid w:val="004A77DF"/>
    <w:rsid w:val="004B2C1E"/>
    <w:rsid w:val="004B55B7"/>
    <w:rsid w:val="004B7591"/>
    <w:rsid w:val="004C3867"/>
    <w:rsid w:val="004C4ABE"/>
    <w:rsid w:val="004C4CD0"/>
    <w:rsid w:val="004C70DC"/>
    <w:rsid w:val="004D0211"/>
    <w:rsid w:val="004E1007"/>
    <w:rsid w:val="004F06F5"/>
    <w:rsid w:val="004F0E28"/>
    <w:rsid w:val="004F209C"/>
    <w:rsid w:val="004F78C3"/>
    <w:rsid w:val="005108C0"/>
    <w:rsid w:val="00511873"/>
    <w:rsid w:val="00513B7E"/>
    <w:rsid w:val="00514041"/>
    <w:rsid w:val="005221B3"/>
    <w:rsid w:val="0052495E"/>
    <w:rsid w:val="00525137"/>
    <w:rsid w:val="005251DD"/>
    <w:rsid w:val="00532D7D"/>
    <w:rsid w:val="005376AD"/>
    <w:rsid w:val="00542E84"/>
    <w:rsid w:val="00544082"/>
    <w:rsid w:val="005513E1"/>
    <w:rsid w:val="00557A96"/>
    <w:rsid w:val="00572C92"/>
    <w:rsid w:val="00583FFD"/>
    <w:rsid w:val="00586971"/>
    <w:rsid w:val="00593152"/>
    <w:rsid w:val="00593E87"/>
    <w:rsid w:val="005A21E0"/>
    <w:rsid w:val="005A7316"/>
    <w:rsid w:val="005B20AA"/>
    <w:rsid w:val="005C2045"/>
    <w:rsid w:val="005D1BF3"/>
    <w:rsid w:val="005D514D"/>
    <w:rsid w:val="005D5802"/>
    <w:rsid w:val="005E0178"/>
    <w:rsid w:val="005E1DD5"/>
    <w:rsid w:val="005E73F3"/>
    <w:rsid w:val="005F153A"/>
    <w:rsid w:val="006016D1"/>
    <w:rsid w:val="00604307"/>
    <w:rsid w:val="0060487F"/>
    <w:rsid w:val="00624093"/>
    <w:rsid w:val="00625E0F"/>
    <w:rsid w:val="00633AEB"/>
    <w:rsid w:val="00633F6D"/>
    <w:rsid w:val="006352A8"/>
    <w:rsid w:val="00635B35"/>
    <w:rsid w:val="006366C8"/>
    <w:rsid w:val="006404A7"/>
    <w:rsid w:val="006419F8"/>
    <w:rsid w:val="006451E4"/>
    <w:rsid w:val="00645EF8"/>
    <w:rsid w:val="00653860"/>
    <w:rsid w:val="00655906"/>
    <w:rsid w:val="0065667A"/>
    <w:rsid w:val="00657E87"/>
    <w:rsid w:val="006710C9"/>
    <w:rsid w:val="00675DD1"/>
    <w:rsid w:val="00675E37"/>
    <w:rsid w:val="00677696"/>
    <w:rsid w:val="0068260E"/>
    <w:rsid w:val="0069246C"/>
    <w:rsid w:val="006941CE"/>
    <w:rsid w:val="00695BEF"/>
    <w:rsid w:val="00697219"/>
    <w:rsid w:val="006977F6"/>
    <w:rsid w:val="00697A13"/>
    <w:rsid w:val="00697C9B"/>
    <w:rsid w:val="006A109C"/>
    <w:rsid w:val="006A31C8"/>
    <w:rsid w:val="006A420D"/>
    <w:rsid w:val="006B7581"/>
    <w:rsid w:val="006B78D8"/>
    <w:rsid w:val="006C113F"/>
    <w:rsid w:val="006D61F6"/>
    <w:rsid w:val="006E1FDB"/>
    <w:rsid w:val="006E279A"/>
    <w:rsid w:val="006E313B"/>
    <w:rsid w:val="006E5DFC"/>
    <w:rsid w:val="007051F5"/>
    <w:rsid w:val="0070676A"/>
    <w:rsid w:val="007211F5"/>
    <w:rsid w:val="007271FD"/>
    <w:rsid w:val="00730AE8"/>
    <w:rsid w:val="00741493"/>
    <w:rsid w:val="0074736D"/>
    <w:rsid w:val="00750951"/>
    <w:rsid w:val="00752180"/>
    <w:rsid w:val="00755D3A"/>
    <w:rsid w:val="0075757C"/>
    <w:rsid w:val="007609C6"/>
    <w:rsid w:val="00760D36"/>
    <w:rsid w:val="0077264D"/>
    <w:rsid w:val="00776527"/>
    <w:rsid w:val="00784861"/>
    <w:rsid w:val="007949E3"/>
    <w:rsid w:val="007A01BD"/>
    <w:rsid w:val="007A4E4E"/>
    <w:rsid w:val="007A68E8"/>
    <w:rsid w:val="007B47EE"/>
    <w:rsid w:val="007B60D9"/>
    <w:rsid w:val="007D3A47"/>
    <w:rsid w:val="007D6E98"/>
    <w:rsid w:val="007E12CE"/>
    <w:rsid w:val="007E7E61"/>
    <w:rsid w:val="007F6B36"/>
    <w:rsid w:val="00802A57"/>
    <w:rsid w:val="00814887"/>
    <w:rsid w:val="00821FF6"/>
    <w:rsid w:val="0083143E"/>
    <w:rsid w:val="00834FAA"/>
    <w:rsid w:val="0083596D"/>
    <w:rsid w:val="00836086"/>
    <w:rsid w:val="00853E06"/>
    <w:rsid w:val="00857578"/>
    <w:rsid w:val="008605E5"/>
    <w:rsid w:val="00860953"/>
    <w:rsid w:val="008620CA"/>
    <w:rsid w:val="0087055B"/>
    <w:rsid w:val="00876086"/>
    <w:rsid w:val="008877B0"/>
    <w:rsid w:val="008B309A"/>
    <w:rsid w:val="008B7C02"/>
    <w:rsid w:val="008C0E88"/>
    <w:rsid w:val="008D2A16"/>
    <w:rsid w:val="008E31FF"/>
    <w:rsid w:val="008E401B"/>
    <w:rsid w:val="008F60FD"/>
    <w:rsid w:val="009003A8"/>
    <w:rsid w:val="009020FE"/>
    <w:rsid w:val="00902EFF"/>
    <w:rsid w:val="0090382A"/>
    <w:rsid w:val="00910DA5"/>
    <w:rsid w:val="00921F14"/>
    <w:rsid w:val="009233F1"/>
    <w:rsid w:val="009248E3"/>
    <w:rsid w:val="0094427A"/>
    <w:rsid w:val="00944EA6"/>
    <w:rsid w:val="009552B1"/>
    <w:rsid w:val="00972CA2"/>
    <w:rsid w:val="00973454"/>
    <w:rsid w:val="00974923"/>
    <w:rsid w:val="00977E87"/>
    <w:rsid w:val="00991A9E"/>
    <w:rsid w:val="009A23E5"/>
    <w:rsid w:val="009B6FD3"/>
    <w:rsid w:val="009C00F3"/>
    <w:rsid w:val="009C3912"/>
    <w:rsid w:val="009E14B5"/>
    <w:rsid w:val="009E3131"/>
    <w:rsid w:val="009E5300"/>
    <w:rsid w:val="009F30E4"/>
    <w:rsid w:val="00A10D66"/>
    <w:rsid w:val="00A1636E"/>
    <w:rsid w:val="00A202A7"/>
    <w:rsid w:val="00A204CF"/>
    <w:rsid w:val="00A23E43"/>
    <w:rsid w:val="00A33EFD"/>
    <w:rsid w:val="00A34DA0"/>
    <w:rsid w:val="00A35033"/>
    <w:rsid w:val="00A460B2"/>
    <w:rsid w:val="00A46DE0"/>
    <w:rsid w:val="00A52EC2"/>
    <w:rsid w:val="00A5555E"/>
    <w:rsid w:val="00A55FDE"/>
    <w:rsid w:val="00A62CE1"/>
    <w:rsid w:val="00A75E40"/>
    <w:rsid w:val="00A857C0"/>
    <w:rsid w:val="00A902A5"/>
    <w:rsid w:val="00A94AB5"/>
    <w:rsid w:val="00A953D4"/>
    <w:rsid w:val="00AA0168"/>
    <w:rsid w:val="00AA315F"/>
    <w:rsid w:val="00AA3BA1"/>
    <w:rsid w:val="00AA559A"/>
    <w:rsid w:val="00AB2AF1"/>
    <w:rsid w:val="00AB3CE2"/>
    <w:rsid w:val="00AB64E8"/>
    <w:rsid w:val="00AC1752"/>
    <w:rsid w:val="00AC4A24"/>
    <w:rsid w:val="00AD239A"/>
    <w:rsid w:val="00AD306C"/>
    <w:rsid w:val="00AE33C2"/>
    <w:rsid w:val="00AF25EE"/>
    <w:rsid w:val="00B01CAD"/>
    <w:rsid w:val="00B17C49"/>
    <w:rsid w:val="00B17E71"/>
    <w:rsid w:val="00B17FDE"/>
    <w:rsid w:val="00B2098B"/>
    <w:rsid w:val="00B32DDB"/>
    <w:rsid w:val="00B36A65"/>
    <w:rsid w:val="00B40A03"/>
    <w:rsid w:val="00B44676"/>
    <w:rsid w:val="00B448FC"/>
    <w:rsid w:val="00B4643E"/>
    <w:rsid w:val="00B513EB"/>
    <w:rsid w:val="00B551E6"/>
    <w:rsid w:val="00B6608F"/>
    <w:rsid w:val="00B76D1E"/>
    <w:rsid w:val="00B801AF"/>
    <w:rsid w:val="00B80EDA"/>
    <w:rsid w:val="00B81475"/>
    <w:rsid w:val="00B95940"/>
    <w:rsid w:val="00B97BEC"/>
    <w:rsid w:val="00BA0E5F"/>
    <w:rsid w:val="00BA493B"/>
    <w:rsid w:val="00BA4D62"/>
    <w:rsid w:val="00BB2745"/>
    <w:rsid w:val="00BC3543"/>
    <w:rsid w:val="00BC5568"/>
    <w:rsid w:val="00BC66E8"/>
    <w:rsid w:val="00BD2BDC"/>
    <w:rsid w:val="00BD366B"/>
    <w:rsid w:val="00BD6D50"/>
    <w:rsid w:val="00BD7706"/>
    <w:rsid w:val="00BE23F8"/>
    <w:rsid w:val="00C01506"/>
    <w:rsid w:val="00C107E7"/>
    <w:rsid w:val="00C21F94"/>
    <w:rsid w:val="00C3177E"/>
    <w:rsid w:val="00C41EFF"/>
    <w:rsid w:val="00C556F4"/>
    <w:rsid w:val="00C64B75"/>
    <w:rsid w:val="00C80F44"/>
    <w:rsid w:val="00C90CF4"/>
    <w:rsid w:val="00C91D7C"/>
    <w:rsid w:val="00C92654"/>
    <w:rsid w:val="00C93389"/>
    <w:rsid w:val="00C97E34"/>
    <w:rsid w:val="00CA0463"/>
    <w:rsid w:val="00CA24C7"/>
    <w:rsid w:val="00CB7349"/>
    <w:rsid w:val="00CC1931"/>
    <w:rsid w:val="00CC1CC4"/>
    <w:rsid w:val="00CC475C"/>
    <w:rsid w:val="00CD288B"/>
    <w:rsid w:val="00CF51EC"/>
    <w:rsid w:val="00D03693"/>
    <w:rsid w:val="00D040DD"/>
    <w:rsid w:val="00D10241"/>
    <w:rsid w:val="00D15A3E"/>
    <w:rsid w:val="00D30233"/>
    <w:rsid w:val="00D32AAF"/>
    <w:rsid w:val="00D347C8"/>
    <w:rsid w:val="00D51805"/>
    <w:rsid w:val="00D602CE"/>
    <w:rsid w:val="00D60433"/>
    <w:rsid w:val="00D61A47"/>
    <w:rsid w:val="00D67975"/>
    <w:rsid w:val="00D7363A"/>
    <w:rsid w:val="00D842D3"/>
    <w:rsid w:val="00DA3AAF"/>
    <w:rsid w:val="00DA45FF"/>
    <w:rsid w:val="00DB4F3B"/>
    <w:rsid w:val="00DC2E00"/>
    <w:rsid w:val="00DC5B3B"/>
    <w:rsid w:val="00DE2D8F"/>
    <w:rsid w:val="00DE3724"/>
    <w:rsid w:val="00DF00E1"/>
    <w:rsid w:val="00DF4DBA"/>
    <w:rsid w:val="00DF5641"/>
    <w:rsid w:val="00E01C0E"/>
    <w:rsid w:val="00E03893"/>
    <w:rsid w:val="00E04694"/>
    <w:rsid w:val="00E069D1"/>
    <w:rsid w:val="00E22935"/>
    <w:rsid w:val="00E263D4"/>
    <w:rsid w:val="00E2712D"/>
    <w:rsid w:val="00E42B4D"/>
    <w:rsid w:val="00E438DF"/>
    <w:rsid w:val="00E5040E"/>
    <w:rsid w:val="00E55504"/>
    <w:rsid w:val="00E71A58"/>
    <w:rsid w:val="00E71F03"/>
    <w:rsid w:val="00E8493B"/>
    <w:rsid w:val="00E90C72"/>
    <w:rsid w:val="00EA0C68"/>
    <w:rsid w:val="00EB3661"/>
    <w:rsid w:val="00ED286F"/>
    <w:rsid w:val="00EE39DC"/>
    <w:rsid w:val="00EE3E78"/>
    <w:rsid w:val="00EE5A6E"/>
    <w:rsid w:val="00EF1AEF"/>
    <w:rsid w:val="00EF1F5A"/>
    <w:rsid w:val="00EF4D97"/>
    <w:rsid w:val="00F014FF"/>
    <w:rsid w:val="00F02F8E"/>
    <w:rsid w:val="00F03967"/>
    <w:rsid w:val="00F04811"/>
    <w:rsid w:val="00F0488C"/>
    <w:rsid w:val="00F15BEF"/>
    <w:rsid w:val="00F24FAA"/>
    <w:rsid w:val="00F3364D"/>
    <w:rsid w:val="00F41C6D"/>
    <w:rsid w:val="00F6371C"/>
    <w:rsid w:val="00F63DDE"/>
    <w:rsid w:val="00F63FB7"/>
    <w:rsid w:val="00F6458A"/>
    <w:rsid w:val="00F71B42"/>
    <w:rsid w:val="00F73A0C"/>
    <w:rsid w:val="00FC0C8F"/>
    <w:rsid w:val="00FC0E5F"/>
    <w:rsid w:val="00FC1CDE"/>
    <w:rsid w:val="00FC56DE"/>
    <w:rsid w:val="00FD0311"/>
    <w:rsid w:val="00FD778F"/>
    <w:rsid w:val="00FE04DC"/>
    <w:rsid w:val="00FE2F7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ecf4dd,#eaecee,#fcec0a,#fcecdb,#f1daf5"/>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lsdException w:name="Colorful Grid Accent 1" w:semiHidden="0" w:uiPriority="29" w:unhideWhenUsed="0"/>
    <w:lsdException w:name="Light Shading Accent 2" w:semiHidden="0" w:uiPriority="30" w:unhideWhenUsed="0"/>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ln">
    <w:name w:val="Normal"/>
    <w:qFormat/>
    <w:rsid w:val="007B47EE"/>
    <w:pPr>
      <w:spacing w:line="288" w:lineRule="auto"/>
    </w:pPr>
    <w:rPr>
      <w:rFonts w:ascii="Arial" w:eastAsia="Times New Roman" w:hAnsi="Arial"/>
      <w:szCs w:val="24"/>
    </w:rPr>
  </w:style>
  <w:style w:type="paragraph" w:styleId="Nadpis1">
    <w:name w:val="heading 1"/>
    <w:next w:val="Normln"/>
    <w:link w:val="Nadpis1Char"/>
    <w:qFormat/>
    <w:rsid w:val="00BC3543"/>
    <w:pPr>
      <w:keepNext/>
      <w:keepLines/>
      <w:spacing w:after="200" w:line="288" w:lineRule="auto"/>
      <w:outlineLvl w:val="0"/>
    </w:pPr>
    <w:rPr>
      <w:rFonts w:ascii="Arial" w:eastAsia="MS Gothic" w:hAnsi="Arial"/>
      <w:b/>
      <w:bCs/>
      <w:color w:val="BC091B"/>
      <w:sz w:val="32"/>
      <w:szCs w:val="28"/>
    </w:rPr>
  </w:style>
  <w:style w:type="paragraph" w:styleId="Nadpis2">
    <w:name w:val="heading 2"/>
    <w:next w:val="Normln"/>
    <w:link w:val="Nadpis2Char"/>
    <w:qFormat/>
    <w:rsid w:val="00A1636E"/>
    <w:pPr>
      <w:keepNext/>
      <w:keepLines/>
      <w:spacing w:before="120" w:after="240" w:line="288" w:lineRule="auto"/>
      <w:outlineLvl w:val="1"/>
    </w:pPr>
    <w:rPr>
      <w:rFonts w:ascii="Arial" w:eastAsia="MS Gothic" w:hAnsi="Arial"/>
      <w:b/>
      <w:bCs/>
      <w:color w:val="BC091B"/>
      <w:sz w:val="28"/>
      <w:szCs w:val="26"/>
    </w:rPr>
  </w:style>
  <w:style w:type="paragraph" w:styleId="Nadpis3">
    <w:name w:val="heading 3"/>
    <w:next w:val="Normln"/>
    <w:link w:val="Nadpis3Char"/>
    <w:qFormat/>
    <w:rsid w:val="00EE39DC"/>
    <w:pPr>
      <w:keepNext/>
      <w:keepLines/>
      <w:spacing w:before="240" w:after="120" w:line="288" w:lineRule="auto"/>
      <w:outlineLvl w:val="2"/>
    </w:pPr>
    <w:rPr>
      <w:rFonts w:ascii="Arial" w:eastAsia="MS Gothic" w:hAnsi="Arial"/>
      <w:b/>
      <w:bCs/>
      <w:color w:val="BC091B"/>
      <w:sz w:val="24"/>
      <w:szCs w:val="24"/>
    </w:rPr>
  </w:style>
  <w:style w:type="paragraph" w:styleId="Nadpis4">
    <w:name w:val="heading 4"/>
    <w:next w:val="Normln"/>
    <w:link w:val="Nadpis4Char"/>
    <w:qFormat/>
    <w:rsid w:val="005108C0"/>
    <w:pPr>
      <w:keepNext/>
      <w:keepLines/>
      <w:spacing w:line="288" w:lineRule="auto"/>
      <w:outlineLvl w:val="3"/>
    </w:pPr>
    <w:rPr>
      <w:rFonts w:ascii="Arial" w:eastAsia="MS Gothic" w:hAnsi="Arial"/>
      <w:b/>
      <w:bCs/>
      <w:iCs/>
      <w:szCs w:val="24"/>
    </w:rPr>
  </w:style>
  <w:style w:type="paragraph" w:styleId="Nadpis5">
    <w:name w:val="heading 5"/>
    <w:basedOn w:val="Normln"/>
    <w:next w:val="Normln"/>
    <w:link w:val="Nadpis5Char"/>
    <w:qFormat/>
    <w:rsid w:val="00110E3B"/>
    <w:pPr>
      <w:keepNext/>
      <w:spacing w:before="120" w:after="120" w:line="240" w:lineRule="auto"/>
      <w:jc w:val="center"/>
      <w:outlineLvl w:val="4"/>
    </w:pPr>
    <w:rPr>
      <w:b/>
      <w:bCs/>
      <w:sz w:val="16"/>
      <w:szCs w:val="16"/>
    </w:rPr>
  </w:style>
  <w:style w:type="paragraph" w:styleId="Nadpis6">
    <w:name w:val="heading 6"/>
    <w:basedOn w:val="Normln"/>
    <w:next w:val="Normln"/>
    <w:link w:val="Nadpis6Char"/>
    <w:qFormat/>
    <w:rsid w:val="00110E3B"/>
    <w:pPr>
      <w:keepNext/>
      <w:spacing w:before="120" w:after="120" w:line="240" w:lineRule="auto"/>
      <w:jc w:val="both"/>
      <w:outlineLvl w:val="5"/>
    </w:pPr>
    <w:rPr>
      <w:b/>
      <w:bCs/>
      <w:sz w:val="1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rsid w:val="00E71A58"/>
    <w:rPr>
      <w:color w:val="0000FF"/>
      <w:u w:val="single"/>
    </w:rPr>
  </w:style>
  <w:style w:type="paragraph" w:customStyle="1" w:styleId="Styl1">
    <w:name w:val="Styl1"/>
    <w:rsid w:val="00E71A58"/>
    <w:pPr>
      <w:suppressAutoHyphens/>
      <w:autoSpaceDE w:val="0"/>
    </w:pPr>
    <w:rPr>
      <w:rFonts w:ascii="Arial" w:eastAsia="Times New Roman" w:hAnsi="Arial"/>
      <w:sz w:val="24"/>
      <w:szCs w:val="24"/>
      <w:lang w:eastAsia="ar-SA"/>
    </w:rPr>
  </w:style>
  <w:style w:type="paragraph" w:styleId="Zhlav">
    <w:name w:val="header"/>
    <w:basedOn w:val="Normln"/>
    <w:link w:val="ZhlavChar"/>
    <w:unhideWhenUsed/>
    <w:rsid w:val="00E71A58"/>
    <w:pPr>
      <w:tabs>
        <w:tab w:val="center" w:pos="4536"/>
        <w:tab w:val="right" w:pos="9072"/>
      </w:tabs>
    </w:pPr>
    <w:rPr>
      <w:rFonts w:ascii="Calibri" w:eastAsia="Calibri" w:hAnsi="Calibri"/>
      <w:sz w:val="22"/>
      <w:szCs w:val="22"/>
      <w:lang w:eastAsia="en-US"/>
    </w:rPr>
  </w:style>
  <w:style w:type="character" w:customStyle="1" w:styleId="ZhlavChar">
    <w:name w:val="Záhlaví Char"/>
    <w:basedOn w:val="Standardnpsmoodstavce"/>
    <w:link w:val="Zhlav"/>
    <w:rsid w:val="00E71A58"/>
  </w:style>
  <w:style w:type="paragraph" w:styleId="Zpat">
    <w:name w:val="footer"/>
    <w:basedOn w:val="Normln"/>
    <w:link w:val="ZpatChar"/>
    <w:uiPriority w:val="99"/>
    <w:unhideWhenUsed/>
    <w:rsid w:val="00E71A58"/>
    <w:pPr>
      <w:tabs>
        <w:tab w:val="center" w:pos="4536"/>
        <w:tab w:val="right" w:pos="9072"/>
      </w:tabs>
    </w:pPr>
    <w:rPr>
      <w:rFonts w:ascii="Calibri" w:eastAsia="Calibri" w:hAnsi="Calibri"/>
      <w:sz w:val="22"/>
      <w:szCs w:val="22"/>
      <w:lang w:eastAsia="en-US"/>
    </w:rPr>
  </w:style>
  <w:style w:type="character" w:customStyle="1" w:styleId="ZpatChar">
    <w:name w:val="Zápatí Char"/>
    <w:basedOn w:val="Standardnpsmoodstavce"/>
    <w:link w:val="Zpat"/>
    <w:uiPriority w:val="99"/>
    <w:rsid w:val="00E71A58"/>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basedOn w:val="Normln"/>
    <w:link w:val="ZkladnodstavecChar"/>
    <w:uiPriority w:val="99"/>
    <w:rsid w:val="001714F2"/>
    <w:pPr>
      <w:autoSpaceDE w:val="0"/>
      <w:autoSpaceDN w:val="0"/>
      <w:adjustRightInd w:val="0"/>
      <w:textAlignment w:val="center"/>
    </w:pPr>
    <w:rPr>
      <w:rFonts w:ascii="Minion Pro" w:eastAsia="Calibri" w:hAnsi="Minion Pro"/>
      <w:color w:val="000000"/>
      <w:sz w:val="24"/>
    </w:rPr>
  </w:style>
  <w:style w:type="paragraph" w:styleId="Nzev">
    <w:name w:val="Title"/>
    <w:next w:val="Normln"/>
    <w:link w:val="NzevChar"/>
    <w:qFormat/>
    <w:rsid w:val="0048086F"/>
    <w:pPr>
      <w:spacing w:line="288" w:lineRule="auto"/>
      <w:contextualSpacing/>
      <w:outlineLvl w:val="0"/>
    </w:pPr>
    <w:rPr>
      <w:rFonts w:ascii="Arial" w:eastAsia="MS Gothic" w:hAnsi="Arial"/>
      <w:b/>
      <w:caps/>
      <w:color w:val="BC091B"/>
      <w:sz w:val="56"/>
      <w:szCs w:val="52"/>
    </w:rPr>
  </w:style>
  <w:style w:type="character" w:customStyle="1" w:styleId="NzevChar">
    <w:name w:val="Název Char"/>
    <w:link w:val="Nzev"/>
    <w:rsid w:val="0048086F"/>
    <w:rPr>
      <w:rFonts w:ascii="Arial" w:eastAsia="MS Gothic" w:hAnsi="Arial"/>
      <w:b/>
      <w:caps/>
      <w:color w:val="BC091B"/>
      <w:sz w:val="56"/>
      <w:szCs w:val="52"/>
      <w:lang w:bidi="ar-SA"/>
    </w:rPr>
  </w:style>
  <w:style w:type="paragraph" w:styleId="Podtitul">
    <w:name w:val="Subtitle"/>
    <w:next w:val="Normln"/>
    <w:link w:val="PodtitulChar"/>
    <w:uiPriority w:val="11"/>
    <w:qFormat/>
    <w:rsid w:val="00BC3543"/>
    <w:pPr>
      <w:numPr>
        <w:ilvl w:val="1"/>
      </w:numPr>
      <w:spacing w:line="288" w:lineRule="auto"/>
    </w:pPr>
    <w:rPr>
      <w:rFonts w:ascii="Arial" w:eastAsia="MS Gothic" w:hAnsi="Arial"/>
      <w:b/>
      <w:iCs/>
      <w:color w:val="BC091B"/>
      <w:sz w:val="28"/>
      <w:szCs w:val="24"/>
    </w:rPr>
  </w:style>
  <w:style w:type="character" w:customStyle="1" w:styleId="PodtitulChar">
    <w:name w:val="Podtitul Char"/>
    <w:link w:val="Podtitul"/>
    <w:uiPriority w:val="11"/>
    <w:rsid w:val="00BC3543"/>
    <w:rPr>
      <w:rFonts w:ascii="Arial" w:eastAsia="MS Gothic" w:hAnsi="Arial"/>
      <w:b/>
      <w:iCs/>
      <w:color w:val="BC091B"/>
      <w:sz w:val="28"/>
      <w:szCs w:val="24"/>
      <w:lang w:bidi="ar-SA"/>
    </w:rPr>
  </w:style>
  <w:style w:type="character" w:customStyle="1" w:styleId="Nadpis1Char">
    <w:name w:val="Nadpis 1 Char"/>
    <w:link w:val="Nadpis1"/>
    <w:rsid w:val="00BC3543"/>
    <w:rPr>
      <w:rFonts w:ascii="Arial" w:eastAsia="MS Gothic" w:hAnsi="Arial"/>
      <w:b/>
      <w:bCs/>
      <w:color w:val="BC091B"/>
      <w:sz w:val="32"/>
      <w:szCs w:val="28"/>
      <w:lang w:bidi="ar-SA"/>
    </w:rPr>
  </w:style>
  <w:style w:type="character" w:customStyle="1" w:styleId="Nadpis2Char">
    <w:name w:val="Nadpis 2 Char"/>
    <w:link w:val="Nadpis2"/>
    <w:rsid w:val="00A1636E"/>
    <w:rPr>
      <w:rFonts w:ascii="Arial" w:eastAsia="MS Gothic" w:hAnsi="Arial"/>
      <w:b/>
      <w:bCs/>
      <w:color w:val="BC091B"/>
      <w:sz w:val="28"/>
      <w:szCs w:val="26"/>
    </w:rPr>
  </w:style>
  <w:style w:type="character" w:customStyle="1" w:styleId="Nadpis3Char">
    <w:name w:val="Nadpis 3 Char"/>
    <w:link w:val="Nadpis3"/>
    <w:rsid w:val="00EE39DC"/>
    <w:rPr>
      <w:rFonts w:ascii="Arial" w:eastAsia="MS Gothic" w:hAnsi="Arial"/>
      <w:b/>
      <w:bCs/>
      <w:color w:val="BC091B"/>
      <w:sz w:val="24"/>
      <w:szCs w:val="24"/>
    </w:rPr>
  </w:style>
  <w:style w:type="character" w:customStyle="1" w:styleId="Nadpis4Char">
    <w:name w:val="Nadpis 4 Char"/>
    <w:link w:val="Nadpis4"/>
    <w:rsid w:val="005108C0"/>
    <w:rPr>
      <w:rFonts w:ascii="Arial" w:eastAsia="MS Gothic" w:hAnsi="Arial"/>
      <w:b/>
      <w:bCs/>
      <w:iCs/>
      <w:szCs w:val="24"/>
      <w:lang w:bidi="ar-SA"/>
    </w:rPr>
  </w:style>
  <w:style w:type="paragraph" w:customStyle="1" w:styleId="Stednmka21">
    <w:name w:val="Střední mřížka 21"/>
    <w:aliases w:val="Bez zarážky"/>
    <w:link w:val="Stednmka2Char"/>
    <w:uiPriority w:val="1"/>
    <w:qFormat/>
    <w:rsid w:val="008D2A16"/>
    <w:pPr>
      <w:spacing w:line="288" w:lineRule="auto"/>
    </w:pPr>
    <w:rPr>
      <w:rFonts w:ascii="Arial" w:eastAsia="Times New Roman" w:hAnsi="Arial"/>
      <w:szCs w:val="24"/>
    </w:rPr>
  </w:style>
  <w:style w:type="paragraph" w:customStyle="1" w:styleId="Box1">
    <w:name w:val="Box 1"/>
    <w:basedOn w:val="Zkladnodstavec"/>
    <w:next w:val="Normln"/>
    <w:qFormat/>
    <w:rsid w:val="00BC3543"/>
    <w:pPr>
      <w:ind w:left="1134"/>
    </w:pPr>
    <w:rPr>
      <w:rFonts w:ascii="Arial" w:hAnsi="Arial" w:cs="Arial"/>
      <w:color w:val="BC091B"/>
      <w:sz w:val="20"/>
      <w:szCs w:val="20"/>
    </w:rPr>
  </w:style>
  <w:style w:type="paragraph" w:customStyle="1" w:styleId="Box2">
    <w:name w:val="Box 2"/>
    <w:basedOn w:val="Zkladnodstavec"/>
    <w:link w:val="Box2Char"/>
    <w:rsid w:val="00010702"/>
    <w:pPr>
      <w:shd w:val="clear" w:color="auto" w:fill="CCC0D9"/>
      <w:tabs>
        <w:tab w:val="left" w:pos="9638"/>
      </w:tabs>
      <w:ind w:left="1134" w:right="-1"/>
      <w:jc w:val="both"/>
    </w:pPr>
    <w:rPr>
      <w:rFonts w:ascii="Arial" w:hAnsi="Arial"/>
      <w:b/>
    </w:rPr>
  </w:style>
  <w:style w:type="paragraph" w:customStyle="1" w:styleId="Box">
    <w:name w:val="Box"/>
    <w:next w:val="Normln"/>
    <w:link w:val="BoxChar"/>
    <w:qFormat/>
    <w:rsid w:val="00210AA5"/>
    <w:pPr>
      <w:shd w:val="clear" w:color="auto" w:fill="F5DADD"/>
      <w:spacing w:line="288" w:lineRule="auto"/>
      <w:ind w:left="1134"/>
    </w:pPr>
    <w:rPr>
      <w:rFonts w:ascii="Arial" w:hAnsi="Arial"/>
      <w:color w:val="000000"/>
      <w:sz w:val="24"/>
      <w:szCs w:val="24"/>
    </w:rPr>
  </w:style>
  <w:style w:type="paragraph" w:customStyle="1" w:styleId="TL-Kontakty">
    <w:name w:val="TL - Kontakty"/>
    <w:next w:val="Normln"/>
    <w:link w:val="TL-KontaktyChar"/>
    <w:qFormat/>
    <w:rsid w:val="004F06F5"/>
    <w:pPr>
      <w:spacing w:after="80"/>
    </w:pPr>
    <w:rPr>
      <w:rFonts w:ascii="Arial" w:eastAsia="Times New Roman" w:hAnsi="Arial"/>
      <w:b/>
      <w:caps/>
      <w:color w:val="BD1B21"/>
      <w:sz w:val="24"/>
      <w:szCs w:val="24"/>
    </w:rPr>
  </w:style>
  <w:style w:type="character" w:customStyle="1" w:styleId="ZkladnodstavecChar">
    <w:name w:val="[Základní odstavec] Char"/>
    <w:link w:val="Zkladnodstavec"/>
    <w:uiPriority w:val="99"/>
    <w:rsid w:val="006710C9"/>
    <w:rPr>
      <w:rFonts w:ascii="Minion Pro" w:hAnsi="Minion Pro" w:cs="Minion Pro"/>
      <w:color w:val="000000"/>
      <w:sz w:val="24"/>
      <w:szCs w:val="24"/>
    </w:rPr>
  </w:style>
  <w:style w:type="character" w:customStyle="1" w:styleId="Box2Char">
    <w:name w:val="Box 2 Char"/>
    <w:link w:val="Box2"/>
    <w:rsid w:val="006710C9"/>
    <w:rPr>
      <w:rFonts w:ascii="Arial" w:hAnsi="Arial" w:cs="Arial"/>
      <w:b/>
      <w:color w:val="000000"/>
      <w:sz w:val="24"/>
      <w:szCs w:val="24"/>
      <w:shd w:val="clear" w:color="auto" w:fill="CCC0D9"/>
    </w:rPr>
  </w:style>
  <w:style w:type="character" w:customStyle="1" w:styleId="BoxChar">
    <w:name w:val="Box Char"/>
    <w:link w:val="Box"/>
    <w:rsid w:val="00210AA5"/>
    <w:rPr>
      <w:rFonts w:ascii="Arial" w:hAnsi="Arial"/>
      <w:color w:val="000000"/>
      <w:sz w:val="24"/>
      <w:szCs w:val="24"/>
      <w:shd w:val="clear" w:color="auto" w:fill="F5DADD"/>
      <w:lang w:bidi="ar-SA"/>
    </w:rPr>
  </w:style>
  <w:style w:type="paragraph" w:customStyle="1" w:styleId="TL-Identifikace">
    <w:name w:val="TL - Identifikace"/>
    <w:next w:val="Normln"/>
    <w:link w:val="TL-IdentifikaceChar"/>
    <w:qFormat/>
    <w:rsid w:val="004F06F5"/>
    <w:pPr>
      <w:spacing w:after="200" w:line="288" w:lineRule="auto"/>
    </w:pPr>
    <w:rPr>
      <w:rFonts w:ascii="Arial" w:eastAsia="Times New Roman" w:hAnsi="Arial"/>
      <w:sz w:val="24"/>
      <w:szCs w:val="24"/>
    </w:rPr>
  </w:style>
  <w:style w:type="character" w:customStyle="1" w:styleId="TL-KontaktyChar">
    <w:name w:val="TL - Kontakty Char"/>
    <w:link w:val="TL-Kontakty"/>
    <w:rsid w:val="004F06F5"/>
    <w:rPr>
      <w:rFonts w:ascii="Arial" w:eastAsia="Times New Roman" w:hAnsi="Arial"/>
      <w:b/>
      <w:caps/>
      <w:color w:val="BD1B21"/>
      <w:sz w:val="24"/>
      <w:szCs w:val="24"/>
      <w:lang w:bidi="ar-SA"/>
    </w:rPr>
  </w:style>
  <w:style w:type="character" w:customStyle="1" w:styleId="TL-IdentifikaceChar">
    <w:name w:val="TL - Identifikace Char"/>
    <w:link w:val="TL-Identifikace"/>
    <w:rsid w:val="004F06F5"/>
    <w:rPr>
      <w:rFonts w:ascii="Arial" w:eastAsia="Times New Roman" w:hAnsi="Arial"/>
      <w:sz w:val="24"/>
      <w:szCs w:val="24"/>
      <w:lang w:bidi="ar-SA"/>
    </w:rPr>
  </w:style>
  <w:style w:type="paragraph" w:customStyle="1" w:styleId="3372873BB58A4DED866D2BE34882C06C">
    <w:name w:val="3372873BB58A4DED866D2BE34882C06C"/>
    <w:rsid w:val="00EE3E78"/>
    <w:pPr>
      <w:spacing w:after="200" w:line="276" w:lineRule="auto"/>
    </w:pPr>
    <w:rPr>
      <w:rFonts w:eastAsia="MS Mincho"/>
      <w:sz w:val="22"/>
      <w:szCs w:val="22"/>
    </w:rPr>
  </w:style>
  <w:style w:type="paragraph" w:customStyle="1" w:styleId="233E5CD5853943F4BD7E8C4B124C0E1D">
    <w:name w:val="233E5CD5853943F4BD7E8C4B124C0E1D"/>
    <w:rsid w:val="00EE3E78"/>
    <w:pPr>
      <w:spacing w:after="200" w:line="276" w:lineRule="auto"/>
    </w:pPr>
    <w:rPr>
      <w:rFonts w:eastAsia="MS Mincho"/>
      <w:sz w:val="22"/>
      <w:szCs w:val="22"/>
    </w:rPr>
  </w:style>
  <w:style w:type="paragraph" w:customStyle="1" w:styleId="D345FF3D873148C5AE3FBF3267827368">
    <w:name w:val="D345FF3D873148C5AE3FBF3267827368"/>
    <w:rsid w:val="00EE3E78"/>
    <w:pPr>
      <w:spacing w:after="200" w:line="276" w:lineRule="auto"/>
    </w:pPr>
    <w:rPr>
      <w:rFonts w:eastAsia="MS Mincho"/>
      <w:sz w:val="22"/>
      <w:szCs w:val="22"/>
    </w:rPr>
  </w:style>
  <w:style w:type="character" w:customStyle="1" w:styleId="Stednmka2Char">
    <w:name w:val="Střední mřížka 2 Char"/>
    <w:aliases w:val="Bez zarážky Char"/>
    <w:link w:val="Stednmka21"/>
    <w:uiPriority w:val="1"/>
    <w:rsid w:val="00EE3E78"/>
    <w:rPr>
      <w:rFonts w:ascii="Arial" w:eastAsia="Times New Roman" w:hAnsi="Arial"/>
      <w:szCs w:val="24"/>
      <w:lang w:bidi="ar-SA"/>
    </w:rPr>
  </w:style>
  <w:style w:type="paragraph" w:customStyle="1" w:styleId="TL-identifikace-sted">
    <w:name w:val="TL - identifikace - střed"/>
    <w:basedOn w:val="Normln"/>
    <w:link w:val="TL-identifikace-stedChar"/>
    <w:qFormat/>
    <w:rsid w:val="006C113F"/>
    <w:pPr>
      <w:spacing w:after="200"/>
    </w:pPr>
    <w:rPr>
      <w:sz w:val="24"/>
    </w:rPr>
  </w:style>
  <w:style w:type="paragraph" w:customStyle="1" w:styleId="TL-Identifikace-dole">
    <w:name w:val="TL - Identifikace - dole"/>
    <w:basedOn w:val="Normln"/>
    <w:link w:val="TL-Identifikace-doleChar"/>
    <w:qFormat/>
    <w:rsid w:val="006C113F"/>
    <w:pPr>
      <w:spacing w:after="200"/>
    </w:pPr>
    <w:rPr>
      <w:szCs w:val="20"/>
      <w:lang w:eastAsia="ar-SA"/>
    </w:rPr>
  </w:style>
  <w:style w:type="character" w:customStyle="1" w:styleId="TL-identifikace-stedChar">
    <w:name w:val="TL - identifikace - střed Char"/>
    <w:link w:val="TL-identifikace-sted"/>
    <w:rsid w:val="006C113F"/>
    <w:rPr>
      <w:rFonts w:ascii="Arial" w:eastAsia="Times New Roman" w:hAnsi="Arial"/>
      <w:sz w:val="24"/>
      <w:szCs w:val="24"/>
    </w:rPr>
  </w:style>
  <w:style w:type="character" w:customStyle="1" w:styleId="TL-Identifikace-doleChar">
    <w:name w:val="TL - Identifikace - dole Char"/>
    <w:link w:val="TL-Identifikace-dole"/>
    <w:rsid w:val="006C113F"/>
    <w:rPr>
      <w:rFonts w:ascii="Arial" w:eastAsia="Times New Roman" w:hAnsi="Arial" w:cs="Arial"/>
      <w:lang w:eastAsia="ar-SA"/>
    </w:rPr>
  </w:style>
  <w:style w:type="paragraph" w:customStyle="1" w:styleId="Box-Lideaspolecnost">
    <w:name w:val="Box - Lide a spolecnost"/>
    <w:next w:val="Normln"/>
    <w:link w:val="Box-LideaspolecnostChar"/>
    <w:rsid w:val="00BC3543"/>
    <w:pPr>
      <w:shd w:val="clear" w:color="auto" w:fill="F5DADD"/>
      <w:spacing w:line="288" w:lineRule="auto"/>
      <w:ind w:left="1134"/>
    </w:pPr>
    <w:rPr>
      <w:rFonts w:ascii="Arial" w:hAnsi="Arial" w:cs="Arial"/>
    </w:rPr>
  </w:style>
  <w:style w:type="character" w:customStyle="1" w:styleId="Box-LideaspolecnostChar">
    <w:name w:val="Box - Lide a spolecnost Char"/>
    <w:link w:val="Box-Lideaspolecnost"/>
    <w:rsid w:val="00BC3543"/>
    <w:rPr>
      <w:rFonts w:ascii="Arial" w:hAnsi="Arial" w:cs="Arial"/>
      <w:shd w:val="clear" w:color="auto" w:fill="F5DADD"/>
      <w:lang w:val="cs-CZ" w:eastAsia="cs-CZ" w:bidi="ar-SA"/>
    </w:rPr>
  </w:style>
  <w:style w:type="paragraph" w:customStyle="1" w:styleId="Obsah">
    <w:name w:val="Obsah"/>
    <w:next w:val="Normln"/>
    <w:link w:val="ObsahChar"/>
    <w:qFormat/>
    <w:rsid w:val="007B47EE"/>
    <w:pPr>
      <w:spacing w:after="200"/>
    </w:pPr>
    <w:rPr>
      <w:rFonts w:ascii="Arial" w:eastAsia="MS Gothic" w:hAnsi="Arial"/>
      <w:b/>
      <w:bCs/>
      <w:color w:val="BC091B"/>
      <w:sz w:val="32"/>
      <w:szCs w:val="28"/>
    </w:rPr>
  </w:style>
  <w:style w:type="character" w:customStyle="1" w:styleId="ObsahChar">
    <w:name w:val="Obsah Char"/>
    <w:link w:val="Obsah"/>
    <w:rsid w:val="007B47EE"/>
    <w:rPr>
      <w:rFonts w:ascii="Arial" w:eastAsia="MS Gothic" w:hAnsi="Arial"/>
      <w:b/>
      <w:bCs/>
      <w:color w:val="BC091B"/>
      <w:sz w:val="32"/>
      <w:szCs w:val="28"/>
      <w:lang w:bidi="ar-SA"/>
    </w:rPr>
  </w:style>
  <w:style w:type="paragraph" w:styleId="Textpoznpodarou">
    <w:name w:val="footnote text"/>
    <w:basedOn w:val="Normln"/>
    <w:link w:val="TextpoznpodarouChar"/>
    <w:semiHidden/>
    <w:rsid w:val="00542E84"/>
    <w:pPr>
      <w:spacing w:before="120" w:after="120" w:line="240" w:lineRule="auto"/>
      <w:jc w:val="both"/>
    </w:pPr>
    <w:rPr>
      <w:sz w:val="16"/>
      <w:szCs w:val="20"/>
    </w:rPr>
  </w:style>
  <w:style w:type="character" w:customStyle="1" w:styleId="TextpoznpodarouChar">
    <w:name w:val="Text pozn. pod čarou Char"/>
    <w:basedOn w:val="Standardnpsmoodstavce"/>
    <w:link w:val="Textpoznpodarou"/>
    <w:semiHidden/>
    <w:rsid w:val="00542E84"/>
    <w:rPr>
      <w:rFonts w:ascii="Arial" w:eastAsia="Times New Roman" w:hAnsi="Arial"/>
      <w:sz w:val="16"/>
    </w:rPr>
  </w:style>
  <w:style w:type="character" w:styleId="Znakapoznpodarou">
    <w:name w:val="footnote reference"/>
    <w:basedOn w:val="Standardnpsmoodstavce"/>
    <w:semiHidden/>
    <w:rsid w:val="00542E84"/>
    <w:rPr>
      <w:vertAlign w:val="superscript"/>
    </w:rPr>
  </w:style>
  <w:style w:type="paragraph" w:customStyle="1" w:styleId="Poznamkapodcarou">
    <w:name w:val="Poznamka pod carou"/>
    <w:basedOn w:val="Normln"/>
    <w:rsid w:val="00542E84"/>
    <w:pPr>
      <w:spacing w:before="120" w:after="120" w:line="240" w:lineRule="auto"/>
    </w:pPr>
    <w:rPr>
      <w:sz w:val="16"/>
      <w:szCs w:val="20"/>
    </w:rPr>
  </w:style>
  <w:style w:type="character" w:customStyle="1" w:styleId="Nadpis5Char">
    <w:name w:val="Nadpis 5 Char"/>
    <w:basedOn w:val="Standardnpsmoodstavce"/>
    <w:link w:val="Nadpis5"/>
    <w:rsid w:val="00110E3B"/>
    <w:rPr>
      <w:rFonts w:ascii="Arial" w:eastAsia="Times New Roman" w:hAnsi="Arial"/>
      <w:b/>
      <w:bCs/>
      <w:sz w:val="16"/>
      <w:szCs w:val="16"/>
    </w:rPr>
  </w:style>
  <w:style w:type="character" w:customStyle="1" w:styleId="Nadpis6Char">
    <w:name w:val="Nadpis 6 Char"/>
    <w:basedOn w:val="Standardnpsmoodstavce"/>
    <w:link w:val="Nadpis6"/>
    <w:rsid w:val="00110E3B"/>
    <w:rPr>
      <w:rFonts w:ascii="Arial" w:eastAsia="Times New Roman" w:hAnsi="Arial"/>
      <w:b/>
      <w:bCs/>
      <w:sz w:val="16"/>
      <w:szCs w:val="24"/>
    </w:rPr>
  </w:style>
  <w:style w:type="paragraph" w:customStyle="1" w:styleId="Nadpisvlastn1">
    <w:name w:val="Nadpis vlastní 1"/>
    <w:basedOn w:val="Normln"/>
    <w:rsid w:val="00110E3B"/>
    <w:pPr>
      <w:spacing w:before="120" w:after="360" w:line="240" w:lineRule="auto"/>
      <w:jc w:val="both"/>
    </w:pPr>
    <w:rPr>
      <w:b/>
      <w:bCs/>
      <w:sz w:val="36"/>
      <w:szCs w:val="20"/>
    </w:rPr>
  </w:style>
  <w:style w:type="paragraph" w:customStyle="1" w:styleId="Nadpisvlastn2">
    <w:name w:val="Nadpis vlastní 2"/>
    <w:basedOn w:val="Nadpisvlastn1"/>
    <w:rsid w:val="00110E3B"/>
    <w:rPr>
      <w14:shadow w14:blurRad="50800" w14:dist="38100" w14:dir="2700000" w14:sx="100000" w14:sy="100000" w14:kx="0" w14:ky="0" w14:algn="tl">
        <w14:srgbClr w14:val="000000">
          <w14:alpha w14:val="60000"/>
        </w14:srgbClr>
      </w14:shadow>
    </w:rPr>
  </w:style>
  <w:style w:type="paragraph" w:styleId="Zkladntextodsazen">
    <w:name w:val="Body Text Indent"/>
    <w:basedOn w:val="Normln"/>
    <w:link w:val="ZkladntextodsazenChar"/>
    <w:semiHidden/>
    <w:rsid w:val="00110E3B"/>
    <w:pPr>
      <w:spacing w:before="120" w:after="120" w:line="240" w:lineRule="auto"/>
      <w:ind w:firstLine="720"/>
      <w:jc w:val="both"/>
    </w:pPr>
  </w:style>
  <w:style w:type="character" w:customStyle="1" w:styleId="ZkladntextodsazenChar">
    <w:name w:val="Základní text odsazený Char"/>
    <w:basedOn w:val="Standardnpsmoodstavce"/>
    <w:link w:val="Zkladntextodsazen"/>
    <w:semiHidden/>
    <w:rsid w:val="00110E3B"/>
    <w:rPr>
      <w:rFonts w:ascii="Arial" w:eastAsia="Times New Roman" w:hAnsi="Arial"/>
      <w:szCs w:val="24"/>
    </w:rPr>
  </w:style>
  <w:style w:type="paragraph" w:customStyle="1" w:styleId="xl25">
    <w:name w:val="xl2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cs="Arial"/>
      <w:sz w:val="16"/>
      <w:szCs w:val="16"/>
    </w:rPr>
  </w:style>
  <w:style w:type="paragraph" w:customStyle="1" w:styleId="xl26">
    <w:name w:val="xl2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cs="Arial"/>
      <w:sz w:val="16"/>
      <w:szCs w:val="16"/>
    </w:rPr>
  </w:style>
  <w:style w:type="paragraph" w:customStyle="1" w:styleId="xl27">
    <w:name w:val="xl2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cs="Arial"/>
      <w:sz w:val="16"/>
      <w:szCs w:val="16"/>
    </w:rPr>
  </w:style>
  <w:style w:type="paragraph" w:customStyle="1" w:styleId="xl28">
    <w:name w:val="xl28"/>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cs="Arial"/>
      <w:sz w:val="16"/>
      <w:szCs w:val="16"/>
    </w:rPr>
  </w:style>
  <w:style w:type="paragraph" w:customStyle="1" w:styleId="xl29">
    <w:name w:val="xl29"/>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0">
    <w:name w:val="xl30"/>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1">
    <w:name w:val="xl31"/>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2">
    <w:name w:val="xl32"/>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3">
    <w:name w:val="xl33"/>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4">
    <w:name w:val="xl34"/>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5">
    <w:name w:val="xl35"/>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cs="Arial"/>
      <w:b/>
      <w:bCs/>
      <w:sz w:val="16"/>
      <w:szCs w:val="16"/>
    </w:rPr>
  </w:style>
  <w:style w:type="paragraph" w:customStyle="1" w:styleId="xl24">
    <w:name w:val="xl24"/>
    <w:basedOn w:val="Normln"/>
    <w:rsid w:val="00110E3B"/>
    <w:pPr>
      <w:spacing w:before="100" w:beforeAutospacing="1" w:after="100" w:afterAutospacing="1" w:line="240" w:lineRule="auto"/>
      <w:jc w:val="center"/>
      <w:textAlignment w:val="center"/>
    </w:pPr>
    <w:rPr>
      <w:rFonts w:ascii="Arial Unicode MS" w:eastAsia="Arial Unicode MS" w:hAnsi="Arial Unicode MS" w:cs="Arial Unicode MS"/>
    </w:rPr>
  </w:style>
  <w:style w:type="paragraph" w:customStyle="1" w:styleId="xl36">
    <w:name w:val="xl36"/>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7">
    <w:name w:val="xl37"/>
    <w:basedOn w:val="Normln"/>
    <w:rsid w:val="00110E3B"/>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8">
    <w:name w:val="xl38"/>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39">
    <w:name w:val="xl39"/>
    <w:basedOn w:val="Normln"/>
    <w:rsid w:val="00110E3B"/>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0">
    <w:name w:val="xl40"/>
    <w:basedOn w:val="Normln"/>
    <w:rsid w:val="00110E3B"/>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1">
    <w:name w:val="xl41"/>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sz w:val="16"/>
      <w:szCs w:val="16"/>
    </w:rPr>
  </w:style>
  <w:style w:type="paragraph" w:customStyle="1" w:styleId="xl42">
    <w:name w:val="xl42"/>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3">
    <w:name w:val="xl43"/>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4">
    <w:name w:val="xl44"/>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5">
    <w:name w:val="xl4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6">
    <w:name w:val="xl4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7">
    <w:name w:val="xl47"/>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48">
    <w:name w:val="xl48"/>
    <w:basedOn w:val="Normln"/>
    <w:rsid w:val="00110E3B"/>
    <w:pPr>
      <w:pBdr>
        <w:top w:val="single" w:sz="4" w:space="0" w:color="auto"/>
        <w:left w:val="single" w:sz="8" w:space="0" w:color="auto"/>
        <w:bottom w:val="single" w:sz="8" w:space="0" w:color="auto"/>
        <w:right w:val="single" w:sz="4" w:space="0" w:color="auto"/>
      </w:pBdr>
      <w:shd w:val="clear" w:color="000000" w:fill="C0C0C0"/>
      <w:spacing w:before="100" w:beforeAutospacing="1" w:after="100" w:afterAutospacing="1" w:line="240" w:lineRule="auto"/>
      <w:jc w:val="both"/>
    </w:pPr>
    <w:rPr>
      <w:rFonts w:eastAsia="Arial Unicode MS" w:cs="Arial"/>
      <w:b/>
      <w:bCs/>
      <w:color w:val="000000"/>
      <w:sz w:val="16"/>
      <w:szCs w:val="16"/>
    </w:rPr>
  </w:style>
  <w:style w:type="paragraph" w:customStyle="1" w:styleId="xl49">
    <w:name w:val="xl49"/>
    <w:basedOn w:val="Normln"/>
    <w:rsid w:val="00110E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eastAsia="Arial Unicode MS" w:cs="Arial Unicode MS"/>
      <w:sz w:val="16"/>
      <w:szCs w:val="16"/>
    </w:rPr>
  </w:style>
  <w:style w:type="paragraph" w:customStyle="1" w:styleId="xl50">
    <w:name w:val="xl50"/>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1">
    <w:name w:val="xl51"/>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2">
    <w:name w:val="xl52"/>
    <w:basedOn w:val="Normln"/>
    <w:rsid w:val="00110E3B"/>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3">
    <w:name w:val="xl53"/>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54">
    <w:name w:val="xl54"/>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Arial Unicode MS" w:cs="Arial Unicode MS"/>
      <w:sz w:val="16"/>
      <w:szCs w:val="16"/>
    </w:rPr>
  </w:style>
  <w:style w:type="paragraph" w:customStyle="1" w:styleId="xl55">
    <w:name w:val="xl55"/>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eastAsia="Arial Unicode MS" w:cs="Arial Unicode MS"/>
      <w:sz w:val="16"/>
      <w:szCs w:val="16"/>
    </w:rPr>
  </w:style>
  <w:style w:type="paragraph" w:customStyle="1" w:styleId="xl56">
    <w:name w:val="xl56"/>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57">
    <w:name w:val="xl5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b/>
      <w:bCs/>
      <w:sz w:val="16"/>
      <w:szCs w:val="16"/>
    </w:rPr>
  </w:style>
  <w:style w:type="paragraph" w:customStyle="1" w:styleId="xl58">
    <w:name w:val="xl58"/>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9">
    <w:name w:val="xl59"/>
    <w:basedOn w:val="Normln"/>
    <w:rsid w:val="00110E3B"/>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eastAsia="Arial Unicode MS" w:cs="Arial"/>
      <w:color w:val="000000"/>
    </w:rPr>
  </w:style>
  <w:style w:type="paragraph" w:customStyle="1" w:styleId="xl60">
    <w:name w:val="xl60"/>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1">
    <w:name w:val="xl61"/>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2">
    <w:name w:val="xl62"/>
    <w:basedOn w:val="Normln"/>
    <w:rsid w:val="00110E3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3">
    <w:name w:val="xl63"/>
    <w:basedOn w:val="Normln"/>
    <w:rsid w:val="00110E3B"/>
    <w:pPr>
      <w:pBdr>
        <w:top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4">
    <w:name w:val="xl64"/>
    <w:basedOn w:val="Normln"/>
    <w:rsid w:val="00110E3B"/>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5">
    <w:name w:val="xl65"/>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6">
    <w:name w:val="xl66"/>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7">
    <w:name w:val="xl67"/>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8">
    <w:name w:val="xl68"/>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9">
    <w:name w:val="xl69"/>
    <w:basedOn w:val="Normln"/>
    <w:rsid w:val="00110E3B"/>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both"/>
    </w:pPr>
    <w:rPr>
      <w:rFonts w:eastAsia="Arial Unicode MS" w:cs="Arial"/>
      <w:sz w:val="16"/>
      <w:szCs w:val="16"/>
    </w:rPr>
  </w:style>
  <w:style w:type="paragraph" w:customStyle="1" w:styleId="xl70">
    <w:name w:val="xl70"/>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1">
    <w:name w:val="xl71"/>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2">
    <w:name w:val="xl72"/>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3">
    <w:name w:val="xl73"/>
    <w:basedOn w:val="Normln"/>
    <w:rsid w:val="00110E3B"/>
    <w:pPr>
      <w:pBdr>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4">
    <w:name w:val="xl74"/>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5">
    <w:name w:val="xl75"/>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76">
    <w:name w:val="xl76"/>
    <w:basedOn w:val="Normln"/>
    <w:rsid w:val="00110E3B"/>
    <w:pPr>
      <w:pBdr>
        <w:top w:val="single" w:sz="4" w:space="0" w:color="auto"/>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7">
    <w:name w:val="xl77"/>
    <w:basedOn w:val="Normln"/>
    <w:rsid w:val="00110E3B"/>
    <w:pPr>
      <w:pBdr>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8">
    <w:name w:val="xl78"/>
    <w:basedOn w:val="Normln"/>
    <w:rsid w:val="00110E3B"/>
    <w:pPr>
      <w:pBdr>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character" w:styleId="slostrnky">
    <w:name w:val="page number"/>
    <w:basedOn w:val="Standardnpsmoodstavce"/>
    <w:semiHidden/>
    <w:rsid w:val="00110E3B"/>
  </w:style>
  <w:style w:type="paragraph" w:styleId="Zkladntext">
    <w:name w:val="Body Text"/>
    <w:basedOn w:val="Normln"/>
    <w:link w:val="ZkladntextChar"/>
    <w:semiHidden/>
    <w:rsid w:val="00110E3B"/>
    <w:pPr>
      <w:spacing w:before="120" w:after="120" w:line="240" w:lineRule="auto"/>
      <w:jc w:val="both"/>
    </w:pPr>
  </w:style>
  <w:style w:type="character" w:customStyle="1" w:styleId="ZkladntextChar">
    <w:name w:val="Základní text Char"/>
    <w:basedOn w:val="Standardnpsmoodstavce"/>
    <w:link w:val="Zkladntext"/>
    <w:semiHidden/>
    <w:rsid w:val="00110E3B"/>
    <w:rPr>
      <w:rFonts w:ascii="Arial" w:eastAsia="Times New Roman" w:hAnsi="Arial"/>
      <w:szCs w:val="24"/>
    </w:rPr>
  </w:style>
  <w:style w:type="paragraph" w:styleId="Obsah1">
    <w:name w:val="toc 1"/>
    <w:basedOn w:val="Normln"/>
    <w:next w:val="Normln"/>
    <w:autoRedefine/>
    <w:uiPriority w:val="39"/>
    <w:rsid w:val="00110E3B"/>
    <w:pPr>
      <w:spacing w:before="120" w:after="120" w:line="240" w:lineRule="auto"/>
      <w:jc w:val="both"/>
    </w:pPr>
  </w:style>
  <w:style w:type="paragraph" w:styleId="Obsah2">
    <w:name w:val="toc 2"/>
    <w:basedOn w:val="Normln"/>
    <w:next w:val="Normln"/>
    <w:autoRedefine/>
    <w:uiPriority w:val="39"/>
    <w:rsid w:val="00110E3B"/>
    <w:pPr>
      <w:spacing w:before="120" w:after="120" w:line="240" w:lineRule="auto"/>
      <w:ind w:left="240"/>
      <w:jc w:val="both"/>
    </w:pPr>
  </w:style>
  <w:style w:type="paragraph" w:styleId="Obsah3">
    <w:name w:val="toc 3"/>
    <w:basedOn w:val="Normln"/>
    <w:next w:val="Normln"/>
    <w:autoRedefine/>
    <w:uiPriority w:val="39"/>
    <w:rsid w:val="00110E3B"/>
    <w:pPr>
      <w:spacing w:before="120" w:after="120" w:line="240" w:lineRule="auto"/>
      <w:ind w:left="480"/>
      <w:jc w:val="both"/>
    </w:pPr>
  </w:style>
  <w:style w:type="paragraph" w:styleId="Obsah4">
    <w:name w:val="toc 4"/>
    <w:basedOn w:val="Normln"/>
    <w:next w:val="Normln"/>
    <w:autoRedefine/>
    <w:semiHidden/>
    <w:rsid w:val="00110E3B"/>
    <w:pPr>
      <w:spacing w:before="120" w:after="120" w:line="240" w:lineRule="auto"/>
      <w:ind w:left="720"/>
      <w:jc w:val="both"/>
    </w:pPr>
  </w:style>
  <w:style w:type="paragraph" w:styleId="Obsah5">
    <w:name w:val="toc 5"/>
    <w:basedOn w:val="Normln"/>
    <w:next w:val="Normln"/>
    <w:autoRedefine/>
    <w:semiHidden/>
    <w:rsid w:val="00110E3B"/>
    <w:pPr>
      <w:spacing w:before="120" w:after="120" w:line="240" w:lineRule="auto"/>
      <w:ind w:left="960"/>
      <w:jc w:val="both"/>
    </w:pPr>
  </w:style>
  <w:style w:type="paragraph" w:styleId="Obsah6">
    <w:name w:val="toc 6"/>
    <w:basedOn w:val="Normln"/>
    <w:next w:val="Normln"/>
    <w:autoRedefine/>
    <w:semiHidden/>
    <w:rsid w:val="00110E3B"/>
    <w:pPr>
      <w:spacing w:before="120" w:after="120" w:line="240" w:lineRule="auto"/>
      <w:ind w:left="1200"/>
      <w:jc w:val="both"/>
    </w:pPr>
  </w:style>
  <w:style w:type="paragraph" w:styleId="Obsah7">
    <w:name w:val="toc 7"/>
    <w:basedOn w:val="Normln"/>
    <w:next w:val="Normln"/>
    <w:autoRedefine/>
    <w:semiHidden/>
    <w:rsid w:val="00110E3B"/>
    <w:pPr>
      <w:spacing w:before="120" w:after="120" w:line="240" w:lineRule="auto"/>
      <w:ind w:left="1440"/>
      <w:jc w:val="both"/>
    </w:pPr>
  </w:style>
  <w:style w:type="paragraph" w:styleId="Obsah8">
    <w:name w:val="toc 8"/>
    <w:basedOn w:val="Normln"/>
    <w:next w:val="Normln"/>
    <w:autoRedefine/>
    <w:semiHidden/>
    <w:rsid w:val="00110E3B"/>
    <w:pPr>
      <w:spacing w:before="120" w:after="120" w:line="240" w:lineRule="auto"/>
      <w:ind w:left="1680"/>
      <w:jc w:val="both"/>
    </w:pPr>
  </w:style>
  <w:style w:type="paragraph" w:styleId="Obsah9">
    <w:name w:val="toc 9"/>
    <w:basedOn w:val="Normln"/>
    <w:next w:val="Normln"/>
    <w:autoRedefine/>
    <w:semiHidden/>
    <w:rsid w:val="00110E3B"/>
    <w:pPr>
      <w:spacing w:before="120" w:after="120" w:line="240" w:lineRule="auto"/>
      <w:ind w:left="1920"/>
      <w:jc w:val="both"/>
    </w:pPr>
  </w:style>
  <w:style w:type="character" w:styleId="Sledovanodkaz">
    <w:name w:val="FollowedHyperlink"/>
    <w:basedOn w:val="Standardnpsmoodstavce"/>
    <w:semiHidden/>
    <w:rsid w:val="00110E3B"/>
    <w:rPr>
      <w:color w:val="800080"/>
      <w:u w:val="single"/>
    </w:rPr>
  </w:style>
  <w:style w:type="paragraph" w:customStyle="1" w:styleId="normalnsodrkami">
    <w:name w:val="normalní s odrážkami"/>
    <w:basedOn w:val="Normln"/>
    <w:rsid w:val="00110E3B"/>
    <w:pPr>
      <w:numPr>
        <w:numId w:val="6"/>
      </w:numPr>
      <w:spacing w:before="120" w:after="120" w:line="240" w:lineRule="auto"/>
      <w:jc w:val="both"/>
    </w:pPr>
  </w:style>
  <w:style w:type="paragraph" w:styleId="Zkladntext2">
    <w:name w:val="Body Text 2"/>
    <w:basedOn w:val="Normln"/>
    <w:link w:val="Zkladntext2Char"/>
    <w:semiHidden/>
    <w:rsid w:val="00110E3B"/>
    <w:pPr>
      <w:spacing w:before="120" w:after="120" w:line="240" w:lineRule="auto"/>
      <w:jc w:val="both"/>
    </w:pPr>
    <w:rPr>
      <w:rFonts w:cs="Arial"/>
    </w:rPr>
  </w:style>
  <w:style w:type="character" w:customStyle="1" w:styleId="Zkladntext2Char">
    <w:name w:val="Základní text 2 Char"/>
    <w:basedOn w:val="Standardnpsmoodstavce"/>
    <w:link w:val="Zkladntext2"/>
    <w:semiHidden/>
    <w:rsid w:val="00110E3B"/>
    <w:rPr>
      <w:rFonts w:ascii="Arial" w:eastAsia="Times New Roman" w:hAnsi="Arial" w:cs="Arial"/>
      <w:szCs w:val="24"/>
    </w:rPr>
  </w:style>
  <w:style w:type="paragraph" w:customStyle="1" w:styleId="Default">
    <w:name w:val="Default"/>
    <w:rsid w:val="00110E3B"/>
    <w:pPr>
      <w:autoSpaceDE w:val="0"/>
      <w:autoSpaceDN w:val="0"/>
      <w:adjustRightInd w:val="0"/>
    </w:pPr>
    <w:rPr>
      <w:rFonts w:ascii="Times New Roman" w:eastAsia="Times New Roman" w:hAnsi="Times New Roman"/>
      <w:color w:val="000000"/>
      <w:sz w:val="24"/>
      <w:szCs w:val="24"/>
    </w:rPr>
  </w:style>
  <w:style w:type="paragraph" w:styleId="Zkladntext3">
    <w:name w:val="Body Text 3"/>
    <w:basedOn w:val="Normln"/>
    <w:link w:val="Zkladntext3Char"/>
    <w:semiHidden/>
    <w:rsid w:val="00110E3B"/>
    <w:pPr>
      <w:spacing w:before="120" w:after="120" w:line="240" w:lineRule="auto"/>
      <w:jc w:val="both"/>
    </w:pPr>
    <w:rPr>
      <w:rFonts w:cs="Arial"/>
    </w:rPr>
  </w:style>
  <w:style w:type="character" w:customStyle="1" w:styleId="Zkladntext3Char">
    <w:name w:val="Základní text 3 Char"/>
    <w:basedOn w:val="Standardnpsmoodstavce"/>
    <w:link w:val="Zkladntext3"/>
    <w:semiHidden/>
    <w:rsid w:val="00110E3B"/>
    <w:rPr>
      <w:rFonts w:ascii="Arial" w:eastAsia="Times New Roman" w:hAnsi="Arial" w:cs="Arial"/>
      <w:szCs w:val="24"/>
    </w:rPr>
  </w:style>
  <w:style w:type="paragraph" w:styleId="Textvysvtlivek">
    <w:name w:val="endnote text"/>
    <w:basedOn w:val="Normln"/>
    <w:link w:val="TextvysvtlivekChar"/>
    <w:semiHidden/>
    <w:rsid w:val="00110E3B"/>
    <w:pPr>
      <w:spacing w:before="120" w:after="120" w:line="240" w:lineRule="auto"/>
      <w:jc w:val="both"/>
    </w:pPr>
    <w:rPr>
      <w:szCs w:val="20"/>
    </w:rPr>
  </w:style>
  <w:style w:type="character" w:customStyle="1" w:styleId="TextvysvtlivekChar">
    <w:name w:val="Text vysvětlivek Char"/>
    <w:basedOn w:val="Standardnpsmoodstavce"/>
    <w:link w:val="Textvysvtlivek"/>
    <w:semiHidden/>
    <w:rsid w:val="00110E3B"/>
    <w:rPr>
      <w:rFonts w:ascii="Arial" w:eastAsia="Times New Roman" w:hAnsi="Arial"/>
    </w:rPr>
  </w:style>
  <w:style w:type="character" w:styleId="Odkaznavysvtlivky">
    <w:name w:val="endnote reference"/>
    <w:basedOn w:val="Standardnpsmoodstavce"/>
    <w:semiHidden/>
    <w:rsid w:val="00110E3B"/>
    <w:rPr>
      <w:vertAlign w:val="superscript"/>
    </w:rPr>
  </w:style>
  <w:style w:type="character" w:styleId="Siln">
    <w:name w:val="Strong"/>
    <w:basedOn w:val="Standardnpsmoodstavce"/>
    <w:uiPriority w:val="22"/>
    <w:qFormat/>
    <w:rsid w:val="00110E3B"/>
    <w:rPr>
      <w:b/>
      <w:bCs/>
    </w:rPr>
  </w:style>
  <w:style w:type="character" w:customStyle="1" w:styleId="longtext1">
    <w:name w:val="long_text1"/>
    <w:basedOn w:val="Standardnpsmoodstavce"/>
    <w:rsid w:val="00110E3B"/>
    <w:rPr>
      <w:sz w:val="20"/>
      <w:szCs w:val="20"/>
    </w:rPr>
  </w:style>
  <w:style w:type="paragraph" w:styleId="Normlnweb">
    <w:name w:val="Normal (Web)"/>
    <w:basedOn w:val="Normln"/>
    <w:uiPriority w:val="99"/>
    <w:unhideWhenUsed/>
    <w:rsid w:val="00110E3B"/>
    <w:pPr>
      <w:spacing w:before="100" w:beforeAutospacing="1" w:after="100" w:afterAutospacing="1" w:line="240" w:lineRule="auto"/>
      <w:jc w:val="both"/>
    </w:pPr>
  </w:style>
  <w:style w:type="paragraph" w:customStyle="1" w:styleId="nazevtabulky">
    <w:name w:val="nazev tabulky"/>
    <w:basedOn w:val="Normln"/>
    <w:qFormat/>
    <w:rsid w:val="00110E3B"/>
    <w:pPr>
      <w:spacing w:before="240" w:after="240" w:line="240" w:lineRule="auto"/>
    </w:pPr>
    <w:rPr>
      <w:b/>
      <w:bCs/>
      <w:szCs w:val="17"/>
    </w:rPr>
  </w:style>
  <w:style w:type="paragraph" w:styleId="Odstavecseseznamem">
    <w:name w:val="List Paragraph"/>
    <w:basedOn w:val="Normln"/>
    <w:uiPriority w:val="34"/>
    <w:qFormat/>
    <w:rsid w:val="00110E3B"/>
    <w:pPr>
      <w:spacing w:before="120" w:after="120" w:line="240" w:lineRule="auto"/>
      <w:ind w:left="720"/>
      <w:contextualSpacing/>
      <w:jc w:val="both"/>
    </w:pPr>
  </w:style>
  <w:style w:type="numbering" w:customStyle="1" w:styleId="Bezseznamu1">
    <w:name w:val="Bez seznamu1"/>
    <w:next w:val="Bezseznamu"/>
    <w:uiPriority w:val="99"/>
    <w:semiHidden/>
    <w:unhideWhenUsed/>
    <w:rsid w:val="00DB4F3B"/>
  </w:style>
  <w:style w:type="table" w:styleId="Mkatabulky">
    <w:name w:val="Table Grid"/>
    <w:basedOn w:val="Normlntabulka"/>
    <w:uiPriority w:val="59"/>
    <w:rsid w:val="00DB4F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vlastn">
    <w:name w:val="Text vlastní"/>
    <w:basedOn w:val="Normln"/>
    <w:rsid w:val="00DB4F3B"/>
    <w:pPr>
      <w:spacing w:before="120" w:line="240" w:lineRule="auto"/>
      <w:jc w:val="both"/>
    </w:pPr>
    <w:rPr>
      <w:sz w:val="18"/>
      <w:szCs w:val="20"/>
    </w:rPr>
  </w:style>
  <w:style w:type="character" w:styleId="Odkaznakoment">
    <w:name w:val="annotation reference"/>
    <w:basedOn w:val="Standardnpsmoodstavce"/>
    <w:uiPriority w:val="99"/>
    <w:semiHidden/>
    <w:unhideWhenUsed/>
    <w:rsid w:val="00DB4F3B"/>
    <w:rPr>
      <w:sz w:val="16"/>
      <w:szCs w:val="16"/>
    </w:rPr>
  </w:style>
  <w:style w:type="paragraph" w:styleId="Textkomente">
    <w:name w:val="annotation text"/>
    <w:basedOn w:val="Normln"/>
    <w:link w:val="TextkomenteChar"/>
    <w:uiPriority w:val="99"/>
    <w:semiHidden/>
    <w:unhideWhenUsed/>
    <w:rsid w:val="00DB4F3B"/>
    <w:pPr>
      <w:keepNext/>
      <w:spacing w:line="240" w:lineRule="auto"/>
      <w:jc w:val="both"/>
    </w:pPr>
    <w:rPr>
      <w:szCs w:val="20"/>
    </w:rPr>
  </w:style>
  <w:style w:type="character" w:customStyle="1" w:styleId="TextkomenteChar">
    <w:name w:val="Text komentáře Char"/>
    <w:basedOn w:val="Standardnpsmoodstavce"/>
    <w:link w:val="Textkomente"/>
    <w:uiPriority w:val="99"/>
    <w:semiHidden/>
    <w:rsid w:val="00DB4F3B"/>
    <w:rPr>
      <w:rFonts w:ascii="Arial" w:eastAsia="Times New Roman" w:hAnsi="Arial"/>
    </w:rPr>
  </w:style>
  <w:style w:type="paragraph" w:styleId="Pedmtkomente">
    <w:name w:val="annotation subject"/>
    <w:basedOn w:val="Textkomente"/>
    <w:next w:val="Textkomente"/>
    <w:link w:val="PedmtkomenteChar"/>
    <w:uiPriority w:val="99"/>
    <w:semiHidden/>
    <w:unhideWhenUsed/>
    <w:rsid w:val="00DB4F3B"/>
    <w:rPr>
      <w:b/>
      <w:bCs/>
    </w:rPr>
  </w:style>
  <w:style w:type="character" w:customStyle="1" w:styleId="PedmtkomenteChar">
    <w:name w:val="Předmět komentáře Char"/>
    <w:basedOn w:val="TextkomenteChar"/>
    <w:link w:val="Pedmtkomente"/>
    <w:uiPriority w:val="99"/>
    <w:semiHidden/>
    <w:rsid w:val="00DB4F3B"/>
    <w:rPr>
      <w:rFonts w:ascii="Arial" w:eastAsia="Times New Roman" w:hAnsi="Arial"/>
      <w:b/>
      <w:bCs/>
    </w:rPr>
  </w:style>
  <w:style w:type="table" w:styleId="Stednmka3zvraznn2">
    <w:name w:val="Medium Grid 3 Accent 2"/>
    <w:basedOn w:val="Normlntabulka"/>
    <w:uiPriority w:val="60"/>
    <w:rsid w:val="0035195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numbering" w:customStyle="1" w:styleId="Bezseznamu2">
    <w:name w:val="Bez seznamu2"/>
    <w:next w:val="Bezseznamu"/>
    <w:uiPriority w:val="99"/>
    <w:semiHidden/>
    <w:unhideWhenUsed/>
    <w:rsid w:val="00DE3724"/>
  </w:style>
  <w:style w:type="paragraph" w:styleId="Nadpisobsahu">
    <w:name w:val="TOC Heading"/>
    <w:basedOn w:val="Nadpis1"/>
    <w:next w:val="Normln"/>
    <w:uiPriority w:val="39"/>
    <w:semiHidden/>
    <w:unhideWhenUsed/>
    <w:qFormat/>
    <w:rsid w:val="00DE3724"/>
    <w:pPr>
      <w:spacing w:before="480" w:after="0" w:line="276" w:lineRule="auto"/>
      <w:outlineLvl w:val="9"/>
    </w:pPr>
    <w:rPr>
      <w:rFonts w:asciiTheme="majorHAnsi" w:eastAsiaTheme="majorEastAsia" w:hAnsiTheme="majorHAnsi" w:cstheme="majorBidi"/>
      <w:color w:val="365F91" w:themeColor="accent1" w:themeShade="BF"/>
      <w:sz w:val="28"/>
    </w:rPr>
  </w:style>
  <w:style w:type="numbering" w:customStyle="1" w:styleId="Bezseznamu3">
    <w:name w:val="Bez seznamu3"/>
    <w:next w:val="Bezseznamu"/>
    <w:uiPriority w:val="99"/>
    <w:semiHidden/>
    <w:unhideWhenUsed/>
    <w:rsid w:val="00F41C6D"/>
  </w:style>
  <w:style w:type="table" w:customStyle="1" w:styleId="Mkatabulky1">
    <w:name w:val="Mřížka tabulky1"/>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caption" w:uiPriority="35" w:qFormat="1"/>
    <w:lsdException w:name="footnote reference" w:uiPriority="0"/>
    <w:lsdException w:name="page number" w:uiPriority="0"/>
    <w:lsdException w:name="endnote reference" w:uiPriority="0"/>
    <w:lsdException w:name="endnote tex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FollowedHyperlink" w:uiPriority="0"/>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34"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lsdException w:name="Colorful Grid Accent 1" w:semiHidden="0" w:uiPriority="29" w:unhideWhenUsed="0"/>
    <w:lsdException w:name="Light Shading Accent 2" w:semiHidden="0" w:uiPriority="30" w:unhideWhenUsed="0"/>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39" w:qFormat="1"/>
  </w:latentStyles>
  <w:style w:type="paragraph" w:default="1" w:styleId="Normln">
    <w:name w:val="Normal"/>
    <w:qFormat/>
    <w:rsid w:val="007B47EE"/>
    <w:pPr>
      <w:spacing w:line="288" w:lineRule="auto"/>
    </w:pPr>
    <w:rPr>
      <w:rFonts w:ascii="Arial" w:eastAsia="Times New Roman" w:hAnsi="Arial"/>
      <w:szCs w:val="24"/>
    </w:rPr>
  </w:style>
  <w:style w:type="paragraph" w:styleId="Nadpis1">
    <w:name w:val="heading 1"/>
    <w:next w:val="Normln"/>
    <w:link w:val="Nadpis1Char"/>
    <w:qFormat/>
    <w:rsid w:val="00BC3543"/>
    <w:pPr>
      <w:keepNext/>
      <w:keepLines/>
      <w:spacing w:after="200" w:line="288" w:lineRule="auto"/>
      <w:outlineLvl w:val="0"/>
    </w:pPr>
    <w:rPr>
      <w:rFonts w:ascii="Arial" w:eastAsia="MS Gothic" w:hAnsi="Arial"/>
      <w:b/>
      <w:bCs/>
      <w:color w:val="BC091B"/>
      <w:sz w:val="32"/>
      <w:szCs w:val="28"/>
    </w:rPr>
  </w:style>
  <w:style w:type="paragraph" w:styleId="Nadpis2">
    <w:name w:val="heading 2"/>
    <w:next w:val="Normln"/>
    <w:link w:val="Nadpis2Char"/>
    <w:qFormat/>
    <w:rsid w:val="00A1636E"/>
    <w:pPr>
      <w:keepNext/>
      <w:keepLines/>
      <w:spacing w:before="120" w:after="240" w:line="288" w:lineRule="auto"/>
      <w:outlineLvl w:val="1"/>
    </w:pPr>
    <w:rPr>
      <w:rFonts w:ascii="Arial" w:eastAsia="MS Gothic" w:hAnsi="Arial"/>
      <w:b/>
      <w:bCs/>
      <w:color w:val="BC091B"/>
      <w:sz w:val="28"/>
      <w:szCs w:val="26"/>
    </w:rPr>
  </w:style>
  <w:style w:type="paragraph" w:styleId="Nadpis3">
    <w:name w:val="heading 3"/>
    <w:next w:val="Normln"/>
    <w:link w:val="Nadpis3Char"/>
    <w:qFormat/>
    <w:rsid w:val="00EE39DC"/>
    <w:pPr>
      <w:keepNext/>
      <w:keepLines/>
      <w:spacing w:before="240" w:after="120" w:line="288" w:lineRule="auto"/>
      <w:outlineLvl w:val="2"/>
    </w:pPr>
    <w:rPr>
      <w:rFonts w:ascii="Arial" w:eastAsia="MS Gothic" w:hAnsi="Arial"/>
      <w:b/>
      <w:bCs/>
      <w:color w:val="BC091B"/>
      <w:sz w:val="24"/>
      <w:szCs w:val="24"/>
    </w:rPr>
  </w:style>
  <w:style w:type="paragraph" w:styleId="Nadpis4">
    <w:name w:val="heading 4"/>
    <w:next w:val="Normln"/>
    <w:link w:val="Nadpis4Char"/>
    <w:qFormat/>
    <w:rsid w:val="005108C0"/>
    <w:pPr>
      <w:keepNext/>
      <w:keepLines/>
      <w:spacing w:line="288" w:lineRule="auto"/>
      <w:outlineLvl w:val="3"/>
    </w:pPr>
    <w:rPr>
      <w:rFonts w:ascii="Arial" w:eastAsia="MS Gothic" w:hAnsi="Arial"/>
      <w:b/>
      <w:bCs/>
      <w:iCs/>
      <w:szCs w:val="24"/>
    </w:rPr>
  </w:style>
  <w:style w:type="paragraph" w:styleId="Nadpis5">
    <w:name w:val="heading 5"/>
    <w:basedOn w:val="Normln"/>
    <w:next w:val="Normln"/>
    <w:link w:val="Nadpis5Char"/>
    <w:qFormat/>
    <w:rsid w:val="00110E3B"/>
    <w:pPr>
      <w:keepNext/>
      <w:spacing w:before="120" w:after="120" w:line="240" w:lineRule="auto"/>
      <w:jc w:val="center"/>
      <w:outlineLvl w:val="4"/>
    </w:pPr>
    <w:rPr>
      <w:b/>
      <w:bCs/>
      <w:sz w:val="16"/>
      <w:szCs w:val="16"/>
    </w:rPr>
  </w:style>
  <w:style w:type="paragraph" w:styleId="Nadpis6">
    <w:name w:val="heading 6"/>
    <w:basedOn w:val="Normln"/>
    <w:next w:val="Normln"/>
    <w:link w:val="Nadpis6Char"/>
    <w:qFormat/>
    <w:rsid w:val="00110E3B"/>
    <w:pPr>
      <w:keepNext/>
      <w:spacing w:before="120" w:after="120" w:line="240" w:lineRule="auto"/>
      <w:jc w:val="both"/>
      <w:outlineLvl w:val="5"/>
    </w:pPr>
    <w:rPr>
      <w:b/>
      <w:bCs/>
      <w:sz w:val="1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uiPriority w:val="99"/>
    <w:rsid w:val="00E71A58"/>
    <w:rPr>
      <w:color w:val="0000FF"/>
      <w:u w:val="single"/>
    </w:rPr>
  </w:style>
  <w:style w:type="paragraph" w:customStyle="1" w:styleId="Styl1">
    <w:name w:val="Styl1"/>
    <w:rsid w:val="00E71A58"/>
    <w:pPr>
      <w:suppressAutoHyphens/>
      <w:autoSpaceDE w:val="0"/>
    </w:pPr>
    <w:rPr>
      <w:rFonts w:ascii="Arial" w:eastAsia="Times New Roman" w:hAnsi="Arial"/>
      <w:sz w:val="24"/>
      <w:szCs w:val="24"/>
      <w:lang w:eastAsia="ar-SA"/>
    </w:rPr>
  </w:style>
  <w:style w:type="paragraph" w:styleId="Zhlav">
    <w:name w:val="header"/>
    <w:basedOn w:val="Normln"/>
    <w:link w:val="ZhlavChar"/>
    <w:unhideWhenUsed/>
    <w:rsid w:val="00E71A58"/>
    <w:pPr>
      <w:tabs>
        <w:tab w:val="center" w:pos="4536"/>
        <w:tab w:val="right" w:pos="9072"/>
      </w:tabs>
    </w:pPr>
    <w:rPr>
      <w:rFonts w:ascii="Calibri" w:eastAsia="Calibri" w:hAnsi="Calibri"/>
      <w:sz w:val="22"/>
      <w:szCs w:val="22"/>
      <w:lang w:eastAsia="en-US"/>
    </w:rPr>
  </w:style>
  <w:style w:type="character" w:customStyle="1" w:styleId="ZhlavChar">
    <w:name w:val="Záhlaví Char"/>
    <w:basedOn w:val="Standardnpsmoodstavce"/>
    <w:link w:val="Zhlav"/>
    <w:rsid w:val="00E71A58"/>
  </w:style>
  <w:style w:type="paragraph" w:styleId="Zpat">
    <w:name w:val="footer"/>
    <w:basedOn w:val="Normln"/>
    <w:link w:val="ZpatChar"/>
    <w:uiPriority w:val="99"/>
    <w:unhideWhenUsed/>
    <w:rsid w:val="00E71A58"/>
    <w:pPr>
      <w:tabs>
        <w:tab w:val="center" w:pos="4536"/>
        <w:tab w:val="right" w:pos="9072"/>
      </w:tabs>
    </w:pPr>
    <w:rPr>
      <w:rFonts w:ascii="Calibri" w:eastAsia="Calibri" w:hAnsi="Calibri"/>
      <w:sz w:val="22"/>
      <w:szCs w:val="22"/>
      <w:lang w:eastAsia="en-US"/>
    </w:rPr>
  </w:style>
  <w:style w:type="character" w:customStyle="1" w:styleId="ZpatChar">
    <w:name w:val="Zápatí Char"/>
    <w:basedOn w:val="Standardnpsmoodstavce"/>
    <w:link w:val="Zpat"/>
    <w:uiPriority w:val="99"/>
    <w:rsid w:val="00E71A58"/>
  </w:style>
  <w:style w:type="paragraph" w:styleId="Textbubliny">
    <w:name w:val="Balloon Text"/>
    <w:basedOn w:val="Normln"/>
    <w:link w:val="TextbublinyChar"/>
    <w:uiPriority w:val="99"/>
    <w:semiHidden/>
    <w:unhideWhenUsed/>
    <w:rsid w:val="00E71A58"/>
    <w:rPr>
      <w:rFonts w:ascii="Tahoma" w:eastAsia="Calibri" w:hAnsi="Tahoma"/>
      <w:sz w:val="16"/>
      <w:szCs w:val="16"/>
    </w:rPr>
  </w:style>
  <w:style w:type="character" w:customStyle="1" w:styleId="TextbublinyChar">
    <w:name w:val="Text bubliny Char"/>
    <w:link w:val="Textbubliny"/>
    <w:uiPriority w:val="99"/>
    <w:semiHidden/>
    <w:rsid w:val="00E71A58"/>
    <w:rPr>
      <w:rFonts w:ascii="Tahoma" w:hAnsi="Tahoma" w:cs="Tahoma"/>
      <w:sz w:val="16"/>
      <w:szCs w:val="16"/>
    </w:rPr>
  </w:style>
  <w:style w:type="paragraph" w:customStyle="1" w:styleId="Zkladnodstavec">
    <w:name w:val="[Základní odstavec]"/>
    <w:basedOn w:val="Normln"/>
    <w:link w:val="ZkladnodstavecChar"/>
    <w:uiPriority w:val="99"/>
    <w:rsid w:val="001714F2"/>
    <w:pPr>
      <w:autoSpaceDE w:val="0"/>
      <w:autoSpaceDN w:val="0"/>
      <w:adjustRightInd w:val="0"/>
      <w:textAlignment w:val="center"/>
    </w:pPr>
    <w:rPr>
      <w:rFonts w:ascii="Minion Pro" w:eastAsia="Calibri" w:hAnsi="Minion Pro"/>
      <w:color w:val="000000"/>
      <w:sz w:val="24"/>
    </w:rPr>
  </w:style>
  <w:style w:type="paragraph" w:styleId="Nzev">
    <w:name w:val="Title"/>
    <w:next w:val="Normln"/>
    <w:link w:val="NzevChar"/>
    <w:qFormat/>
    <w:rsid w:val="0048086F"/>
    <w:pPr>
      <w:spacing w:line="288" w:lineRule="auto"/>
      <w:contextualSpacing/>
      <w:outlineLvl w:val="0"/>
    </w:pPr>
    <w:rPr>
      <w:rFonts w:ascii="Arial" w:eastAsia="MS Gothic" w:hAnsi="Arial"/>
      <w:b/>
      <w:caps/>
      <w:color w:val="BC091B"/>
      <w:sz w:val="56"/>
      <w:szCs w:val="52"/>
    </w:rPr>
  </w:style>
  <w:style w:type="character" w:customStyle="1" w:styleId="NzevChar">
    <w:name w:val="Název Char"/>
    <w:link w:val="Nzev"/>
    <w:rsid w:val="0048086F"/>
    <w:rPr>
      <w:rFonts w:ascii="Arial" w:eastAsia="MS Gothic" w:hAnsi="Arial"/>
      <w:b/>
      <w:caps/>
      <w:color w:val="BC091B"/>
      <w:sz w:val="56"/>
      <w:szCs w:val="52"/>
      <w:lang w:bidi="ar-SA"/>
    </w:rPr>
  </w:style>
  <w:style w:type="paragraph" w:styleId="Podtitul">
    <w:name w:val="Subtitle"/>
    <w:next w:val="Normln"/>
    <w:link w:val="PodtitulChar"/>
    <w:uiPriority w:val="11"/>
    <w:qFormat/>
    <w:rsid w:val="00BC3543"/>
    <w:pPr>
      <w:numPr>
        <w:ilvl w:val="1"/>
      </w:numPr>
      <w:spacing w:line="288" w:lineRule="auto"/>
    </w:pPr>
    <w:rPr>
      <w:rFonts w:ascii="Arial" w:eastAsia="MS Gothic" w:hAnsi="Arial"/>
      <w:b/>
      <w:iCs/>
      <w:color w:val="BC091B"/>
      <w:sz w:val="28"/>
      <w:szCs w:val="24"/>
    </w:rPr>
  </w:style>
  <w:style w:type="character" w:customStyle="1" w:styleId="PodtitulChar">
    <w:name w:val="Podtitul Char"/>
    <w:link w:val="Podtitul"/>
    <w:uiPriority w:val="11"/>
    <w:rsid w:val="00BC3543"/>
    <w:rPr>
      <w:rFonts w:ascii="Arial" w:eastAsia="MS Gothic" w:hAnsi="Arial"/>
      <w:b/>
      <w:iCs/>
      <w:color w:val="BC091B"/>
      <w:sz w:val="28"/>
      <w:szCs w:val="24"/>
      <w:lang w:bidi="ar-SA"/>
    </w:rPr>
  </w:style>
  <w:style w:type="character" w:customStyle="1" w:styleId="Nadpis1Char">
    <w:name w:val="Nadpis 1 Char"/>
    <w:link w:val="Nadpis1"/>
    <w:rsid w:val="00BC3543"/>
    <w:rPr>
      <w:rFonts w:ascii="Arial" w:eastAsia="MS Gothic" w:hAnsi="Arial"/>
      <w:b/>
      <w:bCs/>
      <w:color w:val="BC091B"/>
      <w:sz w:val="32"/>
      <w:szCs w:val="28"/>
      <w:lang w:bidi="ar-SA"/>
    </w:rPr>
  </w:style>
  <w:style w:type="character" w:customStyle="1" w:styleId="Nadpis2Char">
    <w:name w:val="Nadpis 2 Char"/>
    <w:link w:val="Nadpis2"/>
    <w:rsid w:val="00A1636E"/>
    <w:rPr>
      <w:rFonts w:ascii="Arial" w:eastAsia="MS Gothic" w:hAnsi="Arial"/>
      <w:b/>
      <w:bCs/>
      <w:color w:val="BC091B"/>
      <w:sz w:val="28"/>
      <w:szCs w:val="26"/>
    </w:rPr>
  </w:style>
  <w:style w:type="character" w:customStyle="1" w:styleId="Nadpis3Char">
    <w:name w:val="Nadpis 3 Char"/>
    <w:link w:val="Nadpis3"/>
    <w:rsid w:val="00EE39DC"/>
    <w:rPr>
      <w:rFonts w:ascii="Arial" w:eastAsia="MS Gothic" w:hAnsi="Arial"/>
      <w:b/>
      <w:bCs/>
      <w:color w:val="BC091B"/>
      <w:sz w:val="24"/>
      <w:szCs w:val="24"/>
    </w:rPr>
  </w:style>
  <w:style w:type="character" w:customStyle="1" w:styleId="Nadpis4Char">
    <w:name w:val="Nadpis 4 Char"/>
    <w:link w:val="Nadpis4"/>
    <w:rsid w:val="005108C0"/>
    <w:rPr>
      <w:rFonts w:ascii="Arial" w:eastAsia="MS Gothic" w:hAnsi="Arial"/>
      <w:b/>
      <w:bCs/>
      <w:iCs/>
      <w:szCs w:val="24"/>
      <w:lang w:bidi="ar-SA"/>
    </w:rPr>
  </w:style>
  <w:style w:type="paragraph" w:customStyle="1" w:styleId="Stednmka21">
    <w:name w:val="Střední mřížka 21"/>
    <w:aliases w:val="Bez zarážky"/>
    <w:link w:val="Stednmka2Char"/>
    <w:uiPriority w:val="1"/>
    <w:qFormat/>
    <w:rsid w:val="008D2A16"/>
    <w:pPr>
      <w:spacing w:line="288" w:lineRule="auto"/>
    </w:pPr>
    <w:rPr>
      <w:rFonts w:ascii="Arial" w:eastAsia="Times New Roman" w:hAnsi="Arial"/>
      <w:szCs w:val="24"/>
    </w:rPr>
  </w:style>
  <w:style w:type="paragraph" w:customStyle="1" w:styleId="Box1">
    <w:name w:val="Box 1"/>
    <w:basedOn w:val="Zkladnodstavec"/>
    <w:next w:val="Normln"/>
    <w:qFormat/>
    <w:rsid w:val="00BC3543"/>
    <w:pPr>
      <w:ind w:left="1134"/>
    </w:pPr>
    <w:rPr>
      <w:rFonts w:ascii="Arial" w:hAnsi="Arial" w:cs="Arial"/>
      <w:color w:val="BC091B"/>
      <w:sz w:val="20"/>
      <w:szCs w:val="20"/>
    </w:rPr>
  </w:style>
  <w:style w:type="paragraph" w:customStyle="1" w:styleId="Box2">
    <w:name w:val="Box 2"/>
    <w:basedOn w:val="Zkladnodstavec"/>
    <w:link w:val="Box2Char"/>
    <w:rsid w:val="00010702"/>
    <w:pPr>
      <w:shd w:val="clear" w:color="auto" w:fill="CCC0D9"/>
      <w:tabs>
        <w:tab w:val="left" w:pos="9638"/>
      </w:tabs>
      <w:ind w:left="1134" w:right="-1"/>
      <w:jc w:val="both"/>
    </w:pPr>
    <w:rPr>
      <w:rFonts w:ascii="Arial" w:hAnsi="Arial"/>
      <w:b/>
    </w:rPr>
  </w:style>
  <w:style w:type="paragraph" w:customStyle="1" w:styleId="Box">
    <w:name w:val="Box"/>
    <w:next w:val="Normln"/>
    <w:link w:val="BoxChar"/>
    <w:qFormat/>
    <w:rsid w:val="00210AA5"/>
    <w:pPr>
      <w:shd w:val="clear" w:color="auto" w:fill="F5DADD"/>
      <w:spacing w:line="288" w:lineRule="auto"/>
      <w:ind w:left="1134"/>
    </w:pPr>
    <w:rPr>
      <w:rFonts w:ascii="Arial" w:hAnsi="Arial"/>
      <w:color w:val="000000"/>
      <w:sz w:val="24"/>
      <w:szCs w:val="24"/>
    </w:rPr>
  </w:style>
  <w:style w:type="paragraph" w:customStyle="1" w:styleId="TL-Kontakty">
    <w:name w:val="TL - Kontakty"/>
    <w:next w:val="Normln"/>
    <w:link w:val="TL-KontaktyChar"/>
    <w:qFormat/>
    <w:rsid w:val="004F06F5"/>
    <w:pPr>
      <w:spacing w:after="80"/>
    </w:pPr>
    <w:rPr>
      <w:rFonts w:ascii="Arial" w:eastAsia="Times New Roman" w:hAnsi="Arial"/>
      <w:b/>
      <w:caps/>
      <w:color w:val="BD1B21"/>
      <w:sz w:val="24"/>
      <w:szCs w:val="24"/>
    </w:rPr>
  </w:style>
  <w:style w:type="character" w:customStyle="1" w:styleId="ZkladnodstavecChar">
    <w:name w:val="[Základní odstavec] Char"/>
    <w:link w:val="Zkladnodstavec"/>
    <w:uiPriority w:val="99"/>
    <w:rsid w:val="006710C9"/>
    <w:rPr>
      <w:rFonts w:ascii="Minion Pro" w:hAnsi="Minion Pro" w:cs="Minion Pro"/>
      <w:color w:val="000000"/>
      <w:sz w:val="24"/>
      <w:szCs w:val="24"/>
    </w:rPr>
  </w:style>
  <w:style w:type="character" w:customStyle="1" w:styleId="Box2Char">
    <w:name w:val="Box 2 Char"/>
    <w:link w:val="Box2"/>
    <w:rsid w:val="006710C9"/>
    <w:rPr>
      <w:rFonts w:ascii="Arial" w:hAnsi="Arial" w:cs="Arial"/>
      <w:b/>
      <w:color w:val="000000"/>
      <w:sz w:val="24"/>
      <w:szCs w:val="24"/>
      <w:shd w:val="clear" w:color="auto" w:fill="CCC0D9"/>
    </w:rPr>
  </w:style>
  <w:style w:type="character" w:customStyle="1" w:styleId="BoxChar">
    <w:name w:val="Box Char"/>
    <w:link w:val="Box"/>
    <w:rsid w:val="00210AA5"/>
    <w:rPr>
      <w:rFonts w:ascii="Arial" w:hAnsi="Arial"/>
      <w:color w:val="000000"/>
      <w:sz w:val="24"/>
      <w:szCs w:val="24"/>
      <w:shd w:val="clear" w:color="auto" w:fill="F5DADD"/>
      <w:lang w:bidi="ar-SA"/>
    </w:rPr>
  </w:style>
  <w:style w:type="paragraph" w:customStyle="1" w:styleId="TL-Identifikace">
    <w:name w:val="TL - Identifikace"/>
    <w:next w:val="Normln"/>
    <w:link w:val="TL-IdentifikaceChar"/>
    <w:qFormat/>
    <w:rsid w:val="004F06F5"/>
    <w:pPr>
      <w:spacing w:after="200" w:line="288" w:lineRule="auto"/>
    </w:pPr>
    <w:rPr>
      <w:rFonts w:ascii="Arial" w:eastAsia="Times New Roman" w:hAnsi="Arial"/>
      <w:sz w:val="24"/>
      <w:szCs w:val="24"/>
    </w:rPr>
  </w:style>
  <w:style w:type="character" w:customStyle="1" w:styleId="TL-KontaktyChar">
    <w:name w:val="TL - Kontakty Char"/>
    <w:link w:val="TL-Kontakty"/>
    <w:rsid w:val="004F06F5"/>
    <w:rPr>
      <w:rFonts w:ascii="Arial" w:eastAsia="Times New Roman" w:hAnsi="Arial"/>
      <w:b/>
      <w:caps/>
      <w:color w:val="BD1B21"/>
      <w:sz w:val="24"/>
      <w:szCs w:val="24"/>
      <w:lang w:bidi="ar-SA"/>
    </w:rPr>
  </w:style>
  <w:style w:type="character" w:customStyle="1" w:styleId="TL-IdentifikaceChar">
    <w:name w:val="TL - Identifikace Char"/>
    <w:link w:val="TL-Identifikace"/>
    <w:rsid w:val="004F06F5"/>
    <w:rPr>
      <w:rFonts w:ascii="Arial" w:eastAsia="Times New Roman" w:hAnsi="Arial"/>
      <w:sz w:val="24"/>
      <w:szCs w:val="24"/>
      <w:lang w:bidi="ar-SA"/>
    </w:rPr>
  </w:style>
  <w:style w:type="paragraph" w:customStyle="1" w:styleId="3372873BB58A4DED866D2BE34882C06C">
    <w:name w:val="3372873BB58A4DED866D2BE34882C06C"/>
    <w:rsid w:val="00EE3E78"/>
    <w:pPr>
      <w:spacing w:after="200" w:line="276" w:lineRule="auto"/>
    </w:pPr>
    <w:rPr>
      <w:rFonts w:eastAsia="MS Mincho"/>
      <w:sz w:val="22"/>
      <w:szCs w:val="22"/>
    </w:rPr>
  </w:style>
  <w:style w:type="paragraph" w:customStyle="1" w:styleId="233E5CD5853943F4BD7E8C4B124C0E1D">
    <w:name w:val="233E5CD5853943F4BD7E8C4B124C0E1D"/>
    <w:rsid w:val="00EE3E78"/>
    <w:pPr>
      <w:spacing w:after="200" w:line="276" w:lineRule="auto"/>
    </w:pPr>
    <w:rPr>
      <w:rFonts w:eastAsia="MS Mincho"/>
      <w:sz w:val="22"/>
      <w:szCs w:val="22"/>
    </w:rPr>
  </w:style>
  <w:style w:type="paragraph" w:customStyle="1" w:styleId="D345FF3D873148C5AE3FBF3267827368">
    <w:name w:val="D345FF3D873148C5AE3FBF3267827368"/>
    <w:rsid w:val="00EE3E78"/>
    <w:pPr>
      <w:spacing w:after="200" w:line="276" w:lineRule="auto"/>
    </w:pPr>
    <w:rPr>
      <w:rFonts w:eastAsia="MS Mincho"/>
      <w:sz w:val="22"/>
      <w:szCs w:val="22"/>
    </w:rPr>
  </w:style>
  <w:style w:type="character" w:customStyle="1" w:styleId="Stednmka2Char">
    <w:name w:val="Střední mřížka 2 Char"/>
    <w:aliases w:val="Bez zarážky Char"/>
    <w:link w:val="Stednmka21"/>
    <w:uiPriority w:val="1"/>
    <w:rsid w:val="00EE3E78"/>
    <w:rPr>
      <w:rFonts w:ascii="Arial" w:eastAsia="Times New Roman" w:hAnsi="Arial"/>
      <w:szCs w:val="24"/>
      <w:lang w:bidi="ar-SA"/>
    </w:rPr>
  </w:style>
  <w:style w:type="paragraph" w:customStyle="1" w:styleId="TL-identifikace-sted">
    <w:name w:val="TL - identifikace - střed"/>
    <w:basedOn w:val="Normln"/>
    <w:link w:val="TL-identifikace-stedChar"/>
    <w:qFormat/>
    <w:rsid w:val="006C113F"/>
    <w:pPr>
      <w:spacing w:after="200"/>
    </w:pPr>
    <w:rPr>
      <w:sz w:val="24"/>
    </w:rPr>
  </w:style>
  <w:style w:type="paragraph" w:customStyle="1" w:styleId="TL-Identifikace-dole">
    <w:name w:val="TL - Identifikace - dole"/>
    <w:basedOn w:val="Normln"/>
    <w:link w:val="TL-Identifikace-doleChar"/>
    <w:qFormat/>
    <w:rsid w:val="006C113F"/>
    <w:pPr>
      <w:spacing w:after="200"/>
    </w:pPr>
    <w:rPr>
      <w:szCs w:val="20"/>
      <w:lang w:eastAsia="ar-SA"/>
    </w:rPr>
  </w:style>
  <w:style w:type="character" w:customStyle="1" w:styleId="TL-identifikace-stedChar">
    <w:name w:val="TL - identifikace - střed Char"/>
    <w:link w:val="TL-identifikace-sted"/>
    <w:rsid w:val="006C113F"/>
    <w:rPr>
      <w:rFonts w:ascii="Arial" w:eastAsia="Times New Roman" w:hAnsi="Arial"/>
      <w:sz w:val="24"/>
      <w:szCs w:val="24"/>
    </w:rPr>
  </w:style>
  <w:style w:type="character" w:customStyle="1" w:styleId="TL-Identifikace-doleChar">
    <w:name w:val="TL - Identifikace - dole Char"/>
    <w:link w:val="TL-Identifikace-dole"/>
    <w:rsid w:val="006C113F"/>
    <w:rPr>
      <w:rFonts w:ascii="Arial" w:eastAsia="Times New Roman" w:hAnsi="Arial" w:cs="Arial"/>
      <w:lang w:eastAsia="ar-SA"/>
    </w:rPr>
  </w:style>
  <w:style w:type="paragraph" w:customStyle="1" w:styleId="Box-Lideaspolecnost">
    <w:name w:val="Box - Lide a spolecnost"/>
    <w:next w:val="Normln"/>
    <w:link w:val="Box-LideaspolecnostChar"/>
    <w:rsid w:val="00BC3543"/>
    <w:pPr>
      <w:shd w:val="clear" w:color="auto" w:fill="F5DADD"/>
      <w:spacing w:line="288" w:lineRule="auto"/>
      <w:ind w:left="1134"/>
    </w:pPr>
    <w:rPr>
      <w:rFonts w:ascii="Arial" w:hAnsi="Arial" w:cs="Arial"/>
    </w:rPr>
  </w:style>
  <w:style w:type="character" w:customStyle="1" w:styleId="Box-LideaspolecnostChar">
    <w:name w:val="Box - Lide a spolecnost Char"/>
    <w:link w:val="Box-Lideaspolecnost"/>
    <w:rsid w:val="00BC3543"/>
    <w:rPr>
      <w:rFonts w:ascii="Arial" w:hAnsi="Arial" w:cs="Arial"/>
      <w:shd w:val="clear" w:color="auto" w:fill="F5DADD"/>
      <w:lang w:val="cs-CZ" w:eastAsia="cs-CZ" w:bidi="ar-SA"/>
    </w:rPr>
  </w:style>
  <w:style w:type="paragraph" w:customStyle="1" w:styleId="Obsah">
    <w:name w:val="Obsah"/>
    <w:next w:val="Normln"/>
    <w:link w:val="ObsahChar"/>
    <w:qFormat/>
    <w:rsid w:val="007B47EE"/>
    <w:pPr>
      <w:spacing w:after="200"/>
    </w:pPr>
    <w:rPr>
      <w:rFonts w:ascii="Arial" w:eastAsia="MS Gothic" w:hAnsi="Arial"/>
      <w:b/>
      <w:bCs/>
      <w:color w:val="BC091B"/>
      <w:sz w:val="32"/>
      <w:szCs w:val="28"/>
    </w:rPr>
  </w:style>
  <w:style w:type="character" w:customStyle="1" w:styleId="ObsahChar">
    <w:name w:val="Obsah Char"/>
    <w:link w:val="Obsah"/>
    <w:rsid w:val="007B47EE"/>
    <w:rPr>
      <w:rFonts w:ascii="Arial" w:eastAsia="MS Gothic" w:hAnsi="Arial"/>
      <w:b/>
      <w:bCs/>
      <w:color w:val="BC091B"/>
      <w:sz w:val="32"/>
      <w:szCs w:val="28"/>
      <w:lang w:bidi="ar-SA"/>
    </w:rPr>
  </w:style>
  <w:style w:type="paragraph" w:styleId="Textpoznpodarou">
    <w:name w:val="footnote text"/>
    <w:basedOn w:val="Normln"/>
    <w:link w:val="TextpoznpodarouChar"/>
    <w:semiHidden/>
    <w:rsid w:val="00542E84"/>
    <w:pPr>
      <w:spacing w:before="120" w:after="120" w:line="240" w:lineRule="auto"/>
      <w:jc w:val="both"/>
    </w:pPr>
    <w:rPr>
      <w:sz w:val="16"/>
      <w:szCs w:val="20"/>
    </w:rPr>
  </w:style>
  <w:style w:type="character" w:customStyle="1" w:styleId="TextpoznpodarouChar">
    <w:name w:val="Text pozn. pod čarou Char"/>
    <w:basedOn w:val="Standardnpsmoodstavce"/>
    <w:link w:val="Textpoznpodarou"/>
    <w:semiHidden/>
    <w:rsid w:val="00542E84"/>
    <w:rPr>
      <w:rFonts w:ascii="Arial" w:eastAsia="Times New Roman" w:hAnsi="Arial"/>
      <w:sz w:val="16"/>
    </w:rPr>
  </w:style>
  <w:style w:type="character" w:styleId="Znakapoznpodarou">
    <w:name w:val="footnote reference"/>
    <w:basedOn w:val="Standardnpsmoodstavce"/>
    <w:semiHidden/>
    <w:rsid w:val="00542E84"/>
    <w:rPr>
      <w:vertAlign w:val="superscript"/>
    </w:rPr>
  </w:style>
  <w:style w:type="paragraph" w:customStyle="1" w:styleId="Poznamkapodcarou">
    <w:name w:val="Poznamka pod carou"/>
    <w:basedOn w:val="Normln"/>
    <w:rsid w:val="00542E84"/>
    <w:pPr>
      <w:spacing w:before="120" w:after="120" w:line="240" w:lineRule="auto"/>
    </w:pPr>
    <w:rPr>
      <w:sz w:val="16"/>
      <w:szCs w:val="20"/>
    </w:rPr>
  </w:style>
  <w:style w:type="character" w:customStyle="1" w:styleId="Nadpis5Char">
    <w:name w:val="Nadpis 5 Char"/>
    <w:basedOn w:val="Standardnpsmoodstavce"/>
    <w:link w:val="Nadpis5"/>
    <w:rsid w:val="00110E3B"/>
    <w:rPr>
      <w:rFonts w:ascii="Arial" w:eastAsia="Times New Roman" w:hAnsi="Arial"/>
      <w:b/>
      <w:bCs/>
      <w:sz w:val="16"/>
      <w:szCs w:val="16"/>
    </w:rPr>
  </w:style>
  <w:style w:type="character" w:customStyle="1" w:styleId="Nadpis6Char">
    <w:name w:val="Nadpis 6 Char"/>
    <w:basedOn w:val="Standardnpsmoodstavce"/>
    <w:link w:val="Nadpis6"/>
    <w:rsid w:val="00110E3B"/>
    <w:rPr>
      <w:rFonts w:ascii="Arial" w:eastAsia="Times New Roman" w:hAnsi="Arial"/>
      <w:b/>
      <w:bCs/>
      <w:sz w:val="16"/>
      <w:szCs w:val="24"/>
    </w:rPr>
  </w:style>
  <w:style w:type="paragraph" w:customStyle="1" w:styleId="Nadpisvlastn1">
    <w:name w:val="Nadpis vlastní 1"/>
    <w:basedOn w:val="Normln"/>
    <w:rsid w:val="00110E3B"/>
    <w:pPr>
      <w:spacing w:before="120" w:after="360" w:line="240" w:lineRule="auto"/>
      <w:jc w:val="both"/>
    </w:pPr>
    <w:rPr>
      <w:b/>
      <w:bCs/>
      <w:sz w:val="36"/>
      <w:szCs w:val="20"/>
    </w:rPr>
  </w:style>
  <w:style w:type="paragraph" w:customStyle="1" w:styleId="Nadpisvlastn2">
    <w:name w:val="Nadpis vlastní 2"/>
    <w:basedOn w:val="Nadpisvlastn1"/>
    <w:rsid w:val="00110E3B"/>
    <w:rPr>
      <w14:shadow w14:blurRad="50800" w14:dist="38100" w14:dir="2700000" w14:sx="100000" w14:sy="100000" w14:kx="0" w14:ky="0" w14:algn="tl">
        <w14:srgbClr w14:val="000000">
          <w14:alpha w14:val="60000"/>
        </w14:srgbClr>
      </w14:shadow>
    </w:rPr>
  </w:style>
  <w:style w:type="paragraph" w:styleId="Zkladntextodsazen">
    <w:name w:val="Body Text Indent"/>
    <w:basedOn w:val="Normln"/>
    <w:link w:val="ZkladntextodsazenChar"/>
    <w:semiHidden/>
    <w:rsid w:val="00110E3B"/>
    <w:pPr>
      <w:spacing w:before="120" w:after="120" w:line="240" w:lineRule="auto"/>
      <w:ind w:firstLine="720"/>
      <w:jc w:val="both"/>
    </w:pPr>
  </w:style>
  <w:style w:type="character" w:customStyle="1" w:styleId="ZkladntextodsazenChar">
    <w:name w:val="Základní text odsazený Char"/>
    <w:basedOn w:val="Standardnpsmoodstavce"/>
    <w:link w:val="Zkladntextodsazen"/>
    <w:semiHidden/>
    <w:rsid w:val="00110E3B"/>
    <w:rPr>
      <w:rFonts w:ascii="Arial" w:eastAsia="Times New Roman" w:hAnsi="Arial"/>
      <w:szCs w:val="24"/>
    </w:rPr>
  </w:style>
  <w:style w:type="paragraph" w:customStyle="1" w:styleId="xl25">
    <w:name w:val="xl2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cs="Arial"/>
      <w:sz w:val="16"/>
      <w:szCs w:val="16"/>
    </w:rPr>
  </w:style>
  <w:style w:type="paragraph" w:customStyle="1" w:styleId="xl26">
    <w:name w:val="xl2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cs="Arial"/>
      <w:sz w:val="16"/>
      <w:szCs w:val="16"/>
    </w:rPr>
  </w:style>
  <w:style w:type="paragraph" w:customStyle="1" w:styleId="xl27">
    <w:name w:val="xl2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cs="Arial"/>
      <w:sz w:val="16"/>
      <w:szCs w:val="16"/>
    </w:rPr>
  </w:style>
  <w:style w:type="paragraph" w:customStyle="1" w:styleId="xl28">
    <w:name w:val="xl28"/>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cs="Arial"/>
      <w:sz w:val="16"/>
      <w:szCs w:val="16"/>
    </w:rPr>
  </w:style>
  <w:style w:type="paragraph" w:customStyle="1" w:styleId="xl29">
    <w:name w:val="xl29"/>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0">
    <w:name w:val="xl30"/>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1">
    <w:name w:val="xl31"/>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cs="Arial"/>
      <w:sz w:val="16"/>
      <w:szCs w:val="16"/>
    </w:rPr>
  </w:style>
  <w:style w:type="paragraph" w:customStyle="1" w:styleId="xl32">
    <w:name w:val="xl32"/>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both"/>
    </w:pPr>
    <w:rPr>
      <w:rFonts w:cs="Arial"/>
      <w:sz w:val="16"/>
      <w:szCs w:val="16"/>
    </w:rPr>
  </w:style>
  <w:style w:type="paragraph" w:customStyle="1" w:styleId="xl33">
    <w:name w:val="xl33"/>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4">
    <w:name w:val="xl34"/>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cs="Arial"/>
      <w:sz w:val="16"/>
      <w:szCs w:val="16"/>
    </w:rPr>
  </w:style>
  <w:style w:type="paragraph" w:customStyle="1" w:styleId="xl35">
    <w:name w:val="xl35"/>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cs="Arial"/>
      <w:b/>
      <w:bCs/>
      <w:sz w:val="16"/>
      <w:szCs w:val="16"/>
    </w:rPr>
  </w:style>
  <w:style w:type="paragraph" w:customStyle="1" w:styleId="xl24">
    <w:name w:val="xl24"/>
    <w:basedOn w:val="Normln"/>
    <w:rsid w:val="00110E3B"/>
    <w:pPr>
      <w:spacing w:before="100" w:beforeAutospacing="1" w:after="100" w:afterAutospacing="1" w:line="240" w:lineRule="auto"/>
      <w:jc w:val="center"/>
      <w:textAlignment w:val="center"/>
    </w:pPr>
    <w:rPr>
      <w:rFonts w:ascii="Arial Unicode MS" w:eastAsia="Arial Unicode MS" w:hAnsi="Arial Unicode MS" w:cs="Arial Unicode MS"/>
    </w:rPr>
  </w:style>
  <w:style w:type="paragraph" w:customStyle="1" w:styleId="xl36">
    <w:name w:val="xl36"/>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7">
    <w:name w:val="xl37"/>
    <w:basedOn w:val="Normln"/>
    <w:rsid w:val="00110E3B"/>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38">
    <w:name w:val="xl38"/>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39">
    <w:name w:val="xl39"/>
    <w:basedOn w:val="Normln"/>
    <w:rsid w:val="00110E3B"/>
    <w:pPr>
      <w:pBdr>
        <w:top w:val="single" w:sz="4" w:space="0" w:color="auto"/>
        <w:left w:val="single" w:sz="4"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0">
    <w:name w:val="xl40"/>
    <w:basedOn w:val="Normln"/>
    <w:rsid w:val="00110E3B"/>
    <w:pPr>
      <w:pBdr>
        <w:top w:val="single" w:sz="4" w:space="0" w:color="auto"/>
        <w:left w:val="single" w:sz="4" w:space="0" w:color="auto"/>
        <w:bottom w:val="single" w:sz="8" w:space="0" w:color="auto"/>
        <w:right w:val="single" w:sz="8"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1">
    <w:name w:val="xl41"/>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w:sz w:val="16"/>
      <w:szCs w:val="16"/>
    </w:rPr>
  </w:style>
  <w:style w:type="paragraph" w:customStyle="1" w:styleId="xl42">
    <w:name w:val="xl42"/>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3">
    <w:name w:val="xl43"/>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Unicode MS" w:eastAsia="Arial Unicode MS" w:hAnsi="Arial Unicode MS" w:cs="Arial Unicode MS"/>
      <w:sz w:val="16"/>
      <w:szCs w:val="16"/>
    </w:rPr>
  </w:style>
  <w:style w:type="paragraph" w:customStyle="1" w:styleId="xl44">
    <w:name w:val="xl44"/>
    <w:basedOn w:val="Normln"/>
    <w:rsid w:val="00110E3B"/>
    <w:pPr>
      <w:pBdr>
        <w:top w:val="single" w:sz="4" w:space="0" w:color="auto"/>
        <w:left w:val="single" w:sz="8" w:space="0" w:color="auto"/>
        <w:bottom w:val="single" w:sz="8" w:space="0" w:color="auto"/>
        <w:right w:val="single" w:sz="4" w:space="0" w:color="auto"/>
      </w:pBdr>
      <w:shd w:val="clear" w:color="auto" w:fill="C0C0C0"/>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45">
    <w:name w:val="xl45"/>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6">
    <w:name w:val="xl46"/>
    <w:basedOn w:val="Normln"/>
    <w:rsid w:val="00110E3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Arial Unicode MS" w:cs="Arial Unicode MS"/>
      <w:sz w:val="16"/>
      <w:szCs w:val="16"/>
    </w:rPr>
  </w:style>
  <w:style w:type="paragraph" w:customStyle="1" w:styleId="xl47">
    <w:name w:val="xl47"/>
    <w:basedOn w:val="Normln"/>
    <w:rsid w:val="00110E3B"/>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48">
    <w:name w:val="xl48"/>
    <w:basedOn w:val="Normln"/>
    <w:rsid w:val="00110E3B"/>
    <w:pPr>
      <w:pBdr>
        <w:top w:val="single" w:sz="4" w:space="0" w:color="auto"/>
        <w:left w:val="single" w:sz="8" w:space="0" w:color="auto"/>
        <w:bottom w:val="single" w:sz="8" w:space="0" w:color="auto"/>
        <w:right w:val="single" w:sz="4" w:space="0" w:color="auto"/>
      </w:pBdr>
      <w:shd w:val="clear" w:color="000000" w:fill="C0C0C0"/>
      <w:spacing w:before="100" w:beforeAutospacing="1" w:after="100" w:afterAutospacing="1" w:line="240" w:lineRule="auto"/>
      <w:jc w:val="both"/>
    </w:pPr>
    <w:rPr>
      <w:rFonts w:eastAsia="Arial Unicode MS" w:cs="Arial"/>
      <w:b/>
      <w:bCs/>
      <w:color w:val="000000"/>
      <w:sz w:val="16"/>
      <w:szCs w:val="16"/>
    </w:rPr>
  </w:style>
  <w:style w:type="paragraph" w:customStyle="1" w:styleId="xl49">
    <w:name w:val="xl49"/>
    <w:basedOn w:val="Normln"/>
    <w:rsid w:val="00110E3B"/>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both"/>
    </w:pPr>
    <w:rPr>
      <w:rFonts w:eastAsia="Arial Unicode MS" w:cs="Arial Unicode MS"/>
      <w:sz w:val="16"/>
      <w:szCs w:val="16"/>
    </w:rPr>
  </w:style>
  <w:style w:type="paragraph" w:customStyle="1" w:styleId="xl50">
    <w:name w:val="xl50"/>
    <w:basedOn w:val="Normln"/>
    <w:rsid w:val="00110E3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1">
    <w:name w:val="xl51"/>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2">
    <w:name w:val="xl52"/>
    <w:basedOn w:val="Normln"/>
    <w:rsid w:val="00110E3B"/>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3">
    <w:name w:val="xl53"/>
    <w:basedOn w:val="Normln"/>
    <w:rsid w:val="00110E3B"/>
    <w:pPr>
      <w:pBdr>
        <w:top w:val="single" w:sz="4" w:space="0" w:color="auto"/>
        <w:left w:val="single" w:sz="4" w:space="0" w:color="auto"/>
        <w:bottom w:val="single" w:sz="4" w:space="0" w:color="auto"/>
        <w:right w:val="single" w:sz="8" w:space="0" w:color="auto"/>
      </w:pBdr>
      <w:shd w:val="clear" w:color="auto" w:fill="C0C0C0"/>
      <w:spacing w:before="100" w:beforeAutospacing="1" w:after="100" w:afterAutospacing="1" w:line="240" w:lineRule="auto"/>
      <w:jc w:val="center"/>
    </w:pPr>
    <w:rPr>
      <w:rFonts w:eastAsia="Arial Unicode MS" w:cs="Arial Unicode MS"/>
      <w:sz w:val="16"/>
      <w:szCs w:val="16"/>
    </w:rPr>
  </w:style>
  <w:style w:type="paragraph" w:customStyle="1" w:styleId="xl54">
    <w:name w:val="xl54"/>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eastAsia="Arial Unicode MS" w:cs="Arial Unicode MS"/>
      <w:sz w:val="16"/>
      <w:szCs w:val="16"/>
    </w:rPr>
  </w:style>
  <w:style w:type="paragraph" w:customStyle="1" w:styleId="xl55">
    <w:name w:val="xl55"/>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eastAsia="Arial Unicode MS" w:cs="Arial Unicode MS"/>
      <w:sz w:val="16"/>
      <w:szCs w:val="16"/>
    </w:rPr>
  </w:style>
  <w:style w:type="paragraph" w:customStyle="1" w:styleId="xl56">
    <w:name w:val="xl56"/>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sz w:val="16"/>
      <w:szCs w:val="16"/>
    </w:rPr>
  </w:style>
  <w:style w:type="paragraph" w:customStyle="1" w:styleId="xl57">
    <w:name w:val="xl57"/>
    <w:basedOn w:val="Normln"/>
    <w:rsid w:val="00110E3B"/>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both"/>
    </w:pPr>
    <w:rPr>
      <w:rFonts w:ascii="Arial Unicode MS" w:eastAsia="Arial Unicode MS" w:hAnsi="Arial Unicode MS" w:cs="Arial Unicode MS"/>
      <w:b/>
      <w:bCs/>
      <w:sz w:val="16"/>
      <w:szCs w:val="16"/>
    </w:rPr>
  </w:style>
  <w:style w:type="paragraph" w:customStyle="1" w:styleId="xl58">
    <w:name w:val="xl58"/>
    <w:basedOn w:val="Normln"/>
    <w:rsid w:val="00110E3B"/>
    <w:pPr>
      <w:pBdr>
        <w:top w:val="single" w:sz="8" w:space="0" w:color="auto"/>
        <w:left w:val="single" w:sz="4" w:space="0" w:color="auto"/>
        <w:bottom w:val="single" w:sz="4" w:space="0" w:color="auto"/>
        <w:right w:val="single" w:sz="4" w:space="0" w:color="auto"/>
      </w:pBdr>
      <w:shd w:val="clear" w:color="auto" w:fill="C0C0C0"/>
      <w:spacing w:before="100" w:beforeAutospacing="1" w:after="100" w:afterAutospacing="1" w:line="240" w:lineRule="auto"/>
      <w:jc w:val="center"/>
      <w:textAlignment w:val="center"/>
    </w:pPr>
    <w:rPr>
      <w:rFonts w:eastAsia="Arial Unicode MS" w:cs="Arial Unicode MS"/>
      <w:b/>
      <w:bCs/>
      <w:sz w:val="16"/>
      <w:szCs w:val="16"/>
    </w:rPr>
  </w:style>
  <w:style w:type="paragraph" w:customStyle="1" w:styleId="xl59">
    <w:name w:val="xl59"/>
    <w:basedOn w:val="Normln"/>
    <w:rsid w:val="00110E3B"/>
    <w:pPr>
      <w:pBdr>
        <w:top w:val="single" w:sz="4" w:space="0" w:color="auto"/>
        <w:bottom w:val="single" w:sz="4" w:space="0" w:color="auto"/>
        <w:right w:val="single" w:sz="4" w:space="0" w:color="auto"/>
      </w:pBdr>
      <w:shd w:val="clear" w:color="auto" w:fill="C0C0C0"/>
      <w:spacing w:before="100" w:beforeAutospacing="1" w:after="100" w:afterAutospacing="1" w:line="240" w:lineRule="auto"/>
      <w:jc w:val="both"/>
    </w:pPr>
    <w:rPr>
      <w:rFonts w:eastAsia="Arial Unicode MS" w:cs="Arial"/>
      <w:color w:val="000000"/>
    </w:rPr>
  </w:style>
  <w:style w:type="paragraph" w:customStyle="1" w:styleId="xl60">
    <w:name w:val="xl60"/>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1">
    <w:name w:val="xl61"/>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2">
    <w:name w:val="xl62"/>
    <w:basedOn w:val="Normln"/>
    <w:rsid w:val="00110E3B"/>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3">
    <w:name w:val="xl63"/>
    <w:basedOn w:val="Normln"/>
    <w:rsid w:val="00110E3B"/>
    <w:pPr>
      <w:pBdr>
        <w:top w:val="single" w:sz="8" w:space="0" w:color="auto"/>
        <w:bottom w:val="single" w:sz="8"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4">
    <w:name w:val="xl64"/>
    <w:basedOn w:val="Normln"/>
    <w:rsid w:val="00110E3B"/>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eastAsia="Arial Unicode MS" w:cs="Arial"/>
      <w:b/>
      <w:bCs/>
      <w:sz w:val="16"/>
      <w:szCs w:val="16"/>
    </w:rPr>
  </w:style>
  <w:style w:type="paragraph" w:customStyle="1" w:styleId="xl65">
    <w:name w:val="xl65"/>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6">
    <w:name w:val="xl66"/>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7">
    <w:name w:val="xl67"/>
    <w:basedOn w:val="Normln"/>
    <w:rsid w:val="00110E3B"/>
    <w:pPr>
      <w:pBdr>
        <w:top w:val="single" w:sz="4" w:space="0" w:color="auto"/>
        <w:left w:val="single" w:sz="4" w:space="0" w:color="auto"/>
        <w:bottom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8">
    <w:name w:val="xl68"/>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eastAsia="Arial Unicode MS" w:cs="Arial"/>
      <w:sz w:val="16"/>
      <w:szCs w:val="16"/>
    </w:rPr>
  </w:style>
  <w:style w:type="paragraph" w:customStyle="1" w:styleId="xl69">
    <w:name w:val="xl69"/>
    <w:basedOn w:val="Normln"/>
    <w:rsid w:val="00110E3B"/>
    <w:pPr>
      <w:pBdr>
        <w:top w:val="single" w:sz="4" w:space="0" w:color="auto"/>
        <w:left w:val="single" w:sz="4" w:space="0" w:color="auto"/>
        <w:bottom w:val="single" w:sz="4" w:space="0" w:color="auto"/>
      </w:pBdr>
      <w:shd w:val="clear" w:color="auto" w:fill="C0C0C0"/>
      <w:spacing w:before="100" w:beforeAutospacing="1" w:after="100" w:afterAutospacing="1" w:line="240" w:lineRule="auto"/>
      <w:jc w:val="both"/>
    </w:pPr>
    <w:rPr>
      <w:rFonts w:eastAsia="Arial Unicode MS" w:cs="Arial"/>
      <w:sz w:val="16"/>
      <w:szCs w:val="16"/>
    </w:rPr>
  </w:style>
  <w:style w:type="paragraph" w:customStyle="1" w:styleId="xl70">
    <w:name w:val="xl70"/>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1">
    <w:name w:val="xl71"/>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2">
    <w:name w:val="xl72"/>
    <w:basedOn w:val="Normln"/>
    <w:rsid w:val="00110E3B"/>
    <w:pPr>
      <w:pBdr>
        <w:top w:val="single" w:sz="4" w:space="0" w:color="auto"/>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3">
    <w:name w:val="xl73"/>
    <w:basedOn w:val="Normln"/>
    <w:rsid w:val="00110E3B"/>
    <w:pPr>
      <w:pBdr>
        <w:left w:val="single" w:sz="8"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4">
    <w:name w:val="xl74"/>
    <w:basedOn w:val="Normln"/>
    <w:rsid w:val="00110E3B"/>
    <w:pPr>
      <w:pBdr>
        <w:left w:val="single" w:sz="8"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5">
    <w:name w:val="xl75"/>
    <w:basedOn w:val="Normln"/>
    <w:rsid w:val="00110E3B"/>
    <w:pPr>
      <w:pBdr>
        <w:top w:val="single" w:sz="4" w:space="0" w:color="auto"/>
        <w:bottom w:val="single" w:sz="4" w:space="0" w:color="auto"/>
        <w:right w:val="single" w:sz="4" w:space="0" w:color="auto"/>
      </w:pBdr>
      <w:spacing w:before="100" w:beforeAutospacing="1" w:after="100" w:afterAutospacing="1" w:line="240" w:lineRule="auto"/>
      <w:jc w:val="both"/>
    </w:pPr>
    <w:rPr>
      <w:rFonts w:ascii="Arial Unicode MS" w:eastAsia="Arial Unicode MS" w:hAnsi="Arial Unicode MS" w:cs="Arial Unicode MS"/>
    </w:rPr>
  </w:style>
  <w:style w:type="paragraph" w:customStyle="1" w:styleId="xl76">
    <w:name w:val="xl76"/>
    <w:basedOn w:val="Normln"/>
    <w:rsid w:val="00110E3B"/>
    <w:pPr>
      <w:pBdr>
        <w:top w:val="single" w:sz="4" w:space="0" w:color="auto"/>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7">
    <w:name w:val="xl77"/>
    <w:basedOn w:val="Normln"/>
    <w:rsid w:val="00110E3B"/>
    <w:pPr>
      <w:pBdr>
        <w:left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paragraph" w:customStyle="1" w:styleId="xl78">
    <w:name w:val="xl78"/>
    <w:basedOn w:val="Normln"/>
    <w:rsid w:val="00110E3B"/>
    <w:pPr>
      <w:pBdr>
        <w:left w:val="single" w:sz="4" w:space="0" w:color="auto"/>
        <w:bottom w:val="single" w:sz="4" w:space="0" w:color="auto"/>
        <w:right w:val="single" w:sz="4" w:space="0" w:color="auto"/>
      </w:pBdr>
      <w:spacing w:before="100" w:beforeAutospacing="1" w:after="100" w:afterAutospacing="1" w:line="240" w:lineRule="auto"/>
      <w:jc w:val="both"/>
      <w:textAlignment w:val="top"/>
    </w:pPr>
    <w:rPr>
      <w:rFonts w:eastAsia="Arial Unicode MS" w:cs="Arial"/>
      <w:sz w:val="16"/>
      <w:szCs w:val="16"/>
    </w:rPr>
  </w:style>
  <w:style w:type="character" w:styleId="slostrnky">
    <w:name w:val="page number"/>
    <w:basedOn w:val="Standardnpsmoodstavce"/>
    <w:semiHidden/>
    <w:rsid w:val="00110E3B"/>
  </w:style>
  <w:style w:type="paragraph" w:styleId="Zkladntext">
    <w:name w:val="Body Text"/>
    <w:basedOn w:val="Normln"/>
    <w:link w:val="ZkladntextChar"/>
    <w:semiHidden/>
    <w:rsid w:val="00110E3B"/>
    <w:pPr>
      <w:spacing w:before="120" w:after="120" w:line="240" w:lineRule="auto"/>
      <w:jc w:val="both"/>
    </w:pPr>
  </w:style>
  <w:style w:type="character" w:customStyle="1" w:styleId="ZkladntextChar">
    <w:name w:val="Základní text Char"/>
    <w:basedOn w:val="Standardnpsmoodstavce"/>
    <w:link w:val="Zkladntext"/>
    <w:semiHidden/>
    <w:rsid w:val="00110E3B"/>
    <w:rPr>
      <w:rFonts w:ascii="Arial" w:eastAsia="Times New Roman" w:hAnsi="Arial"/>
      <w:szCs w:val="24"/>
    </w:rPr>
  </w:style>
  <w:style w:type="paragraph" w:styleId="Obsah1">
    <w:name w:val="toc 1"/>
    <w:basedOn w:val="Normln"/>
    <w:next w:val="Normln"/>
    <w:autoRedefine/>
    <w:uiPriority w:val="39"/>
    <w:rsid w:val="00110E3B"/>
    <w:pPr>
      <w:spacing w:before="120" w:after="120" w:line="240" w:lineRule="auto"/>
      <w:jc w:val="both"/>
    </w:pPr>
  </w:style>
  <w:style w:type="paragraph" w:styleId="Obsah2">
    <w:name w:val="toc 2"/>
    <w:basedOn w:val="Normln"/>
    <w:next w:val="Normln"/>
    <w:autoRedefine/>
    <w:uiPriority w:val="39"/>
    <w:rsid w:val="00110E3B"/>
    <w:pPr>
      <w:spacing w:before="120" w:after="120" w:line="240" w:lineRule="auto"/>
      <w:ind w:left="240"/>
      <w:jc w:val="both"/>
    </w:pPr>
  </w:style>
  <w:style w:type="paragraph" w:styleId="Obsah3">
    <w:name w:val="toc 3"/>
    <w:basedOn w:val="Normln"/>
    <w:next w:val="Normln"/>
    <w:autoRedefine/>
    <w:uiPriority w:val="39"/>
    <w:rsid w:val="00110E3B"/>
    <w:pPr>
      <w:spacing w:before="120" w:after="120" w:line="240" w:lineRule="auto"/>
      <w:ind w:left="480"/>
      <w:jc w:val="both"/>
    </w:pPr>
  </w:style>
  <w:style w:type="paragraph" w:styleId="Obsah4">
    <w:name w:val="toc 4"/>
    <w:basedOn w:val="Normln"/>
    <w:next w:val="Normln"/>
    <w:autoRedefine/>
    <w:semiHidden/>
    <w:rsid w:val="00110E3B"/>
    <w:pPr>
      <w:spacing w:before="120" w:after="120" w:line="240" w:lineRule="auto"/>
      <w:ind w:left="720"/>
      <w:jc w:val="both"/>
    </w:pPr>
  </w:style>
  <w:style w:type="paragraph" w:styleId="Obsah5">
    <w:name w:val="toc 5"/>
    <w:basedOn w:val="Normln"/>
    <w:next w:val="Normln"/>
    <w:autoRedefine/>
    <w:semiHidden/>
    <w:rsid w:val="00110E3B"/>
    <w:pPr>
      <w:spacing w:before="120" w:after="120" w:line="240" w:lineRule="auto"/>
      <w:ind w:left="960"/>
      <w:jc w:val="both"/>
    </w:pPr>
  </w:style>
  <w:style w:type="paragraph" w:styleId="Obsah6">
    <w:name w:val="toc 6"/>
    <w:basedOn w:val="Normln"/>
    <w:next w:val="Normln"/>
    <w:autoRedefine/>
    <w:semiHidden/>
    <w:rsid w:val="00110E3B"/>
    <w:pPr>
      <w:spacing w:before="120" w:after="120" w:line="240" w:lineRule="auto"/>
      <w:ind w:left="1200"/>
      <w:jc w:val="both"/>
    </w:pPr>
  </w:style>
  <w:style w:type="paragraph" w:styleId="Obsah7">
    <w:name w:val="toc 7"/>
    <w:basedOn w:val="Normln"/>
    <w:next w:val="Normln"/>
    <w:autoRedefine/>
    <w:semiHidden/>
    <w:rsid w:val="00110E3B"/>
    <w:pPr>
      <w:spacing w:before="120" w:after="120" w:line="240" w:lineRule="auto"/>
      <w:ind w:left="1440"/>
      <w:jc w:val="both"/>
    </w:pPr>
  </w:style>
  <w:style w:type="paragraph" w:styleId="Obsah8">
    <w:name w:val="toc 8"/>
    <w:basedOn w:val="Normln"/>
    <w:next w:val="Normln"/>
    <w:autoRedefine/>
    <w:semiHidden/>
    <w:rsid w:val="00110E3B"/>
    <w:pPr>
      <w:spacing w:before="120" w:after="120" w:line="240" w:lineRule="auto"/>
      <w:ind w:left="1680"/>
      <w:jc w:val="both"/>
    </w:pPr>
  </w:style>
  <w:style w:type="paragraph" w:styleId="Obsah9">
    <w:name w:val="toc 9"/>
    <w:basedOn w:val="Normln"/>
    <w:next w:val="Normln"/>
    <w:autoRedefine/>
    <w:semiHidden/>
    <w:rsid w:val="00110E3B"/>
    <w:pPr>
      <w:spacing w:before="120" w:after="120" w:line="240" w:lineRule="auto"/>
      <w:ind w:left="1920"/>
      <w:jc w:val="both"/>
    </w:pPr>
  </w:style>
  <w:style w:type="character" w:styleId="Sledovanodkaz">
    <w:name w:val="FollowedHyperlink"/>
    <w:basedOn w:val="Standardnpsmoodstavce"/>
    <w:semiHidden/>
    <w:rsid w:val="00110E3B"/>
    <w:rPr>
      <w:color w:val="800080"/>
      <w:u w:val="single"/>
    </w:rPr>
  </w:style>
  <w:style w:type="paragraph" w:customStyle="1" w:styleId="normalnsodrkami">
    <w:name w:val="normalní s odrážkami"/>
    <w:basedOn w:val="Normln"/>
    <w:rsid w:val="00110E3B"/>
    <w:pPr>
      <w:numPr>
        <w:numId w:val="6"/>
      </w:numPr>
      <w:spacing w:before="120" w:after="120" w:line="240" w:lineRule="auto"/>
      <w:jc w:val="both"/>
    </w:pPr>
  </w:style>
  <w:style w:type="paragraph" w:styleId="Zkladntext2">
    <w:name w:val="Body Text 2"/>
    <w:basedOn w:val="Normln"/>
    <w:link w:val="Zkladntext2Char"/>
    <w:semiHidden/>
    <w:rsid w:val="00110E3B"/>
    <w:pPr>
      <w:spacing w:before="120" w:after="120" w:line="240" w:lineRule="auto"/>
      <w:jc w:val="both"/>
    </w:pPr>
    <w:rPr>
      <w:rFonts w:cs="Arial"/>
    </w:rPr>
  </w:style>
  <w:style w:type="character" w:customStyle="1" w:styleId="Zkladntext2Char">
    <w:name w:val="Základní text 2 Char"/>
    <w:basedOn w:val="Standardnpsmoodstavce"/>
    <w:link w:val="Zkladntext2"/>
    <w:semiHidden/>
    <w:rsid w:val="00110E3B"/>
    <w:rPr>
      <w:rFonts w:ascii="Arial" w:eastAsia="Times New Roman" w:hAnsi="Arial" w:cs="Arial"/>
      <w:szCs w:val="24"/>
    </w:rPr>
  </w:style>
  <w:style w:type="paragraph" w:customStyle="1" w:styleId="Default">
    <w:name w:val="Default"/>
    <w:rsid w:val="00110E3B"/>
    <w:pPr>
      <w:autoSpaceDE w:val="0"/>
      <w:autoSpaceDN w:val="0"/>
      <w:adjustRightInd w:val="0"/>
    </w:pPr>
    <w:rPr>
      <w:rFonts w:ascii="Times New Roman" w:eastAsia="Times New Roman" w:hAnsi="Times New Roman"/>
      <w:color w:val="000000"/>
      <w:sz w:val="24"/>
      <w:szCs w:val="24"/>
    </w:rPr>
  </w:style>
  <w:style w:type="paragraph" w:styleId="Zkladntext3">
    <w:name w:val="Body Text 3"/>
    <w:basedOn w:val="Normln"/>
    <w:link w:val="Zkladntext3Char"/>
    <w:semiHidden/>
    <w:rsid w:val="00110E3B"/>
    <w:pPr>
      <w:spacing w:before="120" w:after="120" w:line="240" w:lineRule="auto"/>
      <w:jc w:val="both"/>
    </w:pPr>
    <w:rPr>
      <w:rFonts w:cs="Arial"/>
    </w:rPr>
  </w:style>
  <w:style w:type="character" w:customStyle="1" w:styleId="Zkladntext3Char">
    <w:name w:val="Základní text 3 Char"/>
    <w:basedOn w:val="Standardnpsmoodstavce"/>
    <w:link w:val="Zkladntext3"/>
    <w:semiHidden/>
    <w:rsid w:val="00110E3B"/>
    <w:rPr>
      <w:rFonts w:ascii="Arial" w:eastAsia="Times New Roman" w:hAnsi="Arial" w:cs="Arial"/>
      <w:szCs w:val="24"/>
    </w:rPr>
  </w:style>
  <w:style w:type="paragraph" w:styleId="Textvysvtlivek">
    <w:name w:val="endnote text"/>
    <w:basedOn w:val="Normln"/>
    <w:link w:val="TextvysvtlivekChar"/>
    <w:semiHidden/>
    <w:rsid w:val="00110E3B"/>
    <w:pPr>
      <w:spacing w:before="120" w:after="120" w:line="240" w:lineRule="auto"/>
      <w:jc w:val="both"/>
    </w:pPr>
    <w:rPr>
      <w:szCs w:val="20"/>
    </w:rPr>
  </w:style>
  <w:style w:type="character" w:customStyle="1" w:styleId="TextvysvtlivekChar">
    <w:name w:val="Text vysvětlivek Char"/>
    <w:basedOn w:val="Standardnpsmoodstavce"/>
    <w:link w:val="Textvysvtlivek"/>
    <w:semiHidden/>
    <w:rsid w:val="00110E3B"/>
    <w:rPr>
      <w:rFonts w:ascii="Arial" w:eastAsia="Times New Roman" w:hAnsi="Arial"/>
    </w:rPr>
  </w:style>
  <w:style w:type="character" w:styleId="Odkaznavysvtlivky">
    <w:name w:val="endnote reference"/>
    <w:basedOn w:val="Standardnpsmoodstavce"/>
    <w:semiHidden/>
    <w:rsid w:val="00110E3B"/>
    <w:rPr>
      <w:vertAlign w:val="superscript"/>
    </w:rPr>
  </w:style>
  <w:style w:type="character" w:styleId="Siln">
    <w:name w:val="Strong"/>
    <w:basedOn w:val="Standardnpsmoodstavce"/>
    <w:uiPriority w:val="22"/>
    <w:qFormat/>
    <w:rsid w:val="00110E3B"/>
    <w:rPr>
      <w:b/>
      <w:bCs/>
    </w:rPr>
  </w:style>
  <w:style w:type="character" w:customStyle="1" w:styleId="longtext1">
    <w:name w:val="long_text1"/>
    <w:basedOn w:val="Standardnpsmoodstavce"/>
    <w:rsid w:val="00110E3B"/>
    <w:rPr>
      <w:sz w:val="20"/>
      <w:szCs w:val="20"/>
    </w:rPr>
  </w:style>
  <w:style w:type="paragraph" w:styleId="Normlnweb">
    <w:name w:val="Normal (Web)"/>
    <w:basedOn w:val="Normln"/>
    <w:uiPriority w:val="99"/>
    <w:unhideWhenUsed/>
    <w:rsid w:val="00110E3B"/>
    <w:pPr>
      <w:spacing w:before="100" w:beforeAutospacing="1" w:after="100" w:afterAutospacing="1" w:line="240" w:lineRule="auto"/>
      <w:jc w:val="both"/>
    </w:pPr>
  </w:style>
  <w:style w:type="paragraph" w:customStyle="1" w:styleId="nazevtabulky">
    <w:name w:val="nazev tabulky"/>
    <w:basedOn w:val="Normln"/>
    <w:qFormat/>
    <w:rsid w:val="00110E3B"/>
    <w:pPr>
      <w:spacing w:before="240" w:after="240" w:line="240" w:lineRule="auto"/>
    </w:pPr>
    <w:rPr>
      <w:b/>
      <w:bCs/>
      <w:szCs w:val="17"/>
    </w:rPr>
  </w:style>
  <w:style w:type="paragraph" w:styleId="Odstavecseseznamem">
    <w:name w:val="List Paragraph"/>
    <w:basedOn w:val="Normln"/>
    <w:uiPriority w:val="34"/>
    <w:qFormat/>
    <w:rsid w:val="00110E3B"/>
    <w:pPr>
      <w:spacing w:before="120" w:after="120" w:line="240" w:lineRule="auto"/>
      <w:ind w:left="720"/>
      <w:contextualSpacing/>
      <w:jc w:val="both"/>
    </w:pPr>
  </w:style>
  <w:style w:type="numbering" w:customStyle="1" w:styleId="Bezseznamu1">
    <w:name w:val="Bez seznamu1"/>
    <w:next w:val="Bezseznamu"/>
    <w:uiPriority w:val="99"/>
    <w:semiHidden/>
    <w:unhideWhenUsed/>
    <w:rsid w:val="00DB4F3B"/>
  </w:style>
  <w:style w:type="table" w:styleId="Mkatabulky">
    <w:name w:val="Table Grid"/>
    <w:basedOn w:val="Normlntabulka"/>
    <w:uiPriority w:val="59"/>
    <w:rsid w:val="00DB4F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vlastn">
    <w:name w:val="Text vlastní"/>
    <w:basedOn w:val="Normln"/>
    <w:rsid w:val="00DB4F3B"/>
    <w:pPr>
      <w:spacing w:before="120" w:line="240" w:lineRule="auto"/>
      <w:jc w:val="both"/>
    </w:pPr>
    <w:rPr>
      <w:sz w:val="18"/>
      <w:szCs w:val="20"/>
    </w:rPr>
  </w:style>
  <w:style w:type="character" w:styleId="Odkaznakoment">
    <w:name w:val="annotation reference"/>
    <w:basedOn w:val="Standardnpsmoodstavce"/>
    <w:uiPriority w:val="99"/>
    <w:semiHidden/>
    <w:unhideWhenUsed/>
    <w:rsid w:val="00DB4F3B"/>
    <w:rPr>
      <w:sz w:val="16"/>
      <w:szCs w:val="16"/>
    </w:rPr>
  </w:style>
  <w:style w:type="paragraph" w:styleId="Textkomente">
    <w:name w:val="annotation text"/>
    <w:basedOn w:val="Normln"/>
    <w:link w:val="TextkomenteChar"/>
    <w:uiPriority w:val="99"/>
    <w:semiHidden/>
    <w:unhideWhenUsed/>
    <w:rsid w:val="00DB4F3B"/>
    <w:pPr>
      <w:keepNext/>
      <w:spacing w:line="240" w:lineRule="auto"/>
      <w:jc w:val="both"/>
    </w:pPr>
    <w:rPr>
      <w:szCs w:val="20"/>
    </w:rPr>
  </w:style>
  <w:style w:type="character" w:customStyle="1" w:styleId="TextkomenteChar">
    <w:name w:val="Text komentáře Char"/>
    <w:basedOn w:val="Standardnpsmoodstavce"/>
    <w:link w:val="Textkomente"/>
    <w:uiPriority w:val="99"/>
    <w:semiHidden/>
    <w:rsid w:val="00DB4F3B"/>
    <w:rPr>
      <w:rFonts w:ascii="Arial" w:eastAsia="Times New Roman" w:hAnsi="Arial"/>
    </w:rPr>
  </w:style>
  <w:style w:type="paragraph" w:styleId="Pedmtkomente">
    <w:name w:val="annotation subject"/>
    <w:basedOn w:val="Textkomente"/>
    <w:next w:val="Textkomente"/>
    <w:link w:val="PedmtkomenteChar"/>
    <w:uiPriority w:val="99"/>
    <w:semiHidden/>
    <w:unhideWhenUsed/>
    <w:rsid w:val="00DB4F3B"/>
    <w:rPr>
      <w:b/>
      <w:bCs/>
    </w:rPr>
  </w:style>
  <w:style w:type="character" w:customStyle="1" w:styleId="PedmtkomenteChar">
    <w:name w:val="Předmět komentáře Char"/>
    <w:basedOn w:val="TextkomenteChar"/>
    <w:link w:val="Pedmtkomente"/>
    <w:uiPriority w:val="99"/>
    <w:semiHidden/>
    <w:rsid w:val="00DB4F3B"/>
    <w:rPr>
      <w:rFonts w:ascii="Arial" w:eastAsia="Times New Roman" w:hAnsi="Arial"/>
      <w:b/>
      <w:bCs/>
    </w:rPr>
  </w:style>
  <w:style w:type="table" w:styleId="Stednmka3zvraznn2">
    <w:name w:val="Medium Grid 3 Accent 2"/>
    <w:basedOn w:val="Normlntabulka"/>
    <w:uiPriority w:val="60"/>
    <w:rsid w:val="0035195A"/>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numbering" w:customStyle="1" w:styleId="Bezseznamu2">
    <w:name w:val="Bez seznamu2"/>
    <w:next w:val="Bezseznamu"/>
    <w:uiPriority w:val="99"/>
    <w:semiHidden/>
    <w:unhideWhenUsed/>
    <w:rsid w:val="00DE3724"/>
  </w:style>
  <w:style w:type="paragraph" w:styleId="Nadpisobsahu">
    <w:name w:val="TOC Heading"/>
    <w:basedOn w:val="Nadpis1"/>
    <w:next w:val="Normln"/>
    <w:uiPriority w:val="39"/>
    <w:semiHidden/>
    <w:unhideWhenUsed/>
    <w:qFormat/>
    <w:rsid w:val="00DE3724"/>
    <w:pPr>
      <w:spacing w:before="480" w:after="0" w:line="276" w:lineRule="auto"/>
      <w:outlineLvl w:val="9"/>
    </w:pPr>
    <w:rPr>
      <w:rFonts w:asciiTheme="majorHAnsi" w:eastAsiaTheme="majorEastAsia" w:hAnsiTheme="majorHAnsi" w:cstheme="majorBidi"/>
      <w:color w:val="365F91" w:themeColor="accent1" w:themeShade="BF"/>
      <w:sz w:val="28"/>
    </w:rPr>
  </w:style>
  <w:style w:type="numbering" w:customStyle="1" w:styleId="Bezseznamu3">
    <w:name w:val="Bez seznamu3"/>
    <w:next w:val="Bezseznamu"/>
    <w:uiPriority w:val="99"/>
    <w:semiHidden/>
    <w:unhideWhenUsed/>
    <w:rsid w:val="00F41C6D"/>
  </w:style>
  <w:style w:type="table" w:customStyle="1" w:styleId="Mkatabulky1">
    <w:name w:val="Mřížka tabulky1"/>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802A5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86699">
      <w:bodyDiv w:val="1"/>
      <w:marLeft w:val="0"/>
      <w:marRight w:val="0"/>
      <w:marTop w:val="0"/>
      <w:marBottom w:val="0"/>
      <w:divBdr>
        <w:top w:val="none" w:sz="0" w:space="0" w:color="auto"/>
        <w:left w:val="none" w:sz="0" w:space="0" w:color="auto"/>
        <w:bottom w:val="none" w:sz="0" w:space="0" w:color="auto"/>
        <w:right w:val="none" w:sz="0" w:space="0" w:color="auto"/>
      </w:divBdr>
    </w:div>
    <w:div w:id="493226895">
      <w:bodyDiv w:val="1"/>
      <w:marLeft w:val="0"/>
      <w:marRight w:val="0"/>
      <w:marTop w:val="0"/>
      <w:marBottom w:val="0"/>
      <w:divBdr>
        <w:top w:val="none" w:sz="0" w:space="0" w:color="auto"/>
        <w:left w:val="none" w:sz="0" w:space="0" w:color="auto"/>
        <w:bottom w:val="none" w:sz="0" w:space="0" w:color="auto"/>
        <w:right w:val="none" w:sz="0" w:space="0" w:color="auto"/>
      </w:divBdr>
    </w:div>
    <w:div w:id="683020579">
      <w:bodyDiv w:val="1"/>
      <w:marLeft w:val="0"/>
      <w:marRight w:val="0"/>
      <w:marTop w:val="0"/>
      <w:marBottom w:val="0"/>
      <w:divBdr>
        <w:top w:val="none" w:sz="0" w:space="0" w:color="auto"/>
        <w:left w:val="none" w:sz="0" w:space="0" w:color="auto"/>
        <w:bottom w:val="none" w:sz="0" w:space="0" w:color="auto"/>
        <w:right w:val="none" w:sz="0" w:space="0" w:color="auto"/>
      </w:divBdr>
    </w:div>
    <w:div w:id="1336567908">
      <w:bodyDiv w:val="1"/>
      <w:marLeft w:val="0"/>
      <w:marRight w:val="0"/>
      <w:marTop w:val="0"/>
      <w:marBottom w:val="0"/>
      <w:divBdr>
        <w:top w:val="none" w:sz="0" w:space="0" w:color="auto"/>
        <w:left w:val="none" w:sz="0" w:space="0" w:color="auto"/>
        <w:bottom w:val="none" w:sz="0" w:space="0" w:color="auto"/>
        <w:right w:val="none" w:sz="0" w:space="0" w:color="auto"/>
      </w:divBdr>
    </w:div>
    <w:div w:id="1405689476">
      <w:bodyDiv w:val="1"/>
      <w:marLeft w:val="0"/>
      <w:marRight w:val="0"/>
      <w:marTop w:val="0"/>
      <w:marBottom w:val="0"/>
      <w:divBdr>
        <w:top w:val="none" w:sz="0" w:space="0" w:color="auto"/>
        <w:left w:val="none" w:sz="0" w:space="0" w:color="auto"/>
        <w:bottom w:val="none" w:sz="0" w:space="0" w:color="auto"/>
        <w:right w:val="none" w:sz="0" w:space="0" w:color="auto"/>
      </w:divBdr>
    </w:div>
    <w:div w:id="1486582325">
      <w:bodyDiv w:val="1"/>
      <w:marLeft w:val="0"/>
      <w:marRight w:val="0"/>
      <w:marTop w:val="0"/>
      <w:marBottom w:val="0"/>
      <w:divBdr>
        <w:top w:val="none" w:sz="0" w:space="0" w:color="auto"/>
        <w:left w:val="none" w:sz="0" w:space="0" w:color="auto"/>
        <w:bottom w:val="none" w:sz="0" w:space="0" w:color="auto"/>
        <w:right w:val="none" w:sz="0" w:space="0" w:color="auto"/>
      </w:divBdr>
    </w:div>
    <w:div w:id="1518301331">
      <w:bodyDiv w:val="1"/>
      <w:marLeft w:val="0"/>
      <w:marRight w:val="0"/>
      <w:marTop w:val="0"/>
      <w:marBottom w:val="0"/>
      <w:divBdr>
        <w:top w:val="none" w:sz="0" w:space="0" w:color="auto"/>
        <w:left w:val="none" w:sz="0" w:space="0" w:color="auto"/>
        <w:bottom w:val="none" w:sz="0" w:space="0" w:color="auto"/>
        <w:right w:val="none" w:sz="0" w:space="0" w:color="auto"/>
      </w:divBdr>
    </w:div>
    <w:div w:id="2088262363">
      <w:bodyDiv w:val="1"/>
      <w:marLeft w:val="0"/>
      <w:marRight w:val="0"/>
      <w:marTop w:val="0"/>
      <w:marBottom w:val="0"/>
      <w:divBdr>
        <w:top w:val="none" w:sz="0" w:space="0" w:color="auto"/>
        <w:left w:val="none" w:sz="0" w:space="0" w:color="auto"/>
        <w:bottom w:val="none" w:sz="0" w:space="0" w:color="auto"/>
        <w:right w:val="none" w:sz="0" w:space="0" w:color="auto"/>
      </w:divBdr>
    </w:div>
    <w:div w:id="21109235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5.xm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chart" Target="charts/chart4.xm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3.xml"/><Relationship Id="rId5" Type="http://schemas.openxmlformats.org/officeDocument/2006/relationships/settings" Target="settings.xml"/><Relationship Id="rId15" Type="http://schemas.openxmlformats.org/officeDocument/2006/relationships/chart" Target="charts/chart7.xml"/><Relationship Id="rId23" Type="http://schemas.openxmlformats.org/officeDocument/2006/relationships/theme" Target="theme/theme1.xml"/><Relationship Id="rId10" Type="http://schemas.openxmlformats.org/officeDocument/2006/relationships/chart" Target="charts/chart2.xml"/><Relationship Id="rId19" Type="http://schemas.openxmlformats.org/officeDocument/2006/relationships/footer" Target="footer2.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LNIC~1\AppData\Local\Temp\publikace%20bar_lide%20a%20spolecnost.dot" TargetMode="Externa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5.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8.1832107052192252E-2"/>
          <c:y val="2.1504117039521684E-2"/>
          <c:w val="0.86462358188832955"/>
          <c:h val="0.8099402048428157"/>
        </c:manualLayout>
      </c:layout>
      <c:barChart>
        <c:barDir val="col"/>
        <c:grouping val="clustered"/>
        <c:varyColors val="0"/>
        <c:ser>
          <c:idx val="0"/>
          <c:order val="0"/>
          <c:tx>
            <c:strRef>
              <c:f>'Graf 3.1'!$A$3</c:f>
              <c:strCache>
                <c:ptCount val="1"/>
                <c:pt idx="0">
                  <c:v>Výdaje celkem</c:v>
                </c:pt>
              </c:strCache>
            </c:strRef>
          </c:tx>
          <c:spPr>
            <a:solidFill>
              <a:schemeClr val="accent1">
                <a:lumMod val="40000"/>
                <a:lumOff val="60000"/>
              </a:schemeClr>
            </a:solidFill>
            <a:ln>
              <a:solidFill>
                <a:schemeClr val="accent1">
                  <a:lumMod val="60000"/>
                  <a:lumOff val="40000"/>
                </a:schemeClr>
              </a:solidFill>
            </a:ln>
          </c:spPr>
          <c:invertIfNegative val="0"/>
          <c:dLbls>
            <c:dLbl>
              <c:idx val="0"/>
              <c:layout>
                <c:manualLayout>
                  <c:x val="5.4644808743169399E-3"/>
                  <c:y val="3.8816090889557831E-3"/>
                </c:manualLayout>
              </c:layout>
              <c:dLblPos val="outEnd"/>
              <c:showLegendKey val="0"/>
              <c:showVal val="1"/>
              <c:showCatName val="0"/>
              <c:showSerName val="0"/>
              <c:showPercent val="0"/>
              <c:showBubbleSize val="0"/>
            </c:dLbl>
            <c:dLbl>
              <c:idx val="1"/>
              <c:layout>
                <c:manualLayout>
                  <c:x val="-6.6787328042072091E-17"/>
                  <c:y val="1.1644827266867349E-2"/>
                </c:manualLayout>
              </c:layout>
              <c:dLblPos val="outEnd"/>
              <c:showLegendKey val="0"/>
              <c:showVal val="1"/>
              <c:showCatName val="0"/>
              <c:showSerName val="0"/>
              <c:showPercent val="0"/>
              <c:showBubbleSize val="0"/>
            </c:dLbl>
            <c:dLbl>
              <c:idx val="2"/>
              <c:layout>
                <c:manualLayout>
                  <c:x val="-6.6787328042072091E-17"/>
                  <c:y val="1.9408045444778921E-2"/>
                </c:manualLayout>
              </c:layout>
              <c:dLblPos val="outEnd"/>
              <c:showLegendKey val="0"/>
              <c:showVal val="1"/>
              <c:showCatName val="0"/>
              <c:showSerName val="0"/>
              <c:showPercent val="0"/>
              <c:showBubbleSize val="0"/>
            </c:dLbl>
            <c:dLbl>
              <c:idx val="3"/>
              <c:layout>
                <c:manualLayout>
                  <c:x val="3.6429872495445598E-3"/>
                  <c:y val="1.1644827266867346E-2"/>
                </c:manualLayout>
              </c:layout>
              <c:dLblPos val="outEnd"/>
              <c:showLegendKey val="0"/>
              <c:showVal val="1"/>
              <c:showCatName val="0"/>
              <c:showSerName val="0"/>
              <c:showPercent val="0"/>
              <c:showBubbleSize val="0"/>
            </c:dLbl>
            <c:dLbl>
              <c:idx val="4"/>
              <c:layout>
                <c:manualLayout>
                  <c:x val="3.6429872495446266E-3"/>
                  <c:y val="7.7632181779115662E-3"/>
                </c:manualLayout>
              </c:layout>
              <c:dLblPos val="outEnd"/>
              <c:showLegendKey val="0"/>
              <c:showVal val="1"/>
              <c:showCatName val="0"/>
              <c:showSerName val="0"/>
              <c:showPercent val="0"/>
              <c:showBubbleSize val="0"/>
            </c:dLbl>
            <c:dLbl>
              <c:idx val="5"/>
              <c:layout>
                <c:manualLayout>
                  <c:x val="-1.3357465608414418E-16"/>
                  <c:y val="1.5526436355823132E-2"/>
                </c:manualLayout>
              </c:layout>
              <c:dLblPos val="outEnd"/>
              <c:showLegendKey val="0"/>
              <c:showVal val="1"/>
              <c:showCatName val="0"/>
              <c:showSerName val="0"/>
              <c:showPercent val="0"/>
              <c:showBubbleSize val="0"/>
            </c:dLbl>
            <c:numFmt formatCode="#,##0.0" sourceLinked="0"/>
            <c:txPr>
              <a:bodyPr/>
              <a:lstStyle/>
              <a:p>
                <a:pPr>
                  <a:defRPr sz="800" b="1">
                    <a:latin typeface="Arial" panose="020B0604020202020204" pitchFamily="34" charset="0"/>
                    <a:cs typeface="Arial" panose="020B0604020202020204" pitchFamily="34" charset="0"/>
                  </a:defRPr>
                </a:pPr>
                <a:endParaRPr lang="cs-CZ"/>
              </a:p>
            </c:txPr>
            <c:dLblPos val="outEnd"/>
            <c:showLegendKey val="0"/>
            <c:showVal val="1"/>
            <c:showCatName val="0"/>
            <c:showSerName val="0"/>
            <c:showPercent val="0"/>
            <c:showBubbleSize val="0"/>
            <c:showLeaderLines val="0"/>
          </c:dLbls>
          <c:cat>
            <c:strRef>
              <c:f>'Graf 3.1'!$B$2:$G$2</c:f>
              <c:strCache>
                <c:ptCount val="6"/>
                <c:pt idx="0">
                  <c:v>2010</c:v>
                </c:pt>
                <c:pt idx="1">
                  <c:v>2011</c:v>
                </c:pt>
                <c:pt idx="2">
                  <c:v>2012</c:v>
                </c:pt>
                <c:pt idx="3">
                  <c:v>2013</c:v>
                </c:pt>
                <c:pt idx="4">
                  <c:v>2014</c:v>
                </c:pt>
                <c:pt idx="5">
                  <c:v>2015</c:v>
                </c:pt>
              </c:strCache>
            </c:strRef>
          </c:cat>
          <c:val>
            <c:numRef>
              <c:f>'Graf 3.1'!$B$3:$G$3</c:f>
              <c:numCache>
                <c:formatCode>General</c:formatCode>
                <c:ptCount val="6"/>
                <c:pt idx="0">
                  <c:v>340.68963320050904</c:v>
                </c:pt>
                <c:pt idx="1">
                  <c:v>344.50578987406004</c:v>
                </c:pt>
                <c:pt idx="2">
                  <c:v>348.21005905992001</c:v>
                </c:pt>
                <c:pt idx="3">
                  <c:v>350.07890667097996</c:v>
                </c:pt>
                <c:pt idx="4">
                  <c:v>353.79878901250999</c:v>
                </c:pt>
                <c:pt idx="5">
                  <c:v>358.04245260330009</c:v>
                </c:pt>
              </c:numCache>
            </c:numRef>
          </c:val>
        </c:ser>
        <c:ser>
          <c:idx val="1"/>
          <c:order val="1"/>
          <c:tx>
            <c:strRef>
              <c:f>'Graf 3.1'!$A$4</c:f>
              <c:strCache>
                <c:ptCount val="1"/>
                <c:pt idx="0">
                  <c:v>Výdaje zdravotních pojišťoven</c:v>
                </c:pt>
              </c:strCache>
            </c:strRef>
          </c:tx>
          <c:spPr>
            <a:solidFill>
              <a:srgbClr val="D96D7F"/>
            </a:solidFill>
            <a:ln>
              <a:solidFill>
                <a:srgbClr val="D96D75"/>
              </a:solidFill>
            </a:ln>
          </c:spPr>
          <c:invertIfNegative val="0"/>
          <c:dLbls>
            <c:numFmt formatCode="#,##0.0" sourceLinked="0"/>
            <c:txPr>
              <a:bodyPr/>
              <a:lstStyle/>
              <a:p>
                <a:pPr>
                  <a:defRPr sz="800">
                    <a:latin typeface="Arial" panose="020B0604020202020204" pitchFamily="34" charset="0"/>
                    <a:cs typeface="Arial" panose="020B0604020202020204" pitchFamily="34" charset="0"/>
                  </a:defRPr>
                </a:pPr>
                <a:endParaRPr lang="cs-CZ"/>
              </a:p>
            </c:txPr>
            <c:dLblPos val="ctr"/>
            <c:showLegendKey val="0"/>
            <c:showVal val="1"/>
            <c:showCatName val="0"/>
            <c:showSerName val="0"/>
            <c:showPercent val="0"/>
            <c:showBubbleSize val="0"/>
            <c:showLeaderLines val="0"/>
          </c:dLbls>
          <c:cat>
            <c:strRef>
              <c:f>'Graf 3.1'!$B$2:$G$2</c:f>
              <c:strCache>
                <c:ptCount val="6"/>
                <c:pt idx="0">
                  <c:v>2010</c:v>
                </c:pt>
                <c:pt idx="1">
                  <c:v>2011</c:v>
                </c:pt>
                <c:pt idx="2">
                  <c:v>2012</c:v>
                </c:pt>
                <c:pt idx="3">
                  <c:v>2013</c:v>
                </c:pt>
                <c:pt idx="4">
                  <c:v>2014</c:v>
                </c:pt>
                <c:pt idx="5">
                  <c:v>2015</c:v>
                </c:pt>
              </c:strCache>
            </c:strRef>
          </c:cat>
          <c:val>
            <c:numRef>
              <c:f>'Graf 3.1'!$B$4:$G$4</c:f>
              <c:numCache>
                <c:formatCode>General</c:formatCode>
                <c:ptCount val="6"/>
                <c:pt idx="0">
                  <c:v>231.88897809913001</c:v>
                </c:pt>
                <c:pt idx="1">
                  <c:v>234.33741301578002</c:v>
                </c:pt>
                <c:pt idx="2">
                  <c:v>237.92727993138001</c:v>
                </c:pt>
                <c:pt idx="3">
                  <c:v>238.35404854239999</c:v>
                </c:pt>
                <c:pt idx="4">
                  <c:v>234.601613668</c:v>
                </c:pt>
                <c:pt idx="5">
                  <c:v>234.70646560559001</c:v>
                </c:pt>
              </c:numCache>
            </c:numRef>
          </c:val>
        </c:ser>
        <c:dLbls>
          <c:showLegendKey val="0"/>
          <c:showVal val="0"/>
          <c:showCatName val="0"/>
          <c:showSerName val="0"/>
          <c:showPercent val="0"/>
          <c:showBubbleSize val="0"/>
        </c:dLbls>
        <c:gapWidth val="84"/>
        <c:overlap val="70"/>
        <c:axId val="146851328"/>
        <c:axId val="150398080"/>
      </c:barChart>
      <c:lineChart>
        <c:grouping val="standard"/>
        <c:varyColors val="0"/>
        <c:ser>
          <c:idx val="2"/>
          <c:order val="2"/>
          <c:tx>
            <c:strRef>
              <c:f>'Graf 3.1'!$A$5</c:f>
              <c:strCache>
                <c:ptCount val="1"/>
                <c:pt idx="0">
                  <c:v>% z celkových výdajů na zdravotní péči</c:v>
                </c:pt>
              </c:strCache>
            </c:strRef>
          </c:tx>
          <c:spPr>
            <a:ln>
              <a:solidFill>
                <a:srgbClr val="FFC000"/>
              </a:solidFill>
            </a:ln>
          </c:spPr>
          <c:marker>
            <c:symbol val="diamond"/>
            <c:size val="7"/>
            <c:spPr>
              <a:solidFill>
                <a:srgbClr val="913755"/>
              </a:solidFill>
              <a:ln w="12700">
                <a:solidFill>
                  <a:srgbClr val="913755"/>
                </a:solidFill>
              </a:ln>
            </c:spPr>
          </c:marker>
          <c:dPt>
            <c:idx val="0"/>
            <c:marker>
              <c:spPr>
                <a:solidFill>
                  <a:srgbClr val="FFC000"/>
                </a:solidFill>
                <a:ln w="12700">
                  <a:solidFill>
                    <a:srgbClr val="913755"/>
                  </a:solidFill>
                </a:ln>
              </c:spPr>
            </c:marker>
            <c:bubble3D val="0"/>
          </c:dPt>
          <c:dPt>
            <c:idx val="1"/>
            <c:marker>
              <c:spPr>
                <a:solidFill>
                  <a:srgbClr val="FFC000"/>
                </a:solidFill>
                <a:ln w="12700">
                  <a:solidFill>
                    <a:srgbClr val="913755"/>
                  </a:solidFill>
                </a:ln>
              </c:spPr>
            </c:marker>
            <c:bubble3D val="0"/>
          </c:dPt>
          <c:dPt>
            <c:idx val="2"/>
            <c:marker>
              <c:spPr>
                <a:solidFill>
                  <a:srgbClr val="FFC000"/>
                </a:solidFill>
                <a:ln w="12700">
                  <a:solidFill>
                    <a:srgbClr val="913755"/>
                  </a:solidFill>
                </a:ln>
              </c:spPr>
            </c:marker>
            <c:bubble3D val="0"/>
          </c:dPt>
          <c:dPt>
            <c:idx val="3"/>
            <c:marker>
              <c:spPr>
                <a:solidFill>
                  <a:srgbClr val="FFC000"/>
                </a:solidFill>
                <a:ln w="12700">
                  <a:solidFill>
                    <a:srgbClr val="FFC000"/>
                  </a:solidFill>
                </a:ln>
              </c:spPr>
            </c:marker>
            <c:bubble3D val="0"/>
          </c:dPt>
          <c:dPt>
            <c:idx val="4"/>
            <c:marker>
              <c:spPr>
                <a:solidFill>
                  <a:srgbClr val="FFC000"/>
                </a:solidFill>
                <a:ln w="12700">
                  <a:solidFill>
                    <a:srgbClr val="913755"/>
                  </a:solidFill>
                </a:ln>
              </c:spPr>
            </c:marker>
            <c:bubble3D val="0"/>
          </c:dPt>
          <c:dPt>
            <c:idx val="5"/>
            <c:marker>
              <c:spPr>
                <a:solidFill>
                  <a:srgbClr val="FFC000"/>
                </a:solidFill>
                <a:ln w="12700">
                  <a:solidFill>
                    <a:srgbClr val="913755"/>
                  </a:solidFill>
                </a:ln>
              </c:spPr>
            </c:marker>
            <c:bubble3D val="0"/>
          </c:dPt>
          <c:dLbls>
            <c:txPr>
              <a:bodyPr/>
              <a:lstStyle/>
              <a:p>
                <a:pPr>
                  <a:defRPr sz="800">
                    <a:latin typeface="Arial" panose="020B0604020202020204" pitchFamily="34" charset="0"/>
                    <a:cs typeface="Arial" panose="020B0604020202020204" pitchFamily="34" charset="0"/>
                  </a:defRPr>
                </a:pPr>
                <a:endParaRPr lang="cs-CZ"/>
              </a:p>
            </c:txPr>
            <c:dLblPos val="t"/>
            <c:showLegendKey val="0"/>
            <c:showVal val="1"/>
            <c:showCatName val="0"/>
            <c:showSerName val="0"/>
            <c:showPercent val="0"/>
            <c:showBubbleSize val="0"/>
            <c:showLeaderLines val="0"/>
          </c:dLbls>
          <c:cat>
            <c:strRef>
              <c:f>'Graf 3.1'!$B$2:$G$2</c:f>
              <c:strCache>
                <c:ptCount val="6"/>
                <c:pt idx="0">
                  <c:v>2010</c:v>
                </c:pt>
                <c:pt idx="1">
                  <c:v>2011</c:v>
                </c:pt>
                <c:pt idx="2">
                  <c:v>2012</c:v>
                </c:pt>
                <c:pt idx="3">
                  <c:v>2013</c:v>
                </c:pt>
                <c:pt idx="4">
                  <c:v>2014</c:v>
                </c:pt>
                <c:pt idx="5">
                  <c:v>2015</c:v>
                </c:pt>
              </c:strCache>
            </c:strRef>
          </c:cat>
          <c:val>
            <c:numRef>
              <c:f>'Graf 3.1'!$B$5:$G$5</c:f>
              <c:numCache>
                <c:formatCode>0.0%</c:formatCode>
                <c:ptCount val="6"/>
                <c:pt idx="0">
                  <c:v>0.68064582981500454</c:v>
                </c:pt>
                <c:pt idx="1">
                  <c:v>0.68021327914821417</c:v>
                </c:pt>
                <c:pt idx="2">
                  <c:v>0.68328663615785279</c:v>
                </c:pt>
                <c:pt idx="3">
                  <c:v>0.68085806942494798</c:v>
                </c:pt>
                <c:pt idx="4">
                  <c:v>0.66309332014051836</c:v>
                </c:pt>
                <c:pt idx="5">
                  <c:v>0.6555269183837189</c:v>
                </c:pt>
              </c:numCache>
            </c:numRef>
          </c:val>
          <c:smooth val="0"/>
        </c:ser>
        <c:dLbls>
          <c:showLegendKey val="0"/>
          <c:showVal val="0"/>
          <c:showCatName val="0"/>
          <c:showSerName val="0"/>
          <c:showPercent val="0"/>
          <c:showBubbleSize val="0"/>
        </c:dLbls>
        <c:marker val="1"/>
        <c:smooth val="0"/>
        <c:axId val="146852352"/>
        <c:axId val="150398656"/>
      </c:lineChart>
      <c:catAx>
        <c:axId val="146851328"/>
        <c:scaling>
          <c:orientation val="minMax"/>
        </c:scaling>
        <c:delete val="0"/>
        <c:axPos val="b"/>
        <c:majorTickMark val="none"/>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150398080"/>
        <c:crosses val="autoZero"/>
        <c:auto val="1"/>
        <c:lblAlgn val="ctr"/>
        <c:lblOffset val="100"/>
        <c:noMultiLvlLbl val="0"/>
      </c:catAx>
      <c:valAx>
        <c:axId val="150398080"/>
        <c:scaling>
          <c:orientation val="minMax"/>
          <c:max val="400"/>
          <c:min val="0"/>
        </c:scaling>
        <c:delete val="0"/>
        <c:axPos val="l"/>
        <c:majorGridlines>
          <c:spPr>
            <a:ln>
              <a:solidFill>
                <a:schemeClr val="bg1">
                  <a:lumMod val="75000"/>
                </a:schemeClr>
              </a:solidFill>
              <a:prstDash val="sysDash"/>
            </a:ln>
          </c:spPr>
        </c:majorGridlines>
        <c:minorGridlines>
          <c:spPr>
            <a:ln>
              <a:solidFill>
                <a:schemeClr val="bg1">
                  <a:lumMod val="75000"/>
                </a:schemeClr>
              </a:solidFill>
              <a:prstDash val="sysDash"/>
            </a:ln>
          </c:spPr>
        </c:minorGridlines>
        <c:numFmt formatCode="General" sourceLinked="1"/>
        <c:majorTickMark val="out"/>
        <c:minorTickMark val="none"/>
        <c:tickLblPos val="nextTo"/>
        <c:spPr>
          <a:ln w="3175">
            <a:solidFill>
              <a:schemeClr val="bg1">
                <a:lumMod val="75000"/>
              </a:schemeClr>
            </a:solidFill>
          </a:ln>
        </c:spPr>
        <c:txPr>
          <a:bodyPr/>
          <a:lstStyle/>
          <a:p>
            <a:pPr>
              <a:defRPr sz="800">
                <a:latin typeface="Arial" panose="020B0604020202020204" pitchFamily="34" charset="0"/>
                <a:cs typeface="Arial" panose="020B0604020202020204" pitchFamily="34" charset="0"/>
              </a:defRPr>
            </a:pPr>
            <a:endParaRPr lang="cs-CZ"/>
          </a:p>
        </c:txPr>
        <c:crossAx val="146851328"/>
        <c:crosses val="autoZero"/>
        <c:crossBetween val="between"/>
        <c:majorUnit val="40"/>
        <c:minorUnit val="40"/>
      </c:valAx>
      <c:valAx>
        <c:axId val="150398656"/>
        <c:scaling>
          <c:orientation val="minMax"/>
          <c:max val="0.9"/>
          <c:min val="0"/>
        </c:scaling>
        <c:delete val="0"/>
        <c:axPos val="r"/>
        <c:numFmt formatCode="0%" sourceLinked="0"/>
        <c:majorTickMark val="out"/>
        <c:minorTickMark val="none"/>
        <c:tickLblPos val="nextTo"/>
        <c:spPr>
          <a:noFill/>
          <a:ln>
            <a:noFill/>
          </a:ln>
        </c:spPr>
        <c:txPr>
          <a:bodyPr/>
          <a:lstStyle/>
          <a:p>
            <a:pPr>
              <a:defRPr sz="800">
                <a:latin typeface="Arial" panose="020B0604020202020204" pitchFamily="34" charset="0"/>
                <a:cs typeface="Arial" panose="020B0604020202020204" pitchFamily="34" charset="0"/>
              </a:defRPr>
            </a:pPr>
            <a:endParaRPr lang="cs-CZ"/>
          </a:p>
        </c:txPr>
        <c:crossAx val="146852352"/>
        <c:crosses val="max"/>
        <c:crossBetween val="between"/>
        <c:majorUnit val="0.1"/>
        <c:minorUnit val="1.0000000000000002E-3"/>
      </c:valAx>
      <c:catAx>
        <c:axId val="146852352"/>
        <c:scaling>
          <c:orientation val="minMax"/>
        </c:scaling>
        <c:delete val="1"/>
        <c:axPos val="b"/>
        <c:majorTickMark val="out"/>
        <c:minorTickMark val="none"/>
        <c:tickLblPos val="nextTo"/>
        <c:crossAx val="150398656"/>
        <c:crosses val="autoZero"/>
        <c:auto val="1"/>
        <c:lblAlgn val="ctr"/>
        <c:lblOffset val="100"/>
        <c:noMultiLvlLbl val="0"/>
      </c:catAx>
    </c:plotArea>
    <c:legend>
      <c:legendPos val="b"/>
      <c:layout>
        <c:manualLayout>
          <c:xMode val="edge"/>
          <c:yMode val="edge"/>
          <c:x val="4.2945925134752476E-2"/>
          <c:y val="0.92159769502496403"/>
          <c:w val="0.92323571540939087"/>
          <c:h val="1.8469796538590572E-2"/>
        </c:manualLayout>
      </c:layout>
      <c:overlay val="0"/>
      <c:txPr>
        <a:bodyPr/>
        <a:lstStyle/>
        <a:p>
          <a:pPr>
            <a:defRPr sz="800">
              <a:latin typeface="Arial" panose="020B0604020202020204" pitchFamily="34" charset="0"/>
              <a:cs typeface="Arial" panose="020B0604020202020204" pitchFamily="34" charset="0"/>
            </a:defRPr>
          </a:pPr>
          <a:endParaRPr lang="cs-CZ"/>
        </a:p>
      </c:txPr>
    </c:legend>
    <c:plotVisOnly val="1"/>
    <c:dispBlanksAs val="gap"/>
    <c:showDLblsOverMax val="0"/>
  </c:chart>
  <c:spPr>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5737008705924508"/>
          <c:y val="5.4959978637905985E-2"/>
          <c:w val="0.4773302811754494"/>
          <c:h val="0.78320571997465838"/>
        </c:manualLayout>
      </c:layout>
      <c:pieChart>
        <c:varyColors val="1"/>
        <c:ser>
          <c:idx val="0"/>
          <c:order val="0"/>
          <c:spPr>
            <a:ln>
              <a:solidFill>
                <a:sysClr val="window" lastClr="FFFFFF">
                  <a:lumMod val="50000"/>
                </a:sysClr>
              </a:solidFill>
            </a:ln>
          </c:spPr>
          <c:dPt>
            <c:idx val="0"/>
            <c:bubble3D val="0"/>
            <c:spPr>
              <a:solidFill>
                <a:srgbClr val="D96D7F"/>
              </a:solidFill>
              <a:ln>
                <a:solidFill>
                  <a:sysClr val="window" lastClr="FFFFFF">
                    <a:lumMod val="50000"/>
                  </a:sysClr>
                </a:solidFill>
              </a:ln>
            </c:spPr>
          </c:dPt>
          <c:dPt>
            <c:idx val="1"/>
            <c:bubble3D val="0"/>
            <c:spPr>
              <a:solidFill>
                <a:srgbClr val="0071BC"/>
              </a:solidFill>
              <a:ln>
                <a:solidFill>
                  <a:sysClr val="window" lastClr="FFFFFF">
                    <a:lumMod val="50000"/>
                  </a:sysClr>
                </a:solidFill>
              </a:ln>
            </c:spPr>
          </c:dPt>
          <c:dPt>
            <c:idx val="2"/>
            <c:bubble3D val="0"/>
            <c:spPr>
              <a:solidFill>
                <a:srgbClr val="92D050"/>
              </a:solidFill>
              <a:ln>
                <a:solidFill>
                  <a:sysClr val="window" lastClr="FFFFFF">
                    <a:lumMod val="50000"/>
                  </a:sysClr>
                </a:solidFill>
              </a:ln>
            </c:spPr>
          </c:dPt>
          <c:dPt>
            <c:idx val="3"/>
            <c:bubble3D val="0"/>
            <c:spPr>
              <a:solidFill>
                <a:srgbClr val="FFC000"/>
              </a:solidFill>
              <a:ln>
                <a:solidFill>
                  <a:sysClr val="window" lastClr="FFFFFF">
                    <a:lumMod val="50000"/>
                  </a:sysClr>
                </a:solidFill>
              </a:ln>
            </c:spPr>
          </c:dPt>
          <c:dPt>
            <c:idx val="4"/>
            <c:bubble3D val="0"/>
            <c:spPr>
              <a:solidFill>
                <a:srgbClr val="7030A0"/>
              </a:solidFill>
              <a:ln>
                <a:solidFill>
                  <a:sysClr val="window" lastClr="FFFFFF">
                    <a:lumMod val="50000"/>
                  </a:sysClr>
                </a:solidFill>
              </a:ln>
            </c:spPr>
          </c:dPt>
          <c:dPt>
            <c:idx val="5"/>
            <c:bubble3D val="0"/>
            <c:spPr>
              <a:solidFill>
                <a:srgbClr val="FFFF8C"/>
              </a:solidFill>
              <a:ln>
                <a:solidFill>
                  <a:sysClr val="window" lastClr="FFFFFF">
                    <a:lumMod val="50000"/>
                  </a:sysClr>
                </a:solidFill>
              </a:ln>
            </c:spPr>
          </c:dPt>
          <c:dPt>
            <c:idx val="6"/>
            <c:bubble3D val="0"/>
            <c:spPr>
              <a:solidFill>
                <a:srgbClr val="E65057"/>
              </a:solidFill>
              <a:ln>
                <a:solidFill>
                  <a:sysClr val="window" lastClr="FFFFFF">
                    <a:lumMod val="50000"/>
                  </a:sysClr>
                </a:solidFill>
              </a:ln>
            </c:spPr>
          </c:dPt>
          <c:dPt>
            <c:idx val="7"/>
            <c:bubble3D val="0"/>
            <c:spPr>
              <a:solidFill>
                <a:srgbClr val="CCC1DA"/>
              </a:solidFill>
              <a:ln>
                <a:solidFill>
                  <a:sysClr val="window" lastClr="FFFFFF">
                    <a:lumMod val="50000"/>
                  </a:sysClr>
                </a:solidFill>
              </a:ln>
            </c:spPr>
          </c:dPt>
          <c:dPt>
            <c:idx val="8"/>
            <c:bubble3D val="0"/>
            <c:spPr>
              <a:solidFill>
                <a:srgbClr val="8EB4E3"/>
              </a:solidFill>
              <a:ln>
                <a:solidFill>
                  <a:sysClr val="window" lastClr="FFFFFF">
                    <a:lumMod val="50000"/>
                  </a:sysClr>
                </a:solidFill>
              </a:ln>
            </c:spPr>
          </c:dPt>
          <c:dPt>
            <c:idx val="9"/>
            <c:bubble3D val="0"/>
            <c:spPr>
              <a:solidFill>
                <a:srgbClr val="FAC1A2"/>
              </a:solidFill>
              <a:ln>
                <a:solidFill>
                  <a:sysClr val="window" lastClr="FFFFFF">
                    <a:lumMod val="50000"/>
                  </a:sysClr>
                </a:solidFill>
              </a:ln>
            </c:spPr>
          </c:dPt>
          <c:dLbls>
            <c:dLbl>
              <c:idx val="0"/>
              <c:layout>
                <c:manualLayout>
                  <c:x val="3.6200839395867906E-2"/>
                  <c:y val="2.170909777716996E-2"/>
                </c:manualLayout>
              </c:layout>
              <c:tx>
                <c:rich>
                  <a:bodyPr/>
                  <a:lstStyle/>
                  <a:p>
                    <a:r>
                      <a:rPr lang="en-US"/>
                      <a:t>Nem</a:t>
                    </a:r>
                    <a:r>
                      <a:rPr lang="cs-CZ"/>
                      <a:t>.</a:t>
                    </a:r>
                    <a:r>
                      <a:rPr lang="en-US"/>
                      <a:t> oběhové soustavy </a:t>
                    </a:r>
                    <a:endParaRPr lang="cs-CZ"/>
                  </a:p>
                  <a:p>
                    <a:r>
                      <a:rPr lang="en-US"/>
                      <a:t>27,1
14%</a:t>
                    </a:r>
                  </a:p>
                </c:rich>
              </c:tx>
              <c:showLegendKey val="0"/>
              <c:showVal val="0"/>
              <c:showCatName val="1"/>
              <c:showSerName val="0"/>
              <c:showPercent val="1"/>
              <c:showBubbleSize val="0"/>
            </c:dLbl>
            <c:dLbl>
              <c:idx val="1"/>
              <c:layout>
                <c:manualLayout>
                  <c:x val="1.5096019247594053E-2"/>
                  <c:y val="-6.3021560660066478E-2"/>
                </c:manualLayout>
              </c:layout>
              <c:tx>
                <c:rich>
                  <a:bodyPr/>
                  <a:lstStyle/>
                  <a:p>
                    <a:r>
                      <a:rPr lang="en-US"/>
                      <a:t>Novotvary </a:t>
                    </a:r>
                    <a:endParaRPr lang="cs-CZ"/>
                  </a:p>
                  <a:p>
                    <a:r>
                      <a:rPr lang="en-US"/>
                      <a:t>23,7
13%</a:t>
                    </a:r>
                  </a:p>
                </c:rich>
              </c:tx>
              <c:showLegendKey val="0"/>
              <c:showVal val="0"/>
              <c:showCatName val="1"/>
              <c:showSerName val="0"/>
              <c:showPercent val="1"/>
              <c:showBubbleSize val="0"/>
            </c:dLbl>
            <c:dLbl>
              <c:idx val="2"/>
              <c:layout>
                <c:manualLayout>
                  <c:x val="3.3859182816094138E-2"/>
                  <c:y val="-1.7710999524563151E-2"/>
                </c:manualLayout>
              </c:layout>
              <c:tx>
                <c:rich>
                  <a:bodyPr/>
                  <a:lstStyle/>
                  <a:p>
                    <a:r>
                      <a:rPr lang="en-US"/>
                      <a:t>Faktory ovlivňující </a:t>
                    </a:r>
                    <a:endParaRPr lang="cs-CZ"/>
                  </a:p>
                  <a:p>
                    <a:r>
                      <a:rPr lang="en-US"/>
                      <a:t>zdrav</a:t>
                    </a:r>
                    <a:r>
                      <a:rPr lang="cs-CZ"/>
                      <a:t>otní</a:t>
                    </a:r>
                    <a:r>
                      <a:rPr lang="en-US"/>
                      <a:t> stav </a:t>
                    </a:r>
                    <a:endParaRPr lang="cs-CZ"/>
                  </a:p>
                  <a:p>
                    <a:r>
                      <a:rPr lang="en-US"/>
                      <a:t>17,9
9%</a:t>
                    </a:r>
                  </a:p>
                </c:rich>
              </c:tx>
              <c:showLegendKey val="0"/>
              <c:showVal val="0"/>
              <c:showCatName val="1"/>
              <c:showSerName val="0"/>
              <c:showPercent val="1"/>
              <c:showBubbleSize val="0"/>
            </c:dLbl>
            <c:dLbl>
              <c:idx val="3"/>
              <c:layout>
                <c:manualLayout>
                  <c:x val="4.0709950875791913E-2"/>
                  <c:y val="1.0261620523242261E-3"/>
                </c:manualLayout>
              </c:layout>
              <c:tx>
                <c:rich>
                  <a:bodyPr/>
                  <a:lstStyle/>
                  <a:p>
                    <a:r>
                      <a:rPr lang="en-US"/>
                      <a:t>Nem. svalové a koster. soust. </a:t>
                    </a:r>
                    <a:endParaRPr lang="cs-CZ"/>
                  </a:p>
                  <a:p>
                    <a:r>
                      <a:rPr lang="en-US"/>
                      <a:t>16,4
9%</a:t>
                    </a:r>
                  </a:p>
                </c:rich>
              </c:tx>
              <c:showLegendKey val="0"/>
              <c:showVal val="0"/>
              <c:showCatName val="1"/>
              <c:showSerName val="0"/>
              <c:showPercent val="1"/>
              <c:showBubbleSize val="0"/>
            </c:dLbl>
            <c:dLbl>
              <c:idx val="4"/>
              <c:layout>
                <c:manualLayout>
                  <c:x val="2.1643269234768791E-2"/>
                  <c:y val="3.4482327426193497E-2"/>
                </c:manualLayout>
              </c:layout>
              <c:tx>
                <c:rich>
                  <a:bodyPr/>
                  <a:lstStyle/>
                  <a:p>
                    <a:r>
                      <a:rPr lang="en-US"/>
                      <a:t>Nem. trávicí soustavy</a:t>
                    </a:r>
                    <a:endParaRPr lang="cs-CZ"/>
                  </a:p>
                  <a:p>
                    <a:r>
                      <a:rPr lang="cs-CZ"/>
                      <a:t>1</a:t>
                    </a:r>
                    <a:r>
                      <a:rPr lang="en-US"/>
                      <a:t>4,9
8%</a:t>
                    </a:r>
                  </a:p>
                </c:rich>
              </c:tx>
              <c:showLegendKey val="0"/>
              <c:showVal val="0"/>
              <c:showCatName val="1"/>
              <c:showSerName val="0"/>
              <c:showPercent val="1"/>
              <c:showBubbleSize val="0"/>
            </c:dLbl>
            <c:dLbl>
              <c:idx val="5"/>
              <c:layout>
                <c:manualLayout>
                  <c:x val="4.3510654670543408E-2"/>
                  <c:y val="2.5216128380974735E-2"/>
                </c:manualLayout>
              </c:layout>
              <c:tx>
                <c:rich>
                  <a:bodyPr/>
                  <a:lstStyle/>
                  <a:p>
                    <a:r>
                      <a:rPr lang="en-US"/>
                      <a:t>Nemoci moč. a pohl. soust. </a:t>
                    </a:r>
                    <a:endParaRPr lang="cs-CZ"/>
                  </a:p>
                  <a:p>
                    <a:r>
                      <a:rPr lang="en-US"/>
                      <a:t>14,3
8%</a:t>
                    </a:r>
                  </a:p>
                </c:rich>
              </c:tx>
              <c:showLegendKey val="0"/>
              <c:showVal val="0"/>
              <c:showCatName val="1"/>
              <c:showSerName val="0"/>
              <c:showPercent val="1"/>
              <c:showBubbleSize val="0"/>
            </c:dLbl>
            <c:dLbl>
              <c:idx val="6"/>
              <c:layout>
                <c:manualLayout>
                  <c:x val="-7.8522309711286084E-2"/>
                  <c:y val="8.5899657352838249E-2"/>
                </c:manualLayout>
              </c:layout>
              <c:tx>
                <c:rich>
                  <a:bodyPr/>
                  <a:lstStyle/>
                  <a:p>
                    <a:r>
                      <a:rPr lang="en-US"/>
                      <a:t>Poranění, otravy</a:t>
                    </a:r>
                    <a:r>
                      <a:rPr lang="cs-CZ" baseline="0"/>
                      <a:t> </a:t>
                    </a:r>
                    <a:endParaRPr lang="cs-CZ"/>
                  </a:p>
                  <a:p>
                    <a:r>
                      <a:rPr lang="en-US"/>
                      <a:t>11,0
6%</a:t>
                    </a:r>
                  </a:p>
                </c:rich>
              </c:tx>
              <c:showLegendKey val="0"/>
              <c:showVal val="0"/>
              <c:showCatName val="1"/>
              <c:showSerName val="0"/>
              <c:showPercent val="1"/>
              <c:showBubbleSize val="0"/>
            </c:dLbl>
            <c:dLbl>
              <c:idx val="7"/>
              <c:layout>
                <c:manualLayout>
                  <c:x val="-2.297099550353357E-2"/>
                  <c:y val="2.4274372651309443E-2"/>
                </c:manualLayout>
              </c:layout>
              <c:tx>
                <c:rich>
                  <a:bodyPr/>
                  <a:lstStyle/>
                  <a:p>
                    <a:r>
                      <a:rPr lang="en-US"/>
                      <a:t>Nem. dýchací soustavy </a:t>
                    </a:r>
                    <a:endParaRPr lang="cs-CZ"/>
                  </a:p>
                  <a:p>
                    <a:r>
                      <a:rPr lang="en-US"/>
                      <a:t>9,9
5%</a:t>
                    </a:r>
                  </a:p>
                </c:rich>
              </c:tx>
              <c:showLegendKey val="0"/>
              <c:showVal val="0"/>
              <c:showCatName val="1"/>
              <c:showSerName val="0"/>
              <c:showPercent val="1"/>
              <c:showBubbleSize val="0"/>
            </c:dLbl>
            <c:dLbl>
              <c:idx val="8"/>
              <c:layout>
                <c:manualLayout>
                  <c:x val="-1.638549868766407E-2"/>
                  <c:y val="-1.3396995232072623E-2"/>
                </c:manualLayout>
              </c:layout>
              <c:tx>
                <c:rich>
                  <a:bodyPr/>
                  <a:lstStyle/>
                  <a:p>
                    <a:r>
                      <a:rPr lang="en-US"/>
                      <a:t>Poruchy duševní a poruchy chování</a:t>
                    </a:r>
                    <a:endParaRPr lang="cs-CZ"/>
                  </a:p>
                  <a:p>
                    <a:r>
                      <a:rPr lang="en-US"/>
                      <a:t> 9,3
5%</a:t>
                    </a:r>
                  </a:p>
                </c:rich>
              </c:tx>
              <c:showLegendKey val="0"/>
              <c:showVal val="0"/>
              <c:showCatName val="1"/>
              <c:showSerName val="0"/>
              <c:showPercent val="1"/>
              <c:showBubbleSize val="0"/>
            </c:dLbl>
            <c:dLbl>
              <c:idx val="9"/>
              <c:layout>
                <c:manualLayout>
                  <c:x val="-2.3891419277820087E-2"/>
                  <c:y val="-1.5037090587001678E-2"/>
                </c:manualLayout>
              </c:layout>
              <c:tx>
                <c:rich>
                  <a:bodyPr/>
                  <a:lstStyle/>
                  <a:p>
                    <a:r>
                      <a:rPr lang="cs-CZ"/>
                      <a:t>O</a:t>
                    </a:r>
                    <a:r>
                      <a:rPr lang="en-US"/>
                      <a:t>statní</a:t>
                    </a:r>
                    <a:endParaRPr lang="cs-CZ"/>
                  </a:p>
                  <a:p>
                    <a:r>
                      <a:rPr lang="en-US"/>
                      <a:t> 44,1
23%</a:t>
                    </a:r>
                  </a:p>
                </c:rich>
              </c:tx>
              <c:showLegendKey val="0"/>
              <c:showVal val="0"/>
              <c:showCatName val="1"/>
              <c:showSerName val="0"/>
              <c:showPercent val="1"/>
              <c:showBubbleSize val="0"/>
            </c:dLbl>
            <c:txPr>
              <a:bodyPr/>
              <a:lstStyle/>
              <a:p>
                <a:pPr>
                  <a:defRPr sz="800">
                    <a:latin typeface="Arial" panose="020B0604020202020204" pitchFamily="34" charset="0"/>
                    <a:cs typeface="Arial" panose="020B0604020202020204" pitchFamily="34" charset="0"/>
                  </a:defRPr>
                </a:pPr>
                <a:endParaRPr lang="cs-CZ"/>
              </a:p>
            </c:txPr>
            <c:showLegendKey val="0"/>
            <c:showVal val="0"/>
            <c:showCatName val="1"/>
            <c:showSerName val="0"/>
            <c:showPercent val="1"/>
            <c:showBubbleSize val="0"/>
            <c:showLeaderLines val="1"/>
          </c:dLbls>
          <c:cat>
            <c:multiLvlStrRef>
              <c:f>'Tab 3.1, graf 3.2, 3.3'!$T$4:$U$13</c:f>
              <c:multiLvlStrCache>
                <c:ptCount val="10"/>
                <c:lvl>
                  <c:pt idx="0">
                    <c:v>27,1</c:v>
                  </c:pt>
                  <c:pt idx="1">
                    <c:v>23,7</c:v>
                  </c:pt>
                  <c:pt idx="2">
                    <c:v>17,9</c:v>
                  </c:pt>
                  <c:pt idx="3">
                    <c:v>16,4</c:v>
                  </c:pt>
                  <c:pt idx="4">
                    <c:v>14,9</c:v>
                  </c:pt>
                  <c:pt idx="5">
                    <c:v>14,3</c:v>
                  </c:pt>
                  <c:pt idx="6">
                    <c:v>11,0</c:v>
                  </c:pt>
                  <c:pt idx="7">
                    <c:v>9,9</c:v>
                  </c:pt>
                  <c:pt idx="8">
                    <c:v>9,3</c:v>
                  </c:pt>
                  <c:pt idx="9">
                    <c:v>44,1</c:v>
                  </c:pt>
                </c:lvl>
                <c:lvl>
                  <c:pt idx="0">
                    <c:v>Nem. oběhové soustavy</c:v>
                  </c:pt>
                  <c:pt idx="1">
                    <c:v>Novotvary</c:v>
                  </c:pt>
                  <c:pt idx="2">
                    <c:v>Faktory ovlivňující zdrav. stav</c:v>
                  </c:pt>
                  <c:pt idx="3">
                    <c:v>Nem. svalové a koster. soust.</c:v>
                  </c:pt>
                  <c:pt idx="4">
                    <c:v>Nem. trávicí soustavy</c:v>
                  </c:pt>
                  <c:pt idx="5">
                    <c:v>Nemoci moč. a pohl. soust.</c:v>
                  </c:pt>
                  <c:pt idx="6">
                    <c:v>Poranění, otravy aj.</c:v>
                  </c:pt>
                  <c:pt idx="7">
                    <c:v>Nem. dýchací soustavy</c:v>
                  </c:pt>
                  <c:pt idx="8">
                    <c:v>Poruchy duševní a poruchy chování</c:v>
                  </c:pt>
                  <c:pt idx="9">
                    <c:v>ostatní</c:v>
                  </c:pt>
                </c:lvl>
              </c:multiLvlStrCache>
            </c:multiLvlStrRef>
          </c:cat>
          <c:val>
            <c:numRef>
              <c:f>'Tab 3.1, graf 3.2, 3.3'!$V$4:$V$13</c:f>
              <c:numCache>
                <c:formatCode>0%</c:formatCode>
                <c:ptCount val="10"/>
                <c:pt idx="0">
                  <c:v>0.14369542994124171</c:v>
                </c:pt>
                <c:pt idx="1">
                  <c:v>0.12542346682743824</c:v>
                </c:pt>
                <c:pt idx="2">
                  <c:v>9.4864968134026451E-2</c:v>
                </c:pt>
                <c:pt idx="3">
                  <c:v>8.7067816575811724E-2</c:v>
                </c:pt>
                <c:pt idx="4">
                  <c:v>7.9139001303419929E-2</c:v>
                </c:pt>
                <c:pt idx="5">
                  <c:v>7.5826393746551757E-2</c:v>
                </c:pt>
                <c:pt idx="6">
                  <c:v>5.8454878984406398E-2</c:v>
                </c:pt>
                <c:pt idx="7">
                  <c:v>5.2685228763487246E-2</c:v>
                </c:pt>
                <c:pt idx="8">
                  <c:v>4.9082384704130531E-2</c:v>
                </c:pt>
                <c:pt idx="9">
                  <c:v>0.23376043101948724</c:v>
                </c:pt>
              </c:numCache>
            </c:numRef>
          </c:val>
        </c:ser>
        <c:dLbls>
          <c:showLegendKey val="0"/>
          <c:showVal val="0"/>
          <c:showCatName val="0"/>
          <c:showSerName val="0"/>
          <c:showPercent val="0"/>
          <c:showBubbleSize val="0"/>
          <c:showLeaderLines val="1"/>
        </c:dLbls>
        <c:firstSliceAng val="0"/>
      </c:pieChart>
    </c:plotArea>
    <c:plotVisOnly val="1"/>
    <c:dispBlanksAs val="zero"/>
    <c:showDLblsOverMax val="0"/>
  </c:chart>
  <c:spPr>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6419650043744572"/>
          <c:y val="1.095495593171336E-2"/>
          <c:w val="0.59059755030621075"/>
          <c:h val="0.9410524889208125"/>
        </c:manualLayout>
      </c:layout>
      <c:barChart>
        <c:barDir val="bar"/>
        <c:grouping val="clustered"/>
        <c:varyColors val="0"/>
        <c:ser>
          <c:idx val="1"/>
          <c:order val="0"/>
          <c:tx>
            <c:strRef>
              <c:f>'Graf 3.4 a 3.5'!$G$34</c:f>
              <c:strCache>
                <c:ptCount val="1"/>
                <c:pt idx="0">
                  <c:v> 2015</c:v>
                </c:pt>
              </c:strCache>
            </c:strRef>
          </c:tx>
          <c:spPr>
            <a:solidFill>
              <a:srgbClr val="CD3F49"/>
            </a:solidFill>
            <a:ln>
              <a:solidFill>
                <a:srgbClr val="C0504D">
                  <a:lumMod val="75000"/>
                </a:srgbClr>
              </a:solidFill>
            </a:ln>
          </c:spPr>
          <c:invertIfNegative val="0"/>
          <c:dLbls>
            <c:numFmt formatCode="#,##0" sourceLinked="0"/>
            <c:txPr>
              <a:bodyPr/>
              <a:lstStyle/>
              <a:p>
                <a:pPr>
                  <a:defRPr sz="800">
                    <a:latin typeface="Arial" panose="020B0604020202020204" pitchFamily="34" charset="0"/>
                    <a:cs typeface="Arial" panose="020B0604020202020204" pitchFamily="34" charset="0"/>
                  </a:defRPr>
                </a:pPr>
                <a:endParaRPr lang="cs-CZ"/>
              </a:p>
            </c:txPr>
            <c:showLegendKey val="0"/>
            <c:showVal val="1"/>
            <c:showCatName val="0"/>
            <c:showSerName val="0"/>
            <c:showPercent val="0"/>
            <c:showBubbleSize val="0"/>
            <c:showLeaderLines val="0"/>
          </c:dLbls>
          <c:cat>
            <c:strRef>
              <c:f>'Graf 3.4 a 3.5'!$E$35:$E$54</c:f>
              <c:strCache>
                <c:ptCount val="20"/>
                <c:pt idx="0">
                  <c:v>Vrozené vady a deformace</c:v>
                </c:pt>
                <c:pt idx="1">
                  <c:v>Nemoci ucha</c:v>
                </c:pt>
                <c:pt idx="2">
                  <c:v>Stavy vzniklé v perinatálním období</c:v>
                </c:pt>
                <c:pt idx="3">
                  <c:v>Nemoci kůže</c:v>
                </c:pt>
                <c:pt idx="4">
                  <c:v>Nemoci krve a krvetvorných orgánů</c:v>
                </c:pt>
                <c:pt idx="5">
                  <c:v>Infekční a parazitární nemoci</c:v>
                </c:pt>
                <c:pt idx="6">
                  <c:v>Nemoci oka</c:v>
                </c:pt>
                <c:pt idx="7">
                  <c:v>Těhotenství, porod a šestinedělí</c:v>
                </c:pt>
                <c:pt idx="8">
                  <c:v>Příznaky, znaky</c:v>
                </c:pt>
                <c:pt idx="9">
                  <c:v>Nemoci endokrinní a metabolické</c:v>
                </c:pt>
                <c:pt idx="10">
                  <c:v>Nemoci nervové soustavy</c:v>
                </c:pt>
                <c:pt idx="11">
                  <c:v>Poranění, otravy aj.</c:v>
                </c:pt>
                <c:pt idx="12">
                  <c:v>Poruchy duševní a poruchy chování</c:v>
                </c:pt>
                <c:pt idx="13">
                  <c:v>Nemoci dýchací soustavy</c:v>
                </c:pt>
                <c:pt idx="14">
                  <c:v>Nemoci svalové, kosterní a pojivové tkáně</c:v>
                </c:pt>
                <c:pt idx="15">
                  <c:v>Nemoci močové a pohlavní soustavy</c:v>
                </c:pt>
                <c:pt idx="16">
                  <c:v>Faktory ovlivňující zdravotní stav</c:v>
                </c:pt>
                <c:pt idx="17">
                  <c:v>Nemoci trávicí soustavy</c:v>
                </c:pt>
                <c:pt idx="18">
                  <c:v>Novotvary</c:v>
                </c:pt>
                <c:pt idx="19">
                  <c:v>Nemoci oběhové soustavy</c:v>
                </c:pt>
              </c:strCache>
            </c:strRef>
          </c:cat>
          <c:val>
            <c:numRef>
              <c:f>'Graf 3.4 a 3.5'!$G$35:$G$54</c:f>
              <c:numCache>
                <c:formatCode>#,##0</c:formatCode>
                <c:ptCount val="20"/>
                <c:pt idx="0">
                  <c:v>1201.4293448428177</c:v>
                </c:pt>
                <c:pt idx="1">
                  <c:v>1417.6391505174747</c:v>
                </c:pt>
                <c:pt idx="2">
                  <c:v>1771.3729862755904</c:v>
                </c:pt>
                <c:pt idx="3">
                  <c:v>2797.7689961758383</c:v>
                </c:pt>
                <c:pt idx="4">
                  <c:v>3197.8610094676637</c:v>
                </c:pt>
                <c:pt idx="5">
                  <c:v>3375.7819070559981</c:v>
                </c:pt>
                <c:pt idx="6">
                  <c:v>4159.1263870335606</c:v>
                </c:pt>
                <c:pt idx="7">
                  <c:v>2748.8073783201621</c:v>
                </c:pt>
                <c:pt idx="8">
                  <c:v>7535.7771239163467</c:v>
                </c:pt>
                <c:pt idx="9">
                  <c:v>7468.677461125324</c:v>
                </c:pt>
                <c:pt idx="10">
                  <c:v>8463.3690048472927</c:v>
                </c:pt>
                <c:pt idx="11">
                  <c:v>11037.191725627548</c:v>
                </c:pt>
                <c:pt idx="12">
                  <c:v>9267.5188066852788</c:v>
                </c:pt>
                <c:pt idx="13">
                  <c:v>9947.7918879325898</c:v>
                </c:pt>
                <c:pt idx="14">
                  <c:v>16439.760057246302</c:v>
                </c:pt>
                <c:pt idx="15">
                  <c:v>14317.204315261326</c:v>
                </c:pt>
                <c:pt idx="16">
                  <c:v>17911.983730564447</c:v>
                </c:pt>
                <c:pt idx="17">
                  <c:v>14942.67622371691</c:v>
                </c:pt>
                <c:pt idx="18">
                  <c:v>23681.904304970201</c:v>
                </c:pt>
                <c:pt idx="19">
                  <c:v>27131.935570015543</c:v>
                </c:pt>
              </c:numCache>
            </c:numRef>
          </c:val>
        </c:ser>
        <c:dLbls>
          <c:showLegendKey val="0"/>
          <c:showVal val="0"/>
          <c:showCatName val="0"/>
          <c:showSerName val="0"/>
          <c:showPercent val="0"/>
          <c:showBubbleSize val="0"/>
        </c:dLbls>
        <c:gapWidth val="45"/>
        <c:overlap val="100"/>
        <c:axId val="149351936"/>
        <c:axId val="162161792"/>
      </c:barChart>
      <c:barChart>
        <c:barDir val="bar"/>
        <c:grouping val="clustered"/>
        <c:varyColors val="0"/>
        <c:ser>
          <c:idx val="0"/>
          <c:order val="1"/>
          <c:tx>
            <c:strRef>
              <c:f>'Graf 3.4 a 3.5'!$F$34</c:f>
              <c:strCache>
                <c:ptCount val="1"/>
                <c:pt idx="0">
                  <c:v> 2010</c:v>
                </c:pt>
              </c:strCache>
            </c:strRef>
          </c:tx>
          <c:spPr>
            <a:solidFill>
              <a:srgbClr val="7DA9DF"/>
            </a:solidFill>
            <a:ln>
              <a:solidFill>
                <a:srgbClr val="4F81BD">
                  <a:lumMod val="75000"/>
                </a:srgbClr>
              </a:solidFill>
            </a:ln>
          </c:spPr>
          <c:invertIfNegative val="0"/>
          <c:dLbls>
            <c:dLbl>
              <c:idx val="0"/>
              <c:delete val="1"/>
            </c:dLbl>
            <c:dLbl>
              <c:idx val="1"/>
              <c:delete val="1"/>
            </c:dLbl>
            <c:dLbl>
              <c:idx val="2"/>
              <c:delete val="1"/>
            </c:dLbl>
            <c:dLbl>
              <c:idx val="3"/>
              <c:delete val="1"/>
            </c:dLbl>
            <c:dLbl>
              <c:idx val="4"/>
              <c:delete val="1"/>
            </c:dLbl>
            <c:dLbl>
              <c:idx val="5"/>
              <c:delete val="1"/>
            </c:dLbl>
            <c:dLbl>
              <c:idx val="6"/>
              <c:delete val="1"/>
            </c:dLbl>
            <c:dLbl>
              <c:idx val="7"/>
              <c:delete val="1"/>
            </c:dLbl>
            <c:txPr>
              <a:bodyPr/>
              <a:lstStyle/>
              <a:p>
                <a:pPr>
                  <a:defRPr sz="800">
                    <a:solidFill>
                      <a:sysClr val="windowText" lastClr="000000"/>
                    </a:solidFill>
                    <a:latin typeface="Arial" panose="020B0604020202020204" pitchFamily="34" charset="0"/>
                    <a:cs typeface="Arial" panose="020B0604020202020204" pitchFamily="34" charset="0"/>
                  </a:defRPr>
                </a:pPr>
                <a:endParaRPr lang="cs-CZ"/>
              </a:p>
            </c:txPr>
            <c:dLblPos val="inBase"/>
            <c:showLegendKey val="0"/>
            <c:showVal val="1"/>
            <c:showCatName val="0"/>
            <c:showSerName val="0"/>
            <c:showPercent val="0"/>
            <c:showBubbleSize val="0"/>
            <c:showLeaderLines val="0"/>
          </c:dLbls>
          <c:cat>
            <c:strRef>
              <c:f>'Graf 3.4 a 3.5'!$E$35:$E$54</c:f>
              <c:strCache>
                <c:ptCount val="20"/>
                <c:pt idx="0">
                  <c:v>Vrozené vady a deformace</c:v>
                </c:pt>
                <c:pt idx="1">
                  <c:v>Nemoci ucha</c:v>
                </c:pt>
                <c:pt idx="2">
                  <c:v>Stavy vzniklé v perinatálním období</c:v>
                </c:pt>
                <c:pt idx="3">
                  <c:v>Nemoci kůže</c:v>
                </c:pt>
                <c:pt idx="4">
                  <c:v>Nemoci krve a krvetvorných orgánů</c:v>
                </c:pt>
                <c:pt idx="5">
                  <c:v>Infekční a parazitární nemoci</c:v>
                </c:pt>
                <c:pt idx="6">
                  <c:v>Nemoci oka</c:v>
                </c:pt>
                <c:pt idx="7">
                  <c:v>Těhotenství, porod a šestinedělí</c:v>
                </c:pt>
                <c:pt idx="8">
                  <c:v>Příznaky, znaky</c:v>
                </c:pt>
                <c:pt idx="9">
                  <c:v>Nemoci endokrinní a metabolické</c:v>
                </c:pt>
                <c:pt idx="10">
                  <c:v>Nemoci nervové soustavy</c:v>
                </c:pt>
                <c:pt idx="11">
                  <c:v>Poranění, otravy aj.</c:v>
                </c:pt>
                <c:pt idx="12">
                  <c:v>Poruchy duševní a poruchy chování</c:v>
                </c:pt>
                <c:pt idx="13">
                  <c:v>Nemoci dýchací soustavy</c:v>
                </c:pt>
                <c:pt idx="14">
                  <c:v>Nemoci svalové, kosterní a pojivové tkáně</c:v>
                </c:pt>
                <c:pt idx="15">
                  <c:v>Nemoci močové a pohlavní soustavy</c:v>
                </c:pt>
                <c:pt idx="16">
                  <c:v>Faktory ovlivňující zdravotní stav</c:v>
                </c:pt>
                <c:pt idx="17">
                  <c:v>Nemoci trávicí soustavy</c:v>
                </c:pt>
                <c:pt idx="18">
                  <c:v>Novotvary</c:v>
                </c:pt>
                <c:pt idx="19">
                  <c:v>Nemoci oběhové soustavy</c:v>
                </c:pt>
              </c:strCache>
            </c:strRef>
          </c:cat>
          <c:val>
            <c:numRef>
              <c:f>'Graf 3.4 a 3.5'!$F$35:$F$54</c:f>
              <c:numCache>
                <c:formatCode>General</c:formatCode>
                <c:ptCount val="20"/>
                <c:pt idx="0">
                  <c:v>932</c:v>
                </c:pt>
                <c:pt idx="1">
                  <c:v>940</c:v>
                </c:pt>
                <c:pt idx="2" formatCode="#,##0">
                  <c:v>2091</c:v>
                </c:pt>
                <c:pt idx="3" formatCode="#,##0">
                  <c:v>2096</c:v>
                </c:pt>
                <c:pt idx="4" formatCode="#,##0">
                  <c:v>2359</c:v>
                </c:pt>
                <c:pt idx="5" formatCode="#,##0">
                  <c:v>2384</c:v>
                </c:pt>
                <c:pt idx="6" formatCode="#,##0">
                  <c:v>2816</c:v>
                </c:pt>
                <c:pt idx="7" formatCode="#,##0">
                  <c:v>2884</c:v>
                </c:pt>
                <c:pt idx="8" formatCode="#,##0">
                  <c:v>5400</c:v>
                </c:pt>
                <c:pt idx="9" formatCode="#,##0">
                  <c:v>5690</c:v>
                </c:pt>
                <c:pt idx="10" formatCode="#,##0">
                  <c:v>5832</c:v>
                </c:pt>
                <c:pt idx="11" formatCode="#,##0">
                  <c:v>6627</c:v>
                </c:pt>
                <c:pt idx="12" formatCode="#,##0">
                  <c:v>7783</c:v>
                </c:pt>
                <c:pt idx="13" formatCode="#,##0">
                  <c:v>8551</c:v>
                </c:pt>
                <c:pt idx="14" formatCode="#,##0">
                  <c:v>10659</c:v>
                </c:pt>
                <c:pt idx="15" formatCode="#,##0">
                  <c:v>11355</c:v>
                </c:pt>
                <c:pt idx="16" formatCode="#,##0">
                  <c:v>12614</c:v>
                </c:pt>
                <c:pt idx="17" formatCode="#,##0">
                  <c:v>13213</c:v>
                </c:pt>
                <c:pt idx="18" formatCode="#,##0">
                  <c:v>19217</c:v>
                </c:pt>
                <c:pt idx="19" formatCode="#,##0">
                  <c:v>26758</c:v>
                </c:pt>
              </c:numCache>
            </c:numRef>
          </c:val>
        </c:ser>
        <c:dLbls>
          <c:showLegendKey val="0"/>
          <c:showVal val="0"/>
          <c:showCatName val="0"/>
          <c:showSerName val="0"/>
          <c:showPercent val="0"/>
          <c:showBubbleSize val="0"/>
        </c:dLbls>
        <c:gapWidth val="169"/>
        <c:overlap val="100"/>
        <c:axId val="162435584"/>
        <c:axId val="162162368"/>
      </c:barChart>
      <c:catAx>
        <c:axId val="149351936"/>
        <c:scaling>
          <c:orientation val="minMax"/>
        </c:scaling>
        <c:delete val="0"/>
        <c:axPos val="l"/>
        <c:majorTickMark val="out"/>
        <c:minorTickMark val="none"/>
        <c:tickLblPos val="nextTo"/>
        <c:spPr>
          <a:ln w="3175">
            <a:solidFill>
              <a:schemeClr val="bg1">
                <a:lumMod val="75000"/>
              </a:schemeClr>
            </a:solidFill>
          </a:ln>
        </c:spPr>
        <c:txPr>
          <a:bodyPr/>
          <a:lstStyle/>
          <a:p>
            <a:pPr>
              <a:defRPr sz="800">
                <a:latin typeface="Arial" pitchFamily="34" charset="0"/>
                <a:cs typeface="Arial" pitchFamily="34" charset="0"/>
              </a:defRPr>
            </a:pPr>
            <a:endParaRPr lang="cs-CZ"/>
          </a:p>
        </c:txPr>
        <c:crossAx val="162161792"/>
        <c:crosses val="autoZero"/>
        <c:auto val="1"/>
        <c:lblAlgn val="ctr"/>
        <c:lblOffset val="100"/>
        <c:noMultiLvlLbl val="0"/>
      </c:catAx>
      <c:valAx>
        <c:axId val="162161792"/>
        <c:scaling>
          <c:orientation val="minMax"/>
          <c:max val="29000"/>
          <c:min val="0"/>
        </c:scaling>
        <c:delete val="0"/>
        <c:axPos val="b"/>
        <c:majorGridlines>
          <c:spPr>
            <a:ln>
              <a:solidFill>
                <a:sysClr val="window" lastClr="FFFFFF">
                  <a:lumMod val="75000"/>
                </a:sysClr>
              </a:solidFill>
              <a:prstDash val="sysDot"/>
            </a:ln>
          </c:spPr>
        </c:majorGridlines>
        <c:numFmt formatCode="#,##0" sourceLinked="0"/>
        <c:majorTickMark val="out"/>
        <c:minorTickMark val="none"/>
        <c:tickLblPos val="nextTo"/>
        <c:spPr>
          <a:ln w="3175">
            <a:solidFill>
              <a:schemeClr val="bg1">
                <a:lumMod val="75000"/>
              </a:schemeClr>
            </a:solidFill>
          </a:ln>
        </c:spPr>
        <c:txPr>
          <a:bodyPr/>
          <a:lstStyle/>
          <a:p>
            <a:pPr>
              <a:defRPr sz="800">
                <a:latin typeface="Arial" pitchFamily="34" charset="0"/>
                <a:cs typeface="Arial" pitchFamily="34" charset="0"/>
              </a:defRPr>
            </a:pPr>
            <a:endParaRPr lang="cs-CZ"/>
          </a:p>
        </c:txPr>
        <c:crossAx val="149351936"/>
        <c:crosses val="autoZero"/>
        <c:crossBetween val="between"/>
        <c:majorUnit val="5000"/>
        <c:minorUnit val="1000"/>
      </c:valAx>
      <c:valAx>
        <c:axId val="162162368"/>
        <c:scaling>
          <c:orientation val="minMax"/>
        </c:scaling>
        <c:delete val="1"/>
        <c:axPos val="t"/>
        <c:numFmt formatCode="General" sourceLinked="1"/>
        <c:majorTickMark val="none"/>
        <c:minorTickMark val="none"/>
        <c:tickLblPos val="none"/>
        <c:crossAx val="162435584"/>
        <c:crosses val="max"/>
        <c:crossBetween val="between"/>
      </c:valAx>
      <c:catAx>
        <c:axId val="162435584"/>
        <c:scaling>
          <c:orientation val="minMax"/>
        </c:scaling>
        <c:delete val="1"/>
        <c:axPos val="l"/>
        <c:majorTickMark val="out"/>
        <c:minorTickMark val="none"/>
        <c:tickLblPos val="none"/>
        <c:crossAx val="162162368"/>
        <c:crosses val="autoZero"/>
        <c:auto val="1"/>
        <c:lblAlgn val="ctr"/>
        <c:lblOffset val="100"/>
        <c:noMultiLvlLbl val="0"/>
      </c:catAx>
    </c:plotArea>
    <c:legend>
      <c:legendPos val="tr"/>
      <c:layout>
        <c:manualLayout>
          <c:xMode val="edge"/>
          <c:yMode val="edge"/>
          <c:x val="0.76384328141947666"/>
          <c:y val="0.49784523922461543"/>
          <c:w val="0.10409219525945848"/>
          <c:h val="8.0931329366961707E-2"/>
        </c:manualLayout>
      </c:layout>
      <c:overlay val="1"/>
      <c:txPr>
        <a:bodyPr/>
        <a:lstStyle/>
        <a:p>
          <a:pPr>
            <a:defRPr sz="800">
              <a:latin typeface="Arial" pitchFamily="34" charset="0"/>
              <a:cs typeface="Arial" pitchFamily="34" charset="0"/>
            </a:defRPr>
          </a:pPr>
          <a:endParaRPr lang="cs-CZ"/>
        </a:p>
      </c:txPr>
    </c:legend>
    <c:plotVisOnly val="1"/>
    <c:dispBlanksAs val="gap"/>
    <c:showDLblsOverMax val="0"/>
  </c:chart>
  <c:spPr>
    <a:ln>
      <a:noFill/>
    </a:ln>
  </c:sp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33760660943820642"/>
          <c:y val="9.7640419947506562E-3"/>
          <c:w val="0.62919484209108534"/>
          <c:h val="0.93849711286089299"/>
        </c:manualLayout>
      </c:layout>
      <c:barChart>
        <c:barDir val="bar"/>
        <c:grouping val="clustered"/>
        <c:varyColors val="0"/>
        <c:ser>
          <c:idx val="0"/>
          <c:order val="0"/>
          <c:spPr>
            <a:solidFill>
              <a:srgbClr val="D96D7F"/>
            </a:solidFill>
            <a:ln>
              <a:solidFill>
                <a:srgbClr val="4F81BD">
                  <a:lumMod val="50000"/>
                </a:srgbClr>
              </a:solidFill>
            </a:ln>
          </c:spPr>
          <c:invertIfNegative val="0"/>
          <c:dPt>
            <c:idx val="0"/>
            <c:invertIfNegative val="0"/>
            <c:bubble3D val="0"/>
            <c:spPr>
              <a:solidFill>
                <a:srgbClr val="0071BC"/>
              </a:solidFill>
              <a:ln>
                <a:solidFill>
                  <a:srgbClr val="4F81BD">
                    <a:lumMod val="50000"/>
                  </a:srgbClr>
                </a:solidFill>
              </a:ln>
            </c:spPr>
          </c:dPt>
          <c:dPt>
            <c:idx val="1"/>
            <c:invertIfNegative val="0"/>
            <c:bubble3D val="0"/>
            <c:spPr>
              <a:solidFill>
                <a:srgbClr val="0071BC"/>
              </a:solidFill>
              <a:ln>
                <a:solidFill>
                  <a:srgbClr val="4F81BD">
                    <a:lumMod val="50000"/>
                  </a:srgbClr>
                </a:solidFill>
              </a:ln>
            </c:spPr>
          </c:dPt>
          <c:dLbls>
            <c:txPr>
              <a:bodyPr/>
              <a:lstStyle/>
              <a:p>
                <a:pPr>
                  <a:defRPr sz="800">
                    <a:latin typeface="Arial" pitchFamily="34" charset="0"/>
                    <a:cs typeface="Arial" pitchFamily="34" charset="0"/>
                  </a:defRPr>
                </a:pPr>
                <a:endParaRPr lang="cs-CZ"/>
              </a:p>
            </c:txPr>
            <c:showLegendKey val="0"/>
            <c:showVal val="1"/>
            <c:showCatName val="0"/>
            <c:showSerName val="0"/>
            <c:showPercent val="0"/>
            <c:showBubbleSize val="0"/>
            <c:showLeaderLines val="0"/>
          </c:dLbls>
          <c:cat>
            <c:strRef>
              <c:f>'Graf 3.4 a 3.5'!$E$67:$E$86</c:f>
              <c:strCache>
                <c:ptCount val="20"/>
                <c:pt idx="0">
                  <c:v>Stavy vzniklé v perinatálním období</c:v>
                </c:pt>
                <c:pt idx="1">
                  <c:v>Těhotenství, porod a šestinedělí</c:v>
                </c:pt>
                <c:pt idx="2">
                  <c:v>Vrozené vady a deformace</c:v>
                </c:pt>
                <c:pt idx="3">
                  <c:v>Nemoci oběhové soustavy</c:v>
                </c:pt>
                <c:pt idx="4">
                  <c:v>Nemoci ucha</c:v>
                </c:pt>
                <c:pt idx="5">
                  <c:v>Nemoci kůže</c:v>
                </c:pt>
                <c:pt idx="6">
                  <c:v>Nemoci krve a krvetvorných orgánů</c:v>
                </c:pt>
                <c:pt idx="7">
                  <c:v>Infekční a parazitární nemoci</c:v>
                </c:pt>
                <c:pt idx="8">
                  <c:v>Nemoci oka</c:v>
                </c:pt>
                <c:pt idx="9">
                  <c:v>Nemoci dýchací soustavy</c:v>
                </c:pt>
                <c:pt idx="10">
                  <c:v>Poruchy duševní a poruchy chování</c:v>
                </c:pt>
                <c:pt idx="11">
                  <c:v>Nemoci trávicí soustavy</c:v>
                </c:pt>
                <c:pt idx="12">
                  <c:v>Nemoci endokrinní a metabolické</c:v>
                </c:pt>
                <c:pt idx="13">
                  <c:v>Příznaky, znaky</c:v>
                </c:pt>
                <c:pt idx="14">
                  <c:v>Nemoci nervové soustavy</c:v>
                </c:pt>
                <c:pt idx="15">
                  <c:v>Nemoci močové a pohlavní soustavy</c:v>
                </c:pt>
                <c:pt idx="16">
                  <c:v>Poranění, otravy aj.</c:v>
                </c:pt>
                <c:pt idx="17">
                  <c:v>Novotvary</c:v>
                </c:pt>
                <c:pt idx="18">
                  <c:v>Faktory ovlivňující zdravotní stav</c:v>
                </c:pt>
                <c:pt idx="19">
                  <c:v>Nemoci svalové, kosterní a pojivové tkáně</c:v>
                </c:pt>
              </c:strCache>
            </c:strRef>
          </c:cat>
          <c:val>
            <c:numRef>
              <c:f>'Graf 3.4 a 3.5'!$F$67:$F$86</c:f>
              <c:numCache>
                <c:formatCode>#,##0</c:formatCode>
                <c:ptCount val="20"/>
                <c:pt idx="0">
                  <c:v>-319.62701372440802</c:v>
                </c:pt>
                <c:pt idx="1">
                  <c:v>-135.19262167983814</c:v>
                </c:pt>
                <c:pt idx="2">
                  <c:v>269.42934484281869</c:v>
                </c:pt>
                <c:pt idx="3">
                  <c:v>373.93557001556434</c:v>
                </c:pt>
                <c:pt idx="4">
                  <c:v>477.63915051747603</c:v>
                </c:pt>
                <c:pt idx="5">
                  <c:v>701.76899617583831</c:v>
                </c:pt>
                <c:pt idx="6">
                  <c:v>838.86100946766419</c:v>
                </c:pt>
                <c:pt idx="7">
                  <c:v>991.78190705599809</c:v>
                </c:pt>
                <c:pt idx="8">
                  <c:v>1343.1263870335558</c:v>
                </c:pt>
                <c:pt idx="9">
                  <c:v>1396.7918879325807</c:v>
                </c:pt>
                <c:pt idx="10">
                  <c:v>1484.5188066852895</c:v>
                </c:pt>
                <c:pt idx="11">
                  <c:v>1729.6762237169096</c:v>
                </c:pt>
                <c:pt idx="12">
                  <c:v>1778.677461125324</c:v>
                </c:pt>
                <c:pt idx="13">
                  <c:v>2135.7771239163471</c:v>
                </c:pt>
                <c:pt idx="14">
                  <c:v>2631.3690048473072</c:v>
                </c:pt>
                <c:pt idx="15">
                  <c:v>2962.204315261326</c:v>
                </c:pt>
                <c:pt idx="16">
                  <c:v>4410.1917256275638</c:v>
                </c:pt>
                <c:pt idx="17">
                  <c:v>4464.9043049701995</c:v>
                </c:pt>
                <c:pt idx="18">
                  <c:v>5297.9837305644205</c:v>
                </c:pt>
                <c:pt idx="19">
                  <c:v>5780.7600572462952</c:v>
                </c:pt>
              </c:numCache>
            </c:numRef>
          </c:val>
        </c:ser>
        <c:dLbls>
          <c:showLegendKey val="0"/>
          <c:showVal val="0"/>
          <c:showCatName val="0"/>
          <c:showSerName val="0"/>
          <c:showPercent val="0"/>
          <c:showBubbleSize val="0"/>
        </c:dLbls>
        <c:gapWidth val="78"/>
        <c:axId val="173883904"/>
        <c:axId val="150403264"/>
      </c:barChart>
      <c:catAx>
        <c:axId val="173883904"/>
        <c:scaling>
          <c:orientation val="minMax"/>
        </c:scaling>
        <c:delete val="0"/>
        <c:axPos val="l"/>
        <c:majorTickMark val="out"/>
        <c:minorTickMark val="none"/>
        <c:tickLblPos val="low"/>
        <c:spPr>
          <a:ln w="3175">
            <a:solidFill>
              <a:sysClr val="window" lastClr="FFFFFF">
                <a:lumMod val="85000"/>
              </a:sysClr>
            </a:solidFill>
          </a:ln>
        </c:spPr>
        <c:txPr>
          <a:bodyPr/>
          <a:lstStyle/>
          <a:p>
            <a:pPr>
              <a:defRPr sz="800">
                <a:latin typeface="Arial" pitchFamily="34" charset="0"/>
                <a:cs typeface="Arial" pitchFamily="34" charset="0"/>
              </a:defRPr>
            </a:pPr>
            <a:endParaRPr lang="cs-CZ"/>
          </a:p>
        </c:txPr>
        <c:crossAx val="150403264"/>
        <c:crosses val="autoZero"/>
        <c:auto val="1"/>
        <c:lblAlgn val="ctr"/>
        <c:lblOffset val="100"/>
        <c:noMultiLvlLbl val="0"/>
      </c:catAx>
      <c:valAx>
        <c:axId val="150403264"/>
        <c:scaling>
          <c:orientation val="minMax"/>
          <c:max val="6000"/>
          <c:min val="-1000"/>
        </c:scaling>
        <c:delete val="0"/>
        <c:axPos val="b"/>
        <c:majorGridlines>
          <c:spPr>
            <a:ln>
              <a:solidFill>
                <a:sysClr val="window" lastClr="FFFFFF">
                  <a:lumMod val="75000"/>
                </a:sysClr>
              </a:solidFill>
              <a:prstDash val="sysDot"/>
            </a:ln>
          </c:spPr>
        </c:majorGridlines>
        <c:numFmt formatCode="#,##0" sourceLinked="1"/>
        <c:majorTickMark val="out"/>
        <c:minorTickMark val="none"/>
        <c:tickLblPos val="nextTo"/>
        <c:spPr>
          <a:ln w="3175">
            <a:solidFill>
              <a:sysClr val="window" lastClr="FFFFFF">
                <a:lumMod val="85000"/>
              </a:sysClr>
            </a:solidFill>
          </a:ln>
        </c:spPr>
        <c:txPr>
          <a:bodyPr/>
          <a:lstStyle/>
          <a:p>
            <a:pPr>
              <a:defRPr sz="800">
                <a:latin typeface="Arial" panose="020B0604020202020204" pitchFamily="34" charset="0"/>
                <a:cs typeface="Arial" panose="020B0604020202020204" pitchFamily="34" charset="0"/>
              </a:defRPr>
            </a:pPr>
            <a:endParaRPr lang="cs-CZ"/>
          </a:p>
        </c:txPr>
        <c:crossAx val="173883904"/>
        <c:crosses val="autoZero"/>
        <c:crossBetween val="between"/>
        <c:majorUnit val="1000"/>
      </c:valAx>
    </c:plotArea>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8.1405975108477066E-2"/>
          <c:y val="1.4947683109118089E-2"/>
          <c:w val="0.88493928150116541"/>
          <c:h val="0.75401315866906771"/>
        </c:manualLayout>
      </c:layout>
      <c:barChart>
        <c:barDir val="bar"/>
        <c:grouping val="stacked"/>
        <c:varyColors val="0"/>
        <c:ser>
          <c:idx val="0"/>
          <c:order val="0"/>
          <c:tx>
            <c:strRef>
              <c:f>List6!$L$5:$M$5</c:f>
              <c:strCache>
                <c:ptCount val="1"/>
                <c:pt idx="0">
                  <c:v> Novotvary</c:v>
                </c:pt>
              </c:strCache>
            </c:strRef>
          </c:tx>
          <c:spPr>
            <a:solidFill>
              <a:srgbClr val="0071BC"/>
            </a:solidFill>
            <a:ln>
              <a:solidFill>
                <a:srgbClr val="4F81BD">
                  <a:lumMod val="50000"/>
                </a:srgbClr>
              </a:solidFill>
            </a:ln>
          </c:spPr>
          <c:invertIfNegative val="0"/>
          <c:dLbls>
            <c:dLbl>
              <c:idx val="2"/>
              <c:spPr/>
              <c:txPr>
                <a:bodyPr rot="-5400000" vert="horz"/>
                <a:lstStyle/>
                <a:p>
                  <a:pPr>
                    <a:defRPr b="0">
                      <a:solidFill>
                        <a:schemeClr val="bg1"/>
                      </a:solidFill>
                    </a:defRPr>
                  </a:pPr>
                  <a:endParaRPr lang="cs-CZ"/>
                </a:p>
              </c:txPr>
              <c:showLegendKey val="0"/>
              <c:showVal val="1"/>
              <c:showCatName val="0"/>
              <c:showSerName val="0"/>
              <c:showPercent val="0"/>
              <c:showBubbleSize val="0"/>
            </c:dLbl>
            <c:txPr>
              <a:bodyPr/>
              <a:lstStyle/>
              <a:p>
                <a:pPr>
                  <a:defRPr b="0">
                    <a:solidFill>
                      <a:schemeClr val="bg1"/>
                    </a:solidFill>
                  </a:defRPr>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List6!$N$5:$P$5</c:f>
              <c:numCache>
                <c:formatCode>0.0%</c:formatCode>
                <c:ptCount val="3"/>
                <c:pt idx="0" formatCode="0%">
                  <c:v>0.14858597570518875</c:v>
                </c:pt>
                <c:pt idx="1">
                  <c:v>0.12059947204141754</c:v>
                </c:pt>
                <c:pt idx="2">
                  <c:v>3.9772640487884529E-2</c:v>
                </c:pt>
              </c:numCache>
            </c:numRef>
          </c:val>
        </c:ser>
        <c:ser>
          <c:idx val="1"/>
          <c:order val="1"/>
          <c:tx>
            <c:strRef>
              <c:f>List6!$L$6:$M$6</c:f>
              <c:strCache>
                <c:ptCount val="1"/>
                <c:pt idx="0">
                  <c:v> Nem. oběhové soust.</c:v>
                </c:pt>
              </c:strCache>
            </c:strRef>
          </c:tx>
          <c:spPr>
            <a:solidFill>
              <a:srgbClr val="D96D7F"/>
            </a:solidFill>
            <a:ln>
              <a:solidFill>
                <a:srgbClr val="C0504D">
                  <a:lumMod val="75000"/>
                </a:srgbClr>
              </a:solidFill>
            </a:ln>
          </c:spPr>
          <c:invertIfNegative val="0"/>
          <c:dLbls>
            <c:dLbl>
              <c:idx val="2"/>
              <c:delete val="1"/>
            </c:dLbl>
            <c:txPr>
              <a:bodyPr rot="0" vert="horz"/>
              <a:lstStyle/>
              <a:p>
                <a:pPr>
                  <a:defRPr b="0"/>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List6!$N$6:$P$6</c:f>
              <c:numCache>
                <c:formatCode>0.0%</c:formatCode>
                <c:ptCount val="3"/>
                <c:pt idx="0">
                  <c:v>0.23184805154152749</c:v>
                </c:pt>
                <c:pt idx="1">
                  <c:v>9.569931039304122E-2</c:v>
                </c:pt>
                <c:pt idx="2">
                  <c:v>5.9869142208022509E-3</c:v>
                </c:pt>
              </c:numCache>
            </c:numRef>
          </c:val>
        </c:ser>
        <c:ser>
          <c:idx val="2"/>
          <c:order val="2"/>
          <c:tx>
            <c:strRef>
              <c:f>List6!$L$7:$M$7</c:f>
              <c:strCache>
                <c:ptCount val="1"/>
                <c:pt idx="0">
                  <c:v> Nem. dýchací soust.</c:v>
                </c:pt>
              </c:strCache>
            </c:strRef>
          </c:tx>
          <c:spPr>
            <a:solidFill>
              <a:srgbClr val="CCC1DA"/>
            </a:solidFill>
            <a:ln>
              <a:solidFill>
                <a:sysClr val="window" lastClr="FFFFFF">
                  <a:lumMod val="50000"/>
                </a:sysClr>
              </a:solidFill>
            </a:ln>
          </c:spPr>
          <c:invertIfNegative val="0"/>
          <c:dLbls>
            <c:txPr>
              <a:bodyPr rot="-5400000" vert="horz"/>
              <a:lstStyle/>
              <a:p>
                <a:pPr>
                  <a:defRPr b="0"/>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List6!$N$7:$P$7</c:f>
              <c:numCache>
                <c:formatCode>0.0%</c:formatCode>
                <c:ptCount val="3"/>
                <c:pt idx="0">
                  <c:v>5.1319979169024567E-2</c:v>
                </c:pt>
                <c:pt idx="1">
                  <c:v>4.3332030213761537E-2</c:v>
                </c:pt>
                <c:pt idx="2">
                  <c:v>0.11895613842448736</c:v>
                </c:pt>
              </c:numCache>
            </c:numRef>
          </c:val>
        </c:ser>
        <c:ser>
          <c:idx val="3"/>
          <c:order val="3"/>
          <c:tx>
            <c:strRef>
              <c:f>List6!$L$8:$M$8</c:f>
              <c:strCache>
                <c:ptCount val="1"/>
                <c:pt idx="0">
                  <c:v> Nem. trávicí soust.</c:v>
                </c:pt>
              </c:strCache>
            </c:strRef>
          </c:tx>
          <c:spPr>
            <a:solidFill>
              <a:srgbClr val="7030A0"/>
            </a:solidFill>
            <a:ln>
              <a:solidFill>
                <a:sysClr val="window" lastClr="FFFFFF">
                  <a:lumMod val="50000"/>
                </a:sysClr>
              </a:solidFill>
            </a:ln>
          </c:spPr>
          <c:invertIfNegative val="0"/>
          <c:dLbls>
            <c:txPr>
              <a:bodyPr rot="-5400000" vert="horz"/>
              <a:lstStyle/>
              <a:p>
                <a:pPr>
                  <a:defRPr b="0">
                    <a:solidFill>
                      <a:schemeClr val="bg1"/>
                    </a:solidFill>
                  </a:defRPr>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List6!$N$8:$P$8</c:f>
              <c:numCache>
                <c:formatCode>0.0%</c:formatCode>
                <c:ptCount val="3"/>
                <c:pt idx="0">
                  <c:v>6.0591290526070193E-2</c:v>
                </c:pt>
                <c:pt idx="1">
                  <c:v>9.5063873181264219E-2</c:v>
                </c:pt>
                <c:pt idx="2">
                  <c:v>7.1103139731901827E-2</c:v>
                </c:pt>
              </c:numCache>
            </c:numRef>
          </c:val>
        </c:ser>
        <c:ser>
          <c:idx val="4"/>
          <c:order val="4"/>
          <c:tx>
            <c:strRef>
              <c:f>List6!$L$9:$M$9</c:f>
              <c:strCache>
                <c:ptCount val="1"/>
                <c:pt idx="0">
                  <c:v> Nem. svalové a kosterní soust.</c:v>
                </c:pt>
              </c:strCache>
            </c:strRef>
          </c:tx>
          <c:spPr>
            <a:solidFill>
              <a:srgbClr val="FFC000"/>
            </a:solidFill>
            <a:ln>
              <a:solidFill>
                <a:sysClr val="window" lastClr="FFFFFF">
                  <a:lumMod val="50000"/>
                </a:sysClr>
              </a:solidFill>
            </a:ln>
          </c:spPr>
          <c:invertIfNegative val="0"/>
          <c:dLbls>
            <c:txPr>
              <a:bodyPr rot="-5400000" vert="horz"/>
              <a:lstStyle/>
              <a:p>
                <a:pPr>
                  <a:defRPr b="0"/>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List6!$N$9:$P$9</c:f>
              <c:numCache>
                <c:formatCode>0.0%</c:formatCode>
                <c:ptCount val="3"/>
                <c:pt idx="0">
                  <c:v>8.23472952554445E-2</c:v>
                </c:pt>
                <c:pt idx="1">
                  <c:v>9.9872507680115311E-2</c:v>
                </c:pt>
                <c:pt idx="2">
                  <c:v>2.942830839744958E-2</c:v>
                </c:pt>
              </c:numCache>
            </c:numRef>
          </c:val>
        </c:ser>
        <c:ser>
          <c:idx val="5"/>
          <c:order val="5"/>
          <c:tx>
            <c:strRef>
              <c:f>List6!$L$10:$M$10</c:f>
              <c:strCache>
                <c:ptCount val="1"/>
                <c:pt idx="0">
                  <c:v> Nem. pohlavní a močové soust.</c:v>
                </c:pt>
              </c:strCache>
            </c:strRef>
          </c:tx>
          <c:spPr>
            <a:solidFill>
              <a:srgbClr val="FFFF8C"/>
            </a:solidFill>
            <a:ln>
              <a:solidFill>
                <a:sysClr val="window" lastClr="FFFFFF">
                  <a:lumMod val="50000"/>
                </a:sysClr>
              </a:solidFill>
            </a:ln>
          </c:spPr>
          <c:invertIfNegative val="0"/>
          <c:dLbls>
            <c:txPr>
              <a:bodyPr rot="-5400000" vert="horz"/>
              <a:lstStyle/>
              <a:p>
                <a:pPr>
                  <a:defRPr b="0"/>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List6!$N$10:$P$10</c:f>
              <c:numCache>
                <c:formatCode>0.0%</c:formatCode>
                <c:ptCount val="3"/>
                <c:pt idx="0">
                  <c:v>8.7070897946034342E-2</c:v>
                </c:pt>
                <c:pt idx="1">
                  <c:v>7.6101698756334435E-2</c:v>
                </c:pt>
                <c:pt idx="2">
                  <c:v>1.7620879741774932E-2</c:v>
                </c:pt>
              </c:numCache>
            </c:numRef>
          </c:val>
        </c:ser>
        <c:ser>
          <c:idx val="6"/>
          <c:order val="6"/>
          <c:tx>
            <c:strRef>
              <c:f>List6!$L$11:$M$11</c:f>
              <c:strCache>
                <c:ptCount val="1"/>
                <c:pt idx="0">
                  <c:v> Stavy vzniklé v perinatálním obd.</c:v>
                </c:pt>
              </c:strCache>
            </c:strRef>
          </c:tx>
          <c:spPr>
            <a:solidFill>
              <a:srgbClr val="92D050"/>
            </a:solidFill>
            <a:ln>
              <a:solidFill>
                <a:srgbClr val="9BBB59">
                  <a:lumMod val="75000"/>
                </a:srgbClr>
              </a:solidFill>
            </a:ln>
          </c:spPr>
          <c:invertIfNegative val="0"/>
          <c:dLbls>
            <c:dLbl>
              <c:idx val="0"/>
              <c:delete val="1"/>
            </c:dLbl>
            <c:dLbl>
              <c:idx val="1"/>
              <c:delete val="1"/>
            </c:dLbl>
            <c:txPr>
              <a:bodyPr/>
              <a:lstStyle/>
              <a:p>
                <a:pPr>
                  <a:defRPr b="0"/>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List6!$N$11:$P$11</c:f>
              <c:numCache>
                <c:formatCode>0.0%</c:formatCode>
                <c:ptCount val="3"/>
                <c:pt idx="0">
                  <c:v>4.2357643710036352E-6</c:v>
                </c:pt>
                <c:pt idx="1">
                  <c:v>4.1635568511538915E-5</c:v>
                </c:pt>
                <c:pt idx="2">
                  <c:v>0.11579465560628975</c:v>
                </c:pt>
              </c:numCache>
            </c:numRef>
          </c:val>
        </c:ser>
        <c:ser>
          <c:idx val="7"/>
          <c:order val="7"/>
          <c:tx>
            <c:strRef>
              <c:f>List6!$L$12:$M$12</c:f>
              <c:strCache>
                <c:ptCount val="1"/>
                <c:pt idx="0">
                  <c:v> Ostatní</c:v>
                </c:pt>
              </c:strCache>
            </c:strRef>
          </c:tx>
          <c:spPr>
            <a:solidFill>
              <a:srgbClr val="C0504D">
                <a:lumMod val="20000"/>
                <a:lumOff val="80000"/>
              </a:srgbClr>
            </a:solidFill>
            <a:ln>
              <a:solidFill>
                <a:srgbClr val="C0504D">
                  <a:lumMod val="60000"/>
                  <a:lumOff val="40000"/>
                </a:srgbClr>
              </a:solidFill>
            </a:ln>
          </c:spPr>
          <c:invertIfNegative val="0"/>
          <c:dLbls>
            <c:txPr>
              <a:bodyPr/>
              <a:lstStyle/>
              <a:p>
                <a:pPr>
                  <a:defRPr b="0">
                    <a:solidFill>
                      <a:sysClr val="windowText" lastClr="000000"/>
                    </a:solidFill>
                  </a:defRPr>
                </a:pPr>
                <a:endParaRPr lang="cs-CZ"/>
              </a:p>
            </c:txPr>
            <c:showLegendKey val="0"/>
            <c:showVal val="1"/>
            <c:showCatName val="0"/>
            <c:showSerName val="0"/>
            <c:showPercent val="0"/>
            <c:showBubbleSize val="0"/>
            <c:showLeaderLines val="0"/>
          </c:dLbls>
          <c:cat>
            <c:strRef>
              <c:f>List6!$N$4:$P$4</c:f>
              <c:strCache>
                <c:ptCount val="3"/>
                <c:pt idx="0">
                  <c:v>65+</c:v>
                </c:pt>
                <c:pt idx="1">
                  <c:v>15 - 64</c:v>
                </c:pt>
                <c:pt idx="2">
                  <c:v>0 - 14</c:v>
                </c:pt>
              </c:strCache>
            </c:strRef>
          </c:cat>
          <c:val>
            <c:numRef>
              <c:f>List6!$N$12:$P$12</c:f>
              <c:numCache>
                <c:formatCode>0.0%</c:formatCode>
                <c:ptCount val="3"/>
                <c:pt idx="0">
                  <c:v>0.33823227409233936</c:v>
                </c:pt>
                <c:pt idx="1">
                  <c:v>0.46928947216555494</c:v>
                </c:pt>
                <c:pt idx="2">
                  <c:v>0.60133732338941004</c:v>
                </c:pt>
              </c:numCache>
            </c:numRef>
          </c:val>
        </c:ser>
        <c:dLbls>
          <c:showLegendKey val="0"/>
          <c:showVal val="1"/>
          <c:showCatName val="0"/>
          <c:showSerName val="0"/>
          <c:showPercent val="0"/>
          <c:showBubbleSize val="0"/>
        </c:dLbls>
        <c:gapWidth val="70"/>
        <c:overlap val="100"/>
        <c:axId val="147871232"/>
        <c:axId val="151280384"/>
      </c:barChart>
      <c:catAx>
        <c:axId val="147871232"/>
        <c:scaling>
          <c:orientation val="minMax"/>
        </c:scaling>
        <c:delete val="0"/>
        <c:axPos val="l"/>
        <c:majorTickMark val="out"/>
        <c:minorTickMark val="none"/>
        <c:tickLblPos val="nextTo"/>
        <c:spPr>
          <a:ln w="3175">
            <a:solidFill>
              <a:schemeClr val="bg1">
                <a:lumMod val="85000"/>
              </a:schemeClr>
            </a:solidFill>
          </a:ln>
        </c:spPr>
        <c:crossAx val="151280384"/>
        <c:crosses val="autoZero"/>
        <c:auto val="1"/>
        <c:lblAlgn val="ctr"/>
        <c:lblOffset val="100"/>
        <c:noMultiLvlLbl val="0"/>
      </c:catAx>
      <c:valAx>
        <c:axId val="151280384"/>
        <c:scaling>
          <c:orientation val="minMax"/>
          <c:max val="1"/>
        </c:scaling>
        <c:delete val="0"/>
        <c:axPos val="b"/>
        <c:majorGridlines>
          <c:spPr>
            <a:ln>
              <a:prstDash val="sysDot"/>
            </a:ln>
          </c:spPr>
        </c:majorGridlines>
        <c:numFmt formatCode="0%" sourceLinked="1"/>
        <c:majorTickMark val="out"/>
        <c:minorTickMark val="none"/>
        <c:tickLblPos val="nextTo"/>
        <c:spPr>
          <a:ln w="3175">
            <a:solidFill>
              <a:schemeClr val="bg1">
                <a:lumMod val="85000"/>
              </a:schemeClr>
            </a:solidFill>
          </a:ln>
        </c:spPr>
        <c:crossAx val="147871232"/>
        <c:crosses val="autoZero"/>
        <c:crossBetween val="between"/>
      </c:valAx>
    </c:plotArea>
    <c:legend>
      <c:legendPos val="b"/>
      <c:layout>
        <c:manualLayout>
          <c:xMode val="edge"/>
          <c:yMode val="edge"/>
          <c:x val="6.609830069841581E-2"/>
          <c:y val="0.8512338311971096"/>
          <c:w val="0.89286146385667553"/>
          <c:h val="0.13100879010622318"/>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28434489607717994"/>
          <c:y val="2.2703818369453083E-2"/>
          <c:w val="0.63273095647733102"/>
          <c:h val="0.8711780145128929"/>
        </c:manualLayout>
      </c:layout>
      <c:barChart>
        <c:barDir val="bar"/>
        <c:grouping val="clustered"/>
        <c:varyColors val="0"/>
        <c:ser>
          <c:idx val="3"/>
          <c:order val="0"/>
          <c:tx>
            <c:strRef>
              <c:f>'Graf 3.6 '!$T$29</c:f>
              <c:strCache>
                <c:ptCount val="1"/>
                <c:pt idx="0">
                  <c:v> ženy</c:v>
                </c:pt>
              </c:strCache>
            </c:strRef>
          </c:tx>
          <c:spPr>
            <a:solidFill>
              <a:srgbClr val="D96D7F"/>
            </a:solidFill>
            <a:ln w="9525">
              <a:solidFill>
                <a:srgbClr val="C00000"/>
              </a:solidFill>
              <a:prstDash val="solid"/>
            </a:ln>
          </c:spPr>
          <c:invertIfNegative val="0"/>
          <c:dLbls>
            <c:showLegendKey val="0"/>
            <c:showVal val="1"/>
            <c:showCatName val="0"/>
            <c:showSerName val="0"/>
            <c:showPercent val="0"/>
            <c:showBubbleSize val="0"/>
            <c:showLeaderLines val="0"/>
          </c:dLbls>
          <c:cat>
            <c:strRef>
              <c:f>'Graf 3.6 '!$S$30:$S$49</c:f>
              <c:strCache>
                <c:ptCount val="20"/>
                <c:pt idx="0">
                  <c:v>Vrozené vady a deformace</c:v>
                </c:pt>
                <c:pt idx="1">
                  <c:v>Nemoci ucha</c:v>
                </c:pt>
                <c:pt idx="2">
                  <c:v>Stavy vzniklé v perinatálním období</c:v>
                </c:pt>
                <c:pt idx="3">
                  <c:v>Nemoci kůže</c:v>
                </c:pt>
                <c:pt idx="4">
                  <c:v>Nemoci krve a krvetvorných orgánů</c:v>
                </c:pt>
                <c:pt idx="5">
                  <c:v>Nemoci oka</c:v>
                </c:pt>
                <c:pt idx="6">
                  <c:v>Infekční a parazitární nemoci</c:v>
                </c:pt>
                <c:pt idx="7">
                  <c:v>Těhotenství, porod a šestinedělí</c:v>
                </c:pt>
                <c:pt idx="8">
                  <c:v>Nemoci endokrinní a metabolické</c:v>
                </c:pt>
                <c:pt idx="9">
                  <c:v>Příznaky, znaky</c:v>
                </c:pt>
                <c:pt idx="10">
                  <c:v>Nemoci nervové soustavy</c:v>
                </c:pt>
                <c:pt idx="11">
                  <c:v>Poruchy duševní a poruchy chování</c:v>
                </c:pt>
                <c:pt idx="12">
                  <c:v>Nemoci dýchací soustavy</c:v>
                </c:pt>
                <c:pt idx="13">
                  <c:v>Poranění, otravy aj.</c:v>
                </c:pt>
                <c:pt idx="14">
                  <c:v>Nemoci svalové, kosterní a pojivové tkáně</c:v>
                </c:pt>
                <c:pt idx="15">
                  <c:v>Nemoci močové a pohlavní soustavy</c:v>
                </c:pt>
                <c:pt idx="16">
                  <c:v>Nemoci trávicí soustavy</c:v>
                </c:pt>
                <c:pt idx="17">
                  <c:v>Faktory ovlivňující zdravotní stav</c:v>
                </c:pt>
                <c:pt idx="18">
                  <c:v>Novotvary</c:v>
                </c:pt>
                <c:pt idx="19">
                  <c:v>Nemoci oběhové soustavy</c:v>
                </c:pt>
              </c:strCache>
            </c:strRef>
          </c:cat>
          <c:val>
            <c:numRef>
              <c:f>'Graf 3.6 '!$T$30:$T$49</c:f>
              <c:numCache>
                <c:formatCode>#,##0</c:formatCode>
                <c:ptCount val="20"/>
                <c:pt idx="0">
                  <c:v>108.96577523500385</c:v>
                </c:pt>
                <c:pt idx="1">
                  <c:v>138.95427517720208</c:v>
                </c:pt>
                <c:pt idx="2">
                  <c:v>147.23576844990765</c:v>
                </c:pt>
                <c:pt idx="3">
                  <c:v>270.06940254131331</c:v>
                </c:pt>
                <c:pt idx="4">
                  <c:v>283.78651069257046</c:v>
                </c:pt>
                <c:pt idx="5">
                  <c:v>461.72840291834694</c:v>
                </c:pt>
                <c:pt idx="6">
                  <c:v>288.4169112852465</c:v>
                </c:pt>
                <c:pt idx="7">
                  <c:v>519.20004983041042</c:v>
                </c:pt>
                <c:pt idx="8">
                  <c:v>810.50168248470436</c:v>
                </c:pt>
                <c:pt idx="9">
                  <c:v>792.58459269400794</c:v>
                </c:pt>
                <c:pt idx="10">
                  <c:v>933.70092252372342</c:v>
                </c:pt>
                <c:pt idx="11">
                  <c:v>847.47233581087573</c:v>
                </c:pt>
                <c:pt idx="12">
                  <c:v>892.13261916041529</c:v>
                </c:pt>
                <c:pt idx="13">
                  <c:v>989.26141074840791</c:v>
                </c:pt>
                <c:pt idx="14">
                  <c:v>1918.8877674842806</c:v>
                </c:pt>
                <c:pt idx="15">
                  <c:v>1500.1951236466643</c:v>
                </c:pt>
                <c:pt idx="16">
                  <c:v>1442.3152119133595</c:v>
                </c:pt>
                <c:pt idx="17">
                  <c:v>1930.6280879553958</c:v>
                </c:pt>
                <c:pt idx="18">
                  <c:v>2222.9384452760846</c:v>
                </c:pt>
                <c:pt idx="19">
                  <c:v>2244.4633823930558</c:v>
                </c:pt>
              </c:numCache>
            </c:numRef>
          </c:val>
        </c:ser>
        <c:ser>
          <c:idx val="0"/>
          <c:order val="1"/>
          <c:tx>
            <c:strRef>
              <c:f>'Graf 3.6 '!$U$29</c:f>
              <c:strCache>
                <c:ptCount val="1"/>
                <c:pt idx="0">
                  <c:v> muži</c:v>
                </c:pt>
              </c:strCache>
            </c:strRef>
          </c:tx>
          <c:spPr>
            <a:solidFill>
              <a:srgbClr val="0071BC"/>
            </a:solidFill>
            <a:ln>
              <a:solidFill>
                <a:schemeClr val="tx2">
                  <a:lumMod val="75000"/>
                </a:schemeClr>
              </a:solidFill>
            </a:ln>
          </c:spPr>
          <c:invertIfNegative val="0"/>
          <c:dLbls>
            <c:dLbl>
              <c:idx val="0"/>
              <c:layout>
                <c:manualLayout>
                  <c:x val="0"/>
                  <c:y val="6.4412254659681556E-3"/>
                </c:manualLayout>
              </c:layout>
              <c:showLegendKey val="0"/>
              <c:showVal val="1"/>
              <c:showCatName val="0"/>
              <c:showSerName val="0"/>
              <c:showPercent val="0"/>
              <c:showBubbleSize val="0"/>
            </c:dLbl>
            <c:dLbl>
              <c:idx val="18"/>
              <c:layout>
                <c:manualLayout>
                  <c:x val="-3.6036036036035412E-3"/>
                  <c:y val="0"/>
                </c:manualLayout>
              </c:layout>
              <c:showLegendKey val="0"/>
              <c:showVal val="1"/>
              <c:showCatName val="0"/>
              <c:showSerName val="0"/>
              <c:showPercent val="0"/>
              <c:showBubbleSize val="0"/>
            </c:dLbl>
            <c:dLbl>
              <c:idx val="19"/>
              <c:layout>
                <c:manualLayout>
                  <c:x val="-6.2504293444800921E-2"/>
                  <c:y val="2.6771653543307106E-3"/>
                </c:manualLayout>
              </c:layout>
              <c:numFmt formatCode="#,##0;#,##0" sourceLinked="0"/>
              <c:spPr/>
              <c:txPr>
                <a:bodyPr/>
                <a:lstStyle/>
                <a:p>
                  <a:pPr>
                    <a:defRPr baseline="0">
                      <a:solidFill>
                        <a:schemeClr val="bg1"/>
                      </a:solidFill>
                    </a:defRPr>
                  </a:pPr>
                  <a:endParaRPr lang="cs-CZ"/>
                </a:p>
              </c:txPr>
              <c:dLblPos val="outEnd"/>
              <c:showLegendKey val="0"/>
              <c:showVal val="1"/>
              <c:showCatName val="0"/>
              <c:showSerName val="0"/>
              <c:showPercent val="0"/>
              <c:showBubbleSize val="0"/>
            </c:dLbl>
            <c:numFmt formatCode="#,##0;#,##0" sourceLinked="0"/>
            <c:txPr>
              <a:bodyPr/>
              <a:lstStyle/>
              <a:p>
                <a:pPr>
                  <a:defRPr baseline="0"/>
                </a:pPr>
                <a:endParaRPr lang="cs-CZ"/>
              </a:p>
            </c:txPr>
            <c:showLegendKey val="0"/>
            <c:showVal val="1"/>
            <c:showCatName val="0"/>
            <c:showSerName val="0"/>
            <c:showPercent val="0"/>
            <c:showBubbleSize val="0"/>
            <c:showLeaderLines val="0"/>
          </c:dLbls>
          <c:cat>
            <c:strRef>
              <c:f>'Graf 3.6 '!$S$30:$S$49</c:f>
              <c:strCache>
                <c:ptCount val="20"/>
                <c:pt idx="0">
                  <c:v>Vrozené vady a deformace</c:v>
                </c:pt>
                <c:pt idx="1">
                  <c:v>Nemoci ucha</c:v>
                </c:pt>
                <c:pt idx="2">
                  <c:v>Stavy vzniklé v perinatálním období</c:v>
                </c:pt>
                <c:pt idx="3">
                  <c:v>Nemoci kůže</c:v>
                </c:pt>
                <c:pt idx="4">
                  <c:v>Nemoci krve a krvetvorných orgánů</c:v>
                </c:pt>
                <c:pt idx="5">
                  <c:v>Nemoci oka</c:v>
                </c:pt>
                <c:pt idx="6">
                  <c:v>Infekční a parazitární nemoci</c:v>
                </c:pt>
                <c:pt idx="7">
                  <c:v>Těhotenství, porod a šestinedělí</c:v>
                </c:pt>
                <c:pt idx="8">
                  <c:v>Nemoci endokrinní a metabolické</c:v>
                </c:pt>
                <c:pt idx="9">
                  <c:v>Příznaky, znaky</c:v>
                </c:pt>
                <c:pt idx="10">
                  <c:v>Nemoci nervové soustavy</c:v>
                </c:pt>
                <c:pt idx="11">
                  <c:v>Poruchy duševní a poruchy chování</c:v>
                </c:pt>
                <c:pt idx="12">
                  <c:v>Nemoci dýchací soustavy</c:v>
                </c:pt>
                <c:pt idx="13">
                  <c:v>Poranění, otravy aj.</c:v>
                </c:pt>
                <c:pt idx="14">
                  <c:v>Nemoci svalové, kosterní a pojivové tkáně</c:v>
                </c:pt>
                <c:pt idx="15">
                  <c:v>Nemoci močové a pohlavní soustavy</c:v>
                </c:pt>
                <c:pt idx="16">
                  <c:v>Nemoci trávicí soustavy</c:v>
                </c:pt>
                <c:pt idx="17">
                  <c:v>Faktory ovlivňující zdravotní stav</c:v>
                </c:pt>
                <c:pt idx="18">
                  <c:v>Novotvary</c:v>
                </c:pt>
                <c:pt idx="19">
                  <c:v>Nemoci oběhové soustavy</c:v>
                </c:pt>
              </c:strCache>
            </c:strRef>
          </c:cat>
          <c:val>
            <c:numRef>
              <c:f>'Graf 3.6 '!$U$30:$U$49</c:f>
              <c:numCache>
                <c:formatCode>#,##0</c:formatCode>
                <c:ptCount val="20"/>
                <c:pt idx="0">
                  <c:v>-121.72814217672128</c:v>
                </c:pt>
                <c:pt idx="1">
                  <c:v>-132.92549967315384</c:v>
                </c:pt>
                <c:pt idx="2">
                  <c:v>-193.32323751562635</c:v>
                </c:pt>
                <c:pt idx="3">
                  <c:v>-266.62880331422411</c:v>
                </c:pt>
                <c:pt idx="4">
                  <c:v>-330.45331420461355</c:v>
                </c:pt>
                <c:pt idx="5">
                  <c:v>-334.20489805400831</c:v>
                </c:pt>
                <c:pt idx="6">
                  <c:v>-360.35238363827926</c:v>
                </c:pt>
                <c:pt idx="8">
                  <c:v>-619.37393190295415</c:v>
                </c:pt>
                <c:pt idx="9">
                  <c:v>-650.938257841677</c:v>
                </c:pt>
                <c:pt idx="10">
                  <c:v>-686.1230906200027</c:v>
                </c:pt>
                <c:pt idx="11">
                  <c:v>-931.82100874435298</c:v>
                </c:pt>
                <c:pt idx="12">
                  <c:v>-1018.3258100893144</c:v>
                </c:pt>
                <c:pt idx="13">
                  <c:v>-1130.4327398518844</c:v>
                </c:pt>
                <c:pt idx="14">
                  <c:v>-1224.2119237850081</c:v>
                </c:pt>
                <c:pt idx="15">
                  <c:v>-1242.5294775489608</c:v>
                </c:pt>
                <c:pt idx="16">
                  <c:v>-1424.1533579010434</c:v>
                </c:pt>
                <c:pt idx="17">
                  <c:v>-1499.0338013905675</c:v>
                </c:pt>
                <c:pt idx="18">
                  <c:v>-2321.9849911924994</c:v>
                </c:pt>
                <c:pt idx="19">
                  <c:v>-2972.1845875949693</c:v>
                </c:pt>
              </c:numCache>
            </c:numRef>
          </c:val>
        </c:ser>
        <c:dLbls>
          <c:showLegendKey val="0"/>
          <c:showVal val="0"/>
          <c:showCatName val="0"/>
          <c:showSerName val="0"/>
          <c:showPercent val="0"/>
          <c:showBubbleSize val="0"/>
        </c:dLbls>
        <c:gapWidth val="0"/>
        <c:overlap val="100"/>
        <c:axId val="176387584"/>
        <c:axId val="162164096"/>
      </c:barChart>
      <c:catAx>
        <c:axId val="176387584"/>
        <c:scaling>
          <c:orientation val="minMax"/>
        </c:scaling>
        <c:delete val="0"/>
        <c:axPos val="l"/>
        <c:numFmt formatCode="General" sourceLinked="1"/>
        <c:majorTickMark val="out"/>
        <c:minorTickMark val="none"/>
        <c:tickLblPos val="low"/>
        <c:spPr>
          <a:ln w="3175">
            <a:solidFill>
              <a:schemeClr val="tx1">
                <a:lumMod val="50000"/>
                <a:lumOff val="50000"/>
              </a:schemeClr>
            </a:solidFill>
            <a:prstDash val="solid"/>
          </a:ln>
        </c:spPr>
        <c:txPr>
          <a:bodyPr rot="0" vert="horz"/>
          <a:lstStyle/>
          <a:p>
            <a:pPr>
              <a:defRPr/>
            </a:pPr>
            <a:endParaRPr lang="cs-CZ"/>
          </a:p>
        </c:txPr>
        <c:crossAx val="162164096"/>
        <c:crosses val="autoZero"/>
        <c:auto val="1"/>
        <c:lblAlgn val="ctr"/>
        <c:lblOffset val="100"/>
        <c:tickLblSkip val="1"/>
        <c:tickMarkSkip val="1"/>
        <c:noMultiLvlLbl val="0"/>
      </c:catAx>
      <c:valAx>
        <c:axId val="162164096"/>
        <c:scaling>
          <c:orientation val="minMax"/>
          <c:max val="3000"/>
          <c:min val="-3000"/>
        </c:scaling>
        <c:delete val="0"/>
        <c:axPos val="b"/>
        <c:majorGridlines>
          <c:spPr>
            <a:ln w="9525">
              <a:solidFill>
                <a:sysClr val="window" lastClr="FFFFFF">
                  <a:lumMod val="75000"/>
                </a:sysClr>
              </a:solidFill>
              <a:prstDash val="sysDot"/>
            </a:ln>
          </c:spPr>
        </c:majorGridlines>
        <c:numFmt formatCode="0;0" sourceLinked="0"/>
        <c:majorTickMark val="out"/>
        <c:minorTickMark val="none"/>
        <c:tickLblPos val="nextTo"/>
        <c:spPr>
          <a:ln w="3175">
            <a:solidFill>
              <a:schemeClr val="tx1">
                <a:lumMod val="50000"/>
                <a:lumOff val="50000"/>
              </a:schemeClr>
            </a:solidFill>
            <a:prstDash val="solid"/>
          </a:ln>
        </c:spPr>
        <c:txPr>
          <a:bodyPr rot="0" vert="horz"/>
          <a:lstStyle/>
          <a:p>
            <a:pPr>
              <a:defRPr/>
            </a:pPr>
            <a:endParaRPr lang="cs-CZ"/>
          </a:p>
        </c:txPr>
        <c:crossAx val="176387584"/>
        <c:crosses val="autoZero"/>
        <c:crossBetween val="between"/>
        <c:majorUnit val="500"/>
        <c:minorUnit val="20"/>
      </c:valAx>
      <c:spPr>
        <a:solidFill>
          <a:srgbClr val="FFFFFF"/>
        </a:solidFill>
        <a:ln w="3175">
          <a:noFill/>
          <a:prstDash val="solid"/>
        </a:ln>
      </c:spPr>
    </c:plotArea>
    <c:legend>
      <c:legendPos val="b"/>
      <c:overlay val="0"/>
    </c:legend>
    <c:plotVisOnly val="1"/>
    <c:dispBlanksAs val="gap"/>
    <c:showDLblsOverMax val="0"/>
  </c:chart>
  <c:spPr>
    <a:solidFill>
      <a:srgbClr val="FFFFFF"/>
    </a:solidFill>
    <a:ln w="3175">
      <a:noFill/>
      <a:prstDash val="solid"/>
    </a:ln>
  </c:spPr>
  <c:txPr>
    <a:bodyPr/>
    <a:lstStyle/>
    <a:p>
      <a:pPr>
        <a:defRPr sz="800" b="0" i="0" u="none" strike="noStrike" baseline="0">
          <a:solidFill>
            <a:srgbClr val="000000"/>
          </a:solidFill>
          <a:latin typeface="Arial"/>
          <a:ea typeface="Arial"/>
          <a:cs typeface="Arial"/>
        </a:defRPr>
      </a:pPr>
      <a:endParaRPr lang="cs-CZ"/>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0204758059088782E-2"/>
          <c:y val="1.6478424067959265E-2"/>
          <c:w val="0.92014486169998044"/>
          <c:h val="0.8523833714334097"/>
        </c:manualLayout>
      </c:layout>
      <c:barChart>
        <c:barDir val="col"/>
        <c:grouping val="clustered"/>
        <c:varyColors val="0"/>
        <c:ser>
          <c:idx val="0"/>
          <c:order val="0"/>
          <c:tx>
            <c:strRef>
              <c:f>'Graf 3.7'!$B$26</c:f>
              <c:strCache>
                <c:ptCount val="1"/>
                <c:pt idx="0">
                  <c:v> Muži</c:v>
                </c:pt>
              </c:strCache>
            </c:strRef>
          </c:tx>
          <c:spPr>
            <a:solidFill>
              <a:srgbClr val="0071BC"/>
            </a:solidFill>
            <a:ln>
              <a:solidFill>
                <a:srgbClr val="4F81BD">
                  <a:lumMod val="50000"/>
                </a:srgbClr>
              </a:solidFill>
            </a:ln>
          </c:spPr>
          <c:invertIfNegative val="0"/>
          <c:cat>
            <c:strRef>
              <c:f>'Graf 3.7'!$A$27:$A$44</c:f>
              <c:strCache>
                <c:ptCount val="18"/>
                <c:pt idx="0">
                  <c:v>do 4 let</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c:v>
                </c:pt>
              </c:strCache>
            </c:strRef>
          </c:cat>
          <c:val>
            <c:numRef>
              <c:f>'Graf 3.7'!$B$27:$B$44</c:f>
              <c:numCache>
                <c:formatCode>#,##0</c:formatCode>
                <c:ptCount val="18"/>
                <c:pt idx="0">
                  <c:v>5452.740844245166</c:v>
                </c:pt>
                <c:pt idx="1">
                  <c:v>2979.9968720759762</c:v>
                </c:pt>
                <c:pt idx="2">
                  <c:v>2526.2792689966614</c:v>
                </c:pt>
                <c:pt idx="3">
                  <c:v>2419.0481069452303</c:v>
                </c:pt>
                <c:pt idx="4">
                  <c:v>2602.3134548733501</c:v>
                </c:pt>
                <c:pt idx="5">
                  <c:v>3192.9606204060988</c:v>
                </c:pt>
                <c:pt idx="6">
                  <c:v>3784.0530031892276</c:v>
                </c:pt>
                <c:pt idx="7">
                  <c:v>5318.8912984449162</c:v>
                </c:pt>
                <c:pt idx="8">
                  <c:v>5808.6949456936245</c:v>
                </c:pt>
                <c:pt idx="9">
                  <c:v>5721.8419892390511</c:v>
                </c:pt>
                <c:pt idx="10">
                  <c:v>7162.2501157806137</c:v>
                </c:pt>
                <c:pt idx="11">
                  <c:v>9294.4161220884398</c:v>
                </c:pt>
                <c:pt idx="12">
                  <c:v>12950.241368511048</c:v>
                </c:pt>
                <c:pt idx="13">
                  <c:v>14881.99736693866</c:v>
                </c:pt>
                <c:pt idx="14">
                  <c:v>10147.557919023493</c:v>
                </c:pt>
                <c:pt idx="15">
                  <c:v>7975.9265090783092</c:v>
                </c:pt>
                <c:pt idx="16">
                  <c:v>5488.0537411310588</c:v>
                </c:pt>
                <c:pt idx="17">
                  <c:v>3513.604570411273</c:v>
                </c:pt>
              </c:numCache>
            </c:numRef>
          </c:val>
        </c:ser>
        <c:ser>
          <c:idx val="1"/>
          <c:order val="1"/>
          <c:tx>
            <c:strRef>
              <c:f>'Graf 3.7'!$C$26</c:f>
              <c:strCache>
                <c:ptCount val="1"/>
                <c:pt idx="0">
                  <c:v> Ženy</c:v>
                </c:pt>
              </c:strCache>
            </c:strRef>
          </c:tx>
          <c:spPr>
            <a:solidFill>
              <a:srgbClr val="D96D7F"/>
            </a:solidFill>
            <a:ln>
              <a:solidFill>
                <a:srgbClr val="C00000"/>
              </a:solidFill>
            </a:ln>
          </c:spPr>
          <c:invertIfNegative val="0"/>
          <c:cat>
            <c:strRef>
              <c:f>'Graf 3.7'!$A$27:$A$44</c:f>
              <c:strCache>
                <c:ptCount val="18"/>
                <c:pt idx="0">
                  <c:v>do 4 let</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c:v>
                </c:pt>
              </c:strCache>
            </c:strRef>
          </c:cat>
          <c:val>
            <c:numRef>
              <c:f>'Graf 3.7'!$C$27:$C$44</c:f>
              <c:numCache>
                <c:formatCode>#,##0</c:formatCode>
                <c:ptCount val="18"/>
                <c:pt idx="0">
                  <c:v>4523.4648278561381</c:v>
                </c:pt>
                <c:pt idx="1">
                  <c:v>2400.4593731646792</c:v>
                </c:pt>
                <c:pt idx="2">
                  <c:v>2404.4471164199267</c:v>
                </c:pt>
                <c:pt idx="3">
                  <c:v>2756.4797677233123</c:v>
                </c:pt>
                <c:pt idx="4">
                  <c:v>3360.3255466917926</c:v>
                </c:pt>
                <c:pt idx="5">
                  <c:v>4903.6590578959995</c:v>
                </c:pt>
                <c:pt idx="6">
                  <c:v>5809.2673252304266</c:v>
                </c:pt>
                <c:pt idx="7">
                  <c:v>6921.125216782224</c:v>
                </c:pt>
                <c:pt idx="8">
                  <c:v>6825.0898918832718</c:v>
                </c:pt>
                <c:pt idx="9">
                  <c:v>6455.5178939256093</c:v>
                </c:pt>
                <c:pt idx="10">
                  <c:v>7485.0037970282865</c:v>
                </c:pt>
                <c:pt idx="11">
                  <c:v>8774.7043344791218</c:v>
                </c:pt>
                <c:pt idx="12">
                  <c:v>11347.000638073167</c:v>
                </c:pt>
                <c:pt idx="13">
                  <c:v>10376.384000556938</c:v>
                </c:pt>
                <c:pt idx="14">
                  <c:v>12545.869806882953</c:v>
                </c:pt>
                <c:pt idx="15">
                  <c:v>9723.7267086987904</c:v>
                </c:pt>
                <c:pt idx="16">
                  <c:v>8625.8438147782672</c:v>
                </c:pt>
                <c:pt idx="17">
                  <c:v>8246.7635884827359</c:v>
                </c:pt>
              </c:numCache>
            </c:numRef>
          </c:val>
        </c:ser>
        <c:dLbls>
          <c:showLegendKey val="0"/>
          <c:showVal val="0"/>
          <c:showCatName val="0"/>
          <c:showSerName val="0"/>
          <c:showPercent val="0"/>
          <c:showBubbleSize val="0"/>
        </c:dLbls>
        <c:gapWidth val="70"/>
        <c:axId val="176701952"/>
        <c:axId val="162148288"/>
      </c:barChart>
      <c:catAx>
        <c:axId val="176701952"/>
        <c:scaling>
          <c:orientation val="minMax"/>
        </c:scaling>
        <c:delete val="0"/>
        <c:axPos val="b"/>
        <c:majorTickMark val="out"/>
        <c:minorTickMark val="none"/>
        <c:tickLblPos val="nextTo"/>
        <c:spPr>
          <a:ln w="3175">
            <a:solidFill>
              <a:schemeClr val="bg1">
                <a:lumMod val="75000"/>
              </a:schemeClr>
            </a:solidFill>
          </a:ln>
        </c:spPr>
        <c:crossAx val="162148288"/>
        <c:crosses val="autoZero"/>
        <c:auto val="1"/>
        <c:lblAlgn val="ctr"/>
        <c:lblOffset val="100"/>
        <c:noMultiLvlLbl val="0"/>
      </c:catAx>
      <c:valAx>
        <c:axId val="162148288"/>
        <c:scaling>
          <c:orientation val="minMax"/>
        </c:scaling>
        <c:delete val="0"/>
        <c:axPos val="l"/>
        <c:majorGridlines>
          <c:spPr>
            <a:ln>
              <a:prstDash val="sysDot"/>
            </a:ln>
          </c:spPr>
        </c:majorGridlines>
        <c:numFmt formatCode="#,##0" sourceLinked="1"/>
        <c:majorTickMark val="out"/>
        <c:minorTickMark val="none"/>
        <c:tickLblPos val="nextTo"/>
        <c:spPr>
          <a:ln w="3175">
            <a:solidFill>
              <a:schemeClr val="bg1">
                <a:lumMod val="75000"/>
              </a:schemeClr>
            </a:solidFill>
          </a:ln>
        </c:spPr>
        <c:crossAx val="176701952"/>
        <c:crosses val="autoZero"/>
        <c:crossBetween val="between"/>
      </c:valAx>
    </c:plotArea>
    <c:legend>
      <c:legendPos val="b"/>
      <c:layout>
        <c:manualLayout>
          <c:xMode val="edge"/>
          <c:yMode val="edge"/>
          <c:x val="0.42922050609058482"/>
          <c:y val="0.94678999802444064"/>
          <c:w val="0.14155898781883047"/>
          <c:h val="5.3210001975559508E-2"/>
        </c:manualLayout>
      </c:layout>
      <c:overlay val="0"/>
    </c:legend>
    <c:plotVisOnly val="1"/>
    <c:dispBlanksAs val="gap"/>
    <c:showDLblsOverMax val="0"/>
  </c:chart>
  <c:spPr>
    <a:ln>
      <a:noFill/>
    </a:ln>
  </c:spPr>
  <c:txPr>
    <a:bodyPr/>
    <a:lstStyle/>
    <a:p>
      <a:pPr>
        <a:defRPr sz="800">
          <a:latin typeface="Arial" panose="020B0604020202020204" pitchFamily="34" charset="0"/>
          <a:cs typeface="Arial" panose="020B0604020202020204" pitchFamily="34" charset="0"/>
        </a:defRPr>
      </a:pPr>
      <a:endParaRPr lang="cs-CZ"/>
    </a:p>
  </c:txPr>
  <c:externalData r:id="rId2">
    <c:autoUpdate val="0"/>
  </c:externalData>
</c:chartSpace>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DBD63D0-1274-4ADD-AD7B-526DF6B319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publikace bar_lide a spolecnost.dot</Template>
  <TotalTime>0</TotalTime>
  <Pages>9</Pages>
  <Words>2736</Words>
  <Characters>16147</Characters>
  <Application>Microsoft Office Word</Application>
  <DocSecurity>0</DocSecurity>
  <Lines>134</Lines>
  <Paragraphs>37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CSU</Company>
  <LinksUpToDate>false</LinksUpToDate>
  <CharactersWithSpaces>18846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Vladimíra Kalnická</dc:creator>
  <cp:lastModifiedBy>Mgr. Vladimíra Kalnická</cp:lastModifiedBy>
  <cp:revision>2</cp:revision>
  <cp:lastPrinted>2017-05-16T06:40:00Z</cp:lastPrinted>
  <dcterms:created xsi:type="dcterms:W3CDTF">2017-10-17T11:09:00Z</dcterms:created>
  <dcterms:modified xsi:type="dcterms:W3CDTF">2017-10-17T11:09:00Z</dcterms:modified>
</cp:coreProperties>
</file>