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drawings/drawing1.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1C6D" w:rsidRPr="00F41C6D" w:rsidRDefault="00F41C6D" w:rsidP="00A1636E">
      <w:pPr>
        <w:pStyle w:val="Nadpis1"/>
      </w:pPr>
      <w:bookmarkStart w:id="0" w:name="_Toc481748784"/>
      <w:r w:rsidRPr="00F41C6D">
        <w:t>2. Souhrnné výsledky zdravotnických účtů</w:t>
      </w:r>
      <w:bookmarkEnd w:id="0"/>
    </w:p>
    <w:p w:rsidR="00F41C6D" w:rsidRPr="00F41C6D" w:rsidRDefault="00F41C6D" w:rsidP="00A94AB5">
      <w:pPr>
        <w:keepNext/>
        <w:spacing w:before="120" w:after="240"/>
        <w:jc w:val="both"/>
        <w:rPr>
          <w:bCs/>
        </w:rPr>
      </w:pPr>
      <w:r w:rsidRPr="00F41C6D">
        <w:rPr>
          <w:bCs/>
        </w:rPr>
        <w:t xml:space="preserve">V této části textu publikace jsou uvedeny základní informace vycházející ze zpracování zdravotnických účtů České republiky za referenční roky 2010 až 2015 z pohledu jejich tří rozměrů, což jsou </w:t>
      </w:r>
      <w:r w:rsidRPr="004F0E28">
        <w:rPr>
          <w:b/>
          <w:bCs/>
        </w:rPr>
        <w:t>zdroje financování, druh zdravotní péče a typ jejího poskytovatele</w:t>
      </w:r>
      <w:r w:rsidRPr="00F41C6D">
        <w:rPr>
          <w:bCs/>
        </w:rPr>
        <w:t>. Otázky metodického charakteru týkající se užívaných pojmů či metodických nástrojů (klasifikací apod.), které není nutno s ohledem na srozumitelnost textu řešit bezprostředně na místě, jsou blíže specifikovány v </w:t>
      </w:r>
      <w:r w:rsidRPr="00595D62">
        <w:rPr>
          <w:bCs/>
        </w:rPr>
        <w:t>metodické příloze</w:t>
      </w:r>
      <w:r w:rsidRPr="00F41C6D">
        <w:rPr>
          <w:bCs/>
        </w:rPr>
        <w:t>.</w:t>
      </w:r>
    </w:p>
    <w:p w:rsidR="00F41C6D" w:rsidRPr="00A1636E" w:rsidRDefault="00F41C6D" w:rsidP="00A1636E">
      <w:pPr>
        <w:pStyle w:val="Nadpis2"/>
      </w:pPr>
      <w:bookmarkStart w:id="1" w:name="_Toc481748785"/>
      <w:bookmarkStart w:id="2" w:name="OLE_LINK9"/>
      <w:bookmarkStart w:id="3" w:name="OLE_LINK116"/>
      <w:r w:rsidRPr="00F41C6D">
        <w:t>2.1. Základní údaje</w:t>
      </w:r>
      <w:bookmarkEnd w:id="1"/>
    </w:p>
    <w:p w:rsidR="00F41C6D" w:rsidRPr="00F41C6D" w:rsidRDefault="00F41C6D" w:rsidP="00F41C6D">
      <w:pPr>
        <w:keepNext/>
        <w:spacing w:before="120"/>
        <w:jc w:val="both"/>
        <w:rPr>
          <w:bCs/>
          <w:szCs w:val="20"/>
        </w:rPr>
      </w:pPr>
      <w:r w:rsidRPr="00F41C6D">
        <w:rPr>
          <w:bCs/>
          <w:szCs w:val="22"/>
        </w:rPr>
        <w:t>V </w:t>
      </w:r>
      <w:r w:rsidRPr="00F41C6D">
        <w:rPr>
          <w:bCs/>
          <w:szCs w:val="20"/>
        </w:rPr>
        <w:t xml:space="preserve">souladu s metodickým manuálem SHA, jsou do zdravotnických účtů zahrnovány výdaje související se zdravotní péčí o naše občany na území České republiky. Výdaje na zdravotní péči můžeme členit na </w:t>
      </w:r>
      <w:r w:rsidRPr="00F41C6D">
        <w:rPr>
          <w:b/>
          <w:bCs/>
          <w:szCs w:val="20"/>
        </w:rPr>
        <w:t>běžné</w:t>
      </w:r>
      <w:r w:rsidR="00D10241">
        <w:rPr>
          <w:b/>
          <w:bCs/>
          <w:szCs w:val="20"/>
        </w:rPr>
        <w:t> </w:t>
      </w:r>
      <w:r w:rsidRPr="00F41C6D">
        <w:rPr>
          <w:b/>
          <w:bCs/>
          <w:szCs w:val="20"/>
        </w:rPr>
        <w:t>(provozní)</w:t>
      </w:r>
      <w:r w:rsidRPr="00F41C6D">
        <w:rPr>
          <w:bCs/>
          <w:szCs w:val="20"/>
        </w:rPr>
        <w:t xml:space="preserve"> a </w:t>
      </w:r>
      <w:r w:rsidRPr="00F41C6D">
        <w:rPr>
          <w:b/>
          <w:bCs/>
          <w:szCs w:val="20"/>
        </w:rPr>
        <w:t>kapitálové (investiční)</w:t>
      </w:r>
      <w:r w:rsidRPr="00F41C6D">
        <w:rPr>
          <w:bCs/>
          <w:szCs w:val="20"/>
        </w:rPr>
        <w:t>. Na investiční náklady v rámci zdravotnictví lze nahlížet ze dvou hledisek. Základním pohledem je vnímání investic jako výdajové položky na přístroje, vybavení a stavby. Druhým z pohledů je investování do výzkumu a vývoje nových technologií, léků a zdravotnických prostředků a vzdělávání lékařů a ostatního zdravotnického personálu. Údaje o investičních výdajích jsou v rámci zdravotnických účtů k dispozici pouze z výdajů ze státního nebo místních rozpočtů.</w:t>
      </w:r>
    </w:p>
    <w:p w:rsidR="00D10241" w:rsidRDefault="00F41C6D" w:rsidP="00F41C6D">
      <w:pPr>
        <w:keepNext/>
        <w:spacing w:before="120"/>
        <w:jc w:val="both"/>
        <w:rPr>
          <w:bCs/>
          <w:szCs w:val="20"/>
        </w:rPr>
      </w:pPr>
      <w:r w:rsidRPr="00F41C6D">
        <w:rPr>
          <w:bCs/>
          <w:szCs w:val="20"/>
        </w:rPr>
        <w:t xml:space="preserve">V období let 2010 - 2014 stouply </w:t>
      </w:r>
      <w:r w:rsidRPr="00F41C6D">
        <w:rPr>
          <w:b/>
          <w:bCs/>
          <w:szCs w:val="20"/>
        </w:rPr>
        <w:t>celkové výdaje</w:t>
      </w:r>
      <w:r w:rsidRPr="00F41C6D">
        <w:rPr>
          <w:bCs/>
          <w:szCs w:val="20"/>
        </w:rPr>
        <w:t xml:space="preserve"> na zdravotní péči z 340,7 mld. Kč v roce 2010 na 35</w:t>
      </w:r>
      <w:r w:rsidR="005D0800">
        <w:rPr>
          <w:bCs/>
          <w:szCs w:val="20"/>
        </w:rPr>
        <w:t>8</w:t>
      </w:r>
      <w:r w:rsidRPr="00F41C6D">
        <w:rPr>
          <w:bCs/>
          <w:szCs w:val="20"/>
        </w:rPr>
        <w:t>,</w:t>
      </w:r>
      <w:r w:rsidR="005D0800">
        <w:rPr>
          <w:bCs/>
          <w:szCs w:val="20"/>
        </w:rPr>
        <w:t>0</w:t>
      </w:r>
      <w:r w:rsidR="00D10241">
        <w:rPr>
          <w:bCs/>
          <w:szCs w:val="20"/>
        </w:rPr>
        <w:t> </w:t>
      </w:r>
      <w:r w:rsidRPr="00F41C6D">
        <w:rPr>
          <w:bCs/>
          <w:szCs w:val="20"/>
        </w:rPr>
        <w:t>mld. Kč v roce 201</w:t>
      </w:r>
      <w:r w:rsidR="005D0800">
        <w:rPr>
          <w:bCs/>
          <w:szCs w:val="20"/>
        </w:rPr>
        <w:t>5.</w:t>
      </w:r>
    </w:p>
    <w:p w:rsidR="00D10241" w:rsidRDefault="00F41C6D" w:rsidP="00D10241">
      <w:pPr>
        <w:keepNext/>
        <w:jc w:val="both"/>
        <w:rPr>
          <w:bCs/>
          <w:szCs w:val="20"/>
        </w:rPr>
      </w:pPr>
      <w:r w:rsidRPr="00F41C6D">
        <w:rPr>
          <w:b/>
          <w:bCs/>
          <w:szCs w:val="20"/>
        </w:rPr>
        <w:t>Běžné výdaje</w:t>
      </w:r>
      <w:r w:rsidRPr="00F41C6D">
        <w:rPr>
          <w:bCs/>
          <w:szCs w:val="20"/>
        </w:rPr>
        <w:t xml:space="preserve"> na zdravotní péči se zvýšily z  334,1 mld. Kč v roce 2010 na 3</w:t>
      </w:r>
      <w:r w:rsidR="005D0800">
        <w:rPr>
          <w:bCs/>
          <w:szCs w:val="20"/>
        </w:rPr>
        <w:t>52,3</w:t>
      </w:r>
      <w:r w:rsidRPr="00F41C6D">
        <w:rPr>
          <w:bCs/>
          <w:szCs w:val="20"/>
        </w:rPr>
        <w:t xml:space="preserve"> mld. Kč v roce 2015, tj. o </w:t>
      </w:r>
      <w:r w:rsidR="005D0800">
        <w:rPr>
          <w:bCs/>
          <w:szCs w:val="20"/>
        </w:rPr>
        <w:t>5</w:t>
      </w:r>
      <w:r w:rsidRPr="00F41C6D">
        <w:rPr>
          <w:bCs/>
          <w:szCs w:val="20"/>
        </w:rPr>
        <w:t>,</w:t>
      </w:r>
      <w:r w:rsidR="005D0800">
        <w:rPr>
          <w:bCs/>
          <w:szCs w:val="20"/>
        </w:rPr>
        <w:t>4</w:t>
      </w:r>
      <w:r w:rsidRPr="00F41C6D">
        <w:rPr>
          <w:bCs/>
          <w:szCs w:val="20"/>
        </w:rPr>
        <w:t> % (ročně průměrně o 0,</w:t>
      </w:r>
      <w:r w:rsidR="005D0800">
        <w:rPr>
          <w:bCs/>
          <w:szCs w:val="20"/>
        </w:rPr>
        <w:t>9</w:t>
      </w:r>
      <w:r w:rsidRPr="00F41C6D">
        <w:rPr>
          <w:bCs/>
          <w:szCs w:val="20"/>
        </w:rPr>
        <w:t> %). Dynamika vývoje počtu obyvatel ČR byla v porovnání s tímto tempem nižší (přírůstek středního stavu počtu obyvatel činil 0,1 %), a tak průměrné běžné výdaje na zdravotní péči na jednoho obyvatele vzrostly od roku 2010 z 31 768 Kč na 33 </w:t>
      </w:r>
      <w:r w:rsidR="005D0800">
        <w:rPr>
          <w:bCs/>
          <w:szCs w:val="20"/>
        </w:rPr>
        <w:t>960</w:t>
      </w:r>
      <w:r w:rsidRPr="00F41C6D">
        <w:rPr>
          <w:bCs/>
          <w:szCs w:val="20"/>
        </w:rPr>
        <w:t xml:space="preserve"> Kč v roce 2015 (tj. o </w:t>
      </w:r>
      <w:r w:rsidR="005D0800">
        <w:rPr>
          <w:bCs/>
          <w:szCs w:val="20"/>
        </w:rPr>
        <w:t>6</w:t>
      </w:r>
      <w:r w:rsidRPr="00F41C6D">
        <w:rPr>
          <w:bCs/>
          <w:szCs w:val="20"/>
        </w:rPr>
        <w:t xml:space="preserve">,9 %). </w:t>
      </w:r>
    </w:p>
    <w:p w:rsidR="00F41C6D" w:rsidRPr="00F41C6D" w:rsidRDefault="00F41C6D" w:rsidP="00D10241">
      <w:pPr>
        <w:keepNext/>
        <w:jc w:val="both"/>
        <w:rPr>
          <w:bCs/>
          <w:szCs w:val="20"/>
        </w:rPr>
      </w:pPr>
      <w:r w:rsidRPr="00F41C6D">
        <w:rPr>
          <w:bCs/>
          <w:szCs w:val="20"/>
        </w:rPr>
        <w:t xml:space="preserve">Celkové </w:t>
      </w:r>
      <w:r w:rsidRPr="00F41C6D">
        <w:rPr>
          <w:b/>
          <w:bCs/>
          <w:szCs w:val="20"/>
        </w:rPr>
        <w:t xml:space="preserve">kapitálové výdaje </w:t>
      </w:r>
      <w:r w:rsidRPr="00F41C6D">
        <w:rPr>
          <w:bCs/>
          <w:szCs w:val="20"/>
        </w:rPr>
        <w:t>financované přímo ze státního nebo místních rozpočtů v oblasti zdravotní péče naopak v  období 2010 - 2015 poklesly z 6,6 mld. Kč na 5,</w:t>
      </w:r>
      <w:r w:rsidR="008D44B7">
        <w:rPr>
          <w:bCs/>
          <w:szCs w:val="20"/>
        </w:rPr>
        <w:t>7</w:t>
      </w:r>
      <w:r w:rsidRPr="00F41C6D">
        <w:rPr>
          <w:bCs/>
          <w:szCs w:val="20"/>
        </w:rPr>
        <w:t xml:space="preserve"> mld. Kč (o 15,8 %).</w:t>
      </w:r>
    </w:p>
    <w:p w:rsidR="00F41C6D" w:rsidRPr="00F41C6D" w:rsidRDefault="00F41C6D" w:rsidP="00F41C6D">
      <w:pPr>
        <w:keepNext/>
        <w:jc w:val="both"/>
        <w:rPr>
          <w:rFonts w:ascii="Calibri" w:hAnsi="Calibri"/>
          <w:color w:val="000000"/>
          <w:sz w:val="22"/>
          <w:szCs w:val="22"/>
        </w:rPr>
      </w:pPr>
      <w:r w:rsidRPr="00F41C6D">
        <w:t xml:space="preserve">V porovnání s vývojem  hlavního makro ukazatele ekonomického výkonu - HDP, celkové výdaje na zdravotní péči (včetně kapitálových) zaostávaly a jejich podíl na HDP se v uvedených letech snížil z 8,6 % na </w:t>
      </w:r>
      <w:r w:rsidR="00A1636E" w:rsidRPr="00F41C6D">
        <w:t>7,</w:t>
      </w:r>
      <w:r w:rsidR="005D0800">
        <w:t>9</w:t>
      </w:r>
      <w:r w:rsidR="00A1636E" w:rsidRPr="00F41C6D">
        <w:t> %</w:t>
      </w:r>
      <w:r w:rsidR="00A1636E">
        <w:t>,</w:t>
      </w:r>
      <w:r w:rsidR="00A1636E" w:rsidRPr="00F41C6D">
        <w:t xml:space="preserve"> viz</w:t>
      </w:r>
      <w:r w:rsidRPr="00F41C6D">
        <w:t xml:space="preserve"> graf č. 2.1.</w:t>
      </w:r>
    </w:p>
    <w:p w:rsidR="00F41C6D" w:rsidRDefault="00F41C6D" w:rsidP="00F41C6D">
      <w:pPr>
        <w:keepNext/>
        <w:spacing w:before="240"/>
        <w:jc w:val="both"/>
        <w:rPr>
          <w:rFonts w:cs="Arial"/>
          <w:b/>
          <w:sz w:val="18"/>
          <w:szCs w:val="18"/>
        </w:rPr>
      </w:pPr>
      <w:r w:rsidRPr="00F41C6D">
        <w:rPr>
          <w:rFonts w:cs="Arial"/>
          <w:b/>
          <w:sz w:val="18"/>
          <w:szCs w:val="18"/>
        </w:rPr>
        <w:t>Graf č. 2.1 Vývoj celkových výdajů na zdravotní péči v ČR a jejich podílu n</w:t>
      </w:r>
      <w:r w:rsidR="00655906">
        <w:rPr>
          <w:rFonts w:cs="Arial"/>
          <w:b/>
          <w:sz w:val="18"/>
          <w:szCs w:val="18"/>
        </w:rPr>
        <w:t>a HDP, 2010 - 2015 (mld. Kč; %)</w:t>
      </w:r>
    </w:p>
    <w:p w:rsidR="00B140AA" w:rsidRPr="00F41C6D" w:rsidRDefault="00B140AA" w:rsidP="00F41C6D">
      <w:pPr>
        <w:keepNext/>
        <w:spacing w:before="240"/>
        <w:jc w:val="both"/>
        <w:rPr>
          <w:rFonts w:cs="Arial"/>
          <w:b/>
          <w:sz w:val="18"/>
          <w:szCs w:val="18"/>
        </w:rPr>
      </w:pPr>
      <w:r>
        <w:rPr>
          <w:noProof/>
        </w:rPr>
        <w:drawing>
          <wp:inline distT="0" distB="0" distL="0" distR="0" wp14:anchorId="49C0303E" wp14:editId="002B3D7B">
            <wp:extent cx="5972810" cy="2225040"/>
            <wp:effectExtent l="0" t="0" r="8890" b="381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E834CB" w:rsidRPr="00F41C6D" w:rsidRDefault="00E834CB" w:rsidP="00F41C6D">
      <w:pPr>
        <w:spacing w:before="120" w:line="240" w:lineRule="auto"/>
        <w:jc w:val="right"/>
        <w:rPr>
          <w:b/>
          <w:bCs/>
          <w:i/>
          <w:sz w:val="16"/>
          <w:szCs w:val="16"/>
        </w:rPr>
      </w:pPr>
    </w:p>
    <w:p w:rsidR="00F41C6D" w:rsidRPr="00F41C6D" w:rsidRDefault="00F41C6D" w:rsidP="00A1636E">
      <w:pPr>
        <w:pStyle w:val="Nadpis2"/>
      </w:pPr>
      <w:bookmarkStart w:id="4" w:name="_Toc481748786"/>
      <w:r w:rsidRPr="00F41C6D">
        <w:lastRenderedPageBreak/>
        <w:t>2.2 Výdaje na zdravotní péči dle zdrojů financování</w:t>
      </w:r>
      <w:bookmarkEnd w:id="4"/>
      <w:r w:rsidRPr="00F41C6D">
        <w:t xml:space="preserve"> </w:t>
      </w:r>
    </w:p>
    <w:p w:rsidR="00F41C6D" w:rsidRPr="00F41C6D" w:rsidRDefault="00F41C6D" w:rsidP="00A1636E">
      <w:pPr>
        <w:keepNext/>
        <w:spacing w:after="120"/>
        <w:jc w:val="both"/>
        <w:rPr>
          <w:bCs/>
          <w:szCs w:val="20"/>
        </w:rPr>
      </w:pPr>
      <w:r w:rsidRPr="00F41C6D">
        <w:rPr>
          <w:bCs/>
          <w:szCs w:val="20"/>
        </w:rPr>
        <w:t xml:space="preserve">Manuál SHA 2011 rozeznává tři základní systémy (zdroje) financování zdravotní péče a to: </w:t>
      </w:r>
    </w:p>
    <w:p w:rsidR="00F41C6D" w:rsidRPr="00F41C6D" w:rsidRDefault="00F41C6D" w:rsidP="00A1636E">
      <w:pPr>
        <w:keepNext/>
        <w:numPr>
          <w:ilvl w:val="0"/>
          <w:numId w:val="20"/>
        </w:numPr>
        <w:spacing w:before="60"/>
        <w:ind w:left="851" w:hanging="357"/>
        <w:jc w:val="both"/>
        <w:rPr>
          <w:bCs/>
          <w:szCs w:val="20"/>
        </w:rPr>
      </w:pPr>
      <w:r w:rsidRPr="00F41C6D">
        <w:rPr>
          <w:bCs/>
          <w:szCs w:val="20"/>
        </w:rPr>
        <w:t>veřejné zdroje (veřejné rozpočty a povinné příspěvkové zdravotní pojištění)</w:t>
      </w:r>
    </w:p>
    <w:p w:rsidR="00F41C6D" w:rsidRPr="00F41C6D" w:rsidRDefault="00F41C6D" w:rsidP="00A1636E">
      <w:pPr>
        <w:keepNext/>
        <w:numPr>
          <w:ilvl w:val="0"/>
          <w:numId w:val="20"/>
        </w:numPr>
        <w:spacing w:before="60"/>
        <w:ind w:left="851" w:hanging="357"/>
        <w:jc w:val="both"/>
        <w:rPr>
          <w:bCs/>
          <w:szCs w:val="20"/>
        </w:rPr>
      </w:pPr>
      <w:r w:rsidRPr="00F41C6D">
        <w:rPr>
          <w:bCs/>
          <w:szCs w:val="20"/>
        </w:rPr>
        <w:t>soukromé zdroje bez přímých plateb domácností</w:t>
      </w:r>
    </w:p>
    <w:p w:rsidR="00F41C6D" w:rsidRPr="00F41C6D" w:rsidRDefault="00F41C6D" w:rsidP="00A1636E">
      <w:pPr>
        <w:keepNext/>
        <w:numPr>
          <w:ilvl w:val="0"/>
          <w:numId w:val="20"/>
        </w:numPr>
        <w:spacing w:before="60"/>
        <w:ind w:left="851" w:hanging="357"/>
        <w:jc w:val="both"/>
        <w:rPr>
          <w:bCs/>
          <w:szCs w:val="20"/>
        </w:rPr>
      </w:pPr>
      <w:r w:rsidRPr="00F41C6D">
        <w:rPr>
          <w:bCs/>
          <w:szCs w:val="20"/>
        </w:rPr>
        <w:t>přímé platby domácností</w:t>
      </w:r>
    </w:p>
    <w:p w:rsidR="00F41C6D" w:rsidRPr="00F41C6D" w:rsidRDefault="00F41C6D" w:rsidP="00F41C6D">
      <w:pPr>
        <w:keepNext/>
        <w:spacing w:before="120"/>
        <w:jc w:val="both"/>
        <w:rPr>
          <w:bCs/>
          <w:szCs w:val="20"/>
        </w:rPr>
      </w:pPr>
      <w:r w:rsidRPr="00F41C6D">
        <w:rPr>
          <w:bCs/>
          <w:szCs w:val="20"/>
        </w:rPr>
        <w:t xml:space="preserve">Do prvně jmenované skupiny patří veřejné rozpočty (státní rozpočet a rozpočty územních samospráv - místní rozpočty) a povinné zdravotní pojištění (podrobněji viz </w:t>
      </w:r>
      <w:r w:rsidRPr="00595D62">
        <w:rPr>
          <w:bCs/>
          <w:szCs w:val="20"/>
        </w:rPr>
        <w:t>kapitola 3.1</w:t>
      </w:r>
      <w:r w:rsidRPr="00F41C6D">
        <w:rPr>
          <w:bCs/>
          <w:szCs w:val="20"/>
        </w:rPr>
        <w:t>). Do soukromých zdrojů (bez</w:t>
      </w:r>
      <w:r w:rsidR="00A1636E">
        <w:rPr>
          <w:bCs/>
          <w:szCs w:val="20"/>
        </w:rPr>
        <w:t> </w:t>
      </w:r>
      <w:r w:rsidRPr="00F41C6D">
        <w:rPr>
          <w:bCs/>
          <w:szCs w:val="20"/>
        </w:rPr>
        <w:t>přímých plateb domácností) jsou zahrnuty dobrovolné platby na zdravotní péči neziskových institucí, soukromé zdravotní pojištění a závodní preventivní péče. Přímé pl</w:t>
      </w:r>
      <w:r w:rsidR="00A1636E">
        <w:rPr>
          <w:bCs/>
          <w:szCs w:val="20"/>
        </w:rPr>
        <w:t>atby domácností (podrobněji viz </w:t>
      </w:r>
      <w:r w:rsidRPr="00595D62">
        <w:rPr>
          <w:bCs/>
          <w:szCs w:val="20"/>
        </w:rPr>
        <w:t>kapitola</w:t>
      </w:r>
      <w:r w:rsidR="00A1636E" w:rsidRPr="00595D62">
        <w:rPr>
          <w:bCs/>
          <w:szCs w:val="20"/>
        </w:rPr>
        <w:t> </w:t>
      </w:r>
      <w:r w:rsidRPr="00595D62">
        <w:rPr>
          <w:bCs/>
          <w:szCs w:val="20"/>
        </w:rPr>
        <w:t>3.2</w:t>
      </w:r>
      <w:r w:rsidRPr="00F41C6D">
        <w:rPr>
          <w:bCs/>
          <w:szCs w:val="20"/>
        </w:rPr>
        <w:t xml:space="preserve">) zahrnují přímé výdaje příjemců zdravotní péče (pacientů) nebo jejich případnou spoluúčast.  </w:t>
      </w:r>
    </w:p>
    <w:p w:rsidR="00F41C6D" w:rsidRPr="007949E3" w:rsidRDefault="00F41C6D" w:rsidP="007949E3">
      <w:pPr>
        <w:spacing w:before="240" w:after="120"/>
        <w:rPr>
          <w:rFonts w:eastAsia="MS Gothic"/>
          <w:b/>
          <w:i/>
        </w:rPr>
      </w:pPr>
      <w:r w:rsidRPr="007949E3">
        <w:rPr>
          <w:rFonts w:eastAsia="MS Gothic"/>
          <w:b/>
          <w:i/>
        </w:rPr>
        <w:t xml:space="preserve">V letech 2014 a 2015 hradily zdravotní pojišťovny dvě třetiny výdajů na zdravotní péči </w:t>
      </w:r>
    </w:p>
    <w:p w:rsidR="00F41C6D" w:rsidRPr="00F41C6D" w:rsidRDefault="00F41C6D" w:rsidP="00F41C6D">
      <w:pPr>
        <w:keepNext/>
        <w:jc w:val="both"/>
      </w:pPr>
      <w:r w:rsidRPr="00F41C6D">
        <w:t>V České republice mají klíčové postavení z hlediska financování zdravotní péče zdravotní pojišťovny, jejichž</w:t>
      </w:r>
      <w:r w:rsidR="00A1636E">
        <w:t> </w:t>
      </w:r>
      <w:r w:rsidRPr="00F41C6D">
        <w:t>příjmy plynou z veřejného zdravotního pojištění, kterého je povinně účastna každá osoba s trvalým pobytem na našem území. Hlavní zásadou veřejného zdravotního pojištění je solidarita a rovnost přístupu ke</w:t>
      </w:r>
      <w:r w:rsidR="00A1636E">
        <w:t> </w:t>
      </w:r>
      <w:r w:rsidRPr="00F41C6D">
        <w:t>zdravotní péči. Veřejné zdravotní pojištění financuje veškerou zdravotní péči garantovanou zákonem č.</w:t>
      </w:r>
      <w:r w:rsidR="00A1636E">
        <w:t> </w:t>
      </w:r>
      <w:r w:rsidRPr="00F41C6D">
        <w:t xml:space="preserve">48/1997 Sb. o veřejném zdravotním pojištění (v platném znění). V zásadě lze říci, že veřejné zdravotní pojišťovny kryjí většinu výdajů na zdravotní péči v České republice (blíže </w:t>
      </w:r>
      <w:r w:rsidRPr="00E438DF">
        <w:t xml:space="preserve">v </w:t>
      </w:r>
      <w:r w:rsidRPr="00595D62">
        <w:t>kapitole 3.1</w:t>
      </w:r>
      <w:r w:rsidRPr="00F41C6D">
        <w:t xml:space="preserve">). Kromě toho provozují zdravotní pojišťovny také vlastní programy preventivní péče a v neposlední řadě hradí provoz vlastních organizací. </w:t>
      </w:r>
    </w:p>
    <w:p w:rsidR="00F41C6D" w:rsidRPr="00F41C6D" w:rsidRDefault="00F41C6D" w:rsidP="00F41C6D">
      <w:pPr>
        <w:keepNext/>
        <w:spacing w:before="240" w:after="120" w:line="240" w:lineRule="auto"/>
        <w:jc w:val="both"/>
        <w:rPr>
          <w:b/>
          <w:bCs/>
          <w:sz w:val="18"/>
          <w:szCs w:val="18"/>
        </w:rPr>
      </w:pPr>
      <w:bookmarkStart w:id="5" w:name="OLE_LINK2"/>
      <w:r w:rsidRPr="00F41C6D">
        <w:rPr>
          <w:b/>
          <w:bCs/>
          <w:sz w:val="18"/>
          <w:szCs w:val="18"/>
        </w:rPr>
        <w:t>Tabulka č. 2.1 Výdaje na zdravotní péči v ČR podle systémů (zdrojů) financování v mil. Kč</w:t>
      </w:r>
    </w:p>
    <w:tbl>
      <w:tblPr>
        <w:tblW w:w="9667" w:type="dxa"/>
        <w:tblInd w:w="55" w:type="dxa"/>
        <w:tblLayout w:type="fixed"/>
        <w:tblCellMar>
          <w:left w:w="70" w:type="dxa"/>
          <w:right w:w="70" w:type="dxa"/>
        </w:tblCellMar>
        <w:tblLook w:val="04A0" w:firstRow="1" w:lastRow="0" w:firstColumn="1" w:lastColumn="0" w:noHBand="0" w:noVBand="1"/>
      </w:tblPr>
      <w:tblGrid>
        <w:gridCol w:w="3818"/>
        <w:gridCol w:w="819"/>
        <w:gridCol w:w="819"/>
        <w:gridCol w:w="819"/>
        <w:gridCol w:w="819"/>
        <w:gridCol w:w="819"/>
        <w:gridCol w:w="819"/>
        <w:gridCol w:w="935"/>
      </w:tblGrid>
      <w:tr w:rsidR="00F41C6D" w:rsidRPr="00F41C6D" w:rsidTr="001351C9">
        <w:trPr>
          <w:trHeight w:val="548"/>
        </w:trPr>
        <w:tc>
          <w:tcPr>
            <w:tcW w:w="3818" w:type="dxa"/>
            <w:tcBorders>
              <w:top w:val="single" w:sz="8" w:space="0" w:color="auto"/>
              <w:left w:val="single" w:sz="8" w:space="0" w:color="auto"/>
              <w:bottom w:val="single" w:sz="8" w:space="0" w:color="auto"/>
              <w:right w:val="single" w:sz="8"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Systém (konečný zdroj) financování</w:t>
            </w:r>
          </w:p>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 xml:space="preserve"> zdravotní péče - HF</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2010</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2011</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2012</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2013</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2014</w:t>
            </w:r>
          </w:p>
        </w:tc>
        <w:tc>
          <w:tcPr>
            <w:tcW w:w="819"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2015</w:t>
            </w:r>
          </w:p>
        </w:tc>
        <w:tc>
          <w:tcPr>
            <w:tcW w:w="935" w:type="dxa"/>
            <w:tcBorders>
              <w:top w:val="single" w:sz="8" w:space="0" w:color="auto"/>
              <w:left w:val="nil"/>
              <w:bottom w:val="single" w:sz="8" w:space="0" w:color="auto"/>
              <w:right w:val="single" w:sz="8"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Index 2015/2014</w:t>
            </w:r>
          </w:p>
        </w:tc>
      </w:tr>
      <w:tr w:rsidR="00F41C6D" w:rsidRPr="00F41C6D" w:rsidTr="001351C9">
        <w:trPr>
          <w:trHeight w:val="548"/>
        </w:trPr>
        <w:tc>
          <w:tcPr>
            <w:tcW w:w="3818" w:type="dxa"/>
            <w:tcBorders>
              <w:top w:val="nil"/>
              <w:left w:val="single" w:sz="8" w:space="0" w:color="auto"/>
              <w:bottom w:val="single" w:sz="8" w:space="0" w:color="auto"/>
              <w:right w:val="single" w:sz="8" w:space="0" w:color="auto"/>
            </w:tcBorders>
            <w:shd w:val="clear" w:color="auto" w:fill="F2DBDB" w:themeFill="accent2" w:themeFillTint="33"/>
            <w:vAlign w:val="center"/>
            <w:hideMark/>
          </w:tcPr>
          <w:p w:rsidR="00F41C6D" w:rsidRPr="00F41C6D" w:rsidRDefault="00F41C6D" w:rsidP="00A1636E">
            <w:pPr>
              <w:spacing w:line="264" w:lineRule="auto"/>
              <w:rPr>
                <w:rFonts w:cs="Arial"/>
                <w:color w:val="000000"/>
                <w:sz w:val="16"/>
                <w:szCs w:val="16"/>
              </w:rPr>
            </w:pPr>
            <w:r w:rsidRPr="00F41C6D">
              <w:rPr>
                <w:rFonts w:cs="Arial"/>
                <w:color w:val="000000"/>
                <w:sz w:val="16"/>
                <w:szCs w:val="16"/>
              </w:rPr>
              <w:t>1 Vládní systémy a povinné příspěvkové systémy zdravotní péče (veřejné zdroje)</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288 768</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291 272</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294 861</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297 412</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296 641</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299 362</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100,9</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1.1 Vládní systémy (veřejné rozpočty)</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56 879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56 935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56 934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59 058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62 039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64 656</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104,2</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1.1.1 Státní rozpočet</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48 835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47 692</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47 079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49 360</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52 546</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54 889</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104,5</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1.1.2 Místní rozpočty</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8 044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9 243</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9 855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9 698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9 493</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9 766</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102,9</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1.2 Zdravotní pojišťovny </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231 889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234 337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237 927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238 354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234 602</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234 706</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100,0</w:t>
            </w:r>
          </w:p>
        </w:tc>
      </w:tr>
      <w:tr w:rsidR="00F41C6D" w:rsidRPr="00F41C6D" w:rsidTr="001351C9">
        <w:trPr>
          <w:trHeight w:val="597"/>
        </w:trPr>
        <w:tc>
          <w:tcPr>
            <w:tcW w:w="3818"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A1636E">
            <w:pPr>
              <w:spacing w:line="264" w:lineRule="auto"/>
              <w:rPr>
                <w:rFonts w:cs="Arial"/>
                <w:color w:val="000000"/>
                <w:sz w:val="16"/>
                <w:szCs w:val="16"/>
              </w:rPr>
            </w:pPr>
            <w:r w:rsidRPr="00F41C6D">
              <w:rPr>
                <w:rFonts w:cs="Arial"/>
                <w:color w:val="000000"/>
                <w:sz w:val="16"/>
                <w:szCs w:val="16"/>
              </w:rPr>
              <w:t>2 Systém dobrovolných plateb na zdravotní péči (soukromé zdroje bez přímých plateb domácností)</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9 217</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9 205</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9 110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9 202</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10 668</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9 322</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87,4</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 xml:space="preserve">2.1 Soukromé pojištění </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427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520</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475</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537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478</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89,1</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2.2 Neziskové organizace</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7 888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7 820</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7 719</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7 726</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7 757</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7 929</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102,2</w:t>
            </w:r>
          </w:p>
        </w:tc>
      </w:tr>
      <w:tr w:rsidR="00F41C6D" w:rsidRPr="00F41C6D" w:rsidTr="001351C9">
        <w:trPr>
          <w:trHeight w:val="37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2.3 Podniky</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901</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908</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871</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1 001</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2 374</w:t>
            </w:r>
          </w:p>
        </w:tc>
        <w:tc>
          <w:tcPr>
            <w:tcW w:w="819" w:type="dxa"/>
            <w:tcBorders>
              <w:top w:val="nil"/>
              <w:left w:val="nil"/>
              <w:bottom w:val="single" w:sz="8" w:space="0" w:color="auto"/>
              <w:right w:val="single" w:sz="8" w:space="0" w:color="auto"/>
            </w:tcBorders>
            <w:shd w:val="clear" w:color="auto" w:fill="auto"/>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915</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F41C6D" w:rsidP="00F41C6D">
            <w:pPr>
              <w:keepNext/>
              <w:jc w:val="right"/>
              <w:rPr>
                <w:rFonts w:cs="Arial"/>
                <w:color w:val="000000"/>
                <w:sz w:val="16"/>
                <w:szCs w:val="16"/>
              </w:rPr>
            </w:pPr>
            <w:r w:rsidRPr="00F41C6D">
              <w:rPr>
                <w:rFonts w:cs="Arial"/>
                <w:color w:val="000000"/>
                <w:sz w:val="16"/>
                <w:szCs w:val="16"/>
              </w:rPr>
              <w:t>38,5</w:t>
            </w:r>
          </w:p>
        </w:tc>
      </w:tr>
      <w:tr w:rsidR="00F41C6D" w:rsidRPr="00F41C6D" w:rsidTr="001351C9">
        <w:trPr>
          <w:trHeight w:val="510"/>
        </w:trPr>
        <w:tc>
          <w:tcPr>
            <w:tcW w:w="3818"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color w:val="000000"/>
                <w:sz w:val="16"/>
                <w:szCs w:val="16"/>
              </w:rPr>
            </w:pPr>
            <w:r w:rsidRPr="00F41C6D">
              <w:rPr>
                <w:rFonts w:cs="Arial"/>
                <w:color w:val="000000"/>
                <w:sz w:val="16"/>
                <w:szCs w:val="16"/>
              </w:rPr>
              <w:t>3 Domácnosti</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42 705</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44 028</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44 239</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43 465</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color w:val="000000"/>
                <w:sz w:val="16"/>
                <w:szCs w:val="16"/>
              </w:rPr>
            </w:pPr>
            <w:r w:rsidRPr="00F41C6D">
              <w:rPr>
                <w:rFonts w:cs="Arial"/>
                <w:color w:val="000000"/>
                <w:sz w:val="16"/>
                <w:szCs w:val="16"/>
              </w:rPr>
              <w:t>46 490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B82F63" w:rsidP="00F41C6D">
            <w:pPr>
              <w:spacing w:line="240" w:lineRule="auto"/>
              <w:jc w:val="right"/>
              <w:rPr>
                <w:rFonts w:cs="Arial"/>
                <w:color w:val="000000"/>
                <w:sz w:val="16"/>
                <w:szCs w:val="16"/>
              </w:rPr>
            </w:pPr>
            <w:r>
              <w:rPr>
                <w:rFonts w:cs="Arial"/>
                <w:color w:val="000000"/>
                <w:sz w:val="16"/>
                <w:szCs w:val="16"/>
              </w:rPr>
              <w:t>49 358</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B82F63" w:rsidP="00F41C6D">
            <w:pPr>
              <w:keepNext/>
              <w:jc w:val="right"/>
              <w:rPr>
                <w:rFonts w:cs="Arial"/>
                <w:color w:val="000000"/>
                <w:sz w:val="16"/>
                <w:szCs w:val="16"/>
              </w:rPr>
            </w:pPr>
            <w:r>
              <w:rPr>
                <w:rFonts w:cs="Arial"/>
                <w:color w:val="000000"/>
                <w:sz w:val="16"/>
                <w:szCs w:val="16"/>
              </w:rPr>
              <w:t>106,5</w:t>
            </w:r>
          </w:p>
        </w:tc>
      </w:tr>
      <w:tr w:rsidR="00F41C6D" w:rsidRPr="00F41C6D" w:rsidTr="001351C9">
        <w:trPr>
          <w:trHeight w:val="559"/>
        </w:trPr>
        <w:tc>
          <w:tcPr>
            <w:tcW w:w="3818"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b/>
                <w:bCs/>
                <w:color w:val="000000"/>
                <w:sz w:val="16"/>
                <w:szCs w:val="16"/>
              </w:rPr>
            </w:pPr>
            <w:r w:rsidRPr="00F41C6D">
              <w:rPr>
                <w:rFonts w:cs="Arial"/>
                <w:b/>
                <w:bCs/>
                <w:color w:val="000000"/>
                <w:sz w:val="16"/>
                <w:szCs w:val="16"/>
              </w:rPr>
              <w:t>Celkový součet</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340 690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344 506</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348 210</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350 079</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right"/>
              <w:rPr>
                <w:rFonts w:cs="Arial"/>
                <w:b/>
                <w:bCs/>
                <w:color w:val="000000"/>
                <w:sz w:val="16"/>
                <w:szCs w:val="16"/>
              </w:rPr>
            </w:pPr>
            <w:r w:rsidRPr="00F41C6D">
              <w:rPr>
                <w:rFonts w:cs="Arial"/>
                <w:b/>
                <w:bCs/>
                <w:color w:val="000000"/>
                <w:sz w:val="16"/>
                <w:szCs w:val="16"/>
              </w:rPr>
              <w:t>353 799</w:t>
            </w:r>
          </w:p>
        </w:tc>
        <w:tc>
          <w:tcPr>
            <w:tcW w:w="819" w:type="dxa"/>
            <w:tcBorders>
              <w:top w:val="nil"/>
              <w:left w:val="nil"/>
              <w:bottom w:val="single" w:sz="8" w:space="0" w:color="auto"/>
              <w:right w:val="single" w:sz="8" w:space="0" w:color="auto"/>
            </w:tcBorders>
            <w:shd w:val="clear" w:color="auto" w:fill="F2DBDB" w:themeFill="accent2" w:themeFillTint="33"/>
            <w:noWrap/>
            <w:vAlign w:val="center"/>
            <w:hideMark/>
          </w:tcPr>
          <w:p w:rsidR="00F41C6D" w:rsidRPr="00F41C6D" w:rsidRDefault="00B82F63" w:rsidP="00F41C6D">
            <w:pPr>
              <w:spacing w:line="240" w:lineRule="auto"/>
              <w:jc w:val="right"/>
              <w:rPr>
                <w:rFonts w:cs="Arial"/>
                <w:b/>
                <w:bCs/>
                <w:color w:val="000000"/>
                <w:sz w:val="16"/>
                <w:szCs w:val="16"/>
              </w:rPr>
            </w:pPr>
            <w:r>
              <w:rPr>
                <w:rFonts w:cs="Arial"/>
                <w:b/>
                <w:bCs/>
                <w:color w:val="000000"/>
                <w:sz w:val="16"/>
                <w:szCs w:val="16"/>
              </w:rPr>
              <w:t>358 042</w:t>
            </w:r>
          </w:p>
        </w:tc>
        <w:tc>
          <w:tcPr>
            <w:tcW w:w="935" w:type="dxa"/>
            <w:tcBorders>
              <w:top w:val="nil"/>
              <w:left w:val="nil"/>
              <w:bottom w:val="single" w:sz="8" w:space="0" w:color="auto"/>
              <w:right w:val="single" w:sz="8" w:space="0" w:color="auto"/>
            </w:tcBorders>
            <w:shd w:val="clear" w:color="auto" w:fill="F2DBDB" w:themeFill="accent2" w:themeFillTint="33"/>
            <w:noWrap/>
            <w:vAlign w:val="center"/>
          </w:tcPr>
          <w:p w:rsidR="00F41C6D" w:rsidRPr="00F41C6D" w:rsidRDefault="00B82F63" w:rsidP="00F41C6D">
            <w:pPr>
              <w:keepNext/>
              <w:jc w:val="right"/>
              <w:rPr>
                <w:rFonts w:cs="Arial"/>
                <w:color w:val="000000"/>
                <w:sz w:val="16"/>
                <w:szCs w:val="16"/>
              </w:rPr>
            </w:pPr>
            <w:r>
              <w:rPr>
                <w:rFonts w:cs="Arial"/>
                <w:color w:val="000000"/>
                <w:sz w:val="16"/>
                <w:szCs w:val="16"/>
              </w:rPr>
              <w:t>101,2</w:t>
            </w:r>
          </w:p>
        </w:tc>
      </w:tr>
    </w:tbl>
    <w:bookmarkEnd w:id="5"/>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BD2BDC" w:rsidRDefault="00F41C6D" w:rsidP="00F6371C">
      <w:pPr>
        <w:spacing w:before="240"/>
        <w:jc w:val="both"/>
        <w:rPr>
          <w:bCs/>
          <w:szCs w:val="20"/>
        </w:rPr>
      </w:pPr>
      <w:r w:rsidRPr="00F41C6D">
        <w:rPr>
          <w:bCs/>
          <w:szCs w:val="20"/>
        </w:rPr>
        <w:t xml:space="preserve">Z hlediska dynamiky růstu výdajů se v roce 2015 meziročně nejrychleji zvyšovaly výdaje </w:t>
      </w:r>
      <w:r w:rsidR="005D0800">
        <w:rPr>
          <w:bCs/>
          <w:szCs w:val="20"/>
        </w:rPr>
        <w:t xml:space="preserve">domácností </w:t>
      </w:r>
      <w:r w:rsidRPr="00F41C6D">
        <w:rPr>
          <w:bCs/>
          <w:szCs w:val="20"/>
        </w:rPr>
        <w:t>na zdravotní péči</w:t>
      </w:r>
      <w:r w:rsidR="005D0800">
        <w:rPr>
          <w:bCs/>
          <w:szCs w:val="20"/>
        </w:rPr>
        <w:t xml:space="preserve">, následovány výdaji ze státního rozpočtu. Zvýšené výdaje domácností se týkaly především přímých plateb pacientů za zubařské výkony (meziroční nárůst o 0,8 mld. Kč). </w:t>
      </w:r>
      <w:r w:rsidRPr="00F41C6D">
        <w:rPr>
          <w:bCs/>
          <w:szCs w:val="20"/>
        </w:rPr>
        <w:t xml:space="preserve">Ze státního rozpočtu se </w:t>
      </w:r>
      <w:r w:rsidRPr="00F41C6D">
        <w:rPr>
          <w:bCs/>
          <w:szCs w:val="20"/>
        </w:rPr>
        <w:lastRenderedPageBreak/>
        <w:t xml:space="preserve">meziročně zvýšily především výdaje na lůžkovou dlouhodobou péči v zařízeních dlouhodobé péče (domovy pro seniory, domovy pro osoby se zdravotním postižením, týdenní stacionáře) zhruba o 1,3 mld. Kč. </w:t>
      </w:r>
    </w:p>
    <w:p w:rsidR="00F41C6D" w:rsidRPr="00F41C6D" w:rsidRDefault="00F41C6D" w:rsidP="00F6371C">
      <w:pPr>
        <w:spacing w:before="240"/>
        <w:jc w:val="both"/>
        <w:rPr>
          <w:bCs/>
          <w:szCs w:val="20"/>
        </w:rPr>
      </w:pPr>
      <w:r w:rsidRPr="00F41C6D">
        <w:rPr>
          <w:bCs/>
          <w:szCs w:val="20"/>
        </w:rPr>
        <w:t>Výdaje na dlouhodobou péči domácí, která zahrnuje pečovatelskou službu, službu osobní asistence, ale</w:t>
      </w:r>
      <w:r w:rsidR="00BD2BDC">
        <w:rPr>
          <w:bCs/>
          <w:szCs w:val="20"/>
        </w:rPr>
        <w:t> </w:t>
      </w:r>
      <w:r w:rsidRPr="00F41C6D">
        <w:rPr>
          <w:bCs/>
          <w:szCs w:val="20"/>
        </w:rPr>
        <w:t xml:space="preserve">také ošetřovné člena domácnosti, vzrostly od roku 2014 o 458 miliónů Kč. </w:t>
      </w:r>
    </w:p>
    <w:p w:rsidR="00F41C6D" w:rsidRPr="00F41C6D" w:rsidRDefault="00F41C6D" w:rsidP="00F41C6D">
      <w:pPr>
        <w:spacing w:before="120"/>
        <w:jc w:val="both"/>
        <w:rPr>
          <w:bCs/>
          <w:szCs w:val="20"/>
        </w:rPr>
      </w:pPr>
      <w:r w:rsidRPr="00F41C6D">
        <w:rPr>
          <w:bCs/>
          <w:szCs w:val="20"/>
        </w:rPr>
        <w:t>V rámci uvedených konečných zdrojů financování měly v letech 2010 až 2015 největší podíl na celkových výdajích na zdravotní péči výše uvedené zdravotní pojišťovny (6</w:t>
      </w:r>
      <w:r w:rsidR="00B07A25">
        <w:rPr>
          <w:bCs/>
          <w:szCs w:val="20"/>
        </w:rPr>
        <w:t>5,6</w:t>
      </w:r>
      <w:r w:rsidRPr="00F41C6D">
        <w:rPr>
          <w:bCs/>
          <w:szCs w:val="20"/>
        </w:rPr>
        <w:t> % v roce 2015), následované státním rozpočtem (15,</w:t>
      </w:r>
      <w:r w:rsidR="00B07A25">
        <w:rPr>
          <w:bCs/>
          <w:szCs w:val="20"/>
        </w:rPr>
        <w:t>3</w:t>
      </w:r>
      <w:r w:rsidRPr="00F41C6D">
        <w:rPr>
          <w:bCs/>
          <w:szCs w:val="20"/>
        </w:rPr>
        <w:t> %) a domácnostmi (1</w:t>
      </w:r>
      <w:r w:rsidR="00B07A25">
        <w:rPr>
          <w:bCs/>
          <w:szCs w:val="20"/>
        </w:rPr>
        <w:t>3</w:t>
      </w:r>
      <w:r w:rsidRPr="00F41C6D">
        <w:rPr>
          <w:bCs/>
          <w:szCs w:val="20"/>
        </w:rPr>
        <w:t>,</w:t>
      </w:r>
      <w:r w:rsidR="00B07A25">
        <w:rPr>
          <w:bCs/>
          <w:szCs w:val="20"/>
        </w:rPr>
        <w:t>8</w:t>
      </w:r>
      <w:r w:rsidRPr="00F41C6D">
        <w:rPr>
          <w:bCs/>
          <w:szCs w:val="20"/>
        </w:rPr>
        <w:t> %). Podrobnější údaje přináší následující graf č. 2.2.</w:t>
      </w:r>
    </w:p>
    <w:p w:rsidR="00F41C6D" w:rsidRPr="00F41C6D" w:rsidRDefault="00F41C6D" w:rsidP="00A1636E">
      <w:pPr>
        <w:keepNext/>
        <w:spacing w:before="240" w:after="120" w:line="240" w:lineRule="auto"/>
        <w:jc w:val="both"/>
        <w:rPr>
          <w:b/>
          <w:bCs/>
          <w:sz w:val="18"/>
          <w:szCs w:val="18"/>
        </w:rPr>
      </w:pPr>
      <w:r w:rsidRPr="00F41C6D">
        <w:rPr>
          <w:b/>
          <w:bCs/>
          <w:sz w:val="18"/>
          <w:szCs w:val="18"/>
        </w:rPr>
        <w:t>Graf č: 2.2 Výdaje na zdravotní péči v ČR podle hlavních zdrojů financování, 2010 - 2015 (mld. Kč; %)</w:t>
      </w:r>
    </w:p>
    <w:p w:rsidR="00F41C6D" w:rsidRPr="007949E3" w:rsidRDefault="00F41C6D" w:rsidP="007949E3">
      <w:pPr>
        <w:pStyle w:val="Odstavecseseznamem"/>
        <w:numPr>
          <w:ilvl w:val="0"/>
          <w:numId w:val="33"/>
        </w:numPr>
        <w:rPr>
          <w:rFonts w:eastAsia="MS Gothic"/>
          <w:b/>
        </w:rPr>
      </w:pPr>
      <w:r w:rsidRPr="007949E3">
        <w:rPr>
          <w:rFonts w:eastAsia="MS Gothic"/>
          <w:b/>
        </w:rPr>
        <w:t>v mld. Kč</w:t>
      </w:r>
    </w:p>
    <w:p w:rsidR="00F41C6D" w:rsidRPr="00F41C6D" w:rsidRDefault="008C5CAD" w:rsidP="00F41C6D">
      <w:pPr>
        <w:keepNext/>
        <w:jc w:val="both"/>
      </w:pPr>
      <w:r>
        <w:rPr>
          <w:noProof/>
        </w:rPr>
        <w:drawing>
          <wp:inline distT="0" distB="0" distL="0" distR="0" wp14:anchorId="25F9661D" wp14:editId="508AF155">
            <wp:extent cx="5972810" cy="2658745"/>
            <wp:effectExtent l="0" t="0" r="8890" b="8255"/>
            <wp:docPr id="7"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bl>
      <w:tblPr>
        <w:tblW w:w="9073" w:type="dxa"/>
        <w:tblInd w:w="70" w:type="dxa"/>
        <w:tblCellMar>
          <w:left w:w="70" w:type="dxa"/>
          <w:right w:w="70" w:type="dxa"/>
        </w:tblCellMar>
        <w:tblLook w:val="04A0" w:firstRow="1" w:lastRow="0" w:firstColumn="1" w:lastColumn="0" w:noHBand="0" w:noVBand="1"/>
      </w:tblPr>
      <w:tblGrid>
        <w:gridCol w:w="2286"/>
        <w:gridCol w:w="6787"/>
      </w:tblGrid>
      <w:tr w:rsidR="00593E87" w:rsidRPr="00223335" w:rsidTr="00E22935">
        <w:trPr>
          <w:trHeight w:val="300"/>
        </w:trPr>
        <w:tc>
          <w:tcPr>
            <w:tcW w:w="9073" w:type="dxa"/>
            <w:gridSpan w:val="2"/>
            <w:tcBorders>
              <w:top w:val="nil"/>
              <w:left w:val="nil"/>
              <w:bottom w:val="nil"/>
              <w:right w:val="nil"/>
            </w:tcBorders>
            <w:shd w:val="clear" w:color="auto" w:fill="auto"/>
            <w:noWrap/>
            <w:vAlign w:val="bottom"/>
            <w:hideMark/>
          </w:tcPr>
          <w:p w:rsidR="00341E61" w:rsidRDefault="00341E61" w:rsidP="00A1636E">
            <w:pPr>
              <w:keepNext/>
              <w:spacing w:before="120" w:after="120" w:line="240" w:lineRule="auto"/>
              <w:ind w:left="360"/>
              <w:contextualSpacing/>
              <w:jc w:val="both"/>
              <w:rPr>
                <w:rFonts w:cs="Arial"/>
                <w:b/>
                <w:color w:val="000000"/>
                <w:sz w:val="18"/>
                <w:szCs w:val="20"/>
              </w:rPr>
            </w:pPr>
          </w:p>
          <w:p w:rsidR="00593E87" w:rsidRPr="00223335" w:rsidRDefault="00593E87" w:rsidP="007949E3">
            <w:pPr>
              <w:pStyle w:val="Odstavecseseznamem"/>
              <w:keepNext/>
              <w:numPr>
                <w:ilvl w:val="0"/>
                <w:numId w:val="33"/>
              </w:numPr>
              <w:rPr>
                <w:rFonts w:cs="Arial"/>
                <w:b/>
                <w:color w:val="000000"/>
                <w:sz w:val="18"/>
                <w:szCs w:val="20"/>
              </w:rPr>
            </w:pPr>
            <w:r w:rsidRPr="00223335">
              <w:rPr>
                <w:rFonts w:cs="Arial"/>
                <w:b/>
                <w:color w:val="000000"/>
                <w:sz w:val="18"/>
                <w:szCs w:val="20"/>
              </w:rPr>
              <w:t>struktura (%)</w:t>
            </w: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93CF50"/>
                <w:sz w:val="22"/>
                <w:szCs w:val="22"/>
              </w:rPr>
            </w:pPr>
            <w:r w:rsidRPr="00F41C6D">
              <w:rPr>
                <w:rFonts w:ascii="Calibri" w:hAnsi="Calibri"/>
                <w:noProof/>
                <w:color w:val="93CF50"/>
                <w:sz w:val="22"/>
                <w:szCs w:val="22"/>
              </w:rPr>
              <w:drawing>
                <wp:anchor distT="0" distB="0" distL="114300" distR="114300" simplePos="0" relativeHeight="251679232" behindDoc="0" locked="0" layoutInCell="1" allowOverlap="1">
                  <wp:simplePos x="0" y="0"/>
                  <wp:positionH relativeFrom="column">
                    <wp:posOffset>-126365</wp:posOffset>
                  </wp:positionH>
                  <wp:positionV relativeFrom="paragraph">
                    <wp:posOffset>18415</wp:posOffset>
                  </wp:positionV>
                  <wp:extent cx="6267450" cy="3162300"/>
                  <wp:effectExtent l="0" t="0" r="0" b="0"/>
                  <wp:wrapNone/>
                  <wp:docPr id="17"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tbl>
            <w:tblPr>
              <w:tblW w:w="0" w:type="auto"/>
              <w:tblCellSpacing w:w="0" w:type="dxa"/>
              <w:tblCellMar>
                <w:left w:w="0" w:type="dxa"/>
                <w:right w:w="0" w:type="dxa"/>
              </w:tblCellMar>
              <w:tblLook w:val="04A0" w:firstRow="1" w:lastRow="0" w:firstColumn="1" w:lastColumn="0" w:noHBand="0" w:noVBand="1"/>
            </w:tblPr>
            <w:tblGrid>
              <w:gridCol w:w="1320"/>
            </w:tblGrid>
            <w:tr w:rsidR="00593E87" w:rsidRPr="00F41C6D" w:rsidTr="00F41C6D">
              <w:trPr>
                <w:trHeight w:val="300"/>
                <w:tblCellSpacing w:w="0" w:type="dxa"/>
              </w:trPr>
              <w:tc>
                <w:tcPr>
                  <w:tcW w:w="1320"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bl>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r w:rsidR="00593E87" w:rsidRPr="00F41C6D" w:rsidTr="00E22935">
        <w:trPr>
          <w:trHeight w:val="300"/>
        </w:trPr>
        <w:tc>
          <w:tcPr>
            <w:tcW w:w="2286"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c>
          <w:tcPr>
            <w:tcW w:w="6787" w:type="dxa"/>
            <w:tcBorders>
              <w:top w:val="nil"/>
              <w:left w:val="nil"/>
              <w:bottom w:val="nil"/>
              <w:right w:val="nil"/>
            </w:tcBorders>
            <w:shd w:val="clear" w:color="auto" w:fill="auto"/>
            <w:noWrap/>
            <w:vAlign w:val="bottom"/>
            <w:hideMark/>
          </w:tcPr>
          <w:p w:rsidR="00593E87" w:rsidRPr="00F41C6D" w:rsidRDefault="00593E87" w:rsidP="00F41C6D">
            <w:pPr>
              <w:spacing w:line="240" w:lineRule="auto"/>
              <w:rPr>
                <w:rFonts w:ascii="Calibri" w:hAnsi="Calibri"/>
                <w:color w:val="000000"/>
                <w:sz w:val="22"/>
                <w:szCs w:val="22"/>
              </w:rPr>
            </w:pPr>
          </w:p>
        </w:tc>
      </w:tr>
    </w:tbl>
    <w:p w:rsidR="00A1636E" w:rsidRDefault="00A1636E" w:rsidP="00F41C6D">
      <w:pPr>
        <w:spacing w:before="120" w:line="240" w:lineRule="auto"/>
        <w:jc w:val="right"/>
        <w:rPr>
          <w:b/>
          <w:bCs/>
          <w:i/>
          <w:sz w:val="16"/>
          <w:szCs w:val="16"/>
        </w:rPr>
      </w:pPr>
    </w:p>
    <w:p w:rsidR="00A1636E" w:rsidRDefault="00A1636E" w:rsidP="00F41C6D">
      <w:pPr>
        <w:spacing w:before="120" w:line="240" w:lineRule="auto"/>
        <w:jc w:val="right"/>
        <w:rPr>
          <w:b/>
          <w:bCs/>
          <w:i/>
          <w:sz w:val="16"/>
          <w:szCs w:val="16"/>
        </w:rPr>
      </w:pPr>
    </w:p>
    <w:p w:rsidR="00A1636E" w:rsidRDefault="00A1636E" w:rsidP="00F41C6D">
      <w:pPr>
        <w:spacing w:before="120" w:line="240" w:lineRule="auto"/>
        <w:jc w:val="right"/>
        <w:rPr>
          <w:b/>
          <w:bCs/>
          <w:i/>
          <w:sz w:val="16"/>
          <w:szCs w:val="16"/>
        </w:rPr>
      </w:pPr>
    </w:p>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F41C6D" w:rsidRPr="00F41C6D" w:rsidRDefault="00A1636E" w:rsidP="00593E87">
      <w:pPr>
        <w:jc w:val="both"/>
        <w:rPr>
          <w:szCs w:val="20"/>
        </w:rPr>
      </w:pPr>
      <w:r>
        <w:rPr>
          <w:szCs w:val="20"/>
        </w:rPr>
        <w:br w:type="page"/>
      </w:r>
      <w:r w:rsidR="00F41C6D" w:rsidRPr="00F41C6D">
        <w:rPr>
          <w:szCs w:val="20"/>
        </w:rPr>
        <w:lastRenderedPageBreak/>
        <w:t>Jak je patrné z grafu č.</w:t>
      </w:r>
      <w:r>
        <w:rPr>
          <w:szCs w:val="20"/>
        </w:rPr>
        <w:t xml:space="preserve"> </w:t>
      </w:r>
      <w:r w:rsidR="00F41C6D" w:rsidRPr="00F41C6D">
        <w:rPr>
          <w:szCs w:val="20"/>
        </w:rPr>
        <w:t>2.2, v letech 2010 – 2013 vzrostly výdaje zdravotních pojišťoven na zdravotní péči o</w:t>
      </w:r>
      <w:r>
        <w:rPr>
          <w:szCs w:val="20"/>
        </w:rPr>
        <w:t> </w:t>
      </w:r>
      <w:r w:rsidR="00F41C6D" w:rsidRPr="00F41C6D">
        <w:rPr>
          <w:szCs w:val="20"/>
        </w:rPr>
        <w:t xml:space="preserve">6,5 mld. Kč (o 3 %). V uvedeném roce 2013 dosáhly zatím svého maxima ve výši 238,4 mld. Kč. V následujícím roce se výdaje zdravotních pojišťoven snížily o 3,8 mld. Kč a v roce 2015 zůstaly stabilní.  </w:t>
      </w:r>
    </w:p>
    <w:p w:rsidR="00F41C6D" w:rsidRPr="007949E3" w:rsidRDefault="00F41C6D" w:rsidP="007949E3">
      <w:pPr>
        <w:spacing w:before="240" w:after="120"/>
        <w:rPr>
          <w:rFonts w:eastAsia="MS Gothic"/>
          <w:b/>
          <w:i/>
        </w:rPr>
      </w:pPr>
      <w:r w:rsidRPr="007949E3">
        <w:rPr>
          <w:rFonts w:eastAsia="MS Gothic"/>
          <w:b/>
          <w:i/>
        </w:rPr>
        <w:t>Výdaje státního rozpočtu na zdravotní péči meziročně stouply o více než 2 miliardy Kč</w:t>
      </w:r>
    </w:p>
    <w:p w:rsidR="00F41C6D" w:rsidRPr="00F41C6D" w:rsidRDefault="00F41C6D" w:rsidP="00F41C6D">
      <w:pPr>
        <w:spacing w:before="120" w:after="120"/>
        <w:jc w:val="both"/>
        <w:rPr>
          <w:b/>
          <w:bCs/>
          <w:szCs w:val="17"/>
        </w:rPr>
      </w:pPr>
      <w:r w:rsidRPr="00F41C6D">
        <w:rPr>
          <w:bCs/>
          <w:szCs w:val="17"/>
        </w:rPr>
        <w:t xml:space="preserve">Výdaje na zdravotní péči financované </w:t>
      </w:r>
      <w:r w:rsidRPr="00F41C6D">
        <w:rPr>
          <w:b/>
          <w:bCs/>
          <w:szCs w:val="17"/>
        </w:rPr>
        <w:t>z veřejných rozpočtů</w:t>
      </w:r>
      <w:r w:rsidRPr="00F41C6D">
        <w:rPr>
          <w:bCs/>
          <w:szCs w:val="17"/>
        </w:rPr>
        <w:t xml:space="preserve"> celkově se v období let 2010 – 2012 pohybovaly těsně pod úrovní 57 miliard Kč. Stabilizace zejména u výdajů </w:t>
      </w:r>
      <w:r w:rsidRPr="00F41C6D">
        <w:rPr>
          <w:b/>
          <w:bCs/>
          <w:szCs w:val="17"/>
        </w:rPr>
        <w:t>státního rozpočtu</w:t>
      </w:r>
      <w:r w:rsidRPr="00F41C6D">
        <w:rPr>
          <w:bCs/>
          <w:szCs w:val="17"/>
        </w:rPr>
        <w:t xml:space="preserve"> na zdravotnictví v prvních třech letech sledovaného období souvisela nepochybně s úsporami finančních prostředků. V roce 2013 se výdaje z veřejných rozpočtů zvýšily zhruba o 2 miliardy a následující roky přinesly jejich další postupné zvýšení až na hodnotu 64,7 miliard Kč (</w:t>
      </w:r>
      <w:proofErr w:type="gramStart"/>
      <w:r w:rsidRPr="00595D62">
        <w:rPr>
          <w:bCs/>
          <w:szCs w:val="17"/>
        </w:rPr>
        <w:t>viz</w:t>
      </w:r>
      <w:r w:rsidR="00F05EFF">
        <w:rPr>
          <w:bCs/>
          <w:szCs w:val="17"/>
        </w:rPr>
        <w:t xml:space="preserve"> </w:t>
      </w:r>
      <w:r w:rsidRPr="00595D62">
        <w:rPr>
          <w:bCs/>
          <w:szCs w:val="17"/>
        </w:rPr>
        <w:t xml:space="preserve"> tabulka</w:t>
      </w:r>
      <w:proofErr w:type="gramEnd"/>
      <w:r w:rsidRPr="00595D62">
        <w:rPr>
          <w:bCs/>
          <w:szCs w:val="17"/>
        </w:rPr>
        <w:t xml:space="preserve"> č.</w:t>
      </w:r>
      <w:r w:rsidR="00A1636E" w:rsidRPr="00595D62">
        <w:rPr>
          <w:bCs/>
          <w:szCs w:val="17"/>
        </w:rPr>
        <w:t xml:space="preserve"> </w:t>
      </w:r>
      <w:r w:rsidRPr="00595D62">
        <w:rPr>
          <w:bCs/>
          <w:szCs w:val="17"/>
        </w:rPr>
        <w:t>4 v příloze</w:t>
      </w:r>
      <w:r w:rsidRPr="00F41C6D">
        <w:rPr>
          <w:bCs/>
          <w:szCs w:val="17"/>
        </w:rPr>
        <w:t xml:space="preserve">). V roce 2015 tvořily výdaje veřejných rozpočtů 18 % </w:t>
      </w:r>
      <w:r w:rsidRPr="00F41C6D">
        <w:rPr>
          <w:rFonts w:cs="Arial"/>
          <w:bCs/>
          <w:color w:val="000000"/>
          <w:szCs w:val="20"/>
        </w:rPr>
        <w:t>z celkových výdajů na zdravotní péči v České republice</w:t>
      </w:r>
      <w:r w:rsidRPr="00F41C6D">
        <w:rPr>
          <w:rFonts w:cs="Arial"/>
          <w:b/>
          <w:bCs/>
          <w:color w:val="000000"/>
          <w:szCs w:val="20"/>
        </w:rPr>
        <w:t>.</w:t>
      </w:r>
      <w:r w:rsidRPr="00F41C6D">
        <w:rPr>
          <w:b/>
          <w:bCs/>
          <w:szCs w:val="17"/>
        </w:rPr>
        <w:t xml:space="preserve"> </w:t>
      </w:r>
    </w:p>
    <w:p w:rsidR="00F41C6D" w:rsidRPr="00F41C6D" w:rsidRDefault="00F41C6D" w:rsidP="00A1636E">
      <w:pPr>
        <w:keepNext/>
        <w:spacing w:before="240"/>
        <w:jc w:val="both"/>
        <w:rPr>
          <w:b/>
        </w:rPr>
      </w:pPr>
      <w:r w:rsidRPr="00F41C6D">
        <w:rPr>
          <w:b/>
        </w:rPr>
        <w:t xml:space="preserve">Graf 2.3. Výdaje na zdravotní péči v ČR financované z veřejných rozpočtů, 2010 – 2015 (mld. Kč) </w:t>
      </w:r>
    </w:p>
    <w:p w:rsidR="00F41C6D" w:rsidRPr="00F41C6D" w:rsidRDefault="00F41C6D" w:rsidP="00F41C6D">
      <w:pPr>
        <w:spacing w:before="120" w:after="120"/>
        <w:jc w:val="both"/>
        <w:rPr>
          <w:bCs/>
          <w:szCs w:val="17"/>
        </w:rPr>
      </w:pPr>
      <w:r w:rsidRPr="00F41C6D">
        <w:rPr>
          <w:b/>
          <w:bCs/>
          <w:noProof/>
          <w:szCs w:val="17"/>
        </w:rPr>
        <w:drawing>
          <wp:inline distT="0" distB="0" distL="0" distR="0">
            <wp:extent cx="6191250" cy="3714750"/>
            <wp:effectExtent l="0" t="0" r="0" b="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A1636E" w:rsidRPr="00F41C6D" w:rsidRDefault="00A1636E" w:rsidP="00F41C6D">
      <w:pPr>
        <w:spacing w:before="120" w:line="240" w:lineRule="auto"/>
        <w:jc w:val="right"/>
        <w:rPr>
          <w:b/>
          <w:bCs/>
          <w:i/>
          <w:sz w:val="16"/>
          <w:szCs w:val="16"/>
        </w:rPr>
      </w:pPr>
    </w:p>
    <w:p w:rsidR="00F41C6D" w:rsidRPr="00F41C6D" w:rsidRDefault="00F41C6D" w:rsidP="00F41C6D">
      <w:pPr>
        <w:spacing w:before="120" w:after="120"/>
        <w:jc w:val="both"/>
        <w:rPr>
          <w:bCs/>
          <w:szCs w:val="17"/>
        </w:rPr>
      </w:pPr>
      <w:r w:rsidRPr="00F41C6D">
        <w:rPr>
          <w:b/>
          <w:bCs/>
          <w:szCs w:val="17"/>
        </w:rPr>
        <w:t xml:space="preserve">Úloha státního a místních rozpočtů (veřejných rozpočtů) </w:t>
      </w:r>
      <w:r w:rsidRPr="00F41C6D">
        <w:rPr>
          <w:bCs/>
          <w:szCs w:val="17"/>
        </w:rPr>
        <w:t xml:space="preserve">spočívá především ve financování specifických činností, které nejsou hrazeny z veřejného zdravotního pojištění. Jedná se zejména o výdaje na zdravotnický výzkum a vývoj prováděný zdravotnickými zařízeními jako jsou fakultní nemocnice či výzkumnými ústavy, vzdělávání zdravotnických pracovníků, preventivní a osvětové programy a kampaně, činnost hygienických stanic, částečně výdaje na investiční projekty a přímé dotace zdravotnickým zařízením zřizovaným ministerstvem (jde především o fakultní nemocnice) kraji, městy a obcemi. </w:t>
      </w:r>
    </w:p>
    <w:p w:rsidR="00F41C6D" w:rsidRPr="00F41C6D" w:rsidRDefault="00F41C6D" w:rsidP="00F41C6D">
      <w:pPr>
        <w:spacing w:before="120" w:after="120"/>
        <w:jc w:val="both"/>
        <w:rPr>
          <w:bCs/>
          <w:szCs w:val="17"/>
        </w:rPr>
      </w:pPr>
      <w:r w:rsidRPr="00F41C6D">
        <w:rPr>
          <w:bCs/>
          <w:szCs w:val="17"/>
        </w:rPr>
        <w:t xml:space="preserve">V souladu s novou metodikou SHA se do výdajů na zdravotnictví nově započítává i položka </w:t>
      </w:r>
      <w:r w:rsidRPr="00F41C6D">
        <w:rPr>
          <w:b/>
          <w:bCs/>
          <w:szCs w:val="17"/>
        </w:rPr>
        <w:t xml:space="preserve">dlouhodobé sociální péče. </w:t>
      </w:r>
      <w:r w:rsidRPr="00F41C6D">
        <w:rPr>
          <w:bCs/>
          <w:szCs w:val="17"/>
        </w:rPr>
        <w:t>Tato položka zahrnuje výdaje v segmentu sociálních služeb. Vymezení sociálních služeb je upraveno zákonem č. 108/2006 Sb., o sociálních službách, ve znění pozdějších předpisů. Na úhradě nákladů spojených s touto péčí se nejvýrazněji podílejí právě veřejné rozpočty (</w:t>
      </w:r>
      <w:r w:rsidRPr="00223335">
        <w:rPr>
          <w:bCs/>
          <w:szCs w:val="17"/>
        </w:rPr>
        <w:t xml:space="preserve">blíže viz </w:t>
      </w:r>
      <w:r w:rsidRPr="00595D62">
        <w:rPr>
          <w:bCs/>
          <w:szCs w:val="17"/>
        </w:rPr>
        <w:t>kap</w:t>
      </w:r>
      <w:r w:rsidR="00BD2BDC" w:rsidRPr="00595D62">
        <w:rPr>
          <w:bCs/>
          <w:szCs w:val="17"/>
        </w:rPr>
        <w:t>itola</w:t>
      </w:r>
      <w:r w:rsidRPr="00595D62">
        <w:rPr>
          <w:bCs/>
          <w:szCs w:val="17"/>
        </w:rPr>
        <w:t xml:space="preserve"> 3.3 Výdaje na dlouhodobou péči</w:t>
      </w:r>
      <w:r w:rsidRPr="00375B3D">
        <w:rPr>
          <w:bCs/>
          <w:szCs w:val="17"/>
        </w:rPr>
        <w:t>).</w:t>
      </w:r>
      <w:r w:rsidRPr="00F41C6D">
        <w:rPr>
          <w:bCs/>
          <w:szCs w:val="17"/>
        </w:rPr>
        <w:t xml:space="preserve"> </w:t>
      </w:r>
    </w:p>
    <w:p w:rsidR="00F41C6D" w:rsidRPr="00F41C6D" w:rsidRDefault="00F41C6D" w:rsidP="00F41C6D">
      <w:pPr>
        <w:spacing w:before="120" w:after="120"/>
        <w:jc w:val="both"/>
        <w:rPr>
          <w:bCs/>
          <w:szCs w:val="17"/>
        </w:rPr>
      </w:pPr>
      <w:r w:rsidRPr="00F41C6D">
        <w:rPr>
          <w:bCs/>
          <w:szCs w:val="17"/>
        </w:rPr>
        <w:lastRenderedPageBreak/>
        <w:t xml:space="preserve">Z veřejných rozpočtů je navíc hrazena i </w:t>
      </w:r>
      <w:r w:rsidRPr="00F41C6D">
        <w:rPr>
          <w:b/>
          <w:bCs/>
          <w:szCs w:val="17"/>
        </w:rPr>
        <w:t>správa</w:t>
      </w:r>
      <w:r w:rsidRPr="00F41C6D">
        <w:rPr>
          <w:bCs/>
          <w:szCs w:val="17"/>
        </w:rPr>
        <w:t xml:space="preserve"> rezortu zdravotnictví, tj. provoz Ministerstva zdravotnictví, odborů zdravotnictví jednotlivých krajských úřadů, Státního zdravotního ústavu, Státního ústavu pro kontrolu léčiv a Ústavu zdravotnických informací a statistiky.</w:t>
      </w:r>
      <w:r w:rsidRPr="00F41C6D">
        <w:rPr>
          <w:bCs/>
          <w:szCs w:val="17"/>
          <w:vertAlign w:val="superscript"/>
        </w:rPr>
        <w:footnoteReference w:id="1"/>
      </w:r>
      <w:r w:rsidRPr="00F41C6D">
        <w:rPr>
          <w:bCs/>
          <w:szCs w:val="17"/>
        </w:rPr>
        <w:t xml:space="preserve"> </w:t>
      </w:r>
    </w:p>
    <w:p w:rsidR="00F41C6D" w:rsidRPr="00F41C6D" w:rsidRDefault="00F41C6D" w:rsidP="00F41C6D">
      <w:pPr>
        <w:spacing w:before="120" w:after="120"/>
        <w:jc w:val="both"/>
        <w:rPr>
          <w:bCs/>
          <w:szCs w:val="17"/>
        </w:rPr>
      </w:pPr>
      <w:r w:rsidRPr="00F41C6D">
        <w:rPr>
          <w:bCs/>
          <w:szCs w:val="17"/>
        </w:rPr>
        <w:t xml:space="preserve">Skupina dobrovolných plateb na zdravotní péči, přes vysokou dynamiku růstu, představuje spíše doplňkový finanční zdroj. Na celkových výdajích na zdravotní péči v ČR se tyto </w:t>
      </w:r>
      <w:r w:rsidRPr="00F41C6D">
        <w:rPr>
          <w:b/>
          <w:bCs/>
          <w:szCs w:val="17"/>
        </w:rPr>
        <w:t xml:space="preserve">soukromé zdroje </w:t>
      </w:r>
      <w:r w:rsidRPr="00F41C6D">
        <w:rPr>
          <w:bCs/>
          <w:szCs w:val="17"/>
        </w:rPr>
        <w:t>(bez přímých výdajů domácností) v roce 2015 podílely necelými 3 % (9,3 mld. Kč). Tato skupina zahrnuje různorodé finanční zdroje. Zatímco soukromé zdravotní pojišťovny jsou založeny na principu cestovního pojištění, neziskové</w:t>
      </w:r>
      <w:r w:rsidR="006419F8">
        <w:rPr>
          <w:bCs/>
          <w:szCs w:val="17"/>
        </w:rPr>
        <w:t> </w:t>
      </w:r>
      <w:r w:rsidRPr="00F41C6D">
        <w:rPr>
          <w:bCs/>
          <w:szCs w:val="17"/>
        </w:rPr>
        <w:t>instituce (např. Červený kříž) jsou orientovány zejména charitativně. Pro podnikovou sféru je účast na financování zdravotní péče, zejména péče preventivní, spíše vedlejší, i když (z pohledu právních norem) nutnou aktivitou.</w:t>
      </w:r>
    </w:p>
    <w:p w:rsidR="00F41C6D" w:rsidRPr="00F41C6D" w:rsidRDefault="00F41C6D" w:rsidP="00F41C6D">
      <w:pPr>
        <w:spacing w:before="120" w:after="120"/>
        <w:jc w:val="both"/>
        <w:rPr>
          <w:bCs/>
          <w:szCs w:val="17"/>
        </w:rPr>
      </w:pPr>
      <w:r w:rsidRPr="00F41C6D">
        <w:rPr>
          <w:bCs/>
          <w:szCs w:val="17"/>
        </w:rPr>
        <w:t>V</w:t>
      </w:r>
      <w:r w:rsidR="009C00F3">
        <w:rPr>
          <w:bCs/>
          <w:szCs w:val="17"/>
        </w:rPr>
        <w:t xml:space="preserve"> případě výdajů </w:t>
      </w:r>
      <w:r w:rsidR="009C00F3" w:rsidRPr="009C00F3">
        <w:rPr>
          <w:b/>
          <w:bCs/>
          <w:szCs w:val="17"/>
        </w:rPr>
        <w:t>domácností</w:t>
      </w:r>
      <w:r w:rsidR="009C00F3">
        <w:rPr>
          <w:bCs/>
          <w:szCs w:val="17"/>
        </w:rPr>
        <w:t xml:space="preserve"> přicházejí v úvahu přímé platby či spoluúčast na úhradách zdravotní péče. V</w:t>
      </w:r>
      <w:r w:rsidR="00BD2BDC">
        <w:rPr>
          <w:bCs/>
          <w:szCs w:val="17"/>
        </w:rPr>
        <w:t> </w:t>
      </w:r>
      <w:r w:rsidRPr="00F41C6D">
        <w:rPr>
          <w:bCs/>
          <w:szCs w:val="17"/>
        </w:rPr>
        <w:t xml:space="preserve">převážné většině případů si </w:t>
      </w:r>
      <w:r w:rsidRPr="009C00F3">
        <w:rPr>
          <w:bCs/>
          <w:szCs w:val="17"/>
        </w:rPr>
        <w:t>domácnosti</w:t>
      </w:r>
      <w:r w:rsidRPr="00F41C6D">
        <w:rPr>
          <w:bCs/>
          <w:szCs w:val="17"/>
        </w:rPr>
        <w:t xml:space="preserve"> platí ambulantně užívané léky (ať už se jedná o doplatky u</w:t>
      </w:r>
      <w:r w:rsidR="00BD2BDC">
        <w:rPr>
          <w:bCs/>
          <w:szCs w:val="17"/>
        </w:rPr>
        <w:t> </w:t>
      </w:r>
      <w:r w:rsidRPr="00F41C6D">
        <w:rPr>
          <w:bCs/>
          <w:szCs w:val="17"/>
        </w:rPr>
        <w:t>předepsaných léčiv či platby plných cen u volně prodejných léků) a terapeutické pomůcky. Významný podíl výdajů domácností představují též platby za nadstandardní služby a materiál. Další byť méně významné jsou platby za lázeňské pobyty, nadstandardně vybavené pokoje v nemocnicích a platby za různá potvrzení především u praktických lékařů. Od roku 2008 také přibyly regulační poplatky za ošetření u lékařů, za</w:t>
      </w:r>
      <w:r w:rsidR="00BD2BDC">
        <w:rPr>
          <w:bCs/>
          <w:szCs w:val="17"/>
        </w:rPr>
        <w:t> </w:t>
      </w:r>
      <w:r w:rsidRPr="00F41C6D">
        <w:rPr>
          <w:bCs/>
          <w:szCs w:val="17"/>
        </w:rPr>
        <w:t>recepty v lékárnách, návštěvu pohotovosti nebo za hospitalizaci v nemocnicích a ostatních lůžkových zařízeních. V průběhu svojí existence prošly regulační poplatky různými změnami a pos</w:t>
      </w:r>
      <w:r w:rsidR="006419F8">
        <w:rPr>
          <w:bCs/>
          <w:szCs w:val="17"/>
        </w:rPr>
        <w:t xml:space="preserve">tupně byly tři z nich zrušeny. </w:t>
      </w:r>
      <w:r w:rsidRPr="00F41C6D">
        <w:rPr>
          <w:bCs/>
          <w:szCs w:val="17"/>
        </w:rPr>
        <w:t>Od ledna 2015 hradí pacienti pouze regulační poplatek za pohotovostní služby (</w:t>
      </w:r>
      <w:r w:rsidRPr="00223335">
        <w:rPr>
          <w:bCs/>
          <w:szCs w:val="17"/>
        </w:rPr>
        <w:t xml:space="preserve">podrobněji </w:t>
      </w:r>
      <w:r w:rsidRPr="00595D62">
        <w:rPr>
          <w:bCs/>
          <w:szCs w:val="17"/>
        </w:rPr>
        <w:t xml:space="preserve">kapitola </w:t>
      </w:r>
      <w:r w:rsidR="00223335" w:rsidRPr="00595D62">
        <w:rPr>
          <w:bCs/>
          <w:szCs w:val="17"/>
        </w:rPr>
        <w:t>3.2</w:t>
      </w:r>
      <w:r w:rsidRPr="00595D62">
        <w:rPr>
          <w:bCs/>
          <w:szCs w:val="17"/>
        </w:rPr>
        <w:t xml:space="preserve"> Výdaje domácností na zdravotní péči</w:t>
      </w:r>
      <w:r w:rsidRPr="00223335">
        <w:rPr>
          <w:bCs/>
          <w:szCs w:val="17"/>
        </w:rPr>
        <w:t>)</w:t>
      </w:r>
      <w:bookmarkEnd w:id="2"/>
      <w:bookmarkEnd w:id="3"/>
      <w:r w:rsidR="006419F8" w:rsidRPr="00223335">
        <w:rPr>
          <w:bCs/>
          <w:szCs w:val="17"/>
        </w:rPr>
        <w:t>.</w:t>
      </w:r>
    </w:p>
    <w:p w:rsidR="00F41C6D" w:rsidRPr="00F41C6D" w:rsidRDefault="00F41C6D" w:rsidP="004E1007">
      <w:pPr>
        <w:pStyle w:val="Nadpis2"/>
        <w:spacing w:before="360" w:after="120"/>
      </w:pPr>
      <w:bookmarkStart w:id="6" w:name="_Toc481748787"/>
      <w:bookmarkStart w:id="7" w:name="_Toc130184754"/>
      <w:bookmarkStart w:id="8" w:name="_Toc256065138"/>
      <w:r w:rsidRPr="00F41C6D">
        <w:t>2.3 Výdaje na zdravotnictví podle druhů péče</w:t>
      </w:r>
      <w:bookmarkEnd w:id="6"/>
      <w:r w:rsidRPr="00F41C6D">
        <w:t xml:space="preserve"> </w:t>
      </w:r>
      <w:bookmarkEnd w:id="7"/>
      <w:bookmarkEnd w:id="8"/>
    </w:p>
    <w:p w:rsidR="00F41C6D" w:rsidRPr="00F41C6D" w:rsidRDefault="00F41C6D" w:rsidP="00F41C6D">
      <w:pPr>
        <w:spacing w:before="120"/>
        <w:jc w:val="both"/>
        <w:rPr>
          <w:rFonts w:cs="Arial"/>
          <w:szCs w:val="20"/>
        </w:rPr>
      </w:pPr>
      <w:r w:rsidRPr="00F41C6D">
        <w:rPr>
          <w:rFonts w:cs="Arial"/>
          <w:szCs w:val="20"/>
        </w:rPr>
        <w:t>Druhý významný pohled na problematiku zdravotní péče souvisí s  druhem péče, která je poskytována. Větší</w:t>
      </w:r>
      <w:r w:rsidR="004E1007">
        <w:rPr>
          <w:rFonts w:cs="Arial"/>
          <w:szCs w:val="20"/>
        </w:rPr>
        <w:t> </w:t>
      </w:r>
      <w:r w:rsidRPr="00F41C6D">
        <w:rPr>
          <w:rFonts w:cs="Arial"/>
          <w:szCs w:val="20"/>
        </w:rPr>
        <w:t>část vynakládané zdravotní péče se pochopitelně vztahuje k individuálním potřebám jednotlivce. Do</w:t>
      </w:r>
      <w:r w:rsidR="004E1007">
        <w:rPr>
          <w:rFonts w:cs="Arial"/>
          <w:szCs w:val="20"/>
        </w:rPr>
        <w:t> </w:t>
      </w:r>
      <w:r w:rsidRPr="00F41C6D">
        <w:rPr>
          <w:rFonts w:cs="Arial"/>
          <w:szCs w:val="20"/>
        </w:rPr>
        <w:t>pojmu zdravotní péče podle metodiky SHA však patří také služby, které jsou zaměřeny na zlepšení celkového zdravotního stavu populace či efektivity systému zdravotnictví. Tím jsou myšleny zejména některé aspekty preventivní péče a správa systému zdravotní péče (rezort zdravotnictví a zdravotní pojišťovny).</w:t>
      </w:r>
      <w:r w:rsidRPr="00F41C6D" w:rsidDel="00FA51EF">
        <w:rPr>
          <w:rFonts w:cs="Arial"/>
          <w:szCs w:val="20"/>
        </w:rPr>
        <w:t xml:space="preserve"> </w:t>
      </w:r>
    </w:p>
    <w:p w:rsidR="00F41C6D" w:rsidRPr="004E1007" w:rsidRDefault="00F41C6D" w:rsidP="00F41C6D">
      <w:pPr>
        <w:spacing w:before="120"/>
        <w:jc w:val="both"/>
        <w:rPr>
          <w:rFonts w:cs="Arial"/>
          <w:szCs w:val="20"/>
        </w:rPr>
      </w:pPr>
      <w:r w:rsidRPr="00F41C6D">
        <w:rPr>
          <w:rFonts w:cs="Arial"/>
          <w:szCs w:val="20"/>
        </w:rPr>
        <w:t>Zdravotní péče může být spotřebovávána dvěma způsoby: individuálně nebo kolektivně. Vzhledem</w:t>
      </w:r>
      <w:r w:rsidR="004E1007">
        <w:rPr>
          <w:rFonts w:cs="Arial"/>
          <w:szCs w:val="20"/>
        </w:rPr>
        <w:t> </w:t>
      </w:r>
      <w:r w:rsidRPr="00F41C6D">
        <w:rPr>
          <w:rFonts w:cs="Arial"/>
          <w:szCs w:val="20"/>
        </w:rPr>
        <w:t>ke</w:t>
      </w:r>
      <w:r w:rsidR="004E1007">
        <w:rPr>
          <w:rFonts w:cs="Arial"/>
          <w:szCs w:val="20"/>
        </w:rPr>
        <w:t> </w:t>
      </w:r>
      <w:r w:rsidRPr="00F41C6D">
        <w:rPr>
          <w:rFonts w:cs="Arial"/>
          <w:szCs w:val="20"/>
        </w:rPr>
        <w:t>skutečnosti, že zdravotní stav je vlastností jednotlivců, většina spotřeby zdravotních služeb se</w:t>
      </w:r>
      <w:r w:rsidR="004E1007">
        <w:rPr>
          <w:rFonts w:cs="Arial"/>
          <w:szCs w:val="20"/>
        </w:rPr>
        <w:t> </w:t>
      </w:r>
      <w:r w:rsidRPr="00F41C6D">
        <w:rPr>
          <w:rFonts w:cs="Arial"/>
          <w:szCs w:val="20"/>
        </w:rPr>
        <w:t>vztahuje k soukromé spotřebě. Individuální spotřeba obsahuje standardní kroky léčebného procesu – stanovení diagnózy, formace léčebného plánu, předepsání léku či terapie, diagnostiku a lékařské hodnocení, provedení léčby a hodnocení výsledků. Osobní zdravotní péče zahrnuje léčebnou, rehabilitační, dlouhodobou zdravotní péči a také podpůrné služby (laboratoře, zobrazovací metody a dopravu pacientů) a</w:t>
      </w:r>
      <w:r w:rsidR="004E1007">
        <w:rPr>
          <w:rFonts w:cs="Arial"/>
          <w:szCs w:val="20"/>
        </w:rPr>
        <w:t> </w:t>
      </w:r>
      <w:r w:rsidRPr="00F41C6D">
        <w:rPr>
          <w:rFonts w:cs="Arial"/>
          <w:szCs w:val="20"/>
        </w:rPr>
        <w:t>v neposlední řadě léky a terapeutické pomůcky.</w:t>
      </w:r>
    </w:p>
    <w:p w:rsidR="00F41C6D" w:rsidRPr="00F41C6D" w:rsidRDefault="00F41C6D" w:rsidP="00F41C6D">
      <w:pPr>
        <w:spacing w:before="120"/>
        <w:jc w:val="both"/>
        <w:rPr>
          <w:rFonts w:cs="Arial"/>
          <w:szCs w:val="20"/>
        </w:rPr>
      </w:pPr>
      <w:r w:rsidRPr="00F41C6D">
        <w:rPr>
          <w:rFonts w:cs="Arial"/>
          <w:szCs w:val="20"/>
        </w:rPr>
        <w:t xml:space="preserve">V metodice SHA </w:t>
      </w:r>
      <w:r w:rsidRPr="00223335">
        <w:rPr>
          <w:rFonts w:cs="Arial"/>
          <w:szCs w:val="20"/>
        </w:rPr>
        <w:t xml:space="preserve">2011 byly vytvořeny další, doplňkové položky tak, aby byla umožněna hlubší analýza zdravotní politiky a alokování zdrojů. Nově jsou do výdajů na zdravotní péči zahrnuty položky dlouhodobé sociální péče (podrobněji viz </w:t>
      </w:r>
      <w:r w:rsidR="00223335" w:rsidRPr="00595D62">
        <w:rPr>
          <w:rFonts w:cs="Arial"/>
          <w:szCs w:val="20"/>
        </w:rPr>
        <w:t>metod</w:t>
      </w:r>
      <w:r w:rsidRPr="00595D62">
        <w:rPr>
          <w:rFonts w:cs="Arial"/>
          <w:szCs w:val="20"/>
        </w:rPr>
        <w:t>ická příloha</w:t>
      </w:r>
      <w:r w:rsidRPr="00223335">
        <w:rPr>
          <w:rFonts w:cs="Arial"/>
          <w:szCs w:val="20"/>
        </w:rPr>
        <w:t>)</w:t>
      </w:r>
      <w:r w:rsidRPr="00223335">
        <w:rPr>
          <w:rFonts w:cs="Arial"/>
          <w:color w:val="FF0000"/>
          <w:szCs w:val="20"/>
        </w:rPr>
        <w:t xml:space="preserve"> </w:t>
      </w:r>
      <w:r w:rsidRPr="00223335">
        <w:rPr>
          <w:rFonts w:cs="Arial"/>
          <w:szCs w:val="20"/>
        </w:rPr>
        <w:t>a některé činnosti zahrnující podporu zdraví v širším pohledu (</w:t>
      </w:r>
      <w:r w:rsidR="00190B38">
        <w:rPr>
          <w:rFonts w:cs="Arial"/>
          <w:szCs w:val="20"/>
        </w:rPr>
        <w:t>kontrola nezávadnosti pitné vody a potravin prováděná v rámci hygienických stanic, kontrola hlučnosti a nezávadnosti vzduchu</w:t>
      </w:r>
      <w:r w:rsidRPr="00F41C6D">
        <w:rPr>
          <w:rFonts w:cs="Arial"/>
          <w:szCs w:val="20"/>
        </w:rPr>
        <w:t xml:space="preserve"> atd.).</w:t>
      </w:r>
    </w:p>
    <w:p w:rsidR="00F41C6D" w:rsidRPr="00F41C6D" w:rsidRDefault="004E1007" w:rsidP="00F41C6D">
      <w:pPr>
        <w:keepNext/>
        <w:spacing w:before="120"/>
        <w:jc w:val="both"/>
        <w:rPr>
          <w:rFonts w:cs="Arial"/>
          <w:szCs w:val="20"/>
        </w:rPr>
      </w:pPr>
      <w:r>
        <w:rPr>
          <w:rFonts w:cs="Arial"/>
          <w:szCs w:val="20"/>
        </w:rPr>
        <w:t>T</w:t>
      </w:r>
      <w:r w:rsidR="00F41C6D" w:rsidRPr="00F41C6D">
        <w:rPr>
          <w:rFonts w:cs="Arial"/>
          <w:szCs w:val="20"/>
        </w:rPr>
        <w:t>abulka</w:t>
      </w:r>
      <w:r>
        <w:rPr>
          <w:rFonts w:cs="Arial"/>
          <w:szCs w:val="20"/>
        </w:rPr>
        <w:t xml:space="preserve"> č. 2.2</w:t>
      </w:r>
      <w:r w:rsidR="00F41C6D" w:rsidRPr="00F41C6D">
        <w:rPr>
          <w:rFonts w:cs="Arial"/>
          <w:szCs w:val="20"/>
        </w:rPr>
        <w:t xml:space="preserve"> a graf</w:t>
      </w:r>
      <w:r>
        <w:rPr>
          <w:rFonts w:cs="Arial"/>
          <w:szCs w:val="20"/>
        </w:rPr>
        <w:t xml:space="preserve"> č. 2.4</w:t>
      </w:r>
      <w:r w:rsidR="00F41C6D" w:rsidRPr="00F41C6D">
        <w:rPr>
          <w:rFonts w:cs="Arial"/>
          <w:szCs w:val="20"/>
        </w:rPr>
        <w:t xml:space="preserve"> ukazují vývoj výdajů na zdravotní péči podle druhu poskytované péče.</w:t>
      </w:r>
    </w:p>
    <w:p w:rsidR="00F41C6D" w:rsidRPr="00F41C6D" w:rsidRDefault="00F41C6D" w:rsidP="006419F8">
      <w:pPr>
        <w:keepNext/>
        <w:pageBreakBefore/>
        <w:spacing w:before="120" w:after="240" w:line="240" w:lineRule="auto"/>
        <w:jc w:val="both"/>
        <w:rPr>
          <w:b/>
          <w:bCs/>
          <w:sz w:val="18"/>
          <w:szCs w:val="18"/>
        </w:rPr>
      </w:pPr>
      <w:r w:rsidRPr="00F41C6D">
        <w:rPr>
          <w:b/>
          <w:bCs/>
          <w:sz w:val="18"/>
          <w:szCs w:val="18"/>
        </w:rPr>
        <w:lastRenderedPageBreak/>
        <w:t>Tabulka č. 2.2 Výdaje na zdravotnictví v ČR podle druhů péče, 2010 - 2015 (mil. Kč)</w:t>
      </w:r>
    </w:p>
    <w:tbl>
      <w:tblPr>
        <w:tblW w:w="9644" w:type="dxa"/>
        <w:tblInd w:w="65" w:type="dxa"/>
        <w:tblLayout w:type="fixed"/>
        <w:tblCellMar>
          <w:left w:w="70" w:type="dxa"/>
          <w:right w:w="70" w:type="dxa"/>
        </w:tblCellMar>
        <w:tblLook w:val="04A0" w:firstRow="1" w:lastRow="0" w:firstColumn="1" w:lastColumn="0" w:noHBand="0" w:noVBand="1"/>
      </w:tblPr>
      <w:tblGrid>
        <w:gridCol w:w="3549"/>
        <w:gridCol w:w="850"/>
        <w:gridCol w:w="850"/>
        <w:gridCol w:w="850"/>
        <w:gridCol w:w="850"/>
        <w:gridCol w:w="850"/>
        <w:gridCol w:w="850"/>
        <w:gridCol w:w="995"/>
      </w:tblGrid>
      <w:tr w:rsidR="004E1007" w:rsidRPr="00F41C6D" w:rsidTr="001351C9">
        <w:trPr>
          <w:trHeight w:val="564"/>
        </w:trPr>
        <w:tc>
          <w:tcPr>
            <w:tcW w:w="3549" w:type="dxa"/>
            <w:tcBorders>
              <w:top w:val="single" w:sz="4" w:space="0" w:color="auto"/>
              <w:left w:val="single" w:sz="4" w:space="0" w:color="auto"/>
              <w:bottom w:val="single" w:sz="4" w:space="0" w:color="auto"/>
              <w:right w:val="single" w:sz="4" w:space="0" w:color="auto"/>
            </w:tcBorders>
            <w:shd w:val="clear" w:color="auto" w:fill="F2DBDB" w:themeFill="accent2" w:themeFillTint="33"/>
            <w:vAlign w:val="center"/>
            <w:hideMark/>
          </w:tcPr>
          <w:p w:rsidR="00F41C6D" w:rsidRPr="00F41C6D" w:rsidRDefault="00F41C6D" w:rsidP="006419F8">
            <w:pPr>
              <w:spacing w:line="240" w:lineRule="auto"/>
              <w:rPr>
                <w:rFonts w:cs="Arial"/>
                <w:b/>
                <w:color w:val="000000"/>
                <w:sz w:val="16"/>
                <w:szCs w:val="16"/>
              </w:rPr>
            </w:pPr>
            <w:r w:rsidRPr="00F41C6D">
              <w:rPr>
                <w:rFonts w:cs="Arial"/>
                <w:b/>
                <w:color w:val="000000"/>
                <w:sz w:val="16"/>
                <w:szCs w:val="16"/>
              </w:rPr>
              <w:t>Druh péče (ICHA-HC)</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2010</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2011</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2012</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2013</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2014</w:t>
            </w:r>
          </w:p>
        </w:tc>
        <w:tc>
          <w:tcPr>
            <w:tcW w:w="850" w:type="dxa"/>
            <w:tcBorders>
              <w:top w:val="single" w:sz="4" w:space="0" w:color="auto"/>
              <w:left w:val="nil"/>
              <w:bottom w:val="single" w:sz="4" w:space="0" w:color="auto"/>
              <w:right w:val="single" w:sz="4" w:space="0" w:color="auto"/>
            </w:tcBorders>
            <w:shd w:val="clear" w:color="auto" w:fill="F2DBDB" w:themeFill="accent2" w:themeFillTint="33"/>
            <w:vAlign w:val="center"/>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2015</w:t>
            </w:r>
          </w:p>
        </w:tc>
        <w:tc>
          <w:tcPr>
            <w:tcW w:w="995" w:type="dxa"/>
            <w:tcBorders>
              <w:top w:val="single" w:sz="4" w:space="0" w:color="auto"/>
              <w:left w:val="nil"/>
              <w:bottom w:val="single" w:sz="4" w:space="0" w:color="auto"/>
              <w:right w:val="single" w:sz="4" w:space="0" w:color="auto"/>
            </w:tcBorders>
            <w:shd w:val="clear" w:color="auto" w:fill="F2DBDB" w:themeFill="accent2" w:themeFillTint="33"/>
            <w:vAlign w:val="center"/>
          </w:tcPr>
          <w:p w:rsidR="00F41C6D" w:rsidRPr="00F41C6D" w:rsidRDefault="00F41C6D" w:rsidP="00F41C6D">
            <w:pPr>
              <w:spacing w:line="240" w:lineRule="auto"/>
              <w:jc w:val="center"/>
              <w:rPr>
                <w:rFonts w:cs="Arial"/>
                <w:b/>
                <w:color w:val="000000"/>
                <w:sz w:val="16"/>
                <w:szCs w:val="16"/>
              </w:rPr>
            </w:pPr>
            <w:r w:rsidRPr="00F41C6D">
              <w:rPr>
                <w:rFonts w:cs="Arial"/>
                <w:b/>
                <w:color w:val="000000"/>
                <w:sz w:val="16"/>
                <w:szCs w:val="16"/>
              </w:rPr>
              <w:t>Index 2015/2014</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1 Léčebná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137 302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137 826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137 987</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140 948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137 311</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141 600</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103,1</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1.1 Lůžková léčebná péče </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55 948</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55 740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54 422</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53 489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52 473</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51 431</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98,0</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1.2 Denní léčebná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5 238</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5 137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5 185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5 333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5 561</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5 735</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103,1</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1.3 Ambulantní léčebná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75 929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76 765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78 203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81 940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79 099</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84 242</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106,5</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1.4 Domácí léčebná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183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177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179</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192</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107,3</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2 Rehabilitační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12 808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13 696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13 652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13 753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13 738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14 764</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107,5</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2.1 Lůžková rehabilitační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5 886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6 485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6 266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6 255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6 407</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6 911</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107,9</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2.3 Ambulantní rehabilitační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6 922</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7 211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7 386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7 498</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7 331</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7 853</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107,1</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3 Dlouhodobá zdravotní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35 762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37 005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37 081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38 596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44 035</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42 407</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96,3</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bookmarkStart w:id="9" w:name="OLE_LINK1"/>
            <w:r w:rsidRPr="00F41C6D">
              <w:rPr>
                <w:rFonts w:cs="Arial"/>
                <w:color w:val="000000"/>
                <w:sz w:val="16"/>
                <w:szCs w:val="16"/>
              </w:rPr>
              <w:t xml:space="preserve">   3.1 Lůžková dlouhodobá zdravotní péče</w:t>
            </w:r>
            <w:bookmarkEnd w:id="9"/>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29 816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30 760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30 867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31 920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37 062</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34 842</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94,0</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3.2 Denní dlouhodobá zdravotní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1 480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1 444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1 496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1 640</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1 706</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104,0</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3.4 Domácí dlouhodobá zdravotní péče</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4 466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4 759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4 770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5 180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5 333</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5 859</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109,9</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4 Doplňkové služby</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37 039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37 525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38 213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38 469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38 883</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40 020</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102,9</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4.1 Laboratorní služby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19 917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20 149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21 001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21 215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21 454</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22 037</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102,7</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4.2 Zobrazovací metody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9 729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9 855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9 861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10 044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10 490</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10 484</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99,9</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4.3 Doprava pacientů</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7 393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7 521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7 351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7 210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6 939</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7 499</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108,1</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5 Léčiva a ostatní zdravotnické výrobky</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66 231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67 626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70 676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66 784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67 021</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67 831</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101,2</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5.1 Léčiva a zdravotnický materiál</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57 091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58 298</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61 390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56 221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56 957</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58 061</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101,9</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5.2 Terapeutické pomůcky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9 141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9 329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9 286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10 563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10 064</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9 770</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97,1</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6 Preventivní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9 990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10 364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10 595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10 765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11 433</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9 027</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79,0</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6.1 Informační a poradenské programy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487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497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626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629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637</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668</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104,9</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6.2 Imunizační programy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1 389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1 432</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1 484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1 458</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1 576</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1 267</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80,4</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6.3 Programy pro včasné odhalení nemocí</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1 573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1 554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1 586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1 644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1 659</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1 637</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98,7</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6.4 Programy pro sledování zdravotního stavu</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6 541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6 881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6 900</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7 034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7 561</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5 455</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72,1</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7 Správa systému zdravotní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8 649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8 758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8 634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9 005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9 040</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8 536</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94,4</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7.1 Státní správa a samospráva  </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8 636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8 744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8 616</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8 993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9 025</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8 523</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94,4</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7.2. Správa soukromého ZP*</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19</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12</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15</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13</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86,7</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HCR.1 Dlouhodobá sociální péče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16 999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16 050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15 926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17 241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18 078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18 611</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102,9</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HCR.1.1 Sociální služby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1 404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1 433</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1 435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1 587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1 809</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1 791</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99,0</w:t>
            </w:r>
          </w:p>
        </w:tc>
      </w:tr>
      <w:tr w:rsidR="003B6D3C" w:rsidRPr="00F41C6D" w:rsidTr="000E5DE5">
        <w:trPr>
          <w:trHeight w:val="336"/>
        </w:trPr>
        <w:tc>
          <w:tcPr>
            <w:tcW w:w="3549" w:type="dxa"/>
            <w:tcBorders>
              <w:top w:val="nil"/>
              <w:left w:val="single" w:sz="4" w:space="0" w:color="auto"/>
              <w:bottom w:val="single" w:sz="4" w:space="0" w:color="auto"/>
              <w:right w:val="single" w:sz="4" w:space="0" w:color="auto"/>
            </w:tcBorders>
            <w:shd w:val="clear" w:color="auto" w:fill="auto"/>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 xml:space="preserve">   HCR.1.2 Peněžité dávky</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15 595</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14 617</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14 491</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15 654</w:t>
            </w:r>
          </w:p>
        </w:tc>
        <w:tc>
          <w:tcPr>
            <w:tcW w:w="850" w:type="dxa"/>
            <w:tcBorders>
              <w:top w:val="nil"/>
              <w:left w:val="nil"/>
              <w:bottom w:val="single" w:sz="4" w:space="0" w:color="auto"/>
              <w:right w:val="single" w:sz="4" w:space="0" w:color="auto"/>
            </w:tcBorders>
            <w:shd w:val="clear" w:color="auto" w:fill="auto"/>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16 269</w:t>
            </w:r>
          </w:p>
        </w:tc>
        <w:tc>
          <w:tcPr>
            <w:tcW w:w="850"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16 820</w:t>
            </w:r>
          </w:p>
        </w:tc>
        <w:tc>
          <w:tcPr>
            <w:tcW w:w="995" w:type="dxa"/>
            <w:tcBorders>
              <w:top w:val="nil"/>
              <w:left w:val="nil"/>
              <w:bottom w:val="single" w:sz="4" w:space="0" w:color="auto"/>
              <w:right w:val="single" w:sz="4" w:space="0" w:color="auto"/>
            </w:tcBorders>
            <w:vAlign w:val="center"/>
          </w:tcPr>
          <w:p w:rsidR="003B6D3C" w:rsidRDefault="003B6D3C">
            <w:pPr>
              <w:jc w:val="right"/>
              <w:rPr>
                <w:rFonts w:cs="Arial"/>
                <w:color w:val="000000"/>
                <w:sz w:val="16"/>
                <w:szCs w:val="16"/>
              </w:rPr>
            </w:pPr>
            <w:r>
              <w:rPr>
                <w:rFonts w:cs="Arial"/>
                <w:color w:val="000000"/>
                <w:sz w:val="16"/>
                <w:szCs w:val="16"/>
              </w:rPr>
              <w:t>103,4</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HCR.2 Podpora zdraví v širším pohledu</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254</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263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294</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114,0</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r w:rsidRPr="00F41C6D">
              <w:rPr>
                <w:rFonts w:cs="Arial"/>
                <w:color w:val="000000"/>
                <w:sz w:val="16"/>
                <w:szCs w:val="16"/>
              </w:rPr>
              <w:t>9 Ostatní zdravotní péče neuvedená jinde</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9 048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8 978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8 886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8 907</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8 934</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9 195</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102,9</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proofErr w:type="gramStart"/>
            <w:r w:rsidRPr="00F41C6D">
              <w:rPr>
                <w:rFonts w:cs="Arial"/>
                <w:color w:val="000000"/>
                <w:sz w:val="16"/>
                <w:szCs w:val="16"/>
              </w:rPr>
              <w:t>R.1 Investiční</w:t>
            </w:r>
            <w:proofErr w:type="gramEnd"/>
            <w:r w:rsidRPr="00F41C6D">
              <w:rPr>
                <w:rFonts w:cs="Arial"/>
                <w:color w:val="000000"/>
                <w:sz w:val="16"/>
                <w:szCs w:val="16"/>
              </w:rPr>
              <w:t xml:space="preserve"> náklady</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5 323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5 108</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4 940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3 851</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3 536</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4 102</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116,0</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proofErr w:type="gramStart"/>
            <w:r w:rsidRPr="00F41C6D">
              <w:rPr>
                <w:rFonts w:cs="Arial"/>
                <w:color w:val="000000"/>
                <w:sz w:val="16"/>
                <w:szCs w:val="16"/>
              </w:rPr>
              <w:t>R.2 Vzdělávání</w:t>
            </w:r>
            <w:proofErr w:type="gramEnd"/>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262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236</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255</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274</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107,5</w:t>
            </w:r>
          </w:p>
        </w:tc>
      </w:tr>
      <w:tr w:rsidR="003B6D3C" w:rsidRPr="00F41C6D"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color w:val="000000"/>
                <w:sz w:val="16"/>
                <w:szCs w:val="16"/>
              </w:rPr>
            </w:pPr>
            <w:proofErr w:type="gramStart"/>
            <w:r w:rsidRPr="00F41C6D">
              <w:rPr>
                <w:rFonts w:cs="Arial"/>
                <w:color w:val="000000"/>
                <w:sz w:val="16"/>
                <w:szCs w:val="16"/>
              </w:rPr>
              <w:t>R.3 Věda</w:t>
            </w:r>
            <w:proofErr w:type="gramEnd"/>
            <w:r w:rsidRPr="00F41C6D">
              <w:rPr>
                <w:rFonts w:cs="Arial"/>
                <w:color w:val="000000"/>
                <w:sz w:val="16"/>
                <w:szCs w:val="16"/>
              </w:rPr>
              <w:t xml:space="preserve"> a výzkum</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1 023</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1 065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1 095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1 272</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color w:val="000000"/>
                <w:sz w:val="16"/>
                <w:szCs w:val="16"/>
              </w:rPr>
            </w:pPr>
            <w:r w:rsidRPr="00F41C6D">
              <w:rPr>
                <w:rFonts w:cs="Arial"/>
                <w:color w:val="000000"/>
                <w:sz w:val="16"/>
                <w:szCs w:val="16"/>
              </w:rPr>
              <w:t>1 278</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1381</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108,1</w:t>
            </w:r>
          </w:p>
        </w:tc>
      </w:tr>
      <w:tr w:rsidR="003B6D3C" w:rsidRPr="000E5DE5" w:rsidTr="001351C9">
        <w:trPr>
          <w:trHeight w:val="336"/>
        </w:trPr>
        <w:tc>
          <w:tcPr>
            <w:tcW w:w="3549" w:type="dxa"/>
            <w:tcBorders>
              <w:top w:val="nil"/>
              <w:left w:val="single" w:sz="4" w:space="0" w:color="auto"/>
              <w:bottom w:val="single" w:sz="4" w:space="0" w:color="auto"/>
              <w:right w:val="single" w:sz="4" w:space="0" w:color="auto"/>
            </w:tcBorders>
            <w:shd w:val="clear" w:color="auto" w:fill="F2DBDB" w:themeFill="accent2" w:themeFillTint="33"/>
            <w:noWrap/>
            <w:vAlign w:val="center"/>
            <w:hideMark/>
          </w:tcPr>
          <w:p w:rsidR="003B6D3C" w:rsidRPr="00F41C6D" w:rsidRDefault="003B6D3C" w:rsidP="006419F8">
            <w:pPr>
              <w:spacing w:line="240" w:lineRule="auto"/>
              <w:rPr>
                <w:rFonts w:cs="Arial"/>
                <w:b/>
                <w:color w:val="000000"/>
                <w:sz w:val="16"/>
                <w:szCs w:val="16"/>
              </w:rPr>
            </w:pPr>
            <w:r w:rsidRPr="00F41C6D">
              <w:rPr>
                <w:rFonts w:cs="Arial"/>
                <w:b/>
                <w:color w:val="000000"/>
                <w:sz w:val="16"/>
                <w:szCs w:val="16"/>
              </w:rPr>
              <w:t> Celkem</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b/>
                <w:bCs/>
                <w:color w:val="000000"/>
                <w:sz w:val="16"/>
                <w:szCs w:val="16"/>
              </w:rPr>
            </w:pPr>
            <w:r w:rsidRPr="00F41C6D">
              <w:rPr>
                <w:rFonts w:cs="Arial"/>
                <w:b/>
                <w:bCs/>
                <w:color w:val="000000"/>
                <w:sz w:val="16"/>
                <w:szCs w:val="16"/>
              </w:rPr>
              <w:t>340 690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b/>
                <w:bCs/>
                <w:color w:val="000000"/>
                <w:sz w:val="16"/>
                <w:szCs w:val="16"/>
              </w:rPr>
            </w:pPr>
            <w:r w:rsidRPr="00F41C6D">
              <w:rPr>
                <w:rFonts w:cs="Arial"/>
                <w:b/>
                <w:bCs/>
                <w:color w:val="000000"/>
                <w:sz w:val="16"/>
                <w:szCs w:val="16"/>
              </w:rPr>
              <w:t>344 505</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b/>
                <w:bCs/>
                <w:color w:val="000000"/>
                <w:sz w:val="16"/>
                <w:szCs w:val="16"/>
              </w:rPr>
            </w:pPr>
            <w:r w:rsidRPr="00F41C6D">
              <w:rPr>
                <w:rFonts w:cs="Arial"/>
                <w:b/>
                <w:bCs/>
                <w:color w:val="000000"/>
                <w:sz w:val="16"/>
                <w:szCs w:val="16"/>
              </w:rPr>
              <w:t>348 210</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b/>
                <w:bCs/>
                <w:color w:val="000000"/>
                <w:sz w:val="16"/>
                <w:szCs w:val="16"/>
              </w:rPr>
            </w:pPr>
            <w:r w:rsidRPr="00F41C6D">
              <w:rPr>
                <w:rFonts w:cs="Arial"/>
                <w:b/>
                <w:bCs/>
                <w:color w:val="000000"/>
                <w:sz w:val="16"/>
                <w:szCs w:val="16"/>
              </w:rPr>
              <w:t>350 079</w:t>
            </w:r>
          </w:p>
        </w:tc>
        <w:tc>
          <w:tcPr>
            <w:tcW w:w="850" w:type="dxa"/>
            <w:tcBorders>
              <w:top w:val="nil"/>
              <w:left w:val="nil"/>
              <w:bottom w:val="single" w:sz="4" w:space="0" w:color="auto"/>
              <w:right w:val="single" w:sz="4" w:space="0" w:color="auto"/>
            </w:tcBorders>
            <w:shd w:val="clear" w:color="auto" w:fill="F2DBDB" w:themeFill="accent2" w:themeFillTint="33"/>
            <w:noWrap/>
            <w:vAlign w:val="center"/>
          </w:tcPr>
          <w:p w:rsidR="003B6D3C" w:rsidRPr="00F41C6D" w:rsidRDefault="003B6D3C" w:rsidP="004E1007">
            <w:pPr>
              <w:keepNext/>
              <w:jc w:val="right"/>
              <w:rPr>
                <w:rFonts w:cs="Arial"/>
                <w:b/>
                <w:bCs/>
                <w:color w:val="000000"/>
                <w:sz w:val="16"/>
                <w:szCs w:val="16"/>
              </w:rPr>
            </w:pPr>
            <w:r w:rsidRPr="00F41C6D">
              <w:rPr>
                <w:rFonts w:cs="Arial"/>
                <w:b/>
                <w:bCs/>
                <w:color w:val="000000"/>
                <w:sz w:val="16"/>
                <w:szCs w:val="16"/>
              </w:rPr>
              <w:t>353 799</w:t>
            </w:r>
          </w:p>
        </w:tc>
        <w:tc>
          <w:tcPr>
            <w:tcW w:w="850"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b/>
                <w:bCs/>
                <w:color w:val="000000"/>
                <w:sz w:val="16"/>
                <w:szCs w:val="16"/>
              </w:rPr>
            </w:pPr>
            <w:r>
              <w:rPr>
                <w:rFonts w:cs="Arial"/>
                <w:b/>
                <w:bCs/>
                <w:color w:val="000000"/>
                <w:sz w:val="16"/>
                <w:szCs w:val="16"/>
              </w:rPr>
              <w:t>358 042</w:t>
            </w:r>
          </w:p>
        </w:tc>
        <w:tc>
          <w:tcPr>
            <w:tcW w:w="995" w:type="dxa"/>
            <w:tcBorders>
              <w:top w:val="nil"/>
              <w:left w:val="nil"/>
              <w:bottom w:val="single" w:sz="4" w:space="0" w:color="auto"/>
              <w:right w:val="single" w:sz="4" w:space="0" w:color="auto"/>
            </w:tcBorders>
            <w:shd w:val="clear" w:color="auto" w:fill="F2DBDB" w:themeFill="accent2" w:themeFillTint="33"/>
            <w:vAlign w:val="center"/>
          </w:tcPr>
          <w:p w:rsidR="003B6D3C" w:rsidRDefault="003B6D3C">
            <w:pPr>
              <w:jc w:val="right"/>
              <w:rPr>
                <w:rFonts w:cs="Arial"/>
                <w:color w:val="000000"/>
                <w:sz w:val="16"/>
                <w:szCs w:val="16"/>
              </w:rPr>
            </w:pPr>
            <w:r>
              <w:rPr>
                <w:rFonts w:cs="Arial"/>
                <w:color w:val="000000"/>
                <w:sz w:val="16"/>
                <w:szCs w:val="16"/>
              </w:rPr>
              <w:t>101,2</w:t>
            </w:r>
          </w:p>
        </w:tc>
      </w:tr>
    </w:tbl>
    <w:p w:rsidR="00F41C6D" w:rsidRPr="00F41C6D" w:rsidRDefault="00F41C6D" w:rsidP="004E1007">
      <w:pPr>
        <w:keepNext/>
        <w:spacing w:before="40" w:line="240" w:lineRule="auto"/>
        <w:jc w:val="both"/>
        <w:rPr>
          <w:bCs/>
          <w:sz w:val="16"/>
          <w:szCs w:val="16"/>
        </w:rPr>
      </w:pPr>
      <w:r w:rsidRPr="00F41C6D">
        <w:rPr>
          <w:bCs/>
          <w:sz w:val="16"/>
          <w:szCs w:val="16"/>
        </w:rPr>
        <w:t>*ZP = zdravotní pojištění</w:t>
      </w:r>
    </w:p>
    <w:p w:rsidR="00F41C6D" w:rsidRPr="00F41C6D" w:rsidRDefault="00F41C6D" w:rsidP="00223335">
      <w:pPr>
        <w:spacing w:line="240" w:lineRule="auto"/>
        <w:ind w:right="-425"/>
        <w:rPr>
          <w:sz w:val="18"/>
          <w:szCs w:val="17"/>
        </w:rPr>
      </w:pPr>
      <w:r w:rsidRPr="00F41C6D">
        <w:rPr>
          <w:b/>
          <w:bCs/>
          <w:i/>
          <w:sz w:val="16"/>
          <w:szCs w:val="16"/>
        </w:rPr>
        <w:t xml:space="preserve">                                                                                                                                 Zdroj: ČSÚ 2017, Zdravotnické účty ČR 2010 - 2015</w:t>
      </w:r>
    </w:p>
    <w:p w:rsidR="006419F8" w:rsidRDefault="006419F8">
      <w:pPr>
        <w:spacing w:line="240" w:lineRule="auto"/>
        <w:rPr>
          <w:b/>
          <w:sz w:val="18"/>
          <w:szCs w:val="18"/>
        </w:rPr>
      </w:pPr>
      <w:r>
        <w:rPr>
          <w:b/>
          <w:sz w:val="18"/>
          <w:szCs w:val="18"/>
        </w:rPr>
        <w:br w:type="page"/>
      </w:r>
    </w:p>
    <w:p w:rsidR="004E1007" w:rsidRPr="004E1007" w:rsidRDefault="004E1007" w:rsidP="004E1007">
      <w:pPr>
        <w:spacing w:before="40" w:line="240" w:lineRule="auto"/>
        <w:rPr>
          <w:b/>
          <w:sz w:val="2"/>
          <w:szCs w:val="18"/>
        </w:rPr>
      </w:pPr>
    </w:p>
    <w:p w:rsidR="00F41C6D" w:rsidRPr="00F41C6D" w:rsidRDefault="00F41C6D" w:rsidP="004E1007">
      <w:pPr>
        <w:spacing w:before="40" w:line="240" w:lineRule="auto"/>
        <w:rPr>
          <w:b/>
          <w:bCs/>
          <w:sz w:val="18"/>
          <w:szCs w:val="18"/>
        </w:rPr>
      </w:pPr>
      <w:r w:rsidRPr="00F41C6D">
        <w:rPr>
          <w:b/>
          <w:sz w:val="18"/>
          <w:szCs w:val="18"/>
        </w:rPr>
        <w:t>Graf č. 2.4 Výdaje na zdravotní péči v ČR podle vybraných druhů péče, 2011, 2013 a 2015 (mld. Kč; %)</w:t>
      </w:r>
    </w:p>
    <w:p w:rsidR="00F41C6D" w:rsidRDefault="00F41C6D" w:rsidP="00F41C6D">
      <w:pPr>
        <w:keepNext/>
        <w:numPr>
          <w:ilvl w:val="0"/>
          <w:numId w:val="27"/>
        </w:numPr>
        <w:spacing w:before="120" w:after="120" w:line="240" w:lineRule="auto"/>
        <w:jc w:val="both"/>
        <w:rPr>
          <w:b/>
          <w:bCs/>
          <w:sz w:val="18"/>
          <w:szCs w:val="18"/>
        </w:rPr>
      </w:pPr>
      <w:r w:rsidRPr="00F41C6D">
        <w:rPr>
          <w:b/>
          <w:bCs/>
          <w:sz w:val="18"/>
          <w:szCs w:val="18"/>
        </w:rPr>
        <w:t>v mld. Kč</w:t>
      </w:r>
    </w:p>
    <w:p w:rsidR="003B6D3C" w:rsidRDefault="003B6D3C" w:rsidP="002C567F">
      <w:pPr>
        <w:keepNext/>
        <w:spacing w:before="120" w:after="120" w:line="240" w:lineRule="auto"/>
        <w:ind w:left="360"/>
        <w:jc w:val="both"/>
        <w:rPr>
          <w:b/>
          <w:bCs/>
          <w:sz w:val="18"/>
          <w:szCs w:val="18"/>
        </w:rPr>
      </w:pPr>
    </w:p>
    <w:p w:rsidR="002C567F" w:rsidRPr="00F41C6D" w:rsidRDefault="002C567F" w:rsidP="002C567F">
      <w:pPr>
        <w:keepNext/>
        <w:spacing w:before="120" w:after="120" w:line="240" w:lineRule="auto"/>
        <w:ind w:left="360"/>
        <w:jc w:val="both"/>
        <w:rPr>
          <w:b/>
          <w:bCs/>
          <w:sz w:val="18"/>
          <w:szCs w:val="18"/>
        </w:rPr>
      </w:pPr>
      <w:r>
        <w:rPr>
          <w:noProof/>
        </w:rPr>
        <w:drawing>
          <wp:inline distT="0" distB="0" distL="0" distR="0" wp14:anchorId="1D97404C" wp14:editId="4E8A744E">
            <wp:extent cx="5968721" cy="3074795"/>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bookmarkStart w:id="10" w:name="_GoBack"/>
      <w:bookmarkEnd w:id="10"/>
    </w:p>
    <w:tbl>
      <w:tblPr>
        <w:tblW w:w="2371" w:type="dxa"/>
        <w:tblInd w:w="70" w:type="dxa"/>
        <w:tblCellMar>
          <w:left w:w="70" w:type="dxa"/>
          <w:right w:w="70" w:type="dxa"/>
        </w:tblCellMar>
        <w:tblLook w:val="04A0" w:firstRow="1" w:lastRow="0" w:firstColumn="1" w:lastColumn="0" w:noHBand="0" w:noVBand="1"/>
      </w:tblPr>
      <w:tblGrid>
        <w:gridCol w:w="2371"/>
      </w:tblGrid>
      <w:tr w:rsidR="00633F6D" w:rsidRPr="00F41C6D" w:rsidTr="00633F6D">
        <w:trPr>
          <w:trHeight w:val="332"/>
        </w:trPr>
        <w:tc>
          <w:tcPr>
            <w:tcW w:w="2371" w:type="dxa"/>
            <w:tcBorders>
              <w:top w:val="nil"/>
              <w:left w:val="nil"/>
              <w:bottom w:val="nil"/>
              <w:right w:val="nil"/>
            </w:tcBorders>
            <w:shd w:val="clear" w:color="auto" w:fill="auto"/>
            <w:noWrap/>
            <w:vAlign w:val="bottom"/>
            <w:hideMark/>
          </w:tcPr>
          <w:p w:rsidR="00633F6D" w:rsidRPr="00F41C6D" w:rsidRDefault="00633F6D" w:rsidP="00F41C6D">
            <w:pPr>
              <w:keepNext/>
              <w:numPr>
                <w:ilvl w:val="0"/>
                <w:numId w:val="27"/>
              </w:numPr>
              <w:spacing w:before="120" w:after="120" w:line="240" w:lineRule="auto"/>
              <w:contextualSpacing/>
              <w:jc w:val="both"/>
              <w:rPr>
                <w:rFonts w:cs="Arial"/>
                <w:b/>
                <w:color w:val="000000"/>
                <w:sz w:val="18"/>
                <w:szCs w:val="18"/>
              </w:rPr>
            </w:pPr>
            <w:r w:rsidRPr="00F41C6D">
              <w:rPr>
                <w:rFonts w:cs="Arial"/>
                <w:b/>
                <w:color w:val="000000"/>
                <w:sz w:val="18"/>
                <w:szCs w:val="18"/>
              </w:rPr>
              <w:t>struktura (%)</w:t>
            </w:r>
          </w:p>
          <w:p w:rsidR="00633F6D" w:rsidRPr="00F41C6D" w:rsidRDefault="00633F6D" w:rsidP="00F41C6D">
            <w:pPr>
              <w:spacing w:before="120" w:after="120" w:line="240" w:lineRule="auto"/>
              <w:ind w:left="360"/>
              <w:contextualSpacing/>
              <w:rPr>
                <w:rFonts w:cs="Arial"/>
                <w:b/>
                <w:color w:val="000000"/>
                <w:szCs w:val="20"/>
              </w:rPr>
            </w:pPr>
          </w:p>
        </w:tc>
      </w:tr>
    </w:tbl>
    <w:p w:rsidR="00F41C6D" w:rsidRPr="00F41C6D" w:rsidRDefault="00F41C6D" w:rsidP="00F41C6D">
      <w:pPr>
        <w:keepNext/>
        <w:spacing w:before="240" w:after="240" w:line="240" w:lineRule="auto"/>
        <w:rPr>
          <w:bCs/>
          <w:i/>
          <w:sz w:val="16"/>
          <w:szCs w:val="16"/>
        </w:rPr>
      </w:pPr>
      <w:r w:rsidRPr="00F41C6D">
        <w:rPr>
          <w:b/>
          <w:bCs/>
          <w:noProof/>
          <w:szCs w:val="17"/>
        </w:rPr>
        <w:drawing>
          <wp:inline distT="0" distB="0" distL="0" distR="0" wp14:anchorId="30AF0303" wp14:editId="45136115">
            <wp:extent cx="6129495" cy="3285811"/>
            <wp:effectExtent l="0" t="0" r="5080"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B6D3C" w:rsidRDefault="003B6D3C" w:rsidP="004E1007">
      <w:pPr>
        <w:keepNext/>
        <w:spacing w:line="240" w:lineRule="auto"/>
        <w:rPr>
          <w:bCs/>
          <w:i/>
          <w:sz w:val="16"/>
          <w:szCs w:val="16"/>
        </w:rPr>
      </w:pPr>
    </w:p>
    <w:p w:rsidR="00F41C6D" w:rsidRPr="00F41C6D" w:rsidRDefault="00F41C6D" w:rsidP="004E1007">
      <w:pPr>
        <w:keepNext/>
        <w:spacing w:line="240" w:lineRule="auto"/>
        <w:rPr>
          <w:bCs/>
          <w:i/>
          <w:sz w:val="16"/>
          <w:szCs w:val="16"/>
        </w:rPr>
      </w:pPr>
      <w:r w:rsidRPr="00F41C6D">
        <w:rPr>
          <w:bCs/>
          <w:i/>
          <w:sz w:val="16"/>
          <w:szCs w:val="16"/>
        </w:rPr>
        <w:t>Léčebná péče</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lůžková, denní, ambulantní, domácí léčebná péče</w:t>
      </w:r>
    </w:p>
    <w:p w:rsidR="00F41C6D" w:rsidRPr="00F41C6D" w:rsidRDefault="00F41C6D" w:rsidP="004E1007">
      <w:pPr>
        <w:keepNext/>
        <w:spacing w:line="240" w:lineRule="auto"/>
        <w:rPr>
          <w:bCs/>
          <w:i/>
          <w:sz w:val="16"/>
          <w:szCs w:val="16"/>
        </w:rPr>
      </w:pPr>
      <w:r w:rsidRPr="00F41C6D">
        <w:rPr>
          <w:bCs/>
          <w:i/>
          <w:sz w:val="16"/>
          <w:szCs w:val="16"/>
        </w:rPr>
        <w:t>Doplňkové služby = laboratorní služby, zobrazovací metody a doprava pacientů</w:t>
      </w:r>
    </w:p>
    <w:p w:rsidR="00F41C6D" w:rsidRPr="00F41C6D" w:rsidRDefault="00F41C6D" w:rsidP="004E1007">
      <w:pPr>
        <w:keepNext/>
        <w:spacing w:line="240" w:lineRule="auto"/>
        <w:rPr>
          <w:bCs/>
          <w:i/>
          <w:sz w:val="16"/>
          <w:szCs w:val="16"/>
        </w:rPr>
      </w:pPr>
      <w:r w:rsidRPr="00F41C6D">
        <w:rPr>
          <w:bCs/>
          <w:i/>
          <w:sz w:val="16"/>
          <w:szCs w:val="16"/>
        </w:rPr>
        <w:t>Dlouhodobá péče zdravotní</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lůžková, denní, domácí dlouhodobá péče</w:t>
      </w:r>
    </w:p>
    <w:p w:rsidR="00F41C6D" w:rsidRPr="00F41C6D" w:rsidRDefault="00F41C6D" w:rsidP="004E1007">
      <w:pPr>
        <w:keepNext/>
        <w:spacing w:line="240" w:lineRule="auto"/>
        <w:rPr>
          <w:bCs/>
          <w:i/>
          <w:sz w:val="16"/>
          <w:szCs w:val="16"/>
        </w:rPr>
      </w:pPr>
      <w:r w:rsidRPr="00F41C6D">
        <w:rPr>
          <w:bCs/>
          <w:i/>
          <w:sz w:val="16"/>
          <w:szCs w:val="16"/>
        </w:rPr>
        <w:t>Dlouhodobá péče sociální</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sociální služby, peněžité dávky</w:t>
      </w:r>
    </w:p>
    <w:p w:rsidR="00F41C6D" w:rsidRPr="00F41C6D" w:rsidRDefault="00F41C6D" w:rsidP="004E1007">
      <w:pPr>
        <w:keepNext/>
        <w:spacing w:line="240" w:lineRule="auto"/>
        <w:rPr>
          <w:bCs/>
          <w:i/>
          <w:sz w:val="16"/>
          <w:szCs w:val="16"/>
        </w:rPr>
      </w:pPr>
      <w:r w:rsidRPr="00F41C6D">
        <w:rPr>
          <w:bCs/>
          <w:i/>
          <w:sz w:val="16"/>
          <w:szCs w:val="16"/>
        </w:rPr>
        <w:t>Rehabilitační péče</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lůžková, ambulantní rehabilitační péče</w:t>
      </w:r>
    </w:p>
    <w:p w:rsidR="00F41C6D" w:rsidRPr="00F41C6D" w:rsidRDefault="00F41C6D" w:rsidP="004E1007">
      <w:pPr>
        <w:keepNext/>
        <w:spacing w:line="240" w:lineRule="auto"/>
        <w:rPr>
          <w:bCs/>
          <w:i/>
          <w:sz w:val="16"/>
          <w:szCs w:val="16"/>
        </w:rPr>
      </w:pPr>
      <w:r w:rsidRPr="00F41C6D">
        <w:rPr>
          <w:bCs/>
          <w:i/>
          <w:sz w:val="16"/>
          <w:szCs w:val="16"/>
        </w:rPr>
        <w:t>Preventivní péče</w:t>
      </w:r>
      <w:r w:rsidR="004E1007">
        <w:rPr>
          <w:bCs/>
          <w:i/>
          <w:sz w:val="16"/>
          <w:szCs w:val="16"/>
        </w:rPr>
        <w:t xml:space="preserve"> </w:t>
      </w:r>
      <w:r w:rsidRPr="00F41C6D">
        <w:rPr>
          <w:bCs/>
          <w:i/>
          <w:sz w:val="16"/>
          <w:szCs w:val="16"/>
        </w:rPr>
        <w:t>=</w:t>
      </w:r>
      <w:r w:rsidR="004E1007">
        <w:rPr>
          <w:bCs/>
          <w:i/>
          <w:sz w:val="16"/>
          <w:szCs w:val="16"/>
        </w:rPr>
        <w:t xml:space="preserve"> </w:t>
      </w:r>
      <w:r w:rsidRPr="00F41C6D">
        <w:rPr>
          <w:bCs/>
          <w:i/>
          <w:sz w:val="16"/>
          <w:szCs w:val="16"/>
        </w:rPr>
        <w:t>informační a poradenské programy, imunizační programy, programy pro včasné odhalení nemoci, programy pro sledování zdravotního stavu</w:t>
      </w:r>
    </w:p>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3B6D3C" w:rsidRDefault="003B6D3C" w:rsidP="004E1007">
      <w:pPr>
        <w:spacing w:before="120" w:after="120"/>
        <w:rPr>
          <w:b/>
          <w:i/>
        </w:rPr>
      </w:pPr>
    </w:p>
    <w:p w:rsidR="00F41C6D" w:rsidRPr="00F41C6D" w:rsidRDefault="00F41C6D" w:rsidP="004E1007">
      <w:pPr>
        <w:spacing w:before="120" w:after="120"/>
        <w:rPr>
          <w:b/>
          <w:i/>
        </w:rPr>
      </w:pPr>
      <w:r w:rsidRPr="00F41C6D">
        <w:rPr>
          <w:b/>
          <w:i/>
        </w:rPr>
        <w:lastRenderedPageBreak/>
        <w:t xml:space="preserve">Léčebná péče tvoří dvě pětiny z celkových výdajů na zdravotní péči </w:t>
      </w:r>
    </w:p>
    <w:p w:rsidR="00F41C6D" w:rsidRPr="00F41C6D" w:rsidRDefault="00F41C6D" w:rsidP="00F41C6D">
      <w:pPr>
        <w:spacing w:before="120"/>
        <w:jc w:val="both"/>
        <w:rPr>
          <w:szCs w:val="17"/>
        </w:rPr>
      </w:pPr>
      <w:r w:rsidRPr="00F41C6D">
        <w:rPr>
          <w:szCs w:val="17"/>
        </w:rPr>
        <w:t xml:space="preserve">Léčebná péče zaznamenala v roce 2015 mírný nárůst v porovnání s rokem 2014 a tvoří nadále největší podíl celkových výdajů na zdravotní péči (téměř 40 %). Léčebnou péči tvoří z 96 % lůžková a ambulantní léčebná péče, zbytek pokrývají domácí a denní léčebná péče. Výdaje na </w:t>
      </w:r>
      <w:r w:rsidRPr="00F41C6D">
        <w:rPr>
          <w:b/>
          <w:szCs w:val="17"/>
        </w:rPr>
        <w:t>lůžkovou péči</w:t>
      </w:r>
      <w:r w:rsidRPr="00F41C6D">
        <w:rPr>
          <w:szCs w:val="17"/>
        </w:rPr>
        <w:t xml:space="preserve"> od roku 2010, kdy</w:t>
      </w:r>
      <w:r w:rsidR="004E1007">
        <w:rPr>
          <w:szCs w:val="17"/>
        </w:rPr>
        <w:t> </w:t>
      </w:r>
      <w:r w:rsidRPr="00F41C6D">
        <w:rPr>
          <w:szCs w:val="17"/>
        </w:rPr>
        <w:t>představovaly 41 % celkové léčebné péče, postupně klesají a v roce 2015 dosáhly svého historického minima v absolutních hodnotách 51,</w:t>
      </w:r>
      <w:r w:rsidR="003141CB">
        <w:rPr>
          <w:szCs w:val="17"/>
        </w:rPr>
        <w:t>4</w:t>
      </w:r>
      <w:r w:rsidRPr="00F41C6D">
        <w:rPr>
          <w:szCs w:val="17"/>
        </w:rPr>
        <w:t xml:space="preserve"> mld. Kč (viz tabulka č.</w:t>
      </w:r>
      <w:r w:rsidR="004E1007">
        <w:rPr>
          <w:szCs w:val="17"/>
        </w:rPr>
        <w:t xml:space="preserve"> </w:t>
      </w:r>
      <w:r w:rsidRPr="00F41C6D">
        <w:rPr>
          <w:szCs w:val="17"/>
        </w:rPr>
        <w:t>2.2).</w:t>
      </w:r>
    </w:p>
    <w:p w:rsidR="00F41C6D" w:rsidRPr="00F41C6D" w:rsidRDefault="00F41C6D" w:rsidP="00F41C6D">
      <w:pPr>
        <w:spacing w:before="120"/>
        <w:jc w:val="both"/>
        <w:rPr>
          <w:szCs w:val="20"/>
        </w:rPr>
      </w:pPr>
      <w:r w:rsidRPr="00F41C6D">
        <w:rPr>
          <w:szCs w:val="17"/>
        </w:rPr>
        <w:t xml:space="preserve">Na druhou stranu </w:t>
      </w:r>
      <w:r w:rsidRPr="00F41C6D">
        <w:rPr>
          <w:szCs w:val="20"/>
        </w:rPr>
        <w:t xml:space="preserve">narůstá </w:t>
      </w:r>
      <w:r w:rsidRPr="00F41C6D">
        <w:rPr>
          <w:szCs w:val="17"/>
        </w:rPr>
        <w:t>objem výdajů na</w:t>
      </w:r>
      <w:r w:rsidRPr="00F41C6D">
        <w:rPr>
          <w:szCs w:val="20"/>
        </w:rPr>
        <w:t xml:space="preserve"> </w:t>
      </w:r>
      <w:r w:rsidRPr="00F41C6D">
        <w:rPr>
          <w:b/>
          <w:szCs w:val="20"/>
        </w:rPr>
        <w:t>ambulantní léčebnou péči</w:t>
      </w:r>
      <w:r w:rsidRPr="00F41C6D">
        <w:rPr>
          <w:szCs w:val="20"/>
        </w:rPr>
        <w:t>, a to v souvislosti s vývojem a využitím anestetik s krátkou dobou účinnosti a s novými operačními metodami. Výdaje na denní léčebnou péči se v období 2010 - 2015 pohybují stabilně nad hranicí 5 miliard Kč. To odpovídá současné snaze o</w:t>
      </w:r>
      <w:r w:rsidR="004E1007">
        <w:rPr>
          <w:szCs w:val="20"/>
        </w:rPr>
        <w:t> </w:t>
      </w:r>
      <w:r w:rsidRPr="00F41C6D">
        <w:rPr>
          <w:szCs w:val="20"/>
        </w:rPr>
        <w:t>zkrácení doby hospitalizace na nezbytné minimum a provádění některých zákroků, jejichž povaha to</w:t>
      </w:r>
      <w:r w:rsidR="005B20AA">
        <w:rPr>
          <w:szCs w:val="20"/>
        </w:rPr>
        <w:t> </w:t>
      </w:r>
      <w:r w:rsidRPr="00F41C6D">
        <w:rPr>
          <w:szCs w:val="20"/>
        </w:rPr>
        <w:t>umožňuje, ambulantně nebo v režimu jednodenní chirurgie. Tento přístup je finančně výhodnější a pro pacienty většinou příjemnější než pobyt v nemocnici.</w:t>
      </w:r>
    </w:p>
    <w:p w:rsidR="00F41C6D" w:rsidRPr="00F41C6D" w:rsidRDefault="00F41C6D" w:rsidP="00F41C6D">
      <w:pPr>
        <w:keepNext/>
        <w:spacing w:before="120"/>
        <w:jc w:val="both"/>
      </w:pPr>
      <w:r w:rsidRPr="00F41C6D">
        <w:t xml:space="preserve">Dalším nejnákladnějším druhem péče po léčebné péči jsou </w:t>
      </w:r>
      <w:r w:rsidRPr="00F41C6D">
        <w:rPr>
          <w:b/>
        </w:rPr>
        <w:t>léčiva a ostatní zdravotnické výrobky</w:t>
      </w:r>
      <w:r w:rsidR="005B20AA">
        <w:t xml:space="preserve"> s </w:t>
      </w:r>
      <w:proofErr w:type="gramStart"/>
      <w:r w:rsidR="005B20AA">
        <w:t>19</w:t>
      </w:r>
      <w:r w:rsidRPr="00F41C6D">
        <w:t>%</w:t>
      </w:r>
      <w:proofErr w:type="gramEnd"/>
      <w:r w:rsidR="005B20AA">
        <w:t> </w:t>
      </w:r>
      <w:r w:rsidRPr="00F41C6D">
        <w:t>podílem na celkových výdajích na zdravotní péči. Léčiva a zdravotnický materiál (léky na předpis i</w:t>
      </w:r>
      <w:r w:rsidR="005B20AA">
        <w:t> </w:t>
      </w:r>
      <w:r w:rsidRPr="00F41C6D">
        <w:t>volně prodejné a další zboží jako dezinfekce, obvazy, náplasti, teploměry atd.) tvoří dlouhodobě až 8</w:t>
      </w:r>
      <w:r w:rsidR="003141CB">
        <w:t>6</w:t>
      </w:r>
      <w:r w:rsidRPr="00F41C6D">
        <w:t> % výdajů této skupiny a v porovnání s rokem 2014 zůstaly stabilní. Zbývajících 1</w:t>
      </w:r>
      <w:r w:rsidR="003141CB">
        <w:t>4</w:t>
      </w:r>
      <w:r w:rsidRPr="00F41C6D">
        <w:t xml:space="preserve"> % představují </w:t>
      </w:r>
      <w:r w:rsidRPr="00F41C6D">
        <w:rPr>
          <w:b/>
        </w:rPr>
        <w:t>výdaje na</w:t>
      </w:r>
      <w:r w:rsidRPr="00F41C6D">
        <w:t xml:space="preserve"> </w:t>
      </w:r>
      <w:r w:rsidRPr="00F41C6D">
        <w:rPr>
          <w:b/>
        </w:rPr>
        <w:t>terapeutické pomůcky</w:t>
      </w:r>
      <w:r w:rsidRPr="00F41C6D">
        <w:t xml:space="preserve"> (brýle, naslouchadla, berle, invalidní vozíky, apod.).</w:t>
      </w:r>
    </w:p>
    <w:p w:rsidR="00F41C6D" w:rsidRPr="00F41C6D" w:rsidRDefault="00F41C6D" w:rsidP="00F41C6D">
      <w:pPr>
        <w:spacing w:before="120"/>
        <w:jc w:val="both"/>
        <w:rPr>
          <w:rFonts w:cs="Arial"/>
          <w:szCs w:val="20"/>
        </w:rPr>
      </w:pPr>
      <w:r w:rsidRPr="00F41C6D">
        <w:rPr>
          <w:szCs w:val="17"/>
        </w:rPr>
        <w:t xml:space="preserve">Výdaje za </w:t>
      </w:r>
      <w:r w:rsidRPr="00F41C6D">
        <w:rPr>
          <w:b/>
          <w:szCs w:val="17"/>
        </w:rPr>
        <w:t>lůžkovou rehabilitační péči</w:t>
      </w:r>
      <w:r w:rsidRPr="00F41C6D">
        <w:rPr>
          <w:szCs w:val="17"/>
        </w:rPr>
        <w:t xml:space="preserve"> se z podstatné části týkají </w:t>
      </w:r>
      <w:r w:rsidRPr="00F41C6D">
        <w:rPr>
          <w:b/>
          <w:szCs w:val="17"/>
        </w:rPr>
        <w:t>lázeňské péče</w:t>
      </w:r>
      <w:r w:rsidRPr="00F41C6D">
        <w:rPr>
          <w:szCs w:val="17"/>
        </w:rPr>
        <w:t xml:space="preserve">. Zejména v roce 2013 byly výdaje na lázeňskou péči výrazně omezeny. Pravidla pro úhradu lázeňské péče ze zdravotního pojištění se změnila v říjnu 2012. Vyhláška zkrátila u dospělých pacientů zdravotními </w:t>
      </w:r>
      <w:r w:rsidRPr="00F41C6D">
        <w:rPr>
          <w:rFonts w:cs="Arial"/>
          <w:szCs w:val="20"/>
        </w:rPr>
        <w:t>pojišťovnami plně hrazené pobyty ze čtyř týdnů na tři, upravila indikační seznam a u některých diagnóz odstranila možnost opakování hrazeného pobytu. K opětovnému zvýšení výdajů došlo až v roce 2014, kdy od dubna začali lékaři předepisovat poukazy podle nových pravidel a mírný nárůst pokračoval i v roce 2015.</w:t>
      </w:r>
    </w:p>
    <w:p w:rsidR="00F41C6D" w:rsidRPr="00595D62" w:rsidRDefault="00F41C6D" w:rsidP="00F41C6D">
      <w:pPr>
        <w:keepNext/>
        <w:spacing w:before="120"/>
        <w:jc w:val="both"/>
        <w:rPr>
          <w:szCs w:val="17"/>
        </w:rPr>
      </w:pPr>
      <w:r w:rsidRPr="00F41C6D">
        <w:rPr>
          <w:szCs w:val="17"/>
        </w:rPr>
        <w:t xml:space="preserve">Potřeba </w:t>
      </w:r>
      <w:r w:rsidRPr="00F41C6D">
        <w:rPr>
          <w:b/>
          <w:szCs w:val="17"/>
        </w:rPr>
        <w:t>dlouhodobé péče</w:t>
      </w:r>
      <w:r w:rsidRPr="00F41C6D">
        <w:rPr>
          <w:szCs w:val="17"/>
        </w:rPr>
        <w:t xml:space="preserve"> bude s ohledem na stárnutí populace narůstat a s tím souvisí každoroční pozvolné zvyšování výdajů zejména na dlouhodobou lůžkovou péči. V období 2010 – 2014 se zvýšily téměř o čtvrtinu. Rok 2015 přinesl snížení výdajů na dlouhodobou lůžkovou zdravotní péči o 6 %. Teprve výdaje v dalších letech ukáží, zda se jednalo o náhodný výkyv nebo zda bude sestupný trend pokračovat.  </w:t>
      </w:r>
      <w:r w:rsidRPr="00F41C6D">
        <w:rPr>
          <w:b/>
          <w:szCs w:val="17"/>
        </w:rPr>
        <w:t>Výdaje</w:t>
      </w:r>
      <w:r w:rsidR="005B20AA">
        <w:rPr>
          <w:b/>
          <w:szCs w:val="17"/>
        </w:rPr>
        <w:t> </w:t>
      </w:r>
      <w:r w:rsidRPr="00F41C6D">
        <w:rPr>
          <w:b/>
          <w:szCs w:val="17"/>
        </w:rPr>
        <w:t>na dlouhodobou lůžkovou péči</w:t>
      </w:r>
      <w:r w:rsidRPr="00F41C6D">
        <w:rPr>
          <w:szCs w:val="17"/>
        </w:rPr>
        <w:t xml:space="preserve"> představují 82 % z celkových výdajů na dlouhodobou péči. </w:t>
      </w:r>
      <w:r w:rsidRPr="00F41C6D">
        <w:rPr>
          <w:szCs w:val="20"/>
        </w:rPr>
        <w:t>Výdaje</w:t>
      </w:r>
      <w:r w:rsidR="005B20AA">
        <w:rPr>
          <w:szCs w:val="20"/>
        </w:rPr>
        <w:t> </w:t>
      </w:r>
      <w:r w:rsidRPr="00F41C6D">
        <w:rPr>
          <w:szCs w:val="20"/>
        </w:rPr>
        <w:t xml:space="preserve">na dlouhodobou domácí péči se od roku 2010 zvýšily téměř o jednu třetinu. </w:t>
      </w:r>
      <w:r w:rsidRPr="00F41C6D">
        <w:rPr>
          <w:b/>
          <w:szCs w:val="20"/>
        </w:rPr>
        <w:t>Dlouhodobá d</w:t>
      </w:r>
      <w:r w:rsidRPr="00F41C6D">
        <w:rPr>
          <w:b/>
          <w:bCs/>
          <w:szCs w:val="20"/>
        </w:rPr>
        <w:t>omácí péče</w:t>
      </w:r>
      <w:r w:rsidRPr="00F41C6D">
        <w:rPr>
          <w:szCs w:val="20"/>
        </w:rPr>
        <w:t xml:space="preserve"> je určena chronicky nemocným klientům, jejichž zdravotní i duševní stav si vyžaduje dlouhodobou a pravidelnou domácí péči kvalifikovaného personálu. V souvislosti se změnou metodiky SHA 2011 se podařilo rozšířit zdroje dat a tím se zaměřit také na výdaje za denní dlouhodobou péči, která byla sledována v minulosti pouze okrajově. </w:t>
      </w:r>
      <w:r w:rsidRPr="00F41C6D">
        <w:rPr>
          <w:b/>
          <w:szCs w:val="20"/>
        </w:rPr>
        <w:t>Denní dlouhodobá</w:t>
      </w:r>
      <w:r w:rsidRPr="00F41C6D">
        <w:rPr>
          <w:szCs w:val="20"/>
        </w:rPr>
        <w:t xml:space="preserve"> péče ovšem tvoří pouze velmi malou část výdajů na zdravotní péči. </w:t>
      </w:r>
      <w:r w:rsidRPr="00F41C6D">
        <w:rPr>
          <w:szCs w:val="17"/>
        </w:rPr>
        <w:t xml:space="preserve">Podrobněji se budeme věnovat </w:t>
      </w:r>
      <w:r w:rsidRPr="00F41C6D">
        <w:rPr>
          <w:b/>
          <w:szCs w:val="17"/>
        </w:rPr>
        <w:t>dlouhodobé zdravotní a sociální péči</w:t>
      </w:r>
      <w:r w:rsidRPr="00F41C6D">
        <w:rPr>
          <w:szCs w:val="17"/>
        </w:rPr>
        <w:t xml:space="preserve"> v samostatné </w:t>
      </w:r>
      <w:r w:rsidRPr="00595D62">
        <w:rPr>
          <w:szCs w:val="17"/>
        </w:rPr>
        <w:t>kapitole č. 3.3.</w:t>
      </w:r>
    </w:p>
    <w:p w:rsidR="00F41C6D" w:rsidRPr="00F41C6D" w:rsidRDefault="00F41C6D" w:rsidP="00F41C6D">
      <w:pPr>
        <w:keepNext/>
        <w:spacing w:before="120"/>
        <w:jc w:val="both"/>
      </w:pPr>
      <w:r w:rsidRPr="00F41C6D">
        <w:rPr>
          <w:b/>
        </w:rPr>
        <w:t>Doplňkové služby</w:t>
      </w:r>
      <w:r w:rsidRPr="00F41C6D">
        <w:t xml:space="preserve"> tvoří dlouhodobě 11 % celkových výdajů na zdravotnictví. Více než polovinu výdajů z této kategorie představují výdaje na </w:t>
      </w:r>
      <w:r w:rsidRPr="00F41C6D">
        <w:rPr>
          <w:b/>
        </w:rPr>
        <w:t>laboratorní vyšetření</w:t>
      </w:r>
      <w:r w:rsidRPr="00F41C6D">
        <w:t>. Výdaje n</w:t>
      </w:r>
      <w:r w:rsidRPr="005B20AA">
        <w:t>a</w:t>
      </w:r>
      <w:r w:rsidRPr="00F41C6D">
        <w:rPr>
          <w:b/>
        </w:rPr>
        <w:t xml:space="preserve"> dopravu pacientů</w:t>
      </w:r>
      <w:r w:rsidRPr="00F41C6D">
        <w:t xml:space="preserve"> se po mírném propadu v roce 2014 meziročně zvýšily o 8 % a zaujaly téměř pětinu výdajů ze skupiny doplňkových služeb, přičemž největší podíl na těchto výdajích má pochopitelně zdravotnická záchranná služba (ZZS). Podle</w:t>
      </w:r>
      <w:r w:rsidR="005B20AA">
        <w:t> </w:t>
      </w:r>
      <w:r w:rsidRPr="00F41C6D">
        <w:t>metodiky SHA se však výdaje na ZZS nerozlišují zvlášť, ale jsou spojeny s celkovými výdaji na dopravu.</w:t>
      </w:r>
    </w:p>
    <w:p w:rsidR="00F41C6D" w:rsidRPr="00F41C6D" w:rsidRDefault="00F41C6D" w:rsidP="00F41C6D">
      <w:pPr>
        <w:spacing w:before="120"/>
        <w:jc w:val="both"/>
        <w:rPr>
          <w:rFonts w:cs="Arial"/>
          <w:szCs w:val="20"/>
        </w:rPr>
      </w:pPr>
      <w:r w:rsidRPr="00F41C6D">
        <w:rPr>
          <w:rFonts w:cs="Arial"/>
          <w:szCs w:val="20"/>
        </w:rPr>
        <w:t>Cílem</w:t>
      </w:r>
      <w:r w:rsidRPr="00F41C6D">
        <w:rPr>
          <w:rFonts w:cs="Arial"/>
          <w:b/>
          <w:szCs w:val="20"/>
        </w:rPr>
        <w:t xml:space="preserve"> preventivní péče </w:t>
      </w:r>
      <w:r w:rsidRPr="00F41C6D">
        <w:rPr>
          <w:rFonts w:cs="Arial"/>
          <w:szCs w:val="20"/>
        </w:rPr>
        <w:t>je celkově dobrý zdravotní stav obyvatel a nebývá proto zaměřena na konkrétní onemocnění. Preventivní programy jsou více zaměřeny na ty skupiny obyvatel, které jsou považovány za ohrožené (děti, senioři, těhotné ženy) případně na určité zdravotní oblasti (např. zubní a všeobecné preventivní prohlídky). V rámci těchto programů je zvyšována informovanost a vzdělanost obyvatel v oblasti zdravotní péče. Lidé jsou seznamováni s metodami a postupy, které jim umožňují převzít aktivní roli v ochraně jejich vlastního zdraví.</w:t>
      </w:r>
      <w:r w:rsidR="003141CB" w:rsidRPr="003141CB">
        <w:t xml:space="preserve"> </w:t>
      </w:r>
      <w:r w:rsidR="003141CB" w:rsidRPr="003141CB">
        <w:rPr>
          <w:rFonts w:cs="Arial"/>
          <w:szCs w:val="20"/>
        </w:rPr>
        <w:t>^</w:t>
      </w:r>
    </w:p>
    <w:p w:rsidR="00F41C6D" w:rsidRPr="00F41C6D" w:rsidRDefault="00F41C6D" w:rsidP="00F41C6D">
      <w:pPr>
        <w:spacing w:before="120"/>
        <w:jc w:val="both"/>
        <w:rPr>
          <w:rFonts w:cs="Arial"/>
          <w:szCs w:val="20"/>
        </w:rPr>
      </w:pPr>
      <w:r w:rsidRPr="00F41C6D">
        <w:rPr>
          <w:rFonts w:cs="Arial"/>
          <w:szCs w:val="20"/>
        </w:rPr>
        <w:lastRenderedPageBreak/>
        <w:t xml:space="preserve">Významné místo v preventivní péči mají imunizační programy. Výčet povinných očkování a nepovinných očkování hrazených z veřejného pojištění se mění a s ním i výdaje na preventivní péči. Stejně tak nabídka dalších očkování, mimo jiné i pro cestování do tropických oblastí a další, se během doby vyvíjí. </w:t>
      </w:r>
    </w:p>
    <w:p w:rsidR="00F41C6D" w:rsidRPr="00F41C6D" w:rsidRDefault="00F41C6D" w:rsidP="005B20AA">
      <w:pPr>
        <w:jc w:val="both"/>
        <w:rPr>
          <w:rFonts w:cs="Arial"/>
          <w:szCs w:val="20"/>
        </w:rPr>
      </w:pPr>
      <w:r w:rsidRPr="00F41C6D">
        <w:rPr>
          <w:rFonts w:cs="Arial"/>
          <w:szCs w:val="20"/>
        </w:rPr>
        <w:t xml:space="preserve">Další skupinou výdajů preventivní péče jsou programy pro včasné odhalení nemocí zahrnující různé typy </w:t>
      </w:r>
      <w:proofErr w:type="spellStart"/>
      <w:r w:rsidRPr="00F41C6D">
        <w:rPr>
          <w:rFonts w:cs="Arial"/>
          <w:szCs w:val="20"/>
        </w:rPr>
        <w:t>screeningů</w:t>
      </w:r>
      <w:proofErr w:type="spellEnd"/>
      <w:r w:rsidRPr="00F41C6D">
        <w:rPr>
          <w:rFonts w:cs="Arial"/>
          <w:szCs w:val="20"/>
        </w:rPr>
        <w:t>, diagnostické testy a lékařské prohlídky.</w:t>
      </w:r>
    </w:p>
    <w:p w:rsidR="00F41C6D" w:rsidRDefault="00F41C6D" w:rsidP="005B20AA">
      <w:pPr>
        <w:keepNext/>
        <w:jc w:val="both"/>
        <w:rPr>
          <w:rFonts w:eastAsia="Calibri" w:cs="Arial"/>
          <w:szCs w:val="20"/>
        </w:rPr>
      </w:pPr>
      <w:r w:rsidRPr="00F41C6D">
        <w:rPr>
          <w:rFonts w:cs="Arial"/>
          <w:szCs w:val="20"/>
        </w:rPr>
        <w:t xml:space="preserve">Výdajově nejvýznamnější položkou preventivní péče jsou programy pro sledování zdravotního stavu obyvatelstva zahrnující aktivní monitoring celkového zdravotního stavu i jeho dílčích aspektů.  Preventivní programy z této skupiny se zaměřují </w:t>
      </w:r>
      <w:r w:rsidRPr="00F41C6D">
        <w:rPr>
          <w:rFonts w:eastAsia="Calibri" w:cs="Arial"/>
          <w:szCs w:val="20"/>
        </w:rPr>
        <w:t xml:space="preserve">na určitá období života jako je těhotenství (předporodní a poporodní péči), růst a vývoj dítěte, skupiny stárnoucích lidí nebo na zubní a všeobecné preventivní prohlídky, na které bylo vydáno v roce 2015 téměř 5,5 mld. Kč. </w:t>
      </w:r>
    </w:p>
    <w:p w:rsidR="005B20AA" w:rsidRPr="00F41C6D" w:rsidRDefault="005B20AA" w:rsidP="005B20AA">
      <w:pPr>
        <w:keepNext/>
        <w:jc w:val="both"/>
        <w:rPr>
          <w:rFonts w:eastAsia="MS Gothic"/>
          <w:b/>
          <w:bCs/>
          <w:color w:val="BC091B"/>
          <w:sz w:val="28"/>
          <w:szCs w:val="26"/>
        </w:rPr>
      </w:pPr>
    </w:p>
    <w:p w:rsidR="00F41C6D" w:rsidRPr="00F41C6D" w:rsidRDefault="00F41C6D" w:rsidP="005B20AA">
      <w:pPr>
        <w:pStyle w:val="Nadpis2"/>
        <w:rPr>
          <w:szCs w:val="17"/>
        </w:rPr>
      </w:pPr>
      <w:bookmarkStart w:id="11" w:name="_Toc481748788"/>
      <w:r w:rsidRPr="00F41C6D">
        <w:t>2.4 Výdaje na zdravotní péči podle typu poskytovatele</w:t>
      </w:r>
      <w:bookmarkEnd w:id="11"/>
    </w:p>
    <w:p w:rsidR="00F41C6D" w:rsidRPr="00F41C6D" w:rsidRDefault="00F41C6D" w:rsidP="00F41C6D">
      <w:pPr>
        <w:keepNext/>
        <w:jc w:val="both"/>
      </w:pPr>
      <w:r w:rsidRPr="00F41C6D">
        <w:t xml:space="preserve">Konečně třetí pohled na problematiku zdravotní péče nám dává odpověď na otázku, kdo ji poskytuje. Rozhodující je proto typ poskytovatele přiřazený nositeli právní subjektivity, který automaticky přejímají i všechna začleněná zařízení bez vlastní právní subjektivity. Bude-li například lékárna, specializovaná ambulance nebo léčebna dlouhodobě nemocných zařazena v rámci širšího subjektu nemocnice, pak se veškeré výdaje na toto zařízení objeví ve výdajích nemocnice. Podle druhu péče pak poznáme, za jakou péči byly peníze vydány, což v případě lékárny v nemocnici mohou být například léky na předpis, u ambulance ambulantní léčebná péče a u léčebny dlouhodobě nemocných dlouhodobá lůžková péče.  </w:t>
      </w:r>
    </w:p>
    <w:p w:rsidR="005B20AA" w:rsidRPr="00F41C6D" w:rsidRDefault="005B20AA" w:rsidP="005B20AA">
      <w:pPr>
        <w:keepNext/>
        <w:spacing w:before="200" w:after="120"/>
        <w:jc w:val="both"/>
        <w:rPr>
          <w:b/>
          <w:bCs/>
          <w:i/>
          <w:szCs w:val="17"/>
        </w:rPr>
      </w:pPr>
      <w:r w:rsidRPr="00F41C6D">
        <w:rPr>
          <w:b/>
          <w:bCs/>
          <w:i/>
          <w:szCs w:val="17"/>
        </w:rPr>
        <w:t>Od roku 201</w:t>
      </w:r>
      <w:r w:rsidR="008D44B7">
        <w:rPr>
          <w:b/>
          <w:bCs/>
          <w:i/>
          <w:szCs w:val="17"/>
        </w:rPr>
        <w:t>0 se zvýšily výdaje nemocnic o více než</w:t>
      </w:r>
      <w:r w:rsidRPr="00F41C6D">
        <w:rPr>
          <w:b/>
          <w:bCs/>
          <w:i/>
          <w:szCs w:val="17"/>
        </w:rPr>
        <w:t xml:space="preserve"> 7 miliard Kč (o 5</w:t>
      </w:r>
      <w:r w:rsidR="008D44B7">
        <w:rPr>
          <w:b/>
          <w:bCs/>
          <w:i/>
          <w:szCs w:val="17"/>
        </w:rPr>
        <w:t>,4</w:t>
      </w:r>
      <w:r w:rsidRPr="00F41C6D">
        <w:rPr>
          <w:b/>
          <w:bCs/>
          <w:i/>
          <w:szCs w:val="17"/>
        </w:rPr>
        <w:t xml:space="preserve"> %)</w:t>
      </w:r>
    </w:p>
    <w:p w:rsidR="005B20AA" w:rsidRPr="00F41C6D" w:rsidRDefault="005B20AA" w:rsidP="005B20AA">
      <w:pPr>
        <w:spacing w:before="120"/>
        <w:jc w:val="both"/>
        <w:rPr>
          <w:szCs w:val="20"/>
        </w:rPr>
      </w:pPr>
      <w:r w:rsidRPr="00F41C6D">
        <w:rPr>
          <w:szCs w:val="20"/>
        </w:rPr>
        <w:t>Jak ukazují data v tabulce č. 2.3, dvě pětiny finančních prostředků ve zdravotnictví směřuje do nemocnic. V roce 2015 z toho 89 % připadalo na všeobecné nemocnice a zbývajících 11 % výdajů na zdravotní péči náleželo specializovaným nemocnicím (sem patří například psychiatrické nemocnice, zařízení následné péče, rehabilitační nemocnice a nemocnice lázeňské léčebně rehabilitační péče včetně lázní).</w:t>
      </w:r>
    </w:p>
    <w:p w:rsidR="005B20AA" w:rsidRPr="00F41C6D" w:rsidRDefault="005B20AA" w:rsidP="005B20AA">
      <w:pPr>
        <w:spacing w:before="120"/>
        <w:jc w:val="both"/>
        <w:rPr>
          <w:szCs w:val="20"/>
        </w:rPr>
      </w:pPr>
      <w:r w:rsidRPr="00F41C6D">
        <w:rPr>
          <w:szCs w:val="20"/>
        </w:rPr>
        <w:t xml:space="preserve">V pořadí za nimi následovaly výdaje v </w:t>
      </w:r>
      <w:r w:rsidRPr="00F41C6D">
        <w:rPr>
          <w:b/>
          <w:szCs w:val="20"/>
        </w:rPr>
        <w:t>zařízeních ambulantní péče</w:t>
      </w:r>
      <w:r w:rsidRPr="00F41C6D">
        <w:rPr>
          <w:szCs w:val="20"/>
        </w:rPr>
        <w:t xml:space="preserve"> (v roce 2015 dosahovaly jedné pětiny celkových výdajů). V této skupině  poskytovatelů připadalo 55 % výdajů na samostatné </w:t>
      </w:r>
      <w:r w:rsidRPr="00F41C6D">
        <w:rPr>
          <w:b/>
          <w:szCs w:val="20"/>
        </w:rPr>
        <w:t>ordinace lékařů</w:t>
      </w:r>
      <w:r w:rsidRPr="00F41C6D">
        <w:rPr>
          <w:szCs w:val="20"/>
        </w:rPr>
        <w:t xml:space="preserve"> a</w:t>
      </w:r>
      <w:r w:rsidR="00784861">
        <w:rPr>
          <w:szCs w:val="20"/>
        </w:rPr>
        <w:t> </w:t>
      </w:r>
      <w:r w:rsidRPr="00F41C6D">
        <w:rPr>
          <w:szCs w:val="20"/>
        </w:rPr>
        <w:t xml:space="preserve">24 % na </w:t>
      </w:r>
      <w:r w:rsidRPr="00F41C6D">
        <w:rPr>
          <w:b/>
          <w:szCs w:val="20"/>
        </w:rPr>
        <w:t>ordinace stomatologů</w:t>
      </w:r>
      <w:r w:rsidRPr="00F41C6D">
        <w:rPr>
          <w:szCs w:val="20"/>
        </w:rPr>
        <w:t xml:space="preserve">. </w:t>
      </w:r>
    </w:p>
    <w:p w:rsidR="005B20AA" w:rsidRPr="00223335" w:rsidRDefault="005B20AA" w:rsidP="005B20AA">
      <w:pPr>
        <w:spacing w:before="120"/>
        <w:jc w:val="both"/>
        <w:rPr>
          <w:szCs w:val="20"/>
        </w:rPr>
      </w:pPr>
      <w:r w:rsidRPr="00F41C6D">
        <w:rPr>
          <w:szCs w:val="20"/>
        </w:rPr>
        <w:t>Kategorie poskytovatelů zahrnující lékárny a výdejny prostředků zdravotnické techniky zahrnuje specializované provozovny, které se zaměřují na maloobchodní prodej farmaceutických výrobků nebo zdravotnických prostředků a lékařských nástrojů jako jsou optické brýle, naslouchátka, ortopedické a</w:t>
      </w:r>
      <w:r w:rsidR="00784861">
        <w:rPr>
          <w:szCs w:val="20"/>
        </w:rPr>
        <w:t> </w:t>
      </w:r>
      <w:r w:rsidRPr="00F41C6D">
        <w:rPr>
          <w:szCs w:val="20"/>
        </w:rPr>
        <w:t xml:space="preserve">protetické pomůcky. Rovněž zahrnují montáž a opravy v kombinaci s prodejem výrobků.  Výdaje </w:t>
      </w:r>
      <w:r w:rsidRPr="00F41C6D">
        <w:rPr>
          <w:b/>
          <w:szCs w:val="20"/>
        </w:rPr>
        <w:t>lékáren a</w:t>
      </w:r>
      <w:r w:rsidR="00784861">
        <w:rPr>
          <w:b/>
          <w:szCs w:val="20"/>
        </w:rPr>
        <w:t> </w:t>
      </w:r>
      <w:r w:rsidRPr="00F41C6D">
        <w:rPr>
          <w:b/>
          <w:szCs w:val="20"/>
        </w:rPr>
        <w:t>výdejen prostředků zdravotnické techniky</w:t>
      </w:r>
      <w:r w:rsidRPr="00F41C6D">
        <w:rPr>
          <w:szCs w:val="20"/>
        </w:rPr>
        <w:t xml:space="preserve"> se v letech 2013 – 2014 postupně snižovaly. </w:t>
      </w:r>
      <w:r w:rsidR="008D44B7">
        <w:rPr>
          <w:szCs w:val="20"/>
        </w:rPr>
        <w:t>Rok 2015 přinesl jejich opětovné zvýšení na 48,7 mld. Kč.</w:t>
      </w:r>
    </w:p>
    <w:p w:rsidR="005B20AA" w:rsidRPr="00223335" w:rsidRDefault="005B20AA" w:rsidP="005B20AA">
      <w:pPr>
        <w:spacing w:before="120"/>
        <w:jc w:val="both"/>
        <w:rPr>
          <w:szCs w:val="20"/>
        </w:rPr>
      </w:pPr>
      <w:r w:rsidRPr="00223335">
        <w:rPr>
          <w:b/>
          <w:szCs w:val="20"/>
        </w:rPr>
        <w:t>Domácnosti jako poskytovatelé zdravotní péče</w:t>
      </w:r>
      <w:r w:rsidRPr="00223335">
        <w:rPr>
          <w:szCs w:val="20"/>
        </w:rPr>
        <w:t xml:space="preserve"> (HP 8.1) zahrnují výdaje na péči zajišťovanou osobou blízkou v souvislosti s pobíráním ošetřovného</w:t>
      </w:r>
      <w:r w:rsidRPr="00223335" w:rsidDel="003E7082">
        <w:rPr>
          <w:szCs w:val="20"/>
        </w:rPr>
        <w:t xml:space="preserve"> </w:t>
      </w:r>
      <w:r w:rsidRPr="00223335">
        <w:rPr>
          <w:szCs w:val="20"/>
        </w:rPr>
        <w:t>a příspěvku na péči (blíže</w:t>
      </w:r>
      <w:r w:rsidR="00DF4DBA">
        <w:rPr>
          <w:szCs w:val="20"/>
        </w:rPr>
        <w:t xml:space="preserve"> viz</w:t>
      </w:r>
      <w:r w:rsidRPr="00223335">
        <w:rPr>
          <w:szCs w:val="20"/>
        </w:rPr>
        <w:t xml:space="preserve"> </w:t>
      </w:r>
      <w:r w:rsidRPr="00595D62">
        <w:rPr>
          <w:szCs w:val="20"/>
        </w:rPr>
        <w:t>metodická příloha</w:t>
      </w:r>
      <w:r w:rsidRPr="00223335">
        <w:rPr>
          <w:szCs w:val="20"/>
        </w:rPr>
        <w:t>). Mírné</w:t>
      </w:r>
      <w:r w:rsidR="00784861" w:rsidRPr="00223335">
        <w:rPr>
          <w:szCs w:val="20"/>
        </w:rPr>
        <w:t> </w:t>
      </w:r>
      <w:r w:rsidRPr="00223335">
        <w:rPr>
          <w:szCs w:val="20"/>
        </w:rPr>
        <w:t xml:space="preserve">meziroční zvýšení výdajů domácností o 5 % souvisí především se zvýšením výdajů ze státního rozpočtu na ošetřovné. </w:t>
      </w:r>
    </w:p>
    <w:p w:rsidR="005B20AA" w:rsidRDefault="005B20AA" w:rsidP="005B20AA">
      <w:pPr>
        <w:spacing w:before="120"/>
        <w:jc w:val="both"/>
        <w:rPr>
          <w:szCs w:val="20"/>
        </w:rPr>
      </w:pPr>
      <w:r w:rsidRPr="00223335">
        <w:rPr>
          <w:b/>
          <w:szCs w:val="20"/>
        </w:rPr>
        <w:t>Ostatní odvětví</w:t>
      </w:r>
      <w:r w:rsidRPr="00223335">
        <w:rPr>
          <w:szCs w:val="20"/>
        </w:rPr>
        <w:t xml:space="preserve"> jako poskytovatelé zdravotní péče</w:t>
      </w:r>
      <w:r w:rsidRPr="00223335" w:rsidDel="003E7082">
        <w:rPr>
          <w:szCs w:val="20"/>
        </w:rPr>
        <w:t xml:space="preserve"> </w:t>
      </w:r>
      <w:r w:rsidRPr="00223335">
        <w:rPr>
          <w:szCs w:val="20"/>
        </w:rPr>
        <w:t>(HP 8.2) zahrnují širokou škálu poskytovatelů zdravotní péče např. závodní preventivní péči, zařízení pro seniory bez ošetřovatelské péče, poskytovatel</w:t>
      </w:r>
      <w:r w:rsidR="00784861" w:rsidRPr="00223335">
        <w:rPr>
          <w:szCs w:val="20"/>
        </w:rPr>
        <w:t>e</w:t>
      </w:r>
      <w:r w:rsidRPr="00223335">
        <w:rPr>
          <w:szCs w:val="20"/>
        </w:rPr>
        <w:t xml:space="preserve"> domácí péče zaměřené na sebeobsluhu a soběstačnost klienta, školy s pracovníky v oblasti zdravotnictví</w:t>
      </w:r>
      <w:r w:rsidRPr="00F41C6D">
        <w:rPr>
          <w:szCs w:val="20"/>
        </w:rPr>
        <w:t xml:space="preserve"> apod.</w:t>
      </w:r>
    </w:p>
    <w:p w:rsidR="005B20AA" w:rsidRDefault="005B20AA">
      <w:pPr>
        <w:spacing w:line="240" w:lineRule="auto"/>
        <w:rPr>
          <w:b/>
          <w:bCs/>
          <w:sz w:val="18"/>
          <w:szCs w:val="18"/>
        </w:rPr>
      </w:pPr>
      <w:r>
        <w:rPr>
          <w:b/>
          <w:bCs/>
          <w:sz w:val="18"/>
          <w:szCs w:val="18"/>
        </w:rPr>
        <w:br w:type="page"/>
      </w:r>
    </w:p>
    <w:p w:rsidR="00784861" w:rsidRPr="00784861" w:rsidRDefault="00784861" w:rsidP="00784861">
      <w:pPr>
        <w:keepNext/>
        <w:spacing w:line="240" w:lineRule="auto"/>
        <w:jc w:val="both"/>
        <w:rPr>
          <w:b/>
          <w:bCs/>
          <w:sz w:val="2"/>
          <w:szCs w:val="18"/>
        </w:rPr>
      </w:pPr>
    </w:p>
    <w:p w:rsidR="00F41C6D" w:rsidRPr="00F41C6D" w:rsidRDefault="00F41C6D" w:rsidP="00784861">
      <w:pPr>
        <w:keepNext/>
        <w:spacing w:after="120"/>
        <w:jc w:val="both"/>
        <w:rPr>
          <w:b/>
          <w:bCs/>
          <w:sz w:val="18"/>
          <w:szCs w:val="18"/>
        </w:rPr>
      </w:pPr>
      <w:r w:rsidRPr="00F41C6D">
        <w:rPr>
          <w:b/>
          <w:bCs/>
          <w:sz w:val="18"/>
          <w:szCs w:val="18"/>
        </w:rPr>
        <w:t>Tabulka č. 2.3 Výdaje na zdravotní péči v ČR podle typu poskytovatele (mil. Kč)</w:t>
      </w:r>
    </w:p>
    <w:tbl>
      <w:tblPr>
        <w:tblW w:w="9746" w:type="dxa"/>
        <w:tblInd w:w="55" w:type="dxa"/>
        <w:tblLayout w:type="fixed"/>
        <w:tblCellMar>
          <w:left w:w="70" w:type="dxa"/>
          <w:right w:w="70" w:type="dxa"/>
        </w:tblCellMar>
        <w:tblLook w:val="04A0" w:firstRow="1" w:lastRow="0" w:firstColumn="1" w:lastColumn="0" w:noHBand="0" w:noVBand="1"/>
      </w:tblPr>
      <w:tblGrid>
        <w:gridCol w:w="4046"/>
        <w:gridCol w:w="796"/>
        <w:gridCol w:w="796"/>
        <w:gridCol w:w="797"/>
        <w:gridCol w:w="797"/>
        <w:gridCol w:w="804"/>
        <w:gridCol w:w="790"/>
        <w:gridCol w:w="920"/>
      </w:tblGrid>
      <w:tr w:rsidR="00F41C6D" w:rsidRPr="00F41C6D" w:rsidTr="001351C9">
        <w:trPr>
          <w:trHeight w:val="480"/>
        </w:trPr>
        <w:tc>
          <w:tcPr>
            <w:tcW w:w="4046" w:type="dxa"/>
            <w:tcBorders>
              <w:top w:val="single" w:sz="8" w:space="0" w:color="auto"/>
              <w:left w:val="single" w:sz="8" w:space="0" w:color="auto"/>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rPr>
                <w:rFonts w:cs="Arial"/>
                <w:b/>
                <w:bCs/>
                <w:color w:val="000000"/>
                <w:sz w:val="16"/>
                <w:szCs w:val="16"/>
              </w:rPr>
            </w:pPr>
            <w:r w:rsidRPr="00F41C6D">
              <w:rPr>
                <w:rFonts w:cs="Arial"/>
                <w:b/>
                <w:bCs/>
                <w:color w:val="000000"/>
                <w:sz w:val="16"/>
                <w:szCs w:val="16"/>
              </w:rPr>
              <w:t>Typ poskytovatele (ICHA-HP)</w:t>
            </w:r>
          </w:p>
        </w:tc>
        <w:tc>
          <w:tcPr>
            <w:tcW w:w="796"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2010</w:t>
            </w:r>
          </w:p>
        </w:tc>
        <w:tc>
          <w:tcPr>
            <w:tcW w:w="796"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2011</w:t>
            </w:r>
          </w:p>
        </w:tc>
        <w:tc>
          <w:tcPr>
            <w:tcW w:w="797"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2012</w:t>
            </w:r>
          </w:p>
        </w:tc>
        <w:tc>
          <w:tcPr>
            <w:tcW w:w="797"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2013</w:t>
            </w:r>
          </w:p>
        </w:tc>
        <w:tc>
          <w:tcPr>
            <w:tcW w:w="804"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2014</w:t>
            </w:r>
          </w:p>
        </w:tc>
        <w:tc>
          <w:tcPr>
            <w:tcW w:w="790" w:type="dxa"/>
            <w:tcBorders>
              <w:top w:val="single" w:sz="8" w:space="0" w:color="auto"/>
              <w:left w:val="nil"/>
              <w:bottom w:val="single" w:sz="8" w:space="0" w:color="auto"/>
              <w:right w:val="single" w:sz="8" w:space="0" w:color="auto"/>
            </w:tcBorders>
            <w:shd w:val="clear" w:color="auto" w:fill="F2DBDB" w:themeFill="accent2" w:themeFillTint="33"/>
            <w:noWrap/>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2015</w:t>
            </w:r>
          </w:p>
        </w:tc>
        <w:tc>
          <w:tcPr>
            <w:tcW w:w="920" w:type="dxa"/>
            <w:tcBorders>
              <w:top w:val="single" w:sz="8" w:space="0" w:color="auto"/>
              <w:left w:val="nil"/>
              <w:bottom w:val="single" w:sz="8" w:space="0" w:color="auto"/>
              <w:right w:val="single" w:sz="8" w:space="0" w:color="auto"/>
            </w:tcBorders>
            <w:shd w:val="clear" w:color="auto" w:fill="F2DBDB" w:themeFill="accent2" w:themeFillTint="33"/>
            <w:vAlign w:val="center"/>
            <w:hideMark/>
          </w:tcPr>
          <w:p w:rsidR="00F41C6D" w:rsidRPr="00F41C6D" w:rsidRDefault="00F41C6D" w:rsidP="00F41C6D">
            <w:pPr>
              <w:spacing w:line="240" w:lineRule="auto"/>
              <w:jc w:val="center"/>
              <w:rPr>
                <w:rFonts w:cs="Arial"/>
                <w:b/>
                <w:bCs/>
                <w:color w:val="000000"/>
                <w:sz w:val="16"/>
                <w:szCs w:val="16"/>
              </w:rPr>
            </w:pPr>
            <w:r w:rsidRPr="00F41C6D">
              <w:rPr>
                <w:rFonts w:cs="Arial"/>
                <w:b/>
                <w:bCs/>
                <w:color w:val="000000"/>
                <w:sz w:val="16"/>
                <w:szCs w:val="16"/>
              </w:rPr>
              <w:t>Index 2015/2014</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1 Nemocnice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133 211</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133 567</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134 498</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136 679</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139 786</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140 448</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100,5</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1.1 Všeobecné nemocnice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114 664</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117 190</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116 896</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119 020</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121 397</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125 244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103,2</w:t>
            </w:r>
          </w:p>
        </w:tc>
      </w:tr>
      <w:tr w:rsidR="003B6D3C" w:rsidRPr="00F41C6D" w:rsidTr="001351C9">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1.2 Specializované nemocnice</w:t>
            </w:r>
          </w:p>
        </w:tc>
        <w:tc>
          <w:tcPr>
            <w:tcW w:w="796" w:type="dxa"/>
            <w:tcBorders>
              <w:top w:val="nil"/>
              <w:left w:val="nil"/>
              <w:bottom w:val="single" w:sz="8" w:space="0" w:color="auto"/>
              <w:right w:val="single" w:sz="8" w:space="0" w:color="auto"/>
            </w:tcBorders>
            <w:shd w:val="clear" w:color="000000" w:fill="FFFFFF"/>
            <w:noWrap/>
            <w:vAlign w:val="center"/>
          </w:tcPr>
          <w:p w:rsidR="003B6D3C" w:rsidRPr="00F41C6D" w:rsidRDefault="003B6D3C" w:rsidP="00F41C6D">
            <w:pPr>
              <w:keepNext/>
              <w:jc w:val="right"/>
              <w:rPr>
                <w:rFonts w:cs="Arial"/>
                <w:color w:val="000000"/>
                <w:sz w:val="16"/>
                <w:szCs w:val="16"/>
              </w:rPr>
            </w:pPr>
            <w:r w:rsidRPr="00F41C6D">
              <w:rPr>
                <w:rFonts w:cs="Arial"/>
                <w:color w:val="000000"/>
                <w:sz w:val="16"/>
                <w:szCs w:val="16"/>
              </w:rPr>
              <w:t>18 547</w:t>
            </w:r>
          </w:p>
        </w:tc>
        <w:tc>
          <w:tcPr>
            <w:tcW w:w="796" w:type="dxa"/>
            <w:tcBorders>
              <w:top w:val="nil"/>
              <w:left w:val="nil"/>
              <w:bottom w:val="single" w:sz="8" w:space="0" w:color="auto"/>
              <w:right w:val="single" w:sz="8" w:space="0" w:color="auto"/>
            </w:tcBorders>
            <w:shd w:val="clear" w:color="000000" w:fill="FFFFFF"/>
            <w:noWrap/>
            <w:vAlign w:val="center"/>
          </w:tcPr>
          <w:p w:rsidR="003B6D3C" w:rsidRPr="00F41C6D" w:rsidRDefault="003B6D3C" w:rsidP="00F41C6D">
            <w:pPr>
              <w:keepNext/>
              <w:jc w:val="right"/>
              <w:rPr>
                <w:rFonts w:cs="Arial"/>
                <w:color w:val="000000"/>
                <w:sz w:val="16"/>
                <w:szCs w:val="16"/>
              </w:rPr>
            </w:pPr>
            <w:r w:rsidRPr="00F41C6D">
              <w:rPr>
                <w:rFonts w:cs="Arial"/>
                <w:color w:val="000000"/>
                <w:sz w:val="16"/>
                <w:szCs w:val="16"/>
              </w:rPr>
              <w:t>16 377</w:t>
            </w:r>
          </w:p>
        </w:tc>
        <w:tc>
          <w:tcPr>
            <w:tcW w:w="797" w:type="dxa"/>
            <w:tcBorders>
              <w:top w:val="nil"/>
              <w:left w:val="nil"/>
              <w:bottom w:val="single" w:sz="8" w:space="0" w:color="auto"/>
              <w:right w:val="single" w:sz="8" w:space="0" w:color="auto"/>
            </w:tcBorders>
            <w:shd w:val="clear" w:color="000000" w:fill="FFFFFF"/>
            <w:noWrap/>
            <w:vAlign w:val="center"/>
          </w:tcPr>
          <w:p w:rsidR="003B6D3C" w:rsidRPr="00F41C6D" w:rsidRDefault="003B6D3C" w:rsidP="00F41C6D">
            <w:pPr>
              <w:keepNext/>
              <w:jc w:val="right"/>
              <w:rPr>
                <w:rFonts w:cs="Arial"/>
                <w:color w:val="000000"/>
                <w:sz w:val="16"/>
                <w:szCs w:val="16"/>
              </w:rPr>
            </w:pPr>
            <w:r w:rsidRPr="00F41C6D">
              <w:rPr>
                <w:rFonts w:cs="Arial"/>
                <w:color w:val="000000"/>
                <w:sz w:val="16"/>
                <w:szCs w:val="16"/>
              </w:rPr>
              <w:t>17 602</w:t>
            </w:r>
          </w:p>
        </w:tc>
        <w:tc>
          <w:tcPr>
            <w:tcW w:w="797" w:type="dxa"/>
            <w:tcBorders>
              <w:top w:val="nil"/>
              <w:left w:val="nil"/>
              <w:bottom w:val="single" w:sz="8" w:space="0" w:color="auto"/>
              <w:right w:val="single" w:sz="8" w:space="0" w:color="auto"/>
            </w:tcBorders>
            <w:shd w:val="clear" w:color="000000" w:fill="FFFFFF"/>
            <w:noWrap/>
            <w:vAlign w:val="center"/>
          </w:tcPr>
          <w:p w:rsidR="003B6D3C" w:rsidRPr="00F41C6D" w:rsidRDefault="003B6D3C" w:rsidP="00F41C6D">
            <w:pPr>
              <w:keepNext/>
              <w:jc w:val="right"/>
              <w:rPr>
                <w:rFonts w:cs="Arial"/>
                <w:color w:val="000000"/>
                <w:sz w:val="16"/>
                <w:szCs w:val="16"/>
              </w:rPr>
            </w:pPr>
            <w:r w:rsidRPr="00F41C6D">
              <w:rPr>
                <w:rFonts w:cs="Arial"/>
                <w:color w:val="000000"/>
                <w:sz w:val="16"/>
                <w:szCs w:val="16"/>
              </w:rPr>
              <w:t>17 659</w:t>
            </w:r>
          </w:p>
        </w:tc>
        <w:tc>
          <w:tcPr>
            <w:tcW w:w="804" w:type="dxa"/>
            <w:tcBorders>
              <w:top w:val="nil"/>
              <w:left w:val="nil"/>
              <w:bottom w:val="single" w:sz="8" w:space="0" w:color="auto"/>
              <w:right w:val="single" w:sz="8" w:space="0" w:color="auto"/>
            </w:tcBorders>
            <w:shd w:val="clear" w:color="000000" w:fill="FFFFFF"/>
            <w:noWrap/>
            <w:vAlign w:val="center"/>
          </w:tcPr>
          <w:p w:rsidR="003B6D3C" w:rsidRPr="00F41C6D" w:rsidRDefault="003B6D3C" w:rsidP="00F41C6D">
            <w:pPr>
              <w:keepNext/>
              <w:jc w:val="right"/>
              <w:rPr>
                <w:rFonts w:cs="Arial"/>
                <w:color w:val="000000"/>
                <w:sz w:val="16"/>
                <w:szCs w:val="16"/>
              </w:rPr>
            </w:pPr>
            <w:r w:rsidRPr="00F41C6D">
              <w:rPr>
                <w:rFonts w:cs="Arial"/>
                <w:color w:val="000000"/>
                <w:sz w:val="16"/>
                <w:szCs w:val="16"/>
              </w:rPr>
              <w:t>18 389</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15 204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82,7</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2 Lůžková zařízení dlouhodobé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20 756</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20 944</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21 037</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21 895</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22 574</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24 426</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108,2</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2.1 Zařízení ošetřovatelské dlouhodobé péče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11 521</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11 662</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11 569</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11 928</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11 890</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12 896</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108,5</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2.2 Léčebny pro mentálně postižené,     </w:t>
            </w:r>
          </w:p>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psychiatrické a závislé</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8 005</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8 183</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8 294</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8 883</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9 695</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10 606</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109,4</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2.9 Ostatní lůžková zařízení</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1 230</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1 100</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1 174</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1 084</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989</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924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93,4</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3 Poskytovatelé ambulantní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66 878</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69 798</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68 801</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71 780</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72 072</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73 189</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101,6</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3.1 Samostatné ordinace lékaře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37 679</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37 915</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37 764</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39 236</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38 564</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40 479</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105,0</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3.2 Samostatné ordinace zubních lékařů</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16 674</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17 169</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16 143</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16 704</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17 447</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17 495</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100,3</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3.3 Ostatní poskytovatelé zdravotní péče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2 959</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3 164</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3 162</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3 425</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3 562</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3 456</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97,0</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3.4 Ambulantní centra</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7 578</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9 437</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9 652</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10 281</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10 407</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9 826</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94,4</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3.5 Poskytovatelé služeb domácí péče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1 456</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1 388</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1 397</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1 427</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1 492</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1 531</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102,6</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3.9 Ostatní poskytovatelé ambulantní péče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532</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725</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684</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706</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600</w:t>
            </w:r>
          </w:p>
        </w:tc>
        <w:tc>
          <w:tcPr>
            <w:tcW w:w="790" w:type="dxa"/>
            <w:tcBorders>
              <w:top w:val="nil"/>
              <w:left w:val="nil"/>
              <w:bottom w:val="single" w:sz="4"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402</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67,0</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4 Poskytovatelé doplňkových služeb</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11 301</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11 214</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11 855</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11 449</w:t>
            </w:r>
          </w:p>
        </w:tc>
        <w:tc>
          <w:tcPr>
            <w:tcW w:w="804" w:type="dxa"/>
            <w:tcBorders>
              <w:top w:val="nil"/>
              <w:left w:val="nil"/>
              <w:bottom w:val="single" w:sz="8" w:space="0" w:color="auto"/>
              <w:right w:val="single" w:sz="4"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11 518</w:t>
            </w:r>
          </w:p>
        </w:tc>
        <w:tc>
          <w:tcPr>
            <w:tcW w:w="790" w:type="dxa"/>
            <w:tcBorders>
              <w:top w:val="single" w:sz="4" w:space="0" w:color="auto"/>
              <w:left w:val="single" w:sz="4" w:space="0" w:color="auto"/>
              <w:bottom w:val="single" w:sz="4" w:space="0" w:color="auto"/>
              <w:right w:val="single" w:sz="4"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12 271</w:t>
            </w:r>
          </w:p>
        </w:tc>
        <w:tc>
          <w:tcPr>
            <w:tcW w:w="920" w:type="dxa"/>
            <w:tcBorders>
              <w:top w:val="nil"/>
              <w:left w:val="single" w:sz="4" w:space="0" w:color="auto"/>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106,5</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4.1 Doprava pacientů a záchranná služba</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6 855</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6 985</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7 212</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6 836</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6 835</w:t>
            </w:r>
          </w:p>
        </w:tc>
        <w:tc>
          <w:tcPr>
            <w:tcW w:w="790" w:type="dxa"/>
            <w:tcBorders>
              <w:top w:val="single" w:sz="4" w:space="0" w:color="auto"/>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7 404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108,3</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4.2 Laboratoře</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4 446</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4 229</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4 643</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4 613</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4 683</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4 867</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103,9</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5 Lékárny a výdejny PZT*</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60 907</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62 704</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63 783</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59 680</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55 564</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56 718</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102,1</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5.1 Lékárny</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51 469</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54 193</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55 468</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50 258</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47 159</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48 684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103,2</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5.2 Prodejci a dodavatelé  zdravot.</w:t>
            </w:r>
            <w:r>
              <w:rPr>
                <w:rFonts w:cs="Arial"/>
                <w:color w:val="000000"/>
                <w:sz w:val="16"/>
                <w:szCs w:val="16"/>
              </w:rPr>
              <w:t xml:space="preserve"> </w:t>
            </w:r>
            <w:proofErr w:type="gramStart"/>
            <w:r w:rsidRPr="00F41C6D">
              <w:rPr>
                <w:rFonts w:cs="Arial"/>
                <w:color w:val="000000"/>
                <w:sz w:val="16"/>
                <w:szCs w:val="16"/>
              </w:rPr>
              <w:t>zboží</w:t>
            </w:r>
            <w:proofErr w:type="gramEnd"/>
            <w:r w:rsidRPr="00F41C6D">
              <w:rPr>
                <w:rFonts w:cs="Arial"/>
                <w:color w:val="000000"/>
                <w:sz w:val="16"/>
                <w:szCs w:val="16"/>
              </w:rPr>
              <w:t xml:space="preserve">  a techniky</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7 341</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6 494</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6 312</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7 518</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6 493</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5 883</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90,6</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5.9 Ostatní prodejci </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2 096</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2 017</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2 003</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1 904</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1 913</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2 151</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112,5</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6 Poskytovatelé preventivní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891</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788</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737</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778</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759</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774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101,9</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7 Správa systému zdravotní péče</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10 953</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11 311</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10 870</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11 462</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11 483</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10 949</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95,3</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7.1 Státní správa</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4 205</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4 368</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4 098</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4 363</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4 435</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4 459</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100,5</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7.2 Správa zdravotních pojišťoven</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6 748</w:t>
            </w:r>
          </w:p>
        </w:tc>
        <w:tc>
          <w:tcPr>
            <w:tcW w:w="796"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6 943</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6 772</w:t>
            </w:r>
          </w:p>
        </w:tc>
        <w:tc>
          <w:tcPr>
            <w:tcW w:w="797"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7 100</w:t>
            </w:r>
          </w:p>
        </w:tc>
        <w:tc>
          <w:tcPr>
            <w:tcW w:w="804" w:type="dxa"/>
            <w:tcBorders>
              <w:top w:val="nil"/>
              <w:left w:val="nil"/>
              <w:bottom w:val="single" w:sz="8" w:space="0" w:color="auto"/>
              <w:right w:val="single" w:sz="8" w:space="0" w:color="auto"/>
            </w:tcBorders>
            <w:shd w:val="clear" w:color="000000" w:fill="FFFFFF"/>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7 048</w:t>
            </w:r>
          </w:p>
        </w:tc>
        <w:tc>
          <w:tcPr>
            <w:tcW w:w="790" w:type="dxa"/>
            <w:tcBorders>
              <w:top w:val="nil"/>
              <w:left w:val="nil"/>
              <w:bottom w:val="single" w:sz="8" w:space="0" w:color="auto"/>
              <w:right w:val="single" w:sz="8" w:space="0" w:color="auto"/>
            </w:tcBorders>
            <w:shd w:val="clear" w:color="000000" w:fill="FFFFFF"/>
            <w:noWrap/>
            <w:vAlign w:val="center"/>
          </w:tcPr>
          <w:p w:rsidR="003B6D3C" w:rsidRDefault="003B6D3C">
            <w:pPr>
              <w:jc w:val="right"/>
              <w:rPr>
                <w:rFonts w:cs="Arial"/>
                <w:color w:val="000000"/>
                <w:sz w:val="16"/>
                <w:szCs w:val="16"/>
              </w:rPr>
            </w:pPr>
            <w:r>
              <w:rPr>
                <w:rFonts w:cs="Arial"/>
                <w:color w:val="000000"/>
                <w:sz w:val="16"/>
                <w:szCs w:val="16"/>
              </w:rPr>
              <w:t>6 490</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92,1</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8 Ostatní odvětví ekonomiky</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20 167</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19 913</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20 039</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21 485</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23 970</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23 525</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98,1</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8.1 Domácnosti jako poskytovatelé zdravotní péče</w:t>
            </w:r>
          </w:p>
        </w:tc>
        <w:tc>
          <w:tcPr>
            <w:tcW w:w="796"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13 788</w:t>
            </w:r>
          </w:p>
        </w:tc>
        <w:tc>
          <w:tcPr>
            <w:tcW w:w="796"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13 362</w:t>
            </w:r>
          </w:p>
        </w:tc>
        <w:tc>
          <w:tcPr>
            <w:tcW w:w="797"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13 620</w:t>
            </w:r>
          </w:p>
        </w:tc>
        <w:tc>
          <w:tcPr>
            <w:tcW w:w="797"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14 593</w:t>
            </w:r>
          </w:p>
        </w:tc>
        <w:tc>
          <w:tcPr>
            <w:tcW w:w="804" w:type="dxa"/>
            <w:tcBorders>
              <w:top w:val="nil"/>
              <w:left w:val="nil"/>
              <w:bottom w:val="single" w:sz="8" w:space="0" w:color="auto"/>
              <w:right w:val="nil"/>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15 207</w:t>
            </w:r>
          </w:p>
        </w:tc>
        <w:tc>
          <w:tcPr>
            <w:tcW w:w="790" w:type="dxa"/>
            <w:tcBorders>
              <w:top w:val="nil"/>
              <w:left w:val="single" w:sz="8" w:space="0" w:color="auto"/>
              <w:bottom w:val="single" w:sz="8" w:space="0" w:color="auto"/>
              <w:right w:val="single" w:sz="8" w:space="0" w:color="auto"/>
            </w:tcBorders>
            <w:shd w:val="clear" w:color="auto" w:fill="auto"/>
            <w:noWrap/>
            <w:vAlign w:val="center"/>
          </w:tcPr>
          <w:p w:rsidR="003B6D3C" w:rsidRDefault="003B6D3C">
            <w:pPr>
              <w:jc w:val="right"/>
              <w:rPr>
                <w:rFonts w:cs="Arial"/>
                <w:color w:val="000000"/>
                <w:sz w:val="16"/>
                <w:szCs w:val="16"/>
              </w:rPr>
            </w:pPr>
            <w:r>
              <w:rPr>
                <w:rFonts w:cs="Arial"/>
                <w:color w:val="000000"/>
                <w:sz w:val="16"/>
                <w:szCs w:val="16"/>
              </w:rPr>
              <w:t>15 991</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105,2</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rPr>
                <w:rFonts w:cs="Arial"/>
                <w:color w:val="000000"/>
                <w:sz w:val="16"/>
                <w:szCs w:val="16"/>
              </w:rPr>
            </w:pPr>
            <w:r w:rsidRPr="00F41C6D">
              <w:rPr>
                <w:rFonts w:cs="Arial"/>
                <w:color w:val="000000"/>
                <w:sz w:val="16"/>
                <w:szCs w:val="16"/>
              </w:rPr>
              <w:t xml:space="preserve">   8.2 Ostatní poskytovatelé zdravotní péče</w:t>
            </w:r>
          </w:p>
        </w:tc>
        <w:tc>
          <w:tcPr>
            <w:tcW w:w="796"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6 379</w:t>
            </w:r>
          </w:p>
        </w:tc>
        <w:tc>
          <w:tcPr>
            <w:tcW w:w="796"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6 551</w:t>
            </w:r>
          </w:p>
        </w:tc>
        <w:tc>
          <w:tcPr>
            <w:tcW w:w="797"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6 419</w:t>
            </w:r>
          </w:p>
        </w:tc>
        <w:tc>
          <w:tcPr>
            <w:tcW w:w="797"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6 893</w:t>
            </w:r>
          </w:p>
        </w:tc>
        <w:tc>
          <w:tcPr>
            <w:tcW w:w="804" w:type="dxa"/>
            <w:tcBorders>
              <w:top w:val="nil"/>
              <w:left w:val="nil"/>
              <w:bottom w:val="single" w:sz="8" w:space="0" w:color="auto"/>
              <w:right w:val="single" w:sz="8" w:space="0" w:color="auto"/>
            </w:tcBorders>
            <w:shd w:val="clear" w:color="auto" w:fill="auto"/>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8 763</w:t>
            </w:r>
          </w:p>
        </w:tc>
        <w:tc>
          <w:tcPr>
            <w:tcW w:w="790" w:type="dxa"/>
            <w:tcBorders>
              <w:top w:val="nil"/>
              <w:left w:val="nil"/>
              <w:bottom w:val="single" w:sz="8" w:space="0" w:color="auto"/>
              <w:right w:val="single" w:sz="8" w:space="0" w:color="auto"/>
            </w:tcBorders>
            <w:shd w:val="clear" w:color="auto" w:fill="auto"/>
            <w:noWrap/>
            <w:vAlign w:val="center"/>
          </w:tcPr>
          <w:p w:rsidR="003B6D3C" w:rsidRDefault="003B6D3C">
            <w:pPr>
              <w:jc w:val="right"/>
              <w:rPr>
                <w:rFonts w:cs="Arial"/>
                <w:color w:val="000000"/>
                <w:sz w:val="16"/>
                <w:szCs w:val="16"/>
              </w:rPr>
            </w:pPr>
            <w:r>
              <w:rPr>
                <w:rFonts w:cs="Arial"/>
                <w:color w:val="000000"/>
                <w:sz w:val="16"/>
                <w:szCs w:val="16"/>
              </w:rPr>
              <w:t>7 534</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86,0</w:t>
            </w:r>
          </w:p>
        </w:tc>
      </w:tr>
      <w:tr w:rsidR="003B6D3C" w:rsidRPr="00F41C6D"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CC1931">
            <w:pPr>
              <w:spacing w:line="240" w:lineRule="auto"/>
              <w:rPr>
                <w:rFonts w:cs="Arial"/>
                <w:color w:val="000000"/>
                <w:sz w:val="16"/>
                <w:szCs w:val="16"/>
              </w:rPr>
            </w:pPr>
            <w:r w:rsidRPr="00F41C6D">
              <w:rPr>
                <w:rFonts w:cs="Arial"/>
                <w:color w:val="000000"/>
                <w:sz w:val="16"/>
                <w:szCs w:val="16"/>
              </w:rPr>
              <w:t xml:space="preserve">9 </w:t>
            </w:r>
            <w:r>
              <w:rPr>
                <w:rFonts w:cs="Arial"/>
                <w:color w:val="000000"/>
                <w:sz w:val="16"/>
                <w:szCs w:val="16"/>
              </w:rPr>
              <w:t>Nerozlišeno</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15 625</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14 266</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16 590</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14 870</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color w:val="000000"/>
                <w:sz w:val="16"/>
                <w:szCs w:val="16"/>
              </w:rPr>
            </w:pPr>
            <w:r w:rsidRPr="00F41C6D">
              <w:rPr>
                <w:rFonts w:cs="Arial"/>
                <w:color w:val="000000"/>
                <w:sz w:val="16"/>
                <w:szCs w:val="16"/>
              </w:rPr>
              <w:t>16 073</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15 742</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97,9</w:t>
            </w:r>
          </w:p>
        </w:tc>
      </w:tr>
      <w:tr w:rsidR="003B6D3C" w:rsidRPr="000E5DE5" w:rsidTr="003B6D3C">
        <w:trPr>
          <w:trHeight w:val="325"/>
        </w:trPr>
        <w:tc>
          <w:tcPr>
            <w:tcW w:w="4046" w:type="dxa"/>
            <w:tcBorders>
              <w:top w:val="nil"/>
              <w:left w:val="single" w:sz="8" w:space="0" w:color="auto"/>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rPr>
                <w:rFonts w:cs="Arial"/>
                <w:b/>
                <w:bCs/>
                <w:color w:val="000000"/>
                <w:sz w:val="16"/>
                <w:szCs w:val="16"/>
              </w:rPr>
            </w:pPr>
            <w:r w:rsidRPr="00F41C6D">
              <w:rPr>
                <w:rFonts w:cs="Arial"/>
                <w:b/>
                <w:bCs/>
                <w:color w:val="000000"/>
                <w:sz w:val="16"/>
                <w:szCs w:val="16"/>
              </w:rPr>
              <w:t>Celkem</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b/>
                <w:bCs/>
                <w:color w:val="000000"/>
                <w:sz w:val="16"/>
                <w:szCs w:val="16"/>
              </w:rPr>
            </w:pPr>
            <w:r w:rsidRPr="00F41C6D">
              <w:rPr>
                <w:rFonts w:cs="Arial"/>
                <w:b/>
                <w:bCs/>
                <w:color w:val="000000"/>
                <w:sz w:val="16"/>
                <w:szCs w:val="16"/>
              </w:rPr>
              <w:t>340 690</w:t>
            </w:r>
          </w:p>
        </w:tc>
        <w:tc>
          <w:tcPr>
            <w:tcW w:w="796"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b/>
                <w:bCs/>
                <w:color w:val="000000"/>
                <w:sz w:val="16"/>
                <w:szCs w:val="16"/>
              </w:rPr>
            </w:pPr>
            <w:r w:rsidRPr="00F41C6D">
              <w:rPr>
                <w:rFonts w:cs="Arial"/>
                <w:b/>
                <w:bCs/>
                <w:color w:val="000000"/>
                <w:sz w:val="16"/>
                <w:szCs w:val="16"/>
              </w:rPr>
              <w:t>344 506</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b/>
                <w:bCs/>
                <w:color w:val="000000"/>
                <w:sz w:val="16"/>
                <w:szCs w:val="16"/>
              </w:rPr>
            </w:pPr>
            <w:r w:rsidRPr="00F41C6D">
              <w:rPr>
                <w:rFonts w:cs="Arial"/>
                <w:b/>
                <w:bCs/>
                <w:color w:val="000000"/>
                <w:sz w:val="16"/>
                <w:szCs w:val="16"/>
              </w:rPr>
              <w:t>348 210</w:t>
            </w:r>
          </w:p>
        </w:tc>
        <w:tc>
          <w:tcPr>
            <w:tcW w:w="797"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b/>
                <w:bCs/>
                <w:color w:val="000000"/>
                <w:sz w:val="16"/>
                <w:szCs w:val="16"/>
              </w:rPr>
            </w:pPr>
            <w:r w:rsidRPr="00F41C6D">
              <w:rPr>
                <w:rFonts w:cs="Arial"/>
                <w:b/>
                <w:bCs/>
                <w:color w:val="000000"/>
                <w:sz w:val="16"/>
                <w:szCs w:val="16"/>
              </w:rPr>
              <w:t>350 079</w:t>
            </w:r>
          </w:p>
        </w:tc>
        <w:tc>
          <w:tcPr>
            <w:tcW w:w="804" w:type="dxa"/>
            <w:tcBorders>
              <w:top w:val="nil"/>
              <w:left w:val="nil"/>
              <w:bottom w:val="single" w:sz="8" w:space="0" w:color="auto"/>
              <w:right w:val="single" w:sz="8" w:space="0" w:color="auto"/>
            </w:tcBorders>
            <w:shd w:val="clear" w:color="auto" w:fill="F2DBDB" w:themeFill="accent2" w:themeFillTint="33"/>
            <w:noWrap/>
            <w:vAlign w:val="center"/>
            <w:hideMark/>
          </w:tcPr>
          <w:p w:rsidR="003B6D3C" w:rsidRPr="00F41C6D" w:rsidRDefault="003B6D3C" w:rsidP="00F41C6D">
            <w:pPr>
              <w:spacing w:line="240" w:lineRule="auto"/>
              <w:jc w:val="right"/>
              <w:rPr>
                <w:rFonts w:cs="Arial"/>
                <w:b/>
                <w:bCs/>
                <w:color w:val="000000"/>
                <w:sz w:val="16"/>
                <w:szCs w:val="16"/>
              </w:rPr>
            </w:pPr>
            <w:r w:rsidRPr="00F41C6D">
              <w:rPr>
                <w:rFonts w:cs="Arial"/>
                <w:b/>
                <w:bCs/>
                <w:color w:val="000000"/>
                <w:sz w:val="16"/>
                <w:szCs w:val="16"/>
              </w:rPr>
              <w:t>353 799</w:t>
            </w:r>
          </w:p>
        </w:tc>
        <w:tc>
          <w:tcPr>
            <w:tcW w:w="79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b/>
                <w:bCs/>
                <w:color w:val="000000"/>
                <w:sz w:val="16"/>
                <w:szCs w:val="16"/>
              </w:rPr>
            </w:pPr>
            <w:r>
              <w:rPr>
                <w:rFonts w:cs="Arial"/>
                <w:b/>
                <w:bCs/>
                <w:color w:val="000000"/>
                <w:sz w:val="16"/>
                <w:szCs w:val="16"/>
              </w:rPr>
              <w:t>358 042</w:t>
            </w:r>
          </w:p>
        </w:tc>
        <w:tc>
          <w:tcPr>
            <w:tcW w:w="920" w:type="dxa"/>
            <w:tcBorders>
              <w:top w:val="nil"/>
              <w:left w:val="nil"/>
              <w:bottom w:val="single" w:sz="8" w:space="0" w:color="auto"/>
              <w:right w:val="single" w:sz="8" w:space="0" w:color="auto"/>
            </w:tcBorders>
            <w:shd w:val="clear" w:color="auto" w:fill="F2DBDB" w:themeFill="accent2" w:themeFillTint="33"/>
            <w:noWrap/>
            <w:vAlign w:val="center"/>
          </w:tcPr>
          <w:p w:rsidR="003B6D3C" w:rsidRDefault="003B6D3C">
            <w:pPr>
              <w:jc w:val="right"/>
              <w:rPr>
                <w:rFonts w:cs="Arial"/>
                <w:color w:val="000000"/>
                <w:sz w:val="16"/>
                <w:szCs w:val="16"/>
              </w:rPr>
            </w:pPr>
            <w:r>
              <w:rPr>
                <w:rFonts w:cs="Arial"/>
                <w:color w:val="000000"/>
                <w:sz w:val="16"/>
                <w:szCs w:val="16"/>
              </w:rPr>
              <w:t>101,2</w:t>
            </w:r>
          </w:p>
        </w:tc>
      </w:tr>
    </w:tbl>
    <w:p w:rsidR="00784861" w:rsidRDefault="00F41C6D" w:rsidP="00784861">
      <w:pPr>
        <w:keepNext/>
        <w:spacing w:before="120" w:after="40" w:line="240" w:lineRule="auto"/>
        <w:jc w:val="both"/>
        <w:rPr>
          <w:i/>
          <w:sz w:val="16"/>
          <w:szCs w:val="18"/>
        </w:rPr>
      </w:pPr>
      <w:r w:rsidRPr="00F41C6D">
        <w:rPr>
          <w:i/>
          <w:sz w:val="16"/>
          <w:szCs w:val="18"/>
        </w:rPr>
        <w:t xml:space="preserve">Poznámky: </w:t>
      </w:r>
    </w:p>
    <w:p w:rsidR="00F41C6D" w:rsidRPr="00F41C6D" w:rsidRDefault="00F41C6D" w:rsidP="00784861">
      <w:pPr>
        <w:keepNext/>
        <w:spacing w:line="240" w:lineRule="auto"/>
        <w:jc w:val="both"/>
        <w:rPr>
          <w:i/>
          <w:sz w:val="16"/>
          <w:szCs w:val="18"/>
        </w:rPr>
      </w:pPr>
      <w:r w:rsidRPr="00F41C6D">
        <w:rPr>
          <w:i/>
          <w:sz w:val="16"/>
          <w:szCs w:val="18"/>
        </w:rPr>
        <w:t xml:space="preserve">Do skupiny HP2.9 Ostatní lůžková zařízení patří např. zařízení pro sluchově a zrakově postižené osoby, geriatrická rehabilitační centra, která nesplňují podmínky nemocnic ani zařízení pro mentálně postižené (či zařízení dlouhodobé ošetřovatelské péče).   </w:t>
      </w:r>
    </w:p>
    <w:p w:rsidR="00F41C6D" w:rsidRPr="00F41C6D" w:rsidRDefault="00F41C6D" w:rsidP="00784861">
      <w:pPr>
        <w:keepNext/>
        <w:spacing w:before="40" w:line="240" w:lineRule="auto"/>
        <w:jc w:val="both"/>
        <w:rPr>
          <w:i/>
          <w:sz w:val="16"/>
          <w:szCs w:val="18"/>
        </w:rPr>
      </w:pPr>
      <w:r w:rsidRPr="00F41C6D">
        <w:rPr>
          <w:i/>
          <w:sz w:val="16"/>
          <w:szCs w:val="18"/>
        </w:rPr>
        <w:t>*PZT = prostředky zdravotnické techniky zahrnují např. dioptrické brýle a jiné výrobky oční optiky, pomůcky pro nedoslýchavé, protetické pomůcky, úpravy a opravy uvedených pomůcek</w:t>
      </w:r>
    </w:p>
    <w:p w:rsidR="00F41C6D" w:rsidRPr="00F41C6D" w:rsidRDefault="00F41C6D" w:rsidP="00784861">
      <w:pPr>
        <w:keepNext/>
        <w:spacing w:before="40" w:line="240" w:lineRule="auto"/>
        <w:jc w:val="both"/>
        <w:rPr>
          <w:i/>
          <w:sz w:val="16"/>
          <w:szCs w:val="20"/>
        </w:rPr>
      </w:pPr>
      <w:r w:rsidRPr="00F41C6D">
        <w:rPr>
          <w:i/>
          <w:sz w:val="16"/>
          <w:szCs w:val="18"/>
        </w:rPr>
        <w:t xml:space="preserve">Do skupiny HP 8.1 Domácnosti jako poskytovatelé zdravotní péče je zahrnuto ošetřovné a příspěvek na péči (výdaje na péči zajišťovanou osobou blízkou). </w:t>
      </w:r>
      <w:r w:rsidRPr="00F41C6D">
        <w:rPr>
          <w:i/>
          <w:sz w:val="16"/>
          <w:szCs w:val="20"/>
        </w:rPr>
        <w:t>Na ošetřovné má nárok zaměstnanec, který nemůže pracovat z důvodu, že musí ošetřovat nemocného člena domácnosti, nebo pečovat o zdravé dítě mladší 10 let z důvodů, že školské nebo dětské zařízení bylo uzavřeno z důvodu nepředvídané události, dítěti byla nařízena karanténa, nebo osoba, která jinak o dítě pečuje, sama onemocněla. Podmínkou nároku na ošetřovné je, že ošetřovaná osoba žije se zaměstnancem v domácnosti; to neplatí v případě ošetřování nebo péče o dítě mladší 10 let rodičem Podpůrčí doba u ošetřovného počíná prvním kalendářním dnem potřeby ošetřování a činí nejdéle 9 kalendářních dnů. Jde-li o osamělého zaměstnance, který má v trvalé péči aspoň jedno dítě ve věku do 16 let, které neukončilo povinnou školní docházku, činí</w:t>
      </w:r>
      <w:r w:rsidR="00BD2BDC">
        <w:rPr>
          <w:i/>
          <w:sz w:val="16"/>
          <w:szCs w:val="20"/>
        </w:rPr>
        <w:t> </w:t>
      </w:r>
      <w:r w:rsidRPr="00F41C6D">
        <w:rPr>
          <w:i/>
          <w:sz w:val="16"/>
          <w:szCs w:val="20"/>
        </w:rPr>
        <w:t>podpůrčí doba nejdéle 16 kalendářních dnů.</w:t>
      </w:r>
    </w:p>
    <w:p w:rsidR="00F41C6D" w:rsidRPr="00F41C6D" w:rsidRDefault="00F41C6D" w:rsidP="00F41C6D">
      <w:pPr>
        <w:spacing w:before="120" w:line="240" w:lineRule="auto"/>
        <w:jc w:val="right"/>
        <w:rPr>
          <w:b/>
          <w:bCs/>
          <w:i/>
          <w:sz w:val="16"/>
          <w:szCs w:val="16"/>
        </w:rPr>
      </w:pPr>
      <w:r w:rsidRPr="00F41C6D">
        <w:rPr>
          <w:b/>
          <w:bCs/>
          <w:i/>
          <w:sz w:val="16"/>
          <w:szCs w:val="16"/>
        </w:rPr>
        <w:t xml:space="preserve">Zdroj: ČSÚ 2017, Zdravotnické účty ČR 2010 - 2015 </w:t>
      </w:r>
    </w:p>
    <w:p w:rsidR="00F41C6D" w:rsidRPr="00F41C6D" w:rsidRDefault="005B20AA" w:rsidP="00784861">
      <w:pPr>
        <w:spacing w:line="240" w:lineRule="auto"/>
        <w:rPr>
          <w:b/>
          <w:bCs/>
          <w:noProof/>
          <w:sz w:val="18"/>
          <w:szCs w:val="18"/>
        </w:rPr>
      </w:pPr>
      <w:r>
        <w:rPr>
          <w:b/>
          <w:bCs/>
          <w:noProof/>
          <w:sz w:val="18"/>
          <w:szCs w:val="18"/>
        </w:rPr>
        <w:br w:type="page"/>
      </w:r>
      <w:r w:rsidR="00F41C6D" w:rsidRPr="00F41C6D">
        <w:rPr>
          <w:b/>
          <w:bCs/>
          <w:noProof/>
          <w:sz w:val="18"/>
          <w:szCs w:val="18"/>
        </w:rPr>
        <w:lastRenderedPageBreak/>
        <w:t>Graf 2.5 Výdaje na zdravotní péči v ČR podle vybraných typů poskytovatele, 2011, 2013 a 2015 (mld. Kč</w:t>
      </w:r>
      <w:r w:rsidR="000E5DE5">
        <w:rPr>
          <w:b/>
          <w:bCs/>
          <w:noProof/>
          <w:sz w:val="18"/>
          <w:szCs w:val="18"/>
          <w:lang w:val="en-US"/>
        </w:rPr>
        <w:t>;</w:t>
      </w:r>
      <w:r w:rsidR="00F41C6D" w:rsidRPr="00F41C6D">
        <w:rPr>
          <w:b/>
          <w:bCs/>
          <w:noProof/>
          <w:sz w:val="18"/>
          <w:szCs w:val="18"/>
        </w:rPr>
        <w:t xml:space="preserve"> %)</w:t>
      </w:r>
    </w:p>
    <w:p w:rsidR="00F41C6D" w:rsidRPr="00F41C6D" w:rsidRDefault="00F41C6D" w:rsidP="00F41C6D">
      <w:pPr>
        <w:keepNext/>
        <w:numPr>
          <w:ilvl w:val="0"/>
          <w:numId w:val="28"/>
        </w:numPr>
        <w:spacing w:before="120" w:line="240" w:lineRule="auto"/>
        <w:jc w:val="both"/>
        <w:rPr>
          <w:b/>
          <w:bCs/>
          <w:noProof/>
          <w:sz w:val="18"/>
          <w:szCs w:val="17"/>
        </w:rPr>
      </w:pPr>
      <w:r w:rsidRPr="00F41C6D">
        <w:rPr>
          <w:b/>
          <w:bCs/>
          <w:noProof/>
          <w:sz w:val="18"/>
          <w:szCs w:val="17"/>
        </w:rPr>
        <w:t>v mld. Kč</w:t>
      </w:r>
    </w:p>
    <w:p w:rsidR="00F41C6D" w:rsidRPr="00F41C6D" w:rsidRDefault="00F41C6D" w:rsidP="00F41C6D">
      <w:pPr>
        <w:spacing w:before="120" w:line="240" w:lineRule="auto"/>
        <w:jc w:val="right"/>
        <w:rPr>
          <w:b/>
          <w:bCs/>
          <w:noProof/>
          <w:szCs w:val="17"/>
        </w:rPr>
      </w:pPr>
      <w:r w:rsidRPr="00F41C6D">
        <w:rPr>
          <w:b/>
          <w:bCs/>
          <w:noProof/>
          <w:szCs w:val="17"/>
        </w:rPr>
        <w:drawing>
          <wp:inline distT="0" distB="0" distL="0" distR="0" wp14:anchorId="36B18487" wp14:editId="5335EDD5">
            <wp:extent cx="5972175" cy="3543300"/>
            <wp:effectExtent l="0" t="0" r="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E22935" w:rsidRPr="00E22935" w:rsidRDefault="00E22935" w:rsidP="00E22935">
      <w:pPr>
        <w:keepNext/>
        <w:spacing w:before="120" w:after="120" w:line="240" w:lineRule="auto"/>
        <w:ind w:left="360"/>
        <w:contextualSpacing/>
        <w:jc w:val="both"/>
        <w:rPr>
          <w:rFonts w:cs="Arial"/>
          <w:i/>
          <w:color w:val="000000"/>
          <w:sz w:val="16"/>
          <w:szCs w:val="16"/>
        </w:rPr>
      </w:pPr>
      <w:r w:rsidRPr="00E22935">
        <w:rPr>
          <w:rFonts w:cs="Arial"/>
          <w:i/>
          <w:color w:val="000000"/>
          <w:sz w:val="16"/>
          <w:szCs w:val="16"/>
        </w:rPr>
        <w:t>Kat</w:t>
      </w:r>
      <w:r>
        <w:rPr>
          <w:rFonts w:cs="Arial"/>
          <w:i/>
          <w:color w:val="000000"/>
          <w:sz w:val="16"/>
          <w:szCs w:val="16"/>
        </w:rPr>
        <w:t xml:space="preserve">egorie „ostatní poskytovatelé“ </w:t>
      </w:r>
      <w:r w:rsidRPr="00E22935">
        <w:rPr>
          <w:rFonts w:cs="Arial"/>
          <w:i/>
          <w:color w:val="000000"/>
          <w:sz w:val="16"/>
          <w:szCs w:val="16"/>
        </w:rPr>
        <w:t xml:space="preserve">zahrnuje např. poskytovatele preventivní péče, Ministerstvo zdravotnictví, správu povinného zdravotního pojištění, správu soukromého zdravotního pojištění, podniky apod. Výdaje na zdravotní péči od ostatních poskytovatelů: rok 2011 – 32,9 mld. Kč, 2013 – 34,0 mld. Kč, rok 2015 – 35,0 mld. Kč                                                 </w:t>
      </w:r>
    </w:p>
    <w:p w:rsidR="00F41C6D" w:rsidRPr="00F41C6D" w:rsidRDefault="00F41C6D" w:rsidP="00F41C6D">
      <w:pPr>
        <w:spacing w:before="120" w:line="240" w:lineRule="auto"/>
        <w:jc w:val="right"/>
        <w:rPr>
          <w:b/>
          <w:bCs/>
          <w:noProof/>
          <w:szCs w:val="17"/>
        </w:rPr>
      </w:pPr>
    </w:p>
    <w:p w:rsidR="00F41C6D" w:rsidRPr="00F41C6D" w:rsidRDefault="00F41C6D" w:rsidP="00F41C6D">
      <w:pPr>
        <w:keepNext/>
        <w:numPr>
          <w:ilvl w:val="0"/>
          <w:numId w:val="28"/>
        </w:numPr>
        <w:spacing w:before="120" w:line="240" w:lineRule="auto"/>
        <w:jc w:val="both"/>
        <w:rPr>
          <w:b/>
          <w:bCs/>
          <w:i/>
          <w:sz w:val="18"/>
          <w:szCs w:val="18"/>
        </w:rPr>
      </w:pPr>
      <w:r w:rsidRPr="00F41C6D">
        <w:rPr>
          <w:b/>
          <w:bCs/>
          <w:szCs w:val="20"/>
        </w:rPr>
        <w:t xml:space="preserve"> </w:t>
      </w:r>
      <w:r w:rsidRPr="00F41C6D">
        <w:rPr>
          <w:b/>
          <w:bCs/>
          <w:sz w:val="18"/>
          <w:szCs w:val="18"/>
        </w:rPr>
        <w:t>struktura (%)</w:t>
      </w:r>
      <w:r w:rsidRPr="00F41C6D">
        <w:rPr>
          <w:b/>
          <w:bCs/>
          <w:sz w:val="18"/>
          <w:szCs w:val="18"/>
        </w:rPr>
        <w:tab/>
      </w:r>
    </w:p>
    <w:p w:rsidR="00F41C6D" w:rsidRPr="00F41C6D" w:rsidRDefault="00F41C6D" w:rsidP="00784861">
      <w:pPr>
        <w:spacing w:before="120" w:line="240" w:lineRule="auto"/>
        <w:rPr>
          <w:b/>
          <w:bCs/>
          <w:i/>
          <w:sz w:val="16"/>
          <w:szCs w:val="16"/>
        </w:rPr>
      </w:pPr>
      <w:r w:rsidRPr="00F41C6D">
        <w:rPr>
          <w:b/>
          <w:bCs/>
          <w:i/>
          <w:sz w:val="16"/>
          <w:szCs w:val="16"/>
        </w:rPr>
        <w:tab/>
      </w:r>
      <w:r w:rsidRPr="00F41C6D">
        <w:rPr>
          <w:b/>
          <w:bCs/>
          <w:noProof/>
          <w:color w:val="93CF50"/>
          <w:szCs w:val="17"/>
        </w:rPr>
        <w:drawing>
          <wp:inline distT="0" distB="0" distL="0" distR="0" wp14:anchorId="56F1E675" wp14:editId="19230DCB">
            <wp:extent cx="6153150" cy="3914775"/>
            <wp:effectExtent l="0" t="0" r="0" b="0"/>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13DB5" w:rsidRPr="00713DB5" w:rsidRDefault="00F41C6D" w:rsidP="00713DB5">
      <w:pPr>
        <w:spacing w:before="120" w:line="240" w:lineRule="auto"/>
        <w:jc w:val="right"/>
        <w:rPr>
          <w:b/>
          <w:bCs/>
          <w:i/>
          <w:sz w:val="16"/>
          <w:szCs w:val="16"/>
        </w:rPr>
      </w:pPr>
      <w:r w:rsidRPr="00F41C6D">
        <w:rPr>
          <w:b/>
          <w:bCs/>
          <w:i/>
          <w:sz w:val="16"/>
          <w:szCs w:val="16"/>
        </w:rPr>
        <w:tab/>
      </w:r>
      <w:r w:rsidRPr="00F41C6D">
        <w:rPr>
          <w:b/>
          <w:bCs/>
          <w:i/>
          <w:sz w:val="16"/>
          <w:szCs w:val="16"/>
        </w:rPr>
        <w:tab/>
        <w:t xml:space="preserve">Zdroj: ČSÚ 2017, Zdravotnické účty ČR 2010 - 2015 </w:t>
      </w:r>
    </w:p>
    <w:sectPr w:rsidR="00713DB5" w:rsidRPr="00713DB5" w:rsidSect="00A73632">
      <w:headerReference w:type="even" r:id="rId17"/>
      <w:headerReference w:type="default" r:id="rId18"/>
      <w:footerReference w:type="even" r:id="rId19"/>
      <w:footerReference w:type="default" r:id="rId20"/>
      <w:pgSz w:w="11906" w:h="16838" w:code="9"/>
      <w:pgMar w:top="1134" w:right="1134" w:bottom="1418" w:left="1134" w:header="680" w:footer="680"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55D4" w:rsidRDefault="00B055D4" w:rsidP="00E71A58">
      <w:r>
        <w:separator/>
      </w:r>
    </w:p>
  </w:endnote>
  <w:endnote w:type="continuationSeparator" w:id="0">
    <w:p w:rsidR="00B055D4" w:rsidRDefault="00B055D4"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Minion Pro">
    <w:altName w:val="Times New Roman"/>
    <w:charset w:val="00"/>
    <w:family w:val="auto"/>
    <w:pitch w:val="variable"/>
    <w:sig w:usb0="00000001"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4EB" w:rsidRDefault="004F14EB" w:rsidP="003A6B38">
    <w:pPr>
      <w:pStyle w:val="Zpat"/>
      <w:tabs>
        <w:tab w:val="clear" w:pos="4536"/>
        <w:tab w:val="clear" w:pos="9072"/>
        <w:tab w:val="center" w:pos="4820"/>
        <w:tab w:val="right" w:pos="9639"/>
      </w:tabs>
    </w:pPr>
    <w:r>
      <w:rPr>
        <w:noProof/>
        <w:lang w:eastAsia="cs-CZ"/>
      </w:rPr>
      <w:drawing>
        <wp:anchor distT="0" distB="0" distL="114300" distR="114300" simplePos="0" relativeHeight="251661312" behindDoc="0" locked="0" layoutInCell="1" allowOverlap="1" wp14:anchorId="59BF5F5F" wp14:editId="1DBAA14C">
          <wp:simplePos x="0" y="0"/>
          <wp:positionH relativeFrom="column">
            <wp:posOffset>5660390</wp:posOffset>
          </wp:positionH>
          <wp:positionV relativeFrom="paragraph">
            <wp:posOffset>-52070</wp:posOffset>
          </wp:positionV>
          <wp:extent cx="466725" cy="219075"/>
          <wp:effectExtent l="0" t="0" r="9525" b="9525"/>
          <wp:wrapNone/>
          <wp:docPr id="2" name="obrázek 4"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pic:spPr>
              </pic:pic>
            </a:graphicData>
          </a:graphic>
        </wp:anchor>
      </w:drawing>
    </w:r>
    <w:r w:rsidRPr="005A21E0">
      <w:rPr>
        <w:rFonts w:ascii="Arial" w:hAnsi="Arial" w:cs="Arial"/>
        <w:sz w:val="16"/>
        <w:szCs w:val="16"/>
      </w:rPr>
      <w:fldChar w:fldCharType="begin"/>
    </w:r>
    <w:r w:rsidRPr="005A21E0">
      <w:rPr>
        <w:rFonts w:ascii="Arial" w:hAnsi="Arial" w:cs="Arial"/>
        <w:sz w:val="16"/>
        <w:szCs w:val="16"/>
      </w:rPr>
      <w:instrText>PAGE   \* MERGEFORMAT</w:instrText>
    </w:r>
    <w:r w:rsidRPr="005A21E0">
      <w:rPr>
        <w:rFonts w:ascii="Arial" w:hAnsi="Arial" w:cs="Arial"/>
        <w:sz w:val="16"/>
        <w:szCs w:val="16"/>
      </w:rPr>
      <w:fldChar w:fldCharType="separate"/>
    </w:r>
    <w:r w:rsidR="00F05EFF">
      <w:rPr>
        <w:rFonts w:ascii="Arial" w:hAnsi="Arial" w:cs="Arial"/>
        <w:noProof/>
        <w:sz w:val="16"/>
        <w:szCs w:val="16"/>
      </w:rPr>
      <w:t>14</w:t>
    </w:r>
    <w:r w:rsidRPr="005A21E0">
      <w:rPr>
        <w:rFonts w:ascii="Arial" w:hAnsi="Arial" w:cs="Arial"/>
        <w:sz w:val="16"/>
        <w:szCs w:val="16"/>
      </w:rPr>
      <w:fldChar w:fldCharType="end"/>
    </w:r>
    <w:r>
      <w:rPr>
        <w:rFonts w:ascii="Arial" w:hAnsi="Arial" w:cs="Arial"/>
        <w:sz w:val="16"/>
        <w:szCs w:val="16"/>
      </w:rPr>
      <w:tab/>
      <w:t>2017</w:t>
    </w: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4EB" w:rsidRDefault="004F14EB" w:rsidP="003A6B38">
    <w:pPr>
      <w:pStyle w:val="Zpat"/>
      <w:tabs>
        <w:tab w:val="clear" w:pos="4536"/>
        <w:tab w:val="clear" w:pos="9072"/>
        <w:tab w:val="left" w:pos="1134"/>
        <w:tab w:val="left" w:pos="1920"/>
        <w:tab w:val="center" w:pos="4820"/>
        <w:tab w:val="right" w:pos="9639"/>
      </w:tabs>
    </w:pPr>
    <w:r>
      <w:rPr>
        <w:noProof/>
        <w:lang w:eastAsia="cs-CZ"/>
      </w:rPr>
      <w:drawing>
        <wp:anchor distT="0" distB="0" distL="114300" distR="114300" simplePos="0" relativeHeight="251656192" behindDoc="0" locked="0" layoutInCell="1" allowOverlap="1" wp14:anchorId="1BCA95A9" wp14:editId="45DC3EF3">
          <wp:simplePos x="0" y="0"/>
          <wp:positionH relativeFrom="column">
            <wp:posOffset>3810</wp:posOffset>
          </wp:positionH>
          <wp:positionV relativeFrom="paragraph">
            <wp:posOffset>90170</wp:posOffset>
          </wp:positionV>
          <wp:extent cx="495300" cy="266700"/>
          <wp:effectExtent l="0" t="0" r="0" b="0"/>
          <wp:wrapNone/>
          <wp:docPr id="1" name="obrázek 3"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5300" cy="266700"/>
                  </a:xfrm>
                  <a:prstGeom prst="rect">
                    <a:avLst/>
                  </a:prstGeom>
                  <a:noFill/>
                </pic:spPr>
              </pic:pic>
            </a:graphicData>
          </a:graphic>
        </wp:anchor>
      </w:drawing>
    </w:r>
    <w:r>
      <w:tab/>
    </w:r>
    <w:r>
      <w:tab/>
    </w:r>
  </w:p>
  <w:p w:rsidR="004F14EB" w:rsidRDefault="004F14EB" w:rsidP="00EE3E78">
    <w:pPr>
      <w:pStyle w:val="Zpat"/>
      <w:tabs>
        <w:tab w:val="clear" w:pos="4536"/>
        <w:tab w:val="clear" w:pos="9072"/>
        <w:tab w:val="left" w:pos="1134"/>
        <w:tab w:val="left" w:pos="1920"/>
        <w:tab w:val="center" w:pos="4820"/>
        <w:tab w:val="left" w:pos="9495"/>
        <w:tab w:val="right" w:pos="9639"/>
      </w:tabs>
    </w:pPr>
    <w:r>
      <w:rPr>
        <w:rFonts w:ascii="Arial" w:hAnsi="Arial" w:cs="Arial"/>
        <w:sz w:val="16"/>
        <w:szCs w:val="16"/>
      </w:rPr>
      <w:tab/>
    </w:r>
    <w:r>
      <w:rPr>
        <w:rFonts w:ascii="Arial" w:hAnsi="Arial" w:cs="Arial"/>
        <w:sz w:val="16"/>
        <w:szCs w:val="16"/>
      </w:rPr>
      <w:tab/>
    </w:r>
    <w:r>
      <w:rPr>
        <w:rFonts w:ascii="Arial" w:hAnsi="Arial" w:cs="Arial"/>
        <w:sz w:val="16"/>
        <w:szCs w:val="16"/>
      </w:rPr>
      <w:tab/>
      <w:t>2017</w:t>
    </w:r>
    <w:r>
      <w:tab/>
    </w:r>
    <w:r>
      <w:tab/>
    </w:r>
    <w:r w:rsidRPr="00B6608F">
      <w:rPr>
        <w:rFonts w:ascii="Arial" w:hAnsi="Arial" w:cs="Arial"/>
        <w:sz w:val="16"/>
        <w:szCs w:val="16"/>
      </w:rPr>
      <w:fldChar w:fldCharType="begin"/>
    </w:r>
    <w:r w:rsidRPr="00B6608F">
      <w:rPr>
        <w:rFonts w:ascii="Arial" w:hAnsi="Arial" w:cs="Arial"/>
        <w:sz w:val="16"/>
        <w:szCs w:val="16"/>
      </w:rPr>
      <w:instrText>PAGE   \* MERGEFORMAT</w:instrText>
    </w:r>
    <w:r w:rsidRPr="00B6608F">
      <w:rPr>
        <w:rFonts w:ascii="Arial" w:hAnsi="Arial" w:cs="Arial"/>
        <w:sz w:val="16"/>
        <w:szCs w:val="16"/>
      </w:rPr>
      <w:fldChar w:fldCharType="separate"/>
    </w:r>
    <w:r w:rsidR="00F05EFF">
      <w:rPr>
        <w:rFonts w:ascii="Arial" w:hAnsi="Arial" w:cs="Arial"/>
        <w:noProof/>
        <w:sz w:val="16"/>
        <w:szCs w:val="16"/>
      </w:rPr>
      <w:t>15</w:t>
    </w:r>
    <w:r w:rsidRPr="00B6608F">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55D4" w:rsidRDefault="00B055D4" w:rsidP="00E71A58">
      <w:r>
        <w:separator/>
      </w:r>
    </w:p>
  </w:footnote>
  <w:footnote w:type="continuationSeparator" w:id="0">
    <w:p w:rsidR="00B055D4" w:rsidRDefault="00B055D4" w:rsidP="00E71A58">
      <w:r>
        <w:continuationSeparator/>
      </w:r>
    </w:p>
  </w:footnote>
  <w:footnote w:id="1">
    <w:p w:rsidR="004F14EB" w:rsidRDefault="004F14EB" w:rsidP="00F41C6D">
      <w:pPr>
        <w:pStyle w:val="Textpoznpodarou"/>
      </w:pPr>
      <w:r>
        <w:rPr>
          <w:rStyle w:val="Znakapoznpodarou"/>
        </w:rPr>
        <w:footnoteRef/>
      </w:r>
      <w:r>
        <w:t xml:space="preserve"> </w:t>
      </w:r>
      <w:r w:rsidRPr="00A34296">
        <w:t>Ze státního rozpočtu jsou rovněž hrazeny platby na zdravotní pojištění za nevýdělečně činné skupiny obyvatelstva (děti do ukončení jejich povinné školní docházky, studenty do 26 let, osoby na mateřské a rodičovské dovolené, osoby, které pobírají některý z důchodů, uchazeče o zaměstnání, pokud jsou v evidenci úřadu práce atd.). Konečným zdrojem financování zdravotní péče (ať již lůžkové, ambulantní či jiné) o tyto osoby jsou většinou zdravotní pojišťovny, které jsou primárním příjemcem těchto finančních prostředků. Tyto</w:t>
      </w:r>
      <w:r>
        <w:t> </w:t>
      </w:r>
      <w:r w:rsidRPr="00A34296">
        <w:t>prostředky jsou</w:t>
      </w:r>
      <w:r>
        <w:t xml:space="preserve"> tedy</w:t>
      </w:r>
      <w:r w:rsidRPr="00A34296">
        <w:t xml:space="preserve"> dle metodiky SHA alokovány do zdrojů zdravotních pojišťoven, které s nimi dále hospodaří</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4EB" w:rsidRPr="002175EE" w:rsidRDefault="004F14EB" w:rsidP="00D67975">
    <w:pPr>
      <w:pStyle w:val="Nadpis1"/>
      <w:rPr>
        <w:b w:val="0"/>
        <w:color w:val="auto"/>
        <w:sz w:val="16"/>
        <w:szCs w:val="16"/>
      </w:rPr>
    </w:pPr>
    <w:r w:rsidRPr="002175EE">
      <w:rPr>
        <w:b w:val="0"/>
        <w:color w:val="auto"/>
        <w:sz w:val="16"/>
        <w:szCs w:val="16"/>
      </w:rPr>
      <w:t>Výs</w:t>
    </w:r>
    <w:r>
      <w:rPr>
        <w:b w:val="0"/>
        <w:color w:val="auto"/>
        <w:sz w:val="16"/>
        <w:szCs w:val="16"/>
      </w:rPr>
      <w:t>ledky zdravotnických účtů ČR 2010–2015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14EB" w:rsidRPr="002175EE" w:rsidRDefault="004F14EB" w:rsidP="002175EE">
    <w:pPr>
      <w:pStyle w:val="Nadpis1"/>
      <w:rPr>
        <w:b w:val="0"/>
        <w:color w:val="auto"/>
        <w:sz w:val="16"/>
        <w:szCs w:val="16"/>
      </w:rPr>
    </w:pPr>
    <w:r w:rsidRPr="002175EE">
      <w:rPr>
        <w:b w:val="0"/>
        <w:color w:val="auto"/>
        <w:sz w:val="16"/>
        <w:szCs w:val="16"/>
      </w:rPr>
      <w:t xml:space="preserve">Výsledky </w:t>
    </w:r>
    <w:r>
      <w:rPr>
        <w:b w:val="0"/>
        <w:color w:val="auto"/>
        <w:sz w:val="16"/>
        <w:szCs w:val="16"/>
      </w:rPr>
      <w:t>zdravotnických účtů ČR 2010–2015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81C21"/>
    <w:multiLevelType w:val="hybridMultilevel"/>
    <w:tmpl w:val="99D61F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8AF5F6D"/>
    <w:multiLevelType w:val="hybridMultilevel"/>
    <w:tmpl w:val="5824D116"/>
    <w:lvl w:ilvl="0" w:tplc="F9388996">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BA26586"/>
    <w:multiLevelType w:val="hybridMultilevel"/>
    <w:tmpl w:val="5F2EFD9C"/>
    <w:lvl w:ilvl="0" w:tplc="04050001">
      <w:start w:val="5"/>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2087D8F"/>
    <w:multiLevelType w:val="hybridMultilevel"/>
    <w:tmpl w:val="5DE801E0"/>
    <w:lvl w:ilvl="0" w:tplc="267E35CE">
      <w:start w:val="1"/>
      <w:numFmt w:val="decimal"/>
      <w:lvlText w:val="(%1)"/>
      <w:lvlJc w:val="left"/>
      <w:pPr>
        <w:ind w:left="720" w:hanging="360"/>
      </w:pPr>
      <w:rPr>
        <w:rFonts w:hint="default"/>
        <w:b/>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4DB521B"/>
    <w:multiLevelType w:val="hybridMultilevel"/>
    <w:tmpl w:val="2DC43A6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D9632BB"/>
    <w:multiLevelType w:val="hybridMultilevel"/>
    <w:tmpl w:val="29F85DA0"/>
    <w:lvl w:ilvl="0" w:tplc="04050017">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nsid w:val="1FFD6DEF"/>
    <w:multiLevelType w:val="multilevel"/>
    <w:tmpl w:val="58CE67C4"/>
    <w:lvl w:ilvl="0">
      <w:start w:val="1"/>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
    <w:nsid w:val="206C0299"/>
    <w:multiLevelType w:val="hybridMultilevel"/>
    <w:tmpl w:val="B5E0FF56"/>
    <w:lvl w:ilvl="0" w:tplc="C02A922C">
      <w:start w:val="1"/>
      <w:numFmt w:val="bullet"/>
      <w:pStyle w:val="normalnsodrkami"/>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5666454"/>
    <w:multiLevelType w:val="hybridMultilevel"/>
    <w:tmpl w:val="936055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nsid w:val="28504B67"/>
    <w:multiLevelType w:val="hybridMultilevel"/>
    <w:tmpl w:val="141024E0"/>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2C8760B6"/>
    <w:multiLevelType w:val="hybridMultilevel"/>
    <w:tmpl w:val="2EF6101A"/>
    <w:lvl w:ilvl="0" w:tplc="04050017">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1">
    <w:nsid w:val="2E814446"/>
    <w:multiLevelType w:val="hybridMultilevel"/>
    <w:tmpl w:val="12C803C8"/>
    <w:lvl w:ilvl="0" w:tplc="CD9C6B54">
      <w:start w:val="2"/>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F952F38"/>
    <w:multiLevelType w:val="multilevel"/>
    <w:tmpl w:val="7BD287E4"/>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3BD815B2"/>
    <w:multiLevelType w:val="hybridMultilevel"/>
    <w:tmpl w:val="132CDB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3D0A6F9C"/>
    <w:multiLevelType w:val="hybridMultilevel"/>
    <w:tmpl w:val="5C0CA8E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42322D3E"/>
    <w:multiLevelType w:val="hybridMultilevel"/>
    <w:tmpl w:val="2DA69084"/>
    <w:lvl w:ilvl="0" w:tplc="F9388996">
      <w:start w:val="1"/>
      <w:numFmt w:val="bullet"/>
      <w:lvlText w:val="-"/>
      <w:lvlJc w:val="left"/>
      <w:pPr>
        <w:tabs>
          <w:tab w:val="num" w:pos="765"/>
        </w:tabs>
        <w:ind w:left="765" w:hanging="405"/>
      </w:pPr>
      <w:rPr>
        <w:rFonts w:ascii="Times New Roman" w:eastAsia="Times New Roman" w:hAnsi="Times New Roman" w:cs="Times New Roman" w:hint="default"/>
      </w:rPr>
    </w:lvl>
    <w:lvl w:ilvl="1" w:tplc="F9388996">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nsid w:val="4251525A"/>
    <w:multiLevelType w:val="multilevel"/>
    <w:tmpl w:val="1B6E9F1A"/>
    <w:lvl w:ilvl="0">
      <w:start w:val="2"/>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437647E6"/>
    <w:multiLevelType w:val="hybridMultilevel"/>
    <w:tmpl w:val="7D3E41A0"/>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45645A0C"/>
    <w:multiLevelType w:val="hybridMultilevel"/>
    <w:tmpl w:val="D004DA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97844F8"/>
    <w:multiLevelType w:val="hybridMultilevel"/>
    <w:tmpl w:val="1C3A2F2C"/>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
    <w:nsid w:val="4AFF5011"/>
    <w:multiLevelType w:val="hybridMultilevel"/>
    <w:tmpl w:val="AAAE5906"/>
    <w:lvl w:ilvl="0" w:tplc="BB2899F4">
      <w:start w:val="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CC32522"/>
    <w:multiLevelType w:val="hybridMultilevel"/>
    <w:tmpl w:val="7F9C2826"/>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nsid w:val="5256672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3854D3E"/>
    <w:multiLevelType w:val="multilevel"/>
    <w:tmpl w:val="C57A87AC"/>
    <w:lvl w:ilvl="0">
      <w:start w:val="2"/>
      <w:numFmt w:val="decimal"/>
      <w:lvlText w:val="%1."/>
      <w:lvlJc w:val="left"/>
      <w:pPr>
        <w:ind w:left="360" w:hanging="360"/>
      </w:pPr>
      <w:rPr>
        <w:rFonts w:hint="default"/>
      </w:rPr>
    </w:lvl>
    <w:lvl w:ilvl="1">
      <w:start w:val="4"/>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6840" w:hanging="1800"/>
      </w:pPr>
      <w:rPr>
        <w:rFonts w:hint="default"/>
      </w:rPr>
    </w:lvl>
    <w:lvl w:ilvl="8">
      <w:start w:val="1"/>
      <w:numFmt w:val="decimal"/>
      <w:isLgl/>
      <w:lvlText w:val="%1.%2.%3.%4.%5.%6.%7.%8.%9"/>
      <w:lvlJc w:val="left"/>
      <w:pPr>
        <w:ind w:left="7920" w:hanging="2160"/>
      </w:pPr>
      <w:rPr>
        <w:rFonts w:hint="default"/>
      </w:rPr>
    </w:lvl>
  </w:abstractNum>
  <w:abstractNum w:abstractNumId="24">
    <w:nsid w:val="5B952ED8"/>
    <w:multiLevelType w:val="multilevel"/>
    <w:tmpl w:val="83DAB85A"/>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63050CCD"/>
    <w:multiLevelType w:val="multilevel"/>
    <w:tmpl w:val="61B826CE"/>
    <w:lvl w:ilvl="0">
      <w:start w:val="2"/>
      <w:numFmt w:val="decimal"/>
      <w:lvlText w:val="%1."/>
      <w:lvlJc w:val="left"/>
      <w:pPr>
        <w:ind w:left="360" w:hanging="360"/>
      </w:pPr>
      <w:rPr>
        <w:rFonts w:hint="default"/>
      </w:rPr>
    </w:lvl>
    <w:lvl w:ilvl="1">
      <w:start w:val="2"/>
      <w:numFmt w:val="decimal"/>
      <w:isLgl/>
      <w:lvlText w:val="%1.%2"/>
      <w:lvlJc w:val="left"/>
      <w:pPr>
        <w:ind w:left="480" w:hanging="360"/>
      </w:pPr>
      <w:rPr>
        <w:rFonts w:hint="default"/>
      </w:rPr>
    </w:lvl>
    <w:lvl w:ilvl="2">
      <w:start w:val="1"/>
      <w:numFmt w:val="decimal"/>
      <w:isLgl/>
      <w:lvlText w:val="%1.%2.%3"/>
      <w:lvlJc w:val="left"/>
      <w:pPr>
        <w:ind w:left="60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200" w:hanging="72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1800" w:hanging="1080"/>
      </w:pPr>
      <w:rPr>
        <w:rFonts w:hint="default"/>
      </w:rPr>
    </w:lvl>
    <w:lvl w:ilvl="7">
      <w:start w:val="1"/>
      <w:numFmt w:val="decimal"/>
      <w:isLgl/>
      <w:lvlText w:val="%1.%2.%3.%4.%5.%6.%7.%8"/>
      <w:lvlJc w:val="left"/>
      <w:pPr>
        <w:ind w:left="1920" w:hanging="1080"/>
      </w:pPr>
      <w:rPr>
        <w:rFonts w:hint="default"/>
      </w:rPr>
    </w:lvl>
    <w:lvl w:ilvl="8">
      <w:start w:val="1"/>
      <w:numFmt w:val="decimal"/>
      <w:isLgl/>
      <w:lvlText w:val="%1.%2.%3.%4.%5.%6.%7.%8.%9"/>
      <w:lvlJc w:val="left"/>
      <w:pPr>
        <w:ind w:left="2400" w:hanging="1440"/>
      </w:pPr>
      <w:rPr>
        <w:rFonts w:hint="default"/>
      </w:rPr>
    </w:lvl>
  </w:abstractNum>
  <w:abstractNum w:abstractNumId="26">
    <w:nsid w:val="6F893287"/>
    <w:multiLevelType w:val="multilevel"/>
    <w:tmpl w:val="418C03A2"/>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73FE39F3"/>
    <w:multiLevelType w:val="hybridMultilevel"/>
    <w:tmpl w:val="405C553E"/>
    <w:lvl w:ilvl="0" w:tplc="04050001">
      <w:start w:val="7"/>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6415C6D"/>
    <w:multiLevelType w:val="hybridMultilevel"/>
    <w:tmpl w:val="A598291C"/>
    <w:lvl w:ilvl="0" w:tplc="5F1AC2C0">
      <w:start w:val="1"/>
      <w:numFmt w:val="lowerLetter"/>
      <w:lvlText w:val="%1)"/>
      <w:lvlJc w:val="left"/>
      <w:pPr>
        <w:ind w:left="360" w:hanging="360"/>
      </w:pPr>
      <w:rPr>
        <w:rFonts w:hint="default"/>
        <w:i w:val="0"/>
        <w:sz w:val="20"/>
        <w:szCs w:val="2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7A020001"/>
    <w:multiLevelType w:val="multilevel"/>
    <w:tmpl w:val="4A3A04D4"/>
    <w:lvl w:ilvl="0">
      <w:start w:val="2"/>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7B762E6D"/>
    <w:multiLevelType w:val="hybridMultilevel"/>
    <w:tmpl w:val="586A2F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E571231"/>
    <w:multiLevelType w:val="hybridMultilevel"/>
    <w:tmpl w:val="EF7631D6"/>
    <w:lvl w:ilvl="0" w:tplc="D4C2B7B4">
      <w:start w:val="1"/>
      <w:numFmt w:val="lowerLetter"/>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2">
    <w:nsid w:val="7F9F4163"/>
    <w:multiLevelType w:val="hybridMultilevel"/>
    <w:tmpl w:val="A78ADFC6"/>
    <w:lvl w:ilvl="0" w:tplc="242AA788">
      <w:numFmt w:val="bullet"/>
      <w:lvlText w:val="-"/>
      <w:lvlJc w:val="left"/>
      <w:pPr>
        <w:ind w:left="1788" w:hanging="360"/>
      </w:pPr>
      <w:rPr>
        <w:rFonts w:ascii="Arial" w:eastAsia="Times New Roman" w:hAnsi="Arial" w:cs="Arial" w:hint="default"/>
      </w:rPr>
    </w:lvl>
    <w:lvl w:ilvl="1" w:tplc="04050003" w:tentative="1">
      <w:start w:val="1"/>
      <w:numFmt w:val="bullet"/>
      <w:lvlText w:val="o"/>
      <w:lvlJc w:val="left"/>
      <w:pPr>
        <w:ind w:left="2508" w:hanging="360"/>
      </w:pPr>
      <w:rPr>
        <w:rFonts w:ascii="Courier New" w:hAnsi="Courier New" w:cs="Courier New" w:hint="default"/>
      </w:rPr>
    </w:lvl>
    <w:lvl w:ilvl="2" w:tplc="04050005" w:tentative="1">
      <w:start w:val="1"/>
      <w:numFmt w:val="bullet"/>
      <w:lvlText w:val=""/>
      <w:lvlJc w:val="left"/>
      <w:pPr>
        <w:ind w:left="3228" w:hanging="360"/>
      </w:pPr>
      <w:rPr>
        <w:rFonts w:ascii="Wingdings" w:hAnsi="Wingdings" w:hint="default"/>
      </w:rPr>
    </w:lvl>
    <w:lvl w:ilvl="3" w:tplc="04050001" w:tentative="1">
      <w:start w:val="1"/>
      <w:numFmt w:val="bullet"/>
      <w:lvlText w:val=""/>
      <w:lvlJc w:val="left"/>
      <w:pPr>
        <w:ind w:left="3948" w:hanging="360"/>
      </w:pPr>
      <w:rPr>
        <w:rFonts w:ascii="Symbol" w:hAnsi="Symbol" w:hint="default"/>
      </w:rPr>
    </w:lvl>
    <w:lvl w:ilvl="4" w:tplc="04050003" w:tentative="1">
      <w:start w:val="1"/>
      <w:numFmt w:val="bullet"/>
      <w:lvlText w:val="o"/>
      <w:lvlJc w:val="left"/>
      <w:pPr>
        <w:ind w:left="4668" w:hanging="360"/>
      </w:pPr>
      <w:rPr>
        <w:rFonts w:ascii="Courier New" w:hAnsi="Courier New" w:cs="Courier New" w:hint="default"/>
      </w:rPr>
    </w:lvl>
    <w:lvl w:ilvl="5" w:tplc="04050005" w:tentative="1">
      <w:start w:val="1"/>
      <w:numFmt w:val="bullet"/>
      <w:lvlText w:val=""/>
      <w:lvlJc w:val="left"/>
      <w:pPr>
        <w:ind w:left="5388" w:hanging="360"/>
      </w:pPr>
      <w:rPr>
        <w:rFonts w:ascii="Wingdings" w:hAnsi="Wingdings" w:hint="default"/>
      </w:rPr>
    </w:lvl>
    <w:lvl w:ilvl="6" w:tplc="04050001" w:tentative="1">
      <w:start w:val="1"/>
      <w:numFmt w:val="bullet"/>
      <w:lvlText w:val=""/>
      <w:lvlJc w:val="left"/>
      <w:pPr>
        <w:ind w:left="6108" w:hanging="360"/>
      </w:pPr>
      <w:rPr>
        <w:rFonts w:ascii="Symbol" w:hAnsi="Symbol" w:hint="default"/>
      </w:rPr>
    </w:lvl>
    <w:lvl w:ilvl="7" w:tplc="04050003" w:tentative="1">
      <w:start w:val="1"/>
      <w:numFmt w:val="bullet"/>
      <w:lvlText w:val="o"/>
      <w:lvlJc w:val="left"/>
      <w:pPr>
        <w:ind w:left="6828" w:hanging="360"/>
      </w:pPr>
      <w:rPr>
        <w:rFonts w:ascii="Courier New" w:hAnsi="Courier New" w:cs="Courier New" w:hint="default"/>
      </w:rPr>
    </w:lvl>
    <w:lvl w:ilvl="8" w:tplc="04050005" w:tentative="1">
      <w:start w:val="1"/>
      <w:numFmt w:val="bullet"/>
      <w:lvlText w:val=""/>
      <w:lvlJc w:val="left"/>
      <w:pPr>
        <w:ind w:left="7548" w:hanging="360"/>
      </w:pPr>
      <w:rPr>
        <w:rFonts w:ascii="Wingdings" w:hAnsi="Wingdings" w:hint="default"/>
      </w:rPr>
    </w:lvl>
  </w:abstractNum>
  <w:num w:numId="1">
    <w:abstractNumId w:val="15"/>
  </w:num>
  <w:num w:numId="2">
    <w:abstractNumId w:val="21"/>
  </w:num>
  <w:num w:numId="3">
    <w:abstractNumId w:val="3"/>
  </w:num>
  <w:num w:numId="4">
    <w:abstractNumId w:val="22"/>
  </w:num>
  <w:num w:numId="5">
    <w:abstractNumId w:val="1"/>
  </w:num>
  <w:num w:numId="6">
    <w:abstractNumId w:val="7"/>
  </w:num>
  <w:num w:numId="7">
    <w:abstractNumId w:val="17"/>
  </w:num>
  <w:num w:numId="8">
    <w:abstractNumId w:val="26"/>
  </w:num>
  <w:num w:numId="9">
    <w:abstractNumId w:val="16"/>
  </w:num>
  <w:num w:numId="10">
    <w:abstractNumId w:val="24"/>
  </w:num>
  <w:num w:numId="11">
    <w:abstractNumId w:val="6"/>
  </w:num>
  <w:num w:numId="12">
    <w:abstractNumId w:val="29"/>
  </w:num>
  <w:num w:numId="13">
    <w:abstractNumId w:val="20"/>
  </w:num>
  <w:num w:numId="14">
    <w:abstractNumId w:val="23"/>
  </w:num>
  <w:num w:numId="15">
    <w:abstractNumId w:val="25"/>
  </w:num>
  <w:num w:numId="16">
    <w:abstractNumId w:val="2"/>
  </w:num>
  <w:num w:numId="17">
    <w:abstractNumId w:val="11"/>
  </w:num>
  <w:num w:numId="18">
    <w:abstractNumId w:val="27"/>
  </w:num>
  <w:num w:numId="19">
    <w:abstractNumId w:val="0"/>
  </w:num>
  <w:num w:numId="20">
    <w:abstractNumId w:val="32"/>
  </w:num>
  <w:num w:numId="21">
    <w:abstractNumId w:val="4"/>
  </w:num>
  <w:num w:numId="22">
    <w:abstractNumId w:val="19"/>
  </w:num>
  <w:num w:numId="23">
    <w:abstractNumId w:val="12"/>
  </w:num>
  <w:num w:numId="24">
    <w:abstractNumId w:val="9"/>
  </w:num>
  <w:num w:numId="25">
    <w:abstractNumId w:val="31"/>
  </w:num>
  <w:num w:numId="26">
    <w:abstractNumId w:val="13"/>
  </w:num>
  <w:num w:numId="27">
    <w:abstractNumId w:val="8"/>
  </w:num>
  <w:num w:numId="28">
    <w:abstractNumId w:val="28"/>
  </w:num>
  <w:num w:numId="29">
    <w:abstractNumId w:val="10"/>
  </w:num>
  <w:num w:numId="30">
    <w:abstractNumId w:val="14"/>
  </w:num>
  <w:num w:numId="31">
    <w:abstractNumId w:val="5"/>
  </w:num>
  <w:num w:numId="32">
    <w:abstractNumId w:val="30"/>
  </w:num>
  <w:num w:numId="33">
    <w:abstractNumId w:val="1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isplayBackgroundShape/>
  <w:proofState w:spelling="clean" w:grammar="clean"/>
  <w:attachedTemplate r:id="rId1"/>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5641"/>
    <w:rsid w:val="0000767A"/>
    <w:rsid w:val="00007BF6"/>
    <w:rsid w:val="00010702"/>
    <w:rsid w:val="0002040C"/>
    <w:rsid w:val="000307D2"/>
    <w:rsid w:val="0004694F"/>
    <w:rsid w:val="00052D0B"/>
    <w:rsid w:val="00062EC5"/>
    <w:rsid w:val="0006345C"/>
    <w:rsid w:val="00074403"/>
    <w:rsid w:val="0007543A"/>
    <w:rsid w:val="0008549D"/>
    <w:rsid w:val="00087634"/>
    <w:rsid w:val="000A1183"/>
    <w:rsid w:val="000A2D10"/>
    <w:rsid w:val="000C3408"/>
    <w:rsid w:val="000D0933"/>
    <w:rsid w:val="000D21E1"/>
    <w:rsid w:val="000D5E39"/>
    <w:rsid w:val="000E5DE5"/>
    <w:rsid w:val="00110E3B"/>
    <w:rsid w:val="001149A1"/>
    <w:rsid w:val="00121C92"/>
    <w:rsid w:val="00133BA8"/>
    <w:rsid w:val="001351C9"/>
    <w:rsid w:val="001405FA"/>
    <w:rsid w:val="001425C3"/>
    <w:rsid w:val="00154ED5"/>
    <w:rsid w:val="00162D56"/>
    <w:rsid w:val="00163793"/>
    <w:rsid w:val="00163E20"/>
    <w:rsid w:val="001714F2"/>
    <w:rsid w:val="00172311"/>
    <w:rsid w:val="00185010"/>
    <w:rsid w:val="00190B38"/>
    <w:rsid w:val="00193560"/>
    <w:rsid w:val="001A177C"/>
    <w:rsid w:val="001A3B66"/>
    <w:rsid w:val="001A552F"/>
    <w:rsid w:val="001B3110"/>
    <w:rsid w:val="001B61BC"/>
    <w:rsid w:val="001C1D52"/>
    <w:rsid w:val="001E3731"/>
    <w:rsid w:val="001F4597"/>
    <w:rsid w:val="00210AA5"/>
    <w:rsid w:val="00213C72"/>
    <w:rsid w:val="002175EE"/>
    <w:rsid w:val="0022139E"/>
    <w:rsid w:val="00223335"/>
    <w:rsid w:val="002237C6"/>
    <w:rsid w:val="002252E0"/>
    <w:rsid w:val="002255F6"/>
    <w:rsid w:val="00226272"/>
    <w:rsid w:val="00227AA9"/>
    <w:rsid w:val="00236443"/>
    <w:rsid w:val="002436BA"/>
    <w:rsid w:val="00244A15"/>
    <w:rsid w:val="0024799E"/>
    <w:rsid w:val="00247A40"/>
    <w:rsid w:val="00254100"/>
    <w:rsid w:val="00264C1E"/>
    <w:rsid w:val="00270041"/>
    <w:rsid w:val="00272839"/>
    <w:rsid w:val="0028438F"/>
    <w:rsid w:val="00290B98"/>
    <w:rsid w:val="002A795D"/>
    <w:rsid w:val="002B6C95"/>
    <w:rsid w:val="002C1EDC"/>
    <w:rsid w:val="002C43BD"/>
    <w:rsid w:val="002C567F"/>
    <w:rsid w:val="002E02A1"/>
    <w:rsid w:val="002F59C4"/>
    <w:rsid w:val="00304771"/>
    <w:rsid w:val="00306C5B"/>
    <w:rsid w:val="003141CB"/>
    <w:rsid w:val="003209D6"/>
    <w:rsid w:val="00330C8E"/>
    <w:rsid w:val="00341E61"/>
    <w:rsid w:val="00344398"/>
    <w:rsid w:val="00345347"/>
    <w:rsid w:val="0035195A"/>
    <w:rsid w:val="00352ACB"/>
    <w:rsid w:val="00356E1F"/>
    <w:rsid w:val="003657F3"/>
    <w:rsid w:val="00375B3D"/>
    <w:rsid w:val="00385D98"/>
    <w:rsid w:val="00394B23"/>
    <w:rsid w:val="00396A34"/>
    <w:rsid w:val="00397972"/>
    <w:rsid w:val="003A2B4D"/>
    <w:rsid w:val="003A478C"/>
    <w:rsid w:val="003A5525"/>
    <w:rsid w:val="003A6B38"/>
    <w:rsid w:val="003B34FF"/>
    <w:rsid w:val="003B4169"/>
    <w:rsid w:val="003B5A32"/>
    <w:rsid w:val="003B5B99"/>
    <w:rsid w:val="003B6D3C"/>
    <w:rsid w:val="003C627D"/>
    <w:rsid w:val="003C6CC2"/>
    <w:rsid w:val="003E037E"/>
    <w:rsid w:val="003F313C"/>
    <w:rsid w:val="004004F4"/>
    <w:rsid w:val="0040155D"/>
    <w:rsid w:val="00403484"/>
    <w:rsid w:val="00416C0A"/>
    <w:rsid w:val="004242B2"/>
    <w:rsid w:val="00426A61"/>
    <w:rsid w:val="00437DC6"/>
    <w:rsid w:val="00452EBE"/>
    <w:rsid w:val="004621EF"/>
    <w:rsid w:val="00470E57"/>
    <w:rsid w:val="00476265"/>
    <w:rsid w:val="0048086F"/>
    <w:rsid w:val="0048139F"/>
    <w:rsid w:val="004859A8"/>
    <w:rsid w:val="004A081C"/>
    <w:rsid w:val="004A77DF"/>
    <w:rsid w:val="004B2C1E"/>
    <w:rsid w:val="004B55B7"/>
    <w:rsid w:val="004B7591"/>
    <w:rsid w:val="004C3867"/>
    <w:rsid w:val="004C4ABE"/>
    <w:rsid w:val="004C4CD0"/>
    <w:rsid w:val="004C70DC"/>
    <w:rsid w:val="004D0211"/>
    <w:rsid w:val="004E1007"/>
    <w:rsid w:val="004F06F5"/>
    <w:rsid w:val="004F0E28"/>
    <w:rsid w:val="004F14EB"/>
    <w:rsid w:val="004F209C"/>
    <w:rsid w:val="004F78C3"/>
    <w:rsid w:val="005108C0"/>
    <w:rsid w:val="00511873"/>
    <w:rsid w:val="00513B7E"/>
    <w:rsid w:val="00514041"/>
    <w:rsid w:val="005221B3"/>
    <w:rsid w:val="0052495E"/>
    <w:rsid w:val="00525137"/>
    <w:rsid w:val="005251DD"/>
    <w:rsid w:val="00532D7D"/>
    <w:rsid w:val="005376AD"/>
    <w:rsid w:val="00542E84"/>
    <w:rsid w:val="00544082"/>
    <w:rsid w:val="005513E1"/>
    <w:rsid w:val="00557A96"/>
    <w:rsid w:val="00572C92"/>
    <w:rsid w:val="00583FFD"/>
    <w:rsid w:val="00586971"/>
    <w:rsid w:val="00593152"/>
    <w:rsid w:val="00593E87"/>
    <w:rsid w:val="00595D62"/>
    <w:rsid w:val="005A21E0"/>
    <w:rsid w:val="005A7316"/>
    <w:rsid w:val="005B20AA"/>
    <w:rsid w:val="005C2045"/>
    <w:rsid w:val="005D0800"/>
    <w:rsid w:val="005D1BF3"/>
    <w:rsid w:val="005D514D"/>
    <w:rsid w:val="005D5802"/>
    <w:rsid w:val="005E0178"/>
    <w:rsid w:val="005E1DD5"/>
    <w:rsid w:val="005E73F3"/>
    <w:rsid w:val="005F153A"/>
    <w:rsid w:val="006016D1"/>
    <w:rsid w:val="00604307"/>
    <w:rsid w:val="0060487F"/>
    <w:rsid w:val="00624093"/>
    <w:rsid w:val="00625E0F"/>
    <w:rsid w:val="00633AEB"/>
    <w:rsid w:val="00633F6D"/>
    <w:rsid w:val="006352A8"/>
    <w:rsid w:val="00635B35"/>
    <w:rsid w:val="006366C8"/>
    <w:rsid w:val="006404A7"/>
    <w:rsid w:val="006419F8"/>
    <w:rsid w:val="006451E4"/>
    <w:rsid w:val="00645EF8"/>
    <w:rsid w:val="00653860"/>
    <w:rsid w:val="00655906"/>
    <w:rsid w:val="0065667A"/>
    <w:rsid w:val="00657E87"/>
    <w:rsid w:val="00670037"/>
    <w:rsid w:val="006710C9"/>
    <w:rsid w:val="00675DD1"/>
    <w:rsid w:val="00675E37"/>
    <w:rsid w:val="00677696"/>
    <w:rsid w:val="0068260E"/>
    <w:rsid w:val="0069246C"/>
    <w:rsid w:val="006941CE"/>
    <w:rsid w:val="00695BEF"/>
    <w:rsid w:val="00697219"/>
    <w:rsid w:val="006977F6"/>
    <w:rsid w:val="00697A13"/>
    <w:rsid w:val="00697C9B"/>
    <w:rsid w:val="006A109C"/>
    <w:rsid w:val="006A31C8"/>
    <w:rsid w:val="006A420D"/>
    <w:rsid w:val="006B7581"/>
    <w:rsid w:val="006B78D8"/>
    <w:rsid w:val="006C113F"/>
    <w:rsid w:val="006D61F6"/>
    <w:rsid w:val="006E1FDB"/>
    <w:rsid w:val="006E279A"/>
    <w:rsid w:val="006E313B"/>
    <w:rsid w:val="006E5DFC"/>
    <w:rsid w:val="007051F5"/>
    <w:rsid w:val="0070676A"/>
    <w:rsid w:val="00713DB5"/>
    <w:rsid w:val="007211F5"/>
    <w:rsid w:val="007271FD"/>
    <w:rsid w:val="00730AE8"/>
    <w:rsid w:val="00741493"/>
    <w:rsid w:val="0074736D"/>
    <w:rsid w:val="00750951"/>
    <w:rsid w:val="00752180"/>
    <w:rsid w:val="00755D3A"/>
    <w:rsid w:val="0075757C"/>
    <w:rsid w:val="007609C6"/>
    <w:rsid w:val="00760D36"/>
    <w:rsid w:val="0077264D"/>
    <w:rsid w:val="00776527"/>
    <w:rsid w:val="00784861"/>
    <w:rsid w:val="007949E3"/>
    <w:rsid w:val="007A01BD"/>
    <w:rsid w:val="007A4E4E"/>
    <w:rsid w:val="007A68E8"/>
    <w:rsid w:val="007B47EE"/>
    <w:rsid w:val="007B60D9"/>
    <w:rsid w:val="007D3A47"/>
    <w:rsid w:val="007D6E98"/>
    <w:rsid w:val="007E12CE"/>
    <w:rsid w:val="007E25B1"/>
    <w:rsid w:val="007E7E61"/>
    <w:rsid w:val="007F6B36"/>
    <w:rsid w:val="00802A57"/>
    <w:rsid w:val="00814887"/>
    <w:rsid w:val="00821FF6"/>
    <w:rsid w:val="0083143E"/>
    <w:rsid w:val="00834FAA"/>
    <w:rsid w:val="0083596D"/>
    <w:rsid w:val="00836086"/>
    <w:rsid w:val="00853E06"/>
    <w:rsid w:val="00857578"/>
    <w:rsid w:val="008605E5"/>
    <w:rsid w:val="00860953"/>
    <w:rsid w:val="008620CA"/>
    <w:rsid w:val="0087055B"/>
    <w:rsid w:val="00876086"/>
    <w:rsid w:val="008877B0"/>
    <w:rsid w:val="008B309A"/>
    <w:rsid w:val="008B7C02"/>
    <w:rsid w:val="008C0E88"/>
    <w:rsid w:val="008C5CAD"/>
    <w:rsid w:val="008D2A16"/>
    <w:rsid w:val="008D44B7"/>
    <w:rsid w:val="008E31FF"/>
    <w:rsid w:val="008E401B"/>
    <w:rsid w:val="008E4BFF"/>
    <w:rsid w:val="008F60FD"/>
    <w:rsid w:val="009003A8"/>
    <w:rsid w:val="009020FE"/>
    <w:rsid w:val="00902EFF"/>
    <w:rsid w:val="0090382A"/>
    <w:rsid w:val="00921F14"/>
    <w:rsid w:val="009233F1"/>
    <w:rsid w:val="009248E3"/>
    <w:rsid w:val="0094427A"/>
    <w:rsid w:val="00944EA6"/>
    <w:rsid w:val="009552B1"/>
    <w:rsid w:val="00972CA2"/>
    <w:rsid w:val="0097336E"/>
    <w:rsid w:val="00973454"/>
    <w:rsid w:val="00974923"/>
    <w:rsid w:val="00991A9E"/>
    <w:rsid w:val="009A23E5"/>
    <w:rsid w:val="009B6FD3"/>
    <w:rsid w:val="009C00F3"/>
    <w:rsid w:val="009C3912"/>
    <w:rsid w:val="009E14B5"/>
    <w:rsid w:val="009E3131"/>
    <w:rsid w:val="009E5300"/>
    <w:rsid w:val="009F30E4"/>
    <w:rsid w:val="00A10D66"/>
    <w:rsid w:val="00A1636E"/>
    <w:rsid w:val="00A202A7"/>
    <w:rsid w:val="00A204CF"/>
    <w:rsid w:val="00A23E43"/>
    <w:rsid w:val="00A33EFD"/>
    <w:rsid w:val="00A34DA0"/>
    <w:rsid w:val="00A35033"/>
    <w:rsid w:val="00A460B2"/>
    <w:rsid w:val="00A46DE0"/>
    <w:rsid w:val="00A52EC2"/>
    <w:rsid w:val="00A5555E"/>
    <w:rsid w:val="00A55FDE"/>
    <w:rsid w:val="00A62CE1"/>
    <w:rsid w:val="00A73632"/>
    <w:rsid w:val="00A75E40"/>
    <w:rsid w:val="00A857C0"/>
    <w:rsid w:val="00A902A5"/>
    <w:rsid w:val="00A94AB5"/>
    <w:rsid w:val="00A953D4"/>
    <w:rsid w:val="00AA0168"/>
    <w:rsid w:val="00AA315F"/>
    <w:rsid w:val="00AA3BA1"/>
    <w:rsid w:val="00AA559A"/>
    <w:rsid w:val="00AB2AF1"/>
    <w:rsid w:val="00AB3CE2"/>
    <w:rsid w:val="00AB64E8"/>
    <w:rsid w:val="00AC1752"/>
    <w:rsid w:val="00AC4A24"/>
    <w:rsid w:val="00AD239A"/>
    <w:rsid w:val="00AD306C"/>
    <w:rsid w:val="00AE33C2"/>
    <w:rsid w:val="00AF25EE"/>
    <w:rsid w:val="00B01CAD"/>
    <w:rsid w:val="00B055D4"/>
    <w:rsid w:val="00B07A25"/>
    <w:rsid w:val="00B140AA"/>
    <w:rsid w:val="00B17C49"/>
    <w:rsid w:val="00B17E71"/>
    <w:rsid w:val="00B17FDE"/>
    <w:rsid w:val="00B2098B"/>
    <w:rsid w:val="00B32DDB"/>
    <w:rsid w:val="00B36A65"/>
    <w:rsid w:val="00B40A03"/>
    <w:rsid w:val="00B44676"/>
    <w:rsid w:val="00B448FC"/>
    <w:rsid w:val="00B4643E"/>
    <w:rsid w:val="00B513EB"/>
    <w:rsid w:val="00B551E6"/>
    <w:rsid w:val="00B6608F"/>
    <w:rsid w:val="00B76D1E"/>
    <w:rsid w:val="00B801AF"/>
    <w:rsid w:val="00B80EDA"/>
    <w:rsid w:val="00B81475"/>
    <w:rsid w:val="00B82F63"/>
    <w:rsid w:val="00B95940"/>
    <w:rsid w:val="00B97BEC"/>
    <w:rsid w:val="00BA0E5F"/>
    <w:rsid w:val="00BA493B"/>
    <w:rsid w:val="00BA4D62"/>
    <w:rsid w:val="00BC3543"/>
    <w:rsid w:val="00BC5568"/>
    <w:rsid w:val="00BC66E8"/>
    <w:rsid w:val="00BD2BDC"/>
    <w:rsid w:val="00BD366B"/>
    <w:rsid w:val="00BD6D50"/>
    <w:rsid w:val="00BD7706"/>
    <w:rsid w:val="00BE23F8"/>
    <w:rsid w:val="00C01506"/>
    <w:rsid w:val="00C107E7"/>
    <w:rsid w:val="00C21F94"/>
    <w:rsid w:val="00C3177E"/>
    <w:rsid w:val="00C41EFF"/>
    <w:rsid w:val="00C556F4"/>
    <w:rsid w:val="00C64B75"/>
    <w:rsid w:val="00C80F44"/>
    <w:rsid w:val="00C90CF4"/>
    <w:rsid w:val="00C91D7C"/>
    <w:rsid w:val="00C92654"/>
    <w:rsid w:val="00C93389"/>
    <w:rsid w:val="00C97E34"/>
    <w:rsid w:val="00CA0463"/>
    <w:rsid w:val="00CA24C7"/>
    <w:rsid w:val="00CB7349"/>
    <w:rsid w:val="00CC1931"/>
    <w:rsid w:val="00CC1CC4"/>
    <w:rsid w:val="00CC475C"/>
    <w:rsid w:val="00CD288B"/>
    <w:rsid w:val="00CF51EC"/>
    <w:rsid w:val="00D03693"/>
    <w:rsid w:val="00D040DD"/>
    <w:rsid w:val="00D10241"/>
    <w:rsid w:val="00D15A3E"/>
    <w:rsid w:val="00D30233"/>
    <w:rsid w:val="00D32AAF"/>
    <w:rsid w:val="00D347C8"/>
    <w:rsid w:val="00D51805"/>
    <w:rsid w:val="00D602CE"/>
    <w:rsid w:val="00D60433"/>
    <w:rsid w:val="00D61A47"/>
    <w:rsid w:val="00D67975"/>
    <w:rsid w:val="00D7363A"/>
    <w:rsid w:val="00D842D3"/>
    <w:rsid w:val="00DA3AAF"/>
    <w:rsid w:val="00DA45FF"/>
    <w:rsid w:val="00DB4F3B"/>
    <w:rsid w:val="00DC2E00"/>
    <w:rsid w:val="00DC5B3B"/>
    <w:rsid w:val="00DE2D8F"/>
    <w:rsid w:val="00DE3724"/>
    <w:rsid w:val="00DF00E1"/>
    <w:rsid w:val="00DF4DBA"/>
    <w:rsid w:val="00DF5641"/>
    <w:rsid w:val="00E01C0E"/>
    <w:rsid w:val="00E03893"/>
    <w:rsid w:val="00E04694"/>
    <w:rsid w:val="00E069D1"/>
    <w:rsid w:val="00E22935"/>
    <w:rsid w:val="00E263D4"/>
    <w:rsid w:val="00E2712D"/>
    <w:rsid w:val="00E42B4D"/>
    <w:rsid w:val="00E438DF"/>
    <w:rsid w:val="00E5040E"/>
    <w:rsid w:val="00E55504"/>
    <w:rsid w:val="00E71A58"/>
    <w:rsid w:val="00E834CB"/>
    <w:rsid w:val="00E8493B"/>
    <w:rsid w:val="00E90C72"/>
    <w:rsid w:val="00EA0C68"/>
    <w:rsid w:val="00EB3661"/>
    <w:rsid w:val="00ED286F"/>
    <w:rsid w:val="00EE39DC"/>
    <w:rsid w:val="00EE3E78"/>
    <w:rsid w:val="00EE5A6E"/>
    <w:rsid w:val="00EF1AEF"/>
    <w:rsid w:val="00EF1F5A"/>
    <w:rsid w:val="00EF4D97"/>
    <w:rsid w:val="00F014FF"/>
    <w:rsid w:val="00F02F8E"/>
    <w:rsid w:val="00F03967"/>
    <w:rsid w:val="00F04811"/>
    <w:rsid w:val="00F0488C"/>
    <w:rsid w:val="00F05EFF"/>
    <w:rsid w:val="00F15BEF"/>
    <w:rsid w:val="00F24FAA"/>
    <w:rsid w:val="00F3364D"/>
    <w:rsid w:val="00F41C6D"/>
    <w:rsid w:val="00F6371C"/>
    <w:rsid w:val="00F63DDE"/>
    <w:rsid w:val="00F63FB7"/>
    <w:rsid w:val="00F6458A"/>
    <w:rsid w:val="00F71B42"/>
    <w:rsid w:val="00F73A0C"/>
    <w:rsid w:val="00FC0C8F"/>
    <w:rsid w:val="00FC0E5F"/>
    <w:rsid w:val="00FC1CDE"/>
    <w:rsid w:val="00FC56DE"/>
    <w:rsid w:val="00FD0311"/>
    <w:rsid w:val="00FD778F"/>
    <w:rsid w:val="00FE04DC"/>
    <w:rsid w:val="00FE2F7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336567908">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18301331">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5" Type="http://schemas.openxmlformats.org/officeDocument/2006/relationships/settings" Target="settings.xml"/><Relationship Id="rId15" Type="http://schemas.openxmlformats.org/officeDocument/2006/relationships/chart" Target="charts/chart7.xml"/><Relationship Id="rId10" Type="http://schemas.openxmlformats.org/officeDocument/2006/relationships/chart" Target="charts/chart2.xml"/><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LNIC~1\AppData\Local\Temp\publikace%20bar_lide%20a%20spolecnost.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D:\SHA%202016\V&#221;DAJE%20ZE%20ST&#193;TN&#205;HO%20ROZPO&#268;TU\2.%20kapitola-Grafy_11.5.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'Graf č.2.1'!$A$7</c:f>
              <c:strCache>
                <c:ptCount val="1"/>
                <c:pt idx="0">
                  <c:v>Výdaje dle SHA 2011</c:v>
                </c:pt>
              </c:strCache>
            </c:strRef>
          </c:tx>
          <c:spPr>
            <a:solidFill>
              <a:srgbClr val="D96C7F"/>
            </a:solidFill>
            <a:ln>
              <a:solidFill>
                <a:srgbClr val="D96C7F"/>
              </a:solidFill>
            </a:ln>
          </c:spPr>
          <c:invertIfNegative val="0"/>
          <c:dLbls>
            <c:dLbl>
              <c:idx val="0"/>
              <c:layout>
                <c:manualLayout>
                  <c:x val="-1.0638795145559659E-2"/>
                  <c:y val="-1.1386386722935142E-2"/>
                </c:manualLayout>
              </c:layout>
              <c:tx>
                <c:rich>
                  <a:bodyPr/>
                  <a:lstStyle/>
                  <a:p>
                    <a:r>
                      <a:rPr lang="cs-CZ" b="1"/>
                      <a:t>     </a:t>
                    </a:r>
                    <a:r>
                      <a:rPr lang="en-US" b="1"/>
                      <a:t>340,7</a:t>
                    </a:r>
                    <a:endParaRPr lang="en-US"/>
                  </a:p>
                </c:rich>
              </c:tx>
              <c:showLegendKey val="0"/>
              <c:showVal val="1"/>
              <c:showCatName val="0"/>
              <c:showSerName val="0"/>
              <c:showPercent val="0"/>
              <c:showBubbleSize val="0"/>
            </c:dLbl>
            <c:txPr>
              <a:bodyPr/>
              <a:lstStyle/>
              <a:p>
                <a:pPr>
                  <a:defRPr sz="800" b="1">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č.2.1'!$B$6:$G$6</c:f>
              <c:numCache>
                <c:formatCode>0</c:formatCode>
                <c:ptCount val="6"/>
                <c:pt idx="0">
                  <c:v>2010</c:v>
                </c:pt>
                <c:pt idx="1">
                  <c:v>2011</c:v>
                </c:pt>
                <c:pt idx="2">
                  <c:v>2012</c:v>
                </c:pt>
                <c:pt idx="3">
                  <c:v>2013</c:v>
                </c:pt>
                <c:pt idx="4">
                  <c:v>2014</c:v>
                </c:pt>
                <c:pt idx="5">
                  <c:v>2015</c:v>
                </c:pt>
              </c:numCache>
            </c:numRef>
          </c:cat>
          <c:val>
            <c:numRef>
              <c:f>'Graf č.2.1'!$B$7:$G$7</c:f>
              <c:numCache>
                <c:formatCode>0.0</c:formatCode>
                <c:ptCount val="6"/>
                <c:pt idx="0">
                  <c:v>340.68963319798502</c:v>
                </c:pt>
                <c:pt idx="1">
                  <c:v>344.50578987431999</c:v>
                </c:pt>
                <c:pt idx="2">
                  <c:v>348.21005905049299</c:v>
                </c:pt>
                <c:pt idx="3">
                  <c:v>350.07890666263103</c:v>
                </c:pt>
                <c:pt idx="4">
                  <c:v>353.798789012025</c:v>
                </c:pt>
                <c:pt idx="5">
                  <c:v>358.04245260144813</c:v>
                </c:pt>
              </c:numCache>
            </c:numRef>
          </c:val>
        </c:ser>
        <c:dLbls>
          <c:showLegendKey val="0"/>
          <c:showVal val="0"/>
          <c:showCatName val="0"/>
          <c:showSerName val="0"/>
          <c:showPercent val="0"/>
          <c:showBubbleSize val="0"/>
        </c:dLbls>
        <c:gapWidth val="70"/>
        <c:axId val="166991360"/>
        <c:axId val="289171136"/>
      </c:barChart>
      <c:lineChart>
        <c:grouping val="stacked"/>
        <c:varyColors val="0"/>
        <c:ser>
          <c:idx val="1"/>
          <c:order val="1"/>
          <c:tx>
            <c:strRef>
              <c:f>'Graf č.2.1'!$A$8</c:f>
              <c:strCache>
                <c:ptCount val="1"/>
                <c:pt idx="0">
                  <c:v>Podíl na HDP  v %</c:v>
                </c:pt>
              </c:strCache>
            </c:strRef>
          </c:tx>
          <c:spPr>
            <a:ln>
              <a:solidFill>
                <a:srgbClr val="187BB8"/>
              </a:solidFill>
            </a:ln>
          </c:spPr>
          <c:marker>
            <c:symbol val="diamond"/>
            <c:size val="7"/>
            <c:spPr>
              <a:solidFill>
                <a:srgbClr val="0070C0"/>
              </a:solidFill>
              <a:ln>
                <a:solidFill>
                  <a:sysClr val="windowText" lastClr="000000"/>
                </a:solidFill>
              </a:ln>
            </c:spPr>
          </c:marker>
          <c:dLbls>
            <c:txPr>
              <a:bodyPr/>
              <a:lstStyle/>
              <a:p>
                <a:pPr>
                  <a:defRPr sz="800" b="1">
                    <a:latin typeface="Arial" panose="020B0604020202020204" pitchFamily="34" charset="0"/>
                    <a:cs typeface="Arial" panose="020B0604020202020204" pitchFamily="34" charset="0"/>
                  </a:defRPr>
                </a:pPr>
                <a:endParaRPr lang="cs-CZ"/>
              </a:p>
            </c:txPr>
            <c:dLblPos val="t"/>
            <c:showLegendKey val="0"/>
            <c:showVal val="1"/>
            <c:showCatName val="0"/>
            <c:showSerName val="0"/>
            <c:showPercent val="0"/>
            <c:showBubbleSize val="0"/>
            <c:showLeaderLines val="0"/>
          </c:dLbls>
          <c:cat>
            <c:numRef>
              <c:f>'Graf č.2.1'!$B$6:$G$6</c:f>
              <c:numCache>
                <c:formatCode>0</c:formatCode>
                <c:ptCount val="6"/>
                <c:pt idx="0">
                  <c:v>2010</c:v>
                </c:pt>
                <c:pt idx="1">
                  <c:v>2011</c:v>
                </c:pt>
                <c:pt idx="2">
                  <c:v>2012</c:v>
                </c:pt>
                <c:pt idx="3">
                  <c:v>2013</c:v>
                </c:pt>
                <c:pt idx="4">
                  <c:v>2014</c:v>
                </c:pt>
                <c:pt idx="5">
                  <c:v>2015</c:v>
                </c:pt>
              </c:numCache>
            </c:numRef>
          </c:cat>
          <c:val>
            <c:numRef>
              <c:f>'Graf č.2.1'!$B$8:$G$8</c:f>
              <c:numCache>
                <c:formatCode>0.0%</c:formatCode>
                <c:ptCount val="6"/>
                <c:pt idx="0">
                  <c:v>8.6169824012440249E-2</c:v>
                </c:pt>
                <c:pt idx="1">
                  <c:v>8.5404777102067508E-2</c:v>
                </c:pt>
                <c:pt idx="2">
                  <c:v>8.5768136912360654E-2</c:v>
                </c:pt>
                <c:pt idx="3">
                  <c:v>8.5424686235726563E-2</c:v>
                </c:pt>
                <c:pt idx="4">
                  <c:v>8.2015575365576757E-2</c:v>
                </c:pt>
                <c:pt idx="5">
                  <c:v>7.8611173890450997E-2</c:v>
                </c:pt>
              </c:numCache>
            </c:numRef>
          </c:val>
          <c:smooth val="0"/>
        </c:ser>
        <c:dLbls>
          <c:showLegendKey val="0"/>
          <c:showVal val="0"/>
          <c:showCatName val="0"/>
          <c:showSerName val="0"/>
          <c:showPercent val="0"/>
          <c:showBubbleSize val="0"/>
        </c:dLbls>
        <c:marker val="1"/>
        <c:smooth val="0"/>
        <c:axId val="166991872"/>
        <c:axId val="289172288"/>
      </c:lineChart>
      <c:catAx>
        <c:axId val="166991360"/>
        <c:scaling>
          <c:orientation val="minMax"/>
        </c:scaling>
        <c:delete val="0"/>
        <c:axPos val="b"/>
        <c:numFmt formatCode="0"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289171136"/>
        <c:crosses val="autoZero"/>
        <c:auto val="1"/>
        <c:lblAlgn val="ctr"/>
        <c:lblOffset val="100"/>
        <c:noMultiLvlLbl val="0"/>
      </c:catAx>
      <c:valAx>
        <c:axId val="289171136"/>
        <c:scaling>
          <c:orientation val="minMax"/>
          <c:max val="360"/>
          <c:min val="0"/>
        </c:scaling>
        <c:delete val="0"/>
        <c:axPos val="l"/>
        <c:majorGridlines>
          <c:spPr>
            <a:ln w="0"/>
          </c:spPr>
        </c:majorGridlines>
        <c:numFmt formatCode="0" sourceLinked="0"/>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166991360"/>
        <c:crosses val="autoZero"/>
        <c:crossBetween val="between"/>
        <c:majorUnit val="40"/>
      </c:valAx>
      <c:valAx>
        <c:axId val="289172288"/>
        <c:scaling>
          <c:orientation val="minMax"/>
          <c:max val="0.12000000000000001"/>
          <c:min val="0"/>
        </c:scaling>
        <c:delete val="0"/>
        <c:axPos val="r"/>
        <c:numFmt formatCode="0%" sourceLinked="0"/>
        <c:majorTickMark val="out"/>
        <c:minorTickMark val="none"/>
        <c:tickLblPos val="nextTo"/>
        <c:txPr>
          <a:bodyPr/>
          <a:lstStyle/>
          <a:p>
            <a:pPr>
              <a:defRPr sz="800">
                <a:latin typeface="Arial" panose="020B0604020202020204" pitchFamily="34" charset="0"/>
                <a:cs typeface="Arial" panose="020B0604020202020204" pitchFamily="34" charset="0"/>
              </a:defRPr>
            </a:pPr>
            <a:endParaRPr lang="cs-CZ"/>
          </a:p>
        </c:txPr>
        <c:crossAx val="166991872"/>
        <c:crosses val="max"/>
        <c:crossBetween val="between"/>
      </c:valAx>
      <c:catAx>
        <c:axId val="166991872"/>
        <c:scaling>
          <c:orientation val="minMax"/>
        </c:scaling>
        <c:delete val="1"/>
        <c:axPos val="b"/>
        <c:numFmt formatCode="0" sourceLinked="1"/>
        <c:majorTickMark val="out"/>
        <c:minorTickMark val="none"/>
        <c:tickLblPos val="nextTo"/>
        <c:crossAx val="289172288"/>
        <c:crosses val="autoZero"/>
        <c:auto val="1"/>
        <c:lblAlgn val="ctr"/>
        <c:lblOffset val="100"/>
        <c:noMultiLvlLbl val="0"/>
      </c:catAx>
    </c:plotArea>
    <c:legend>
      <c:legendPos val="b"/>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'Graf č.2.2'!$A$7</c:f>
              <c:strCache>
                <c:ptCount val="1"/>
                <c:pt idx="0">
                  <c:v>Zdravotní pojišťovny</c:v>
                </c:pt>
              </c:strCache>
            </c:strRef>
          </c:tx>
          <c:spPr>
            <a:solidFill>
              <a:srgbClr val="D96C7F"/>
            </a:solidFill>
            <a:ln>
              <a:solidFill>
                <a:srgbClr val="D96C7F"/>
              </a:solidFill>
            </a:ln>
          </c:spPr>
          <c:invertIfNegative val="0"/>
          <c:dLbls>
            <c:txPr>
              <a:bodyPr/>
              <a:lstStyle/>
              <a:p>
                <a:pPr>
                  <a:defRPr sz="800" baseline="0">
                    <a:solidFill>
                      <a:schemeClr val="tx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č.2.2'!$B$6:$G$6</c:f>
              <c:numCache>
                <c:formatCode>General</c:formatCode>
                <c:ptCount val="6"/>
                <c:pt idx="0">
                  <c:v>2010</c:v>
                </c:pt>
                <c:pt idx="1">
                  <c:v>2011</c:v>
                </c:pt>
                <c:pt idx="2">
                  <c:v>2012</c:v>
                </c:pt>
                <c:pt idx="3">
                  <c:v>2013</c:v>
                </c:pt>
                <c:pt idx="4">
                  <c:v>2014</c:v>
                </c:pt>
                <c:pt idx="5">
                  <c:v>2015</c:v>
                </c:pt>
              </c:numCache>
            </c:numRef>
          </c:cat>
          <c:val>
            <c:numRef>
              <c:f>'Graf č.2.2'!$B$7:$G$7</c:f>
              <c:numCache>
                <c:formatCode>0.0</c:formatCode>
                <c:ptCount val="6"/>
                <c:pt idx="0">
                  <c:v>231.88900000000001</c:v>
                </c:pt>
                <c:pt idx="1">
                  <c:v>234.33699999999999</c:v>
                </c:pt>
                <c:pt idx="2">
                  <c:v>237.92699999999999</c:v>
                </c:pt>
                <c:pt idx="3">
                  <c:v>238.35400000000001</c:v>
                </c:pt>
                <c:pt idx="4">
                  <c:v>234.602</c:v>
                </c:pt>
                <c:pt idx="5">
                  <c:v>234.70599999999999</c:v>
                </c:pt>
              </c:numCache>
            </c:numRef>
          </c:val>
        </c:ser>
        <c:ser>
          <c:idx val="1"/>
          <c:order val="1"/>
          <c:tx>
            <c:strRef>
              <c:f>'Graf č.2.2'!$A$8</c:f>
              <c:strCache>
                <c:ptCount val="1"/>
                <c:pt idx="0">
                  <c:v>Státn rozpočet</c:v>
                </c:pt>
              </c:strCache>
            </c:strRef>
          </c:tx>
          <c:spPr>
            <a:solidFill>
              <a:srgbClr val="93D050"/>
            </a:solidFill>
            <a:ln>
              <a:solidFill>
                <a:srgbClr val="93D050"/>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č.2.2'!$B$6:$G$6</c:f>
              <c:numCache>
                <c:formatCode>General</c:formatCode>
                <c:ptCount val="6"/>
                <c:pt idx="0">
                  <c:v>2010</c:v>
                </c:pt>
                <c:pt idx="1">
                  <c:v>2011</c:v>
                </c:pt>
                <c:pt idx="2">
                  <c:v>2012</c:v>
                </c:pt>
                <c:pt idx="3">
                  <c:v>2013</c:v>
                </c:pt>
                <c:pt idx="4">
                  <c:v>2014</c:v>
                </c:pt>
                <c:pt idx="5">
                  <c:v>2015</c:v>
                </c:pt>
              </c:numCache>
            </c:numRef>
          </c:cat>
          <c:val>
            <c:numRef>
              <c:f>'Graf č.2.2'!$B$8:$G$8</c:f>
              <c:numCache>
                <c:formatCode>0.0</c:formatCode>
                <c:ptCount val="6"/>
                <c:pt idx="0">
                  <c:v>48.835000000000001</c:v>
                </c:pt>
                <c:pt idx="1">
                  <c:v>47.692</c:v>
                </c:pt>
                <c:pt idx="2">
                  <c:v>47.079000000000001</c:v>
                </c:pt>
                <c:pt idx="3">
                  <c:v>49.36</c:v>
                </c:pt>
                <c:pt idx="4">
                  <c:v>52.545999999999999</c:v>
                </c:pt>
                <c:pt idx="5">
                  <c:v>54.889000000000003</c:v>
                </c:pt>
              </c:numCache>
            </c:numRef>
          </c:val>
        </c:ser>
        <c:ser>
          <c:idx val="2"/>
          <c:order val="2"/>
          <c:tx>
            <c:strRef>
              <c:f>'Graf č.2.2'!$A$9</c:f>
              <c:strCache>
                <c:ptCount val="1"/>
                <c:pt idx="0">
                  <c:v>Domácnosti</c:v>
                </c:pt>
              </c:strCache>
            </c:strRef>
          </c:tx>
          <c:spPr>
            <a:solidFill>
              <a:srgbClr val="0071BC"/>
            </a:solidFill>
            <a:ln>
              <a:solidFill>
                <a:srgbClr val="0071BC"/>
              </a:solidFill>
            </a:ln>
          </c:spPr>
          <c:invertIfNegative val="0"/>
          <c:dLbls>
            <c:txPr>
              <a:bodyPr/>
              <a:lstStyle/>
              <a:p>
                <a:pPr>
                  <a:defRPr sz="800" baseline="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č.2.2'!$B$6:$G$6</c:f>
              <c:numCache>
                <c:formatCode>General</c:formatCode>
                <c:ptCount val="6"/>
                <c:pt idx="0">
                  <c:v>2010</c:v>
                </c:pt>
                <c:pt idx="1">
                  <c:v>2011</c:v>
                </c:pt>
                <c:pt idx="2">
                  <c:v>2012</c:v>
                </c:pt>
                <c:pt idx="3">
                  <c:v>2013</c:v>
                </c:pt>
                <c:pt idx="4">
                  <c:v>2014</c:v>
                </c:pt>
                <c:pt idx="5">
                  <c:v>2015</c:v>
                </c:pt>
              </c:numCache>
            </c:numRef>
          </c:cat>
          <c:val>
            <c:numRef>
              <c:f>'Graf č.2.2'!$B$9:$G$9</c:f>
              <c:numCache>
                <c:formatCode>0.0</c:formatCode>
                <c:ptCount val="6"/>
                <c:pt idx="0">
                  <c:v>42.704999999999998</c:v>
                </c:pt>
                <c:pt idx="1">
                  <c:v>44.027999999999999</c:v>
                </c:pt>
                <c:pt idx="2">
                  <c:v>44.238999999999997</c:v>
                </c:pt>
                <c:pt idx="3">
                  <c:v>43.465000000000003</c:v>
                </c:pt>
                <c:pt idx="4">
                  <c:v>46.49</c:v>
                </c:pt>
                <c:pt idx="5">
                  <c:v>49.357999999999997</c:v>
                </c:pt>
              </c:numCache>
            </c:numRef>
          </c:val>
        </c:ser>
        <c:ser>
          <c:idx val="3"/>
          <c:order val="3"/>
          <c:tx>
            <c:strRef>
              <c:f>'Graf č.2.2'!$A$10</c:f>
              <c:strCache>
                <c:ptCount val="1"/>
                <c:pt idx="0">
                  <c:v>Místní rozpočty</c:v>
                </c:pt>
              </c:strCache>
            </c:strRef>
          </c:tx>
          <c:spPr>
            <a:solidFill>
              <a:srgbClr val="FFC000"/>
            </a:solidFill>
            <a:ln>
              <a:solidFill>
                <a:srgbClr val="FFC000"/>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č.2.2'!$B$6:$G$6</c:f>
              <c:numCache>
                <c:formatCode>General</c:formatCode>
                <c:ptCount val="6"/>
                <c:pt idx="0">
                  <c:v>2010</c:v>
                </c:pt>
                <c:pt idx="1">
                  <c:v>2011</c:v>
                </c:pt>
                <c:pt idx="2">
                  <c:v>2012</c:v>
                </c:pt>
                <c:pt idx="3">
                  <c:v>2013</c:v>
                </c:pt>
                <c:pt idx="4">
                  <c:v>2014</c:v>
                </c:pt>
                <c:pt idx="5">
                  <c:v>2015</c:v>
                </c:pt>
              </c:numCache>
            </c:numRef>
          </c:cat>
          <c:val>
            <c:numRef>
              <c:f>'Graf č.2.2'!$B$10:$G$10</c:f>
              <c:numCache>
                <c:formatCode>0.0</c:formatCode>
                <c:ptCount val="6"/>
                <c:pt idx="0">
                  <c:v>8.0440000000000005</c:v>
                </c:pt>
                <c:pt idx="1">
                  <c:v>9.2430000000000003</c:v>
                </c:pt>
                <c:pt idx="2">
                  <c:v>9.8550000000000004</c:v>
                </c:pt>
                <c:pt idx="3">
                  <c:v>9.6980000000000004</c:v>
                </c:pt>
                <c:pt idx="4">
                  <c:v>9.4930000000000003</c:v>
                </c:pt>
                <c:pt idx="5">
                  <c:v>9.766</c:v>
                </c:pt>
              </c:numCache>
            </c:numRef>
          </c:val>
        </c:ser>
        <c:ser>
          <c:idx val="4"/>
          <c:order val="4"/>
          <c:tx>
            <c:strRef>
              <c:f>'Graf č.2.2'!$A$11</c:f>
              <c:strCache>
                <c:ptCount val="1"/>
                <c:pt idx="0">
                  <c:v>Neziskové organizace</c:v>
                </c:pt>
              </c:strCache>
            </c:strRef>
          </c:tx>
          <c:spPr>
            <a:solidFill>
              <a:srgbClr val="7030A0"/>
            </a:solidFill>
            <a:ln>
              <a:solidFill>
                <a:srgbClr val="7030A0"/>
              </a:solidFill>
            </a:ln>
          </c:spPr>
          <c:invertIfNegative val="0"/>
          <c:cat>
            <c:numRef>
              <c:f>'Graf č.2.2'!$B$6:$G$6</c:f>
              <c:numCache>
                <c:formatCode>General</c:formatCode>
                <c:ptCount val="6"/>
                <c:pt idx="0">
                  <c:v>2010</c:v>
                </c:pt>
                <c:pt idx="1">
                  <c:v>2011</c:v>
                </c:pt>
                <c:pt idx="2">
                  <c:v>2012</c:v>
                </c:pt>
                <c:pt idx="3">
                  <c:v>2013</c:v>
                </c:pt>
                <c:pt idx="4">
                  <c:v>2014</c:v>
                </c:pt>
                <c:pt idx="5">
                  <c:v>2015</c:v>
                </c:pt>
              </c:numCache>
            </c:numRef>
          </c:cat>
          <c:val>
            <c:numRef>
              <c:f>'Graf č.2.2'!$B$11:$G$11</c:f>
              <c:numCache>
                <c:formatCode>0.0</c:formatCode>
                <c:ptCount val="6"/>
                <c:pt idx="0">
                  <c:v>7.8879999999999999</c:v>
                </c:pt>
                <c:pt idx="1">
                  <c:v>7.82</c:v>
                </c:pt>
                <c:pt idx="2">
                  <c:v>7.7190000000000003</c:v>
                </c:pt>
                <c:pt idx="3">
                  <c:v>7.726</c:v>
                </c:pt>
                <c:pt idx="4">
                  <c:v>7.7569999999999997</c:v>
                </c:pt>
                <c:pt idx="5">
                  <c:v>7.9290000000000003</c:v>
                </c:pt>
              </c:numCache>
            </c:numRef>
          </c:val>
        </c:ser>
        <c:ser>
          <c:idx val="5"/>
          <c:order val="5"/>
          <c:tx>
            <c:strRef>
              <c:f>'Graf č.2.2'!$A$12</c:f>
              <c:strCache>
                <c:ptCount val="1"/>
                <c:pt idx="0">
                  <c:v>Ostatní</c:v>
                </c:pt>
              </c:strCache>
            </c:strRef>
          </c:tx>
          <c:spPr>
            <a:solidFill>
              <a:srgbClr val="FF0000"/>
            </a:solidFill>
            <a:ln>
              <a:solidFill>
                <a:srgbClr val="FF0000"/>
              </a:solidFill>
            </a:ln>
          </c:spPr>
          <c:invertIfNegative val="0"/>
          <c:cat>
            <c:numRef>
              <c:f>'Graf č.2.2'!$B$6:$G$6</c:f>
              <c:numCache>
                <c:formatCode>General</c:formatCode>
                <c:ptCount val="6"/>
                <c:pt idx="0">
                  <c:v>2010</c:v>
                </c:pt>
                <c:pt idx="1">
                  <c:v>2011</c:v>
                </c:pt>
                <c:pt idx="2">
                  <c:v>2012</c:v>
                </c:pt>
                <c:pt idx="3">
                  <c:v>2013</c:v>
                </c:pt>
                <c:pt idx="4">
                  <c:v>2014</c:v>
                </c:pt>
                <c:pt idx="5">
                  <c:v>2015</c:v>
                </c:pt>
              </c:numCache>
            </c:numRef>
          </c:cat>
          <c:val>
            <c:numRef>
              <c:f>'Graf č.2.2'!$B$12:$G$12</c:f>
              <c:numCache>
                <c:formatCode>0.0</c:formatCode>
                <c:ptCount val="6"/>
                <c:pt idx="0">
                  <c:v>1.3280000000000001</c:v>
                </c:pt>
                <c:pt idx="1">
                  <c:v>1.385</c:v>
                </c:pt>
                <c:pt idx="2">
                  <c:v>1.391</c:v>
                </c:pt>
                <c:pt idx="3">
                  <c:v>1.476</c:v>
                </c:pt>
                <c:pt idx="4">
                  <c:v>2.911</c:v>
                </c:pt>
                <c:pt idx="5">
                  <c:v>1.393</c:v>
                </c:pt>
              </c:numCache>
            </c:numRef>
          </c:val>
        </c:ser>
        <c:dLbls>
          <c:showLegendKey val="0"/>
          <c:showVal val="0"/>
          <c:showCatName val="0"/>
          <c:showSerName val="0"/>
          <c:showPercent val="0"/>
          <c:showBubbleSize val="0"/>
        </c:dLbls>
        <c:gapWidth val="70"/>
        <c:overlap val="100"/>
        <c:axId val="167012352"/>
        <c:axId val="289174016"/>
      </c:barChart>
      <c:catAx>
        <c:axId val="167012352"/>
        <c:scaling>
          <c:orientation val="minMax"/>
        </c:scaling>
        <c:delete val="0"/>
        <c:axPos val="b"/>
        <c:numFmt formatCode="General"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289174016"/>
        <c:crosses val="autoZero"/>
        <c:auto val="1"/>
        <c:lblAlgn val="ctr"/>
        <c:lblOffset val="100"/>
        <c:noMultiLvlLbl val="0"/>
      </c:catAx>
      <c:valAx>
        <c:axId val="289174016"/>
        <c:scaling>
          <c:orientation val="minMax"/>
        </c:scaling>
        <c:delete val="0"/>
        <c:axPos val="l"/>
        <c:majorGridlines/>
        <c:numFmt formatCode="0" sourceLinked="0"/>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167012352"/>
        <c:crosses val="autoZero"/>
        <c:crossBetween val="between"/>
      </c:valAx>
    </c:plotArea>
    <c:legend>
      <c:legendPos val="b"/>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3010318656016404E-2"/>
          <c:y val="4.6296296296296412E-2"/>
          <c:w val="0.87385485659058326"/>
          <c:h val="0.69697761738116204"/>
        </c:manualLayout>
      </c:layout>
      <c:barChart>
        <c:barDir val="bar"/>
        <c:grouping val="stacked"/>
        <c:varyColors val="0"/>
        <c:ser>
          <c:idx val="0"/>
          <c:order val="0"/>
          <c:tx>
            <c:strRef>
              <c:f>'Graf 2.2'!$J$23</c:f>
              <c:strCache>
                <c:ptCount val="1"/>
                <c:pt idx="0">
                  <c:v>Zdravotní pojišťovny</c:v>
                </c:pt>
              </c:strCache>
            </c:strRef>
          </c:tx>
          <c:spPr>
            <a:solidFill>
              <a:srgbClr val="D96D7F"/>
            </a:solidFill>
            <a:ln>
              <a:solidFill>
                <a:srgbClr val="C0504D">
                  <a:lumMod val="75000"/>
                </a:srgbClr>
              </a:solidFill>
            </a:ln>
          </c:spPr>
          <c:invertIfNegative val="0"/>
          <c:dLbls>
            <c:dLbl>
              <c:idx val="1"/>
              <c:layout>
                <c:manualLayout>
                  <c:x val="4.050926202810062E-3"/>
                  <c:y val="4.012345386482024E-3"/>
                </c:manualLayout>
              </c:layout>
              <c:tx>
                <c:rich>
                  <a:bodyPr/>
                  <a:lstStyle/>
                  <a:p>
                    <a:r>
                      <a:rPr lang="en-US"/>
                      <a:t>6</a:t>
                    </a:r>
                    <a:r>
                      <a:rPr lang="cs-CZ"/>
                      <a:t>5</a:t>
                    </a:r>
                    <a:r>
                      <a:rPr lang="en-US"/>
                      <a:t>,</a:t>
                    </a:r>
                    <a:r>
                      <a:rPr lang="cs-CZ"/>
                      <a:t>6</a:t>
                    </a:r>
                    <a:r>
                      <a:rPr lang="en-US"/>
                      <a:t>%</a:t>
                    </a:r>
                  </a:p>
                </c:rich>
              </c:tx>
              <c:showLegendKey val="0"/>
              <c:showVal val="1"/>
              <c:showCatName val="0"/>
              <c:showSerName val="0"/>
              <c:showPercent val="0"/>
              <c:showBubbleSize val="0"/>
            </c:dLbl>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2.2'!$K$23:$L$23</c:f>
              <c:numCache>
                <c:formatCode>0.0%</c:formatCode>
                <c:ptCount val="2"/>
                <c:pt idx="0">
                  <c:v>0.68064582981246569</c:v>
                </c:pt>
                <c:pt idx="1">
                  <c:v>0.66352346666021422</c:v>
                </c:pt>
              </c:numCache>
            </c:numRef>
          </c:val>
        </c:ser>
        <c:ser>
          <c:idx val="1"/>
          <c:order val="1"/>
          <c:tx>
            <c:strRef>
              <c:f>'Graf 2.2'!$J$24</c:f>
              <c:strCache>
                <c:ptCount val="1"/>
                <c:pt idx="0">
                  <c:v>Státní rozpočet</c:v>
                </c:pt>
              </c:strCache>
            </c:strRef>
          </c:tx>
          <c:spPr>
            <a:solidFill>
              <a:srgbClr val="93CF50"/>
            </a:solidFill>
            <a:ln>
              <a:solidFill>
                <a:srgbClr val="9BBB59">
                  <a:lumMod val="75000"/>
                </a:srgbClr>
              </a:solidFill>
            </a:ln>
          </c:spPr>
          <c:invertIfNegative val="0"/>
          <c:dPt>
            <c:idx val="0"/>
            <c:invertIfNegative val="0"/>
            <c:bubble3D val="0"/>
            <c:spPr>
              <a:solidFill>
                <a:srgbClr val="93D050"/>
              </a:solidFill>
              <a:ln>
                <a:solidFill>
                  <a:srgbClr val="9BBB59">
                    <a:lumMod val="75000"/>
                  </a:srgbClr>
                </a:solidFill>
              </a:ln>
            </c:spPr>
          </c:dPt>
          <c:dPt>
            <c:idx val="1"/>
            <c:invertIfNegative val="0"/>
            <c:bubble3D val="0"/>
            <c:spPr>
              <a:solidFill>
                <a:srgbClr val="93D050"/>
              </a:solidFill>
              <a:ln>
                <a:solidFill>
                  <a:srgbClr val="9BBB59">
                    <a:lumMod val="75000"/>
                  </a:srgbClr>
                </a:solidFill>
              </a:ln>
            </c:spPr>
          </c:dPt>
          <c:dLbls>
            <c:dLbl>
              <c:idx val="1"/>
              <c:tx>
                <c:rich>
                  <a:bodyPr/>
                  <a:lstStyle/>
                  <a:p>
                    <a:r>
                      <a:rPr lang="en-US"/>
                      <a:t>15,</a:t>
                    </a:r>
                    <a:r>
                      <a:rPr lang="cs-CZ"/>
                      <a:t>3</a:t>
                    </a:r>
                    <a:r>
                      <a:rPr lang="en-US"/>
                      <a:t>%</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2.2'!$K$24:$L$24</c:f>
              <c:numCache>
                <c:formatCode>0.0%</c:formatCode>
                <c:ptCount val="2"/>
                <c:pt idx="0">
                  <c:v>0.14334216040771192</c:v>
                </c:pt>
                <c:pt idx="1">
                  <c:v>0.15517366142354419</c:v>
                </c:pt>
              </c:numCache>
            </c:numRef>
          </c:val>
        </c:ser>
        <c:ser>
          <c:idx val="2"/>
          <c:order val="2"/>
          <c:tx>
            <c:strRef>
              <c:f>'Graf 2.2'!$J$25</c:f>
              <c:strCache>
                <c:ptCount val="1"/>
                <c:pt idx="0">
                  <c:v>Domácnosti</c:v>
                </c:pt>
              </c:strCache>
            </c:strRef>
          </c:tx>
          <c:spPr>
            <a:solidFill>
              <a:srgbClr val="0071BC"/>
            </a:solidFill>
            <a:ln>
              <a:solidFill>
                <a:srgbClr val="4F81BD">
                  <a:lumMod val="50000"/>
                </a:srgbClr>
              </a:solidFill>
            </a:ln>
          </c:spPr>
          <c:invertIfNegative val="0"/>
          <c:dLbls>
            <c:dLbl>
              <c:idx val="1"/>
              <c:tx>
                <c:rich>
                  <a:bodyPr/>
                  <a:lstStyle/>
                  <a:p>
                    <a:r>
                      <a:rPr lang="en-US"/>
                      <a:t>1</a:t>
                    </a:r>
                    <a:r>
                      <a:rPr lang="cs-CZ"/>
                      <a:t>3</a:t>
                    </a:r>
                    <a:r>
                      <a:rPr lang="en-US"/>
                      <a:t>,</a:t>
                    </a:r>
                    <a:r>
                      <a:rPr lang="cs-CZ"/>
                      <a:t>8</a:t>
                    </a:r>
                    <a:r>
                      <a:rPr lang="en-US"/>
                      <a:t>%</a:t>
                    </a:r>
                  </a:p>
                </c:rich>
              </c:tx>
              <c:showLegendKey val="0"/>
              <c:showVal val="1"/>
              <c:showCatName val="0"/>
              <c:showSerName val="0"/>
              <c:showPercent val="0"/>
              <c:showBubbleSize val="0"/>
            </c:dLbl>
            <c:txPr>
              <a:bodyPr/>
              <a:lstStyle/>
              <a:p>
                <a:pPr>
                  <a:defRPr>
                    <a:solidFill>
                      <a:schemeClr val="bg1"/>
                    </a:solidFill>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2.2'!$K$25:$L$25</c:f>
              <c:numCache>
                <c:formatCode>0.0%</c:formatCode>
                <c:ptCount val="2"/>
                <c:pt idx="0">
                  <c:v>0.12534869229549742</c:v>
                </c:pt>
                <c:pt idx="1">
                  <c:v>0.12733815164397452</c:v>
                </c:pt>
              </c:numCache>
            </c:numRef>
          </c:val>
        </c:ser>
        <c:ser>
          <c:idx val="3"/>
          <c:order val="3"/>
          <c:tx>
            <c:strRef>
              <c:f>'Graf 2.2'!$J$26</c:f>
              <c:strCache>
                <c:ptCount val="1"/>
                <c:pt idx="0">
                  <c:v>Místní rozpočty</c:v>
                </c:pt>
              </c:strCache>
            </c:strRef>
          </c:tx>
          <c:spPr>
            <a:solidFill>
              <a:srgbClr val="FFC000"/>
            </a:solidFill>
            <a:ln>
              <a:solidFill>
                <a:sysClr val="window" lastClr="FFFFFF">
                  <a:lumMod val="50000"/>
                </a:sysClr>
              </a:solidFill>
            </a:ln>
          </c:spPr>
          <c:invertIfNegative val="0"/>
          <c:dLbls>
            <c:dLbl>
              <c:idx val="1"/>
              <c:tx>
                <c:rich>
                  <a:bodyPr/>
                  <a:lstStyle/>
                  <a:p>
                    <a:r>
                      <a:rPr lang="en-US"/>
                      <a:t>2,</a:t>
                    </a:r>
                    <a:r>
                      <a:rPr lang="cs-CZ"/>
                      <a:t>7</a:t>
                    </a:r>
                    <a:r>
                      <a:rPr lang="en-US"/>
                      <a:t>%</a:t>
                    </a:r>
                  </a:p>
                </c:rich>
              </c:tx>
              <c:showLegendKey val="0"/>
              <c:showVal val="1"/>
              <c:showCatName val="0"/>
              <c:showSerName val="0"/>
              <c:showPercent val="0"/>
              <c:showBubbleSize val="0"/>
            </c:dLbl>
            <c:txPr>
              <a:bodyPr rot="-5400000" vert="horz"/>
              <a:lstStyle/>
              <a:p>
                <a:pPr>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2.2'!$K$26:$L$26</c:f>
              <c:numCache>
                <c:formatCode>0.0%</c:formatCode>
                <c:ptCount val="2"/>
                <c:pt idx="0">
                  <c:v>2.3610789707197863E-2</c:v>
                </c:pt>
                <c:pt idx="1">
                  <c:v>2.7609927126702318E-2</c:v>
                </c:pt>
              </c:numCache>
            </c:numRef>
          </c:val>
        </c:ser>
        <c:ser>
          <c:idx val="4"/>
          <c:order val="4"/>
          <c:tx>
            <c:strRef>
              <c:f>'Graf 2.2'!$J$27</c:f>
              <c:strCache>
                <c:ptCount val="1"/>
                <c:pt idx="0">
                  <c:v>Neziskové organizace</c:v>
                </c:pt>
              </c:strCache>
            </c:strRef>
          </c:tx>
          <c:spPr>
            <a:solidFill>
              <a:srgbClr val="7030A0"/>
            </a:solidFill>
            <a:ln>
              <a:solidFill>
                <a:sysClr val="window" lastClr="FFFFFF">
                  <a:lumMod val="50000"/>
                </a:sysClr>
              </a:solidFill>
            </a:ln>
          </c:spPr>
          <c:invertIfNegative val="0"/>
          <c:dLbls>
            <c:txPr>
              <a:bodyPr rot="-5400000" vert="horz"/>
              <a:lstStyle/>
              <a:p>
                <a:pPr>
                  <a:defRPr>
                    <a:solidFill>
                      <a:schemeClr val="bg1"/>
                    </a:solidFill>
                  </a:defRPr>
                </a:pPr>
                <a:endParaRPr lang="cs-CZ"/>
              </a:p>
            </c:txPr>
            <c:showLegendKey val="0"/>
            <c:showVal val="1"/>
            <c:showCatName val="0"/>
            <c:showSerName val="0"/>
            <c:showPercent val="0"/>
            <c:showBubbleSize val="0"/>
            <c:showLeaderLines val="0"/>
          </c:dLbls>
          <c:cat>
            <c:numRef>
              <c:f>'Graf 2.2'!$K$22:$L$22</c:f>
              <c:numCache>
                <c:formatCode>General</c:formatCode>
                <c:ptCount val="2"/>
                <c:pt idx="0">
                  <c:v>2010</c:v>
                </c:pt>
                <c:pt idx="1">
                  <c:v>2015</c:v>
                </c:pt>
              </c:numCache>
            </c:numRef>
          </c:cat>
          <c:val>
            <c:numRef>
              <c:f>'Graf 2.2'!$K$27:$L$27</c:f>
              <c:numCache>
                <c:formatCode>0.0%</c:formatCode>
                <c:ptCount val="2"/>
                <c:pt idx="0">
                  <c:v>2.3153117181631499E-2</c:v>
                </c:pt>
                <c:pt idx="1">
                  <c:v>2.2416207567960686E-2</c:v>
                </c:pt>
              </c:numCache>
            </c:numRef>
          </c:val>
        </c:ser>
        <c:ser>
          <c:idx val="5"/>
          <c:order val="5"/>
          <c:tx>
            <c:strRef>
              <c:f>'Graf 2.2'!$J$28</c:f>
              <c:strCache>
                <c:ptCount val="1"/>
                <c:pt idx="0">
                  <c:v>Ostatní</c:v>
                </c:pt>
              </c:strCache>
            </c:strRef>
          </c:tx>
          <c:spPr>
            <a:solidFill>
              <a:srgbClr val="FF0000"/>
            </a:solidFill>
            <a:ln>
              <a:solidFill>
                <a:sysClr val="window" lastClr="FFFFFF">
                  <a:lumMod val="50000"/>
                </a:sysClr>
              </a:solidFill>
            </a:ln>
          </c:spPr>
          <c:invertIfNegative val="0"/>
          <c:cat>
            <c:numRef>
              <c:f>'Graf 2.2'!$K$22:$L$22</c:f>
              <c:numCache>
                <c:formatCode>General</c:formatCode>
                <c:ptCount val="2"/>
                <c:pt idx="0">
                  <c:v>2010</c:v>
                </c:pt>
                <c:pt idx="1">
                  <c:v>2015</c:v>
                </c:pt>
              </c:numCache>
            </c:numRef>
          </c:cat>
          <c:val>
            <c:numRef>
              <c:f>'Graf 2.2'!$K$28:$L$28</c:f>
              <c:numCache>
                <c:formatCode>0.0%</c:formatCode>
                <c:ptCount val="2"/>
                <c:pt idx="0">
                  <c:v>3.8994105954963921E-3</c:v>
                </c:pt>
                <c:pt idx="1">
                  <c:v>3.9385855776050667E-3</c:v>
                </c:pt>
              </c:numCache>
            </c:numRef>
          </c:val>
        </c:ser>
        <c:dLbls>
          <c:showLegendKey val="0"/>
          <c:showVal val="0"/>
          <c:showCatName val="0"/>
          <c:showSerName val="0"/>
          <c:showPercent val="0"/>
          <c:showBubbleSize val="0"/>
        </c:dLbls>
        <c:gapWidth val="70"/>
        <c:overlap val="100"/>
        <c:axId val="168284160"/>
        <c:axId val="289175744"/>
      </c:barChart>
      <c:catAx>
        <c:axId val="168284160"/>
        <c:scaling>
          <c:orientation val="minMax"/>
        </c:scaling>
        <c:delete val="0"/>
        <c:axPos val="l"/>
        <c:numFmt formatCode="General" sourceLinked="1"/>
        <c:majorTickMark val="out"/>
        <c:minorTickMark val="none"/>
        <c:tickLblPos val="nextTo"/>
        <c:spPr>
          <a:ln w="3175">
            <a:solidFill>
              <a:schemeClr val="bg1">
                <a:lumMod val="75000"/>
              </a:schemeClr>
            </a:solidFill>
          </a:ln>
        </c:spPr>
        <c:crossAx val="289175744"/>
        <c:crosses val="autoZero"/>
        <c:auto val="1"/>
        <c:lblAlgn val="ctr"/>
        <c:lblOffset val="100"/>
        <c:noMultiLvlLbl val="0"/>
      </c:catAx>
      <c:valAx>
        <c:axId val="289175744"/>
        <c:scaling>
          <c:orientation val="minMax"/>
          <c:max val="1"/>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168284160"/>
        <c:crosses val="autoZero"/>
        <c:crossBetween val="between"/>
        <c:majorUnit val="0.2"/>
      </c:valAx>
    </c:plotArea>
    <c:legend>
      <c:legendPos val="b"/>
      <c:layout>
        <c:manualLayout>
          <c:xMode val="edge"/>
          <c:yMode val="edge"/>
          <c:x val="5.1239281010451304E-2"/>
          <c:y val="0.84170749489647245"/>
          <c:w val="0.88308081525910365"/>
          <c:h val="0.13051472732575087"/>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293033569725074E-2"/>
          <c:y val="2.1231422505307889E-2"/>
          <c:w val="0.91227102766000456"/>
          <c:h val="0.80449236839025606"/>
        </c:manualLayout>
      </c:layout>
      <c:barChart>
        <c:barDir val="bar"/>
        <c:grouping val="stacked"/>
        <c:varyColors val="0"/>
        <c:ser>
          <c:idx val="1"/>
          <c:order val="0"/>
          <c:tx>
            <c:strRef>
              <c:f>'Graf č.2.3'!$A$5</c:f>
              <c:strCache>
                <c:ptCount val="1"/>
                <c:pt idx="0">
                  <c:v> Státní rozpočet</c:v>
                </c:pt>
              </c:strCache>
            </c:strRef>
          </c:tx>
          <c:spPr>
            <a:solidFill>
              <a:srgbClr val="D96D7F"/>
            </a:solidFill>
            <a:ln>
              <a:solidFill>
                <a:srgbClr val="C0504D">
                  <a:lumMod val="75000"/>
                </a:srgbClr>
              </a:solidFill>
            </a:ln>
          </c:spPr>
          <c:invertIfNegative val="0"/>
          <c:dLbls>
            <c:spPr>
              <a:noFill/>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dLblPos val="ctr"/>
            <c:showLegendKey val="0"/>
            <c:showVal val="1"/>
            <c:showCatName val="0"/>
            <c:showSerName val="0"/>
            <c:showPercent val="0"/>
            <c:showBubbleSize val="0"/>
            <c:showLeaderLines val="0"/>
          </c:dLbls>
          <c:cat>
            <c:strRef>
              <c:f>'Graf č.2.3'!$B$3:$G$3</c:f>
              <c:strCache>
                <c:ptCount val="6"/>
                <c:pt idx="0">
                  <c:v>2010</c:v>
                </c:pt>
                <c:pt idx="1">
                  <c:v>2011</c:v>
                </c:pt>
                <c:pt idx="2">
                  <c:v>2012</c:v>
                </c:pt>
                <c:pt idx="3">
                  <c:v>2013</c:v>
                </c:pt>
                <c:pt idx="4">
                  <c:v>2014</c:v>
                </c:pt>
                <c:pt idx="5">
                  <c:v>2015</c:v>
                </c:pt>
              </c:strCache>
            </c:strRef>
          </c:cat>
          <c:val>
            <c:numRef>
              <c:f>'Graf č.2.3'!$B$5:$G$5</c:f>
              <c:numCache>
                <c:formatCode>0.0</c:formatCode>
                <c:ptCount val="6"/>
                <c:pt idx="0">
                  <c:v>48.835188051109995</c:v>
                </c:pt>
                <c:pt idx="1">
                  <c:v>47.692291935710003</c:v>
                </c:pt>
                <c:pt idx="2">
                  <c:v>47.078700514000012</c:v>
                </c:pt>
                <c:pt idx="3">
                  <c:v>49.359696793669954</c:v>
                </c:pt>
                <c:pt idx="4">
                  <c:v>52.546206828600006</c:v>
                </c:pt>
                <c:pt idx="5">
                  <c:v>54.889183966190004</c:v>
                </c:pt>
              </c:numCache>
            </c:numRef>
          </c:val>
        </c:ser>
        <c:ser>
          <c:idx val="2"/>
          <c:order val="1"/>
          <c:tx>
            <c:strRef>
              <c:f>'Graf č.2.3'!$A$6</c:f>
              <c:strCache>
                <c:ptCount val="1"/>
                <c:pt idx="0">
                  <c:v> Místní rozpočty</c:v>
                </c:pt>
              </c:strCache>
            </c:strRef>
          </c:tx>
          <c:spPr>
            <a:solidFill>
              <a:srgbClr val="0071BC"/>
            </a:solidFill>
            <a:ln>
              <a:solidFill>
                <a:srgbClr val="4F81BD">
                  <a:lumMod val="50000"/>
                </a:srgbClr>
              </a:solidFill>
            </a:ln>
          </c:spPr>
          <c:invertIfNegative val="0"/>
          <c:dLbls>
            <c:spPr>
              <a:noFill/>
            </c:spPr>
            <c:txPr>
              <a:bodyPr/>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strRef>
              <c:f>'Graf č.2.3'!$B$3:$G$3</c:f>
              <c:strCache>
                <c:ptCount val="6"/>
                <c:pt idx="0">
                  <c:v>2010</c:v>
                </c:pt>
                <c:pt idx="1">
                  <c:v>2011</c:v>
                </c:pt>
                <c:pt idx="2">
                  <c:v>2012</c:v>
                </c:pt>
                <c:pt idx="3">
                  <c:v>2013</c:v>
                </c:pt>
                <c:pt idx="4">
                  <c:v>2014</c:v>
                </c:pt>
                <c:pt idx="5">
                  <c:v>2015</c:v>
                </c:pt>
              </c:strCache>
            </c:strRef>
          </c:cat>
          <c:val>
            <c:numRef>
              <c:f>'Graf č.2.3'!$B$6:$G$6</c:f>
              <c:numCache>
                <c:formatCode>0.0</c:formatCode>
                <c:ptCount val="6"/>
                <c:pt idx="0">
                  <c:v>8.0439512848599986</c:v>
                </c:pt>
                <c:pt idx="1">
                  <c:v>9.2426258332700009</c:v>
                </c:pt>
                <c:pt idx="2">
                  <c:v>9.8548675300000106</c:v>
                </c:pt>
                <c:pt idx="3">
                  <c:v>9.6981512484899994</c:v>
                </c:pt>
                <c:pt idx="4">
                  <c:v>9.4932822568400113</c:v>
                </c:pt>
                <c:pt idx="5">
                  <c:v>9.7663891890400016</c:v>
                </c:pt>
              </c:numCache>
            </c:numRef>
          </c:val>
        </c:ser>
        <c:dLbls>
          <c:showLegendKey val="0"/>
          <c:showVal val="1"/>
          <c:showCatName val="0"/>
          <c:showSerName val="0"/>
          <c:showPercent val="0"/>
          <c:showBubbleSize val="0"/>
        </c:dLbls>
        <c:gapWidth val="70"/>
        <c:overlap val="100"/>
        <c:axId val="168287744"/>
        <c:axId val="289175168"/>
      </c:barChart>
      <c:catAx>
        <c:axId val="168287744"/>
        <c:scaling>
          <c:orientation val="minMax"/>
        </c:scaling>
        <c:delete val="0"/>
        <c:axPos val="l"/>
        <c:numFmt formatCode="0.0" sourceLinked="1"/>
        <c:majorTickMark val="out"/>
        <c:minorTickMark val="none"/>
        <c:tickLblPos val="nextTo"/>
        <c:spPr>
          <a:noFill/>
          <a:ln w="3175">
            <a:solidFill>
              <a:sysClr val="window" lastClr="FFFFFF">
                <a:lumMod val="75000"/>
              </a:sysClr>
            </a:solidFill>
          </a:ln>
        </c:spPr>
        <c:txPr>
          <a:bodyPr/>
          <a:lstStyle/>
          <a:p>
            <a:pPr>
              <a:defRPr sz="800">
                <a:latin typeface="Arial" panose="020B0604020202020204" pitchFamily="34" charset="0"/>
                <a:cs typeface="Arial" panose="020B0604020202020204" pitchFamily="34" charset="0"/>
              </a:defRPr>
            </a:pPr>
            <a:endParaRPr lang="cs-CZ"/>
          </a:p>
        </c:txPr>
        <c:crossAx val="289175168"/>
        <c:crosses val="autoZero"/>
        <c:auto val="1"/>
        <c:lblAlgn val="ctr"/>
        <c:lblOffset val="100"/>
        <c:noMultiLvlLbl val="0"/>
      </c:catAx>
      <c:valAx>
        <c:axId val="289175168"/>
        <c:scaling>
          <c:orientation val="minMax"/>
        </c:scaling>
        <c:delete val="0"/>
        <c:axPos val="b"/>
        <c:majorGridlines>
          <c:spPr>
            <a:ln>
              <a:prstDash val="sysDot"/>
            </a:ln>
          </c:spPr>
        </c:majorGridlines>
        <c:numFmt formatCode="0" sourceLinked="0"/>
        <c:majorTickMark val="out"/>
        <c:minorTickMark val="none"/>
        <c:tickLblPos val="nextTo"/>
        <c:spPr>
          <a:noFill/>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168287744"/>
        <c:crosses val="autoZero"/>
        <c:crossBetween val="between"/>
      </c:valAx>
      <c:spPr>
        <a:ln w="3175">
          <a:noFill/>
        </a:ln>
      </c:spPr>
    </c:plotArea>
    <c:legend>
      <c:legendPos val="b"/>
      <c:layout>
        <c:manualLayout>
          <c:xMode val="edge"/>
          <c:yMode val="edge"/>
          <c:x val="0.34501915571055902"/>
          <c:y val="0.91163900666262943"/>
          <c:w val="0.30996168857888234"/>
          <c:h val="5.0754155730533684E-2"/>
        </c:manualLayout>
      </c:layout>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noFill/>
    <a:ln>
      <a:noFill/>
    </a:ln>
  </c:sp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0716597408389501"/>
          <c:y val="1.7324538978082289E-2"/>
          <c:w val="0.65521239810002851"/>
          <c:h val="0.9081010328254423"/>
        </c:manualLayout>
      </c:layout>
      <c:barChart>
        <c:barDir val="bar"/>
        <c:grouping val="clustered"/>
        <c:varyColors val="0"/>
        <c:ser>
          <c:idx val="0"/>
          <c:order val="0"/>
          <c:tx>
            <c:strRef>
              <c:f>'Graf č.2.4'!$B$3</c:f>
              <c:strCache>
                <c:ptCount val="1"/>
                <c:pt idx="0">
                  <c:v>2011</c:v>
                </c:pt>
              </c:strCache>
            </c:strRef>
          </c:tx>
          <c:spPr>
            <a:ln>
              <a:solidFill>
                <a:srgbClr val="0071BC"/>
              </a:solidFill>
            </a:ln>
          </c:spPr>
          <c:invertIfNegative val="0"/>
          <c:dLbls>
            <c:numFmt formatCode="#,##0.0" sourceLinked="0"/>
            <c:txPr>
              <a:bodyPr/>
              <a:lstStyle/>
              <a:p>
                <a:pPr>
                  <a:defRPr baseline="0">
                    <a:solidFill>
                      <a:schemeClr val="bg1"/>
                    </a:solidFill>
                  </a:defRPr>
                </a:pPr>
                <a:endParaRPr lang="cs-CZ"/>
              </a:p>
            </c:txPr>
            <c:dLblPos val="ctr"/>
            <c:showLegendKey val="0"/>
            <c:showVal val="1"/>
            <c:showCatName val="0"/>
            <c:showSerName val="0"/>
            <c:showPercent val="0"/>
            <c:showBubbleSize val="0"/>
            <c:showLeaderLines val="0"/>
          </c:dLbls>
          <c:cat>
            <c:strRef>
              <c:f>'Graf č.2.4'!$A$4:$A$10</c:f>
              <c:strCache>
                <c:ptCount val="7"/>
                <c:pt idx="0">
                  <c:v>Preventivní péče</c:v>
                </c:pt>
                <c:pt idx="1">
                  <c:v>Rehabilitační péče</c:v>
                </c:pt>
                <c:pt idx="2">
                  <c:v>Sociální péče</c:v>
                </c:pt>
                <c:pt idx="3">
                  <c:v>Dlouhodobá péče</c:v>
                </c:pt>
                <c:pt idx="4">
                  <c:v>Podpůrné služby</c:v>
                </c:pt>
                <c:pt idx="5">
                  <c:v>Léčiva a ostatní zdravotnické výrobky</c:v>
                </c:pt>
                <c:pt idx="6">
                  <c:v>Léčebná péče</c:v>
                </c:pt>
              </c:strCache>
            </c:strRef>
          </c:cat>
          <c:val>
            <c:numRef>
              <c:f>'Graf č.2.4'!$B$4:$B$10</c:f>
              <c:numCache>
                <c:formatCode>0.0</c:formatCode>
                <c:ptCount val="7"/>
                <c:pt idx="0">
                  <c:v>10.364000000000001</c:v>
                </c:pt>
                <c:pt idx="1">
                  <c:v>13.696</c:v>
                </c:pt>
                <c:pt idx="2">
                  <c:v>16.05</c:v>
                </c:pt>
                <c:pt idx="3">
                  <c:v>37.005000000000003</c:v>
                </c:pt>
                <c:pt idx="4">
                  <c:v>37.524999999999999</c:v>
                </c:pt>
                <c:pt idx="5">
                  <c:v>67.626000000000005</c:v>
                </c:pt>
                <c:pt idx="6">
                  <c:v>137.82599999999999</c:v>
                </c:pt>
              </c:numCache>
            </c:numRef>
          </c:val>
        </c:ser>
        <c:ser>
          <c:idx val="1"/>
          <c:order val="1"/>
          <c:tx>
            <c:strRef>
              <c:f>'Graf č.2.4'!$C$3</c:f>
              <c:strCache>
                <c:ptCount val="1"/>
                <c:pt idx="0">
                  <c:v>2013</c:v>
                </c:pt>
              </c:strCache>
            </c:strRef>
          </c:tx>
          <c:spPr>
            <a:solidFill>
              <a:srgbClr val="9EB709"/>
            </a:solidFill>
            <a:ln>
              <a:solidFill>
                <a:srgbClr val="93D050"/>
              </a:solidFill>
            </a:ln>
          </c:spPr>
          <c:invertIfNegative val="0"/>
          <c:dLbls>
            <c:dLblPos val="ctr"/>
            <c:showLegendKey val="0"/>
            <c:showVal val="1"/>
            <c:showCatName val="0"/>
            <c:showSerName val="0"/>
            <c:showPercent val="0"/>
            <c:showBubbleSize val="0"/>
            <c:showLeaderLines val="0"/>
          </c:dLbls>
          <c:cat>
            <c:strRef>
              <c:f>'Graf č.2.4'!$A$4:$A$10</c:f>
              <c:strCache>
                <c:ptCount val="7"/>
                <c:pt idx="0">
                  <c:v>Preventivní péče</c:v>
                </c:pt>
                <c:pt idx="1">
                  <c:v>Rehabilitační péče</c:v>
                </c:pt>
                <c:pt idx="2">
                  <c:v>Sociální péče</c:v>
                </c:pt>
                <c:pt idx="3">
                  <c:v>Dlouhodobá péče</c:v>
                </c:pt>
                <c:pt idx="4">
                  <c:v>Podpůrné služby</c:v>
                </c:pt>
                <c:pt idx="5">
                  <c:v>Léčiva a ostatní zdravotnické výrobky</c:v>
                </c:pt>
                <c:pt idx="6">
                  <c:v>Léčebná péče</c:v>
                </c:pt>
              </c:strCache>
            </c:strRef>
          </c:cat>
          <c:val>
            <c:numRef>
              <c:f>'Graf č.2.4'!$C$4:$C$10</c:f>
              <c:numCache>
                <c:formatCode>0.0</c:formatCode>
                <c:ptCount val="7"/>
                <c:pt idx="0">
                  <c:v>10.765000000000001</c:v>
                </c:pt>
                <c:pt idx="1">
                  <c:v>13.753</c:v>
                </c:pt>
                <c:pt idx="2">
                  <c:v>17.241</c:v>
                </c:pt>
                <c:pt idx="3">
                  <c:v>38.595999999999997</c:v>
                </c:pt>
                <c:pt idx="4">
                  <c:v>38.469000000000001</c:v>
                </c:pt>
                <c:pt idx="5">
                  <c:v>66.784000000000006</c:v>
                </c:pt>
                <c:pt idx="6">
                  <c:v>140.94800000000001</c:v>
                </c:pt>
              </c:numCache>
            </c:numRef>
          </c:val>
        </c:ser>
        <c:ser>
          <c:idx val="2"/>
          <c:order val="2"/>
          <c:tx>
            <c:strRef>
              <c:f>'Graf č.2.4'!$D$3</c:f>
              <c:strCache>
                <c:ptCount val="1"/>
                <c:pt idx="0">
                  <c:v>2015</c:v>
                </c:pt>
              </c:strCache>
            </c:strRef>
          </c:tx>
          <c:spPr>
            <a:solidFill>
              <a:srgbClr val="D96D75"/>
            </a:solidFill>
            <a:ln>
              <a:solidFill>
                <a:srgbClr val="D96C7F"/>
              </a:solidFill>
            </a:ln>
          </c:spPr>
          <c:invertIfNegative val="0"/>
          <c:dPt>
            <c:idx val="6"/>
            <c:invertIfNegative val="0"/>
            <c:bubble3D val="0"/>
          </c:dPt>
          <c:dLbls>
            <c:txPr>
              <a:bodyPr/>
              <a:lstStyle/>
              <a:p>
                <a:pPr>
                  <a:defRPr baseline="0">
                    <a:solidFill>
                      <a:schemeClr val="bg1">
                        <a:lumMod val="95000"/>
                      </a:schemeClr>
                    </a:solidFill>
                  </a:defRPr>
                </a:pPr>
                <a:endParaRPr lang="cs-CZ"/>
              </a:p>
            </c:txPr>
            <c:dLblPos val="ctr"/>
            <c:showLegendKey val="0"/>
            <c:showVal val="1"/>
            <c:showCatName val="0"/>
            <c:showSerName val="0"/>
            <c:showPercent val="0"/>
            <c:showBubbleSize val="0"/>
            <c:showLeaderLines val="0"/>
          </c:dLbls>
          <c:cat>
            <c:strRef>
              <c:f>'Graf č.2.4'!$A$4:$A$10</c:f>
              <c:strCache>
                <c:ptCount val="7"/>
                <c:pt idx="0">
                  <c:v>Preventivní péče</c:v>
                </c:pt>
                <c:pt idx="1">
                  <c:v>Rehabilitační péče</c:v>
                </c:pt>
                <c:pt idx="2">
                  <c:v>Sociální péče</c:v>
                </c:pt>
                <c:pt idx="3">
                  <c:v>Dlouhodobá péče</c:v>
                </c:pt>
                <c:pt idx="4">
                  <c:v>Podpůrné služby</c:v>
                </c:pt>
                <c:pt idx="5">
                  <c:v>Léčiva a ostatní zdravotnické výrobky</c:v>
                </c:pt>
                <c:pt idx="6">
                  <c:v>Léčebná péče</c:v>
                </c:pt>
              </c:strCache>
            </c:strRef>
          </c:cat>
          <c:val>
            <c:numRef>
              <c:f>'Graf č.2.4'!$D$4:$D$10</c:f>
              <c:numCache>
                <c:formatCode>0.0</c:formatCode>
                <c:ptCount val="7"/>
                <c:pt idx="0">
                  <c:v>9.0269999999999992</c:v>
                </c:pt>
                <c:pt idx="1">
                  <c:v>14.76338</c:v>
                </c:pt>
                <c:pt idx="2">
                  <c:v>18.611000000000001</c:v>
                </c:pt>
                <c:pt idx="3">
                  <c:v>42.393000000000001</c:v>
                </c:pt>
                <c:pt idx="4">
                  <c:v>40.020000000000003</c:v>
                </c:pt>
                <c:pt idx="5">
                  <c:v>67.83005</c:v>
                </c:pt>
                <c:pt idx="6">
                  <c:v>141.60029999999998</c:v>
                </c:pt>
              </c:numCache>
            </c:numRef>
          </c:val>
        </c:ser>
        <c:dLbls>
          <c:showLegendKey val="0"/>
          <c:showVal val="0"/>
          <c:showCatName val="0"/>
          <c:showSerName val="0"/>
          <c:showPercent val="0"/>
          <c:showBubbleSize val="0"/>
        </c:dLbls>
        <c:gapWidth val="70"/>
        <c:axId val="184796672"/>
        <c:axId val="267372224"/>
      </c:barChart>
      <c:catAx>
        <c:axId val="184796672"/>
        <c:scaling>
          <c:orientation val="minMax"/>
        </c:scaling>
        <c:delete val="0"/>
        <c:axPos val="l"/>
        <c:majorTickMark val="out"/>
        <c:minorTickMark val="none"/>
        <c:tickLblPos val="nextTo"/>
        <c:spPr>
          <a:ln w="3175">
            <a:solidFill>
              <a:schemeClr val="bg1">
                <a:lumMod val="75000"/>
              </a:schemeClr>
            </a:solidFill>
          </a:ln>
        </c:spPr>
        <c:crossAx val="267372224"/>
        <c:crosses val="autoZero"/>
        <c:auto val="1"/>
        <c:lblAlgn val="ctr"/>
        <c:lblOffset val="100"/>
        <c:noMultiLvlLbl val="0"/>
      </c:catAx>
      <c:valAx>
        <c:axId val="267372224"/>
        <c:scaling>
          <c:orientation val="minMax"/>
        </c:scaling>
        <c:delete val="0"/>
        <c:axPos val="b"/>
        <c:majorGridlines>
          <c:spPr>
            <a:ln w="9525">
              <a:solidFill>
                <a:sysClr val="windowText" lastClr="000000">
                  <a:tint val="75000"/>
                  <a:shade val="95000"/>
                  <a:satMod val="105000"/>
                </a:sysClr>
              </a:solidFill>
            </a:ln>
          </c:spPr>
        </c:majorGridlines>
        <c:numFmt formatCode="0" sourceLinked="0"/>
        <c:majorTickMark val="out"/>
        <c:minorTickMark val="none"/>
        <c:tickLblPos val="nextTo"/>
        <c:spPr>
          <a:ln w="3175">
            <a:solidFill>
              <a:schemeClr val="bg1">
                <a:lumMod val="75000"/>
              </a:schemeClr>
            </a:solidFill>
          </a:ln>
        </c:spPr>
        <c:crossAx val="184796672"/>
        <c:crosses val="autoZero"/>
        <c:crossBetween val="between"/>
      </c:valAx>
    </c:plotArea>
    <c:legend>
      <c:legendPos val="r"/>
      <c:layout>
        <c:manualLayout>
          <c:xMode val="edge"/>
          <c:yMode val="edge"/>
          <c:x val="0.88332642788966009"/>
          <c:y val="0.59849473361284378"/>
          <c:w val="8.0431835972656532E-2"/>
          <c:h val="0.19279987728806627"/>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233040959835047E-2"/>
          <c:y val="0"/>
          <c:w val="0.90401489082915953"/>
          <c:h val="0.7310770699117155"/>
        </c:manualLayout>
      </c:layout>
      <c:barChart>
        <c:barDir val="bar"/>
        <c:grouping val="stacked"/>
        <c:varyColors val="0"/>
        <c:ser>
          <c:idx val="0"/>
          <c:order val="0"/>
          <c:tx>
            <c:strRef>
              <c:f>'Graf č.2.4'!$K$34</c:f>
              <c:strCache>
                <c:ptCount val="1"/>
                <c:pt idx="0">
                  <c:v> Léčebná péče</c:v>
                </c:pt>
              </c:strCache>
            </c:strRef>
          </c:tx>
          <c:spPr>
            <a:solidFill>
              <a:srgbClr val="D96D75"/>
            </a:solidFill>
            <a:ln>
              <a:solidFill>
                <a:srgbClr val="C0504D">
                  <a:lumMod val="75000"/>
                </a:srgbClr>
              </a:solidFill>
            </a:ln>
          </c:spPr>
          <c:invertIfNegative val="0"/>
          <c:dLbls>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č.2.4'!$L$34:$N$34</c:f>
              <c:numCache>
                <c:formatCode>0.0%</c:formatCode>
                <c:ptCount val="3"/>
                <c:pt idx="0">
                  <c:v>0.40006966517176845</c:v>
                </c:pt>
                <c:pt idx="1">
                  <c:v>0.40261769486315957</c:v>
                </c:pt>
                <c:pt idx="2">
                  <c:v>0.39495712795460963</c:v>
                </c:pt>
              </c:numCache>
            </c:numRef>
          </c:val>
        </c:ser>
        <c:ser>
          <c:idx val="1"/>
          <c:order val="1"/>
          <c:tx>
            <c:strRef>
              <c:f>'Graf č.2.4'!$K$35</c:f>
              <c:strCache>
                <c:ptCount val="1"/>
                <c:pt idx="0">
                  <c:v> Léčiva a ostatní zdravotnické výrobky</c:v>
                </c:pt>
              </c:strCache>
            </c:strRef>
          </c:tx>
          <c:spPr>
            <a:solidFill>
              <a:srgbClr val="92D050"/>
            </a:solidFill>
            <a:ln>
              <a:solidFill>
                <a:srgbClr val="9BBB59">
                  <a:lumMod val="75000"/>
                </a:srgbClr>
              </a:solidFill>
            </a:ln>
          </c:spPr>
          <c:invertIfNegative val="0"/>
          <c:dLbls>
            <c:dLbl>
              <c:idx val="2"/>
              <c:tx>
                <c:rich>
                  <a:bodyPr/>
                  <a:lstStyle/>
                  <a:p>
                    <a:r>
                      <a:rPr lang="en-US"/>
                      <a:t>18,</a:t>
                    </a:r>
                    <a:r>
                      <a:rPr lang="cs-CZ"/>
                      <a:t>9</a:t>
                    </a:r>
                    <a:r>
                      <a:rPr lang="en-US"/>
                      <a:t>%</a:t>
                    </a:r>
                  </a:p>
                </c:rich>
              </c:tx>
              <c:showLegendKey val="0"/>
              <c:showVal val="1"/>
              <c:showCatName val="0"/>
              <c:showSerName val="0"/>
              <c:showPercent val="0"/>
              <c:showBubbleSize val="0"/>
            </c:dLbl>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č.2.4'!$L$35:$N$35</c:f>
              <c:numCache>
                <c:formatCode>0.0%</c:formatCode>
                <c:ptCount val="3"/>
                <c:pt idx="0">
                  <c:v>0.19629903774981511</c:v>
                </c:pt>
                <c:pt idx="1">
                  <c:v>0.19076836942518693</c:v>
                </c:pt>
                <c:pt idx="2">
                  <c:v>0.18596827496911478</c:v>
                </c:pt>
              </c:numCache>
            </c:numRef>
          </c:val>
        </c:ser>
        <c:ser>
          <c:idx val="2"/>
          <c:order val="2"/>
          <c:tx>
            <c:strRef>
              <c:f>'Graf č.2.4'!$K$36</c:f>
              <c:strCache>
                <c:ptCount val="1"/>
                <c:pt idx="0">
                  <c:v> Doplňkové služby</c:v>
                </c:pt>
              </c:strCache>
            </c:strRef>
          </c:tx>
          <c:spPr>
            <a:solidFill>
              <a:srgbClr val="FFC000"/>
            </a:solidFill>
            <a:ln>
              <a:solidFill>
                <a:srgbClr val="F79646">
                  <a:lumMod val="75000"/>
                </a:srgbClr>
              </a:solidFill>
            </a:ln>
          </c:spPr>
          <c:invertIfNegative val="0"/>
          <c:dLbls>
            <c:dLbl>
              <c:idx val="2"/>
              <c:tx>
                <c:rich>
                  <a:bodyPr/>
                  <a:lstStyle/>
                  <a:p>
                    <a:r>
                      <a:rPr lang="en-US"/>
                      <a:t>11,</a:t>
                    </a:r>
                    <a:r>
                      <a:rPr lang="cs-CZ"/>
                      <a:t>2</a:t>
                    </a:r>
                    <a:r>
                      <a:rPr lang="en-US"/>
                      <a:t>%</a:t>
                    </a:r>
                  </a:p>
                </c:rich>
              </c:tx>
              <c:showLegendKey val="0"/>
              <c:showVal val="1"/>
              <c:showCatName val="0"/>
              <c:showSerName val="0"/>
              <c:showPercent val="0"/>
              <c:showBubbleSize val="0"/>
            </c:dLbl>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č.2.4'!$L$36:$N$36</c:f>
              <c:numCache>
                <c:formatCode>0.0%</c:formatCode>
                <c:ptCount val="3"/>
                <c:pt idx="0">
                  <c:v>0.10892439877505412</c:v>
                </c:pt>
                <c:pt idx="1">
                  <c:v>0.10988662559022401</c:v>
                </c:pt>
                <c:pt idx="2">
                  <c:v>0.11313809802474779</c:v>
                </c:pt>
              </c:numCache>
            </c:numRef>
          </c:val>
        </c:ser>
        <c:ser>
          <c:idx val="3"/>
          <c:order val="3"/>
          <c:tx>
            <c:strRef>
              <c:f>'Graf č.2.4'!$K$37</c:f>
              <c:strCache>
                <c:ptCount val="1"/>
                <c:pt idx="0">
                  <c:v> Dlouhodobá péče zdravotní</c:v>
                </c:pt>
              </c:strCache>
            </c:strRef>
          </c:tx>
          <c:spPr>
            <a:solidFill>
              <a:srgbClr val="0071BC"/>
            </a:solidFill>
            <a:ln>
              <a:solidFill>
                <a:srgbClr val="4F81BD">
                  <a:lumMod val="50000"/>
                </a:srgbClr>
              </a:solidFill>
            </a:ln>
          </c:spPr>
          <c:invertIfNegative val="0"/>
          <c:dLbls>
            <c:dLbl>
              <c:idx val="2"/>
              <c:tx>
                <c:rich>
                  <a:bodyPr/>
                  <a:lstStyle/>
                  <a:p>
                    <a:r>
                      <a:rPr lang="en-US"/>
                      <a:t>1</a:t>
                    </a:r>
                    <a:r>
                      <a:rPr lang="cs-CZ"/>
                      <a:t>1</a:t>
                    </a:r>
                    <a:r>
                      <a:rPr lang="en-US"/>
                      <a:t>,</a:t>
                    </a:r>
                    <a:r>
                      <a:rPr lang="cs-CZ"/>
                      <a:t>8</a:t>
                    </a:r>
                    <a:r>
                      <a:rPr lang="en-US"/>
                      <a:t>%</a:t>
                    </a:r>
                  </a:p>
                </c:rich>
              </c:tx>
              <c:showLegendKey val="0"/>
              <c:showVal val="1"/>
              <c:showCatName val="0"/>
              <c:showSerName val="0"/>
              <c:showPercent val="0"/>
              <c:showBubbleSize val="0"/>
            </c:dLbl>
            <c:txPr>
              <a:bodyPr/>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č.2.4'!$L$37:$N$37</c:f>
              <c:numCache>
                <c:formatCode>0.0%</c:formatCode>
                <c:ptCount val="3"/>
                <c:pt idx="0">
                  <c:v>0.10741498672007666</c:v>
                </c:pt>
                <c:pt idx="1">
                  <c:v>0.11024940084952255</c:v>
                </c:pt>
                <c:pt idx="2">
                  <c:v>0.11984666140837426</c:v>
                </c:pt>
              </c:numCache>
            </c:numRef>
          </c:val>
        </c:ser>
        <c:ser>
          <c:idx val="4"/>
          <c:order val="4"/>
          <c:tx>
            <c:strRef>
              <c:f>'Graf č.2.4'!$K$38</c:f>
              <c:strCache>
                <c:ptCount val="1"/>
                <c:pt idx="0">
                  <c:v> Dlouhodobá péče sociální</c:v>
                </c:pt>
              </c:strCache>
            </c:strRef>
          </c:tx>
          <c:spPr>
            <a:solidFill>
              <a:srgbClr val="FFFF8C"/>
            </a:solidFill>
            <a:ln>
              <a:solidFill>
                <a:sysClr val="window" lastClr="FFFFFF">
                  <a:lumMod val="50000"/>
                </a:sysClr>
              </a:solidFill>
            </a:ln>
          </c:spPr>
          <c:invertIfNegative val="0"/>
          <c:dLbls>
            <c:dLbl>
              <c:idx val="2"/>
              <c:tx>
                <c:rich>
                  <a:bodyPr/>
                  <a:lstStyle/>
                  <a:p>
                    <a:r>
                      <a:rPr lang="en-US"/>
                      <a:t>5,</a:t>
                    </a:r>
                    <a:r>
                      <a:rPr lang="cs-CZ"/>
                      <a:t>2</a:t>
                    </a:r>
                    <a:r>
                      <a:rPr lang="en-US"/>
                      <a:t>%</a:t>
                    </a:r>
                  </a:p>
                </c:rich>
              </c:tx>
              <c:showLegendKey val="0"/>
              <c:showVal val="1"/>
              <c:showCatName val="0"/>
              <c:showSerName val="0"/>
              <c:showPercent val="0"/>
              <c:showBubbleSize val="0"/>
            </c:dLbl>
            <c:txPr>
              <a:bodyPr rot="-5400000" vert="horz"/>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č.2.4'!$L$38:$N$38</c:f>
              <c:numCache>
                <c:formatCode>0.0%</c:formatCode>
                <c:ptCount val="3"/>
                <c:pt idx="0">
                  <c:v>4.658858361997649E-2</c:v>
                </c:pt>
                <c:pt idx="1">
                  <c:v>4.9248883823365577E-2</c:v>
                </c:pt>
                <c:pt idx="2">
                  <c:v>5.2614021547690813E-2</c:v>
                </c:pt>
              </c:numCache>
            </c:numRef>
          </c:val>
        </c:ser>
        <c:ser>
          <c:idx val="5"/>
          <c:order val="5"/>
          <c:tx>
            <c:strRef>
              <c:f>'Graf č.2.4'!$K$39</c:f>
              <c:strCache>
                <c:ptCount val="1"/>
                <c:pt idx="0">
                  <c:v> Rehabilitační péče</c:v>
                </c:pt>
              </c:strCache>
            </c:strRef>
          </c:tx>
          <c:spPr>
            <a:solidFill>
              <a:srgbClr val="E65057"/>
            </a:solidFill>
            <a:ln>
              <a:solidFill>
                <a:sysClr val="window" lastClr="FFFFFF">
                  <a:lumMod val="50000"/>
                </a:sysClr>
              </a:solidFill>
            </a:ln>
          </c:spPr>
          <c:invertIfNegative val="0"/>
          <c:dLbls>
            <c:txPr>
              <a:bodyPr rot="-5400000" vert="horz"/>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č.2.4'!$L$39:$N$39</c:f>
              <c:numCache>
                <c:formatCode>0.0%</c:formatCode>
                <c:ptCount val="3"/>
                <c:pt idx="0">
                  <c:v>3.9755591355713264E-2</c:v>
                </c:pt>
                <c:pt idx="1">
                  <c:v>3.9285418434124919E-2</c:v>
                </c:pt>
                <c:pt idx="2">
                  <c:v>4.0715014686467293E-2</c:v>
                </c:pt>
              </c:numCache>
            </c:numRef>
          </c:val>
        </c:ser>
        <c:ser>
          <c:idx val="6"/>
          <c:order val="6"/>
          <c:tx>
            <c:strRef>
              <c:f>'Graf č.2.4'!$K$40</c:f>
              <c:strCache>
                <c:ptCount val="1"/>
                <c:pt idx="0">
                  <c:v> Preventivní péče</c:v>
                </c:pt>
              </c:strCache>
            </c:strRef>
          </c:tx>
          <c:spPr>
            <a:solidFill>
              <a:srgbClr val="7030A0"/>
            </a:solidFill>
            <a:ln>
              <a:solidFill>
                <a:sysClr val="window" lastClr="FFFFFF">
                  <a:lumMod val="50000"/>
                </a:sysClr>
              </a:solidFill>
            </a:ln>
          </c:spPr>
          <c:invertIfNegative val="0"/>
          <c:dLbls>
            <c:dLbl>
              <c:idx val="0"/>
              <c:spPr/>
              <c:txPr>
                <a:bodyPr rot="-5400000" vert="horz"/>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dLbl>
            <c:dLbl>
              <c:idx val="1"/>
              <c:spPr/>
              <c:txPr>
                <a:bodyPr rot="-5400000" vert="horz"/>
                <a:lstStyle/>
                <a:p>
                  <a:pPr>
                    <a:defRPr sz="800">
                      <a:solidFill>
                        <a:schemeClr val="bg1"/>
                      </a:solidFill>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dLbl>
            <c:dLbl>
              <c:idx val="2"/>
              <c:tx>
                <c:rich>
                  <a:bodyPr rot="-5400000" vert="horz"/>
                  <a:lstStyle/>
                  <a:p>
                    <a:pPr>
                      <a:defRPr sz="800">
                        <a:solidFill>
                          <a:schemeClr val="bg1"/>
                        </a:solidFill>
                        <a:latin typeface="Arial" panose="020B0604020202020204" pitchFamily="34" charset="0"/>
                        <a:cs typeface="Arial" panose="020B0604020202020204" pitchFamily="34" charset="0"/>
                      </a:defRPr>
                    </a:pPr>
                    <a:r>
                      <a:rPr lang="en-US"/>
                      <a:t>2,</a:t>
                    </a:r>
                    <a:r>
                      <a:rPr lang="cs-CZ"/>
                      <a:t>5</a:t>
                    </a:r>
                    <a:r>
                      <a:rPr lang="en-US"/>
                      <a:t>%</a:t>
                    </a:r>
                  </a:p>
                </c:rich>
              </c:tx>
              <c:spPr/>
              <c:showLegendKey val="0"/>
              <c:showVal val="1"/>
              <c:showCatName val="0"/>
              <c:showSerName val="0"/>
              <c:showPercent val="0"/>
              <c:showBubbleSize val="0"/>
            </c:dLbl>
            <c:txPr>
              <a:bodyPr rot="-5400000" vert="horz"/>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č.2.4'!$L$40:$N$40</c:f>
              <c:numCache>
                <c:formatCode>0.0%</c:formatCode>
                <c:ptCount val="3"/>
                <c:pt idx="0">
                  <c:v>3.0083743341896365E-2</c:v>
                </c:pt>
                <c:pt idx="1">
                  <c:v>3.0750202097240935E-2</c:v>
                </c:pt>
                <c:pt idx="2">
                  <c:v>2.5519680431519219E-2</c:v>
                </c:pt>
              </c:numCache>
            </c:numRef>
          </c:val>
        </c:ser>
        <c:ser>
          <c:idx val="7"/>
          <c:order val="7"/>
          <c:tx>
            <c:strRef>
              <c:f>'Graf č.2.4'!$K$41</c:f>
              <c:strCache>
                <c:ptCount val="1"/>
                <c:pt idx="0">
                  <c:v> Správa a ostatní péče</c:v>
                </c:pt>
              </c:strCache>
            </c:strRef>
          </c:tx>
          <c:spPr>
            <a:solidFill>
              <a:srgbClr val="CCC1DA"/>
            </a:solidFill>
            <a:ln>
              <a:solidFill>
                <a:sysClr val="window" lastClr="FFFFFF">
                  <a:lumMod val="50000"/>
                </a:sysClr>
              </a:solidFill>
            </a:ln>
          </c:spPr>
          <c:invertIfNegative val="0"/>
          <c:dLbls>
            <c:dLbl>
              <c:idx val="2"/>
              <c:tx>
                <c:rich>
                  <a:bodyPr/>
                  <a:lstStyle/>
                  <a:p>
                    <a:r>
                      <a:rPr lang="en-US"/>
                      <a:t>6,</a:t>
                    </a:r>
                    <a:r>
                      <a:rPr lang="cs-CZ"/>
                      <a:t>6</a:t>
                    </a:r>
                    <a:r>
                      <a:rPr lang="en-US"/>
                      <a:t>%</a:t>
                    </a:r>
                  </a:p>
                </c:rich>
              </c:tx>
              <c:showLegendKey val="0"/>
              <c:showVal val="1"/>
              <c:showCatName val="0"/>
              <c:showSerName val="0"/>
              <c:showPercent val="0"/>
              <c:showBubbleSize val="0"/>
            </c:dLbl>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numRef>
              <c:f>'Graf č.2.4'!$L$33:$N$33</c:f>
              <c:numCache>
                <c:formatCode>0</c:formatCode>
                <c:ptCount val="3"/>
                <c:pt idx="0">
                  <c:v>2011</c:v>
                </c:pt>
                <c:pt idx="1">
                  <c:v>2013</c:v>
                </c:pt>
                <c:pt idx="2">
                  <c:v>2015</c:v>
                </c:pt>
              </c:numCache>
            </c:numRef>
          </c:cat>
          <c:val>
            <c:numRef>
              <c:f>'Graf č.2.4'!$L$41:$N$41</c:f>
              <c:numCache>
                <c:formatCode>0.0%</c:formatCode>
                <c:ptCount val="3"/>
                <c:pt idx="0">
                  <c:v>7.0863993265700156E-2</c:v>
                </c:pt>
                <c:pt idx="1">
                  <c:v>6.7193404917175875E-2</c:v>
                </c:pt>
                <c:pt idx="2">
                  <c:v>6.7241120977476893E-2</c:v>
                </c:pt>
              </c:numCache>
            </c:numRef>
          </c:val>
        </c:ser>
        <c:dLbls>
          <c:showLegendKey val="0"/>
          <c:showVal val="0"/>
          <c:showCatName val="0"/>
          <c:showSerName val="0"/>
          <c:showPercent val="0"/>
          <c:showBubbleSize val="0"/>
        </c:dLbls>
        <c:gapWidth val="70"/>
        <c:overlap val="100"/>
        <c:axId val="185160704"/>
        <c:axId val="267373952"/>
      </c:barChart>
      <c:catAx>
        <c:axId val="185160704"/>
        <c:scaling>
          <c:orientation val="minMax"/>
        </c:scaling>
        <c:delete val="0"/>
        <c:axPos val="l"/>
        <c:numFmt formatCode="0"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267373952"/>
        <c:crosses val="autoZero"/>
        <c:auto val="1"/>
        <c:lblAlgn val="ctr"/>
        <c:lblOffset val="100"/>
        <c:noMultiLvlLbl val="0"/>
      </c:catAx>
      <c:valAx>
        <c:axId val="267373952"/>
        <c:scaling>
          <c:orientation val="minMax"/>
          <c:max val="1"/>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185160704"/>
        <c:crosses val="autoZero"/>
        <c:crossBetween val="between"/>
        <c:majorUnit val="0.2"/>
      </c:valAx>
    </c:plotArea>
    <c:legend>
      <c:legendPos val="b"/>
      <c:layout>
        <c:manualLayout>
          <c:xMode val="edge"/>
          <c:yMode val="edge"/>
          <c:x val="4.2489149126224292E-2"/>
          <c:y val="0.82611405392507764"/>
          <c:w val="0.95500171174255388"/>
          <c:h val="0.17388594607492244"/>
        </c:manualLayout>
      </c:layout>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621113748341267E-2"/>
          <c:y val="1.692227392030542E-2"/>
          <c:w val="0.91976440743950183"/>
          <c:h val="0.75207259603913246"/>
        </c:manualLayout>
      </c:layout>
      <c:barChart>
        <c:barDir val="col"/>
        <c:grouping val="stacked"/>
        <c:varyColors val="0"/>
        <c:ser>
          <c:idx val="0"/>
          <c:order val="0"/>
          <c:tx>
            <c:strRef>
              <c:f>List9!$A$43</c:f>
              <c:strCache>
                <c:ptCount val="1"/>
                <c:pt idx="0">
                  <c:v> Nemocnice</c:v>
                </c:pt>
              </c:strCache>
            </c:strRef>
          </c:tx>
          <c:spPr>
            <a:solidFill>
              <a:srgbClr val="D96D7F"/>
            </a:solidFill>
            <a:ln>
              <a:solidFill>
                <a:srgbClr val="C0504D">
                  <a:lumMod val="75000"/>
                </a:srgbClr>
              </a:solidFill>
            </a:ln>
          </c:spPr>
          <c:invertIfNegative val="0"/>
          <c:dLbls>
            <c:dLbl>
              <c:idx val="2"/>
              <c:tx>
                <c:rich>
                  <a:bodyPr/>
                  <a:lstStyle/>
                  <a:p>
                    <a:r>
                      <a:rPr lang="en-US"/>
                      <a:t>1</a:t>
                    </a:r>
                    <a:r>
                      <a:rPr lang="cs-CZ"/>
                      <a:t>40.4</a:t>
                    </a:r>
                    <a:endParaRPr lang="en-US"/>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List9!$B$43:$D$43</c:f>
              <c:numCache>
                <c:formatCode>0.0</c:formatCode>
                <c:ptCount val="3"/>
                <c:pt idx="0">
                  <c:v>133.56733312922</c:v>
                </c:pt>
                <c:pt idx="1">
                  <c:v>136.67936695851699</c:v>
                </c:pt>
                <c:pt idx="2">
                  <c:v>139.93546068896001</c:v>
                </c:pt>
              </c:numCache>
            </c:numRef>
          </c:val>
        </c:ser>
        <c:ser>
          <c:idx val="1"/>
          <c:order val="1"/>
          <c:tx>
            <c:strRef>
              <c:f>List9!$A$44</c:f>
              <c:strCache>
                <c:ptCount val="1"/>
                <c:pt idx="0">
                  <c:v> Zařízení ambulantní péče</c:v>
                </c:pt>
              </c:strCache>
            </c:strRef>
          </c:tx>
          <c:spPr>
            <a:solidFill>
              <a:srgbClr val="93CF50"/>
            </a:solidFill>
            <a:ln>
              <a:solidFill>
                <a:srgbClr val="9BBB59">
                  <a:lumMod val="75000"/>
                </a:srgbClr>
              </a:solidFill>
            </a:ln>
          </c:spPr>
          <c:invertIfNegative val="0"/>
          <c:dLbls>
            <c:dLbl>
              <c:idx val="2"/>
              <c:tx>
                <c:rich>
                  <a:bodyPr/>
                  <a:lstStyle/>
                  <a:p>
                    <a:r>
                      <a:rPr lang="en-US"/>
                      <a:t>7</a:t>
                    </a:r>
                    <a:r>
                      <a:rPr lang="cs-CZ"/>
                      <a:t>3</a:t>
                    </a:r>
                    <a:r>
                      <a:rPr lang="en-US"/>
                      <a:t>,</a:t>
                    </a:r>
                    <a:r>
                      <a:rPr lang="cs-CZ"/>
                      <a:t>2</a:t>
                    </a:r>
                    <a:endParaRPr lang="en-US"/>
                  </a:p>
                </c:rich>
              </c:tx>
              <c:showLegendKey val="0"/>
              <c:showVal val="1"/>
              <c:showCatName val="0"/>
              <c:showSerName val="0"/>
              <c:showPercent val="0"/>
              <c:showBubbleSize val="0"/>
            </c:dLbl>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List9!$B$44:$D$44</c:f>
              <c:numCache>
                <c:formatCode>0.0</c:formatCode>
                <c:ptCount val="3"/>
                <c:pt idx="0">
                  <c:v>69.798030129979978</c:v>
                </c:pt>
                <c:pt idx="1">
                  <c:v>71.779656383609648</c:v>
                </c:pt>
                <c:pt idx="2">
                  <c:v>71.447019041779527</c:v>
                </c:pt>
              </c:numCache>
            </c:numRef>
          </c:val>
        </c:ser>
        <c:ser>
          <c:idx val="2"/>
          <c:order val="2"/>
          <c:tx>
            <c:strRef>
              <c:f>List9!$A$45</c:f>
              <c:strCache>
                <c:ptCount val="1"/>
                <c:pt idx="0">
                  <c:v> Lékárny a výdej PZT</c:v>
                </c:pt>
              </c:strCache>
            </c:strRef>
          </c:tx>
          <c:spPr>
            <a:solidFill>
              <a:srgbClr val="0071BC"/>
            </a:solidFill>
            <a:ln>
              <a:solidFill>
                <a:srgbClr val="4F81BD">
                  <a:lumMod val="75000"/>
                </a:srgbClr>
              </a:solidFill>
            </a:ln>
          </c:spPr>
          <c:invertIfNegative val="0"/>
          <c:dLbls>
            <c:dLbl>
              <c:idx val="2"/>
              <c:tx>
                <c:rich>
                  <a:bodyPr/>
                  <a:lstStyle/>
                  <a:p>
                    <a:r>
                      <a:rPr lang="en-US"/>
                      <a:t>5</a:t>
                    </a:r>
                    <a:r>
                      <a:rPr lang="cs-CZ"/>
                      <a:t>6</a:t>
                    </a:r>
                    <a:r>
                      <a:rPr lang="en-US"/>
                      <a:t>,7</a:t>
                    </a:r>
                  </a:p>
                </c:rich>
              </c:tx>
              <c:showLegendKey val="0"/>
              <c:showVal val="1"/>
              <c:showCatName val="0"/>
              <c:showSerName val="0"/>
              <c:showPercent val="0"/>
              <c:showBubbleSize val="0"/>
            </c:dLbl>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List9!$B$45:$D$45</c:f>
              <c:numCache>
                <c:formatCode>0.0</c:formatCode>
                <c:ptCount val="3"/>
                <c:pt idx="0">
                  <c:v>62.703940082700001</c:v>
                </c:pt>
                <c:pt idx="1">
                  <c:v>59.680045904390006</c:v>
                </c:pt>
                <c:pt idx="2">
                  <c:v>54.670504602680005</c:v>
                </c:pt>
              </c:numCache>
            </c:numRef>
          </c:val>
        </c:ser>
        <c:ser>
          <c:idx val="3"/>
          <c:order val="3"/>
          <c:tx>
            <c:strRef>
              <c:f>List9!$A$46</c:f>
              <c:strCache>
                <c:ptCount val="1"/>
                <c:pt idx="0">
                  <c:v> Lůžková zařízení dlouhodobé péče</c:v>
                </c:pt>
              </c:strCache>
            </c:strRef>
          </c:tx>
          <c:spPr>
            <a:solidFill>
              <a:srgbClr val="FFC000"/>
            </a:solidFill>
            <a:ln>
              <a:solidFill>
                <a:sysClr val="window" lastClr="FFFFFF">
                  <a:lumMod val="50000"/>
                </a:sysClr>
              </a:solidFill>
            </a:ln>
          </c:spPr>
          <c:invertIfNegative val="0"/>
          <c:dLbls>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List9!$B$46:$D$46</c:f>
              <c:numCache>
                <c:formatCode>0.0</c:formatCode>
                <c:ptCount val="3"/>
                <c:pt idx="0">
                  <c:v>20.944310422940003</c:v>
                </c:pt>
                <c:pt idx="1">
                  <c:v>21.895046113999989</c:v>
                </c:pt>
                <c:pt idx="2">
                  <c:v>24.413169983179976</c:v>
                </c:pt>
              </c:numCache>
            </c:numRef>
          </c:val>
        </c:ser>
        <c:ser>
          <c:idx val="4"/>
          <c:order val="4"/>
          <c:tx>
            <c:strRef>
              <c:f>List9!$A$47</c:f>
              <c:strCache>
                <c:ptCount val="1"/>
                <c:pt idx="0">
                  <c:v> Domácnosti jako poskytovatelé ZP</c:v>
                </c:pt>
              </c:strCache>
            </c:strRef>
          </c:tx>
          <c:spPr>
            <a:solidFill>
              <a:srgbClr val="7030A0"/>
            </a:solidFill>
            <a:ln>
              <a:solidFill>
                <a:sysClr val="window" lastClr="FFFFFF">
                  <a:lumMod val="50000"/>
                </a:sysClr>
              </a:solidFill>
            </a:ln>
          </c:spPr>
          <c:invertIfNegative val="0"/>
          <c:dLbls>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List9!$B$47:$D$47</c:f>
              <c:numCache>
                <c:formatCode>0.0</c:formatCode>
                <c:ptCount val="3"/>
                <c:pt idx="0">
                  <c:v>13.362048421000004</c:v>
                </c:pt>
                <c:pt idx="1">
                  <c:v>14.592641280380002</c:v>
                </c:pt>
                <c:pt idx="2">
                  <c:v>15.991</c:v>
                </c:pt>
              </c:numCache>
            </c:numRef>
          </c:val>
        </c:ser>
        <c:ser>
          <c:idx val="5"/>
          <c:order val="5"/>
          <c:tx>
            <c:strRef>
              <c:f>List9!$A$48</c:f>
              <c:strCache>
                <c:ptCount val="1"/>
                <c:pt idx="0">
                  <c:v> Poskytovatelé doplňkových služeb</c:v>
                </c:pt>
              </c:strCache>
            </c:strRef>
          </c:tx>
          <c:spPr>
            <a:solidFill>
              <a:srgbClr val="FFFF8C"/>
            </a:solidFill>
            <a:ln>
              <a:solidFill>
                <a:sysClr val="window" lastClr="FFFFFF">
                  <a:lumMod val="50000"/>
                </a:sysClr>
              </a:solidFill>
            </a:ln>
          </c:spPr>
          <c:invertIfNegative val="0"/>
          <c:dLbls>
            <c:showLegendKey val="0"/>
            <c:showVal val="1"/>
            <c:showCatName val="0"/>
            <c:showSerName val="0"/>
            <c:showPercent val="0"/>
            <c:showBubbleSize val="0"/>
            <c:showLeaderLines val="0"/>
          </c:dLbls>
          <c:cat>
            <c:numRef>
              <c:f>List9!$B$42:$D$42</c:f>
              <c:numCache>
                <c:formatCode>0</c:formatCode>
                <c:ptCount val="3"/>
                <c:pt idx="0">
                  <c:v>2011</c:v>
                </c:pt>
                <c:pt idx="1">
                  <c:v>2013</c:v>
                </c:pt>
                <c:pt idx="2">
                  <c:v>2015</c:v>
                </c:pt>
              </c:numCache>
            </c:numRef>
          </c:cat>
          <c:val>
            <c:numRef>
              <c:f>List9!$B$48:$D$48</c:f>
              <c:numCache>
                <c:formatCode>0.0</c:formatCode>
                <c:ptCount val="3"/>
                <c:pt idx="0">
                  <c:v>11.214008460519992</c:v>
                </c:pt>
                <c:pt idx="1">
                  <c:v>11.44915941168</c:v>
                </c:pt>
                <c:pt idx="2">
                  <c:v>12.270970973949998</c:v>
                </c:pt>
              </c:numCache>
            </c:numRef>
          </c:val>
        </c:ser>
        <c:dLbls>
          <c:showLegendKey val="0"/>
          <c:showVal val="0"/>
          <c:showCatName val="0"/>
          <c:showSerName val="0"/>
          <c:showPercent val="0"/>
          <c:showBubbleSize val="0"/>
        </c:dLbls>
        <c:gapWidth val="150"/>
        <c:overlap val="100"/>
        <c:axId val="185162752"/>
        <c:axId val="267375680"/>
      </c:barChart>
      <c:catAx>
        <c:axId val="185162752"/>
        <c:scaling>
          <c:orientation val="minMax"/>
        </c:scaling>
        <c:delete val="0"/>
        <c:axPos val="b"/>
        <c:numFmt formatCode="0" sourceLinked="1"/>
        <c:majorTickMark val="out"/>
        <c:minorTickMark val="none"/>
        <c:tickLblPos val="nextTo"/>
        <c:spPr>
          <a:ln w="3175">
            <a:solidFill>
              <a:schemeClr val="bg1">
                <a:lumMod val="75000"/>
              </a:schemeClr>
            </a:solidFill>
          </a:ln>
        </c:spPr>
        <c:crossAx val="267375680"/>
        <c:crosses val="autoZero"/>
        <c:auto val="1"/>
        <c:lblAlgn val="ctr"/>
        <c:lblOffset val="100"/>
        <c:noMultiLvlLbl val="0"/>
      </c:catAx>
      <c:valAx>
        <c:axId val="267375680"/>
        <c:scaling>
          <c:orientation val="minMax"/>
          <c:max val="320"/>
          <c:min val="0"/>
        </c:scaling>
        <c:delete val="0"/>
        <c:axPos val="l"/>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185162752"/>
        <c:crosses val="autoZero"/>
        <c:crossBetween val="between"/>
      </c:valAx>
    </c:plotArea>
    <c:legend>
      <c:legendPos val="b"/>
      <c:layout>
        <c:manualLayout>
          <c:xMode val="edge"/>
          <c:yMode val="edge"/>
          <c:x val="3.3073377789498849E-2"/>
          <c:y val="0.84589537561001882"/>
          <c:w val="0.9466124150749099"/>
          <c:h val="0.1234140873055830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5674189051727392E-2"/>
          <c:y val="0"/>
          <c:w val="0.88854161172437174"/>
          <c:h val="0.72237738055254941"/>
        </c:manualLayout>
      </c:layout>
      <c:barChart>
        <c:barDir val="bar"/>
        <c:grouping val="stacked"/>
        <c:varyColors val="0"/>
        <c:ser>
          <c:idx val="0"/>
          <c:order val="0"/>
          <c:tx>
            <c:strRef>
              <c:f>List9!$F$73</c:f>
              <c:strCache>
                <c:ptCount val="1"/>
                <c:pt idx="0">
                  <c:v> Nemocnice</c:v>
                </c:pt>
              </c:strCache>
            </c:strRef>
          </c:tx>
          <c:spPr>
            <a:solidFill>
              <a:srgbClr val="D96D7F"/>
            </a:solidFill>
            <a:ln>
              <a:solidFill>
                <a:srgbClr val="C0504D">
                  <a:lumMod val="75000"/>
                </a:srgbClr>
              </a:solidFill>
            </a:ln>
          </c:spPr>
          <c:invertIfNegative val="0"/>
          <c:dLbls>
            <c:dLbl>
              <c:idx val="2"/>
              <c:tx>
                <c:rich>
                  <a:bodyPr/>
                  <a:lstStyle/>
                  <a:p>
                    <a:r>
                      <a:rPr lang="en-US"/>
                      <a:t>39,</a:t>
                    </a:r>
                    <a:r>
                      <a:rPr lang="cs-CZ"/>
                      <a:t>2</a:t>
                    </a:r>
                    <a:r>
                      <a:rPr lang="en-US"/>
                      <a:t>%</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List9!$G$73:$I$73</c:f>
              <c:numCache>
                <c:formatCode>0.0%</c:formatCode>
                <c:ptCount val="3"/>
                <c:pt idx="0">
                  <c:v>0.38770707795055398</c:v>
                </c:pt>
                <c:pt idx="1">
                  <c:v>0.39042445676464127</c:v>
                </c:pt>
                <c:pt idx="2">
                  <c:v>0.39560248903448397</c:v>
                </c:pt>
              </c:numCache>
            </c:numRef>
          </c:val>
        </c:ser>
        <c:ser>
          <c:idx val="1"/>
          <c:order val="1"/>
          <c:tx>
            <c:strRef>
              <c:f>List9!$F$74</c:f>
              <c:strCache>
                <c:ptCount val="1"/>
                <c:pt idx="0">
                  <c:v> Zařízení ambulantní péče</c:v>
                </c:pt>
              </c:strCache>
            </c:strRef>
          </c:tx>
          <c:spPr>
            <a:solidFill>
              <a:srgbClr val="93CF50"/>
            </a:solidFill>
            <a:ln>
              <a:solidFill>
                <a:srgbClr val="9BBB59">
                  <a:lumMod val="75000"/>
                </a:srgbClr>
              </a:solidFill>
            </a:ln>
          </c:spPr>
          <c:invertIfNegative val="0"/>
          <c:dLbls>
            <c:dLbl>
              <c:idx val="2"/>
              <c:tx>
                <c:rich>
                  <a:bodyPr/>
                  <a:lstStyle/>
                  <a:p>
                    <a:r>
                      <a:rPr lang="en-US"/>
                      <a:t>20,</a:t>
                    </a:r>
                    <a:r>
                      <a:rPr lang="cs-CZ"/>
                      <a:t>4</a:t>
                    </a:r>
                    <a:r>
                      <a:rPr lang="en-US"/>
                      <a:t>%</a:t>
                    </a:r>
                  </a:p>
                </c:rich>
              </c:tx>
              <c:showLegendKey val="0"/>
              <c:showVal val="1"/>
              <c:showCatName val="0"/>
              <c:showSerName val="0"/>
              <c:showPercent val="0"/>
              <c:showBubbleSize val="0"/>
            </c:dLbl>
            <c:txPr>
              <a:bodyPr/>
              <a:lstStyle/>
              <a:p>
                <a:pPr>
                  <a:defRPr>
                    <a:solidFill>
                      <a:sysClr val="windowText" lastClr="000000"/>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List9!$G$74:$I$74</c:f>
              <c:numCache>
                <c:formatCode>0.0%</c:formatCode>
                <c:ptCount val="3"/>
                <c:pt idx="0">
                  <c:v>0.2026033587285809</c:v>
                </c:pt>
                <c:pt idx="1">
                  <c:v>0.20503850708372823</c:v>
                </c:pt>
                <c:pt idx="2">
                  <c:v>0.20198324590395939</c:v>
                </c:pt>
              </c:numCache>
            </c:numRef>
          </c:val>
        </c:ser>
        <c:ser>
          <c:idx val="2"/>
          <c:order val="2"/>
          <c:tx>
            <c:strRef>
              <c:f>List9!$F$75</c:f>
              <c:strCache>
                <c:ptCount val="1"/>
                <c:pt idx="0">
                  <c:v> Lékárny a výdej PZT</c:v>
                </c:pt>
              </c:strCache>
            </c:strRef>
          </c:tx>
          <c:spPr>
            <a:solidFill>
              <a:srgbClr val="0071BC"/>
            </a:solidFill>
            <a:ln>
              <a:solidFill>
                <a:srgbClr val="4F81BD">
                  <a:lumMod val="50000"/>
                </a:srgbClr>
              </a:solidFill>
            </a:ln>
          </c:spPr>
          <c:invertIfNegative val="0"/>
          <c:dLbls>
            <c:dLbl>
              <c:idx val="2"/>
              <c:tx>
                <c:rich>
                  <a:bodyPr/>
                  <a:lstStyle/>
                  <a:p>
                    <a:r>
                      <a:rPr lang="en-US"/>
                      <a:t>1</a:t>
                    </a:r>
                    <a:r>
                      <a:rPr lang="cs-CZ"/>
                      <a:t>5</a:t>
                    </a:r>
                    <a:r>
                      <a:rPr lang="en-US"/>
                      <a:t>,</a:t>
                    </a:r>
                    <a:r>
                      <a:rPr lang="cs-CZ"/>
                      <a:t>8</a:t>
                    </a:r>
                    <a:r>
                      <a:rPr lang="en-US"/>
                      <a:t>%</a:t>
                    </a:r>
                  </a:p>
                </c:rich>
              </c:tx>
              <c:showLegendKey val="0"/>
              <c:showVal val="1"/>
              <c:showCatName val="0"/>
              <c:showSerName val="0"/>
              <c:showPercent val="0"/>
              <c:showBubbleSize val="0"/>
            </c:dLbl>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List9!$G$75:$I$75</c:f>
              <c:numCache>
                <c:formatCode>0.0%</c:formatCode>
                <c:ptCount val="3"/>
                <c:pt idx="0">
                  <c:v>0.1820112808715792</c:v>
                </c:pt>
                <c:pt idx="1">
                  <c:v>0.17047598346707413</c:v>
                </c:pt>
                <c:pt idx="2">
                  <c:v>0.15455544714048103</c:v>
                </c:pt>
              </c:numCache>
            </c:numRef>
          </c:val>
        </c:ser>
        <c:ser>
          <c:idx val="3"/>
          <c:order val="3"/>
          <c:tx>
            <c:strRef>
              <c:f>List9!$F$76</c:f>
              <c:strCache>
                <c:ptCount val="1"/>
                <c:pt idx="0">
                  <c:v> Lůžková zařízení dlouhodobé péče</c:v>
                </c:pt>
              </c:strCache>
            </c:strRef>
          </c:tx>
          <c:spPr>
            <a:solidFill>
              <a:srgbClr val="FFC000"/>
            </a:solidFill>
            <a:ln>
              <a:solidFill>
                <a:sysClr val="window" lastClr="FFFFFF">
                  <a:lumMod val="50000"/>
                </a:sysClr>
              </a:solidFill>
            </a:ln>
          </c:spPr>
          <c:invertIfNegative val="0"/>
          <c:dLbls>
            <c:dLbl>
              <c:idx val="2"/>
              <c:tx>
                <c:rich>
                  <a:bodyPr/>
                  <a:lstStyle/>
                  <a:p>
                    <a:r>
                      <a:rPr lang="en-US"/>
                      <a:t>6,</a:t>
                    </a:r>
                    <a:r>
                      <a:rPr lang="cs-CZ"/>
                      <a:t>8</a:t>
                    </a:r>
                    <a:r>
                      <a:rPr lang="en-US"/>
                      <a:t>%</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List9!$G$76:$I$76</c:f>
              <c:numCache>
                <c:formatCode>0.0%</c:formatCode>
                <c:ptCount val="3"/>
                <c:pt idx="0">
                  <c:v>6.0795234909058526E-2</c:v>
                </c:pt>
                <c:pt idx="1">
                  <c:v>6.2543174402393029E-2</c:v>
                </c:pt>
                <c:pt idx="2">
                  <c:v>6.9016893666680804E-2</c:v>
                </c:pt>
              </c:numCache>
            </c:numRef>
          </c:val>
        </c:ser>
        <c:ser>
          <c:idx val="4"/>
          <c:order val="4"/>
          <c:tx>
            <c:strRef>
              <c:f>List9!$F$77</c:f>
              <c:strCache>
                <c:ptCount val="1"/>
                <c:pt idx="0">
                  <c:v> Domácnosti jako poskytovatelé ZP</c:v>
                </c:pt>
              </c:strCache>
            </c:strRef>
          </c:tx>
          <c:spPr>
            <a:solidFill>
              <a:srgbClr val="7030A0"/>
            </a:solidFill>
            <a:ln>
              <a:solidFill>
                <a:sysClr val="window" lastClr="FFFFFF">
                  <a:lumMod val="50000"/>
                </a:sysClr>
              </a:solidFill>
            </a:ln>
          </c:spPr>
          <c:invertIfNegative val="0"/>
          <c:dLbls>
            <c:txPr>
              <a:bodyPr rot="-5400000" vert="horz"/>
              <a:lstStyle/>
              <a:p>
                <a:pPr>
                  <a:defRPr>
                    <a:solidFill>
                      <a:schemeClr val="bg1"/>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List9!$G$77:$I$77</c:f>
              <c:numCache>
                <c:formatCode>0.0%</c:formatCode>
                <c:ptCount val="3"/>
                <c:pt idx="0">
                  <c:v>3.8786136006232701E-2</c:v>
                </c:pt>
                <c:pt idx="1">
                  <c:v>4.1683863273838509E-2</c:v>
                </c:pt>
                <c:pt idx="2">
                  <c:v>4.5207121704566693E-2</c:v>
                </c:pt>
              </c:numCache>
            </c:numRef>
          </c:val>
        </c:ser>
        <c:ser>
          <c:idx val="5"/>
          <c:order val="5"/>
          <c:tx>
            <c:strRef>
              <c:f>List9!$F$78</c:f>
              <c:strCache>
                <c:ptCount val="1"/>
                <c:pt idx="0">
                  <c:v> Poskytovatelé doplňkových služeb</c:v>
                </c:pt>
              </c:strCache>
            </c:strRef>
          </c:tx>
          <c:spPr>
            <a:solidFill>
              <a:srgbClr val="FFFF8C"/>
            </a:solidFill>
            <a:ln>
              <a:solidFill>
                <a:sysClr val="window" lastClr="FFFFFF">
                  <a:lumMod val="50000"/>
                </a:sysClr>
              </a:solidFill>
            </a:ln>
          </c:spPr>
          <c:invertIfNegative val="0"/>
          <c:dLbls>
            <c:dLbl>
              <c:idx val="2"/>
              <c:tx>
                <c:rich>
                  <a:bodyPr/>
                  <a:lstStyle/>
                  <a:p>
                    <a:r>
                      <a:rPr lang="en-US"/>
                      <a:t>3,</a:t>
                    </a:r>
                    <a:r>
                      <a:rPr lang="cs-CZ"/>
                      <a:t>4</a:t>
                    </a:r>
                    <a:r>
                      <a:rPr lang="en-US"/>
                      <a:t>%</a:t>
                    </a:r>
                  </a:p>
                </c:rich>
              </c:tx>
              <c:showLegendKey val="0"/>
              <c:showVal val="1"/>
              <c:showCatName val="0"/>
              <c:showSerName val="0"/>
              <c:showPercent val="0"/>
              <c:showBubbleSize val="0"/>
            </c:dLbl>
            <c:txPr>
              <a:bodyPr rot="-5400000" vert="horz"/>
              <a:lstStyle/>
              <a:p>
                <a:pPr>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List9!$G$78:$I$78</c:f>
              <c:numCache>
                <c:formatCode>0.0%</c:formatCode>
                <c:ptCount val="3"/>
                <c:pt idx="0">
                  <c:v>3.2551001434870004E-2</c:v>
                </c:pt>
                <c:pt idx="1">
                  <c:v>3.270451087963859E-2</c:v>
                </c:pt>
                <c:pt idx="2">
                  <c:v>3.469046827919222E-2</c:v>
                </c:pt>
              </c:numCache>
            </c:numRef>
          </c:val>
        </c:ser>
        <c:ser>
          <c:idx val="6"/>
          <c:order val="6"/>
          <c:tx>
            <c:strRef>
              <c:f>List9!$F$79</c:f>
              <c:strCache>
                <c:ptCount val="1"/>
                <c:pt idx="0">
                  <c:v> Ostatní poskytovatelé</c:v>
                </c:pt>
              </c:strCache>
            </c:strRef>
          </c:tx>
          <c:spPr>
            <a:solidFill>
              <a:srgbClr val="E65057"/>
            </a:solidFill>
            <a:ln>
              <a:solidFill>
                <a:sysClr val="window" lastClr="FFFFFF">
                  <a:lumMod val="50000"/>
                </a:sysClr>
              </a:solidFill>
            </a:ln>
          </c:spPr>
          <c:invertIfNegative val="0"/>
          <c:dLbls>
            <c:dLbl>
              <c:idx val="2"/>
              <c:tx>
                <c:rich>
                  <a:bodyPr/>
                  <a:lstStyle/>
                  <a:p>
                    <a:r>
                      <a:rPr lang="en-US"/>
                      <a:t>9,</a:t>
                    </a:r>
                    <a:r>
                      <a:rPr lang="cs-CZ"/>
                      <a:t>8</a:t>
                    </a:r>
                    <a:r>
                      <a:rPr lang="en-US"/>
                      <a:t>%</a:t>
                    </a:r>
                  </a:p>
                </c:rich>
              </c:tx>
              <c:showLegendKey val="0"/>
              <c:showVal val="1"/>
              <c:showCatName val="0"/>
              <c:showSerName val="0"/>
              <c:showPercent val="0"/>
              <c:showBubbleSize val="0"/>
            </c:dLbl>
            <c:txPr>
              <a:bodyPr/>
              <a:lstStyle/>
              <a:p>
                <a:pPr>
                  <a:defRPr>
                    <a:solidFill>
                      <a:schemeClr val="bg1"/>
                    </a:solidFill>
                  </a:defRPr>
                </a:pPr>
                <a:endParaRPr lang="cs-CZ"/>
              </a:p>
            </c:txPr>
            <c:showLegendKey val="0"/>
            <c:showVal val="1"/>
            <c:showCatName val="0"/>
            <c:showSerName val="0"/>
            <c:showPercent val="0"/>
            <c:showBubbleSize val="0"/>
            <c:showLeaderLines val="0"/>
          </c:dLbls>
          <c:cat>
            <c:numRef>
              <c:f>List9!$G$72:$I$72</c:f>
              <c:numCache>
                <c:formatCode>0</c:formatCode>
                <c:ptCount val="3"/>
                <c:pt idx="0">
                  <c:v>2011</c:v>
                </c:pt>
                <c:pt idx="1">
                  <c:v>2013</c:v>
                </c:pt>
                <c:pt idx="2">
                  <c:v>2015</c:v>
                </c:pt>
              </c:numCache>
            </c:numRef>
          </c:cat>
          <c:val>
            <c:numRef>
              <c:f>List9!$G$79:$I$79</c:f>
              <c:numCache>
                <c:formatCode>0.0%</c:formatCode>
                <c:ptCount val="3"/>
                <c:pt idx="0">
                  <c:v>9.554591009912522E-2</c:v>
                </c:pt>
                <c:pt idx="1">
                  <c:v>9.7129504128687205E-2</c:v>
                </c:pt>
                <c:pt idx="2">
                  <c:v>9.8944334270636911E-2</c:v>
                </c:pt>
              </c:numCache>
            </c:numRef>
          </c:val>
        </c:ser>
        <c:dLbls>
          <c:showLegendKey val="0"/>
          <c:showVal val="0"/>
          <c:showCatName val="0"/>
          <c:showSerName val="0"/>
          <c:showPercent val="0"/>
          <c:showBubbleSize val="0"/>
        </c:dLbls>
        <c:gapWidth val="70"/>
        <c:overlap val="100"/>
        <c:axId val="235136000"/>
        <c:axId val="267374528"/>
      </c:barChart>
      <c:catAx>
        <c:axId val="235136000"/>
        <c:scaling>
          <c:orientation val="minMax"/>
        </c:scaling>
        <c:delete val="0"/>
        <c:axPos val="l"/>
        <c:numFmt formatCode="0" sourceLinked="1"/>
        <c:majorTickMark val="out"/>
        <c:minorTickMark val="none"/>
        <c:tickLblPos val="nextTo"/>
        <c:spPr>
          <a:ln w="3175">
            <a:solidFill>
              <a:schemeClr val="bg1">
                <a:lumMod val="75000"/>
              </a:schemeClr>
            </a:solidFill>
          </a:ln>
        </c:spPr>
        <c:crossAx val="267374528"/>
        <c:crosses val="autoZero"/>
        <c:auto val="1"/>
        <c:lblAlgn val="ctr"/>
        <c:lblOffset val="100"/>
        <c:noMultiLvlLbl val="0"/>
      </c:catAx>
      <c:valAx>
        <c:axId val="267374528"/>
        <c:scaling>
          <c:orientation val="minMax"/>
          <c:max val="1"/>
        </c:scaling>
        <c:delete val="0"/>
        <c:axPos val="b"/>
        <c:majorGridlines>
          <c:spPr>
            <a:ln>
              <a:prstDash val="sysDot"/>
            </a:ln>
          </c:spPr>
        </c:majorGridlines>
        <c:numFmt formatCode="0%" sourceLinked="0"/>
        <c:majorTickMark val="out"/>
        <c:minorTickMark val="none"/>
        <c:tickLblPos val="nextTo"/>
        <c:spPr>
          <a:ln w="3175">
            <a:solidFill>
              <a:schemeClr val="bg1">
                <a:lumMod val="75000"/>
              </a:schemeClr>
            </a:solidFill>
          </a:ln>
        </c:spPr>
        <c:crossAx val="235136000"/>
        <c:crosses val="autoZero"/>
        <c:crossBetween val="between"/>
        <c:majorUnit val="0.2"/>
      </c:valAx>
    </c:plotArea>
    <c:legend>
      <c:legendPos val="b"/>
      <c:layout>
        <c:manualLayout>
          <c:xMode val="edge"/>
          <c:yMode val="edge"/>
          <c:x val="2.6513249311328368E-2"/>
          <c:y val="0.83116816559067552"/>
          <c:w val="0.94691434468524249"/>
          <c:h val="0.14101105845181688"/>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0.87131</cdr:x>
      <cdr:y>0.09206</cdr:y>
    </cdr:from>
    <cdr:to>
      <cdr:x>1</cdr:x>
      <cdr:y>0.15873</cdr:y>
    </cdr:to>
    <cdr:sp macro="" textlink="">
      <cdr:nvSpPr>
        <cdr:cNvPr id="2" name="TextovéPole 1"/>
        <cdr:cNvSpPr txBox="1"/>
      </cdr:nvSpPr>
      <cdr:spPr>
        <a:xfrm xmlns:a="http://schemas.openxmlformats.org/drawingml/2006/main">
          <a:off x="6191251" y="276225"/>
          <a:ext cx="914400" cy="2000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cs-CZ" sz="1100"/>
        </a:p>
      </cdr:txBody>
    </cdr:sp>
  </cdr:relSizeAnchor>
</c:userShape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2DB4CD-A3FA-4301-AC67-57432FA3F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bar_lide a spolecnost.dot</Template>
  <TotalTime>0</TotalTime>
  <Pages>11</Pages>
  <Words>4084</Words>
  <Characters>24096</Characters>
  <Application>Microsoft Office Word</Application>
  <DocSecurity>0</DocSecurity>
  <Lines>200</Lines>
  <Paragraphs>56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28124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Vladimíra Kalnická</dc:creator>
  <cp:lastModifiedBy>Mgr. Vladimíra Kalnická</cp:lastModifiedBy>
  <cp:revision>2</cp:revision>
  <cp:lastPrinted>2017-10-16T11:17:00Z</cp:lastPrinted>
  <dcterms:created xsi:type="dcterms:W3CDTF">2017-10-17T09:21:00Z</dcterms:created>
  <dcterms:modified xsi:type="dcterms:W3CDTF">2017-10-17T09:21:00Z</dcterms:modified>
</cp:coreProperties>
</file>