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1EDF5" w14:textId="0E581BC4" w:rsidR="00C705E9" w:rsidRPr="00C00426" w:rsidRDefault="00C705E9" w:rsidP="00EA1B21">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jc w:val="both"/>
        <w:rPr>
          <w:rFonts w:ascii="Arial" w:hAnsi="Arial" w:cs="Arial"/>
          <w:b/>
          <w:bCs/>
          <w:color w:val="0071BC"/>
        </w:rPr>
      </w:pPr>
      <w:r w:rsidRPr="00C00426">
        <w:rPr>
          <w:rFonts w:ascii="Arial" w:hAnsi="Arial" w:cs="Arial"/>
          <w:b/>
          <w:bCs/>
          <w:color w:val="0071BC"/>
        </w:rPr>
        <w:t>2</w:t>
      </w:r>
      <w:r w:rsidR="008F45BE" w:rsidRPr="00C00426">
        <w:rPr>
          <w:rFonts w:ascii="Arial" w:hAnsi="Arial" w:cs="Arial"/>
          <w:b/>
          <w:bCs/>
          <w:color w:val="0071BC"/>
        </w:rPr>
        <w:t>9</w:t>
      </w:r>
      <w:r w:rsidR="00C00426">
        <w:rPr>
          <w:rFonts w:ascii="Arial" w:hAnsi="Arial" w:cs="Arial"/>
          <w:b/>
          <w:bCs/>
          <w:color w:val="0071BC"/>
        </w:rPr>
        <w:t xml:space="preserve"> </w:t>
      </w:r>
      <w:r w:rsidRPr="00C00426">
        <w:rPr>
          <w:rFonts w:ascii="Arial" w:hAnsi="Arial" w:cs="Arial"/>
          <w:b/>
          <w:bCs/>
          <w:color w:val="0071BC"/>
        </w:rPr>
        <w:t xml:space="preserve">KRIMINALITA, </w:t>
      </w:r>
      <w:r w:rsidR="00177AB4">
        <w:rPr>
          <w:rFonts w:ascii="Arial" w:hAnsi="Arial" w:cs="Arial"/>
          <w:b/>
          <w:bCs/>
          <w:color w:val="0071BC"/>
        </w:rPr>
        <w:t xml:space="preserve">SOUDNICTVÍ, </w:t>
      </w:r>
      <w:r w:rsidRPr="00C00426">
        <w:rPr>
          <w:rFonts w:ascii="Arial" w:hAnsi="Arial" w:cs="Arial"/>
          <w:b/>
          <w:bCs/>
          <w:color w:val="0071BC"/>
        </w:rPr>
        <w:t>NEHODY</w:t>
      </w:r>
    </w:p>
    <w:p w14:paraId="14B29338" w14:textId="30D0C824" w:rsidR="00C705E9" w:rsidRDefault="00C705E9" w:rsidP="00C00426">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jc w:val="both"/>
        <w:rPr>
          <w:rFonts w:ascii="Arial" w:hAnsi="Arial" w:cs="Arial"/>
          <w:sz w:val="18"/>
          <w:szCs w:val="18"/>
        </w:rPr>
      </w:pPr>
    </w:p>
    <w:p w14:paraId="47BEE8F2" w14:textId="77777777" w:rsidR="009F09B4" w:rsidRPr="009F09B4" w:rsidRDefault="009F09B4" w:rsidP="009F09B4">
      <w:pPr>
        <w:jc w:val="both"/>
        <w:rPr>
          <w:rFonts w:ascii="Arial" w:hAnsi="Arial" w:cs="Arial"/>
          <w:b/>
          <w:color w:val="0071BC"/>
          <w:sz w:val="20"/>
          <w:szCs w:val="20"/>
        </w:rPr>
      </w:pPr>
      <w:r w:rsidRPr="009F09B4">
        <w:rPr>
          <w:rFonts w:ascii="Arial" w:hAnsi="Arial" w:cs="Arial"/>
          <w:b/>
          <w:color w:val="0071BC"/>
          <w:sz w:val="20"/>
          <w:szCs w:val="20"/>
        </w:rPr>
        <w:t>Metodické vysvětlivky</w:t>
      </w:r>
    </w:p>
    <w:p w14:paraId="549AD84E" w14:textId="77777777" w:rsidR="009F09B4" w:rsidRDefault="009F09B4" w:rsidP="00C00426">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jc w:val="both"/>
        <w:rPr>
          <w:rFonts w:ascii="Arial" w:hAnsi="Arial" w:cs="Arial"/>
          <w:sz w:val="18"/>
          <w:szCs w:val="18"/>
        </w:rPr>
      </w:pPr>
    </w:p>
    <w:p w14:paraId="65A8B382" w14:textId="7774B59F" w:rsidR="00C05527" w:rsidRPr="00C05527" w:rsidRDefault="00C05527" w:rsidP="00C0552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jc w:val="both"/>
        <w:rPr>
          <w:rFonts w:ascii="Arial" w:hAnsi="Arial" w:cs="Arial"/>
          <w:sz w:val="18"/>
          <w:szCs w:val="18"/>
        </w:rPr>
      </w:pPr>
      <w:r w:rsidRPr="00C05527">
        <w:rPr>
          <w:rFonts w:ascii="Arial" w:hAnsi="Arial" w:cs="Arial"/>
          <w:sz w:val="18"/>
          <w:szCs w:val="18"/>
        </w:rPr>
        <w:t xml:space="preserve">Tato kapitola byla zpracována z podkladů poskytnutých Ministerstvem spravedlnosti, Generálním ředitelstvím Vězeňské služby ČR, Policejním prezidiem ČR, Ministerstvem dopravy a Ministerstvem vnitra – generálním ředitelstvím Hasičského záchranného sboru ČR. </w:t>
      </w:r>
    </w:p>
    <w:p w14:paraId="2FA58BB7" w14:textId="77777777" w:rsidR="00C05527" w:rsidRPr="00C05527" w:rsidRDefault="00C05527" w:rsidP="00C0552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jc w:val="both"/>
        <w:rPr>
          <w:rFonts w:ascii="Arial" w:hAnsi="Arial" w:cs="Arial"/>
          <w:sz w:val="18"/>
          <w:szCs w:val="18"/>
        </w:rPr>
      </w:pPr>
    </w:p>
    <w:p w14:paraId="7CEDC3BE" w14:textId="77777777" w:rsidR="00C05527" w:rsidRPr="00C05527" w:rsidRDefault="00C05527" w:rsidP="00C0552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jc w:val="both"/>
        <w:rPr>
          <w:rFonts w:ascii="Arial" w:hAnsi="Arial" w:cs="Arial"/>
          <w:sz w:val="18"/>
          <w:szCs w:val="18"/>
        </w:rPr>
      </w:pPr>
    </w:p>
    <w:p w14:paraId="487B4F2D" w14:textId="77777777" w:rsidR="00C05527" w:rsidRPr="00C05527" w:rsidRDefault="00C05527" w:rsidP="00C0552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bCs/>
          <w:color w:val="0071BC"/>
          <w:sz w:val="20"/>
          <w:szCs w:val="20"/>
        </w:rPr>
      </w:pPr>
      <w:r w:rsidRPr="00C05527">
        <w:rPr>
          <w:rFonts w:ascii="Arial" w:hAnsi="Arial" w:cs="Arial"/>
          <w:b/>
          <w:bCs/>
          <w:color w:val="0071BC"/>
          <w:sz w:val="20"/>
          <w:szCs w:val="20"/>
        </w:rPr>
        <w:t>Poznámky k tabulkám</w:t>
      </w:r>
    </w:p>
    <w:p w14:paraId="3E5071D1" w14:textId="37076965" w:rsidR="00C05527" w:rsidRDefault="00C05527" w:rsidP="00C0552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sz w:val="18"/>
          <w:szCs w:val="18"/>
        </w:rPr>
      </w:pPr>
    </w:p>
    <w:p w14:paraId="3263225B" w14:textId="59C8D76C" w:rsidR="00EA1B21" w:rsidRPr="00EA1B21" w:rsidRDefault="00EA1B21" w:rsidP="00C0552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sidRPr="00961AB7">
        <w:rPr>
          <w:rFonts w:ascii="Arial" w:hAnsi="Arial" w:cs="Arial"/>
          <w:b/>
          <w:color w:val="0071BC"/>
          <w:sz w:val="20"/>
          <w:szCs w:val="18"/>
        </w:rPr>
        <w:t xml:space="preserve">Tab. </w:t>
      </w:r>
      <w:r>
        <w:rPr>
          <w:rFonts w:ascii="Arial" w:hAnsi="Arial" w:cs="Arial"/>
          <w:b/>
          <w:color w:val="0071BC"/>
          <w:sz w:val="20"/>
          <w:szCs w:val="18"/>
        </w:rPr>
        <w:t>29</w:t>
      </w:r>
      <w:r w:rsidR="00116432">
        <w:rPr>
          <w:rFonts w:ascii="Arial" w:hAnsi="Arial" w:cs="Arial"/>
          <w:b/>
          <w:color w:val="0071BC"/>
          <w:sz w:val="20"/>
          <w:szCs w:val="18"/>
        </w:rPr>
        <w:t>.</w:t>
      </w:r>
      <w:r>
        <w:rPr>
          <w:rFonts w:ascii="Arial" w:hAnsi="Arial" w:cs="Arial"/>
          <w:b/>
          <w:color w:val="0071BC"/>
          <w:sz w:val="20"/>
          <w:szCs w:val="18"/>
        </w:rPr>
        <w:t>1</w:t>
      </w:r>
      <w:r w:rsidRPr="00961AB7">
        <w:rPr>
          <w:rFonts w:ascii="Arial" w:hAnsi="Arial" w:cs="Arial"/>
          <w:b/>
          <w:color w:val="0071BC"/>
          <w:sz w:val="20"/>
          <w:szCs w:val="18"/>
        </w:rPr>
        <w:t xml:space="preserve"> </w:t>
      </w:r>
      <w:r>
        <w:rPr>
          <w:rFonts w:ascii="Arial" w:hAnsi="Arial" w:cs="Arial"/>
          <w:b/>
          <w:color w:val="0071BC"/>
          <w:sz w:val="20"/>
          <w:szCs w:val="18"/>
        </w:rPr>
        <w:t>až 29</w:t>
      </w:r>
      <w:r w:rsidR="00116432">
        <w:rPr>
          <w:rFonts w:ascii="Arial" w:hAnsi="Arial" w:cs="Arial"/>
          <w:b/>
          <w:color w:val="0071BC"/>
          <w:sz w:val="20"/>
          <w:szCs w:val="18"/>
        </w:rPr>
        <w:t>.</w:t>
      </w:r>
      <w:r>
        <w:rPr>
          <w:rFonts w:ascii="Arial" w:hAnsi="Arial" w:cs="Arial"/>
          <w:b/>
          <w:color w:val="0071BC"/>
          <w:sz w:val="20"/>
          <w:szCs w:val="18"/>
        </w:rPr>
        <w:t>8</w:t>
      </w:r>
      <w:r w:rsidRPr="00961AB7">
        <w:rPr>
          <w:rFonts w:ascii="Arial" w:hAnsi="Arial" w:cs="Arial"/>
          <w:b/>
          <w:color w:val="0071BC"/>
          <w:sz w:val="20"/>
          <w:szCs w:val="18"/>
        </w:rPr>
        <w:t xml:space="preserve"> </w:t>
      </w:r>
      <w:r>
        <w:rPr>
          <w:rFonts w:ascii="Arial" w:hAnsi="Arial" w:cs="Arial"/>
          <w:b/>
          <w:color w:val="0071BC"/>
          <w:sz w:val="20"/>
          <w:szCs w:val="18"/>
        </w:rPr>
        <w:t>Kriminalita</w:t>
      </w:r>
    </w:p>
    <w:p w14:paraId="6CFF3FBE"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Objasněnost</w:t>
      </w:r>
      <w:r w:rsidRPr="00961AB7">
        <w:rPr>
          <w:rFonts w:ascii="Arial" w:hAnsi="Arial" w:cs="Arial"/>
          <w:bCs/>
          <w:i/>
          <w:color w:val="000000"/>
          <w:sz w:val="18"/>
          <w:szCs w:val="18"/>
        </w:rPr>
        <w:t xml:space="preserve"> </w:t>
      </w:r>
      <w:r w:rsidRPr="00961AB7">
        <w:rPr>
          <w:rFonts w:ascii="Arial" w:eastAsia="Arial Unicode MS" w:hAnsi="Arial" w:cs="Arial"/>
          <w:i/>
          <w:iCs/>
          <w:sz w:val="18"/>
          <w:szCs w:val="18"/>
        </w:rPr>
        <w:t>–</w:t>
      </w:r>
      <w:r w:rsidRPr="00961AB7">
        <w:rPr>
          <w:rFonts w:ascii="Arial" w:hAnsi="Arial" w:cs="Arial"/>
          <w:bCs/>
          <w:i/>
          <w:color w:val="000000"/>
          <w:sz w:val="18"/>
          <w:szCs w:val="18"/>
        </w:rPr>
        <w:t xml:space="preserve"> </w:t>
      </w:r>
      <w:r w:rsidRPr="00961AB7">
        <w:rPr>
          <w:rFonts w:ascii="Arial" w:hAnsi="Arial" w:cs="Arial"/>
          <w:bCs/>
          <w:color w:val="000000"/>
          <w:sz w:val="18"/>
          <w:szCs w:val="18"/>
        </w:rPr>
        <w:t>objasněné skutky jsou ty, u kterých byl zjištěn (a vykázán) alespoň jeden známý pachatel a zároveň je skutek ukončen v předmětném roce.</w:t>
      </w:r>
    </w:p>
    <w:p w14:paraId="173D5602" w14:textId="1F7CEA94"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Registrovaný skutek</w:t>
      </w:r>
      <w:r w:rsidRPr="00961AB7">
        <w:rPr>
          <w:rFonts w:ascii="Arial" w:hAnsi="Arial" w:cs="Arial"/>
          <w:bCs/>
          <w:color w:val="000000"/>
          <w:sz w:val="18"/>
          <w:szCs w:val="18"/>
        </w:rPr>
        <w:t xml:space="preserve"> </w:t>
      </w:r>
      <w:r w:rsidRPr="00961AB7">
        <w:rPr>
          <w:rFonts w:ascii="Arial" w:eastAsia="Arial Unicode MS" w:hAnsi="Arial" w:cs="Arial"/>
          <w:iCs/>
          <w:sz w:val="18"/>
          <w:szCs w:val="18"/>
        </w:rPr>
        <w:t>– vykázaný trestný čin, kdy bylo zahájeno trestní řízení ve sledovaném</w:t>
      </w:r>
      <w:r w:rsidR="006701CF">
        <w:rPr>
          <w:rFonts w:ascii="Arial" w:eastAsia="Arial Unicode MS" w:hAnsi="Arial" w:cs="Arial"/>
          <w:iCs/>
          <w:sz w:val="18"/>
          <w:szCs w:val="18"/>
        </w:rPr>
        <w:t xml:space="preserve"> roce</w:t>
      </w:r>
      <w:r w:rsidR="00763E38" w:rsidRPr="00763E38">
        <w:rPr>
          <w:rFonts w:ascii="Arial" w:eastAsia="Arial Unicode MS" w:hAnsi="Arial" w:cs="Arial"/>
          <w:iCs/>
          <w:sz w:val="18"/>
          <w:szCs w:val="18"/>
        </w:rPr>
        <w:t>,</w:t>
      </w:r>
      <w:r w:rsidR="00763E38">
        <w:rPr>
          <w:rFonts w:ascii="Arial" w:eastAsia="Arial Unicode MS" w:hAnsi="Arial" w:cs="Arial"/>
          <w:iCs/>
          <w:sz w:val="18"/>
          <w:szCs w:val="18"/>
        </w:rPr>
        <w:t xml:space="preserve"> </w:t>
      </w:r>
      <w:r w:rsidR="00763E38" w:rsidRPr="00763E38">
        <w:rPr>
          <w:rFonts w:ascii="Arial" w:eastAsia="Arial Unicode MS" w:hAnsi="Arial" w:cs="Arial"/>
          <w:iCs/>
          <w:sz w:val="18"/>
          <w:szCs w:val="18"/>
        </w:rPr>
        <w:t xml:space="preserve">ať již bylo ukončeno či neukončeno. </w:t>
      </w:r>
    </w:p>
    <w:p w14:paraId="2719597A"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Násilná kriminalita</w:t>
      </w:r>
      <w:r w:rsidRPr="00961AB7">
        <w:rPr>
          <w:rFonts w:ascii="Arial" w:hAnsi="Arial" w:cs="Arial"/>
          <w:bCs/>
          <w:color w:val="000000"/>
          <w:sz w:val="18"/>
          <w:szCs w:val="18"/>
        </w:rPr>
        <w:t xml:space="preserve"> je řazena do obecné kriminality. Jde o pojem užívaný kriminologií, nikoliv pojem právní. Zahrnuje útok na fyzickou nebo psychickou integritu člověka, ve smyslu úmyslného užití fyzického násilí, resp. pohrůžky násilí, vůči jiné osobě.</w:t>
      </w:r>
    </w:p>
    <w:p w14:paraId="128A737E"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Mravnostní kriminalita</w:t>
      </w:r>
      <w:r w:rsidRPr="00961AB7">
        <w:rPr>
          <w:rFonts w:ascii="Arial" w:hAnsi="Arial" w:cs="Arial"/>
          <w:bCs/>
          <w:color w:val="000000"/>
          <w:sz w:val="18"/>
          <w:szCs w:val="18"/>
        </w:rPr>
        <w:t xml:space="preserve"> je řazena do obecné kriminality. Tyto trestné činy zasahují důstojnost oběti v sexuální oblasti. Do této skupiny patří zejména trestné činy ohrožující svobodu rozhodování v oblasti pohlavního života, ohrožující zdravý mravní a tělesný vývoj dětí nebo ohrožující některé mravní zásady.</w:t>
      </w:r>
    </w:p>
    <w:p w14:paraId="647D57E7"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Majetková kriminalita</w:t>
      </w:r>
      <w:r w:rsidRPr="00961AB7">
        <w:rPr>
          <w:rFonts w:ascii="Arial" w:hAnsi="Arial" w:cs="Arial"/>
          <w:bCs/>
          <w:color w:val="000000"/>
          <w:sz w:val="18"/>
          <w:szCs w:val="18"/>
        </w:rPr>
        <w:t xml:space="preserve"> spočívá zejména v útoku na cizí majetek nejen fyzických, ale i právnických osob. </w:t>
      </w:r>
    </w:p>
    <w:p w14:paraId="37A21C6C"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Ostatní obecná kriminalita</w:t>
      </w:r>
      <w:r w:rsidRPr="00961AB7">
        <w:rPr>
          <w:rFonts w:ascii="Arial" w:hAnsi="Arial" w:cs="Arial"/>
          <w:bCs/>
          <w:color w:val="000000"/>
          <w:sz w:val="18"/>
          <w:szCs w:val="18"/>
        </w:rPr>
        <w:t xml:space="preserve"> je nehomogenní skupinou trestných činů, bez jednotné definice. Spadá pod obecnou kriminalitu. Trestné činy v ní obsažené jsou pouze souhrnem skutků s různými určujícími znaky, např. výtržnictví, drogová trestná činnost, maření výkonu úředního rozhodnutí nebo ohrožování výchovy dítěte.</w:t>
      </w:r>
    </w:p>
    <w:p w14:paraId="61293D77"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Hospodářská kriminalita</w:t>
      </w:r>
      <w:r w:rsidRPr="00961AB7">
        <w:rPr>
          <w:rFonts w:ascii="Arial" w:hAnsi="Arial" w:cs="Arial"/>
          <w:bCs/>
          <w:color w:val="000000"/>
          <w:sz w:val="18"/>
          <w:szCs w:val="18"/>
        </w:rPr>
        <w:t xml:space="preserve"> má blízkou souvislost s kriminalitou majetkovou, ale na rozdíl od majetkové kriminality, která útočí na majetek jiných osob, hospodářská kriminalita je jednání, které směřuje proti hospodářskému systému a jeho fungování. Spadají sem trestné činy z oblasti daní a poplatků, účetnictví, padělání peněz, korupce, ale také např. protiprávní jednání v oblasti životního prostředí.</w:t>
      </w:r>
    </w:p>
    <w:p w14:paraId="0627DD18"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Zbývající kriminalita</w:t>
      </w:r>
      <w:r w:rsidRPr="00961AB7">
        <w:rPr>
          <w:rFonts w:ascii="Arial" w:hAnsi="Arial" w:cs="Arial"/>
          <w:bCs/>
          <w:color w:val="000000"/>
          <w:sz w:val="18"/>
          <w:szCs w:val="18"/>
        </w:rPr>
        <w:t xml:space="preserve"> zahrnuje trestné činy, které nepatří do obecné kriminality, a ani do kriminality hospodářské či pod vojenské a protiústavní činy. Stejně jako ostatní obecná kriminalita je pouze souhrnem trestných činů bez společných určujících znaků. Např. ohrožení pod vlivem návykové látky, zanedbání povinné výživy nebo šíření poplašné zprávy.</w:t>
      </w:r>
    </w:p>
    <w:p w14:paraId="4259938C"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Vojenské a protiústavní činy</w:t>
      </w:r>
      <w:r w:rsidRPr="00961AB7">
        <w:rPr>
          <w:rFonts w:ascii="Arial" w:hAnsi="Arial" w:cs="Arial"/>
          <w:bCs/>
          <w:color w:val="000000"/>
          <w:sz w:val="18"/>
          <w:szCs w:val="18"/>
        </w:rPr>
        <w:t xml:space="preserve"> spadají dle policejních statistik zejména do zvláštní části trestního zákoníku a zahrnují trestné činy jako je např. vlastizrada, teroristický útok, podpora a propagace terorismu či sabotáž.</w:t>
      </w:r>
    </w:p>
    <w:p w14:paraId="017E33AF" w14:textId="37262657" w:rsidR="00961AB7" w:rsidRPr="00961AB7" w:rsidRDefault="00961AB7" w:rsidP="00961AB7">
      <w:pPr>
        <w:spacing w:before="120"/>
        <w:jc w:val="both"/>
        <w:rPr>
          <w:rFonts w:ascii="Arial" w:hAnsi="Arial" w:cs="Arial"/>
          <w:color w:val="000000"/>
          <w:sz w:val="18"/>
          <w:szCs w:val="18"/>
        </w:rPr>
      </w:pPr>
      <w:r w:rsidRPr="00961AB7">
        <w:rPr>
          <w:rFonts w:ascii="Arial" w:hAnsi="Arial" w:cs="Arial"/>
          <w:color w:val="000000"/>
          <w:sz w:val="18"/>
          <w:szCs w:val="18"/>
        </w:rPr>
        <w:t xml:space="preserve">Údaje v tabulkách </w:t>
      </w:r>
      <w:r w:rsidR="00763E38">
        <w:rPr>
          <w:rFonts w:ascii="Arial" w:hAnsi="Arial" w:cs="Arial"/>
          <w:color w:val="000000"/>
          <w:sz w:val="18"/>
          <w:szCs w:val="18"/>
        </w:rPr>
        <w:t xml:space="preserve">jsou uváděny </w:t>
      </w:r>
      <w:r w:rsidRPr="00961AB7">
        <w:rPr>
          <w:rFonts w:ascii="Arial" w:hAnsi="Arial" w:cs="Arial"/>
          <w:color w:val="000000"/>
          <w:sz w:val="18"/>
          <w:szCs w:val="18"/>
        </w:rPr>
        <w:t xml:space="preserve">podle </w:t>
      </w:r>
      <w:r w:rsidRPr="00961AB7">
        <w:rPr>
          <w:rFonts w:ascii="Arial" w:hAnsi="Arial" w:cs="Arial"/>
          <w:b/>
          <w:color w:val="000000"/>
          <w:sz w:val="18"/>
          <w:szCs w:val="18"/>
        </w:rPr>
        <w:t xml:space="preserve">takticko-statistické klasifikace </w:t>
      </w:r>
      <w:r w:rsidRPr="00961AB7">
        <w:rPr>
          <w:rFonts w:ascii="Arial" w:hAnsi="Arial" w:cs="Arial"/>
          <w:color w:val="000000"/>
          <w:sz w:val="18"/>
          <w:szCs w:val="18"/>
        </w:rPr>
        <w:t xml:space="preserve">trestných činů používané Policií ČR. Kódy klasifikace se částečně překrývají s paragrafy trestního zákoníku. </w:t>
      </w:r>
    </w:p>
    <w:p w14:paraId="61918189"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sz w:val="18"/>
          <w:szCs w:val="18"/>
        </w:rPr>
      </w:pPr>
    </w:p>
    <w:p w14:paraId="2623511E"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sz w:val="18"/>
          <w:szCs w:val="18"/>
        </w:rPr>
      </w:pPr>
    </w:p>
    <w:p w14:paraId="33EBC3DE" w14:textId="04E38873"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9 a 29</w:t>
      </w:r>
      <w:r w:rsidR="00116432">
        <w:rPr>
          <w:rFonts w:ascii="Arial" w:hAnsi="Arial" w:cs="Arial"/>
          <w:b/>
          <w:color w:val="0071BC"/>
          <w:sz w:val="20"/>
          <w:szCs w:val="18"/>
        </w:rPr>
        <w:t>.</w:t>
      </w:r>
      <w:r w:rsidRPr="00961AB7">
        <w:rPr>
          <w:rFonts w:ascii="Arial" w:hAnsi="Arial" w:cs="Arial"/>
          <w:b/>
          <w:color w:val="0071BC"/>
          <w:sz w:val="20"/>
          <w:szCs w:val="18"/>
        </w:rPr>
        <w:t>10 Stíhané a vyšetřované osoby</w:t>
      </w:r>
    </w:p>
    <w:p w14:paraId="76C5D890"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Cs/>
          <w:color w:val="000000"/>
          <w:sz w:val="18"/>
          <w:szCs w:val="18"/>
        </w:rPr>
        <w:t>Počty osob, které jsou policií vyšetřovány pro podezření ze spáchání trestného činu, a následně je proti nim zahájeno trestní stíhání.</w:t>
      </w:r>
    </w:p>
    <w:p w14:paraId="1F120001"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sz w:val="18"/>
          <w:szCs w:val="18"/>
        </w:rPr>
        <w:t>Jedna osoba může být stíhána za více trestných činů souběžně, bude proto započítána do každé kategorie zvlášť. Proto součet za jednotlivé kategorie trestných činů bude vždy vyšší než za kriminalitu celkem. Jednotlivé řádky proto nelze sčítat.</w:t>
      </w:r>
    </w:p>
    <w:p w14:paraId="2785A633" w14:textId="77777777" w:rsidR="00763E38" w:rsidRPr="00763E38" w:rsidRDefault="00763E38" w:rsidP="00763E38">
      <w:pPr>
        <w:spacing w:before="120"/>
        <w:jc w:val="both"/>
        <w:rPr>
          <w:rFonts w:ascii="Arial" w:hAnsi="Arial" w:cs="Arial"/>
          <w:sz w:val="18"/>
          <w:szCs w:val="18"/>
        </w:rPr>
      </w:pPr>
      <w:r w:rsidRPr="00C45850">
        <w:rPr>
          <w:rFonts w:ascii="Arial" w:hAnsi="Arial" w:cs="Arial"/>
          <w:sz w:val="18"/>
          <w:szCs w:val="18"/>
        </w:rPr>
        <w:t>Součet stíhaných osob podle jednotlivých věkových kategorií může být vyšší než údaj za stíhané osoby celkem. Pokud stíhaná osoba během sledovaného období přejde do vyšší věkové kategorie (15 let, 18 let, 65 let), bude započítána mezi stíhané osoby v obou věkových kategoriích. V součtu celkem stíhaných osob bude ale započítána pouze jednou.</w:t>
      </w:r>
    </w:p>
    <w:p w14:paraId="4D45A999" w14:textId="77777777" w:rsidR="00763E38" w:rsidRPr="00961AB7" w:rsidRDefault="00763E38" w:rsidP="00763E38">
      <w:pPr>
        <w:spacing w:before="120"/>
        <w:jc w:val="both"/>
        <w:rPr>
          <w:rFonts w:ascii="Arial" w:hAnsi="Arial" w:cs="Arial"/>
          <w:bCs/>
          <w:color w:val="000000"/>
          <w:sz w:val="18"/>
          <w:szCs w:val="18"/>
        </w:rPr>
      </w:pPr>
      <w:r w:rsidRPr="00C45850">
        <w:rPr>
          <w:rFonts w:ascii="Arial" w:hAnsi="Arial" w:cs="Arial"/>
          <w:sz w:val="18"/>
          <w:szCs w:val="18"/>
        </w:rPr>
        <w:t>U některých stíhaných a vyšetřovaných osob nemusí být v této fázi trestního stíhání známo občanství, proto součet za cizince a občany ČR může být menší než za počet osob celkem.</w:t>
      </w:r>
    </w:p>
    <w:p w14:paraId="449B9EC4" w14:textId="77777777" w:rsidR="00763E38" w:rsidRPr="00961AB7" w:rsidRDefault="00763E38" w:rsidP="00763E38">
      <w:pPr>
        <w:spacing w:before="120"/>
        <w:jc w:val="both"/>
        <w:rPr>
          <w:rFonts w:ascii="Arial" w:hAnsi="Arial" w:cs="Arial"/>
          <w:bCs/>
          <w:color w:val="000000"/>
          <w:sz w:val="18"/>
          <w:szCs w:val="18"/>
        </w:rPr>
      </w:pPr>
      <w:r w:rsidRPr="00C45850">
        <w:rPr>
          <w:rFonts w:ascii="Arial" w:hAnsi="Arial" w:cs="Arial"/>
          <w:b/>
          <w:sz w:val="18"/>
          <w:szCs w:val="18"/>
        </w:rPr>
        <w:t xml:space="preserve">Recidivista </w:t>
      </w:r>
      <w:r w:rsidRPr="00C45850">
        <w:rPr>
          <w:rFonts w:ascii="Arial" w:hAnsi="Arial" w:cs="Arial"/>
          <w:sz w:val="18"/>
          <w:szCs w:val="18"/>
        </w:rPr>
        <w:t>je stíhaná osoba, která již byla v minulosti alespoň jednou trestaná.</w:t>
      </w:r>
    </w:p>
    <w:p w14:paraId="1096EB3A"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sz w:val="18"/>
          <w:szCs w:val="18"/>
        </w:rPr>
      </w:pPr>
    </w:p>
    <w:p w14:paraId="08CAC0C7"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sz w:val="18"/>
          <w:szCs w:val="18"/>
        </w:rPr>
      </w:pPr>
    </w:p>
    <w:p w14:paraId="2D44D5D5" w14:textId="088BDF1E" w:rsidR="00961AB7" w:rsidRPr="00961AB7" w:rsidRDefault="00961AB7" w:rsidP="00C45850">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Cs/>
          <w:color w:val="000000"/>
          <w:sz w:val="18"/>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11 a 29</w:t>
      </w:r>
      <w:r w:rsidR="00116432">
        <w:rPr>
          <w:rFonts w:ascii="Arial" w:hAnsi="Arial" w:cs="Arial"/>
          <w:b/>
          <w:color w:val="0071BC"/>
          <w:sz w:val="20"/>
          <w:szCs w:val="18"/>
        </w:rPr>
        <w:t>.</w:t>
      </w:r>
      <w:r w:rsidRPr="00961AB7">
        <w:rPr>
          <w:rFonts w:ascii="Arial" w:hAnsi="Arial" w:cs="Arial"/>
          <w:b/>
          <w:color w:val="0071BC"/>
          <w:sz w:val="20"/>
          <w:szCs w:val="18"/>
        </w:rPr>
        <w:t>12 Oběti kriminality</w:t>
      </w:r>
    </w:p>
    <w:p w14:paraId="29688750" w14:textId="77777777" w:rsidR="00763E38" w:rsidRPr="00763E38" w:rsidRDefault="00763E38" w:rsidP="00C45850">
      <w:pPr>
        <w:spacing w:before="120"/>
        <w:jc w:val="both"/>
        <w:rPr>
          <w:rFonts w:ascii="Arial" w:hAnsi="Arial" w:cs="Arial"/>
          <w:bCs/>
          <w:color w:val="000000"/>
          <w:sz w:val="18"/>
          <w:szCs w:val="18"/>
        </w:rPr>
      </w:pPr>
      <w:r w:rsidRPr="00763E38">
        <w:rPr>
          <w:rFonts w:ascii="Arial" w:hAnsi="Arial" w:cs="Arial"/>
          <w:bCs/>
          <w:color w:val="000000"/>
          <w:sz w:val="18"/>
          <w:szCs w:val="18"/>
        </w:rPr>
        <w:t xml:space="preserve">Policie ČR statisticky neeviduje oběti trestné činnosti podle zákona č. 45/2013 Sb. o obětech trestných činů, jimiž jsou výhradně fyzické osoby, ale tzv. objekty napadení – tedy subjekty, vůči nimž trestná činnost bezprostředně směřovala (např. osoba, byt, auto). Objekt napadení nemusí být vždy obětí. Například při vloupání do bytu seniora je objektem napadení byt, ale obětí je senior, kterému byla způsobena majetková nebo psychická újma. Naopak, pokud je objektem napadení osoba, bývá zpravidla i obětí. Vzhledem k tomu, že Policie ČR uvádí pouze objekty napadení, skutečný počet fyzických obětí může být vyšší </w:t>
      </w:r>
    </w:p>
    <w:p w14:paraId="2A36D5AA" w14:textId="193565FF" w:rsidR="00763E38" w:rsidRPr="00961AB7" w:rsidRDefault="00763E38" w:rsidP="00961AB7">
      <w:pPr>
        <w:jc w:val="both"/>
        <w:rPr>
          <w:rFonts w:ascii="Arial" w:hAnsi="Arial" w:cs="Arial"/>
          <w:bCs/>
          <w:color w:val="000000"/>
          <w:sz w:val="18"/>
          <w:szCs w:val="18"/>
        </w:rPr>
      </w:pPr>
    </w:p>
    <w:p w14:paraId="670E2213" w14:textId="082FEF55" w:rsidR="00961AB7" w:rsidRPr="00961AB7" w:rsidRDefault="00961AB7" w:rsidP="00961AB7">
      <w:pPr>
        <w:jc w:val="both"/>
        <w:rPr>
          <w:rFonts w:ascii="Arial" w:hAnsi="Arial" w:cs="Arial"/>
          <w:bCs/>
          <w:color w:val="000000"/>
          <w:sz w:val="20"/>
          <w:szCs w:val="18"/>
        </w:rPr>
      </w:pPr>
      <w:r w:rsidRPr="00961AB7">
        <w:rPr>
          <w:rFonts w:ascii="Arial" w:hAnsi="Arial" w:cs="Arial"/>
          <w:b/>
          <w:color w:val="0071BC"/>
          <w:sz w:val="20"/>
          <w:szCs w:val="18"/>
        </w:rPr>
        <w:lastRenderedPageBreak/>
        <w:t>Tab. 29</w:t>
      </w:r>
      <w:r w:rsidR="00116432">
        <w:rPr>
          <w:rFonts w:ascii="Arial" w:hAnsi="Arial" w:cs="Arial"/>
          <w:b/>
          <w:color w:val="0071BC"/>
          <w:sz w:val="20"/>
          <w:szCs w:val="18"/>
        </w:rPr>
        <w:t>.</w:t>
      </w:r>
      <w:r w:rsidRPr="00961AB7">
        <w:rPr>
          <w:rFonts w:ascii="Arial" w:hAnsi="Arial" w:cs="Arial"/>
          <w:b/>
          <w:color w:val="0071BC"/>
          <w:sz w:val="20"/>
          <w:szCs w:val="18"/>
        </w:rPr>
        <w:t>13 Soudní agendy u okresních a krajských soudů</w:t>
      </w:r>
    </w:p>
    <w:p w14:paraId="243E1B34"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bCs/>
          <w:color w:val="000000"/>
          <w:sz w:val="18"/>
          <w:szCs w:val="18"/>
        </w:rPr>
        <w:t>Trestní agenda</w:t>
      </w:r>
      <w:r w:rsidRPr="00961AB7">
        <w:rPr>
          <w:rFonts w:ascii="Arial" w:hAnsi="Arial" w:cs="Arial"/>
          <w:color w:val="000000"/>
          <w:sz w:val="18"/>
          <w:szCs w:val="18"/>
        </w:rPr>
        <w:t xml:space="preserve"> – </w:t>
      </w:r>
      <w:r w:rsidRPr="00961AB7">
        <w:rPr>
          <w:rFonts w:ascii="Arial" w:hAnsi="Arial" w:cs="Arial"/>
          <w:b/>
          <w:bCs/>
          <w:sz w:val="18"/>
          <w:szCs w:val="18"/>
        </w:rPr>
        <w:t xml:space="preserve">rejstřík T + </w:t>
      </w:r>
      <w:proofErr w:type="spellStart"/>
      <w:r w:rsidRPr="00961AB7">
        <w:rPr>
          <w:rFonts w:ascii="Arial" w:hAnsi="Arial" w:cs="Arial"/>
          <w:b/>
          <w:bCs/>
          <w:sz w:val="18"/>
          <w:szCs w:val="18"/>
        </w:rPr>
        <w:t>Tm</w:t>
      </w:r>
      <w:proofErr w:type="spellEnd"/>
      <w:r w:rsidRPr="00961AB7">
        <w:rPr>
          <w:rFonts w:ascii="Arial" w:hAnsi="Arial" w:cs="Arial"/>
          <w:b/>
          <w:bCs/>
          <w:sz w:val="18"/>
          <w:szCs w:val="18"/>
        </w:rPr>
        <w:t xml:space="preserve"> </w:t>
      </w:r>
      <w:r w:rsidRPr="00961AB7">
        <w:rPr>
          <w:rFonts w:ascii="Arial" w:hAnsi="Arial" w:cs="Arial"/>
          <w:color w:val="000000"/>
          <w:sz w:val="18"/>
          <w:szCs w:val="18"/>
        </w:rPr>
        <w:t>– věci projednávané soudem na základě obžaloby či návrhu na potrestání podané státním zástupcem, v nichž je rozhodováno o vině, případně o trestní sankci</w:t>
      </w:r>
      <w:r w:rsidRPr="00961AB7" w:rsidDel="00BE3B81">
        <w:rPr>
          <w:rFonts w:ascii="Arial" w:hAnsi="Arial" w:cs="Arial"/>
          <w:color w:val="000000"/>
          <w:sz w:val="18"/>
          <w:szCs w:val="18"/>
        </w:rPr>
        <w:t xml:space="preserve"> </w:t>
      </w:r>
      <w:r w:rsidRPr="00961AB7">
        <w:rPr>
          <w:rFonts w:ascii="Arial" w:hAnsi="Arial" w:cs="Arial"/>
          <w:color w:val="000000"/>
          <w:sz w:val="18"/>
          <w:szCs w:val="18"/>
        </w:rPr>
        <w:t>a náhradě škody způsobené trestnou činností. Dále sem patří též případy rozhodování soudu o návrhu na schválení dohody o vině a trestu.</w:t>
      </w:r>
    </w:p>
    <w:p w14:paraId="7DA66DBB"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bCs/>
          <w:color w:val="000000"/>
          <w:sz w:val="18"/>
          <w:szCs w:val="18"/>
        </w:rPr>
        <w:t>Občanskoprávní agenda</w:t>
      </w:r>
      <w:r w:rsidRPr="00961AB7">
        <w:rPr>
          <w:rFonts w:ascii="Arial" w:hAnsi="Arial" w:cs="Arial"/>
          <w:color w:val="000000"/>
          <w:sz w:val="18"/>
          <w:szCs w:val="18"/>
        </w:rPr>
        <w:t xml:space="preserve"> – </w:t>
      </w:r>
      <w:r w:rsidRPr="00961AB7">
        <w:rPr>
          <w:rFonts w:ascii="Arial" w:hAnsi="Arial" w:cs="Arial"/>
          <w:b/>
          <w:bCs/>
          <w:sz w:val="18"/>
          <w:szCs w:val="18"/>
        </w:rPr>
        <w:t>rejstřík C</w:t>
      </w:r>
      <w:r w:rsidRPr="00961AB7">
        <w:rPr>
          <w:rFonts w:ascii="Arial" w:hAnsi="Arial" w:cs="Arial"/>
          <w:sz w:val="18"/>
          <w:szCs w:val="18"/>
        </w:rPr>
        <w:t xml:space="preserve"> –</w:t>
      </w:r>
      <w:r w:rsidRPr="00961AB7">
        <w:rPr>
          <w:rFonts w:ascii="Arial" w:hAnsi="Arial" w:cs="Arial"/>
          <w:color w:val="000000"/>
          <w:sz w:val="18"/>
          <w:szCs w:val="18"/>
        </w:rPr>
        <w:t xml:space="preserve"> převážnou část agendy tvoří věci upravené zákonem č. 89/2012 Sb., občanský zákoník, ve znění pozdějších předpisů (dále jen „občanský zákoník“), který 1. ledna 2014 nahradil původní občanský zákoník (zákon č. 40/1964 Sb.) a zákon o rodině (zákon č. 94/1963 Sb.). Dále pak pracovní věci upravené zákoníkem práce (zákon č. 262/2006 Sb., ve znění pozdějších předpisů). Občanskoprávní agenda se řadí mezi civilní agendy soudů.</w:t>
      </w:r>
    </w:p>
    <w:p w14:paraId="74CCA8F3"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color w:val="000000"/>
          <w:sz w:val="18"/>
          <w:szCs w:val="18"/>
        </w:rPr>
        <w:t>Opatrovnická agenda</w:t>
      </w:r>
      <w:r w:rsidRPr="00961AB7">
        <w:rPr>
          <w:rFonts w:ascii="Arial" w:hAnsi="Arial" w:cs="Arial"/>
          <w:color w:val="000000"/>
          <w:sz w:val="18"/>
          <w:szCs w:val="18"/>
        </w:rPr>
        <w:t xml:space="preserve"> –</w:t>
      </w:r>
      <w:r w:rsidRPr="00961AB7">
        <w:rPr>
          <w:rFonts w:ascii="Arial" w:hAnsi="Arial" w:cs="Arial"/>
          <w:b/>
          <w:sz w:val="18"/>
          <w:szCs w:val="18"/>
        </w:rPr>
        <w:t xml:space="preserve"> rejstřík P a </w:t>
      </w:r>
      <w:proofErr w:type="spellStart"/>
      <w:r w:rsidRPr="00961AB7">
        <w:rPr>
          <w:rFonts w:ascii="Arial" w:hAnsi="Arial" w:cs="Arial"/>
          <w:b/>
          <w:sz w:val="18"/>
          <w:szCs w:val="18"/>
        </w:rPr>
        <w:t>Nc</w:t>
      </w:r>
      <w:proofErr w:type="spellEnd"/>
      <w:r w:rsidRPr="00961AB7">
        <w:rPr>
          <w:rFonts w:ascii="Arial" w:hAnsi="Arial" w:cs="Arial"/>
          <w:b/>
          <w:sz w:val="18"/>
          <w:szCs w:val="18"/>
        </w:rPr>
        <w:t xml:space="preserve"> </w:t>
      </w:r>
      <w:r w:rsidRPr="00961AB7">
        <w:rPr>
          <w:rFonts w:ascii="Arial" w:hAnsi="Arial" w:cs="Arial"/>
          <w:color w:val="000000"/>
          <w:sz w:val="18"/>
          <w:szCs w:val="18"/>
        </w:rPr>
        <w:t>– civilní agenda, kterou tvoří zejména vybrané věci upravené občanským zákoníkem ohledně svéprávnosti a opatrovnictví člověka (zletilé fyzické osoby) a záležitosti kolem nezletilých dětí, poručenství a jiné formy péče o dítě.</w:t>
      </w:r>
    </w:p>
    <w:p w14:paraId="6A7A6298"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bCs/>
          <w:color w:val="000000"/>
          <w:sz w:val="18"/>
          <w:szCs w:val="18"/>
        </w:rPr>
        <w:t>Obchodní agenda</w:t>
      </w:r>
      <w:r w:rsidRPr="00961AB7">
        <w:rPr>
          <w:rFonts w:ascii="Arial" w:hAnsi="Arial" w:cs="Arial"/>
          <w:color w:val="000000"/>
          <w:sz w:val="18"/>
          <w:szCs w:val="18"/>
        </w:rPr>
        <w:t xml:space="preserve"> – </w:t>
      </w:r>
      <w:r w:rsidRPr="00961AB7">
        <w:rPr>
          <w:rFonts w:ascii="Arial" w:hAnsi="Arial" w:cs="Arial"/>
          <w:b/>
          <w:sz w:val="18"/>
          <w:szCs w:val="18"/>
        </w:rPr>
        <w:t>rejstřík Cm</w:t>
      </w:r>
      <w:r w:rsidRPr="00961AB7">
        <w:rPr>
          <w:rFonts w:ascii="Arial" w:hAnsi="Arial" w:cs="Arial"/>
          <w:sz w:val="18"/>
          <w:szCs w:val="18"/>
        </w:rPr>
        <w:t xml:space="preserve"> – </w:t>
      </w:r>
      <w:r w:rsidRPr="00961AB7">
        <w:rPr>
          <w:rFonts w:ascii="Arial" w:hAnsi="Arial" w:cs="Arial"/>
          <w:color w:val="000000"/>
          <w:sz w:val="18"/>
          <w:szCs w:val="18"/>
        </w:rPr>
        <w:t>jedna z dalších civilních agend, jejíž převážnou část tvoří spory mezi podnikateli a věci upravené zákonem č. 90/2012 Sb., o obchodních společnostech a družstvech (zákon o obchodních korporacích), ve znění pozdějších předpisů (dále jen „zákon o obchodních korporacích“), které byly dříve upraveny zákonem č. 513/1991 Sb., obchodní zákoník, ve znění pozdějších předpisů (dále jen „obchodní zákoník“), a dále věci upravené zákonem č. 182/2006 Sb., o úpadku a způsobech jeho řešení (insolvenční zákon), ve znění pozdějších předpisů (dále jen „insolvenční zákon“). Obchodní zákoník byl od 1. ledna 2014 nahrazen zákonem o obchodních korporacích a občanským zákoníkem.</w:t>
      </w:r>
    </w:p>
    <w:p w14:paraId="742545D8" w14:textId="77777777" w:rsidR="00961AB7" w:rsidRPr="00961AB7" w:rsidRDefault="00961AB7" w:rsidP="00961AB7">
      <w:pPr>
        <w:spacing w:before="120"/>
        <w:jc w:val="both"/>
        <w:rPr>
          <w:rFonts w:ascii="Arial" w:hAnsi="Arial" w:cs="Arial"/>
          <w:sz w:val="18"/>
          <w:szCs w:val="18"/>
        </w:rPr>
      </w:pPr>
      <w:r w:rsidRPr="00961AB7">
        <w:rPr>
          <w:rFonts w:ascii="Arial" w:hAnsi="Arial" w:cs="Arial"/>
          <w:b/>
          <w:color w:val="000000"/>
          <w:sz w:val="18"/>
          <w:szCs w:val="18"/>
        </w:rPr>
        <w:t>Insolvenční agenda</w:t>
      </w:r>
      <w:r w:rsidRPr="00961AB7">
        <w:rPr>
          <w:rFonts w:ascii="Arial" w:hAnsi="Arial" w:cs="Arial"/>
          <w:color w:val="000000"/>
          <w:sz w:val="18"/>
          <w:szCs w:val="18"/>
        </w:rPr>
        <w:t xml:space="preserve"> – </w:t>
      </w:r>
      <w:r w:rsidRPr="00961AB7">
        <w:rPr>
          <w:rFonts w:ascii="Arial" w:hAnsi="Arial" w:cs="Arial"/>
          <w:b/>
          <w:sz w:val="18"/>
          <w:szCs w:val="18"/>
        </w:rPr>
        <w:t>rejstřík INS</w:t>
      </w:r>
      <w:r w:rsidRPr="00961AB7">
        <w:rPr>
          <w:rFonts w:ascii="Arial" w:hAnsi="Arial" w:cs="Arial"/>
          <w:sz w:val="18"/>
          <w:szCs w:val="18"/>
        </w:rPr>
        <w:t xml:space="preserve"> – </w:t>
      </w:r>
      <w:r w:rsidRPr="00961AB7">
        <w:rPr>
          <w:rFonts w:ascii="Arial" w:hAnsi="Arial" w:cs="Arial"/>
          <w:color w:val="000000"/>
          <w:sz w:val="18"/>
          <w:szCs w:val="18"/>
        </w:rPr>
        <w:t xml:space="preserve">samostatná agenda vyčleněná z obchodní agendy, kterou </w:t>
      </w:r>
      <w:r w:rsidRPr="00961AB7">
        <w:rPr>
          <w:rFonts w:ascii="Arial" w:hAnsi="Arial" w:cs="Arial"/>
          <w:sz w:val="18"/>
          <w:szCs w:val="18"/>
        </w:rPr>
        <w:t>tvoří věci projednávané krajskými soudy zahájené podle insolvenčního zákona, a to insolvenčním návrhem (zapisovaný do rejstříku INS).</w:t>
      </w:r>
    </w:p>
    <w:p w14:paraId="54F56D7F" w14:textId="77777777" w:rsidR="00961AB7" w:rsidRPr="00961AB7" w:rsidRDefault="00961AB7" w:rsidP="00961AB7">
      <w:pPr>
        <w:spacing w:before="120"/>
        <w:jc w:val="both"/>
        <w:rPr>
          <w:rFonts w:ascii="Arial" w:hAnsi="Arial" w:cs="Arial"/>
          <w:b/>
          <w:color w:val="000000"/>
          <w:sz w:val="18"/>
          <w:szCs w:val="18"/>
        </w:rPr>
      </w:pPr>
      <w:r w:rsidRPr="00961AB7">
        <w:rPr>
          <w:rFonts w:ascii="Arial" w:hAnsi="Arial" w:cs="Arial"/>
          <w:b/>
          <w:color w:val="000000"/>
          <w:sz w:val="18"/>
          <w:szCs w:val="18"/>
        </w:rPr>
        <w:t xml:space="preserve">Incidenční agenda </w:t>
      </w:r>
      <w:r w:rsidRPr="00961AB7">
        <w:rPr>
          <w:rFonts w:ascii="Arial" w:hAnsi="Arial" w:cs="Arial"/>
          <w:color w:val="000000"/>
          <w:sz w:val="18"/>
          <w:szCs w:val="18"/>
        </w:rPr>
        <w:t>–</w:t>
      </w:r>
      <w:r w:rsidRPr="00961AB7">
        <w:rPr>
          <w:rFonts w:ascii="Arial" w:hAnsi="Arial" w:cs="Arial"/>
          <w:b/>
          <w:sz w:val="18"/>
          <w:szCs w:val="18"/>
        </w:rPr>
        <w:t xml:space="preserve"> rejstřík </w:t>
      </w:r>
      <w:proofErr w:type="spellStart"/>
      <w:r w:rsidRPr="00961AB7">
        <w:rPr>
          <w:rFonts w:ascii="Arial" w:hAnsi="Arial" w:cs="Arial"/>
          <w:b/>
          <w:sz w:val="18"/>
          <w:szCs w:val="18"/>
        </w:rPr>
        <w:t>ICm</w:t>
      </w:r>
      <w:proofErr w:type="spellEnd"/>
      <w:r w:rsidRPr="00961AB7">
        <w:rPr>
          <w:rFonts w:ascii="Arial" w:hAnsi="Arial" w:cs="Arial"/>
          <w:sz w:val="18"/>
          <w:szCs w:val="18"/>
        </w:rPr>
        <w:t xml:space="preserve"> – v rámci insolvenční agendy se dále vyčleňují samostatně incidenční spory vyvolané insolvenčním řízením zahájené žalobou (zapisovanou do rejstříku </w:t>
      </w:r>
      <w:proofErr w:type="spellStart"/>
      <w:r w:rsidRPr="00961AB7">
        <w:rPr>
          <w:rFonts w:ascii="Arial" w:hAnsi="Arial" w:cs="Arial"/>
          <w:sz w:val="18"/>
          <w:szCs w:val="18"/>
        </w:rPr>
        <w:t>ICm</w:t>
      </w:r>
      <w:proofErr w:type="spellEnd"/>
      <w:r w:rsidRPr="00961AB7">
        <w:rPr>
          <w:rFonts w:ascii="Arial" w:hAnsi="Arial" w:cs="Arial"/>
          <w:sz w:val="18"/>
          <w:szCs w:val="18"/>
        </w:rPr>
        <w:t>); výčet je uveden v § 159 insolvenčního zákona.</w:t>
      </w:r>
    </w:p>
    <w:p w14:paraId="66768F0E"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Rejstříky jednotlivých agend</w:t>
      </w:r>
      <w:r w:rsidRPr="00961AB7">
        <w:rPr>
          <w:rFonts w:ascii="Arial" w:hAnsi="Arial" w:cs="Arial"/>
          <w:sz w:val="18"/>
          <w:szCs w:val="18"/>
        </w:rPr>
        <w:t xml:space="preserve"> – přehled rejstříků je uveden v Instrukci Ministerstva spravedlnosti ze dne 3. prosince 2001, č. j. 505/2001–ORG, kterou se vydává vnitřní a kancelářský řád pro okresní, krajské a vrchní soudy, v platném znění. V dokumentu je rovněž uveden způsob vedení zápisů v jednotlivých rejstřících.</w:t>
      </w:r>
    </w:p>
    <w:p w14:paraId="24D96607"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Věc</w:t>
      </w:r>
      <w:r w:rsidRPr="00961AB7">
        <w:rPr>
          <w:rFonts w:ascii="Arial" w:hAnsi="Arial" w:cs="Arial"/>
          <w:sz w:val="18"/>
          <w:szCs w:val="18"/>
        </w:rPr>
        <w:t xml:space="preserve"> – označení případu projednávaného soudem, který je zapsán v příslušném rejstříku pod spisovou značkou. U trestních agend je potřeba rozlišovat mezi počtem věcí a počtem osob, neboť jedno trestní řízení může být vedeno i proti více osobám.</w:t>
      </w:r>
    </w:p>
    <w:p w14:paraId="432BCE3E"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sz w:val="18"/>
          <w:szCs w:val="18"/>
        </w:rPr>
        <w:t>Příchozí věci</w:t>
      </w:r>
      <w:r w:rsidRPr="00961AB7">
        <w:rPr>
          <w:rFonts w:ascii="Arial" w:hAnsi="Arial" w:cs="Arial"/>
          <w:sz w:val="18"/>
          <w:szCs w:val="18"/>
        </w:rPr>
        <w:t xml:space="preserve"> – </w:t>
      </w:r>
      <w:r w:rsidRPr="00961AB7">
        <w:rPr>
          <w:rFonts w:ascii="Arial" w:hAnsi="Arial" w:cs="Arial"/>
          <w:color w:val="000000"/>
          <w:sz w:val="18"/>
          <w:szCs w:val="18"/>
        </w:rPr>
        <w:t xml:space="preserve">součet obživlých a napadlých věcí. </w:t>
      </w:r>
    </w:p>
    <w:p w14:paraId="0294071B" w14:textId="77777777" w:rsidR="00961AB7" w:rsidRPr="00961AB7" w:rsidRDefault="00961AB7" w:rsidP="00C45850">
      <w:pPr>
        <w:spacing w:before="120"/>
        <w:ind w:left="567"/>
        <w:jc w:val="both"/>
        <w:rPr>
          <w:rFonts w:ascii="Arial" w:hAnsi="Arial" w:cs="Arial"/>
          <w:color w:val="000000"/>
          <w:sz w:val="18"/>
          <w:szCs w:val="18"/>
        </w:rPr>
      </w:pPr>
      <w:r w:rsidRPr="00961AB7">
        <w:rPr>
          <w:rFonts w:ascii="Arial" w:hAnsi="Arial" w:cs="Arial"/>
          <w:b/>
          <w:color w:val="000000"/>
          <w:sz w:val="18"/>
          <w:szCs w:val="18"/>
        </w:rPr>
        <w:t>Obživlé věci –</w:t>
      </w:r>
      <w:r w:rsidRPr="00961AB7">
        <w:rPr>
          <w:rFonts w:ascii="Arial" w:hAnsi="Arial" w:cs="Arial"/>
          <w:color w:val="000000"/>
          <w:sz w:val="18"/>
          <w:szCs w:val="18"/>
        </w:rPr>
        <w:t xml:space="preserve"> jsou ty, u kterých v důsledku rozhodnutí soudu vyššího stupně musí následovat řízení před soudem prvního stupně po úplném nebo částečném zrušení rozhodnutí nebo po nevyhovění návrhu na změnu příslušnosti či odnětí a přikázání věci anebo dochází k novému projednání věci v důsledku povolení obnovy řízení nebo zrušení původního rozhodnutí pro zmatečnost anebo rozhodnutím Ústavního soudu. </w:t>
      </w:r>
    </w:p>
    <w:p w14:paraId="03E13D7A" w14:textId="77777777" w:rsidR="00961AB7" w:rsidRPr="00961AB7" w:rsidRDefault="00961AB7" w:rsidP="00C45850">
      <w:pPr>
        <w:spacing w:before="120"/>
        <w:ind w:left="567"/>
        <w:jc w:val="both"/>
        <w:rPr>
          <w:rFonts w:ascii="Arial" w:hAnsi="Arial" w:cs="Arial"/>
          <w:color w:val="000000"/>
          <w:sz w:val="18"/>
          <w:szCs w:val="18"/>
        </w:rPr>
      </w:pPr>
      <w:r w:rsidRPr="00961AB7">
        <w:rPr>
          <w:rFonts w:ascii="Arial" w:hAnsi="Arial" w:cs="Arial"/>
          <w:b/>
          <w:color w:val="000000"/>
          <w:sz w:val="18"/>
          <w:szCs w:val="18"/>
        </w:rPr>
        <w:t xml:space="preserve">Napadlé věci – </w:t>
      </w:r>
      <w:r w:rsidRPr="00961AB7">
        <w:rPr>
          <w:rFonts w:ascii="Arial" w:hAnsi="Arial" w:cs="Arial"/>
          <w:color w:val="000000"/>
          <w:sz w:val="18"/>
          <w:szCs w:val="18"/>
        </w:rPr>
        <w:t xml:space="preserve">jsou v trestních věcech počet podaných obžalob, návrhů na potrestání nebo návrhů na schválení dohody o vině a trestu. V občanskoprávní agendě a agendě P a </w:t>
      </w:r>
      <w:proofErr w:type="spellStart"/>
      <w:r w:rsidRPr="00961AB7">
        <w:rPr>
          <w:rFonts w:ascii="Arial" w:hAnsi="Arial" w:cs="Arial"/>
          <w:color w:val="000000"/>
          <w:sz w:val="18"/>
          <w:szCs w:val="18"/>
        </w:rPr>
        <w:t>Nc</w:t>
      </w:r>
      <w:proofErr w:type="spellEnd"/>
      <w:r w:rsidRPr="00961AB7">
        <w:rPr>
          <w:rFonts w:ascii="Arial" w:hAnsi="Arial" w:cs="Arial"/>
          <w:color w:val="000000"/>
          <w:sz w:val="18"/>
          <w:szCs w:val="18"/>
        </w:rPr>
        <w:t xml:space="preserve"> počet návrhů na zahájení řízení (žalob), které byly soudu doporučeny k projednání (včetně případů, kdy soud řízení zahájí bez návrhu z úřední povinnosti) a které soud zapíše do příslušného rejstříku.</w:t>
      </w:r>
    </w:p>
    <w:p w14:paraId="73001A4E"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Vyřízené věci</w:t>
      </w:r>
      <w:r w:rsidRPr="00961AB7">
        <w:rPr>
          <w:rFonts w:ascii="Arial" w:hAnsi="Arial" w:cs="Arial"/>
          <w:sz w:val="18"/>
          <w:szCs w:val="18"/>
        </w:rPr>
        <w:t xml:space="preserve"> – počet věcí, ve kterých soud nepravomocně rozhodl.</w:t>
      </w:r>
    </w:p>
    <w:p w14:paraId="65FE20E1"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Nevyřízené věci</w:t>
      </w:r>
      <w:r w:rsidRPr="00961AB7">
        <w:rPr>
          <w:rFonts w:ascii="Arial" w:hAnsi="Arial" w:cs="Arial"/>
          <w:sz w:val="18"/>
          <w:szCs w:val="18"/>
        </w:rPr>
        <w:t xml:space="preserve"> – počet věcí, ve kterých soud dosud nerozhodl. Tento údaj se vztahuje vždy k 31. prosinci příslušného roku.</w:t>
      </w:r>
    </w:p>
    <w:p w14:paraId="614040B6" w14:textId="77777777" w:rsidR="00961AB7" w:rsidRPr="00961AB7" w:rsidRDefault="00961AB7" w:rsidP="00961AB7">
      <w:pPr>
        <w:jc w:val="both"/>
        <w:rPr>
          <w:rFonts w:ascii="Arial" w:hAnsi="Arial" w:cs="Arial"/>
          <w:sz w:val="18"/>
          <w:szCs w:val="18"/>
        </w:rPr>
      </w:pPr>
    </w:p>
    <w:p w14:paraId="78FF724F" w14:textId="77777777" w:rsidR="00961AB7" w:rsidRPr="00961AB7" w:rsidRDefault="00961AB7" w:rsidP="00961AB7">
      <w:pPr>
        <w:jc w:val="both"/>
        <w:rPr>
          <w:rFonts w:ascii="Arial" w:hAnsi="Arial" w:cs="Arial"/>
          <w:sz w:val="18"/>
          <w:szCs w:val="18"/>
        </w:rPr>
      </w:pPr>
    </w:p>
    <w:p w14:paraId="7AD14BFD" w14:textId="5B3075B0"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14 Trestní agenda u okresních, krajských a vrchních soudů</w:t>
      </w:r>
    </w:p>
    <w:p w14:paraId="4A5D1C86" w14:textId="77777777" w:rsidR="00961AB7" w:rsidRPr="00961AB7" w:rsidRDefault="00961AB7" w:rsidP="00961AB7">
      <w:pPr>
        <w:spacing w:before="120"/>
        <w:jc w:val="both"/>
        <w:rPr>
          <w:rFonts w:ascii="Arial" w:hAnsi="Arial" w:cs="Arial"/>
          <w:b/>
          <w:bCs/>
          <w:color w:val="000000"/>
          <w:sz w:val="18"/>
          <w:szCs w:val="18"/>
        </w:rPr>
      </w:pPr>
      <w:r w:rsidRPr="00961AB7">
        <w:rPr>
          <w:rFonts w:ascii="Arial" w:hAnsi="Arial" w:cs="Arial"/>
          <w:b/>
          <w:bCs/>
          <w:color w:val="000000"/>
          <w:sz w:val="18"/>
          <w:szCs w:val="18"/>
        </w:rPr>
        <w:t xml:space="preserve">Prvoinstanční agenda – </w:t>
      </w:r>
      <w:r w:rsidRPr="00961AB7">
        <w:rPr>
          <w:rFonts w:ascii="Arial" w:hAnsi="Arial" w:cs="Arial"/>
          <w:bCs/>
          <w:color w:val="000000"/>
          <w:sz w:val="18"/>
          <w:szCs w:val="18"/>
        </w:rPr>
        <w:t>také prvostupňová agenda. Soudní řízení bývá zpravidla dvoustupňové. Každá nová věc (spor nebo jiná právní věc) je nejdříve projednána a rozhodnuta v první instanci. Okresní soudy jsou soudy první instance vždy, není-li k tomu podle předpisů upravujících soudní řízení určen jiný článek soudní soustavy. Takovým jiným článkem jsou zpravidla krajské soudy. Existuje však velmi malý okruh věcí, kdy jako prvoinstanční soud působí soudy vrchní nebo nejvyšší (Nejvyšší soud a Nejvyšší správní soud).</w:t>
      </w:r>
    </w:p>
    <w:p w14:paraId="711C2502" w14:textId="77777777" w:rsidR="00961AB7" w:rsidRPr="00961AB7" w:rsidRDefault="00961AB7" w:rsidP="00961AB7">
      <w:pPr>
        <w:spacing w:before="120"/>
        <w:jc w:val="both"/>
        <w:rPr>
          <w:rFonts w:ascii="Arial" w:hAnsi="Arial" w:cs="Arial"/>
          <w:b/>
          <w:bCs/>
          <w:color w:val="000000"/>
          <w:sz w:val="18"/>
          <w:szCs w:val="18"/>
        </w:rPr>
      </w:pPr>
      <w:r w:rsidRPr="00961AB7">
        <w:rPr>
          <w:rFonts w:ascii="Arial" w:hAnsi="Arial" w:cs="Arial"/>
          <w:b/>
          <w:bCs/>
          <w:color w:val="000000"/>
          <w:sz w:val="18"/>
          <w:szCs w:val="18"/>
        </w:rPr>
        <w:t xml:space="preserve">Odvolací agenda – </w:t>
      </w:r>
      <w:r w:rsidRPr="00961AB7">
        <w:rPr>
          <w:rFonts w:ascii="Arial" w:hAnsi="Arial" w:cs="Arial"/>
          <w:bCs/>
          <w:color w:val="000000"/>
          <w:sz w:val="18"/>
          <w:szCs w:val="18"/>
        </w:rPr>
        <w:t>také druhostupňová agenda. Lze-li nepravomocné rozhodnutí soudu I. stupně napadnout opravným prostředkem, rozhoduje o něm bezprostředně nadřízený soud v odvolacím řízení. K okresnímu soudu jako soudu I. stupně je odvolacím soudem krajský soud a o odvolání proti rozhodnutí krajského soudu jako soudu prvostupňového rozhoduje vrchní soud. V trestní agendě se jedná o rejstříky označené jako To a Tmo.</w:t>
      </w:r>
    </w:p>
    <w:p w14:paraId="5FC49FE2"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 xml:space="preserve">Délka řízení – </w:t>
      </w:r>
      <w:r w:rsidRPr="00961AB7">
        <w:rPr>
          <w:rFonts w:ascii="Arial" w:hAnsi="Arial" w:cs="Arial"/>
          <w:bCs/>
          <w:color w:val="000000"/>
          <w:sz w:val="18"/>
          <w:szCs w:val="18"/>
        </w:rPr>
        <w:t xml:space="preserve">ode dne nápadu do dne vyřízení soudem I. stupně a u odvolacího soudu ode dne nápadu u tohoto soudu do jeho vyřízení; v trestní </w:t>
      </w:r>
      <w:proofErr w:type="gramStart"/>
      <w:r w:rsidRPr="00961AB7">
        <w:rPr>
          <w:rFonts w:ascii="Arial" w:hAnsi="Arial" w:cs="Arial"/>
          <w:bCs/>
          <w:color w:val="000000"/>
          <w:sz w:val="18"/>
          <w:szCs w:val="18"/>
        </w:rPr>
        <w:t>agendě</w:t>
      </w:r>
      <w:proofErr w:type="gramEnd"/>
      <w:r w:rsidRPr="00961AB7">
        <w:rPr>
          <w:rFonts w:ascii="Arial" w:hAnsi="Arial" w:cs="Arial"/>
          <w:bCs/>
          <w:color w:val="000000"/>
          <w:sz w:val="18"/>
          <w:szCs w:val="18"/>
        </w:rPr>
        <w:t xml:space="preserve"> pokud řízení končí u odvolacího soudu tak se stává věc pravomocnou. Délka řízení je vždy udávána v kalendářních dnech. Vypočtena je ze statistických listů poté, co byl proces řízení dokončen.</w:t>
      </w:r>
    </w:p>
    <w:p w14:paraId="15367925"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Míra odvolání –</w:t>
      </w:r>
      <w:r w:rsidRPr="00961AB7">
        <w:rPr>
          <w:rFonts w:ascii="Arial" w:hAnsi="Arial" w:cs="Arial"/>
          <w:bCs/>
          <w:color w:val="000000"/>
          <w:sz w:val="18"/>
          <w:szCs w:val="18"/>
        </w:rPr>
        <w:t xml:space="preserve"> jedná se o poměr pravomocně vyřízených věcí, v nichž bylo podáno odvolání, k celkovému počtu pravomocně skončených (vyřízených) věcí.</w:t>
      </w:r>
    </w:p>
    <w:p w14:paraId="65D24453" w14:textId="77777777" w:rsidR="00961AB7" w:rsidRPr="00961AB7" w:rsidRDefault="00961AB7" w:rsidP="00961AB7">
      <w:pPr>
        <w:jc w:val="both"/>
        <w:rPr>
          <w:rFonts w:ascii="Arial" w:hAnsi="Arial" w:cs="Arial"/>
          <w:b/>
          <w:bCs/>
          <w:color w:val="000000"/>
          <w:sz w:val="18"/>
          <w:szCs w:val="18"/>
        </w:rPr>
      </w:pPr>
    </w:p>
    <w:p w14:paraId="4E9413B8" w14:textId="77777777" w:rsidR="00961AB7" w:rsidRPr="00961AB7" w:rsidRDefault="00961AB7" w:rsidP="00961AB7">
      <w:pPr>
        <w:jc w:val="both"/>
        <w:rPr>
          <w:rFonts w:ascii="Arial" w:hAnsi="Arial" w:cs="Arial"/>
          <w:b/>
          <w:bCs/>
          <w:color w:val="000000"/>
          <w:sz w:val="18"/>
          <w:szCs w:val="18"/>
        </w:rPr>
      </w:pPr>
    </w:p>
    <w:p w14:paraId="21C56571" w14:textId="76CB84C3" w:rsidR="00961AB7" w:rsidRPr="00961AB7" w:rsidRDefault="00961AB7" w:rsidP="00C45850">
      <w:pPr>
        <w:keepNext/>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sidRPr="00961AB7">
        <w:rPr>
          <w:rFonts w:ascii="Arial" w:hAnsi="Arial" w:cs="Arial"/>
          <w:b/>
          <w:color w:val="0071BC"/>
          <w:sz w:val="20"/>
          <w:szCs w:val="18"/>
        </w:rPr>
        <w:lastRenderedPageBreak/>
        <w:t>Tab. 29</w:t>
      </w:r>
      <w:r w:rsidR="00116432">
        <w:rPr>
          <w:rFonts w:ascii="Arial" w:hAnsi="Arial" w:cs="Arial"/>
          <w:b/>
          <w:color w:val="0071BC"/>
          <w:sz w:val="20"/>
          <w:szCs w:val="18"/>
        </w:rPr>
        <w:t>.</w:t>
      </w:r>
      <w:r w:rsidRPr="00961AB7">
        <w:rPr>
          <w:rFonts w:ascii="Arial" w:hAnsi="Arial" w:cs="Arial"/>
          <w:b/>
          <w:color w:val="0071BC"/>
          <w:sz w:val="20"/>
          <w:szCs w:val="18"/>
        </w:rPr>
        <w:t>15 Trestně stíhané osoby skončené v přípravném řízení</w:t>
      </w:r>
    </w:p>
    <w:p w14:paraId="2CD17399" w14:textId="77777777" w:rsidR="00961AB7" w:rsidRPr="00961AB7" w:rsidRDefault="00961AB7" w:rsidP="00C45850">
      <w:pPr>
        <w:keepNext/>
        <w:spacing w:before="120"/>
        <w:jc w:val="both"/>
        <w:rPr>
          <w:rFonts w:ascii="Arial" w:hAnsi="Arial" w:cs="Arial"/>
          <w:b/>
          <w:color w:val="000000"/>
          <w:sz w:val="18"/>
          <w:szCs w:val="18"/>
        </w:rPr>
      </w:pPr>
      <w:r w:rsidRPr="00961AB7">
        <w:rPr>
          <w:rFonts w:ascii="Arial" w:hAnsi="Arial" w:cs="Arial"/>
          <w:b/>
          <w:color w:val="000000"/>
          <w:sz w:val="18"/>
          <w:szCs w:val="18"/>
        </w:rPr>
        <w:t xml:space="preserve">Přípravné řízení – </w:t>
      </w:r>
      <w:r w:rsidRPr="00961AB7">
        <w:rPr>
          <w:rFonts w:ascii="Arial" w:hAnsi="Arial" w:cs="Arial"/>
          <w:bCs/>
          <w:color w:val="000000"/>
          <w:sz w:val="18"/>
          <w:szCs w:val="18"/>
        </w:rPr>
        <w:t>počet fyzických osob, vůči kterým bylo vedeno trestní stíhání zahájené sdělením obvinění podle § 160 trestního řádu a bylo ve sledovaném roce ukončeno</w:t>
      </w:r>
      <w:r w:rsidRPr="00961AB7">
        <w:rPr>
          <w:rFonts w:ascii="Arial" w:hAnsi="Arial" w:cs="Arial"/>
          <w:color w:val="000000"/>
          <w:sz w:val="18"/>
          <w:szCs w:val="18"/>
        </w:rPr>
        <w:t>.</w:t>
      </w:r>
    </w:p>
    <w:p w14:paraId="7A4C7C5C"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color w:val="000000"/>
          <w:sz w:val="18"/>
          <w:szCs w:val="18"/>
        </w:rPr>
        <w:t xml:space="preserve">Zkrácené přípravné řízení – </w:t>
      </w:r>
      <w:r w:rsidRPr="00961AB7">
        <w:rPr>
          <w:rFonts w:ascii="Arial" w:hAnsi="Arial" w:cs="Arial"/>
          <w:color w:val="000000"/>
          <w:sz w:val="18"/>
          <w:szCs w:val="18"/>
        </w:rPr>
        <w:t>počet fyzických osob, u nichž zkrácené přípravné řízení vedené podle § 179a a násl. trestního řádu bylo ve sledovaném roce ukončeno. Ve zkráceném přípravném řízení nedochází k zahájení trestního stíhání obviněného, ale vyhotovuje se záznam o sdělení podezření. Obviněný se nazývá po celou dobu podezřelý z trestného činu. Tento postup je však možný jen za určitých okolností a jen u některých méně závažných trestných činů, za které trestní zákoník stanoví trest odnětí svobody s horní hranicí nepřevyšující 5 let.</w:t>
      </w:r>
    </w:p>
    <w:p w14:paraId="634BD612"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color w:val="000000"/>
          <w:sz w:val="18"/>
          <w:szCs w:val="18"/>
        </w:rPr>
        <w:t>Obžalováno osob</w:t>
      </w:r>
      <w:r w:rsidRPr="00961AB7">
        <w:rPr>
          <w:rFonts w:ascii="Arial" w:hAnsi="Arial" w:cs="Arial"/>
          <w:color w:val="000000"/>
          <w:sz w:val="18"/>
          <w:szCs w:val="18"/>
        </w:rPr>
        <w:t xml:space="preserve"> – počet fyzických osob, na něž byla podána obžaloba podle § 176 trestního řádu.</w:t>
      </w:r>
    </w:p>
    <w:p w14:paraId="6F606C18"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color w:val="000000"/>
          <w:sz w:val="18"/>
          <w:szCs w:val="18"/>
        </w:rPr>
        <w:t xml:space="preserve">Podán </w:t>
      </w:r>
      <w:r w:rsidRPr="00961AB7">
        <w:rPr>
          <w:rFonts w:ascii="Arial" w:hAnsi="Arial" w:cs="Arial"/>
          <w:b/>
          <w:bCs/>
          <w:color w:val="000000"/>
          <w:sz w:val="18"/>
          <w:szCs w:val="18"/>
        </w:rPr>
        <w:t xml:space="preserve">návrh na schválení dohody o vině a trestu </w:t>
      </w:r>
      <w:r w:rsidRPr="00961AB7">
        <w:rPr>
          <w:rFonts w:ascii="Arial" w:hAnsi="Arial" w:cs="Arial"/>
          <w:bCs/>
          <w:color w:val="000000"/>
          <w:sz w:val="18"/>
          <w:szCs w:val="18"/>
        </w:rPr>
        <w:t>– počet fyzických osob, s nimiž státní zástupce v přípravném řízení dle § 175a trestního řádu nebo ve zkráceném přípravném řízení dle § 179b odst. 5 trestního řádu sjednal dohodu o vině a trestu a následně podal soudu návrh na schválení této dohody. Podstatou je, že obviněný prohlásí, že spáchal skutek, pro který je stíhán, a současně se ujedná výměra a druh trestu; její součástí může být ujednání o náhradě škody, nemajetkové újmy nebo vydání bezdůvodného obohacení. Od 1. října 2020 ji lze uzavřít i v případě zvlášť závažného zločinu (novela trestního řádu provedená zák. č. 333/2020 Sb.). Nelze ji však sjednat v řízení proti uprchlému či mladistvému, který nedovršil osmnáct let věku.</w:t>
      </w:r>
    </w:p>
    <w:p w14:paraId="611FC2B6"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Trestní stíhání zastaveno</w:t>
      </w:r>
      <w:r w:rsidRPr="00961AB7">
        <w:rPr>
          <w:rFonts w:ascii="Arial" w:hAnsi="Arial" w:cs="Arial"/>
          <w:bCs/>
          <w:color w:val="000000"/>
          <w:sz w:val="18"/>
          <w:szCs w:val="18"/>
        </w:rPr>
        <w:t xml:space="preserve"> – počet fyzických osob, u kterých došlo k zastavení trestního stíhání podle § 172 trestního řádu nebo podmíněnému zastavení trestního stíhání podle § 307 trestního řádu.</w:t>
      </w:r>
    </w:p>
    <w:p w14:paraId="1A7DB2D6"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color w:val="000000"/>
          <w:sz w:val="18"/>
          <w:szCs w:val="18"/>
        </w:rPr>
        <w:t>Trestní stíhání přerušeno</w:t>
      </w:r>
      <w:r w:rsidRPr="00961AB7">
        <w:rPr>
          <w:rFonts w:ascii="Arial" w:hAnsi="Arial" w:cs="Arial"/>
          <w:bCs/>
          <w:color w:val="000000"/>
          <w:sz w:val="18"/>
          <w:szCs w:val="18"/>
        </w:rPr>
        <w:t xml:space="preserve"> – </w:t>
      </w:r>
      <w:r w:rsidRPr="00961AB7">
        <w:rPr>
          <w:rFonts w:ascii="Arial" w:hAnsi="Arial" w:cs="Arial"/>
          <w:color w:val="000000"/>
          <w:sz w:val="18"/>
          <w:szCs w:val="18"/>
        </w:rPr>
        <w:t>počet fyzických osob, u kterých došlo k</w:t>
      </w:r>
      <w:r w:rsidRPr="00961AB7">
        <w:rPr>
          <w:rFonts w:ascii="Arial" w:hAnsi="Arial" w:cs="Arial"/>
          <w:bCs/>
          <w:color w:val="000000"/>
          <w:sz w:val="18"/>
          <w:szCs w:val="18"/>
        </w:rPr>
        <w:t xml:space="preserve"> </w:t>
      </w:r>
      <w:r w:rsidRPr="00961AB7">
        <w:rPr>
          <w:rFonts w:ascii="Arial" w:hAnsi="Arial" w:cs="Arial"/>
          <w:color w:val="000000"/>
          <w:sz w:val="18"/>
          <w:szCs w:val="18"/>
        </w:rPr>
        <w:t>přerušení trestního stíhání podle § 173 trestního řádu. Přerušení trestního řízení je rozhodnutím prozatímní povahy, věc není definitivně skončena.</w:t>
      </w:r>
    </w:p>
    <w:p w14:paraId="634272BD"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color w:val="000000"/>
          <w:sz w:val="18"/>
          <w:szCs w:val="18"/>
        </w:rPr>
        <w:t>Trestní stíhání postoupeno</w:t>
      </w:r>
      <w:r w:rsidRPr="00961AB7">
        <w:rPr>
          <w:rFonts w:ascii="Arial" w:hAnsi="Arial" w:cs="Arial"/>
          <w:color w:val="000000"/>
          <w:sz w:val="18"/>
          <w:szCs w:val="18"/>
        </w:rPr>
        <w:t xml:space="preserve"> – počet věcí, které byly postoupeny jinému orgánu podle § 171 trestního řádu.</w:t>
      </w:r>
    </w:p>
    <w:p w14:paraId="7A6EFC82" w14:textId="77777777" w:rsidR="00C0448C" w:rsidRDefault="00C0448C" w:rsidP="00C0448C">
      <w:pPr>
        <w:spacing w:before="120"/>
        <w:jc w:val="both"/>
        <w:rPr>
          <w:rFonts w:ascii="Arial" w:hAnsi="Arial" w:cs="Arial"/>
          <w:color w:val="000000"/>
          <w:sz w:val="18"/>
          <w:szCs w:val="18"/>
        </w:rPr>
      </w:pPr>
      <w:r w:rsidRPr="00C45850">
        <w:rPr>
          <w:rFonts w:ascii="Arial" w:hAnsi="Arial" w:cs="Arial"/>
          <w:b/>
          <w:color w:val="000000"/>
          <w:sz w:val="18"/>
          <w:szCs w:val="18"/>
        </w:rPr>
        <w:t xml:space="preserve">Schváleno narovnání </w:t>
      </w:r>
      <w:r w:rsidRPr="00C45850">
        <w:rPr>
          <w:rFonts w:ascii="Arial" w:hAnsi="Arial" w:cs="Arial"/>
          <w:color w:val="000000"/>
          <w:sz w:val="18"/>
          <w:szCs w:val="18"/>
        </w:rPr>
        <w:t>– počet fyzických osob, u kterých došlo ke schválení narovnání podle § 309 trestního řádu. Narovnání plní funkci restituce narušených vztahů pachatele a oběti (poškozeného), kdy obviněný prohlásí, že spáchal skutek, pro který je stíhán, uhradí poškozenému škodu či jinak odčiní újmu vzniklou trestným činem, vydá bezdůvodné obohacení a složí na účet státního zastupitelství nebo soudu (v případě až řízení před soudem) peněžitou částku určenou státu na peněžitou pomoc obětem trestné činnosti. Schválení narovnání je možné jen v řízení o přečinu (nedbalostní trestný čin nebo úmyslný trestný čin, na něž trestní zákoník stanoví trest odnětí svobody s horní hranicí trestní sazby do 5 let).</w:t>
      </w:r>
    </w:p>
    <w:p w14:paraId="0738A2F1" w14:textId="0DF7966B" w:rsidR="00961AB7" w:rsidRPr="00961AB7" w:rsidRDefault="00C0448C" w:rsidP="00961AB7">
      <w:pPr>
        <w:spacing w:before="120"/>
        <w:jc w:val="both"/>
        <w:rPr>
          <w:rFonts w:ascii="Arial" w:hAnsi="Arial" w:cs="Arial"/>
          <w:color w:val="000000"/>
          <w:sz w:val="18"/>
          <w:szCs w:val="18"/>
        </w:rPr>
      </w:pPr>
      <w:r>
        <w:rPr>
          <w:rFonts w:ascii="Arial" w:hAnsi="Arial" w:cs="Arial"/>
          <w:b/>
          <w:color w:val="000000"/>
          <w:sz w:val="18"/>
          <w:szCs w:val="18"/>
        </w:rPr>
        <w:t>Podán n</w:t>
      </w:r>
      <w:r w:rsidR="00961AB7" w:rsidRPr="00961AB7">
        <w:rPr>
          <w:rFonts w:ascii="Arial" w:hAnsi="Arial" w:cs="Arial"/>
          <w:b/>
          <w:color w:val="000000"/>
          <w:sz w:val="18"/>
          <w:szCs w:val="18"/>
        </w:rPr>
        <w:t>ávrh na potrestání</w:t>
      </w:r>
      <w:r w:rsidR="00961AB7" w:rsidRPr="00961AB7">
        <w:rPr>
          <w:rFonts w:ascii="Arial" w:hAnsi="Arial" w:cs="Arial"/>
          <w:color w:val="000000"/>
          <w:sz w:val="18"/>
          <w:szCs w:val="18"/>
        </w:rPr>
        <w:t xml:space="preserve"> – počet fyzických osob, na něž byl podán návrh na potrestání podle § 179c trestního řádu. Návrh na potrestání je obdobou obžaloby, ale neobsahuje odůvodnění a je obsahově stručnější.</w:t>
      </w:r>
    </w:p>
    <w:p w14:paraId="22CFA8B5" w14:textId="77777777" w:rsidR="00961AB7" w:rsidRPr="00961AB7" w:rsidRDefault="00961AB7" w:rsidP="00961AB7">
      <w:pPr>
        <w:spacing w:before="120"/>
        <w:jc w:val="both"/>
        <w:rPr>
          <w:rFonts w:ascii="Arial" w:hAnsi="Arial" w:cs="Arial"/>
          <w:b/>
          <w:color w:val="000000"/>
          <w:sz w:val="18"/>
          <w:szCs w:val="18"/>
        </w:rPr>
      </w:pPr>
      <w:r w:rsidRPr="00961AB7">
        <w:rPr>
          <w:rFonts w:ascii="Arial" w:hAnsi="Arial" w:cs="Arial"/>
          <w:b/>
          <w:color w:val="000000"/>
          <w:sz w:val="18"/>
          <w:szCs w:val="18"/>
        </w:rPr>
        <w:t xml:space="preserve">Podmíněně odloženo – </w:t>
      </w:r>
      <w:r w:rsidRPr="00961AB7">
        <w:rPr>
          <w:rFonts w:ascii="Arial" w:hAnsi="Arial" w:cs="Arial"/>
          <w:bCs/>
          <w:color w:val="000000"/>
          <w:sz w:val="18"/>
          <w:szCs w:val="18"/>
        </w:rPr>
        <w:t>počet fyzických osob, u kterých místo podání návrhu na potrestání došlo k podmíněnému odložení návrhu na potrestání podle § 179g trestního řádu.</w:t>
      </w:r>
    </w:p>
    <w:p w14:paraId="1387E13A"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color w:val="000000"/>
          <w:sz w:val="18"/>
          <w:szCs w:val="18"/>
        </w:rPr>
        <w:t xml:space="preserve">Odloženo – </w:t>
      </w:r>
      <w:r w:rsidRPr="00961AB7">
        <w:rPr>
          <w:rFonts w:ascii="Arial" w:hAnsi="Arial" w:cs="Arial"/>
          <w:bCs/>
          <w:color w:val="000000"/>
          <w:sz w:val="18"/>
          <w:szCs w:val="18"/>
        </w:rPr>
        <w:t>počet věcí, u kterých došlo v rámci zkráceného přípravného řízení k odložení věci z důvodu dle § 159a trestního řádu.</w:t>
      </w:r>
    </w:p>
    <w:p w14:paraId="599BC3E7" w14:textId="47B750A1" w:rsidR="00C0448C" w:rsidRPr="00B60967" w:rsidRDefault="00C0448C" w:rsidP="00C0448C">
      <w:pPr>
        <w:spacing w:before="120"/>
        <w:jc w:val="both"/>
        <w:rPr>
          <w:rFonts w:ascii="Arial" w:hAnsi="Arial" w:cs="Arial"/>
          <w:color w:val="000000"/>
          <w:sz w:val="18"/>
          <w:szCs w:val="18"/>
        </w:rPr>
      </w:pPr>
      <w:r w:rsidRPr="00C45850">
        <w:rPr>
          <w:rFonts w:ascii="Arial" w:hAnsi="Arial" w:cs="Arial"/>
          <w:b/>
          <w:color w:val="000000"/>
          <w:sz w:val="18"/>
          <w:szCs w:val="18"/>
        </w:rPr>
        <w:t xml:space="preserve">Jiný výsledek </w:t>
      </w:r>
      <w:r w:rsidRPr="00C45850">
        <w:rPr>
          <w:rFonts w:ascii="Arial" w:hAnsi="Arial" w:cs="Arial"/>
          <w:color w:val="000000"/>
          <w:sz w:val="18"/>
          <w:szCs w:val="18"/>
        </w:rPr>
        <w:t xml:space="preserve">– počet věcí, které byly odevzdány jinému příslušnému orgánu ke kázeňskému či kárnému projednání dle </w:t>
      </w:r>
      <w:r>
        <w:rPr>
          <w:rFonts w:ascii="Arial" w:hAnsi="Arial" w:cs="Arial"/>
          <w:color w:val="000000"/>
          <w:sz w:val="18"/>
          <w:szCs w:val="18"/>
        </w:rPr>
        <w:br/>
      </w:r>
      <w:r w:rsidRPr="00C45850">
        <w:rPr>
          <w:rFonts w:ascii="Arial" w:hAnsi="Arial" w:cs="Arial"/>
          <w:bCs/>
          <w:color w:val="000000"/>
          <w:sz w:val="18"/>
          <w:szCs w:val="18"/>
        </w:rPr>
        <w:t xml:space="preserve">§ 179e trestního řádu </w:t>
      </w:r>
      <w:r w:rsidRPr="00C45850">
        <w:rPr>
          <w:rFonts w:ascii="Arial" w:hAnsi="Arial" w:cs="Arial"/>
          <w:color w:val="000000"/>
          <w:sz w:val="18"/>
          <w:szCs w:val="18"/>
        </w:rPr>
        <w:t xml:space="preserve">nebo k projednání přestupku dle </w:t>
      </w:r>
      <w:r w:rsidRPr="00C45850">
        <w:rPr>
          <w:rFonts w:ascii="Arial" w:hAnsi="Arial" w:cs="Arial"/>
          <w:bCs/>
          <w:color w:val="000000"/>
          <w:sz w:val="18"/>
          <w:szCs w:val="18"/>
        </w:rPr>
        <w:t>§ 179d trestního řádu.</w:t>
      </w:r>
    </w:p>
    <w:p w14:paraId="5ED82DC2" w14:textId="77777777" w:rsidR="00961AB7" w:rsidRPr="00961AB7" w:rsidRDefault="00961AB7" w:rsidP="00961AB7">
      <w:pPr>
        <w:jc w:val="both"/>
        <w:rPr>
          <w:rFonts w:ascii="Arial" w:hAnsi="Arial" w:cs="Arial"/>
          <w:b/>
          <w:color w:val="000000"/>
          <w:sz w:val="18"/>
          <w:szCs w:val="18"/>
        </w:rPr>
      </w:pPr>
    </w:p>
    <w:p w14:paraId="26605474" w14:textId="77777777" w:rsidR="00961AB7" w:rsidRPr="00961AB7" w:rsidRDefault="00961AB7" w:rsidP="00961AB7">
      <w:pPr>
        <w:jc w:val="both"/>
        <w:rPr>
          <w:rFonts w:ascii="Arial" w:hAnsi="Arial" w:cs="Arial"/>
          <w:b/>
          <w:color w:val="000000"/>
          <w:sz w:val="18"/>
          <w:szCs w:val="18"/>
        </w:rPr>
      </w:pPr>
    </w:p>
    <w:p w14:paraId="5894ABF9" w14:textId="3E64E46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16 Osoby odsouzené a zproštěné obžaloby v trestním řízení před soudem</w:t>
      </w:r>
    </w:p>
    <w:p w14:paraId="5A965462"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bCs/>
          <w:color w:val="000000"/>
          <w:sz w:val="18"/>
          <w:szCs w:val="18"/>
        </w:rPr>
        <w:t>Odsouzená osoba</w:t>
      </w:r>
      <w:r w:rsidRPr="00961AB7">
        <w:rPr>
          <w:rFonts w:ascii="Arial" w:hAnsi="Arial" w:cs="Arial"/>
          <w:bCs/>
          <w:color w:val="000000"/>
          <w:sz w:val="18"/>
          <w:szCs w:val="18"/>
        </w:rPr>
        <w:t xml:space="preserve"> – fyzická </w:t>
      </w:r>
      <w:r w:rsidRPr="00961AB7">
        <w:rPr>
          <w:rFonts w:ascii="Arial" w:hAnsi="Arial" w:cs="Arial"/>
          <w:color w:val="000000"/>
          <w:sz w:val="18"/>
          <w:szCs w:val="18"/>
        </w:rPr>
        <w:t>osoba, proti které byl vydán soudem odsuzující rozsudek (byť i jen za jeden trestný čin), který již nabyl právní moci; zahrnuje i případy odsouzení pravomocným trestním příkazem.</w:t>
      </w:r>
    </w:p>
    <w:p w14:paraId="54302724" w14:textId="1EAD8476" w:rsidR="00961AB7" w:rsidRPr="00961AB7" w:rsidRDefault="00D90DAC" w:rsidP="00961AB7">
      <w:pPr>
        <w:spacing w:before="120"/>
        <w:jc w:val="both"/>
        <w:rPr>
          <w:rFonts w:ascii="Arial" w:hAnsi="Arial" w:cs="Arial"/>
          <w:color w:val="000000"/>
          <w:sz w:val="18"/>
          <w:szCs w:val="18"/>
        </w:rPr>
      </w:pPr>
      <w:r w:rsidRPr="00C45850">
        <w:rPr>
          <w:rFonts w:ascii="Arial" w:hAnsi="Arial" w:cs="Arial"/>
          <w:b/>
          <w:color w:val="000000"/>
          <w:sz w:val="18"/>
          <w:szCs w:val="18"/>
        </w:rPr>
        <w:t>Osoba zproštěná obžaloby</w:t>
      </w:r>
      <w:r w:rsidRPr="00D90DAC" w:rsidDel="00D90DAC">
        <w:rPr>
          <w:rFonts w:ascii="Arial" w:hAnsi="Arial" w:cs="Arial"/>
          <w:b/>
          <w:color w:val="000000"/>
          <w:sz w:val="18"/>
          <w:szCs w:val="18"/>
        </w:rPr>
        <w:t xml:space="preserve"> </w:t>
      </w:r>
      <w:r w:rsidR="00961AB7" w:rsidRPr="00D90DAC">
        <w:rPr>
          <w:rFonts w:ascii="Arial" w:hAnsi="Arial" w:cs="Arial"/>
          <w:color w:val="000000"/>
          <w:sz w:val="18"/>
          <w:szCs w:val="18"/>
        </w:rPr>
        <w:t xml:space="preserve">– fyzická osoba, proti které nebyl vydán soudem odsuzující rozsudek za žádný trestný čin, </w:t>
      </w:r>
      <w:r w:rsidR="00C45850">
        <w:rPr>
          <w:rFonts w:ascii="Arial" w:hAnsi="Arial" w:cs="Arial"/>
          <w:color w:val="000000"/>
          <w:sz w:val="18"/>
          <w:szCs w:val="18"/>
        </w:rPr>
        <w:br/>
      </w:r>
      <w:r w:rsidR="00961AB7" w:rsidRPr="00D90DAC">
        <w:rPr>
          <w:rFonts w:ascii="Arial" w:hAnsi="Arial" w:cs="Arial"/>
          <w:color w:val="000000"/>
          <w:sz w:val="18"/>
          <w:szCs w:val="18"/>
        </w:rPr>
        <w:t>a alespoň za jeden trestný čin byla zproštěna obžaloby.</w:t>
      </w:r>
    </w:p>
    <w:p w14:paraId="565A6D5D" w14:textId="77777777" w:rsidR="00961AB7" w:rsidRPr="00961AB7" w:rsidRDefault="00961AB7" w:rsidP="00961AB7">
      <w:pPr>
        <w:jc w:val="both"/>
        <w:rPr>
          <w:rFonts w:ascii="Arial" w:hAnsi="Arial" w:cs="Arial"/>
          <w:color w:val="000000"/>
          <w:sz w:val="18"/>
          <w:szCs w:val="18"/>
        </w:rPr>
      </w:pPr>
    </w:p>
    <w:p w14:paraId="66226818" w14:textId="77777777" w:rsidR="00961AB7" w:rsidRPr="00961AB7" w:rsidRDefault="00961AB7" w:rsidP="00961AB7">
      <w:pPr>
        <w:jc w:val="both"/>
        <w:rPr>
          <w:rFonts w:ascii="Arial" w:hAnsi="Arial" w:cs="Arial"/>
          <w:color w:val="000000"/>
          <w:sz w:val="18"/>
          <w:szCs w:val="18"/>
        </w:rPr>
      </w:pPr>
    </w:p>
    <w:p w14:paraId="51003C5B" w14:textId="39DE5FC2" w:rsidR="00961AB7" w:rsidRPr="00961AB7" w:rsidRDefault="003F31D8"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Pr>
          <w:rFonts w:ascii="Arial" w:hAnsi="Arial" w:cs="Arial"/>
          <w:b/>
          <w:color w:val="0071BC"/>
          <w:sz w:val="20"/>
          <w:szCs w:val="18"/>
        </w:rPr>
        <w:t>Tab. 29</w:t>
      </w:r>
      <w:r w:rsidR="00116432">
        <w:rPr>
          <w:rFonts w:ascii="Arial" w:hAnsi="Arial" w:cs="Arial"/>
          <w:b/>
          <w:color w:val="0071BC"/>
          <w:sz w:val="20"/>
          <w:szCs w:val="18"/>
        </w:rPr>
        <w:t>.</w:t>
      </w:r>
      <w:r>
        <w:rPr>
          <w:rFonts w:ascii="Arial" w:hAnsi="Arial" w:cs="Arial"/>
          <w:b/>
          <w:color w:val="0071BC"/>
          <w:sz w:val="20"/>
          <w:szCs w:val="18"/>
        </w:rPr>
        <w:t xml:space="preserve">17 Odsouzené </w:t>
      </w:r>
      <w:r w:rsidR="00961AB7" w:rsidRPr="00961AB7">
        <w:rPr>
          <w:rFonts w:ascii="Arial" w:hAnsi="Arial" w:cs="Arial"/>
          <w:b/>
          <w:color w:val="0071BC"/>
          <w:sz w:val="20"/>
          <w:szCs w:val="18"/>
        </w:rPr>
        <w:t>osoby podle trestu</w:t>
      </w:r>
    </w:p>
    <w:p w14:paraId="11184E85" w14:textId="77777777" w:rsidR="00961AB7" w:rsidRPr="00961AB7" w:rsidRDefault="00961AB7" w:rsidP="00961AB7">
      <w:pPr>
        <w:spacing w:before="120"/>
        <w:jc w:val="both"/>
        <w:rPr>
          <w:rFonts w:ascii="Arial" w:hAnsi="Arial" w:cs="Arial"/>
          <w:b/>
          <w:bCs/>
          <w:color w:val="000000"/>
          <w:sz w:val="18"/>
          <w:szCs w:val="18"/>
        </w:rPr>
      </w:pPr>
      <w:r w:rsidRPr="00961AB7">
        <w:rPr>
          <w:rFonts w:ascii="Arial" w:hAnsi="Arial" w:cs="Arial"/>
          <w:b/>
          <w:bCs/>
          <w:color w:val="000000"/>
          <w:sz w:val="18"/>
          <w:szCs w:val="18"/>
        </w:rPr>
        <w:t xml:space="preserve">Odsouzené osoby – </w:t>
      </w:r>
      <w:r w:rsidRPr="00961AB7">
        <w:rPr>
          <w:rFonts w:ascii="Arial" w:hAnsi="Arial" w:cs="Arial"/>
          <w:bCs/>
          <w:color w:val="000000"/>
          <w:sz w:val="18"/>
          <w:szCs w:val="18"/>
        </w:rPr>
        <w:t xml:space="preserve">fyzická </w:t>
      </w:r>
      <w:r w:rsidRPr="00961AB7">
        <w:rPr>
          <w:rFonts w:ascii="Arial" w:hAnsi="Arial" w:cs="Arial"/>
          <w:color w:val="000000"/>
          <w:sz w:val="18"/>
          <w:szCs w:val="18"/>
        </w:rPr>
        <w:t>osoba, proti které byl vydán soudem odsuzující rozsudek (byť i jen za jeden trestný čin), který již nabyl právní moci; zahrnuje i případy odsouzení pravomocným trestním příkazem.</w:t>
      </w:r>
    </w:p>
    <w:p w14:paraId="6C890786"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bCs/>
          <w:color w:val="000000"/>
          <w:sz w:val="18"/>
          <w:szCs w:val="18"/>
        </w:rPr>
        <w:t>Nepodmíněný trest odnětí svobody</w:t>
      </w:r>
      <w:r w:rsidRPr="00961AB7">
        <w:rPr>
          <w:rFonts w:ascii="Arial" w:hAnsi="Arial" w:cs="Arial"/>
          <w:bCs/>
          <w:color w:val="000000"/>
          <w:sz w:val="18"/>
          <w:szCs w:val="18"/>
        </w:rPr>
        <w:t xml:space="preserve"> – trest odnětí svobody, který </w:t>
      </w:r>
      <w:r w:rsidRPr="00961AB7">
        <w:rPr>
          <w:rFonts w:ascii="Arial" w:hAnsi="Arial" w:cs="Arial"/>
          <w:color w:val="000000"/>
          <w:sz w:val="18"/>
          <w:szCs w:val="18"/>
        </w:rPr>
        <w:t>je vykonávaný ve věznicích Vězeňské služby České republiky.</w:t>
      </w:r>
    </w:p>
    <w:p w14:paraId="5FF29D42"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Podmíněně odložený trest odnětí svobody s dohledem</w:t>
      </w:r>
      <w:r w:rsidRPr="00961AB7">
        <w:rPr>
          <w:rFonts w:ascii="Arial" w:hAnsi="Arial" w:cs="Arial"/>
          <w:bCs/>
          <w:color w:val="000000"/>
          <w:sz w:val="18"/>
          <w:szCs w:val="18"/>
        </w:rPr>
        <w:t xml:space="preserve"> – trest odnětí svobody, jehož výkon soud podmíněně odložil na zkušební dobu a současně vyslovil nad pachatelem dohled.</w:t>
      </w:r>
    </w:p>
    <w:p w14:paraId="7987D74C"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bCs/>
          <w:color w:val="000000"/>
          <w:sz w:val="18"/>
          <w:szCs w:val="18"/>
        </w:rPr>
        <w:t>Další tresty uložené ve spojení s hlavní sankcí</w:t>
      </w:r>
      <w:r w:rsidRPr="00961AB7">
        <w:rPr>
          <w:rFonts w:ascii="Arial" w:hAnsi="Arial" w:cs="Arial"/>
          <w:bCs/>
          <w:color w:val="000000"/>
          <w:sz w:val="18"/>
          <w:szCs w:val="18"/>
        </w:rPr>
        <w:t xml:space="preserve"> – odsouzené fyzické osobě bylo uloženo více trestů současně ve smyslu </w:t>
      </w:r>
      <w:r w:rsidRPr="00961AB7">
        <w:rPr>
          <w:rFonts w:ascii="Arial" w:hAnsi="Arial" w:cs="Arial"/>
          <w:color w:val="000000"/>
          <w:sz w:val="18"/>
          <w:szCs w:val="18"/>
        </w:rPr>
        <w:t>§ 53 trestního zákoníku.</w:t>
      </w:r>
    </w:p>
    <w:p w14:paraId="6B5B7525"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b/>
          <w:bCs/>
          <w:color w:val="000000"/>
          <w:sz w:val="18"/>
          <w:szCs w:val="18"/>
        </w:rPr>
        <w:t>Zákaz činnosti</w:t>
      </w:r>
      <w:r w:rsidRPr="00961AB7">
        <w:rPr>
          <w:rFonts w:ascii="Arial" w:hAnsi="Arial" w:cs="Arial"/>
          <w:color w:val="000000"/>
          <w:sz w:val="18"/>
          <w:szCs w:val="18"/>
        </w:rPr>
        <w:t xml:space="preserve"> – trest spočívající v zákazu výkonu určitého zaměstnání, povolání, funkce nebo činnosti na 1 až 10 let.</w:t>
      </w:r>
    </w:p>
    <w:p w14:paraId="2EA9F412" w14:textId="7A86A459"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Jiný trest</w:t>
      </w:r>
      <w:r w:rsidRPr="00961AB7">
        <w:rPr>
          <w:rFonts w:ascii="Arial" w:hAnsi="Arial" w:cs="Arial"/>
          <w:bCs/>
          <w:color w:val="000000"/>
          <w:sz w:val="18"/>
          <w:szCs w:val="18"/>
        </w:rPr>
        <w:t xml:space="preserve"> – např. ztráta čestných titulů a vyznamenání, ztráta vojenské hodnosti, propadnutí majetku</w:t>
      </w:r>
      <w:r w:rsidR="00D90DAC">
        <w:rPr>
          <w:rFonts w:ascii="Arial" w:hAnsi="Arial" w:cs="Arial"/>
          <w:bCs/>
          <w:color w:val="000000"/>
          <w:sz w:val="18"/>
          <w:szCs w:val="18"/>
        </w:rPr>
        <w:t>.</w:t>
      </w:r>
    </w:p>
    <w:p w14:paraId="62947F28"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lastRenderedPageBreak/>
        <w:t>Upuštěno od potrestání</w:t>
      </w:r>
      <w:r w:rsidRPr="00961AB7">
        <w:rPr>
          <w:rFonts w:ascii="Arial" w:hAnsi="Arial" w:cs="Arial"/>
          <w:bCs/>
          <w:color w:val="000000"/>
          <w:sz w:val="18"/>
          <w:szCs w:val="18"/>
        </w:rPr>
        <w:t xml:space="preserve"> – upuštění od potrestání podle § 46, § 47, § 48 trestního zákoníku a u mladistvých upuštění od uložení trestního opatření a podmíněného upuštění od uložení trestního opatření podle § 11, § 12, § 14 při splnění několika podmínek. Např. pachatel spáchal trestný čin ve stavu zmenšené příčetnosti a soud nařídí ochranné léčení; osoba spáchání činu lituje a projevuje účinnou snahu po nápravě a pouhé projednání věci postačuje k nápravě. Upustil-li soud od potrestání, hledí se na pachatele, jako by nebyl odsouzen.</w:t>
      </w:r>
    </w:p>
    <w:p w14:paraId="08976395" w14:textId="77777777" w:rsidR="00961AB7" w:rsidRPr="00961AB7" w:rsidRDefault="00961AB7" w:rsidP="00961AB7">
      <w:pPr>
        <w:jc w:val="both"/>
        <w:rPr>
          <w:rFonts w:ascii="Arial" w:hAnsi="Arial" w:cs="Arial"/>
          <w:bCs/>
          <w:dstrike/>
          <w:color w:val="000000"/>
          <w:sz w:val="18"/>
          <w:szCs w:val="18"/>
        </w:rPr>
      </w:pPr>
    </w:p>
    <w:p w14:paraId="32D3F3D1" w14:textId="77777777" w:rsidR="00961AB7" w:rsidRPr="00961AB7" w:rsidRDefault="00961AB7" w:rsidP="00961AB7">
      <w:pPr>
        <w:jc w:val="both"/>
        <w:rPr>
          <w:rFonts w:ascii="Arial" w:hAnsi="Arial" w:cs="Arial"/>
          <w:bCs/>
          <w:dstrike/>
          <w:color w:val="000000"/>
          <w:sz w:val="18"/>
          <w:szCs w:val="18"/>
        </w:rPr>
      </w:pPr>
    </w:p>
    <w:p w14:paraId="083D649B" w14:textId="4F25611E"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18"/>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18 a 29</w:t>
      </w:r>
      <w:r w:rsidR="00116432">
        <w:rPr>
          <w:rFonts w:ascii="Arial" w:hAnsi="Arial" w:cs="Arial"/>
          <w:b/>
          <w:color w:val="0071BC"/>
          <w:sz w:val="20"/>
          <w:szCs w:val="18"/>
        </w:rPr>
        <w:t>.</w:t>
      </w:r>
      <w:r w:rsidRPr="00961AB7">
        <w:rPr>
          <w:rFonts w:ascii="Arial" w:hAnsi="Arial" w:cs="Arial"/>
          <w:b/>
          <w:color w:val="0071BC"/>
          <w:sz w:val="20"/>
          <w:szCs w:val="18"/>
        </w:rPr>
        <w:t>19 Odsouzené osoby za vybrané trestné činy</w:t>
      </w:r>
    </w:p>
    <w:p w14:paraId="36495352" w14:textId="77777777" w:rsidR="00961AB7" w:rsidRPr="00961AB7" w:rsidRDefault="00961AB7" w:rsidP="00961AB7">
      <w:pPr>
        <w:spacing w:before="120"/>
        <w:jc w:val="both"/>
        <w:rPr>
          <w:rFonts w:ascii="Arial" w:hAnsi="Arial" w:cs="Arial"/>
          <w:color w:val="000000"/>
          <w:sz w:val="18"/>
          <w:szCs w:val="18"/>
        </w:rPr>
      </w:pPr>
      <w:r w:rsidRPr="00961AB7">
        <w:rPr>
          <w:rFonts w:ascii="Arial" w:hAnsi="Arial" w:cs="Arial"/>
          <w:color w:val="000000"/>
          <w:sz w:val="18"/>
          <w:szCs w:val="18"/>
        </w:rPr>
        <w:t>Údaje v tabulkách podle trestního zákoníku, příp. trestního zákona. Jsou zahrnuty pouze fyzické osoby.</w:t>
      </w:r>
    </w:p>
    <w:p w14:paraId="360E2F6E" w14:textId="151B1EA5" w:rsidR="00961AB7" w:rsidRDefault="00961AB7" w:rsidP="00961AB7">
      <w:pPr>
        <w:jc w:val="both"/>
        <w:rPr>
          <w:rFonts w:ascii="Arial" w:hAnsi="Arial" w:cs="Arial"/>
          <w:color w:val="000000"/>
          <w:sz w:val="18"/>
          <w:szCs w:val="18"/>
        </w:rPr>
      </w:pPr>
    </w:p>
    <w:p w14:paraId="4C73621A" w14:textId="77777777" w:rsidR="00E43279" w:rsidRPr="00961AB7" w:rsidRDefault="00E43279" w:rsidP="00961AB7">
      <w:pPr>
        <w:jc w:val="both"/>
        <w:rPr>
          <w:rFonts w:ascii="Arial" w:hAnsi="Arial" w:cs="Arial"/>
          <w:color w:val="000000"/>
          <w:sz w:val="18"/>
          <w:szCs w:val="18"/>
        </w:rPr>
      </w:pPr>
    </w:p>
    <w:p w14:paraId="496CDBF9" w14:textId="7C282F2A"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20 Vězněné osoby</w:t>
      </w:r>
    </w:p>
    <w:p w14:paraId="703FBF23" w14:textId="77777777" w:rsidR="00961AB7" w:rsidRPr="00961AB7" w:rsidRDefault="00961AB7" w:rsidP="00961AB7">
      <w:pPr>
        <w:spacing w:before="120"/>
        <w:jc w:val="both"/>
        <w:rPr>
          <w:rFonts w:ascii="Arial" w:hAnsi="Arial" w:cs="Arial"/>
          <w:bCs/>
          <w:color w:val="000000"/>
          <w:sz w:val="18"/>
          <w:szCs w:val="18"/>
        </w:rPr>
      </w:pPr>
      <w:r w:rsidRPr="00961AB7">
        <w:rPr>
          <w:rFonts w:ascii="Arial" w:hAnsi="Arial" w:cs="Arial"/>
          <w:b/>
          <w:bCs/>
          <w:color w:val="000000"/>
          <w:sz w:val="18"/>
          <w:szCs w:val="18"/>
        </w:rPr>
        <w:t>Vězněné osoby</w:t>
      </w:r>
      <w:r w:rsidRPr="00961AB7">
        <w:rPr>
          <w:rFonts w:ascii="Arial" w:hAnsi="Arial" w:cs="Arial"/>
          <w:bCs/>
          <w:color w:val="000000"/>
          <w:sz w:val="18"/>
          <w:szCs w:val="18"/>
        </w:rPr>
        <w:t xml:space="preserve"> jsou celkovým počtem osob umístěných ve věznicích v ČR, jde o součet obviněných osob (ve výkonu vazby), odsouzených osob (ve výkonu trestu odnětí svobody) a chovanců v detenčních ústavech.</w:t>
      </w:r>
    </w:p>
    <w:p w14:paraId="5894A031" w14:textId="77777777" w:rsidR="00961AB7" w:rsidRPr="00961AB7" w:rsidRDefault="00961AB7" w:rsidP="00961AB7">
      <w:pPr>
        <w:spacing w:before="120"/>
        <w:jc w:val="both"/>
        <w:rPr>
          <w:rFonts w:ascii="Arial" w:hAnsi="Arial" w:cs="Arial"/>
          <w:sz w:val="18"/>
          <w:szCs w:val="18"/>
        </w:rPr>
      </w:pPr>
      <w:r w:rsidRPr="00961AB7">
        <w:rPr>
          <w:rFonts w:ascii="Arial" w:hAnsi="Arial" w:cs="Arial"/>
          <w:b/>
          <w:sz w:val="18"/>
          <w:szCs w:val="18"/>
        </w:rPr>
        <w:t>Vazba</w:t>
      </w:r>
      <w:r w:rsidRPr="00961AB7">
        <w:rPr>
          <w:rFonts w:ascii="Arial" w:hAnsi="Arial" w:cs="Arial"/>
          <w:sz w:val="18"/>
          <w:szCs w:val="18"/>
        </w:rPr>
        <w:t xml:space="preserve"> je jedním ze zajišťovacích institutů, jímž se obviněný na základě rozhodnutí soudu zajišťuje pro trestní řízení a výkon trestu. Jedná se o institut dočasného zbavení osobní svobody, kterým je obviněnému zabráněno vyhýbat se trestnímu stíhání, pokračovat v trestné činnosti nebo mařit objasňování skutečností důležitých pro trestní stíhání. Vazba se vykonává ve vazebních věznicích nebo ve zvláštních odděleních věznic.</w:t>
      </w:r>
    </w:p>
    <w:p w14:paraId="58D26904" w14:textId="77777777" w:rsidR="00961AB7" w:rsidRPr="00961AB7" w:rsidRDefault="00961AB7" w:rsidP="00961AB7">
      <w:pPr>
        <w:spacing w:before="120"/>
        <w:jc w:val="both"/>
        <w:rPr>
          <w:rFonts w:ascii="Arial" w:hAnsi="Arial" w:cs="Arial"/>
          <w:sz w:val="18"/>
          <w:szCs w:val="18"/>
        </w:rPr>
      </w:pPr>
      <w:r w:rsidRPr="00961AB7">
        <w:rPr>
          <w:rFonts w:ascii="Arial" w:hAnsi="Arial" w:cs="Arial"/>
          <w:b/>
          <w:sz w:val="18"/>
          <w:szCs w:val="18"/>
        </w:rPr>
        <w:t>Zabezpečovací detence</w:t>
      </w:r>
      <w:r w:rsidRPr="00961AB7">
        <w:rPr>
          <w:rFonts w:ascii="Arial" w:hAnsi="Arial" w:cs="Arial"/>
          <w:sz w:val="18"/>
          <w:szCs w:val="18"/>
        </w:rPr>
        <w:t xml:space="preserve"> je prostředkem ochrany společnosti spočívající v izolaci zvlášť nebezpečných pachatelů zločinů a činů jinak trestných, a to za současného terapeutického a výchovného působení na tyto osoby.</w:t>
      </w:r>
    </w:p>
    <w:p w14:paraId="1B13A9E7" w14:textId="77777777" w:rsidR="00961AB7" w:rsidRPr="00961AB7" w:rsidRDefault="00961AB7" w:rsidP="00961AB7">
      <w:pPr>
        <w:spacing w:before="120"/>
        <w:jc w:val="both"/>
        <w:rPr>
          <w:rFonts w:ascii="Arial" w:hAnsi="Arial" w:cs="Arial"/>
          <w:sz w:val="18"/>
          <w:szCs w:val="18"/>
        </w:rPr>
      </w:pPr>
      <w:r w:rsidRPr="00961AB7">
        <w:rPr>
          <w:rFonts w:ascii="Arial" w:hAnsi="Arial" w:cs="Arial"/>
          <w:b/>
          <w:sz w:val="18"/>
          <w:szCs w:val="18"/>
        </w:rPr>
        <w:t>Výkon trestu odnětí svobody</w:t>
      </w:r>
      <w:r w:rsidRPr="00961AB7">
        <w:rPr>
          <w:rFonts w:ascii="Arial" w:hAnsi="Arial" w:cs="Arial"/>
          <w:sz w:val="18"/>
          <w:szCs w:val="18"/>
        </w:rPr>
        <w:t xml:space="preserve"> je, na rozdíl od vazby, trestněprávní sankcí, jejímž cílem je potrestat odsouzeného a zabránit mu v dalším páchání trestné činnosti a soustavně jej vychovávat k tomu, aby vedl řádný život.</w:t>
      </w:r>
    </w:p>
    <w:p w14:paraId="5C69C886" w14:textId="77777777" w:rsidR="00961AB7" w:rsidRPr="00961AB7" w:rsidRDefault="00961AB7" w:rsidP="00961AB7">
      <w:pPr>
        <w:rPr>
          <w:rFonts w:ascii="Arial" w:hAnsi="Arial" w:cs="Arial"/>
          <w:sz w:val="18"/>
          <w:szCs w:val="18"/>
        </w:rPr>
      </w:pPr>
    </w:p>
    <w:p w14:paraId="613EB311" w14:textId="77777777" w:rsidR="00961AB7" w:rsidRPr="00961AB7" w:rsidRDefault="00961AB7" w:rsidP="00961AB7">
      <w:pPr>
        <w:rPr>
          <w:rFonts w:ascii="Arial" w:hAnsi="Arial" w:cs="Arial"/>
          <w:sz w:val="18"/>
          <w:szCs w:val="18"/>
        </w:rPr>
      </w:pPr>
    </w:p>
    <w:p w14:paraId="3D686CB7" w14:textId="1C540EB1" w:rsidR="00961AB7" w:rsidRPr="00961AB7" w:rsidRDefault="00961AB7" w:rsidP="00961AB7">
      <w:pPr>
        <w:keepNext/>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22 Odsouzení, kteří nastoupili do výkonu trestu odnětí svobody</w:t>
      </w:r>
    </w:p>
    <w:p w14:paraId="6A1F84A4" w14:textId="77777777" w:rsidR="00961AB7" w:rsidRPr="00961AB7" w:rsidRDefault="00961AB7" w:rsidP="00961AB7">
      <w:pPr>
        <w:keepNext/>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sz w:val="18"/>
          <w:szCs w:val="18"/>
        </w:rPr>
        <w:t>Nástup do výkonu trestu odnětí svobody zahrnuje nástup z občanského života, dodání policií, návrat po útěku, návrat po přerušení výkonu trestu odnětí svobody dle § 325 odst. 1 trestního řádu nebo převzetí z ciziny.</w:t>
      </w:r>
    </w:p>
    <w:p w14:paraId="56307173" w14:textId="7CADF2D1" w:rsidR="00961AB7" w:rsidRDefault="00961AB7" w:rsidP="00961AB7">
      <w:pPr>
        <w:jc w:val="both"/>
        <w:rPr>
          <w:rFonts w:ascii="Arial" w:hAnsi="Arial" w:cs="Arial"/>
          <w:sz w:val="18"/>
          <w:szCs w:val="18"/>
        </w:rPr>
      </w:pPr>
    </w:p>
    <w:p w14:paraId="38493FE0" w14:textId="77777777" w:rsidR="00961AB7" w:rsidRPr="00961AB7" w:rsidRDefault="00961AB7" w:rsidP="00961AB7">
      <w:pPr>
        <w:jc w:val="both"/>
        <w:rPr>
          <w:rFonts w:ascii="Arial" w:hAnsi="Arial" w:cs="Arial"/>
          <w:sz w:val="18"/>
          <w:szCs w:val="18"/>
        </w:rPr>
      </w:pPr>
    </w:p>
    <w:p w14:paraId="1B7D3BDF" w14:textId="09DEEF57" w:rsidR="00961AB7" w:rsidRPr="00961AB7" w:rsidRDefault="00961AB7" w:rsidP="00961AB7">
      <w:pPr>
        <w:jc w:val="both"/>
        <w:rPr>
          <w:rFonts w:ascii="Arial" w:hAnsi="Arial" w:cs="Arial"/>
          <w:sz w:val="20"/>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23 Osoby ve výkonu trestu odnětí svobody</w:t>
      </w:r>
    </w:p>
    <w:p w14:paraId="2E6E8D7D" w14:textId="77777777" w:rsidR="00961AB7" w:rsidRPr="00961AB7" w:rsidRDefault="00961AB7" w:rsidP="00961AB7">
      <w:pPr>
        <w:spacing w:before="120"/>
        <w:jc w:val="both"/>
        <w:rPr>
          <w:rFonts w:ascii="Arial" w:hAnsi="Arial" w:cs="Arial"/>
          <w:sz w:val="18"/>
          <w:szCs w:val="18"/>
        </w:rPr>
      </w:pPr>
      <w:r w:rsidRPr="00961AB7">
        <w:rPr>
          <w:rFonts w:ascii="Arial" w:hAnsi="Arial" w:cs="Arial"/>
          <w:b/>
          <w:sz w:val="18"/>
          <w:szCs w:val="18"/>
        </w:rPr>
        <w:t>Recidivista</w:t>
      </w:r>
      <w:r w:rsidRPr="00961AB7">
        <w:rPr>
          <w:rFonts w:ascii="Arial" w:hAnsi="Arial" w:cs="Arial"/>
          <w:sz w:val="18"/>
          <w:szCs w:val="18"/>
        </w:rPr>
        <w:t xml:space="preserve"> je ten, kdo již alespoň jednou vykonával trest odnětí svobody.</w:t>
      </w:r>
    </w:p>
    <w:p w14:paraId="6236C615" w14:textId="77777777" w:rsidR="00961AB7" w:rsidRPr="00961AB7" w:rsidRDefault="00961AB7" w:rsidP="00961AB7">
      <w:pPr>
        <w:jc w:val="both"/>
        <w:rPr>
          <w:rFonts w:ascii="Arial" w:hAnsi="Arial" w:cs="Arial"/>
          <w:sz w:val="18"/>
          <w:szCs w:val="18"/>
        </w:rPr>
      </w:pPr>
    </w:p>
    <w:p w14:paraId="6A59ED04" w14:textId="77777777" w:rsidR="00961AB7" w:rsidRPr="00961AB7" w:rsidRDefault="00961AB7" w:rsidP="00961AB7">
      <w:pPr>
        <w:jc w:val="both"/>
        <w:rPr>
          <w:rFonts w:ascii="Arial" w:hAnsi="Arial" w:cs="Arial"/>
          <w:sz w:val="18"/>
          <w:szCs w:val="18"/>
        </w:rPr>
      </w:pPr>
    </w:p>
    <w:p w14:paraId="16E6A70B" w14:textId="6AF1BE73"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18"/>
        </w:rPr>
      </w:pPr>
      <w:r w:rsidRPr="00961AB7">
        <w:rPr>
          <w:rFonts w:ascii="Arial" w:hAnsi="Arial" w:cs="Arial"/>
          <w:b/>
          <w:color w:val="0071BC"/>
          <w:sz w:val="20"/>
          <w:szCs w:val="18"/>
        </w:rPr>
        <w:t>Tab. 29</w:t>
      </w:r>
      <w:r w:rsidR="00116432">
        <w:rPr>
          <w:rFonts w:ascii="Arial" w:hAnsi="Arial" w:cs="Arial"/>
          <w:b/>
          <w:color w:val="0071BC"/>
          <w:sz w:val="20"/>
          <w:szCs w:val="18"/>
        </w:rPr>
        <w:t>.</w:t>
      </w:r>
      <w:r w:rsidRPr="00961AB7">
        <w:rPr>
          <w:rFonts w:ascii="Arial" w:hAnsi="Arial" w:cs="Arial"/>
          <w:b/>
          <w:color w:val="0071BC"/>
          <w:sz w:val="20"/>
          <w:szCs w:val="18"/>
        </w:rPr>
        <w:t>24 Osoby ve výkonu trestu odnětí svobody za vybrané trestné činy</w:t>
      </w:r>
    </w:p>
    <w:p w14:paraId="29A31CC0" w14:textId="2CA66475" w:rsidR="00961AB7" w:rsidRPr="00961AB7" w:rsidRDefault="00961AB7" w:rsidP="00961AB7">
      <w:pPr>
        <w:spacing w:before="120"/>
        <w:jc w:val="both"/>
        <w:rPr>
          <w:rFonts w:ascii="Arial" w:hAnsi="Arial" w:cs="Arial"/>
          <w:sz w:val="18"/>
          <w:szCs w:val="18"/>
        </w:rPr>
      </w:pPr>
      <w:r w:rsidRPr="00961AB7">
        <w:rPr>
          <w:rFonts w:ascii="Arial" w:hAnsi="Arial" w:cs="Arial"/>
          <w:b/>
          <w:sz w:val="18"/>
          <w:szCs w:val="18"/>
        </w:rPr>
        <w:t xml:space="preserve">Vykazované počty </w:t>
      </w:r>
      <w:r w:rsidRPr="00961AB7">
        <w:rPr>
          <w:rFonts w:ascii="Arial" w:hAnsi="Arial" w:cs="Arial"/>
          <w:sz w:val="18"/>
          <w:szCs w:val="18"/>
        </w:rPr>
        <w:t>jsou četnostmi vybraných trestných činů (samostatně i v souběhu s jiným trestným činem) v aktuálně vykonávaných (k 31. 12. daného roku) trestech odnětí svobody</w:t>
      </w:r>
      <w:r w:rsidR="00EA1B21">
        <w:rPr>
          <w:rFonts w:ascii="Arial" w:hAnsi="Arial" w:cs="Arial"/>
          <w:sz w:val="18"/>
          <w:szCs w:val="18"/>
        </w:rPr>
        <w:t>. Tzn., že jedna osoba může být</w:t>
      </w:r>
      <w:r w:rsidRPr="00961AB7">
        <w:rPr>
          <w:rFonts w:ascii="Arial" w:hAnsi="Arial" w:cs="Arial"/>
          <w:sz w:val="18"/>
          <w:szCs w:val="18"/>
        </w:rPr>
        <w:t xml:space="preserve"> odsouzena k trestu odnětí svobody za více trestných činů souběžně, bude proto započítána do každé kategorie zvlášť. Proto součet za jednotlivé trestné činy bude vždy vyšší než za </w:t>
      </w:r>
      <w:r w:rsidR="00D90DAC" w:rsidRPr="00C45850">
        <w:rPr>
          <w:rFonts w:ascii="Arial" w:hAnsi="Arial" w:cs="Arial"/>
          <w:sz w:val="18"/>
          <w:szCs w:val="18"/>
        </w:rPr>
        <w:t>počet osob ve výkonu trestu odnětí svobody celkem</w:t>
      </w:r>
      <w:r w:rsidRPr="00961AB7">
        <w:rPr>
          <w:rFonts w:ascii="Arial" w:hAnsi="Arial" w:cs="Arial"/>
          <w:sz w:val="18"/>
          <w:szCs w:val="18"/>
        </w:rPr>
        <w:t>. Jednotlivé řádky proto nelze sčítat!</w:t>
      </w:r>
    </w:p>
    <w:p w14:paraId="7192BDB9" w14:textId="50D13D29" w:rsidR="00961AB7" w:rsidRPr="00961AB7" w:rsidRDefault="00D90DAC" w:rsidP="00961AB7">
      <w:pPr>
        <w:spacing w:before="120"/>
        <w:jc w:val="both"/>
        <w:rPr>
          <w:rFonts w:ascii="Arial" w:hAnsi="Arial" w:cs="Arial"/>
          <w:color w:val="000000"/>
          <w:sz w:val="18"/>
          <w:szCs w:val="18"/>
        </w:rPr>
      </w:pPr>
      <w:r w:rsidRPr="00C45850">
        <w:rPr>
          <w:rFonts w:ascii="Arial" w:hAnsi="Arial" w:cs="Arial"/>
          <w:color w:val="000000"/>
          <w:sz w:val="18"/>
          <w:szCs w:val="18"/>
        </w:rPr>
        <w:t>Vybrané trestné činy jsou uvedeny</w:t>
      </w:r>
      <w:r w:rsidRPr="00D90DAC">
        <w:rPr>
          <w:rFonts w:ascii="Arial" w:hAnsi="Arial" w:cs="Arial"/>
          <w:color w:val="000000"/>
          <w:sz w:val="18"/>
          <w:szCs w:val="18"/>
        </w:rPr>
        <w:t xml:space="preserve"> </w:t>
      </w:r>
      <w:r w:rsidR="00961AB7" w:rsidRPr="00D90DAC">
        <w:rPr>
          <w:rFonts w:ascii="Arial" w:hAnsi="Arial" w:cs="Arial"/>
          <w:color w:val="000000"/>
          <w:sz w:val="18"/>
          <w:szCs w:val="18"/>
        </w:rPr>
        <w:t>podle trestního zákoníku.</w:t>
      </w:r>
    </w:p>
    <w:p w14:paraId="25856974"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sz w:val="18"/>
          <w:szCs w:val="18"/>
        </w:rPr>
      </w:pPr>
    </w:p>
    <w:p w14:paraId="0A2B5BBD"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sz w:val="18"/>
          <w:szCs w:val="18"/>
        </w:rPr>
      </w:pPr>
    </w:p>
    <w:p w14:paraId="3C6B17E9" w14:textId="20835FDE"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20"/>
        </w:rPr>
      </w:pPr>
      <w:r w:rsidRPr="00961AB7">
        <w:rPr>
          <w:rFonts w:ascii="Arial" w:hAnsi="Arial" w:cs="Arial"/>
          <w:b/>
          <w:color w:val="0071BC"/>
          <w:sz w:val="20"/>
          <w:szCs w:val="20"/>
        </w:rPr>
        <w:t>Tab. 29</w:t>
      </w:r>
      <w:r w:rsidR="00116432">
        <w:rPr>
          <w:rFonts w:ascii="Arial" w:hAnsi="Arial" w:cs="Arial"/>
          <w:b/>
          <w:color w:val="0071BC"/>
          <w:sz w:val="20"/>
          <w:szCs w:val="20"/>
        </w:rPr>
        <w:t>.</w:t>
      </w:r>
      <w:r w:rsidRPr="00961AB7">
        <w:rPr>
          <w:rFonts w:ascii="Arial" w:hAnsi="Arial" w:cs="Arial"/>
          <w:b/>
          <w:color w:val="0071BC"/>
          <w:sz w:val="20"/>
          <w:szCs w:val="20"/>
        </w:rPr>
        <w:t>25 Policisté, soudci a vězeňská stráž</w:t>
      </w:r>
    </w:p>
    <w:p w14:paraId="73810C99"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sz w:val="18"/>
          <w:szCs w:val="18"/>
        </w:rPr>
        <w:t>Policisté</w:t>
      </w:r>
      <w:r w:rsidRPr="00961AB7">
        <w:rPr>
          <w:rFonts w:ascii="Arial" w:hAnsi="Arial" w:cs="Arial"/>
          <w:sz w:val="18"/>
          <w:szCs w:val="18"/>
        </w:rPr>
        <w:t xml:space="preserve"> – jsou zahrnuti pouze příslušníci Policie ČR (státní policie).</w:t>
      </w:r>
    </w:p>
    <w:p w14:paraId="38CD4A4F"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sz w:val="18"/>
          <w:szCs w:val="18"/>
        </w:rPr>
        <w:t>Soudci</w:t>
      </w:r>
      <w:r w:rsidRPr="00961AB7">
        <w:rPr>
          <w:rFonts w:ascii="Arial" w:hAnsi="Arial" w:cs="Arial"/>
          <w:sz w:val="18"/>
          <w:szCs w:val="18"/>
        </w:rPr>
        <w:t xml:space="preserve"> – jsou zahrnuti pouze soudci na trestním úseku.</w:t>
      </w:r>
    </w:p>
    <w:p w14:paraId="36A894F0"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sz w:val="18"/>
          <w:szCs w:val="18"/>
        </w:rPr>
        <w:t>Vězeňská</w:t>
      </w:r>
      <w:r w:rsidRPr="00961AB7">
        <w:rPr>
          <w:rFonts w:ascii="Arial" w:hAnsi="Arial" w:cs="Arial"/>
          <w:sz w:val="18"/>
          <w:szCs w:val="18"/>
        </w:rPr>
        <w:t xml:space="preserve"> </w:t>
      </w:r>
      <w:r w:rsidRPr="00961AB7">
        <w:rPr>
          <w:rFonts w:ascii="Arial" w:hAnsi="Arial" w:cs="Arial"/>
          <w:b/>
          <w:sz w:val="18"/>
          <w:szCs w:val="18"/>
        </w:rPr>
        <w:t>stráž</w:t>
      </w:r>
      <w:r w:rsidRPr="00961AB7">
        <w:rPr>
          <w:rFonts w:ascii="Arial" w:hAnsi="Arial" w:cs="Arial"/>
          <w:sz w:val="18"/>
          <w:szCs w:val="18"/>
        </w:rPr>
        <w:t xml:space="preserve"> – jsou zahrnuti pouze příslušníci vězeňské služby, nejsou zahrnuti civilní zaměstnanci. </w:t>
      </w:r>
    </w:p>
    <w:p w14:paraId="7C6685AA"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sz w:val="18"/>
          <w:szCs w:val="18"/>
        </w:rPr>
      </w:pPr>
    </w:p>
    <w:p w14:paraId="0422B9BB"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sz w:val="18"/>
          <w:szCs w:val="18"/>
        </w:rPr>
      </w:pPr>
    </w:p>
    <w:p w14:paraId="433BEEDC" w14:textId="45016F21"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bCs/>
          <w:sz w:val="18"/>
          <w:szCs w:val="18"/>
        </w:rPr>
      </w:pPr>
      <w:r w:rsidRPr="00961AB7">
        <w:rPr>
          <w:rFonts w:ascii="Arial" w:hAnsi="Arial" w:cs="Arial"/>
          <w:b/>
          <w:color w:val="0071BC"/>
          <w:sz w:val="20"/>
          <w:szCs w:val="20"/>
        </w:rPr>
        <w:t>Tab. 29</w:t>
      </w:r>
      <w:r w:rsidR="00116432">
        <w:rPr>
          <w:rFonts w:ascii="Arial" w:hAnsi="Arial" w:cs="Arial"/>
          <w:b/>
          <w:color w:val="0071BC"/>
          <w:sz w:val="20"/>
          <w:szCs w:val="20"/>
        </w:rPr>
        <w:t>.</w:t>
      </w:r>
      <w:r w:rsidRPr="00961AB7">
        <w:rPr>
          <w:rFonts w:ascii="Arial" w:hAnsi="Arial" w:cs="Arial"/>
          <w:b/>
          <w:color w:val="0071BC"/>
          <w:sz w:val="20"/>
          <w:szCs w:val="20"/>
        </w:rPr>
        <w:t>26 až 29</w:t>
      </w:r>
      <w:r w:rsidR="00116432">
        <w:rPr>
          <w:rFonts w:ascii="Arial" w:hAnsi="Arial" w:cs="Arial"/>
          <w:b/>
          <w:color w:val="0071BC"/>
          <w:sz w:val="20"/>
          <w:szCs w:val="20"/>
        </w:rPr>
        <w:t>.</w:t>
      </w:r>
      <w:r w:rsidRPr="00961AB7">
        <w:rPr>
          <w:rFonts w:ascii="Arial" w:hAnsi="Arial" w:cs="Arial"/>
          <w:b/>
          <w:color w:val="0071BC"/>
          <w:sz w:val="20"/>
          <w:szCs w:val="20"/>
        </w:rPr>
        <w:t>29 Dopravní nehody</w:t>
      </w:r>
    </w:p>
    <w:p w14:paraId="6D47430A"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Nehody v železniční dopravě</w:t>
      </w:r>
      <w:r w:rsidRPr="00961AB7">
        <w:rPr>
          <w:rFonts w:ascii="Arial" w:hAnsi="Arial" w:cs="Arial"/>
          <w:sz w:val="18"/>
          <w:szCs w:val="18"/>
        </w:rPr>
        <w:t xml:space="preserve"> – uvedeny pouze vážné nehody, nejsou zahrnuty sebevraždy a pokusy o sebevraždu.</w:t>
      </w:r>
    </w:p>
    <w:p w14:paraId="61E3BDA8"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Nehody v silniční dopravě</w:t>
      </w:r>
      <w:r w:rsidRPr="00961AB7">
        <w:rPr>
          <w:rFonts w:ascii="Arial" w:hAnsi="Arial" w:cs="Arial"/>
          <w:sz w:val="18"/>
          <w:szCs w:val="18"/>
        </w:rPr>
        <w:t xml:space="preserve"> celkem – uvedeny všechny nehody v silničním provozu, které byly dopravní policii nahlášeny.</w:t>
      </w:r>
    </w:p>
    <w:p w14:paraId="78EFCCF0"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sz w:val="18"/>
          <w:szCs w:val="18"/>
        </w:rPr>
        <w:t>Účastník dopravní nehody je povinen nehodu nahlásit dopravní policii, dojde-li ke zranění nebo usmrcení, nebo ke škodě na majetku třetí osoby, nebo při škodě na některém z vozidel (včetně nákladu) převyšující částku 100 000 Kč.</w:t>
      </w:r>
    </w:p>
    <w:p w14:paraId="22961D82"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sz w:val="18"/>
          <w:szCs w:val="18"/>
        </w:rPr>
        <w:t>Údaje o</w:t>
      </w:r>
      <w:r w:rsidRPr="00961AB7">
        <w:rPr>
          <w:rFonts w:ascii="Arial" w:hAnsi="Arial" w:cs="Arial"/>
          <w:b/>
          <w:bCs/>
          <w:sz w:val="18"/>
          <w:szCs w:val="18"/>
        </w:rPr>
        <w:t xml:space="preserve"> nehodách v letecké dopravě</w:t>
      </w:r>
      <w:r w:rsidRPr="00961AB7">
        <w:rPr>
          <w:rFonts w:ascii="Arial" w:hAnsi="Arial" w:cs="Arial"/>
          <w:sz w:val="18"/>
          <w:szCs w:val="18"/>
        </w:rPr>
        <w:t xml:space="preserve"> jsou za všeobecné letectví.</w:t>
      </w:r>
    </w:p>
    <w:p w14:paraId="73F6C3B0"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Za usmrcenou osobu</w:t>
      </w:r>
      <w:r w:rsidRPr="00961AB7">
        <w:rPr>
          <w:rFonts w:ascii="Arial" w:hAnsi="Arial" w:cs="Arial"/>
          <w:bCs/>
          <w:sz w:val="18"/>
          <w:szCs w:val="18"/>
        </w:rPr>
        <w:t xml:space="preserve"> </w:t>
      </w:r>
      <w:r w:rsidRPr="00961AB7">
        <w:rPr>
          <w:rFonts w:ascii="Arial" w:hAnsi="Arial" w:cs="Arial"/>
          <w:sz w:val="18"/>
          <w:szCs w:val="18"/>
        </w:rPr>
        <w:t>se považuje osoba, která zemřela na místě nehody, při převozu do nemocnice nebo nejpozději do 30 dnů. (Tyto údaje jsou v souladu s doporučením Evropské hospodářské komise OSN a jsou vykazovány ve většině zemí EU.)</w:t>
      </w:r>
    </w:p>
    <w:p w14:paraId="4297524D" w14:textId="36095278" w:rsidR="00961AB7" w:rsidRPr="00961AB7" w:rsidRDefault="00961AB7" w:rsidP="00C45850">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bCs/>
          <w:iCs/>
          <w:sz w:val="18"/>
          <w:szCs w:val="18"/>
        </w:rPr>
      </w:pPr>
      <w:r w:rsidRPr="00961AB7">
        <w:rPr>
          <w:rFonts w:ascii="Arial" w:hAnsi="Arial" w:cs="Arial"/>
          <w:b/>
          <w:bCs/>
          <w:sz w:val="18"/>
          <w:szCs w:val="18"/>
        </w:rPr>
        <w:t>Těžké zranění, lehké zranění</w:t>
      </w:r>
      <w:r w:rsidRPr="00961AB7">
        <w:rPr>
          <w:rFonts w:ascii="Arial" w:hAnsi="Arial" w:cs="Arial"/>
          <w:bCs/>
          <w:sz w:val="18"/>
          <w:szCs w:val="18"/>
        </w:rPr>
        <w:t xml:space="preserve"> </w:t>
      </w:r>
      <w:r w:rsidRPr="00961AB7">
        <w:rPr>
          <w:rFonts w:ascii="Arial" w:hAnsi="Arial" w:cs="Arial"/>
          <w:sz w:val="18"/>
          <w:szCs w:val="18"/>
        </w:rPr>
        <w:t>– klasifikaci těžkého a lehkého zranění určuje lékař.</w:t>
      </w:r>
    </w:p>
    <w:p w14:paraId="423D2379" w14:textId="22F25B8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20"/>
        </w:rPr>
      </w:pPr>
      <w:r w:rsidRPr="00961AB7">
        <w:rPr>
          <w:rFonts w:ascii="Arial" w:hAnsi="Arial" w:cs="Arial"/>
          <w:b/>
          <w:color w:val="0071BC"/>
          <w:sz w:val="20"/>
          <w:szCs w:val="20"/>
        </w:rPr>
        <w:lastRenderedPageBreak/>
        <w:t>Tab. 29</w:t>
      </w:r>
      <w:r w:rsidR="00116432">
        <w:rPr>
          <w:rFonts w:ascii="Arial" w:hAnsi="Arial" w:cs="Arial"/>
          <w:b/>
          <w:color w:val="0071BC"/>
          <w:sz w:val="20"/>
          <w:szCs w:val="20"/>
        </w:rPr>
        <w:t>.</w:t>
      </w:r>
      <w:r w:rsidRPr="00961AB7">
        <w:rPr>
          <w:rFonts w:ascii="Arial" w:hAnsi="Arial" w:cs="Arial"/>
          <w:b/>
          <w:color w:val="0071BC"/>
          <w:sz w:val="20"/>
          <w:szCs w:val="20"/>
        </w:rPr>
        <w:t>30 Mimořádné události se zásahy jednotek požární ochrany (JPO)</w:t>
      </w:r>
    </w:p>
    <w:p w14:paraId="3E86A815"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Požár</w:t>
      </w:r>
      <w:r w:rsidRPr="00961AB7">
        <w:rPr>
          <w:rFonts w:ascii="Arial" w:hAnsi="Arial" w:cs="Arial"/>
          <w:sz w:val="18"/>
          <w:szCs w:val="18"/>
        </w:rPr>
        <w:t xml:space="preserve"> – každé nežádoucí hoření, při kterém došlo k usmrcení či zranění osob nebo zvířat anebo ke škodám na materiálních hodnotách nebo životním prostředí. Za požár se považuje i nežádoucí hoření, při kterém byly osoby, zvířata, materiální hodnoty nebo životní prostředí bezprostředně ohroženy.</w:t>
      </w:r>
    </w:p>
    <w:p w14:paraId="4EEB0046"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Dopravní nehoda</w:t>
      </w:r>
      <w:r w:rsidRPr="00961AB7">
        <w:rPr>
          <w:rFonts w:ascii="Arial" w:hAnsi="Arial" w:cs="Arial"/>
          <w:sz w:val="18"/>
          <w:szCs w:val="18"/>
        </w:rPr>
        <w:t xml:space="preserve"> – mimořádná událost související s provozem dopravního prostředku v pohybu, při níž došlo k usmrcení nebo zranění osoby nebo ke škodě na majetku. Za dopravní nehodu je třeba považovat i případ, kdy JPO odstraňovaly pouze drobné následky nehody (očištění komunikace nebo odstranění úniků látek – provozních náplní vozidel apod.), pokud to byl následek dopravní nehody. Dopravní nehody se zatřídí podle převažujícího charakteru nehody. Pokud by v činnosti JPO převládaly jiné práce, např. z důvodu úniku nebezpečné látky do životního prostředí, klasifikuje se tento zásah podle převažujícího charakteru. Dopravní nehoda s následným požárem patří vždy do kategorie požár.</w:t>
      </w:r>
    </w:p>
    <w:p w14:paraId="287664AF"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Únik nebezpečné chemické látky</w:t>
      </w:r>
      <w:r w:rsidRPr="00961AB7">
        <w:rPr>
          <w:rFonts w:ascii="Arial" w:hAnsi="Arial" w:cs="Arial"/>
          <w:sz w:val="18"/>
          <w:szCs w:val="18"/>
        </w:rPr>
        <w:t xml:space="preserve"> – zásah u události spojený s nežádoucím uvolněním nebezpečných chemických látek včetně ropných produktů (během výroby, dopravy nebo manipulace) a ostatních látek (nebezpečné látky jsou definovány zákonem). Únik se klasifikuje podle skupenství. Zásah k omezení nebo snížení rizika nekontrolovaného úniku hořlavých, výbušných, žíravých, jedovatých, zdraví škodlivých, radioaktivních a jiných nebezpečných látek, ropných produktů případně ostatních látek do životního prostředí (zemní plyn, kyseliny a jejich soli, louhy, čpavek apod.) včetně závažných havárií dle </w:t>
      </w:r>
      <w:r w:rsidRPr="00961AB7">
        <w:rPr>
          <w:rFonts w:ascii="Arial" w:hAnsi="Arial" w:cs="Arial"/>
          <w:sz w:val="18"/>
          <w:szCs w:val="18"/>
        </w:rPr>
        <w:br/>
        <w:t>§ 2 písm. g zákona o prevenci závažných havárií.</w:t>
      </w:r>
    </w:p>
    <w:p w14:paraId="61014C96" w14:textId="77777777" w:rsidR="00961AB7" w:rsidRPr="00961AB7" w:rsidRDefault="00961AB7" w:rsidP="00961AB7">
      <w:pPr>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autoSpaceDE w:val="0"/>
        <w:autoSpaceDN w:val="0"/>
        <w:adjustRightInd w:val="0"/>
        <w:spacing w:before="120"/>
        <w:jc w:val="both"/>
        <w:rPr>
          <w:rFonts w:ascii="Arial" w:hAnsi="Arial" w:cs="Arial"/>
          <w:sz w:val="18"/>
          <w:szCs w:val="18"/>
        </w:rPr>
      </w:pPr>
      <w:r w:rsidRPr="00961AB7">
        <w:rPr>
          <w:rFonts w:ascii="Arial" w:hAnsi="Arial" w:cs="Arial"/>
          <w:b/>
          <w:bCs/>
          <w:sz w:val="18"/>
          <w:szCs w:val="18"/>
        </w:rPr>
        <w:t>Únik ropného produktu</w:t>
      </w:r>
      <w:r w:rsidRPr="00961AB7">
        <w:rPr>
          <w:rFonts w:ascii="Arial" w:hAnsi="Arial" w:cs="Arial"/>
          <w:sz w:val="18"/>
          <w:szCs w:val="18"/>
        </w:rPr>
        <w:t xml:space="preserve"> </w:t>
      </w:r>
      <w:r w:rsidRPr="00961AB7">
        <w:rPr>
          <w:rFonts w:ascii="Arial" w:hAnsi="Arial" w:cs="Arial"/>
          <w:b/>
          <w:sz w:val="18"/>
          <w:szCs w:val="18"/>
        </w:rPr>
        <w:t>(olejová havárie)</w:t>
      </w:r>
      <w:r w:rsidRPr="00961AB7">
        <w:rPr>
          <w:rFonts w:ascii="Arial" w:hAnsi="Arial" w:cs="Arial"/>
          <w:sz w:val="18"/>
          <w:szCs w:val="18"/>
        </w:rPr>
        <w:t xml:space="preserve"> – zásah převážně k zabránění úniku a omezení jeho rozsahu výhradně ropných produktů. Jde výhradně o únik ropných produktů (benzinů, nafty nebo oleje). Úniky těchto látek z provozních náplní vozidel následkem dopravní nehody jsou klasifikovány jako dopravní nehoda.</w:t>
      </w:r>
    </w:p>
    <w:p w14:paraId="09E40D7B" w14:textId="77777777" w:rsidR="00961AB7" w:rsidRPr="00961AB7" w:rsidRDefault="00961AB7" w:rsidP="00961AB7">
      <w:pPr>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autoSpaceDE w:val="0"/>
        <w:autoSpaceDN w:val="0"/>
        <w:adjustRightInd w:val="0"/>
        <w:spacing w:before="120"/>
        <w:jc w:val="both"/>
        <w:rPr>
          <w:rFonts w:ascii="Arial" w:hAnsi="Arial" w:cs="Arial"/>
          <w:color w:val="000000"/>
          <w:sz w:val="18"/>
          <w:szCs w:val="18"/>
        </w:rPr>
      </w:pPr>
      <w:r w:rsidRPr="00961AB7">
        <w:rPr>
          <w:rFonts w:ascii="Arial" w:hAnsi="Arial" w:cs="Arial"/>
          <w:b/>
          <w:bCs/>
          <w:color w:val="000000"/>
          <w:sz w:val="18"/>
          <w:szCs w:val="18"/>
        </w:rPr>
        <w:t>Technické havárie celkem</w:t>
      </w:r>
      <w:r w:rsidRPr="00961AB7">
        <w:rPr>
          <w:rFonts w:ascii="Arial" w:hAnsi="Arial" w:cs="Arial"/>
          <w:bCs/>
          <w:color w:val="000000"/>
          <w:sz w:val="18"/>
          <w:szCs w:val="18"/>
        </w:rPr>
        <w:t xml:space="preserve"> – zásah u </w:t>
      </w:r>
      <w:r w:rsidRPr="00961AB7">
        <w:rPr>
          <w:rFonts w:ascii="Arial" w:hAnsi="Arial" w:cs="Arial"/>
          <w:color w:val="000000"/>
          <w:sz w:val="18"/>
          <w:szCs w:val="18"/>
        </w:rPr>
        <w:t>mimořádné události vedoucí k odstranění nebezpečí nebo nebezpečných stavů.</w:t>
      </w:r>
    </w:p>
    <w:p w14:paraId="0CE5EC3F" w14:textId="77777777" w:rsidR="00961AB7" w:rsidRPr="00961AB7" w:rsidRDefault="00961AB7" w:rsidP="00961AB7">
      <w:pPr>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autoSpaceDE w:val="0"/>
        <w:autoSpaceDN w:val="0"/>
        <w:adjustRightInd w:val="0"/>
        <w:spacing w:before="120"/>
        <w:jc w:val="both"/>
        <w:rPr>
          <w:rFonts w:ascii="Arial" w:hAnsi="Arial" w:cs="Arial"/>
          <w:sz w:val="18"/>
          <w:szCs w:val="18"/>
        </w:rPr>
      </w:pPr>
      <w:r w:rsidRPr="00961AB7">
        <w:rPr>
          <w:rFonts w:ascii="Arial" w:hAnsi="Arial" w:cs="Arial"/>
          <w:b/>
          <w:color w:val="000000"/>
          <w:sz w:val="18"/>
          <w:szCs w:val="18"/>
        </w:rPr>
        <w:t>Technická havárie</w:t>
      </w:r>
      <w:r w:rsidRPr="00961AB7">
        <w:rPr>
          <w:rFonts w:ascii="Arial" w:hAnsi="Arial" w:cs="Arial"/>
          <w:color w:val="000000"/>
          <w:sz w:val="18"/>
          <w:szCs w:val="18"/>
        </w:rPr>
        <w:t xml:space="preserve"> – </w:t>
      </w:r>
      <w:r w:rsidRPr="00961AB7">
        <w:rPr>
          <w:rFonts w:ascii="Arial" w:hAnsi="Arial" w:cs="Arial"/>
          <w:sz w:val="18"/>
          <w:szCs w:val="18"/>
        </w:rPr>
        <w:t>odstranění nebezpečí nebo nebezpečných stavů velkého rozsahu či značných následků na zdraví osob, zvířat či majetku (např. destrukce objektu).</w:t>
      </w:r>
    </w:p>
    <w:p w14:paraId="6BA4E814" w14:textId="77777777" w:rsidR="00961AB7" w:rsidRPr="00961AB7" w:rsidRDefault="00961AB7" w:rsidP="00961AB7">
      <w:pPr>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autoSpaceDE w:val="0"/>
        <w:autoSpaceDN w:val="0"/>
        <w:adjustRightInd w:val="0"/>
        <w:spacing w:before="120"/>
        <w:jc w:val="both"/>
        <w:rPr>
          <w:rFonts w:ascii="Arial" w:hAnsi="Arial" w:cs="Arial"/>
          <w:sz w:val="18"/>
          <w:szCs w:val="18"/>
        </w:rPr>
      </w:pPr>
      <w:r w:rsidRPr="00961AB7">
        <w:rPr>
          <w:rFonts w:ascii="Arial" w:hAnsi="Arial" w:cs="Arial"/>
          <w:b/>
          <w:sz w:val="18"/>
          <w:szCs w:val="18"/>
        </w:rPr>
        <w:t>Technická pomoc</w:t>
      </w:r>
      <w:r w:rsidRPr="00961AB7">
        <w:rPr>
          <w:rFonts w:ascii="Arial" w:hAnsi="Arial" w:cs="Arial"/>
          <w:sz w:val="18"/>
          <w:szCs w:val="18"/>
        </w:rPr>
        <w:t xml:space="preserve"> – odstranění nebezpečí nebo nebezpečných stavů mimo technologický provoz závodů (mimo dopravních nehod). Jedná se o pomoc technikou JPO bez návaznosti na jakýkoliv technologický </w:t>
      </w:r>
      <w:proofErr w:type="gramStart"/>
      <w:r w:rsidRPr="00961AB7">
        <w:rPr>
          <w:rFonts w:ascii="Arial" w:hAnsi="Arial" w:cs="Arial"/>
          <w:sz w:val="18"/>
          <w:szCs w:val="18"/>
        </w:rPr>
        <w:t>provoz</w:t>
      </w:r>
      <w:proofErr w:type="gramEnd"/>
      <w:r w:rsidRPr="00961AB7">
        <w:rPr>
          <w:rFonts w:ascii="Arial" w:hAnsi="Arial" w:cs="Arial"/>
          <w:sz w:val="18"/>
          <w:szCs w:val="18"/>
        </w:rPr>
        <w:t xml:space="preserve"> resp. výrobu (např. vyproštění osob či předmětů, nouzové otevření, otevírání uzamčených prostorů, záchrana osob a zvířat; čerpání, uzavírání a navážení vody, provizorní nebo jiné opravy apod.).</w:t>
      </w:r>
    </w:p>
    <w:p w14:paraId="30683423"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autoSpaceDE w:val="0"/>
        <w:autoSpaceDN w:val="0"/>
        <w:adjustRightInd w:val="0"/>
        <w:spacing w:before="120"/>
        <w:jc w:val="both"/>
        <w:rPr>
          <w:rFonts w:ascii="Arial" w:hAnsi="Arial" w:cs="Arial"/>
          <w:sz w:val="18"/>
          <w:szCs w:val="18"/>
        </w:rPr>
      </w:pPr>
      <w:r w:rsidRPr="00961AB7">
        <w:rPr>
          <w:rFonts w:ascii="Arial" w:hAnsi="Arial" w:cs="Arial"/>
          <w:b/>
          <w:sz w:val="18"/>
          <w:szCs w:val="18"/>
        </w:rPr>
        <w:t>Technologická pomoc</w:t>
      </w:r>
      <w:r w:rsidRPr="00961AB7">
        <w:rPr>
          <w:rFonts w:ascii="Arial" w:hAnsi="Arial" w:cs="Arial"/>
          <w:sz w:val="18"/>
          <w:szCs w:val="18"/>
        </w:rPr>
        <w:t xml:space="preserve"> – odstranění nebezpečí nebo nebezpečných stavů zejména v technologii či provozu. Jedná se o pomoc technikou JPO (např. nouzová dodávka vzduchu, vody, elektřiny; požární asistence, následné dohašování ohnisek požáru lesa apod.).</w:t>
      </w:r>
    </w:p>
    <w:p w14:paraId="28A4F9B5" w14:textId="77777777" w:rsidR="00961AB7" w:rsidRPr="00961AB7" w:rsidRDefault="00961AB7" w:rsidP="00961AB7">
      <w:pPr>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autoSpaceDE w:val="0"/>
        <w:autoSpaceDN w:val="0"/>
        <w:adjustRightInd w:val="0"/>
        <w:spacing w:before="120"/>
        <w:jc w:val="both"/>
        <w:rPr>
          <w:rFonts w:ascii="Arial" w:hAnsi="Arial" w:cs="Arial"/>
          <w:sz w:val="18"/>
          <w:szCs w:val="18"/>
        </w:rPr>
      </w:pPr>
      <w:r w:rsidRPr="00961AB7">
        <w:rPr>
          <w:rFonts w:ascii="Arial" w:hAnsi="Arial" w:cs="Arial"/>
          <w:b/>
          <w:sz w:val="18"/>
          <w:szCs w:val="18"/>
        </w:rPr>
        <w:t>Ostatní pomoc</w:t>
      </w:r>
      <w:r w:rsidRPr="00961AB7">
        <w:rPr>
          <w:rFonts w:ascii="Arial" w:hAnsi="Arial" w:cs="Arial"/>
          <w:sz w:val="18"/>
          <w:szCs w:val="18"/>
        </w:rPr>
        <w:t xml:space="preserve"> – nelze klasifikovat předchozími druhy technické havárie. Jedná se např. o snášení, odvoz nebo převoz pacienta, pátrání po pohřešovaných osobách, monitoring (např. vodních toků, používaných norných stěn), kontrola průjezdnosti komunikací apod., pomoci na vyžádání jiného subjektu (přímo i nepřímo poskytnutá pomoc).</w:t>
      </w:r>
    </w:p>
    <w:p w14:paraId="5C0C6A2C"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color w:val="000000"/>
          <w:sz w:val="18"/>
          <w:szCs w:val="18"/>
        </w:rPr>
      </w:pPr>
      <w:r w:rsidRPr="00961AB7">
        <w:rPr>
          <w:rFonts w:ascii="Arial" w:hAnsi="Arial" w:cs="Arial"/>
          <w:b/>
          <w:bCs/>
          <w:color w:val="000000"/>
          <w:sz w:val="18"/>
          <w:szCs w:val="18"/>
        </w:rPr>
        <w:t>Radiační nehoda</w:t>
      </w:r>
      <w:r w:rsidRPr="00961AB7">
        <w:rPr>
          <w:rFonts w:ascii="Arial" w:hAnsi="Arial" w:cs="Arial"/>
          <w:color w:val="000000"/>
          <w:sz w:val="18"/>
          <w:szCs w:val="18"/>
        </w:rPr>
        <w:t xml:space="preserve"> –</w:t>
      </w:r>
      <w:r w:rsidRPr="00961AB7">
        <w:rPr>
          <w:rFonts w:ascii="Arial" w:hAnsi="Arial" w:cs="Arial"/>
          <w:sz w:val="18"/>
          <w:szCs w:val="18"/>
        </w:rPr>
        <w:t xml:space="preserve"> zásah u mimořádné události spojený s nepřípustným uvolněním radioaktivních látek nebo ionizujícího záření.</w:t>
      </w:r>
    </w:p>
    <w:p w14:paraId="6351F685"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color w:val="000000"/>
          <w:sz w:val="18"/>
          <w:szCs w:val="18"/>
        </w:rPr>
      </w:pPr>
      <w:r w:rsidRPr="00961AB7">
        <w:rPr>
          <w:rFonts w:ascii="Arial" w:hAnsi="Arial" w:cs="Arial"/>
          <w:b/>
          <w:bCs/>
          <w:color w:val="000000"/>
          <w:sz w:val="18"/>
          <w:szCs w:val="18"/>
        </w:rPr>
        <w:t>Ostatní mimořádné události</w:t>
      </w:r>
      <w:r w:rsidRPr="00961AB7">
        <w:rPr>
          <w:rFonts w:ascii="Arial" w:hAnsi="Arial" w:cs="Arial"/>
          <w:color w:val="000000"/>
          <w:sz w:val="18"/>
          <w:szCs w:val="18"/>
        </w:rPr>
        <w:t xml:space="preserve"> – zásah u jiné mimořádné události např. epidemie nebo nákazy způsobené nebezpečnou nemocí, zajištění podezřelých zásilek a dále pak všechny zásahy u událostí, které nelze klasifikovat předchozími kategoriemi.</w:t>
      </w:r>
    </w:p>
    <w:p w14:paraId="5A6B32AB"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sz w:val="18"/>
          <w:szCs w:val="18"/>
        </w:rPr>
      </w:pPr>
    </w:p>
    <w:p w14:paraId="5D83A89B"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sz w:val="18"/>
          <w:szCs w:val="18"/>
        </w:rPr>
      </w:pPr>
    </w:p>
    <w:p w14:paraId="1EE81E06" w14:textId="1C034791"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20"/>
        </w:rPr>
      </w:pPr>
      <w:r w:rsidRPr="00961AB7">
        <w:rPr>
          <w:rFonts w:ascii="Arial" w:hAnsi="Arial" w:cs="Arial"/>
          <w:b/>
          <w:color w:val="0071BC"/>
          <w:sz w:val="20"/>
          <w:szCs w:val="20"/>
        </w:rPr>
        <w:t>Tab. 29</w:t>
      </w:r>
      <w:r w:rsidR="00116432">
        <w:rPr>
          <w:rFonts w:ascii="Arial" w:hAnsi="Arial" w:cs="Arial"/>
          <w:b/>
          <w:color w:val="0071BC"/>
          <w:sz w:val="20"/>
          <w:szCs w:val="20"/>
        </w:rPr>
        <w:t>.</w:t>
      </w:r>
      <w:r w:rsidRPr="00961AB7">
        <w:rPr>
          <w:rFonts w:ascii="Arial" w:hAnsi="Arial" w:cs="Arial"/>
          <w:b/>
          <w:color w:val="0071BC"/>
          <w:sz w:val="20"/>
          <w:szCs w:val="20"/>
        </w:rPr>
        <w:t>31 Zásahy jednotek požární ochrany (JPO) při živelních pohromách</w:t>
      </w:r>
    </w:p>
    <w:p w14:paraId="49D48C3E"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b/>
          <w:sz w:val="18"/>
          <w:szCs w:val="18"/>
        </w:rPr>
        <w:t xml:space="preserve">Živelní pohroma </w:t>
      </w:r>
      <w:r w:rsidRPr="00961AB7">
        <w:rPr>
          <w:rFonts w:ascii="Arial" w:hAnsi="Arial" w:cs="Arial"/>
          <w:sz w:val="18"/>
          <w:szCs w:val="18"/>
        </w:rPr>
        <w:t xml:space="preserve">– mimořádná událost, k níž došlo následkem škodlivě působících sil a jevů vyvolaných plošně či lokálně přírodními vlivy, které ohrožují životy, zdraví, majetek nebo životní prostředí jako například povodně, záplavy, deště, vliv sněhu a námrazy, větrné smrště, sesuvy půdy a zemětřesení. </w:t>
      </w:r>
    </w:p>
    <w:p w14:paraId="7A150BF9"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sz w:val="18"/>
          <w:szCs w:val="18"/>
        </w:rPr>
      </w:pPr>
      <w:r w:rsidRPr="00961AB7">
        <w:rPr>
          <w:rFonts w:ascii="Arial" w:hAnsi="Arial" w:cs="Arial"/>
          <w:sz w:val="18"/>
          <w:szCs w:val="18"/>
        </w:rPr>
        <w:t xml:space="preserve">Živelní pohromy se evidují pomocí příznaku vždy ve spojení s druhem likvidované události. </w:t>
      </w:r>
    </w:p>
    <w:p w14:paraId="14794D6A"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iCs/>
          <w:sz w:val="18"/>
          <w:szCs w:val="18"/>
        </w:rPr>
      </w:pPr>
    </w:p>
    <w:p w14:paraId="0C9B9C06"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iCs/>
          <w:sz w:val="18"/>
          <w:szCs w:val="18"/>
        </w:rPr>
      </w:pPr>
    </w:p>
    <w:p w14:paraId="48BD54B7" w14:textId="7A89896D"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20"/>
        </w:rPr>
      </w:pPr>
      <w:r w:rsidRPr="00961AB7">
        <w:rPr>
          <w:rFonts w:ascii="Arial" w:hAnsi="Arial" w:cs="Arial"/>
          <w:b/>
          <w:color w:val="0071BC"/>
          <w:sz w:val="20"/>
          <w:szCs w:val="20"/>
        </w:rPr>
        <w:t>Tab. 29</w:t>
      </w:r>
      <w:r w:rsidR="00116432">
        <w:rPr>
          <w:rFonts w:ascii="Arial" w:hAnsi="Arial" w:cs="Arial"/>
          <w:b/>
          <w:color w:val="0071BC"/>
          <w:sz w:val="20"/>
          <w:szCs w:val="20"/>
        </w:rPr>
        <w:t>.</w:t>
      </w:r>
      <w:r w:rsidRPr="00961AB7">
        <w:rPr>
          <w:rFonts w:ascii="Arial" w:hAnsi="Arial" w:cs="Arial"/>
          <w:b/>
          <w:color w:val="0071BC"/>
          <w:sz w:val="20"/>
          <w:szCs w:val="20"/>
        </w:rPr>
        <w:t>32 Základní ekonomické ukazatele Hasičského záchranného sboru ČR</w:t>
      </w:r>
    </w:p>
    <w:p w14:paraId="2267D5B6"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bCs/>
          <w:iCs/>
          <w:sz w:val="18"/>
          <w:szCs w:val="18"/>
        </w:rPr>
      </w:pPr>
      <w:r w:rsidRPr="00961AB7">
        <w:rPr>
          <w:rFonts w:ascii="Arial" w:hAnsi="Arial" w:cs="Arial"/>
          <w:b/>
          <w:iCs/>
          <w:sz w:val="18"/>
          <w:szCs w:val="18"/>
        </w:rPr>
        <w:t xml:space="preserve">HZS ČR </w:t>
      </w:r>
      <w:r w:rsidRPr="00961AB7">
        <w:rPr>
          <w:rFonts w:ascii="Arial" w:hAnsi="Arial" w:cs="Arial"/>
          <w:bCs/>
          <w:iCs/>
          <w:sz w:val="18"/>
          <w:szCs w:val="18"/>
        </w:rPr>
        <w:t>– Hasičský záchranný sbor České republiky;</w:t>
      </w:r>
      <w:r w:rsidRPr="00961AB7">
        <w:rPr>
          <w:rFonts w:ascii="Arial" w:hAnsi="Arial" w:cs="Arial"/>
          <w:b/>
          <w:iCs/>
          <w:sz w:val="18"/>
          <w:szCs w:val="18"/>
        </w:rPr>
        <w:t xml:space="preserve"> </w:t>
      </w:r>
      <w:r w:rsidRPr="00961AB7">
        <w:rPr>
          <w:rFonts w:ascii="Arial" w:hAnsi="Arial" w:cs="Arial"/>
          <w:bCs/>
          <w:iCs/>
          <w:sz w:val="18"/>
          <w:szCs w:val="18"/>
        </w:rPr>
        <w:t>tvoří ho generální ředitelství HZS ČR (které je součástí Ministerstva vnitra) a hasičské záchranné sbory krajů.</w:t>
      </w:r>
    </w:p>
    <w:p w14:paraId="047E69CF"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bCs/>
          <w:iCs/>
          <w:sz w:val="18"/>
          <w:szCs w:val="18"/>
        </w:rPr>
      </w:pPr>
      <w:r w:rsidRPr="00961AB7">
        <w:rPr>
          <w:rFonts w:ascii="Arial" w:hAnsi="Arial" w:cs="Arial"/>
          <w:b/>
          <w:iCs/>
          <w:sz w:val="18"/>
          <w:szCs w:val="18"/>
        </w:rPr>
        <w:t>JPO II, JPO III, JPO V</w:t>
      </w:r>
      <w:r w:rsidRPr="00961AB7">
        <w:rPr>
          <w:rFonts w:ascii="Arial" w:hAnsi="Arial" w:cs="Arial"/>
          <w:bCs/>
          <w:iCs/>
          <w:sz w:val="18"/>
          <w:szCs w:val="18"/>
        </w:rPr>
        <w:t xml:space="preserve"> – kategorie JPO</w:t>
      </w:r>
      <w:r w:rsidRPr="00961AB7">
        <w:rPr>
          <w:rFonts w:ascii="Arial" w:hAnsi="Arial" w:cs="Arial"/>
          <w:b/>
          <w:iCs/>
          <w:sz w:val="18"/>
          <w:szCs w:val="18"/>
        </w:rPr>
        <w:t xml:space="preserve"> </w:t>
      </w:r>
      <w:r w:rsidRPr="00961AB7">
        <w:rPr>
          <w:rFonts w:ascii="Arial" w:hAnsi="Arial" w:cs="Arial"/>
          <w:bCs/>
          <w:iCs/>
          <w:sz w:val="18"/>
          <w:szCs w:val="18"/>
        </w:rPr>
        <w:t>podle zákona o požární ochraně; jde o jednotky sboru dobrovolných hasičů obce, jejichž členové vykonávají službu v jednotce jako svoje zaměstnání nebo dobrovolně s územní působností mimo katastrální území zřizovatele, zpravidla do 10 minut jízdy z místa dislokace (JPO II a JPO III) a jednotky, jejichž členové vykonávají službu v jednotce dobrovolně s místní působností na katastrálním území zřizovatele (JPO V).</w:t>
      </w:r>
    </w:p>
    <w:p w14:paraId="00ADD0A4"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Cs/>
          <w:iCs/>
          <w:sz w:val="18"/>
          <w:szCs w:val="18"/>
        </w:rPr>
      </w:pPr>
    </w:p>
    <w:p w14:paraId="2729DE06"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Cs/>
          <w:iCs/>
          <w:sz w:val="18"/>
          <w:szCs w:val="18"/>
        </w:rPr>
      </w:pPr>
    </w:p>
    <w:p w14:paraId="0C3759BC" w14:textId="6CCFDBAC"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color w:val="0071BC"/>
          <w:sz w:val="20"/>
          <w:szCs w:val="20"/>
        </w:rPr>
      </w:pPr>
      <w:r w:rsidRPr="00961AB7">
        <w:rPr>
          <w:rFonts w:ascii="Arial" w:hAnsi="Arial" w:cs="Arial"/>
          <w:b/>
          <w:color w:val="0071BC"/>
          <w:sz w:val="20"/>
          <w:szCs w:val="20"/>
        </w:rPr>
        <w:t>Tab. 29</w:t>
      </w:r>
      <w:r w:rsidR="00116432">
        <w:rPr>
          <w:rFonts w:ascii="Arial" w:hAnsi="Arial" w:cs="Arial"/>
          <w:b/>
          <w:color w:val="0071BC"/>
          <w:sz w:val="20"/>
          <w:szCs w:val="20"/>
        </w:rPr>
        <w:t>.</w:t>
      </w:r>
      <w:r w:rsidRPr="00961AB7">
        <w:rPr>
          <w:rFonts w:ascii="Arial" w:hAnsi="Arial" w:cs="Arial"/>
          <w:b/>
          <w:color w:val="0071BC"/>
          <w:sz w:val="20"/>
          <w:szCs w:val="20"/>
        </w:rPr>
        <w:t>33 až 29</w:t>
      </w:r>
      <w:r w:rsidR="00116432">
        <w:rPr>
          <w:rFonts w:ascii="Arial" w:hAnsi="Arial" w:cs="Arial"/>
          <w:b/>
          <w:color w:val="0071BC"/>
          <w:sz w:val="20"/>
          <w:szCs w:val="20"/>
        </w:rPr>
        <w:t>.</w:t>
      </w:r>
      <w:r w:rsidRPr="00961AB7">
        <w:rPr>
          <w:rFonts w:ascii="Arial" w:hAnsi="Arial" w:cs="Arial"/>
          <w:b/>
          <w:color w:val="0071BC"/>
          <w:sz w:val="20"/>
          <w:szCs w:val="20"/>
        </w:rPr>
        <w:t>36 Požáry</w:t>
      </w:r>
    </w:p>
    <w:p w14:paraId="427A4033"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bCs/>
          <w:iCs/>
          <w:sz w:val="18"/>
          <w:szCs w:val="18"/>
        </w:rPr>
      </w:pPr>
      <w:r w:rsidRPr="00961AB7">
        <w:rPr>
          <w:rFonts w:ascii="Arial" w:hAnsi="Arial" w:cs="Arial"/>
          <w:b/>
          <w:bCs/>
          <w:iCs/>
          <w:sz w:val="18"/>
          <w:szCs w:val="18"/>
        </w:rPr>
        <w:t xml:space="preserve">Usmrcené osoby celkem </w:t>
      </w:r>
      <w:r w:rsidRPr="00961AB7">
        <w:rPr>
          <w:rFonts w:ascii="Arial" w:hAnsi="Arial" w:cs="Arial"/>
          <w:bCs/>
          <w:iCs/>
          <w:sz w:val="18"/>
          <w:szCs w:val="18"/>
        </w:rPr>
        <w:t>– všechny usmrcené osoby nalezené na místě požáru. Údaj zahrnuje i osoby, jejichž smrt prokazatelně nenastala v přímé souvislosti s požárem např. v důsledku infarktu, vraždy apod.</w:t>
      </w:r>
    </w:p>
    <w:p w14:paraId="66FDBDE1" w14:textId="77777777" w:rsidR="00961AB7" w:rsidRPr="00961AB7" w:rsidRDefault="00961AB7" w:rsidP="00961AB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bCs/>
          <w:iCs/>
          <w:sz w:val="18"/>
          <w:szCs w:val="18"/>
        </w:rPr>
      </w:pPr>
      <w:r w:rsidRPr="00961AB7">
        <w:rPr>
          <w:rFonts w:ascii="Arial" w:hAnsi="Arial" w:cs="Arial"/>
          <w:b/>
          <w:bCs/>
          <w:iCs/>
          <w:sz w:val="18"/>
          <w:szCs w:val="18"/>
        </w:rPr>
        <w:lastRenderedPageBreak/>
        <w:t>Usmrcené osoby v přímé souvislosti</w:t>
      </w:r>
      <w:r w:rsidRPr="00961AB7">
        <w:rPr>
          <w:rFonts w:ascii="Arial" w:hAnsi="Arial" w:cs="Arial"/>
          <w:bCs/>
          <w:iCs/>
          <w:sz w:val="18"/>
          <w:szCs w:val="18"/>
        </w:rPr>
        <w:t xml:space="preserve"> – osoby, které zemřely v důsledku popálenin, intoxikace zplodinami hoření apod., tak osoby, u kterých nebylo možné zjistit, zda prokazatelně zemřely v přímé souvislosti s požárem. Údaj je sledován od roku 2014.</w:t>
      </w:r>
    </w:p>
    <w:p w14:paraId="54672A0B" w14:textId="77777777" w:rsidR="00C05527" w:rsidRPr="00C05527" w:rsidRDefault="00C05527" w:rsidP="00C05527">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strike/>
          <w:sz w:val="18"/>
          <w:szCs w:val="18"/>
        </w:rPr>
      </w:pPr>
    </w:p>
    <w:p w14:paraId="14C4D22C" w14:textId="77777777" w:rsidR="00C05527" w:rsidRPr="00C05527" w:rsidRDefault="00C05527" w:rsidP="00C05527">
      <w:pPr>
        <w:jc w:val="both"/>
        <w:rPr>
          <w:rFonts w:ascii="Arial" w:hAnsi="Arial" w:cs="Arial"/>
          <w:sz w:val="18"/>
          <w:szCs w:val="18"/>
        </w:rPr>
      </w:pPr>
    </w:p>
    <w:p w14:paraId="5DBFA438" w14:textId="77777777" w:rsidR="00C05527" w:rsidRPr="00C05527" w:rsidRDefault="00C05527" w:rsidP="00C05527">
      <w:pPr>
        <w:jc w:val="center"/>
        <w:rPr>
          <w:rFonts w:ascii="Arial" w:hAnsi="Arial" w:cs="Arial"/>
          <w:color w:val="0071BC"/>
          <w:sz w:val="20"/>
          <w:szCs w:val="20"/>
        </w:rPr>
      </w:pPr>
      <w:r w:rsidRPr="00C05527">
        <w:rPr>
          <w:rFonts w:ascii="Arial" w:hAnsi="Arial" w:cs="Arial"/>
          <w:color w:val="0071BC"/>
          <w:sz w:val="20"/>
          <w:szCs w:val="20"/>
        </w:rPr>
        <w:t>*          *          *</w:t>
      </w:r>
    </w:p>
    <w:p w14:paraId="1C0BE810" w14:textId="77777777" w:rsidR="00C05527" w:rsidRPr="00C05527" w:rsidRDefault="00C05527" w:rsidP="00C05527">
      <w:pPr>
        <w:jc w:val="both"/>
        <w:rPr>
          <w:rFonts w:ascii="Arial" w:hAnsi="Arial" w:cs="Arial"/>
          <w:sz w:val="18"/>
          <w:szCs w:val="18"/>
        </w:rPr>
      </w:pPr>
    </w:p>
    <w:p w14:paraId="0FD280FC" w14:textId="77777777" w:rsidR="00C05527" w:rsidRPr="00C05527" w:rsidRDefault="00C05527" w:rsidP="00C05527">
      <w:pPr>
        <w:jc w:val="both"/>
        <w:rPr>
          <w:rFonts w:ascii="Arial" w:hAnsi="Arial" w:cs="Arial"/>
          <w:sz w:val="18"/>
          <w:szCs w:val="18"/>
        </w:rPr>
      </w:pPr>
    </w:p>
    <w:p w14:paraId="19AB0EDA" w14:textId="77777777" w:rsidR="00C05527" w:rsidRPr="00C05527" w:rsidRDefault="00C05527" w:rsidP="00C05527">
      <w:pPr>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 w:val="18"/>
          <w:szCs w:val="18"/>
        </w:rPr>
      </w:pPr>
      <w:r w:rsidRPr="00C05527">
        <w:rPr>
          <w:rFonts w:ascii="Arial" w:hAnsi="Arial" w:cs="Arial"/>
          <w:sz w:val="18"/>
          <w:szCs w:val="18"/>
        </w:rPr>
        <w:t>Další informace jsou dostupné na internetových stránkách:</w:t>
      </w:r>
    </w:p>
    <w:p w14:paraId="526589BA" w14:textId="5EDC1586" w:rsidR="00C05527" w:rsidRPr="004E7A9B" w:rsidRDefault="00C05527" w:rsidP="00C05527">
      <w:pPr>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jc w:val="both"/>
        <w:rPr>
          <w:rFonts w:ascii="Arial" w:hAnsi="Arial" w:cs="Arial"/>
          <w:sz w:val="18"/>
          <w:szCs w:val="18"/>
        </w:rPr>
      </w:pPr>
      <w:r w:rsidRPr="004E7A9B">
        <w:rPr>
          <w:rFonts w:ascii="Arial" w:hAnsi="Arial" w:cs="Arial"/>
          <w:sz w:val="18"/>
          <w:szCs w:val="18"/>
        </w:rPr>
        <w:t>– </w:t>
      </w:r>
      <w:hyperlink r:id="rId8" w:history="1">
        <w:r w:rsidR="004E7A9B" w:rsidRPr="00F873A1">
          <w:rPr>
            <w:rStyle w:val="Hypertextovodkaz"/>
            <w:rFonts w:ascii="Arial" w:hAnsi="Arial" w:cs="Arial"/>
            <w:sz w:val="18"/>
            <w:szCs w:val="18"/>
          </w:rPr>
          <w:t>www.justice.cz/web/msp/statisticke-udaje-z-oblasti-justice</w:t>
        </w:r>
      </w:hyperlink>
      <w:r w:rsidR="009F09B4" w:rsidRPr="004E7A9B">
        <w:rPr>
          <w:rFonts w:ascii="Arial" w:hAnsi="Arial" w:cs="Arial"/>
          <w:sz w:val="18"/>
          <w:szCs w:val="18"/>
        </w:rPr>
        <w:t xml:space="preserve"> </w:t>
      </w:r>
      <w:r w:rsidRPr="004E7A9B">
        <w:rPr>
          <w:rFonts w:ascii="Arial" w:hAnsi="Arial" w:cs="Arial"/>
          <w:sz w:val="18"/>
          <w:szCs w:val="18"/>
        </w:rPr>
        <w:t>– Ministerstvo spravedlnosti</w:t>
      </w:r>
    </w:p>
    <w:p w14:paraId="1C6177D1" w14:textId="3766C57A" w:rsidR="00C05527" w:rsidRPr="00C05527" w:rsidRDefault="00C05527" w:rsidP="00C05527">
      <w:pPr>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jc w:val="both"/>
        <w:rPr>
          <w:rFonts w:ascii="Arial" w:hAnsi="Arial" w:cs="Arial"/>
          <w:sz w:val="18"/>
          <w:szCs w:val="18"/>
        </w:rPr>
      </w:pPr>
      <w:r w:rsidRPr="004E7A9B">
        <w:rPr>
          <w:rFonts w:ascii="Arial" w:hAnsi="Arial" w:cs="Arial"/>
          <w:sz w:val="18"/>
          <w:szCs w:val="18"/>
        </w:rPr>
        <w:t>– </w:t>
      </w:r>
      <w:hyperlink r:id="rId9" w:history="1">
        <w:r w:rsidR="009F09B4" w:rsidRPr="004E7A9B">
          <w:rPr>
            <w:rStyle w:val="Hypertextovodkaz"/>
            <w:rFonts w:ascii="Arial" w:hAnsi="Arial" w:cs="Arial"/>
            <w:sz w:val="18"/>
            <w:szCs w:val="18"/>
          </w:rPr>
          <w:t>www.vscr.cz</w:t>
        </w:r>
      </w:hyperlink>
      <w:r w:rsidR="009F09B4" w:rsidRPr="004E7A9B">
        <w:rPr>
          <w:rFonts w:ascii="Arial" w:hAnsi="Arial" w:cs="Arial"/>
          <w:sz w:val="18"/>
          <w:szCs w:val="18"/>
        </w:rPr>
        <w:t xml:space="preserve"> </w:t>
      </w:r>
      <w:r w:rsidRPr="004E7A9B">
        <w:rPr>
          <w:rFonts w:ascii="Arial" w:hAnsi="Arial" w:cs="Arial"/>
          <w:sz w:val="18"/>
          <w:szCs w:val="18"/>
        </w:rPr>
        <w:t>– Vězeňská služba ČR</w:t>
      </w:r>
    </w:p>
    <w:p w14:paraId="623E5F32" w14:textId="585294D6" w:rsidR="00C05527" w:rsidRPr="00C05527" w:rsidRDefault="00C05527" w:rsidP="00C05527">
      <w:pPr>
        <w:tabs>
          <w:tab w:val="left" w:pos="0"/>
          <w:tab w:val="left" w:pos="142"/>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jc w:val="both"/>
        <w:rPr>
          <w:rFonts w:ascii="Arial" w:hAnsi="Arial" w:cs="Arial"/>
          <w:sz w:val="18"/>
          <w:szCs w:val="18"/>
        </w:rPr>
      </w:pPr>
      <w:r w:rsidRPr="00C05527">
        <w:rPr>
          <w:rFonts w:ascii="Arial" w:hAnsi="Arial" w:cs="Arial"/>
          <w:sz w:val="18"/>
          <w:szCs w:val="18"/>
        </w:rPr>
        <w:t>– </w:t>
      </w:r>
      <w:hyperlink r:id="rId10" w:history="1">
        <w:r w:rsidR="009F09B4" w:rsidRPr="005109C8">
          <w:rPr>
            <w:rStyle w:val="Hypertextovodkaz"/>
            <w:rFonts w:ascii="Arial" w:hAnsi="Arial" w:cs="Arial"/>
            <w:sz w:val="18"/>
            <w:szCs w:val="18"/>
          </w:rPr>
          <w:t>www.policie.cz/statistiky-kriminalita.aspx</w:t>
        </w:r>
      </w:hyperlink>
      <w:r w:rsidR="009F09B4">
        <w:rPr>
          <w:rFonts w:ascii="Arial" w:hAnsi="Arial" w:cs="Arial"/>
          <w:sz w:val="18"/>
          <w:szCs w:val="18"/>
        </w:rPr>
        <w:t xml:space="preserve"> </w:t>
      </w:r>
      <w:r w:rsidRPr="00C05527">
        <w:rPr>
          <w:rFonts w:ascii="Arial" w:hAnsi="Arial" w:cs="Arial"/>
          <w:sz w:val="18"/>
          <w:szCs w:val="18"/>
        </w:rPr>
        <w:t>– Policie ČR</w:t>
      </w:r>
    </w:p>
    <w:p w14:paraId="0DD6EBF1" w14:textId="193005C2" w:rsidR="00C05527" w:rsidRPr="00C05527" w:rsidRDefault="00C05527" w:rsidP="00C05527">
      <w:pPr>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jc w:val="both"/>
        <w:rPr>
          <w:rFonts w:ascii="Arial" w:hAnsi="Arial" w:cs="Arial"/>
          <w:sz w:val="18"/>
          <w:szCs w:val="18"/>
        </w:rPr>
      </w:pPr>
      <w:r w:rsidRPr="00C05527">
        <w:rPr>
          <w:rFonts w:ascii="Arial" w:hAnsi="Arial" w:cs="Arial"/>
          <w:sz w:val="18"/>
          <w:szCs w:val="18"/>
        </w:rPr>
        <w:t>– </w:t>
      </w:r>
      <w:hyperlink r:id="rId11" w:history="1">
        <w:r w:rsidR="009F09B4" w:rsidRPr="005109C8">
          <w:rPr>
            <w:rStyle w:val="Hypertextovodkaz"/>
            <w:rFonts w:ascii="Arial" w:hAnsi="Arial" w:cs="Arial"/>
            <w:sz w:val="18"/>
            <w:szCs w:val="18"/>
          </w:rPr>
          <w:t>www.mdcr.cz</w:t>
        </w:r>
      </w:hyperlink>
      <w:r w:rsidR="009F09B4">
        <w:rPr>
          <w:rFonts w:ascii="Arial" w:hAnsi="Arial" w:cs="Arial"/>
          <w:sz w:val="18"/>
          <w:szCs w:val="18"/>
        </w:rPr>
        <w:t xml:space="preserve"> </w:t>
      </w:r>
      <w:r w:rsidRPr="00C05527">
        <w:rPr>
          <w:rFonts w:ascii="Arial" w:hAnsi="Arial" w:cs="Arial"/>
          <w:sz w:val="18"/>
          <w:szCs w:val="18"/>
        </w:rPr>
        <w:t>– Ministerstvo dopravy</w:t>
      </w:r>
    </w:p>
    <w:p w14:paraId="092629D0" w14:textId="4CF41FED" w:rsidR="00C05527" w:rsidRPr="00C05527" w:rsidRDefault="00C05527" w:rsidP="00C05527">
      <w:pPr>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jc w:val="both"/>
        <w:rPr>
          <w:rFonts w:ascii="Arial" w:hAnsi="Arial" w:cs="Arial"/>
          <w:sz w:val="18"/>
          <w:szCs w:val="18"/>
        </w:rPr>
      </w:pPr>
      <w:r w:rsidRPr="00C05527">
        <w:rPr>
          <w:rFonts w:ascii="Arial" w:hAnsi="Arial" w:cs="Arial"/>
          <w:sz w:val="18"/>
          <w:szCs w:val="18"/>
        </w:rPr>
        <w:t>– </w:t>
      </w:r>
      <w:hyperlink r:id="rId12" w:history="1">
        <w:r w:rsidR="009F09B4" w:rsidRPr="005109C8">
          <w:rPr>
            <w:rStyle w:val="Hypertextovodkaz"/>
            <w:rFonts w:ascii="Arial" w:hAnsi="Arial" w:cs="Arial"/>
            <w:sz w:val="18"/>
            <w:szCs w:val="18"/>
          </w:rPr>
          <w:t>www.mvcr.cz/ministerstvo.aspx</w:t>
        </w:r>
      </w:hyperlink>
      <w:r w:rsidR="009F09B4">
        <w:rPr>
          <w:rFonts w:ascii="Arial" w:hAnsi="Arial" w:cs="Arial"/>
          <w:sz w:val="18"/>
          <w:szCs w:val="18"/>
        </w:rPr>
        <w:t xml:space="preserve"> </w:t>
      </w:r>
      <w:r w:rsidRPr="00C05527">
        <w:rPr>
          <w:rFonts w:ascii="Arial" w:hAnsi="Arial" w:cs="Arial"/>
          <w:sz w:val="18"/>
          <w:szCs w:val="18"/>
        </w:rPr>
        <w:t>– Ministerstvo vnitra</w:t>
      </w:r>
    </w:p>
    <w:p w14:paraId="181EB8F4" w14:textId="02CAABA8" w:rsidR="00C05527" w:rsidRPr="00C05527" w:rsidRDefault="00C05527" w:rsidP="00C05527">
      <w:pPr>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jc w:val="both"/>
        <w:rPr>
          <w:rFonts w:ascii="Arial" w:hAnsi="Arial" w:cs="Arial"/>
          <w:sz w:val="18"/>
          <w:szCs w:val="18"/>
          <w:u w:val="single"/>
        </w:rPr>
      </w:pPr>
      <w:r w:rsidRPr="00C05527">
        <w:rPr>
          <w:rFonts w:ascii="Arial" w:hAnsi="Arial" w:cs="Arial"/>
          <w:sz w:val="18"/>
          <w:szCs w:val="18"/>
        </w:rPr>
        <w:t>– </w:t>
      </w:r>
      <w:hyperlink r:id="rId13" w:history="1">
        <w:r w:rsidR="009F09B4" w:rsidRPr="005109C8">
          <w:rPr>
            <w:rStyle w:val="Hypertextovodkaz"/>
            <w:rFonts w:ascii="Arial" w:hAnsi="Arial" w:cs="Arial"/>
            <w:sz w:val="18"/>
            <w:szCs w:val="18"/>
          </w:rPr>
          <w:t>www.hzscr.cz</w:t>
        </w:r>
      </w:hyperlink>
      <w:r w:rsidR="009F09B4">
        <w:rPr>
          <w:rFonts w:ascii="Arial" w:hAnsi="Arial" w:cs="Arial"/>
          <w:sz w:val="18"/>
          <w:szCs w:val="18"/>
        </w:rPr>
        <w:t xml:space="preserve"> </w:t>
      </w:r>
      <w:r w:rsidRPr="00C05527">
        <w:rPr>
          <w:rFonts w:ascii="Arial" w:hAnsi="Arial" w:cs="Arial"/>
          <w:sz w:val="18"/>
          <w:szCs w:val="18"/>
        </w:rPr>
        <w:t>– Hasičský záchranný sbor ČR</w:t>
      </w:r>
    </w:p>
    <w:p w14:paraId="6DAA1871" w14:textId="7C0E81DC" w:rsidR="00C05527" w:rsidRPr="00C05527" w:rsidRDefault="00C05527" w:rsidP="00C05527">
      <w:pPr>
        <w:spacing w:after="160" w:line="259" w:lineRule="auto"/>
        <w:jc w:val="both"/>
        <w:rPr>
          <w:rFonts w:ascii="Arial" w:hAnsi="Arial" w:cs="Arial"/>
          <w:sz w:val="18"/>
          <w:szCs w:val="18"/>
          <w:lang w:eastAsia="en-US"/>
        </w:rPr>
      </w:pPr>
    </w:p>
    <w:sectPr w:rsidR="00C05527" w:rsidRPr="00C05527" w:rsidSect="00C00426">
      <w:pgSz w:w="11907" w:h="16840" w:code="9"/>
      <w:pgMar w:top="1134" w:right="964" w:bottom="1418" w:left="96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4D1F1" w14:textId="77777777" w:rsidR="00947FEA" w:rsidRDefault="00947FEA">
      <w:r>
        <w:separator/>
      </w:r>
    </w:p>
  </w:endnote>
  <w:endnote w:type="continuationSeparator" w:id="0">
    <w:p w14:paraId="55E347D2" w14:textId="77777777" w:rsidR="00947FEA" w:rsidRDefault="00947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6B421" w14:textId="77777777" w:rsidR="00947FEA" w:rsidRDefault="00947FEA">
      <w:r>
        <w:separator/>
      </w:r>
    </w:p>
  </w:footnote>
  <w:footnote w:type="continuationSeparator" w:id="0">
    <w:p w14:paraId="5EBD19D6" w14:textId="77777777" w:rsidR="00947FEA" w:rsidRDefault="00947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0C96EAA"/>
    <w:multiLevelType w:val="hybridMultilevel"/>
    <w:tmpl w:val="4EACA474"/>
    <w:lvl w:ilvl="0" w:tplc="BD0E67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42414C"/>
    <w:multiLevelType w:val="hybridMultilevel"/>
    <w:tmpl w:val="A34E52C4"/>
    <w:lvl w:ilvl="0" w:tplc="3D3A6ED6">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7223212"/>
    <w:multiLevelType w:val="hybridMultilevel"/>
    <w:tmpl w:val="3C0016CA"/>
    <w:lvl w:ilvl="0" w:tplc="F0E2C09E">
      <w:start w:val="1"/>
      <w:numFmt w:val="bullet"/>
      <w:lvlText w:val=""/>
      <w:lvlJc w:val="left"/>
      <w:pPr>
        <w:tabs>
          <w:tab w:val="num" w:pos="378"/>
        </w:tabs>
        <w:ind w:left="378" w:hanging="360"/>
      </w:pPr>
      <w:rPr>
        <w:rFonts w:ascii="Symbol" w:hAnsi="Symbol" w:hint="default"/>
      </w:rPr>
    </w:lvl>
    <w:lvl w:ilvl="1" w:tplc="04050003" w:tentative="1">
      <w:start w:val="1"/>
      <w:numFmt w:val="bullet"/>
      <w:lvlText w:val="o"/>
      <w:lvlJc w:val="left"/>
      <w:pPr>
        <w:tabs>
          <w:tab w:val="num" w:pos="389"/>
        </w:tabs>
        <w:ind w:left="389" w:hanging="360"/>
      </w:pPr>
      <w:rPr>
        <w:rFonts w:ascii="Courier New" w:hAnsi="Courier New" w:hint="default"/>
      </w:rPr>
    </w:lvl>
    <w:lvl w:ilvl="2" w:tplc="04050005" w:tentative="1">
      <w:start w:val="1"/>
      <w:numFmt w:val="bullet"/>
      <w:lvlText w:val=""/>
      <w:lvlJc w:val="left"/>
      <w:pPr>
        <w:tabs>
          <w:tab w:val="num" w:pos="1109"/>
        </w:tabs>
        <w:ind w:left="1109" w:hanging="360"/>
      </w:pPr>
      <w:rPr>
        <w:rFonts w:ascii="Wingdings" w:hAnsi="Wingdings" w:hint="default"/>
      </w:rPr>
    </w:lvl>
    <w:lvl w:ilvl="3" w:tplc="04050001" w:tentative="1">
      <w:start w:val="1"/>
      <w:numFmt w:val="bullet"/>
      <w:lvlText w:val=""/>
      <w:lvlJc w:val="left"/>
      <w:pPr>
        <w:tabs>
          <w:tab w:val="num" w:pos="1829"/>
        </w:tabs>
        <w:ind w:left="1829" w:hanging="360"/>
      </w:pPr>
      <w:rPr>
        <w:rFonts w:ascii="Symbol" w:hAnsi="Symbol" w:hint="default"/>
      </w:rPr>
    </w:lvl>
    <w:lvl w:ilvl="4" w:tplc="04050003" w:tentative="1">
      <w:start w:val="1"/>
      <w:numFmt w:val="bullet"/>
      <w:lvlText w:val="o"/>
      <w:lvlJc w:val="left"/>
      <w:pPr>
        <w:tabs>
          <w:tab w:val="num" w:pos="2549"/>
        </w:tabs>
        <w:ind w:left="2549" w:hanging="360"/>
      </w:pPr>
      <w:rPr>
        <w:rFonts w:ascii="Courier New" w:hAnsi="Courier New" w:hint="default"/>
      </w:rPr>
    </w:lvl>
    <w:lvl w:ilvl="5" w:tplc="04050005" w:tentative="1">
      <w:start w:val="1"/>
      <w:numFmt w:val="bullet"/>
      <w:lvlText w:val=""/>
      <w:lvlJc w:val="left"/>
      <w:pPr>
        <w:tabs>
          <w:tab w:val="num" w:pos="3269"/>
        </w:tabs>
        <w:ind w:left="3269" w:hanging="360"/>
      </w:pPr>
      <w:rPr>
        <w:rFonts w:ascii="Wingdings" w:hAnsi="Wingdings" w:hint="default"/>
      </w:rPr>
    </w:lvl>
    <w:lvl w:ilvl="6" w:tplc="04050001" w:tentative="1">
      <w:start w:val="1"/>
      <w:numFmt w:val="bullet"/>
      <w:lvlText w:val=""/>
      <w:lvlJc w:val="left"/>
      <w:pPr>
        <w:tabs>
          <w:tab w:val="num" w:pos="3989"/>
        </w:tabs>
        <w:ind w:left="3989" w:hanging="360"/>
      </w:pPr>
      <w:rPr>
        <w:rFonts w:ascii="Symbol" w:hAnsi="Symbol" w:hint="default"/>
      </w:rPr>
    </w:lvl>
    <w:lvl w:ilvl="7" w:tplc="04050003" w:tentative="1">
      <w:start w:val="1"/>
      <w:numFmt w:val="bullet"/>
      <w:lvlText w:val="o"/>
      <w:lvlJc w:val="left"/>
      <w:pPr>
        <w:tabs>
          <w:tab w:val="num" w:pos="4709"/>
        </w:tabs>
        <w:ind w:left="4709" w:hanging="360"/>
      </w:pPr>
      <w:rPr>
        <w:rFonts w:ascii="Courier New" w:hAnsi="Courier New" w:hint="default"/>
      </w:rPr>
    </w:lvl>
    <w:lvl w:ilvl="8" w:tplc="04050005" w:tentative="1">
      <w:start w:val="1"/>
      <w:numFmt w:val="bullet"/>
      <w:lvlText w:val=""/>
      <w:lvlJc w:val="left"/>
      <w:pPr>
        <w:tabs>
          <w:tab w:val="num" w:pos="5429"/>
        </w:tabs>
        <w:ind w:left="5429" w:hanging="360"/>
      </w:pPr>
      <w:rPr>
        <w:rFonts w:ascii="Wingdings" w:hAnsi="Wingdings" w:hint="default"/>
      </w:rPr>
    </w:lvl>
  </w:abstractNum>
  <w:abstractNum w:abstractNumId="4" w15:restartNumberingAfterBreak="0">
    <w:nsid w:val="570930AA"/>
    <w:multiLevelType w:val="hybridMultilevel"/>
    <w:tmpl w:val="2B3CF078"/>
    <w:lvl w:ilvl="0" w:tplc="F0E2C09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5" w15:restartNumberingAfterBreak="0">
    <w:nsid w:val="61F9557C"/>
    <w:multiLevelType w:val="hybridMultilevel"/>
    <w:tmpl w:val="4C967B52"/>
    <w:lvl w:ilvl="0" w:tplc="20F0E538">
      <w:numFmt w:val="bullet"/>
      <w:lvlText w:val="-"/>
      <w:lvlJc w:val="left"/>
      <w:pPr>
        <w:tabs>
          <w:tab w:val="num" w:pos="1068"/>
        </w:tabs>
        <w:ind w:left="1068" w:hanging="708"/>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0F453C"/>
    <w:multiLevelType w:val="hybridMultilevel"/>
    <w:tmpl w:val="6478DBB2"/>
    <w:lvl w:ilvl="0" w:tplc="F0E2C09E">
      <w:start w:val="1"/>
      <w:numFmt w:val="bullet"/>
      <w:lvlText w:val=""/>
      <w:lvlJc w:val="left"/>
      <w:pPr>
        <w:tabs>
          <w:tab w:val="num" w:pos="378"/>
        </w:tabs>
        <w:ind w:left="378" w:hanging="360"/>
      </w:pPr>
      <w:rPr>
        <w:rFonts w:ascii="Symbol" w:hAnsi="Symbol" w:hint="default"/>
      </w:rPr>
    </w:lvl>
    <w:lvl w:ilvl="1" w:tplc="04050003" w:tentative="1">
      <w:start w:val="1"/>
      <w:numFmt w:val="bullet"/>
      <w:lvlText w:val="o"/>
      <w:lvlJc w:val="left"/>
      <w:pPr>
        <w:tabs>
          <w:tab w:val="num" w:pos="1098"/>
        </w:tabs>
        <w:ind w:left="1098" w:hanging="360"/>
      </w:pPr>
      <w:rPr>
        <w:rFonts w:ascii="Courier New" w:hAnsi="Courier New" w:hint="default"/>
      </w:rPr>
    </w:lvl>
    <w:lvl w:ilvl="2" w:tplc="04050005" w:tentative="1">
      <w:start w:val="1"/>
      <w:numFmt w:val="bullet"/>
      <w:lvlText w:val=""/>
      <w:lvlJc w:val="left"/>
      <w:pPr>
        <w:tabs>
          <w:tab w:val="num" w:pos="1818"/>
        </w:tabs>
        <w:ind w:left="1818" w:hanging="360"/>
      </w:pPr>
      <w:rPr>
        <w:rFonts w:ascii="Wingdings" w:hAnsi="Wingdings" w:hint="default"/>
      </w:rPr>
    </w:lvl>
    <w:lvl w:ilvl="3" w:tplc="04050001" w:tentative="1">
      <w:start w:val="1"/>
      <w:numFmt w:val="bullet"/>
      <w:lvlText w:val=""/>
      <w:lvlJc w:val="left"/>
      <w:pPr>
        <w:tabs>
          <w:tab w:val="num" w:pos="2538"/>
        </w:tabs>
        <w:ind w:left="2538" w:hanging="360"/>
      </w:pPr>
      <w:rPr>
        <w:rFonts w:ascii="Symbol" w:hAnsi="Symbol" w:hint="default"/>
      </w:rPr>
    </w:lvl>
    <w:lvl w:ilvl="4" w:tplc="04050003" w:tentative="1">
      <w:start w:val="1"/>
      <w:numFmt w:val="bullet"/>
      <w:lvlText w:val="o"/>
      <w:lvlJc w:val="left"/>
      <w:pPr>
        <w:tabs>
          <w:tab w:val="num" w:pos="3258"/>
        </w:tabs>
        <w:ind w:left="3258" w:hanging="360"/>
      </w:pPr>
      <w:rPr>
        <w:rFonts w:ascii="Courier New" w:hAnsi="Courier New" w:hint="default"/>
      </w:rPr>
    </w:lvl>
    <w:lvl w:ilvl="5" w:tplc="04050005" w:tentative="1">
      <w:start w:val="1"/>
      <w:numFmt w:val="bullet"/>
      <w:lvlText w:val=""/>
      <w:lvlJc w:val="left"/>
      <w:pPr>
        <w:tabs>
          <w:tab w:val="num" w:pos="3978"/>
        </w:tabs>
        <w:ind w:left="3978" w:hanging="360"/>
      </w:pPr>
      <w:rPr>
        <w:rFonts w:ascii="Wingdings" w:hAnsi="Wingdings" w:hint="default"/>
      </w:rPr>
    </w:lvl>
    <w:lvl w:ilvl="6" w:tplc="04050001" w:tentative="1">
      <w:start w:val="1"/>
      <w:numFmt w:val="bullet"/>
      <w:lvlText w:val=""/>
      <w:lvlJc w:val="left"/>
      <w:pPr>
        <w:tabs>
          <w:tab w:val="num" w:pos="4698"/>
        </w:tabs>
        <w:ind w:left="4698" w:hanging="360"/>
      </w:pPr>
      <w:rPr>
        <w:rFonts w:ascii="Symbol" w:hAnsi="Symbol" w:hint="default"/>
      </w:rPr>
    </w:lvl>
    <w:lvl w:ilvl="7" w:tplc="04050003" w:tentative="1">
      <w:start w:val="1"/>
      <w:numFmt w:val="bullet"/>
      <w:lvlText w:val="o"/>
      <w:lvlJc w:val="left"/>
      <w:pPr>
        <w:tabs>
          <w:tab w:val="num" w:pos="5418"/>
        </w:tabs>
        <w:ind w:left="5418" w:hanging="360"/>
      </w:pPr>
      <w:rPr>
        <w:rFonts w:ascii="Courier New" w:hAnsi="Courier New" w:hint="default"/>
      </w:rPr>
    </w:lvl>
    <w:lvl w:ilvl="8" w:tplc="04050005" w:tentative="1">
      <w:start w:val="1"/>
      <w:numFmt w:val="bullet"/>
      <w:lvlText w:val=""/>
      <w:lvlJc w:val="left"/>
      <w:pPr>
        <w:tabs>
          <w:tab w:val="num" w:pos="6138"/>
        </w:tabs>
        <w:ind w:left="6138" w:hanging="360"/>
      </w:pPr>
      <w:rPr>
        <w:rFonts w:ascii="Wingdings" w:hAnsi="Wingdings" w:hint="default"/>
      </w:rPr>
    </w:lvl>
  </w:abstractNum>
  <w:abstractNum w:abstractNumId="7" w15:restartNumberingAfterBreak="0">
    <w:nsid w:val="752A234E"/>
    <w:multiLevelType w:val="hybridMultilevel"/>
    <w:tmpl w:val="D0FE52F8"/>
    <w:lvl w:ilvl="0" w:tplc="039A6798">
      <w:numFmt w:val="bullet"/>
      <w:lvlText w:val="-"/>
      <w:lvlJc w:val="left"/>
      <w:pPr>
        <w:tabs>
          <w:tab w:val="num" w:pos="1068"/>
        </w:tabs>
        <w:ind w:left="1068" w:hanging="360"/>
      </w:pPr>
      <w:rPr>
        <w:rFonts w:ascii="Arial" w:eastAsia="Times New Roman" w:hAnsi="Arial" w:cs="Aria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7EFE3C78"/>
    <w:multiLevelType w:val="hybridMultilevel"/>
    <w:tmpl w:val="E0F81FCE"/>
    <w:lvl w:ilvl="0" w:tplc="8E582F32">
      <w:numFmt w:val="bullet"/>
      <w:lvlText w:val="-"/>
      <w:lvlJc w:val="left"/>
      <w:pPr>
        <w:tabs>
          <w:tab w:val="num" w:pos="720"/>
        </w:tabs>
        <w:ind w:left="720" w:hanging="360"/>
      </w:pPr>
      <w:rPr>
        <w:rFonts w:ascii="Times New Roman" w:eastAsia="Times New Roman" w:hAnsi="Times New Roman" w:cs="Times New Roman" w:hint="default"/>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939222534">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2" w16cid:durableId="990137494">
    <w:abstractNumId w:val="5"/>
  </w:num>
  <w:num w:numId="3" w16cid:durableId="458573852">
    <w:abstractNumId w:val="7"/>
  </w:num>
  <w:num w:numId="4" w16cid:durableId="782726821">
    <w:abstractNumId w:val="8"/>
  </w:num>
  <w:num w:numId="5" w16cid:durableId="1576086183">
    <w:abstractNumId w:val="6"/>
  </w:num>
  <w:num w:numId="6" w16cid:durableId="233587281">
    <w:abstractNumId w:val="3"/>
  </w:num>
  <w:num w:numId="7" w16cid:durableId="673610200">
    <w:abstractNumId w:val="4"/>
  </w:num>
  <w:num w:numId="8" w16cid:durableId="2095010548">
    <w:abstractNumId w:val="2"/>
  </w:num>
  <w:num w:numId="9" w16cid:durableId="1184631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46D"/>
    <w:rsid w:val="0000060D"/>
    <w:rsid w:val="00011DBD"/>
    <w:rsid w:val="0001547E"/>
    <w:rsid w:val="00016D6B"/>
    <w:rsid w:val="00023A0C"/>
    <w:rsid w:val="000271BC"/>
    <w:rsid w:val="000331B1"/>
    <w:rsid w:val="00041317"/>
    <w:rsid w:val="00041735"/>
    <w:rsid w:val="00042B02"/>
    <w:rsid w:val="000511D8"/>
    <w:rsid w:val="000551B9"/>
    <w:rsid w:val="000558AB"/>
    <w:rsid w:val="00057941"/>
    <w:rsid w:val="00071550"/>
    <w:rsid w:val="00072D67"/>
    <w:rsid w:val="00074481"/>
    <w:rsid w:val="0007504C"/>
    <w:rsid w:val="000750AC"/>
    <w:rsid w:val="00091949"/>
    <w:rsid w:val="0009682C"/>
    <w:rsid w:val="000A0AA2"/>
    <w:rsid w:val="000A245F"/>
    <w:rsid w:val="000A2A15"/>
    <w:rsid w:val="000A3F39"/>
    <w:rsid w:val="000A7ABD"/>
    <w:rsid w:val="000B58F8"/>
    <w:rsid w:val="000B7C70"/>
    <w:rsid w:val="000C54EC"/>
    <w:rsid w:val="000C5F75"/>
    <w:rsid w:val="00103FAC"/>
    <w:rsid w:val="00105B07"/>
    <w:rsid w:val="00110752"/>
    <w:rsid w:val="00116432"/>
    <w:rsid w:val="00116EBB"/>
    <w:rsid w:val="0013159D"/>
    <w:rsid w:val="001329E8"/>
    <w:rsid w:val="00145CD0"/>
    <w:rsid w:val="00150E49"/>
    <w:rsid w:val="00155C86"/>
    <w:rsid w:val="001648FF"/>
    <w:rsid w:val="0017136E"/>
    <w:rsid w:val="00177AB4"/>
    <w:rsid w:val="001809BB"/>
    <w:rsid w:val="00183322"/>
    <w:rsid w:val="00185725"/>
    <w:rsid w:val="00187C0B"/>
    <w:rsid w:val="00190E25"/>
    <w:rsid w:val="00193892"/>
    <w:rsid w:val="001938DE"/>
    <w:rsid w:val="001A26C1"/>
    <w:rsid w:val="001B2164"/>
    <w:rsid w:val="001B5A22"/>
    <w:rsid w:val="001D010E"/>
    <w:rsid w:val="001D15B2"/>
    <w:rsid w:val="001D66C0"/>
    <w:rsid w:val="001F4DBD"/>
    <w:rsid w:val="001F7E58"/>
    <w:rsid w:val="00201897"/>
    <w:rsid w:val="002020A1"/>
    <w:rsid w:val="00202356"/>
    <w:rsid w:val="00216FA7"/>
    <w:rsid w:val="002170EE"/>
    <w:rsid w:val="0021732F"/>
    <w:rsid w:val="00225FED"/>
    <w:rsid w:val="00231933"/>
    <w:rsid w:val="0023237A"/>
    <w:rsid w:val="00233851"/>
    <w:rsid w:val="002413EF"/>
    <w:rsid w:val="00243F20"/>
    <w:rsid w:val="00246AD2"/>
    <w:rsid w:val="00250745"/>
    <w:rsid w:val="00251B3F"/>
    <w:rsid w:val="0025337A"/>
    <w:rsid w:val="002548E1"/>
    <w:rsid w:val="00257096"/>
    <w:rsid w:val="0025729D"/>
    <w:rsid w:val="00266231"/>
    <w:rsid w:val="00271F47"/>
    <w:rsid w:val="00293E79"/>
    <w:rsid w:val="00295C78"/>
    <w:rsid w:val="002A133D"/>
    <w:rsid w:val="002A1630"/>
    <w:rsid w:val="002A5A95"/>
    <w:rsid w:val="002A757B"/>
    <w:rsid w:val="002B5FA7"/>
    <w:rsid w:val="002C3EC2"/>
    <w:rsid w:val="002E36CA"/>
    <w:rsid w:val="002F1D34"/>
    <w:rsid w:val="002F7B18"/>
    <w:rsid w:val="0030054D"/>
    <w:rsid w:val="00302C0A"/>
    <w:rsid w:val="003063D8"/>
    <w:rsid w:val="003220E7"/>
    <w:rsid w:val="0032270F"/>
    <w:rsid w:val="00325CB4"/>
    <w:rsid w:val="00326BAE"/>
    <w:rsid w:val="00327FE5"/>
    <w:rsid w:val="00336FA0"/>
    <w:rsid w:val="00344636"/>
    <w:rsid w:val="003654E8"/>
    <w:rsid w:val="00373D4D"/>
    <w:rsid w:val="00383B6C"/>
    <w:rsid w:val="003840A3"/>
    <w:rsid w:val="00394375"/>
    <w:rsid w:val="00396251"/>
    <w:rsid w:val="003A0003"/>
    <w:rsid w:val="003B73E5"/>
    <w:rsid w:val="003B7EAB"/>
    <w:rsid w:val="003C115E"/>
    <w:rsid w:val="003C3ABE"/>
    <w:rsid w:val="003D0FB8"/>
    <w:rsid w:val="003E1FFE"/>
    <w:rsid w:val="003E2975"/>
    <w:rsid w:val="003E4EFD"/>
    <w:rsid w:val="003E6CFF"/>
    <w:rsid w:val="003F31D8"/>
    <w:rsid w:val="003F6EE2"/>
    <w:rsid w:val="00407E7D"/>
    <w:rsid w:val="004164AE"/>
    <w:rsid w:val="00420C80"/>
    <w:rsid w:val="00442E3F"/>
    <w:rsid w:val="00454848"/>
    <w:rsid w:val="00454B92"/>
    <w:rsid w:val="004611CE"/>
    <w:rsid w:val="00474B0E"/>
    <w:rsid w:val="00482DC9"/>
    <w:rsid w:val="0048563F"/>
    <w:rsid w:val="00495750"/>
    <w:rsid w:val="004A5978"/>
    <w:rsid w:val="004A67DD"/>
    <w:rsid w:val="004B4A03"/>
    <w:rsid w:val="004D20EA"/>
    <w:rsid w:val="004D6D06"/>
    <w:rsid w:val="004D7575"/>
    <w:rsid w:val="004E5E2B"/>
    <w:rsid w:val="004E7A9B"/>
    <w:rsid w:val="004F1478"/>
    <w:rsid w:val="004F2201"/>
    <w:rsid w:val="004F6CC4"/>
    <w:rsid w:val="00505252"/>
    <w:rsid w:val="005071C2"/>
    <w:rsid w:val="0050742E"/>
    <w:rsid w:val="00512B7F"/>
    <w:rsid w:val="00517A14"/>
    <w:rsid w:val="005238A2"/>
    <w:rsid w:val="0052479E"/>
    <w:rsid w:val="00525C91"/>
    <w:rsid w:val="00533A58"/>
    <w:rsid w:val="00553748"/>
    <w:rsid w:val="005566AE"/>
    <w:rsid w:val="00561B10"/>
    <w:rsid w:val="005679B0"/>
    <w:rsid w:val="0057540E"/>
    <w:rsid w:val="00597E60"/>
    <w:rsid w:val="005A4EAC"/>
    <w:rsid w:val="005A58A1"/>
    <w:rsid w:val="005B2119"/>
    <w:rsid w:val="005C47B8"/>
    <w:rsid w:val="005D3846"/>
    <w:rsid w:val="005E33B6"/>
    <w:rsid w:val="005F174E"/>
    <w:rsid w:val="005F68FB"/>
    <w:rsid w:val="005F72E2"/>
    <w:rsid w:val="00613CBE"/>
    <w:rsid w:val="00645A13"/>
    <w:rsid w:val="00650CDF"/>
    <w:rsid w:val="006701CF"/>
    <w:rsid w:val="00672AC1"/>
    <w:rsid w:val="00675A64"/>
    <w:rsid w:val="00676538"/>
    <w:rsid w:val="00680700"/>
    <w:rsid w:val="00683B3D"/>
    <w:rsid w:val="00690E7B"/>
    <w:rsid w:val="00696BB0"/>
    <w:rsid w:val="006B07A4"/>
    <w:rsid w:val="006C344D"/>
    <w:rsid w:val="006C78D6"/>
    <w:rsid w:val="006D0F24"/>
    <w:rsid w:val="006D21A4"/>
    <w:rsid w:val="006D5F02"/>
    <w:rsid w:val="006E6677"/>
    <w:rsid w:val="006E73AB"/>
    <w:rsid w:val="006E7493"/>
    <w:rsid w:val="006F0C4F"/>
    <w:rsid w:val="006F70FA"/>
    <w:rsid w:val="0070762E"/>
    <w:rsid w:val="00713377"/>
    <w:rsid w:val="007222B2"/>
    <w:rsid w:val="007245CE"/>
    <w:rsid w:val="007332ED"/>
    <w:rsid w:val="00745F4E"/>
    <w:rsid w:val="00746D68"/>
    <w:rsid w:val="00751623"/>
    <w:rsid w:val="00753318"/>
    <w:rsid w:val="00753E57"/>
    <w:rsid w:val="00755D7D"/>
    <w:rsid w:val="00763E38"/>
    <w:rsid w:val="007713D7"/>
    <w:rsid w:val="00772295"/>
    <w:rsid w:val="007777D2"/>
    <w:rsid w:val="00781700"/>
    <w:rsid w:val="00781CF7"/>
    <w:rsid w:val="007873AF"/>
    <w:rsid w:val="00790235"/>
    <w:rsid w:val="00791682"/>
    <w:rsid w:val="00795CF2"/>
    <w:rsid w:val="007A519A"/>
    <w:rsid w:val="007B0085"/>
    <w:rsid w:val="007B1264"/>
    <w:rsid w:val="007B74C0"/>
    <w:rsid w:val="007C149F"/>
    <w:rsid w:val="007D406C"/>
    <w:rsid w:val="007E0903"/>
    <w:rsid w:val="007E1F0F"/>
    <w:rsid w:val="007E3DEA"/>
    <w:rsid w:val="007E4DAC"/>
    <w:rsid w:val="007F7817"/>
    <w:rsid w:val="00802952"/>
    <w:rsid w:val="0081325F"/>
    <w:rsid w:val="00814330"/>
    <w:rsid w:val="0081603E"/>
    <w:rsid w:val="008170EB"/>
    <w:rsid w:val="00822472"/>
    <w:rsid w:val="008236B4"/>
    <w:rsid w:val="00837298"/>
    <w:rsid w:val="00840D7E"/>
    <w:rsid w:val="008422E8"/>
    <w:rsid w:val="00852C77"/>
    <w:rsid w:val="008536EC"/>
    <w:rsid w:val="00855861"/>
    <w:rsid w:val="00861FC6"/>
    <w:rsid w:val="0087144A"/>
    <w:rsid w:val="00871526"/>
    <w:rsid w:val="00873D48"/>
    <w:rsid w:val="0087443E"/>
    <w:rsid w:val="00883DEE"/>
    <w:rsid w:val="008852C1"/>
    <w:rsid w:val="008A7A1D"/>
    <w:rsid w:val="008B5102"/>
    <w:rsid w:val="008D21D1"/>
    <w:rsid w:val="008D5A12"/>
    <w:rsid w:val="008E26FD"/>
    <w:rsid w:val="008E2957"/>
    <w:rsid w:val="008F1829"/>
    <w:rsid w:val="008F3773"/>
    <w:rsid w:val="008F45BE"/>
    <w:rsid w:val="008F5F15"/>
    <w:rsid w:val="0090513F"/>
    <w:rsid w:val="009056BF"/>
    <w:rsid w:val="00905A03"/>
    <w:rsid w:val="00907E96"/>
    <w:rsid w:val="00911472"/>
    <w:rsid w:val="00924AC1"/>
    <w:rsid w:val="009264A0"/>
    <w:rsid w:val="00926D86"/>
    <w:rsid w:val="00930242"/>
    <w:rsid w:val="00935306"/>
    <w:rsid w:val="00942F64"/>
    <w:rsid w:val="00947037"/>
    <w:rsid w:val="00947FEA"/>
    <w:rsid w:val="009576B9"/>
    <w:rsid w:val="00961AB7"/>
    <w:rsid w:val="009623FF"/>
    <w:rsid w:val="0096795B"/>
    <w:rsid w:val="0097472A"/>
    <w:rsid w:val="00980E84"/>
    <w:rsid w:val="0098573D"/>
    <w:rsid w:val="00990B5A"/>
    <w:rsid w:val="009915DA"/>
    <w:rsid w:val="00994FA5"/>
    <w:rsid w:val="009A1DFF"/>
    <w:rsid w:val="009A5AE1"/>
    <w:rsid w:val="009A60B6"/>
    <w:rsid w:val="009B08FF"/>
    <w:rsid w:val="009B33D1"/>
    <w:rsid w:val="009C053C"/>
    <w:rsid w:val="009C0E7B"/>
    <w:rsid w:val="009C3B89"/>
    <w:rsid w:val="009D0107"/>
    <w:rsid w:val="009D1712"/>
    <w:rsid w:val="009D2E6B"/>
    <w:rsid w:val="009D3194"/>
    <w:rsid w:val="009D4F17"/>
    <w:rsid w:val="009D5BF9"/>
    <w:rsid w:val="009E7A65"/>
    <w:rsid w:val="009F09B4"/>
    <w:rsid w:val="009F0BA0"/>
    <w:rsid w:val="009F23C4"/>
    <w:rsid w:val="00A15904"/>
    <w:rsid w:val="00A32BF4"/>
    <w:rsid w:val="00A3658D"/>
    <w:rsid w:val="00A366D6"/>
    <w:rsid w:val="00A41088"/>
    <w:rsid w:val="00A42312"/>
    <w:rsid w:val="00A572F7"/>
    <w:rsid w:val="00A70634"/>
    <w:rsid w:val="00A74E2F"/>
    <w:rsid w:val="00A7578B"/>
    <w:rsid w:val="00A7605B"/>
    <w:rsid w:val="00A8386C"/>
    <w:rsid w:val="00A8428D"/>
    <w:rsid w:val="00A85B1C"/>
    <w:rsid w:val="00A85EE3"/>
    <w:rsid w:val="00A91D7B"/>
    <w:rsid w:val="00AA22D1"/>
    <w:rsid w:val="00AA55DB"/>
    <w:rsid w:val="00AB042E"/>
    <w:rsid w:val="00AB2A55"/>
    <w:rsid w:val="00AB4E5C"/>
    <w:rsid w:val="00AB650B"/>
    <w:rsid w:val="00AB7A54"/>
    <w:rsid w:val="00AC4D32"/>
    <w:rsid w:val="00AC6EBF"/>
    <w:rsid w:val="00AD2BCB"/>
    <w:rsid w:val="00AD3EC0"/>
    <w:rsid w:val="00AD4D96"/>
    <w:rsid w:val="00AD7C1C"/>
    <w:rsid w:val="00AF1F37"/>
    <w:rsid w:val="00B02E67"/>
    <w:rsid w:val="00B0766E"/>
    <w:rsid w:val="00B10454"/>
    <w:rsid w:val="00B119FF"/>
    <w:rsid w:val="00B200DB"/>
    <w:rsid w:val="00B24055"/>
    <w:rsid w:val="00B37CE4"/>
    <w:rsid w:val="00B45C5D"/>
    <w:rsid w:val="00B60CB8"/>
    <w:rsid w:val="00B650F6"/>
    <w:rsid w:val="00B8521B"/>
    <w:rsid w:val="00B90340"/>
    <w:rsid w:val="00BB5A8B"/>
    <w:rsid w:val="00BE6897"/>
    <w:rsid w:val="00BF1B9F"/>
    <w:rsid w:val="00BF2419"/>
    <w:rsid w:val="00C00426"/>
    <w:rsid w:val="00C006B3"/>
    <w:rsid w:val="00C01F15"/>
    <w:rsid w:val="00C01F7E"/>
    <w:rsid w:val="00C0448C"/>
    <w:rsid w:val="00C04DF2"/>
    <w:rsid w:val="00C05527"/>
    <w:rsid w:val="00C05DC0"/>
    <w:rsid w:val="00C12DD7"/>
    <w:rsid w:val="00C14AC9"/>
    <w:rsid w:val="00C16E92"/>
    <w:rsid w:val="00C178CB"/>
    <w:rsid w:val="00C221DB"/>
    <w:rsid w:val="00C23251"/>
    <w:rsid w:val="00C45850"/>
    <w:rsid w:val="00C46766"/>
    <w:rsid w:val="00C46F39"/>
    <w:rsid w:val="00C47156"/>
    <w:rsid w:val="00C56436"/>
    <w:rsid w:val="00C64259"/>
    <w:rsid w:val="00C66439"/>
    <w:rsid w:val="00C705E9"/>
    <w:rsid w:val="00C7481D"/>
    <w:rsid w:val="00C74870"/>
    <w:rsid w:val="00C80D1E"/>
    <w:rsid w:val="00C92749"/>
    <w:rsid w:val="00C931F3"/>
    <w:rsid w:val="00CA7624"/>
    <w:rsid w:val="00CB6644"/>
    <w:rsid w:val="00CC3B9D"/>
    <w:rsid w:val="00CD3A2F"/>
    <w:rsid w:val="00CD6D08"/>
    <w:rsid w:val="00CD72EC"/>
    <w:rsid w:val="00CE02D5"/>
    <w:rsid w:val="00CE53EE"/>
    <w:rsid w:val="00CF28BA"/>
    <w:rsid w:val="00CF7606"/>
    <w:rsid w:val="00CF79D1"/>
    <w:rsid w:val="00D04FF1"/>
    <w:rsid w:val="00D05BBB"/>
    <w:rsid w:val="00D2178E"/>
    <w:rsid w:val="00D34D8F"/>
    <w:rsid w:val="00D35024"/>
    <w:rsid w:val="00D3536D"/>
    <w:rsid w:val="00D37F01"/>
    <w:rsid w:val="00D430F7"/>
    <w:rsid w:val="00D447F9"/>
    <w:rsid w:val="00D549EF"/>
    <w:rsid w:val="00D55E9F"/>
    <w:rsid w:val="00D60311"/>
    <w:rsid w:val="00D61498"/>
    <w:rsid w:val="00D73245"/>
    <w:rsid w:val="00D76898"/>
    <w:rsid w:val="00D82AB6"/>
    <w:rsid w:val="00D8376C"/>
    <w:rsid w:val="00D85E64"/>
    <w:rsid w:val="00D86055"/>
    <w:rsid w:val="00D90DAC"/>
    <w:rsid w:val="00D92A3F"/>
    <w:rsid w:val="00D96B40"/>
    <w:rsid w:val="00DA2DD2"/>
    <w:rsid w:val="00DA77DF"/>
    <w:rsid w:val="00DD4518"/>
    <w:rsid w:val="00DE547A"/>
    <w:rsid w:val="00DF1A27"/>
    <w:rsid w:val="00DF211C"/>
    <w:rsid w:val="00DF30AC"/>
    <w:rsid w:val="00E13A65"/>
    <w:rsid w:val="00E14C4E"/>
    <w:rsid w:val="00E15C71"/>
    <w:rsid w:val="00E211C6"/>
    <w:rsid w:val="00E279D8"/>
    <w:rsid w:val="00E43279"/>
    <w:rsid w:val="00E574F2"/>
    <w:rsid w:val="00E715F0"/>
    <w:rsid w:val="00E7575A"/>
    <w:rsid w:val="00E870B4"/>
    <w:rsid w:val="00EA1B21"/>
    <w:rsid w:val="00EA2F19"/>
    <w:rsid w:val="00EA3A26"/>
    <w:rsid w:val="00EA5CF3"/>
    <w:rsid w:val="00EB3921"/>
    <w:rsid w:val="00EB686B"/>
    <w:rsid w:val="00EB7339"/>
    <w:rsid w:val="00EC7576"/>
    <w:rsid w:val="00ED357D"/>
    <w:rsid w:val="00EE3FC8"/>
    <w:rsid w:val="00EE724F"/>
    <w:rsid w:val="00EE7389"/>
    <w:rsid w:val="00F0446D"/>
    <w:rsid w:val="00F0636A"/>
    <w:rsid w:val="00F15C80"/>
    <w:rsid w:val="00F1631F"/>
    <w:rsid w:val="00F23667"/>
    <w:rsid w:val="00F278DD"/>
    <w:rsid w:val="00F31BDF"/>
    <w:rsid w:val="00F525E5"/>
    <w:rsid w:val="00F62817"/>
    <w:rsid w:val="00F67F92"/>
    <w:rsid w:val="00F7073E"/>
    <w:rsid w:val="00F72921"/>
    <w:rsid w:val="00F7628B"/>
    <w:rsid w:val="00F8106B"/>
    <w:rsid w:val="00F873A1"/>
    <w:rsid w:val="00FB0F01"/>
    <w:rsid w:val="00FB32CC"/>
    <w:rsid w:val="00FC4F02"/>
    <w:rsid w:val="00FD0B9C"/>
    <w:rsid w:val="00FD4A63"/>
    <w:rsid w:val="00FD6B18"/>
    <w:rsid w:val="00FE1C2F"/>
    <w:rsid w:val="00FE33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BA5CC"/>
  <w15:docId w15:val="{90CE1BFA-C3C5-4588-9ECE-B31A126B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5EE3"/>
    <w:rPr>
      <w:sz w:val="24"/>
      <w:szCs w:val="24"/>
    </w:rPr>
  </w:style>
  <w:style w:type="paragraph" w:styleId="Nadpis1">
    <w:name w:val="heading 1"/>
    <w:basedOn w:val="Normln"/>
    <w:next w:val="Normln"/>
    <w:qFormat/>
    <w:rsid w:val="00A85EE3"/>
    <w:pPr>
      <w:keepNext/>
      <w:outlineLvl w:val="0"/>
    </w:pPr>
    <w:rPr>
      <w:rFonts w:ascii="Arial" w:hAnsi="Arial" w:cs="Arial"/>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A85EE3"/>
    <w:pPr>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autoSpaceDE w:val="0"/>
      <w:autoSpaceDN w:val="0"/>
      <w:adjustRightInd w:val="0"/>
      <w:spacing w:before="120"/>
      <w:jc w:val="both"/>
    </w:pPr>
    <w:rPr>
      <w:rFonts w:ascii="Times New Roman CE obyèejné" w:hAnsi="Times New Roman CE obyèejné"/>
      <w:sz w:val="20"/>
      <w:szCs w:val="20"/>
    </w:rPr>
  </w:style>
  <w:style w:type="paragraph" w:styleId="Seznam">
    <w:name w:val="List"/>
    <w:basedOn w:val="Normln"/>
    <w:semiHidden/>
    <w:rsid w:val="00A85EE3"/>
    <w:pPr>
      <w:ind w:left="283" w:hanging="283"/>
    </w:pPr>
  </w:style>
  <w:style w:type="paragraph" w:styleId="Normlnweb">
    <w:name w:val="Normal (Web)"/>
    <w:basedOn w:val="Normln"/>
    <w:semiHidden/>
    <w:rsid w:val="00A85EE3"/>
    <w:pPr>
      <w:spacing w:before="100" w:beforeAutospacing="1" w:after="100" w:afterAutospacing="1"/>
    </w:pPr>
    <w:rPr>
      <w:color w:val="000000"/>
    </w:rPr>
  </w:style>
  <w:style w:type="paragraph" w:styleId="Textkomente">
    <w:name w:val="annotation text"/>
    <w:basedOn w:val="Normln"/>
    <w:link w:val="TextkomenteChar"/>
    <w:semiHidden/>
    <w:rsid w:val="00A85EE3"/>
    <w:rPr>
      <w:sz w:val="20"/>
      <w:szCs w:val="20"/>
    </w:rPr>
  </w:style>
  <w:style w:type="character" w:styleId="Odkaznakoment">
    <w:name w:val="annotation reference"/>
    <w:basedOn w:val="Standardnpsmoodstavce"/>
    <w:semiHidden/>
    <w:rsid w:val="00A85EE3"/>
    <w:rPr>
      <w:sz w:val="16"/>
      <w:szCs w:val="16"/>
    </w:rPr>
  </w:style>
  <w:style w:type="paragraph" w:styleId="Zkladntextodsazen">
    <w:name w:val="Body Text Indent"/>
    <w:basedOn w:val="Normln"/>
    <w:semiHidden/>
    <w:rsid w:val="00A85EE3"/>
    <w:pPr>
      <w:ind w:firstLine="360"/>
      <w:jc w:val="both"/>
    </w:pPr>
  </w:style>
  <w:style w:type="paragraph" w:styleId="Zkladntextodsazen2">
    <w:name w:val="Body Text Indent 2"/>
    <w:basedOn w:val="Normln"/>
    <w:semiHidden/>
    <w:rsid w:val="00A85EE3"/>
    <w:pPr>
      <w:spacing w:before="120"/>
      <w:ind w:firstLine="709"/>
      <w:jc w:val="both"/>
    </w:pPr>
    <w:rPr>
      <w:rFonts w:ascii="Arial" w:hAnsi="Arial" w:cs="Arial"/>
      <w:sz w:val="20"/>
    </w:rPr>
  </w:style>
  <w:style w:type="character" w:styleId="Hypertextovodkaz">
    <w:name w:val="Hyperlink"/>
    <w:basedOn w:val="Standardnpsmoodstavce"/>
    <w:semiHidden/>
    <w:rsid w:val="00A85EE3"/>
    <w:rPr>
      <w:color w:val="0000FF"/>
      <w:u w:val="single"/>
    </w:rPr>
  </w:style>
  <w:style w:type="character" w:styleId="Sledovanodkaz">
    <w:name w:val="FollowedHyperlink"/>
    <w:basedOn w:val="Standardnpsmoodstavce"/>
    <w:semiHidden/>
    <w:rsid w:val="00A85EE3"/>
    <w:rPr>
      <w:color w:val="800080"/>
      <w:u w:val="single"/>
    </w:rPr>
  </w:style>
  <w:style w:type="paragraph" w:styleId="Rozloendokumentu">
    <w:name w:val="Document Map"/>
    <w:basedOn w:val="Normln"/>
    <w:semiHidden/>
    <w:rsid w:val="00A85EE3"/>
    <w:pPr>
      <w:shd w:val="clear" w:color="auto" w:fill="000080"/>
    </w:pPr>
    <w:rPr>
      <w:rFonts w:ascii="Tahoma" w:hAnsi="Tahoma" w:cs="Tahoma"/>
    </w:rPr>
  </w:style>
  <w:style w:type="paragraph" w:styleId="Zkladntext3">
    <w:name w:val="Body Text 3"/>
    <w:basedOn w:val="Normln"/>
    <w:semiHidden/>
    <w:rsid w:val="00A85EE3"/>
    <w:pPr>
      <w:spacing w:line="360" w:lineRule="auto"/>
      <w:jc w:val="both"/>
    </w:pPr>
  </w:style>
  <w:style w:type="paragraph" w:customStyle="1" w:styleId="1">
    <w:name w:val="1"/>
    <w:basedOn w:val="Normln"/>
    <w:rsid w:val="00A85EE3"/>
    <w:pPr>
      <w:spacing w:before="100" w:beforeAutospacing="1" w:after="100" w:afterAutospacing="1"/>
    </w:pPr>
    <w:rPr>
      <w:rFonts w:ascii="Arial Unicode MS" w:eastAsia="Arial Unicode MS" w:hAnsi="Arial Unicode MS" w:cs="Arial Unicode MS"/>
    </w:rPr>
  </w:style>
  <w:style w:type="paragraph" w:styleId="Zhlav">
    <w:name w:val="header"/>
    <w:basedOn w:val="Normln"/>
    <w:semiHidden/>
    <w:rsid w:val="00A85EE3"/>
    <w:pPr>
      <w:tabs>
        <w:tab w:val="center" w:pos="4536"/>
        <w:tab w:val="right" w:pos="9072"/>
      </w:tabs>
    </w:pPr>
  </w:style>
  <w:style w:type="paragraph" w:styleId="Zpat">
    <w:name w:val="footer"/>
    <w:basedOn w:val="Normln"/>
    <w:semiHidden/>
    <w:rsid w:val="00A85EE3"/>
    <w:pPr>
      <w:tabs>
        <w:tab w:val="center" w:pos="4536"/>
        <w:tab w:val="right" w:pos="9072"/>
      </w:tabs>
    </w:pPr>
  </w:style>
  <w:style w:type="character" w:customStyle="1" w:styleId="ZkladntextChar">
    <w:name w:val="Základní text Char"/>
    <w:link w:val="Zkladntext"/>
    <w:semiHidden/>
    <w:rsid w:val="00C92749"/>
    <w:rPr>
      <w:rFonts w:ascii="Times New Roman CE obyèejné" w:hAnsi="Times New Roman CE obyèejné"/>
    </w:rPr>
  </w:style>
  <w:style w:type="character" w:styleId="Siln">
    <w:name w:val="Strong"/>
    <w:basedOn w:val="Standardnpsmoodstavce"/>
    <w:uiPriority w:val="22"/>
    <w:qFormat/>
    <w:rsid w:val="00C006B3"/>
    <w:rPr>
      <w:b/>
      <w:bCs/>
    </w:rPr>
  </w:style>
  <w:style w:type="paragraph" w:styleId="Textbubliny">
    <w:name w:val="Balloon Text"/>
    <w:basedOn w:val="Normln"/>
    <w:link w:val="TextbublinyChar"/>
    <w:uiPriority w:val="99"/>
    <w:semiHidden/>
    <w:unhideWhenUsed/>
    <w:rsid w:val="00190E25"/>
    <w:rPr>
      <w:rFonts w:ascii="Tahoma" w:hAnsi="Tahoma" w:cs="Tahoma"/>
      <w:sz w:val="16"/>
      <w:szCs w:val="16"/>
    </w:rPr>
  </w:style>
  <w:style w:type="character" w:customStyle="1" w:styleId="TextbublinyChar">
    <w:name w:val="Text bubliny Char"/>
    <w:basedOn w:val="Standardnpsmoodstavce"/>
    <w:link w:val="Textbubliny"/>
    <w:uiPriority w:val="99"/>
    <w:semiHidden/>
    <w:rsid w:val="00190E25"/>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D73245"/>
    <w:rPr>
      <w:b/>
      <w:bCs/>
    </w:rPr>
  </w:style>
  <w:style w:type="character" w:customStyle="1" w:styleId="TextkomenteChar">
    <w:name w:val="Text komentáře Char"/>
    <w:basedOn w:val="Standardnpsmoodstavce"/>
    <w:link w:val="Textkomente"/>
    <w:semiHidden/>
    <w:rsid w:val="00D73245"/>
  </w:style>
  <w:style w:type="character" w:customStyle="1" w:styleId="PedmtkomenteChar">
    <w:name w:val="Předmět komentáře Char"/>
    <w:basedOn w:val="TextkomenteChar"/>
    <w:link w:val="Pedmtkomente"/>
    <w:rsid w:val="00D73245"/>
  </w:style>
  <w:style w:type="paragraph" w:styleId="Revize">
    <w:name w:val="Revision"/>
    <w:hidden/>
    <w:uiPriority w:val="99"/>
    <w:semiHidden/>
    <w:rsid w:val="00D732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946397">
      <w:bodyDiv w:val="1"/>
      <w:marLeft w:val="60"/>
      <w:marRight w:val="60"/>
      <w:marTop w:val="60"/>
      <w:marBottom w:val="15"/>
      <w:divBdr>
        <w:top w:val="none" w:sz="0" w:space="0" w:color="auto"/>
        <w:left w:val="none" w:sz="0" w:space="0" w:color="auto"/>
        <w:bottom w:val="none" w:sz="0" w:space="0" w:color="auto"/>
        <w:right w:val="none" w:sz="0" w:space="0" w:color="auto"/>
      </w:divBdr>
      <w:divsChild>
        <w:div w:id="68625030">
          <w:marLeft w:val="0"/>
          <w:marRight w:val="0"/>
          <w:marTop w:val="0"/>
          <w:marBottom w:val="0"/>
          <w:divBdr>
            <w:top w:val="none" w:sz="0" w:space="0" w:color="auto"/>
            <w:left w:val="none" w:sz="0" w:space="0" w:color="auto"/>
            <w:bottom w:val="none" w:sz="0" w:space="0" w:color="auto"/>
            <w:right w:val="none" w:sz="0" w:space="0" w:color="auto"/>
          </w:divBdr>
        </w:div>
        <w:div w:id="215363218">
          <w:marLeft w:val="0"/>
          <w:marRight w:val="0"/>
          <w:marTop w:val="0"/>
          <w:marBottom w:val="0"/>
          <w:divBdr>
            <w:top w:val="none" w:sz="0" w:space="0" w:color="auto"/>
            <w:left w:val="none" w:sz="0" w:space="0" w:color="auto"/>
            <w:bottom w:val="none" w:sz="0" w:space="0" w:color="auto"/>
            <w:right w:val="none" w:sz="0" w:space="0" w:color="auto"/>
          </w:divBdr>
        </w:div>
      </w:divsChild>
    </w:div>
    <w:div w:id="1294098478">
      <w:bodyDiv w:val="1"/>
      <w:marLeft w:val="60"/>
      <w:marRight w:val="60"/>
      <w:marTop w:val="60"/>
      <w:marBottom w:val="15"/>
      <w:divBdr>
        <w:top w:val="none" w:sz="0" w:space="0" w:color="auto"/>
        <w:left w:val="none" w:sz="0" w:space="0" w:color="auto"/>
        <w:bottom w:val="none" w:sz="0" w:space="0" w:color="auto"/>
        <w:right w:val="none" w:sz="0" w:space="0" w:color="auto"/>
      </w:divBdr>
      <w:divsChild>
        <w:div w:id="54092756">
          <w:marLeft w:val="0"/>
          <w:marRight w:val="0"/>
          <w:marTop w:val="0"/>
          <w:marBottom w:val="0"/>
          <w:divBdr>
            <w:top w:val="none" w:sz="0" w:space="0" w:color="auto"/>
            <w:left w:val="none" w:sz="0" w:space="0" w:color="auto"/>
            <w:bottom w:val="none" w:sz="0" w:space="0" w:color="auto"/>
            <w:right w:val="none" w:sz="0" w:space="0" w:color="auto"/>
          </w:divBdr>
        </w:div>
        <w:div w:id="420611900">
          <w:marLeft w:val="0"/>
          <w:marRight w:val="0"/>
          <w:marTop w:val="0"/>
          <w:marBottom w:val="0"/>
          <w:divBdr>
            <w:top w:val="none" w:sz="0" w:space="0" w:color="auto"/>
            <w:left w:val="none" w:sz="0" w:space="0" w:color="auto"/>
            <w:bottom w:val="none" w:sz="0" w:space="0" w:color="auto"/>
            <w:right w:val="none" w:sz="0" w:space="0" w:color="auto"/>
          </w:divBdr>
        </w:div>
        <w:div w:id="1777870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stice.cz/web/msp/statisticke-udaje-z-oblasti-justice" TargetMode="External"/><Relationship Id="rId13" Type="http://schemas.openxmlformats.org/officeDocument/2006/relationships/hyperlink" Target="http://www.hzs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vcr.cz/ministerstvo.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dcr.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olicie.cz/statistiky-kriminalita.aspx" TargetMode="External"/><Relationship Id="rId4" Type="http://schemas.openxmlformats.org/officeDocument/2006/relationships/settings" Target="settings.xml"/><Relationship Id="rId9" Type="http://schemas.openxmlformats.org/officeDocument/2006/relationships/hyperlink" Target="http://www.vscr.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DEB2E-C039-42BE-B5EB-389C585CE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3566</Words>
  <Characters>21040</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29  KRIMINALITA, SOUDNICTVÍ, NEHODY, Metodické vysvětlivky, Statistická ročenka ČR 2024</vt:lpstr>
    </vt:vector>
  </TitlesOfParts>
  <Company>CSU</Company>
  <LinksUpToDate>false</LinksUpToDate>
  <CharactersWithSpaces>24557</CharactersWithSpaces>
  <SharedDoc>false</SharedDoc>
  <HLinks>
    <vt:vector size="30" baseType="variant">
      <vt:variant>
        <vt:i4>4456468</vt:i4>
      </vt:variant>
      <vt:variant>
        <vt:i4>12</vt:i4>
      </vt:variant>
      <vt:variant>
        <vt:i4>0</vt:i4>
      </vt:variant>
      <vt:variant>
        <vt:i4>5</vt:i4>
      </vt:variant>
      <vt:variant>
        <vt:lpwstr>http://www.mvcr.cz/ministerstvo.aspx</vt:lpwstr>
      </vt:variant>
      <vt:variant>
        <vt:lpwstr/>
      </vt:variant>
      <vt:variant>
        <vt:i4>983058</vt:i4>
      </vt:variant>
      <vt:variant>
        <vt:i4>9</vt:i4>
      </vt:variant>
      <vt:variant>
        <vt:i4>0</vt:i4>
      </vt:variant>
      <vt:variant>
        <vt:i4>5</vt:i4>
      </vt:variant>
      <vt:variant>
        <vt:lpwstr>http://www.mdcr.cz/cs/default.htm</vt:lpwstr>
      </vt:variant>
      <vt:variant>
        <vt:lpwstr/>
      </vt:variant>
      <vt:variant>
        <vt:i4>851990</vt:i4>
      </vt:variant>
      <vt:variant>
        <vt:i4>6</vt:i4>
      </vt:variant>
      <vt:variant>
        <vt:i4>0</vt:i4>
      </vt:variant>
      <vt:variant>
        <vt:i4>5</vt:i4>
      </vt:variant>
      <vt:variant>
        <vt:lpwstr>http://www.policie.cz/statistiky-kriminalita.aspx</vt:lpwstr>
      </vt:variant>
      <vt:variant>
        <vt:lpwstr/>
      </vt:variant>
      <vt:variant>
        <vt:i4>6946866</vt:i4>
      </vt:variant>
      <vt:variant>
        <vt:i4>3</vt:i4>
      </vt:variant>
      <vt:variant>
        <vt:i4>0</vt:i4>
      </vt:variant>
      <vt:variant>
        <vt:i4>5</vt:i4>
      </vt:variant>
      <vt:variant>
        <vt:lpwstr>http://www.vscr.cz/</vt:lpwstr>
      </vt:variant>
      <vt:variant>
        <vt:lpwstr/>
      </vt:variant>
      <vt:variant>
        <vt:i4>4653121</vt:i4>
      </vt:variant>
      <vt:variant>
        <vt:i4>0</vt:i4>
      </vt:variant>
      <vt:variant>
        <vt:i4>0</vt:i4>
      </vt:variant>
      <vt:variant>
        <vt:i4>5</vt:i4>
      </vt:variant>
      <vt:variant>
        <vt:lpwstr>http://portal.justice.cz/Justice2/Uvod/uvod.aspx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  KRIMINALITA, SOUDNICTVÍ, NEHODY, Metodické vysvětlivky, Statistická ročenka ČR 2025</dc:title>
  <dc:creator>Český statistický úřad</dc:creator>
  <cp:lastModifiedBy>Zadák Rostislav</cp:lastModifiedBy>
  <cp:revision>26</cp:revision>
  <cp:lastPrinted>2017-05-02T08:32:00Z</cp:lastPrinted>
  <dcterms:created xsi:type="dcterms:W3CDTF">2024-10-15T07:50:00Z</dcterms:created>
  <dcterms:modified xsi:type="dcterms:W3CDTF">2025-12-03T09:26:00Z</dcterms:modified>
</cp:coreProperties>
</file>