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9430D" w14:textId="6F9311A5" w:rsidR="0050331E" w:rsidRPr="0050331E" w:rsidRDefault="0050331E" w:rsidP="0050331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71BC"/>
          <w:sz w:val="24"/>
          <w:szCs w:val="24"/>
          <w:lang w:eastAsia="cs-CZ"/>
        </w:rPr>
      </w:pPr>
      <w:r w:rsidRPr="0050331E">
        <w:rPr>
          <w:rFonts w:ascii="Arial" w:eastAsia="Times New Roman" w:hAnsi="Arial" w:cs="Arial"/>
          <w:b/>
          <w:bCs/>
          <w:color w:val="0071BC"/>
          <w:sz w:val="24"/>
          <w:szCs w:val="24"/>
          <w:lang w:eastAsia="cs-CZ"/>
        </w:rPr>
        <w:t>19 CESTOVNÍ RUCH</w:t>
      </w:r>
    </w:p>
    <w:p w14:paraId="385DFE8C" w14:textId="77777777" w:rsidR="0050331E" w:rsidRPr="0050331E" w:rsidRDefault="0050331E" w:rsidP="0050331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F4310F1" w14:textId="77777777" w:rsidR="0033312A" w:rsidRPr="009D13F0" w:rsidRDefault="0033312A" w:rsidP="0033312A">
      <w:pPr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 w:rsidRPr="009D13F0">
        <w:rPr>
          <w:rFonts w:ascii="Arial" w:eastAsia="Times New Roman" w:hAnsi="Arial" w:cs="Arial"/>
          <w:b/>
          <w:color w:val="0071BC"/>
          <w:lang w:eastAsia="cs-CZ"/>
        </w:rPr>
        <w:t>Metodické vysvětlivky</w:t>
      </w:r>
    </w:p>
    <w:p w14:paraId="5AEDD480" w14:textId="77777777" w:rsidR="0033312A" w:rsidRPr="009D13F0" w:rsidRDefault="0033312A" w:rsidP="0033312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0FE225E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sz w:val="18"/>
          <w:szCs w:val="18"/>
          <w:lang w:eastAsia="cs-CZ"/>
        </w:rPr>
        <w:t>Do statistiky cestovního ruchu jsou zahrnuty údaje o kapacitě a výkonech hromadných ubytovacích zařízení sloužících cestovnímu ruchu, údaje z výběrového šetření v domácnostech o cestovních zvyklostech rezidentů, satelitního účtu cestovního ruchu (TSA) a modulu zaměstnanosti cestovního ruchu.</w:t>
      </w:r>
    </w:p>
    <w:p w14:paraId="60795141" w14:textId="77777777" w:rsidR="0033312A" w:rsidRPr="009D13F0" w:rsidRDefault="0033312A" w:rsidP="0033312A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92F140A" w14:textId="77777777" w:rsidR="0033312A" w:rsidRPr="009D13F0" w:rsidRDefault="0033312A" w:rsidP="003331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cs-CZ"/>
        </w:rPr>
      </w:pPr>
    </w:p>
    <w:p w14:paraId="0E208CEB" w14:textId="77777777" w:rsidR="0033312A" w:rsidRPr="009D13F0" w:rsidRDefault="0033312A" w:rsidP="003331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 w:rsidRPr="009D13F0">
        <w:rPr>
          <w:rFonts w:ascii="Arial" w:eastAsia="Times New Roman" w:hAnsi="Arial" w:cs="Arial"/>
          <w:b/>
          <w:color w:val="0071BC"/>
          <w:lang w:eastAsia="cs-CZ"/>
        </w:rPr>
        <w:t>Poznámky k tabulkám</w:t>
      </w:r>
    </w:p>
    <w:p w14:paraId="11CAB937" w14:textId="77777777" w:rsidR="0033312A" w:rsidRPr="009D13F0" w:rsidRDefault="0033312A" w:rsidP="0033312A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9301C0B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71BC"/>
          <w:lang w:eastAsia="cs-CZ"/>
        </w:rPr>
      </w:pPr>
      <w:r w:rsidRPr="009D13F0">
        <w:rPr>
          <w:rFonts w:ascii="Arial" w:eastAsia="Times New Roman" w:hAnsi="Arial" w:cs="Arial"/>
          <w:b/>
          <w:color w:val="0071BC"/>
          <w:lang w:eastAsia="cs-CZ"/>
        </w:rPr>
        <w:t xml:space="preserve">Tab. </w:t>
      </w:r>
      <w:r w:rsidRPr="009D13F0">
        <w:rPr>
          <w:rFonts w:ascii="Arial" w:eastAsia="Times New Roman" w:hAnsi="Arial" w:cs="Arial"/>
          <w:b/>
          <w:bCs/>
          <w:color w:val="0071BC"/>
          <w:lang w:eastAsia="cs-CZ"/>
        </w:rPr>
        <w:t>19</w:t>
      </w:r>
      <w:r>
        <w:rPr>
          <w:rFonts w:ascii="Arial" w:eastAsia="Times New Roman" w:hAnsi="Arial" w:cs="Arial"/>
          <w:b/>
          <w:bCs/>
          <w:color w:val="0071BC"/>
          <w:lang w:eastAsia="cs-CZ"/>
        </w:rPr>
        <w:t>.</w:t>
      </w:r>
      <w:r w:rsidRPr="009D13F0">
        <w:rPr>
          <w:rFonts w:ascii="Arial" w:eastAsia="Times New Roman" w:hAnsi="Arial" w:cs="Arial"/>
          <w:b/>
          <w:color w:val="0071BC"/>
          <w:lang w:eastAsia="cs-CZ"/>
        </w:rPr>
        <w:t xml:space="preserve">1 až </w:t>
      </w:r>
      <w:r w:rsidRPr="009D13F0">
        <w:rPr>
          <w:rFonts w:ascii="Arial" w:eastAsia="Times New Roman" w:hAnsi="Arial" w:cs="Arial"/>
          <w:b/>
          <w:bCs/>
          <w:color w:val="0071BC"/>
          <w:lang w:eastAsia="cs-CZ"/>
        </w:rPr>
        <w:t>19</w:t>
      </w:r>
      <w:r>
        <w:rPr>
          <w:rFonts w:ascii="Arial" w:eastAsia="Times New Roman" w:hAnsi="Arial" w:cs="Arial"/>
          <w:b/>
          <w:bCs/>
          <w:color w:val="0071BC"/>
          <w:lang w:eastAsia="cs-CZ"/>
        </w:rPr>
        <w:t>.</w:t>
      </w:r>
      <w:r w:rsidRPr="009D13F0">
        <w:rPr>
          <w:rFonts w:ascii="Arial" w:eastAsia="Times New Roman" w:hAnsi="Arial" w:cs="Arial"/>
          <w:b/>
          <w:color w:val="0071BC"/>
          <w:lang w:eastAsia="cs-CZ"/>
        </w:rPr>
        <w:t xml:space="preserve">4 </w:t>
      </w:r>
      <w:r w:rsidRPr="009D13F0">
        <w:rPr>
          <w:rFonts w:ascii="Arial" w:eastAsia="Times New Roman" w:hAnsi="Arial" w:cs="Arial"/>
          <w:b/>
          <w:bCs/>
          <w:color w:val="0071BC"/>
          <w:lang w:eastAsia="cs-CZ"/>
        </w:rPr>
        <w:t>Hromadná ubytovací zařízení cestovního ruchu</w:t>
      </w:r>
    </w:p>
    <w:p w14:paraId="35B09A27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bCs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Cs/>
          <w:sz w:val="18"/>
          <w:szCs w:val="18"/>
          <w:lang w:eastAsia="cs-CZ"/>
        </w:rPr>
        <w:t xml:space="preserve">Údaje o ubytovacích zařízeních jsou získávány ze šetření o kapacitách a návštěvnosti hromadných ubytovacích zařízení. 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>Uváděné údaje jsou souhrnem dat za zpracované dotazníky a dopočtenou non-response.</w:t>
      </w:r>
    </w:p>
    <w:p w14:paraId="5316A0EF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Hromadná ubytovací zařízení 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jsou zařízení s minimálně pěti samostatnými ubytovacími jednotkami (pokoji či apartmány) </w:t>
      </w:r>
      <w:proofErr w:type="gramStart"/>
      <w:r w:rsidRPr="009D13F0">
        <w:rPr>
          <w:rFonts w:ascii="Arial" w:eastAsia="Times New Roman" w:hAnsi="Arial" w:cs="Arial"/>
          <w:sz w:val="18"/>
          <w:szCs w:val="18"/>
          <w:lang w:eastAsia="cs-CZ"/>
        </w:rPr>
        <w:t>a</w:t>
      </w:r>
      <w:r>
        <w:rPr>
          <w:rFonts w:ascii="Arial" w:eastAsia="Times New Roman" w:hAnsi="Arial" w:cs="Arial"/>
          <w:sz w:val="18"/>
          <w:szCs w:val="18"/>
          <w:lang w:eastAsia="cs-CZ"/>
        </w:rPr>
        <w:t> 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zároveň</w:t>
      </w:r>
      <w:proofErr w:type="gramEnd"/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deseti a více lůžky, která poskytují přechodné ubytování hostům. Patří mezi ně hotely, motely, botely, penziony, turistické ubytovny, chatové osady, kempy a ostatní ubytovací zařízení. Ostatní ubytovací zařízení zahrnují např. rekreační zařízení podniků, školicí střediska, kulturně-historické objekty, lázeňská zařízení a jiná ubytovací zařízení, která vyčleňují lůžkovou kapacitu pro cestovní ruch (např. domovy mládeže, vysokoškolské koleje, podnikové ubytovny apod.).</w:t>
      </w:r>
    </w:p>
    <w:p w14:paraId="2628D7B4" w14:textId="77777777" w:rsidR="0033312A" w:rsidRPr="009D13F0" w:rsidRDefault="0033312A" w:rsidP="0033312A">
      <w:pPr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Maximální kapacita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hromadných ubytovacích zařízení cestovního ruchu je součtem maximálních kapacit za jednotlivá ubytovací zařízení.</w:t>
      </w:r>
    </w:p>
    <w:p w14:paraId="07E7D6EE" w14:textId="77777777" w:rsidR="0033312A" w:rsidRPr="009D13F0" w:rsidRDefault="0033312A" w:rsidP="0033312A">
      <w:pPr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bCs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Pokoje </w:t>
      </w:r>
      <w:r w:rsidRPr="009D13F0">
        <w:rPr>
          <w:rFonts w:ascii="Arial" w:eastAsia="Times New Roman" w:hAnsi="Arial" w:cs="Arial"/>
          <w:bCs/>
          <w:sz w:val="18"/>
          <w:szCs w:val="18"/>
          <w:lang w:eastAsia="cs-CZ"/>
        </w:rPr>
        <w:t>udávají maximální počet pokojů sloužících pro cestovní ruch. Nezapočítávají se pokoje pro ubytování personálu, majitelů zařízení a pokoje dlouhodobě sloužící pro ubytování zaměstnanců jiných podniků nebo studentů (déle než 1 rok).</w:t>
      </w:r>
    </w:p>
    <w:p w14:paraId="642D2753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Lůžka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v hromadných ubytovacích zařízeních udávají maximální počet všech </w:t>
      </w:r>
      <w:r w:rsidRPr="009D13F0">
        <w:rPr>
          <w:rFonts w:ascii="Arial" w:eastAsia="Times New Roman" w:hAnsi="Arial" w:cs="Arial"/>
          <w:bCs/>
          <w:sz w:val="18"/>
          <w:szCs w:val="18"/>
          <w:lang w:eastAsia="cs-CZ"/>
        </w:rPr>
        <w:t>stálých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lůžek, která jsou využívána výhradně pro noční odpočinek hostů (bez lůžek příležitostných – přistýlek).</w:t>
      </w:r>
    </w:p>
    <w:p w14:paraId="334A8434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Místa pro stany a karavany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udávají maximální počet stanovišť pro umístění stanů, obytných přívěsů a karavanů.</w:t>
      </w:r>
    </w:p>
    <w:p w14:paraId="4CBE8BB1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Host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v ubytovacím zařízení je každá osoba včetně dětí, která se zde přechodně ubytovala (kromě personálu a majitelů ubytovacího zařízení). Příjezd hosta nastává v okamžiku jeho nahlášení v ubytovacím zařízení. Host může využít služeb ubytovacího zařízení z důvodu dovolené, zájezdu, služební cesty, školení, kurzu, kongresu, sympozia, lázeňského léčebného pobytu, pobytu dětí ve škole v přírodě nebo na letních a zimních táborech apod. Mezi hosty se nezapočítávají osoby, které využívají služeb ubytovacího zařízení pro přechodné ubytování za účelem zaměstnání, či řádného studia.</w:t>
      </w:r>
    </w:p>
    <w:p w14:paraId="4501E61C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sz w:val="18"/>
          <w:szCs w:val="18"/>
          <w:lang w:eastAsia="cs-CZ"/>
        </w:rPr>
        <w:t>Nerezidentem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je osoba, která trvale žije v jiné zemi a na území ČR se zdržuje dobu kratš</w:t>
      </w:r>
      <w:r>
        <w:rPr>
          <w:rFonts w:ascii="Arial" w:eastAsia="Times New Roman" w:hAnsi="Arial" w:cs="Arial"/>
          <w:sz w:val="18"/>
          <w:szCs w:val="18"/>
          <w:lang w:eastAsia="cs-CZ"/>
        </w:rPr>
        <w:t>í než 1 rok (včetně občanů Česka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>).</w:t>
      </w:r>
    </w:p>
    <w:p w14:paraId="74E58DB8" w14:textId="77777777" w:rsidR="0033312A" w:rsidRPr="009D13F0" w:rsidRDefault="0033312A" w:rsidP="0033312A">
      <w:pPr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Počet přenocování 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>je celkový počet přenocování (strávených nocí) hostů v hromadných ubytovacích zařízeních ve sledovaném období.</w:t>
      </w:r>
    </w:p>
    <w:p w14:paraId="257ACBF9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Čisté využití lůžek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je podílem počtu přenocování za sledované období a součinu průměrného počtu lůžek k dispozici s počtem provozních dnů.</w:t>
      </w:r>
    </w:p>
    <w:p w14:paraId="72EFDA4F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sz w:val="18"/>
          <w:szCs w:val="18"/>
          <w:lang w:eastAsia="cs-CZ"/>
        </w:rPr>
        <w:t xml:space="preserve">Využití pokojů 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je podílem počtu realizovaných </w:t>
      </w:r>
      <w:proofErr w:type="spellStart"/>
      <w:r w:rsidRPr="009D13F0">
        <w:rPr>
          <w:rFonts w:ascii="Arial" w:eastAsia="Times New Roman" w:hAnsi="Arial" w:cs="Arial"/>
          <w:sz w:val="18"/>
          <w:szCs w:val="18"/>
          <w:lang w:eastAsia="cs-CZ"/>
        </w:rPr>
        <w:t>pokojodnů</w:t>
      </w:r>
      <w:proofErr w:type="spellEnd"/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(tj. počtu obsazených pokojů za jednotlivé dny sledovaného období) a součinu průměrného počtu pokojů k dispozici s počtem provozních dnů.</w:t>
      </w:r>
    </w:p>
    <w:p w14:paraId="7696F425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Průměrný počet přenocování 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>je</w:t>
      </w: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 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>průměrný počet přenocování připadající na jednoho hosta ve sledovaném období.</w:t>
      </w:r>
    </w:p>
    <w:p w14:paraId="18211B91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Průměrná doba pobytu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je o jeden den vyšší než průměrný počet přenocování.</w:t>
      </w:r>
    </w:p>
    <w:p w14:paraId="492B4159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B76CB9A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76D855F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 w:rsidRPr="009D13F0">
        <w:rPr>
          <w:rFonts w:ascii="Arial" w:eastAsia="Times New Roman" w:hAnsi="Arial" w:cs="Arial"/>
          <w:b/>
          <w:color w:val="0071BC"/>
          <w:lang w:eastAsia="cs-CZ"/>
        </w:rPr>
        <w:t xml:space="preserve">Tab. </w:t>
      </w:r>
      <w:r w:rsidRPr="009D13F0">
        <w:rPr>
          <w:rFonts w:ascii="Arial" w:eastAsia="Times New Roman" w:hAnsi="Arial" w:cs="Arial"/>
          <w:b/>
          <w:bCs/>
          <w:color w:val="0071BC"/>
          <w:lang w:eastAsia="cs-CZ"/>
        </w:rPr>
        <w:t>19</w:t>
      </w:r>
      <w:r>
        <w:rPr>
          <w:rFonts w:ascii="Arial" w:eastAsia="Times New Roman" w:hAnsi="Arial" w:cs="Arial"/>
          <w:b/>
          <w:bCs/>
          <w:color w:val="0071BC"/>
          <w:lang w:eastAsia="cs-CZ"/>
        </w:rPr>
        <w:t>.</w:t>
      </w:r>
      <w:r w:rsidRPr="009D13F0">
        <w:rPr>
          <w:rFonts w:ascii="Arial" w:eastAsia="Times New Roman" w:hAnsi="Arial" w:cs="Arial"/>
          <w:b/>
          <w:color w:val="0071BC"/>
          <w:lang w:eastAsia="cs-CZ"/>
        </w:rPr>
        <w:t xml:space="preserve">5 </w:t>
      </w:r>
      <w:r w:rsidRPr="009D13F0">
        <w:rPr>
          <w:rFonts w:ascii="Arial" w:eastAsia="Times New Roman" w:hAnsi="Arial" w:cs="Arial"/>
          <w:b/>
          <w:bCs/>
          <w:color w:val="0071BC"/>
          <w:lang w:eastAsia="cs-CZ"/>
        </w:rPr>
        <w:t>Delší cesty za účelem trávení volného času</w:t>
      </w:r>
    </w:p>
    <w:p w14:paraId="7FA270B7" w14:textId="77777777" w:rsidR="0033312A" w:rsidRPr="009D13F0" w:rsidRDefault="0033312A" w:rsidP="0033312A">
      <w:pPr>
        <w:tabs>
          <w:tab w:val="left" w:pos="0"/>
          <w:tab w:val="left" w:pos="54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Zdrojem údajů je </w:t>
      </w:r>
      <w:r w:rsidRPr="009D13F0">
        <w:rPr>
          <w:rFonts w:ascii="Arial" w:eastAsia="Times New Roman" w:hAnsi="Arial" w:cs="Arial"/>
          <w:bCs/>
          <w:sz w:val="18"/>
          <w:szCs w:val="18"/>
          <w:lang w:eastAsia="cs-CZ"/>
        </w:rPr>
        <w:t xml:space="preserve">výběrové šetření cestovního ruchu 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>(VŠCR). Šetření se provádí každý měsíc v náhodně vybraném vzorku domácností, dotazovány jsou osoby ve věku 15 a více let.</w:t>
      </w:r>
      <w:r w:rsidRPr="009D13F0">
        <w:rPr>
          <w:rFonts w:ascii="Arial" w:eastAsia="Times New Roman" w:hAnsi="Arial" w:cs="Arial"/>
          <w:bCs/>
          <w:sz w:val="18"/>
          <w:szCs w:val="18"/>
          <w:lang w:eastAsia="cs-CZ"/>
        </w:rPr>
        <w:t xml:space="preserve"> 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>Údaje o cestovních zvyklostech jsou zjišťovány u všech členů domácnosti a jsou pomocí váhových koeficientů přepočteny na populaci Česk</w:t>
      </w:r>
      <w:r>
        <w:rPr>
          <w:rFonts w:ascii="Arial" w:eastAsia="Times New Roman" w:hAnsi="Arial" w:cs="Arial"/>
          <w:sz w:val="18"/>
          <w:szCs w:val="18"/>
          <w:lang w:eastAsia="cs-CZ"/>
        </w:rPr>
        <w:t>a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ve věku 15 a více let.</w:t>
      </w:r>
    </w:p>
    <w:p w14:paraId="15CB0934" w14:textId="77777777" w:rsidR="0033312A" w:rsidRPr="009D13F0" w:rsidRDefault="0033312A" w:rsidP="0033312A">
      <w:pPr>
        <w:tabs>
          <w:tab w:val="left" w:pos="0"/>
          <w:tab w:val="left" w:pos="54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sz w:val="18"/>
          <w:szCs w:val="18"/>
          <w:lang w:eastAsia="cs-CZ"/>
        </w:rPr>
        <w:t>Respondenti jsou vedle dalších ukazatelů cestovního ruchu dotazováni na cesty s noclehem, jež uskutečnili ve sledovaném období za účelem trávení volného času a rekreace mimo své obvyklé prostředí (mimo své trvalé a přechodné bydliště, obvyklé pracoviště, školu a podobně). Za delší cesty jsou považovány cesty s nejméně 4 noclehy v řadě za sebou. Do celkového počtu delších cest nejsou zahrnuty služební cesty, pobyty v nemocnici apod.</w:t>
      </w:r>
    </w:p>
    <w:p w14:paraId="292CD8F3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sz w:val="18"/>
          <w:szCs w:val="18"/>
          <w:lang w:eastAsia="cs-CZ"/>
        </w:rPr>
        <w:t>U delších cest se za přenocování považuje nocleh v hromadném ubytovacím zařízení nebo placené či neplacené ubytování v soukromí, tj. včetně pobytu na vlastní chatě a chalupě, u příbuzných a známých, případně v přírodě, dále také ubytování v dopravním prostředku v průběhu uskutečněné cesty apod.</w:t>
      </w:r>
    </w:p>
    <w:p w14:paraId="388B9993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5E8F7830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102B6D5" w14:textId="77777777" w:rsidR="0033312A" w:rsidRPr="009D13F0" w:rsidRDefault="0033312A" w:rsidP="0033312A">
      <w:pPr>
        <w:keepNext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71BC"/>
          <w:lang w:eastAsia="cs-CZ"/>
        </w:rPr>
      </w:pPr>
      <w:r w:rsidRPr="009D13F0">
        <w:rPr>
          <w:rFonts w:ascii="Arial" w:eastAsia="Times New Roman" w:hAnsi="Arial" w:cs="Arial"/>
          <w:b/>
          <w:color w:val="0071BC"/>
          <w:lang w:eastAsia="cs-CZ"/>
        </w:rPr>
        <w:lastRenderedPageBreak/>
        <w:t xml:space="preserve">Tab. </w:t>
      </w:r>
      <w:r w:rsidRPr="009D13F0">
        <w:rPr>
          <w:rFonts w:ascii="Arial" w:eastAsia="Times New Roman" w:hAnsi="Arial" w:cs="Arial"/>
          <w:b/>
          <w:bCs/>
          <w:color w:val="0071BC"/>
          <w:lang w:eastAsia="cs-CZ"/>
        </w:rPr>
        <w:t>19</w:t>
      </w:r>
      <w:r>
        <w:rPr>
          <w:rFonts w:ascii="Arial" w:eastAsia="Times New Roman" w:hAnsi="Arial" w:cs="Arial"/>
          <w:b/>
          <w:bCs/>
          <w:color w:val="0071BC"/>
          <w:lang w:eastAsia="cs-CZ"/>
        </w:rPr>
        <w:t>.</w:t>
      </w:r>
      <w:r w:rsidRPr="009D13F0">
        <w:rPr>
          <w:rFonts w:ascii="Arial" w:eastAsia="Times New Roman" w:hAnsi="Arial" w:cs="Arial"/>
          <w:b/>
          <w:color w:val="0071BC"/>
          <w:lang w:eastAsia="cs-CZ"/>
        </w:rPr>
        <w:t xml:space="preserve">6 </w:t>
      </w:r>
      <w:r w:rsidRPr="009D13F0">
        <w:rPr>
          <w:rFonts w:ascii="Arial" w:eastAsia="Times New Roman" w:hAnsi="Arial" w:cs="Arial"/>
          <w:b/>
          <w:bCs/>
          <w:color w:val="0071BC"/>
          <w:lang w:eastAsia="cs-CZ"/>
        </w:rPr>
        <w:t>Satelitní účet cestovního ruchu Česk</w:t>
      </w:r>
      <w:r>
        <w:rPr>
          <w:rFonts w:ascii="Arial" w:eastAsia="Times New Roman" w:hAnsi="Arial" w:cs="Arial"/>
          <w:b/>
          <w:bCs/>
          <w:color w:val="0071BC"/>
          <w:lang w:eastAsia="cs-CZ"/>
        </w:rPr>
        <w:t>é republiky</w:t>
      </w:r>
    </w:p>
    <w:p w14:paraId="202CEAB7" w14:textId="77777777" w:rsidR="0033312A" w:rsidRPr="009D13F0" w:rsidRDefault="0033312A" w:rsidP="0033312A">
      <w:pPr>
        <w:keepNext/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Vnitřní cestovní ruch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(domácí a příjezdový) je cestovní ruch rezidentů i nerezidentů na území Česk</w:t>
      </w:r>
      <w:r>
        <w:rPr>
          <w:rFonts w:ascii="Arial" w:eastAsia="Times New Roman" w:hAnsi="Arial" w:cs="Arial"/>
          <w:sz w:val="18"/>
          <w:szCs w:val="18"/>
          <w:lang w:eastAsia="cs-CZ"/>
        </w:rPr>
        <w:t>a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. </w:t>
      </w: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Spotřeba ve vnitřním cestovním ruchu </w:t>
      </w:r>
      <w:r>
        <w:rPr>
          <w:rFonts w:ascii="Arial" w:eastAsia="Times New Roman" w:hAnsi="Arial" w:cs="Arial"/>
          <w:sz w:val="18"/>
          <w:szCs w:val="18"/>
          <w:lang w:eastAsia="cs-CZ"/>
        </w:rPr>
        <w:t>v Česku</w:t>
      </w: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 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>vyjadřuje celkový objem financí utracených za cestovní ruch v národním hospodářství, tj. všechny výdaje za cestovní ru</w:t>
      </w:r>
      <w:r>
        <w:rPr>
          <w:rFonts w:ascii="Arial" w:eastAsia="Times New Roman" w:hAnsi="Arial" w:cs="Arial"/>
          <w:sz w:val="18"/>
          <w:szCs w:val="18"/>
          <w:lang w:eastAsia="cs-CZ"/>
        </w:rPr>
        <w:t>ch realizované v Česku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>.</w:t>
      </w:r>
    </w:p>
    <w:p w14:paraId="76352014" w14:textId="77777777" w:rsidR="0033312A" w:rsidRPr="009D13F0" w:rsidRDefault="0033312A" w:rsidP="0033312A">
      <w:pPr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Domácí cestovní ruch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je cestov</w:t>
      </w:r>
      <w:r>
        <w:rPr>
          <w:rFonts w:ascii="Arial" w:eastAsia="Times New Roman" w:hAnsi="Arial" w:cs="Arial"/>
          <w:sz w:val="18"/>
          <w:szCs w:val="18"/>
          <w:lang w:eastAsia="cs-CZ"/>
        </w:rPr>
        <w:t>ní ruch rezidentů na území Česka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. </w:t>
      </w: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Spotřeba v domácím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</w:t>
      </w: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cestovním ruchu 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>je spot</w:t>
      </w:r>
      <w:r>
        <w:rPr>
          <w:rFonts w:ascii="Arial" w:eastAsia="Times New Roman" w:hAnsi="Arial" w:cs="Arial"/>
          <w:sz w:val="18"/>
          <w:szCs w:val="18"/>
          <w:lang w:eastAsia="cs-CZ"/>
        </w:rPr>
        <w:t>řeba rezidentů v Česku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>, a to i ta část spotřeby spojená s návštěvou (konečným cílem cesty) jiné země, pokud by</w:t>
      </w:r>
      <w:r>
        <w:rPr>
          <w:rFonts w:ascii="Arial" w:eastAsia="Times New Roman" w:hAnsi="Arial" w:cs="Arial"/>
          <w:sz w:val="18"/>
          <w:szCs w:val="18"/>
          <w:lang w:eastAsia="cs-CZ"/>
        </w:rPr>
        <w:t>la realizována v Česku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(např. marže tuzemských cestovních kanceláří či agentur zajišťujících zahraniční zájezd).</w:t>
      </w:r>
    </w:p>
    <w:p w14:paraId="6F1CA8E8" w14:textId="77777777" w:rsidR="0033312A" w:rsidRPr="009D13F0" w:rsidRDefault="0033312A" w:rsidP="0033312A">
      <w:pPr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Příjezdový cestovní ruch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zahrnuje návštěvu a pobyt nerezidentů na území Česk</w:t>
      </w:r>
      <w:r>
        <w:rPr>
          <w:rFonts w:ascii="Arial" w:eastAsia="Times New Roman" w:hAnsi="Arial" w:cs="Arial"/>
          <w:sz w:val="18"/>
          <w:szCs w:val="18"/>
          <w:lang w:eastAsia="cs-CZ"/>
        </w:rPr>
        <w:t>a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. </w:t>
      </w: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Spotřeba v příjezdovém cestovním ruchu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vyjadřuje celkový objem prostředků vydaných nerezidenty na cestovní ruch plynoucích do navštívené země. Započítávají se do ní i výdaje zaplacené v zemi nerezidenta, jako jsou např. platby za ubytování v rámci zájezdu, které směřují různými f</w:t>
      </w:r>
      <w:r>
        <w:rPr>
          <w:rFonts w:ascii="Arial" w:eastAsia="Times New Roman" w:hAnsi="Arial" w:cs="Arial"/>
          <w:sz w:val="18"/>
          <w:szCs w:val="18"/>
          <w:lang w:eastAsia="cs-CZ"/>
        </w:rPr>
        <w:t>ormami plateb do Česka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>.</w:t>
      </w:r>
    </w:p>
    <w:p w14:paraId="3988C00C" w14:textId="77777777" w:rsidR="0033312A" w:rsidRPr="009D13F0" w:rsidRDefault="0033312A" w:rsidP="0033312A">
      <w:pPr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Výjezdový cestovní ruch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zahrnuje návštěvu a pobyt rezidentů mimo území Česk</w:t>
      </w:r>
      <w:r>
        <w:rPr>
          <w:rFonts w:ascii="Arial" w:eastAsia="Times New Roman" w:hAnsi="Arial" w:cs="Arial"/>
          <w:sz w:val="18"/>
          <w:szCs w:val="18"/>
          <w:lang w:eastAsia="cs-CZ"/>
        </w:rPr>
        <w:t>a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. </w:t>
      </w: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Spotřeba ve výjezdovém cestovním ruchu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je chápána jako spotřeba rezidentských návštěvníků mimo území vlastní země (tj. všechny výdaje rezidentů za cestovní ruch realizované v zahraničí). Nezahrnuje výrobky zakoupené na cestu nebo po cestě v Česk</w:t>
      </w:r>
      <w:r>
        <w:rPr>
          <w:rFonts w:ascii="Arial" w:eastAsia="Times New Roman" w:hAnsi="Arial" w:cs="Arial"/>
          <w:sz w:val="18"/>
          <w:szCs w:val="18"/>
          <w:lang w:eastAsia="cs-CZ"/>
        </w:rPr>
        <w:t>u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(ty patří do spotřeby v domácím cestovním ruchu).</w:t>
      </w:r>
    </w:p>
    <w:p w14:paraId="4E3C5843" w14:textId="77777777" w:rsidR="0033312A" w:rsidRPr="009D13F0" w:rsidRDefault="0033312A" w:rsidP="0033312A">
      <w:pPr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Saldo cestovního ruchu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vyjadřuje rozdíl mezi objemy finančních prostředků mířících ze zahraničí do Česk</w:t>
      </w:r>
      <w:r>
        <w:rPr>
          <w:rFonts w:ascii="Arial" w:eastAsia="Times New Roman" w:hAnsi="Arial" w:cs="Arial"/>
          <w:sz w:val="18"/>
          <w:szCs w:val="18"/>
          <w:lang w:eastAsia="cs-CZ"/>
        </w:rPr>
        <w:t>a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a naopak.</w:t>
      </w:r>
    </w:p>
    <w:p w14:paraId="7C12DC40" w14:textId="77777777" w:rsidR="0033312A" w:rsidRPr="009D13F0" w:rsidRDefault="0033312A" w:rsidP="0033312A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A988240" w14:textId="77777777" w:rsidR="0033312A" w:rsidRPr="009D13F0" w:rsidRDefault="0033312A" w:rsidP="0033312A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7C9CCF5" w14:textId="77777777" w:rsidR="0033312A" w:rsidRPr="009D13F0" w:rsidRDefault="0033312A" w:rsidP="0033312A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 w:rsidRPr="009D13F0">
        <w:rPr>
          <w:rFonts w:ascii="Arial" w:eastAsia="Times New Roman" w:hAnsi="Arial" w:cs="Arial"/>
          <w:b/>
          <w:color w:val="0071BC"/>
          <w:lang w:eastAsia="cs-CZ"/>
        </w:rPr>
        <w:t xml:space="preserve">Tab. </w:t>
      </w:r>
      <w:r w:rsidRPr="009D13F0">
        <w:rPr>
          <w:rFonts w:ascii="Arial" w:eastAsia="Times New Roman" w:hAnsi="Arial" w:cs="Arial"/>
          <w:b/>
          <w:bCs/>
          <w:color w:val="0071BC"/>
          <w:lang w:eastAsia="cs-CZ"/>
        </w:rPr>
        <w:t>19</w:t>
      </w:r>
      <w:r>
        <w:rPr>
          <w:rFonts w:ascii="Arial" w:eastAsia="Times New Roman" w:hAnsi="Arial" w:cs="Arial"/>
          <w:b/>
          <w:color w:val="0071BC"/>
          <w:lang w:eastAsia="cs-CZ"/>
        </w:rPr>
        <w:t>.</w:t>
      </w:r>
      <w:r w:rsidRPr="009D13F0">
        <w:rPr>
          <w:rFonts w:ascii="Arial" w:eastAsia="Times New Roman" w:hAnsi="Arial" w:cs="Arial"/>
          <w:b/>
          <w:color w:val="0071BC"/>
          <w:lang w:eastAsia="cs-CZ"/>
        </w:rPr>
        <w:t xml:space="preserve">7 </w:t>
      </w:r>
      <w:r w:rsidRPr="009D13F0">
        <w:rPr>
          <w:rFonts w:ascii="Arial" w:eastAsia="Times New Roman" w:hAnsi="Arial" w:cs="Arial"/>
          <w:b/>
          <w:bCs/>
          <w:color w:val="0071BC"/>
          <w:lang w:eastAsia="cs-CZ"/>
        </w:rPr>
        <w:t>Modul zaměstnanosti cestovního ruchu Česk</w:t>
      </w:r>
      <w:r>
        <w:rPr>
          <w:rFonts w:ascii="Arial" w:eastAsia="Times New Roman" w:hAnsi="Arial" w:cs="Arial"/>
          <w:b/>
          <w:bCs/>
          <w:color w:val="0071BC"/>
          <w:lang w:eastAsia="cs-CZ"/>
        </w:rPr>
        <w:t>é republiky</w:t>
      </w:r>
    </w:p>
    <w:p w14:paraId="23C8A8A6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Počet zaměstnaných osob v cestovním ruchu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udává roční průměr počtu všech fyzických osob, které pracují v odvětví cestovního ruchu v hlavním zaměstnání nebo které dočasně nepracují, ale mají tzv. formální pracovní poměr. Zahrnuje počet zaměstnanců i osoby </w:t>
      </w:r>
      <w:proofErr w:type="spellStart"/>
      <w:r w:rsidRPr="009D13F0">
        <w:rPr>
          <w:rFonts w:ascii="Arial" w:eastAsia="Times New Roman" w:hAnsi="Arial" w:cs="Arial"/>
          <w:sz w:val="18"/>
          <w:szCs w:val="18"/>
          <w:lang w:eastAsia="cs-CZ"/>
        </w:rPr>
        <w:t>sebezaměstnané</w:t>
      </w:r>
      <w:proofErr w:type="spellEnd"/>
      <w:r w:rsidRPr="009D13F0">
        <w:rPr>
          <w:rFonts w:ascii="Arial" w:eastAsia="Times New Roman" w:hAnsi="Arial" w:cs="Arial"/>
          <w:sz w:val="18"/>
          <w:szCs w:val="18"/>
          <w:lang w:eastAsia="cs-CZ"/>
        </w:rPr>
        <w:t>.</w:t>
      </w:r>
    </w:p>
    <w:p w14:paraId="63FAB362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Počet pracovních míst v cestovním ruchu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zahrnuje navíc druhá a další zaměstnání a zároveň je přepočítán na ekvivalent plné pracovní doby (plný úvazek).</w:t>
      </w:r>
    </w:p>
    <w:p w14:paraId="23C09098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Podíly cestovního ruchu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na hlavních makroekonomických ukazatelích vyjadřují tzv. přímý vliv cestovního ruchu.</w:t>
      </w:r>
    </w:p>
    <w:p w14:paraId="2D77D077" w14:textId="77777777" w:rsidR="0033312A" w:rsidRPr="009D13F0" w:rsidRDefault="0033312A" w:rsidP="003331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68853660" w14:textId="77777777" w:rsidR="0033312A" w:rsidRPr="009D13F0" w:rsidRDefault="0033312A" w:rsidP="0033312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5983F636" w14:textId="77777777" w:rsidR="0033312A" w:rsidRPr="009D13F0" w:rsidRDefault="0033312A" w:rsidP="0033312A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 w:rsidRPr="009D13F0">
        <w:rPr>
          <w:rFonts w:ascii="Arial" w:eastAsia="Times New Roman" w:hAnsi="Arial" w:cs="Arial"/>
          <w:b/>
          <w:color w:val="0071BC"/>
          <w:lang w:eastAsia="cs-CZ"/>
        </w:rPr>
        <w:t xml:space="preserve">Tab. </w:t>
      </w:r>
      <w:r w:rsidRPr="009D13F0">
        <w:rPr>
          <w:rFonts w:ascii="Arial" w:eastAsia="Times New Roman" w:hAnsi="Arial" w:cs="Arial"/>
          <w:b/>
          <w:bCs/>
          <w:color w:val="0071BC"/>
          <w:lang w:eastAsia="cs-CZ"/>
        </w:rPr>
        <w:t>19</w:t>
      </w:r>
      <w:r>
        <w:rPr>
          <w:rFonts w:ascii="Arial" w:eastAsia="Times New Roman" w:hAnsi="Arial" w:cs="Arial"/>
          <w:b/>
          <w:bCs/>
          <w:color w:val="0071BC"/>
          <w:lang w:eastAsia="cs-CZ"/>
        </w:rPr>
        <w:t>.</w:t>
      </w:r>
      <w:r w:rsidRPr="009D13F0">
        <w:rPr>
          <w:rFonts w:ascii="Arial" w:eastAsia="Times New Roman" w:hAnsi="Arial" w:cs="Arial"/>
          <w:b/>
          <w:color w:val="0071BC"/>
          <w:lang w:eastAsia="cs-CZ"/>
        </w:rPr>
        <w:t xml:space="preserve">8 </w:t>
      </w:r>
      <w:r w:rsidRPr="009D13F0">
        <w:rPr>
          <w:rFonts w:ascii="Arial" w:eastAsia="Times New Roman" w:hAnsi="Arial" w:cs="Arial"/>
          <w:b/>
          <w:bCs/>
          <w:color w:val="0071BC"/>
          <w:lang w:eastAsia="cs-CZ"/>
        </w:rPr>
        <w:t>Regionální satelitní účet cestovního ruchu Česk</w:t>
      </w:r>
      <w:r>
        <w:rPr>
          <w:rFonts w:ascii="Arial" w:eastAsia="Times New Roman" w:hAnsi="Arial" w:cs="Arial"/>
          <w:b/>
          <w:bCs/>
          <w:color w:val="0071BC"/>
          <w:lang w:eastAsia="cs-CZ"/>
        </w:rPr>
        <w:t>é republiky</w:t>
      </w:r>
    </w:p>
    <w:p w14:paraId="368960B1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Regionální satelitní účet cestovního ruchu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 xml:space="preserve"> poskytuje informace o ekonomickém významu ce</w:t>
      </w:r>
      <w:r>
        <w:rPr>
          <w:rFonts w:ascii="Arial" w:eastAsia="Times New Roman" w:hAnsi="Arial" w:cs="Arial"/>
          <w:sz w:val="18"/>
          <w:szCs w:val="18"/>
          <w:lang w:eastAsia="cs-CZ"/>
        </w:rPr>
        <w:t>stovního ruchu v regionech Česka</w:t>
      </w:r>
      <w:r w:rsidRPr="009D13F0">
        <w:rPr>
          <w:rFonts w:ascii="Arial" w:eastAsia="Times New Roman" w:hAnsi="Arial" w:cs="Arial"/>
          <w:sz w:val="18"/>
          <w:szCs w:val="18"/>
          <w:lang w:eastAsia="cs-CZ"/>
        </w:rPr>
        <w:t>. Představuje regionální specifikaci satelitního účtu cestovního ruchu (TSA) na národní úrovni. Při sestavování je využívána metoda „top-</w:t>
      </w:r>
      <w:proofErr w:type="spellStart"/>
      <w:r w:rsidRPr="009D13F0">
        <w:rPr>
          <w:rFonts w:ascii="Arial" w:eastAsia="Times New Roman" w:hAnsi="Arial" w:cs="Arial"/>
          <w:sz w:val="18"/>
          <w:szCs w:val="18"/>
          <w:lang w:eastAsia="cs-CZ"/>
        </w:rPr>
        <w:t>down</w:t>
      </w:r>
      <w:proofErr w:type="spellEnd"/>
      <w:r w:rsidRPr="009D13F0">
        <w:rPr>
          <w:rFonts w:ascii="Arial" w:eastAsia="Times New Roman" w:hAnsi="Arial" w:cs="Arial"/>
          <w:sz w:val="18"/>
          <w:szCs w:val="18"/>
          <w:lang w:eastAsia="cs-CZ"/>
        </w:rPr>
        <w:t>“.</w:t>
      </w:r>
    </w:p>
    <w:p w14:paraId="4F4F2F6E" w14:textId="77777777" w:rsidR="0033312A" w:rsidRPr="009D13F0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9D13F0">
        <w:rPr>
          <w:rFonts w:ascii="Arial" w:eastAsia="Times New Roman" w:hAnsi="Arial" w:cs="Arial"/>
          <w:sz w:val="18"/>
          <w:szCs w:val="18"/>
          <w:lang w:eastAsia="cs-CZ"/>
        </w:rPr>
        <w:t>Data jsou rozdělena podle klasifikace NUTS (jednotná klasifikace územního členění Evropské unie) do úrovně NUTS 2 – regiony soudržnosti a NUTS 3 – kraje.</w:t>
      </w:r>
    </w:p>
    <w:p w14:paraId="2BDB7397" w14:textId="77777777" w:rsidR="0033312A" w:rsidRPr="00B548DA" w:rsidRDefault="0033312A" w:rsidP="0033312A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5AFF518B" w14:textId="77777777" w:rsidR="008148EE" w:rsidRPr="00B548DA" w:rsidRDefault="008148EE" w:rsidP="00B3255D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FE81C2A" w14:textId="77777777" w:rsidR="008148EE" w:rsidRPr="00B548DA" w:rsidRDefault="008148EE" w:rsidP="00B3255D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71BC"/>
          <w:lang w:eastAsia="cs-CZ"/>
        </w:rPr>
      </w:pPr>
      <w:r w:rsidRPr="00B548DA">
        <w:rPr>
          <w:rFonts w:ascii="Arial" w:eastAsia="Times New Roman" w:hAnsi="Arial" w:cs="Arial"/>
          <w:color w:val="0071BC"/>
          <w:lang w:eastAsia="cs-CZ"/>
        </w:rPr>
        <w:t>*          *          *</w:t>
      </w:r>
    </w:p>
    <w:p w14:paraId="568D227E" w14:textId="77777777" w:rsidR="008148EE" w:rsidRPr="00B548DA" w:rsidRDefault="008148EE" w:rsidP="00B3255D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F710E31" w14:textId="77777777" w:rsidR="008148EE" w:rsidRPr="00B548DA" w:rsidRDefault="008148EE" w:rsidP="00B3255D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F3A6683" w14:textId="77777777" w:rsidR="008148EE" w:rsidRPr="00B548DA" w:rsidRDefault="008148EE" w:rsidP="00B3255D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B548DA">
        <w:rPr>
          <w:rFonts w:ascii="Arial" w:eastAsia="Times New Roman" w:hAnsi="Arial" w:cs="Arial"/>
          <w:sz w:val="18"/>
          <w:szCs w:val="18"/>
          <w:lang w:eastAsia="cs-CZ"/>
        </w:rPr>
        <w:t>Další informace jsou dostupné na internetových stránkách Českého statistického úřadu:</w:t>
      </w:r>
    </w:p>
    <w:p w14:paraId="7A78E2CA" w14:textId="70687818" w:rsidR="007B15D5" w:rsidRPr="001D54AB" w:rsidRDefault="007B15D5" w:rsidP="007B15D5">
      <w:pPr>
        <w:spacing w:before="120" w:after="0" w:line="240" w:lineRule="auto"/>
        <w:rPr>
          <w:rFonts w:ascii="Arial" w:eastAsia="Arial Unicode MS" w:hAnsi="Arial" w:cs="Arial"/>
          <w:sz w:val="18"/>
          <w:szCs w:val="18"/>
          <w:lang w:eastAsia="cs-CZ"/>
        </w:rPr>
      </w:pPr>
      <w:r w:rsidRPr="001D54AB">
        <w:rPr>
          <w:rFonts w:ascii="Arial" w:eastAsia="Arial Unicode MS" w:hAnsi="Arial" w:cs="Arial"/>
          <w:i/>
          <w:iCs/>
          <w:sz w:val="18"/>
          <w:szCs w:val="18"/>
          <w:lang w:eastAsia="cs-CZ"/>
        </w:rPr>
        <w:t>–</w:t>
      </w:r>
      <w:r w:rsidRPr="001D54AB">
        <w:rPr>
          <w:rFonts w:ascii="Arial" w:eastAsia="Arial Unicode MS" w:hAnsi="Arial" w:cs="Arial"/>
          <w:sz w:val="18"/>
          <w:szCs w:val="18"/>
          <w:lang w:eastAsia="cs-CZ"/>
        </w:rPr>
        <w:t> </w:t>
      </w:r>
      <w:hyperlink r:id="rId11" w:history="1">
        <w:r w:rsidR="001D54AB" w:rsidRPr="008C581E">
          <w:rPr>
            <w:rStyle w:val="Hypertextovodkaz"/>
            <w:rFonts w:ascii="Arial" w:eastAsia="Arial Unicode MS" w:hAnsi="Arial" w:cs="Arial"/>
            <w:sz w:val="18"/>
            <w:szCs w:val="18"/>
            <w:lang w:eastAsia="cs-CZ"/>
          </w:rPr>
          <w:t>www.</w:t>
        </w:r>
        <w:r w:rsidRPr="008C581E">
          <w:rPr>
            <w:rStyle w:val="Hypertextovodkaz"/>
            <w:rFonts w:ascii="Arial" w:hAnsi="Arial" w:cs="Arial"/>
            <w:sz w:val="18"/>
            <w:szCs w:val="18"/>
          </w:rPr>
          <w:t>csu.gov.cz/cestovni-ruch</w:t>
        </w:r>
      </w:hyperlink>
    </w:p>
    <w:sectPr w:rsidR="007B15D5" w:rsidRPr="001D54AB" w:rsidSect="002726C7">
      <w:pgSz w:w="11906" w:h="16838" w:code="9"/>
      <w:pgMar w:top="1134" w:right="964" w:bottom="1418" w:left="964" w:header="510" w:footer="680" w:gutter="0"/>
      <w:pgNumType w:start="5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39EEE" w14:textId="77777777" w:rsidR="00346CBC" w:rsidRDefault="00346CBC" w:rsidP="00A136A3">
      <w:r>
        <w:separator/>
      </w:r>
    </w:p>
  </w:endnote>
  <w:endnote w:type="continuationSeparator" w:id="0">
    <w:p w14:paraId="7B81FF44" w14:textId="77777777" w:rsidR="00346CBC" w:rsidRDefault="00346CBC" w:rsidP="00A1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C09E6" w14:textId="77777777" w:rsidR="00346CBC" w:rsidRDefault="00346CBC" w:rsidP="00A136A3">
      <w:r>
        <w:separator/>
      </w:r>
    </w:p>
  </w:footnote>
  <w:footnote w:type="continuationSeparator" w:id="0">
    <w:p w14:paraId="281B6B1F" w14:textId="77777777" w:rsidR="00346CBC" w:rsidRDefault="00346CBC" w:rsidP="00A13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5DF9"/>
    <w:multiLevelType w:val="hybridMultilevel"/>
    <w:tmpl w:val="BBE490D4"/>
    <w:lvl w:ilvl="0" w:tplc="A95A6686">
      <w:start w:val="1"/>
      <w:numFmt w:val="bullet"/>
      <w:lvlText w:val="-"/>
      <w:lvlJc w:val="left"/>
      <w:pPr>
        <w:tabs>
          <w:tab w:val="num" w:pos="1871"/>
        </w:tabs>
        <w:ind w:left="1871" w:hanging="28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CF0010E"/>
    <w:multiLevelType w:val="multilevel"/>
    <w:tmpl w:val="3F3AEB90"/>
    <w:lvl w:ilvl="0">
      <w:start w:val="1"/>
      <w:numFmt w:val="decimal"/>
      <w:pStyle w:val="Rnadpis"/>
      <w:lvlText w:val="%1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abulka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AF02FE"/>
    <w:multiLevelType w:val="hybridMultilevel"/>
    <w:tmpl w:val="A29266D0"/>
    <w:lvl w:ilvl="0" w:tplc="BC8E353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03FDB"/>
    <w:multiLevelType w:val="singleLevel"/>
    <w:tmpl w:val="E4A422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4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A0290"/>
    <w:multiLevelType w:val="singleLevel"/>
    <w:tmpl w:val="EECA49DA"/>
    <w:lvl w:ilvl="0">
      <w:start w:val="8"/>
      <w:numFmt w:val="bullet"/>
      <w:lvlText w:val="-"/>
      <w:lvlJc w:val="left"/>
      <w:pPr>
        <w:tabs>
          <w:tab w:val="num" w:pos="1443"/>
        </w:tabs>
        <w:ind w:left="1443" w:hanging="735"/>
      </w:pPr>
      <w:rPr>
        <w:rFonts w:hint="default"/>
      </w:rPr>
    </w:lvl>
  </w:abstractNum>
  <w:abstractNum w:abstractNumId="6" w15:restartNumberingAfterBreak="0">
    <w:nsid w:val="2B005284"/>
    <w:multiLevelType w:val="singleLevel"/>
    <w:tmpl w:val="BEDE03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</w:abstractNum>
  <w:abstractNum w:abstractNumId="7" w15:restartNumberingAfterBreak="0">
    <w:nsid w:val="36575FB1"/>
    <w:multiLevelType w:val="hybridMultilevel"/>
    <w:tmpl w:val="B7E2E6AA"/>
    <w:lvl w:ilvl="0" w:tplc="C8C487C0">
      <w:start w:val="1"/>
      <w:numFmt w:val="lowerRoman"/>
      <w:lvlText w:val="%1)"/>
      <w:lvlJc w:val="left"/>
      <w:pPr>
        <w:ind w:left="1146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57E5F"/>
    <w:multiLevelType w:val="singleLevel"/>
    <w:tmpl w:val="C2FE0DF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</w:abstractNum>
  <w:abstractNum w:abstractNumId="9" w15:restartNumberingAfterBreak="0">
    <w:nsid w:val="37CC5066"/>
    <w:multiLevelType w:val="hybridMultilevel"/>
    <w:tmpl w:val="67F49080"/>
    <w:lvl w:ilvl="0" w:tplc="6C3EE854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87F2640"/>
    <w:multiLevelType w:val="singleLevel"/>
    <w:tmpl w:val="42F29A38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1" w15:restartNumberingAfterBreak="0">
    <w:nsid w:val="3E3C4441"/>
    <w:multiLevelType w:val="hybridMultilevel"/>
    <w:tmpl w:val="67F49080"/>
    <w:lvl w:ilvl="0" w:tplc="6C3EE854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4094F94"/>
    <w:multiLevelType w:val="hybridMultilevel"/>
    <w:tmpl w:val="DABCDCF0"/>
    <w:lvl w:ilvl="0" w:tplc="907A372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13" w15:restartNumberingAfterBreak="0">
    <w:nsid w:val="4A6B2931"/>
    <w:multiLevelType w:val="hybridMultilevel"/>
    <w:tmpl w:val="DBBC5030"/>
    <w:lvl w:ilvl="0" w:tplc="BCDE4670">
      <w:start w:val="1"/>
      <w:numFmt w:val="decimal"/>
      <w:pStyle w:val="104"/>
      <w:lvlText w:val="10.4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B03CA2"/>
    <w:multiLevelType w:val="hybridMultilevel"/>
    <w:tmpl w:val="65DAD58E"/>
    <w:lvl w:ilvl="0" w:tplc="28BC16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AA67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32B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27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C6A5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28C0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BCC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4E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80F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7324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61511DB"/>
    <w:multiLevelType w:val="singleLevel"/>
    <w:tmpl w:val="75907F7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</w:rPr>
    </w:lvl>
  </w:abstractNum>
  <w:abstractNum w:abstractNumId="18" w15:restartNumberingAfterBreak="0">
    <w:nsid w:val="6A2439DD"/>
    <w:multiLevelType w:val="multilevel"/>
    <w:tmpl w:val="0A3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24137A"/>
    <w:multiLevelType w:val="hybridMultilevel"/>
    <w:tmpl w:val="A1F4A55E"/>
    <w:lvl w:ilvl="0" w:tplc="3236CDC0">
      <w:start w:val="1"/>
      <w:numFmt w:val="lowerRoman"/>
      <w:lvlText w:val="%1)"/>
      <w:lvlJc w:val="left"/>
      <w:pPr>
        <w:ind w:left="1146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06631"/>
    <w:multiLevelType w:val="hybridMultilevel"/>
    <w:tmpl w:val="CCBAA1D4"/>
    <w:lvl w:ilvl="0" w:tplc="6A26BC42">
      <w:start w:val="5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325752">
    <w:abstractNumId w:val="1"/>
  </w:num>
  <w:num w:numId="2" w16cid:durableId="126968982">
    <w:abstractNumId w:val="21"/>
  </w:num>
  <w:num w:numId="3" w16cid:durableId="1989163647">
    <w:abstractNumId w:val="19"/>
  </w:num>
  <w:num w:numId="4" w16cid:durableId="910194848">
    <w:abstractNumId w:val="14"/>
  </w:num>
  <w:num w:numId="5" w16cid:durableId="515844923">
    <w:abstractNumId w:val="13"/>
  </w:num>
  <w:num w:numId="6" w16cid:durableId="452557572">
    <w:abstractNumId w:val="4"/>
  </w:num>
  <w:num w:numId="7" w16cid:durableId="1041591172">
    <w:abstractNumId w:val="7"/>
  </w:num>
  <w:num w:numId="8" w16cid:durableId="734279037">
    <w:abstractNumId w:val="20"/>
  </w:num>
  <w:num w:numId="9" w16cid:durableId="18469396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7877431">
    <w:abstractNumId w:val="9"/>
  </w:num>
  <w:num w:numId="11" w16cid:durableId="474840096">
    <w:abstractNumId w:val="10"/>
  </w:num>
  <w:num w:numId="12" w16cid:durableId="1025449158">
    <w:abstractNumId w:val="3"/>
  </w:num>
  <w:num w:numId="13" w16cid:durableId="964391755">
    <w:abstractNumId w:val="16"/>
  </w:num>
  <w:num w:numId="14" w16cid:durableId="362287327">
    <w:abstractNumId w:val="15"/>
  </w:num>
  <w:num w:numId="15" w16cid:durableId="1988970941">
    <w:abstractNumId w:val="5"/>
  </w:num>
  <w:num w:numId="16" w16cid:durableId="1477988496">
    <w:abstractNumId w:val="8"/>
  </w:num>
  <w:num w:numId="17" w16cid:durableId="613173708">
    <w:abstractNumId w:val="17"/>
  </w:num>
  <w:num w:numId="18" w16cid:durableId="41953125">
    <w:abstractNumId w:val="6"/>
  </w:num>
  <w:num w:numId="19" w16cid:durableId="1657146891">
    <w:abstractNumId w:val="2"/>
  </w:num>
  <w:num w:numId="20" w16cid:durableId="123810358">
    <w:abstractNumId w:val="0"/>
  </w:num>
  <w:num w:numId="21" w16cid:durableId="1454324313">
    <w:abstractNumId w:val="12"/>
  </w:num>
  <w:num w:numId="22" w16cid:durableId="62945780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cs-CZ" w:vendorID="64" w:dllVersion="0" w:nlCheck="1" w:checkStyle="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EF5"/>
    <w:rsid w:val="00004A75"/>
    <w:rsid w:val="000107C6"/>
    <w:rsid w:val="00012A2C"/>
    <w:rsid w:val="0001422F"/>
    <w:rsid w:val="000168A5"/>
    <w:rsid w:val="00016CAB"/>
    <w:rsid w:val="00021C40"/>
    <w:rsid w:val="0002215C"/>
    <w:rsid w:val="00022EDD"/>
    <w:rsid w:val="00026995"/>
    <w:rsid w:val="00035D76"/>
    <w:rsid w:val="000500F8"/>
    <w:rsid w:val="000531A2"/>
    <w:rsid w:val="00054C90"/>
    <w:rsid w:val="000550B2"/>
    <w:rsid w:val="000569D7"/>
    <w:rsid w:val="00072100"/>
    <w:rsid w:val="00077DB0"/>
    <w:rsid w:val="000851E7"/>
    <w:rsid w:val="00091E37"/>
    <w:rsid w:val="00095D33"/>
    <w:rsid w:val="000A0039"/>
    <w:rsid w:val="000A4614"/>
    <w:rsid w:val="000B7755"/>
    <w:rsid w:val="000C2B8E"/>
    <w:rsid w:val="000D126B"/>
    <w:rsid w:val="000D33AE"/>
    <w:rsid w:val="00103CB2"/>
    <w:rsid w:val="0011094C"/>
    <w:rsid w:val="00112D61"/>
    <w:rsid w:val="00113ABA"/>
    <w:rsid w:val="00115ACF"/>
    <w:rsid w:val="00116D82"/>
    <w:rsid w:val="00117FA0"/>
    <w:rsid w:val="00121568"/>
    <w:rsid w:val="00125882"/>
    <w:rsid w:val="00134A76"/>
    <w:rsid w:val="001472FD"/>
    <w:rsid w:val="0015701C"/>
    <w:rsid w:val="00160B5A"/>
    <w:rsid w:val="001653F9"/>
    <w:rsid w:val="00165F24"/>
    <w:rsid w:val="00170EC7"/>
    <w:rsid w:val="0017164F"/>
    <w:rsid w:val="00175446"/>
    <w:rsid w:val="00175D5F"/>
    <w:rsid w:val="00177424"/>
    <w:rsid w:val="0018004A"/>
    <w:rsid w:val="001800FB"/>
    <w:rsid w:val="00180CFF"/>
    <w:rsid w:val="0018315A"/>
    <w:rsid w:val="00191463"/>
    <w:rsid w:val="001946BE"/>
    <w:rsid w:val="00195642"/>
    <w:rsid w:val="00195F2B"/>
    <w:rsid w:val="001A611A"/>
    <w:rsid w:val="001B0028"/>
    <w:rsid w:val="001B66D2"/>
    <w:rsid w:val="001D54AB"/>
    <w:rsid w:val="001D7215"/>
    <w:rsid w:val="001E07DD"/>
    <w:rsid w:val="001E0D9F"/>
    <w:rsid w:val="001E256D"/>
    <w:rsid w:val="001E723A"/>
    <w:rsid w:val="001F4517"/>
    <w:rsid w:val="001F5F9C"/>
    <w:rsid w:val="002026CF"/>
    <w:rsid w:val="002031F9"/>
    <w:rsid w:val="00207E65"/>
    <w:rsid w:val="00213538"/>
    <w:rsid w:val="00214301"/>
    <w:rsid w:val="002152BA"/>
    <w:rsid w:val="00220BC5"/>
    <w:rsid w:val="0022104D"/>
    <w:rsid w:val="00222B32"/>
    <w:rsid w:val="00222CD7"/>
    <w:rsid w:val="00223BFC"/>
    <w:rsid w:val="00251909"/>
    <w:rsid w:val="002638B5"/>
    <w:rsid w:val="00264111"/>
    <w:rsid w:val="00266582"/>
    <w:rsid w:val="002726C7"/>
    <w:rsid w:val="00276D4E"/>
    <w:rsid w:val="0027775D"/>
    <w:rsid w:val="00284E15"/>
    <w:rsid w:val="00290D0C"/>
    <w:rsid w:val="00294A52"/>
    <w:rsid w:val="00295BD0"/>
    <w:rsid w:val="00297C86"/>
    <w:rsid w:val="002B272C"/>
    <w:rsid w:val="002C10D1"/>
    <w:rsid w:val="002C7CE5"/>
    <w:rsid w:val="002D119C"/>
    <w:rsid w:val="002D4E43"/>
    <w:rsid w:val="002E06D7"/>
    <w:rsid w:val="002E166C"/>
    <w:rsid w:val="002E349F"/>
    <w:rsid w:val="002E6E5E"/>
    <w:rsid w:val="002E7602"/>
    <w:rsid w:val="002F594A"/>
    <w:rsid w:val="003000BB"/>
    <w:rsid w:val="00300215"/>
    <w:rsid w:val="003027C2"/>
    <w:rsid w:val="00307741"/>
    <w:rsid w:val="003160E5"/>
    <w:rsid w:val="00320DBD"/>
    <w:rsid w:val="00321B73"/>
    <w:rsid w:val="0033312A"/>
    <w:rsid w:val="00344EA0"/>
    <w:rsid w:val="0034635A"/>
    <w:rsid w:val="00346CBC"/>
    <w:rsid w:val="0035008D"/>
    <w:rsid w:val="003533EA"/>
    <w:rsid w:val="00364F6B"/>
    <w:rsid w:val="003679D5"/>
    <w:rsid w:val="00367CDE"/>
    <w:rsid w:val="00384C96"/>
    <w:rsid w:val="0039487B"/>
    <w:rsid w:val="003A4DF1"/>
    <w:rsid w:val="003A5CEC"/>
    <w:rsid w:val="003A6B14"/>
    <w:rsid w:val="003B622A"/>
    <w:rsid w:val="003C033C"/>
    <w:rsid w:val="003D17EF"/>
    <w:rsid w:val="003D2611"/>
    <w:rsid w:val="003D66CC"/>
    <w:rsid w:val="003D6E8A"/>
    <w:rsid w:val="003D785D"/>
    <w:rsid w:val="003F04CA"/>
    <w:rsid w:val="003F1EC2"/>
    <w:rsid w:val="003F4986"/>
    <w:rsid w:val="003F6C0F"/>
    <w:rsid w:val="0040390F"/>
    <w:rsid w:val="00420824"/>
    <w:rsid w:val="00420C28"/>
    <w:rsid w:val="004216B9"/>
    <w:rsid w:val="00437A7D"/>
    <w:rsid w:val="00441883"/>
    <w:rsid w:val="00442513"/>
    <w:rsid w:val="0044330A"/>
    <w:rsid w:val="004436D5"/>
    <w:rsid w:val="0044448A"/>
    <w:rsid w:val="004505B7"/>
    <w:rsid w:val="00462BAB"/>
    <w:rsid w:val="00463F58"/>
    <w:rsid w:val="004729F1"/>
    <w:rsid w:val="0047449B"/>
    <w:rsid w:val="00477A2F"/>
    <w:rsid w:val="004826EF"/>
    <w:rsid w:val="00491DE9"/>
    <w:rsid w:val="00495E8B"/>
    <w:rsid w:val="004A4E83"/>
    <w:rsid w:val="004A4ED7"/>
    <w:rsid w:val="004A77F6"/>
    <w:rsid w:val="004B6C55"/>
    <w:rsid w:val="004D485E"/>
    <w:rsid w:val="004E01FB"/>
    <w:rsid w:val="004E17AC"/>
    <w:rsid w:val="004E5D4C"/>
    <w:rsid w:val="004E7F2E"/>
    <w:rsid w:val="004F6B79"/>
    <w:rsid w:val="0050331E"/>
    <w:rsid w:val="00503FE8"/>
    <w:rsid w:val="0051613B"/>
    <w:rsid w:val="005205E6"/>
    <w:rsid w:val="0052209C"/>
    <w:rsid w:val="00532B66"/>
    <w:rsid w:val="00540909"/>
    <w:rsid w:val="00542696"/>
    <w:rsid w:val="005455BE"/>
    <w:rsid w:val="00546E49"/>
    <w:rsid w:val="00547491"/>
    <w:rsid w:val="005527C5"/>
    <w:rsid w:val="00556C19"/>
    <w:rsid w:val="00560366"/>
    <w:rsid w:val="00570A94"/>
    <w:rsid w:val="00584880"/>
    <w:rsid w:val="005870A2"/>
    <w:rsid w:val="00590D51"/>
    <w:rsid w:val="005A1F78"/>
    <w:rsid w:val="005A25CB"/>
    <w:rsid w:val="005C4E89"/>
    <w:rsid w:val="005C72FD"/>
    <w:rsid w:val="005D2C14"/>
    <w:rsid w:val="005E334C"/>
    <w:rsid w:val="00600B7A"/>
    <w:rsid w:val="00602A84"/>
    <w:rsid w:val="006115C3"/>
    <w:rsid w:val="006162EA"/>
    <w:rsid w:val="0062257E"/>
    <w:rsid w:val="00622E9E"/>
    <w:rsid w:val="00623491"/>
    <w:rsid w:val="006250D6"/>
    <w:rsid w:val="006311DE"/>
    <w:rsid w:val="00632F23"/>
    <w:rsid w:val="00655D92"/>
    <w:rsid w:val="00657A86"/>
    <w:rsid w:val="00682B13"/>
    <w:rsid w:val="00684553"/>
    <w:rsid w:val="0068662F"/>
    <w:rsid w:val="00690774"/>
    <w:rsid w:val="0069346B"/>
    <w:rsid w:val="00693546"/>
    <w:rsid w:val="0069490A"/>
    <w:rsid w:val="00695007"/>
    <w:rsid w:val="00696425"/>
    <w:rsid w:val="006A141B"/>
    <w:rsid w:val="006A7A76"/>
    <w:rsid w:val="006B1760"/>
    <w:rsid w:val="006B4F4C"/>
    <w:rsid w:val="006C0761"/>
    <w:rsid w:val="006C2D29"/>
    <w:rsid w:val="006C7F68"/>
    <w:rsid w:val="006D0526"/>
    <w:rsid w:val="006D4BBF"/>
    <w:rsid w:val="006D62D8"/>
    <w:rsid w:val="006E0616"/>
    <w:rsid w:val="006E4200"/>
    <w:rsid w:val="006F08A7"/>
    <w:rsid w:val="006F6425"/>
    <w:rsid w:val="00715480"/>
    <w:rsid w:val="00731F98"/>
    <w:rsid w:val="0074178E"/>
    <w:rsid w:val="0074659B"/>
    <w:rsid w:val="00746F90"/>
    <w:rsid w:val="00752EBE"/>
    <w:rsid w:val="0075366C"/>
    <w:rsid w:val="00755895"/>
    <w:rsid w:val="00755DA3"/>
    <w:rsid w:val="00756029"/>
    <w:rsid w:val="00763FCF"/>
    <w:rsid w:val="00771EB6"/>
    <w:rsid w:val="0077497D"/>
    <w:rsid w:val="007758C4"/>
    <w:rsid w:val="00776845"/>
    <w:rsid w:val="00776C44"/>
    <w:rsid w:val="007825B9"/>
    <w:rsid w:val="00784A0B"/>
    <w:rsid w:val="00795664"/>
    <w:rsid w:val="007979C3"/>
    <w:rsid w:val="007979C9"/>
    <w:rsid w:val="007A5C15"/>
    <w:rsid w:val="007A5F08"/>
    <w:rsid w:val="007B15D5"/>
    <w:rsid w:val="007B3B71"/>
    <w:rsid w:val="007C447A"/>
    <w:rsid w:val="007C45FC"/>
    <w:rsid w:val="007C735B"/>
    <w:rsid w:val="007D16E6"/>
    <w:rsid w:val="007D4334"/>
    <w:rsid w:val="007E08C4"/>
    <w:rsid w:val="007E2117"/>
    <w:rsid w:val="007E4A05"/>
    <w:rsid w:val="007E6712"/>
    <w:rsid w:val="007E7765"/>
    <w:rsid w:val="007F23B1"/>
    <w:rsid w:val="007F2DF8"/>
    <w:rsid w:val="00800AF2"/>
    <w:rsid w:val="00802E4A"/>
    <w:rsid w:val="008143E8"/>
    <w:rsid w:val="008148EE"/>
    <w:rsid w:val="00814AF4"/>
    <w:rsid w:val="00817371"/>
    <w:rsid w:val="00821BD8"/>
    <w:rsid w:val="00821CD4"/>
    <w:rsid w:val="0082230E"/>
    <w:rsid w:val="00826357"/>
    <w:rsid w:val="008318DF"/>
    <w:rsid w:val="00837303"/>
    <w:rsid w:val="00844FEF"/>
    <w:rsid w:val="008502CE"/>
    <w:rsid w:val="008507CE"/>
    <w:rsid w:val="008510FE"/>
    <w:rsid w:val="0085302B"/>
    <w:rsid w:val="00856F28"/>
    <w:rsid w:val="0086108D"/>
    <w:rsid w:val="0086331C"/>
    <w:rsid w:val="00870744"/>
    <w:rsid w:val="0087693F"/>
    <w:rsid w:val="0088174F"/>
    <w:rsid w:val="00883BD5"/>
    <w:rsid w:val="00892022"/>
    <w:rsid w:val="008948B5"/>
    <w:rsid w:val="00894A86"/>
    <w:rsid w:val="008A0E23"/>
    <w:rsid w:val="008A4A39"/>
    <w:rsid w:val="008A630C"/>
    <w:rsid w:val="008A705C"/>
    <w:rsid w:val="008A74D1"/>
    <w:rsid w:val="008B0F5A"/>
    <w:rsid w:val="008B36E6"/>
    <w:rsid w:val="008B4EC5"/>
    <w:rsid w:val="008B592A"/>
    <w:rsid w:val="008C581E"/>
    <w:rsid w:val="008C6D74"/>
    <w:rsid w:val="008D259F"/>
    <w:rsid w:val="008D619E"/>
    <w:rsid w:val="008E5EF5"/>
    <w:rsid w:val="008E6A5E"/>
    <w:rsid w:val="008F47F1"/>
    <w:rsid w:val="008F7173"/>
    <w:rsid w:val="00902FB6"/>
    <w:rsid w:val="0090640C"/>
    <w:rsid w:val="00917B66"/>
    <w:rsid w:val="00922D5A"/>
    <w:rsid w:val="0092621C"/>
    <w:rsid w:val="00930C8E"/>
    <w:rsid w:val="009353D2"/>
    <w:rsid w:val="009360A6"/>
    <w:rsid w:val="009511AA"/>
    <w:rsid w:val="0095300F"/>
    <w:rsid w:val="009562E7"/>
    <w:rsid w:val="0095757C"/>
    <w:rsid w:val="00957763"/>
    <w:rsid w:val="00960C72"/>
    <w:rsid w:val="00970598"/>
    <w:rsid w:val="0097195E"/>
    <w:rsid w:val="00974A24"/>
    <w:rsid w:val="009764C1"/>
    <w:rsid w:val="0099393F"/>
    <w:rsid w:val="009955D7"/>
    <w:rsid w:val="009A2379"/>
    <w:rsid w:val="009B5510"/>
    <w:rsid w:val="009D129D"/>
    <w:rsid w:val="009D13F0"/>
    <w:rsid w:val="009E1415"/>
    <w:rsid w:val="009F050D"/>
    <w:rsid w:val="009F3724"/>
    <w:rsid w:val="009F4A0D"/>
    <w:rsid w:val="009F7896"/>
    <w:rsid w:val="00A06266"/>
    <w:rsid w:val="00A07E0B"/>
    <w:rsid w:val="00A10C08"/>
    <w:rsid w:val="00A136A3"/>
    <w:rsid w:val="00A14D3A"/>
    <w:rsid w:val="00A402B9"/>
    <w:rsid w:val="00A44180"/>
    <w:rsid w:val="00A50357"/>
    <w:rsid w:val="00A521D7"/>
    <w:rsid w:val="00A54074"/>
    <w:rsid w:val="00A73EBF"/>
    <w:rsid w:val="00A75AC0"/>
    <w:rsid w:val="00A763F4"/>
    <w:rsid w:val="00A85BAC"/>
    <w:rsid w:val="00AA0552"/>
    <w:rsid w:val="00AA2B8C"/>
    <w:rsid w:val="00AA5364"/>
    <w:rsid w:val="00AB604D"/>
    <w:rsid w:val="00AC7AB3"/>
    <w:rsid w:val="00AD69F3"/>
    <w:rsid w:val="00AE55CD"/>
    <w:rsid w:val="00AE5F89"/>
    <w:rsid w:val="00AF36C1"/>
    <w:rsid w:val="00AF5490"/>
    <w:rsid w:val="00B01995"/>
    <w:rsid w:val="00B071A5"/>
    <w:rsid w:val="00B10D45"/>
    <w:rsid w:val="00B10EB2"/>
    <w:rsid w:val="00B12923"/>
    <w:rsid w:val="00B1480E"/>
    <w:rsid w:val="00B17778"/>
    <w:rsid w:val="00B209B0"/>
    <w:rsid w:val="00B3255D"/>
    <w:rsid w:val="00B421AA"/>
    <w:rsid w:val="00B450C6"/>
    <w:rsid w:val="00B479D3"/>
    <w:rsid w:val="00B56B65"/>
    <w:rsid w:val="00B57A31"/>
    <w:rsid w:val="00B60232"/>
    <w:rsid w:val="00B63D1F"/>
    <w:rsid w:val="00B655BA"/>
    <w:rsid w:val="00B80FCC"/>
    <w:rsid w:val="00B83CB2"/>
    <w:rsid w:val="00B85BD6"/>
    <w:rsid w:val="00B87B0B"/>
    <w:rsid w:val="00B91329"/>
    <w:rsid w:val="00B9406A"/>
    <w:rsid w:val="00B96813"/>
    <w:rsid w:val="00BA3374"/>
    <w:rsid w:val="00BA4ADF"/>
    <w:rsid w:val="00BA4FEF"/>
    <w:rsid w:val="00BB0A34"/>
    <w:rsid w:val="00BD7702"/>
    <w:rsid w:val="00BE069D"/>
    <w:rsid w:val="00BE106C"/>
    <w:rsid w:val="00BF2B3F"/>
    <w:rsid w:val="00BF3FBC"/>
    <w:rsid w:val="00BF541D"/>
    <w:rsid w:val="00C12D04"/>
    <w:rsid w:val="00C155E7"/>
    <w:rsid w:val="00C20986"/>
    <w:rsid w:val="00C5198F"/>
    <w:rsid w:val="00C5628F"/>
    <w:rsid w:val="00C57D13"/>
    <w:rsid w:val="00C6077F"/>
    <w:rsid w:val="00C64D99"/>
    <w:rsid w:val="00C66686"/>
    <w:rsid w:val="00C66B70"/>
    <w:rsid w:val="00C679F8"/>
    <w:rsid w:val="00C71859"/>
    <w:rsid w:val="00C71BB1"/>
    <w:rsid w:val="00C92888"/>
    <w:rsid w:val="00CA3991"/>
    <w:rsid w:val="00CB394B"/>
    <w:rsid w:val="00CB6459"/>
    <w:rsid w:val="00CB6F3F"/>
    <w:rsid w:val="00CC0A86"/>
    <w:rsid w:val="00CC3991"/>
    <w:rsid w:val="00CD27CC"/>
    <w:rsid w:val="00CD342F"/>
    <w:rsid w:val="00CD46D0"/>
    <w:rsid w:val="00CE6371"/>
    <w:rsid w:val="00CE7399"/>
    <w:rsid w:val="00CF243B"/>
    <w:rsid w:val="00CF7863"/>
    <w:rsid w:val="00D01B62"/>
    <w:rsid w:val="00D06505"/>
    <w:rsid w:val="00D13BAA"/>
    <w:rsid w:val="00D20ECD"/>
    <w:rsid w:val="00D21B43"/>
    <w:rsid w:val="00D275E4"/>
    <w:rsid w:val="00D30769"/>
    <w:rsid w:val="00D4544C"/>
    <w:rsid w:val="00D5024E"/>
    <w:rsid w:val="00D53F05"/>
    <w:rsid w:val="00D64574"/>
    <w:rsid w:val="00D649A6"/>
    <w:rsid w:val="00D66FEE"/>
    <w:rsid w:val="00D720E5"/>
    <w:rsid w:val="00D74B71"/>
    <w:rsid w:val="00D82DAE"/>
    <w:rsid w:val="00D871D5"/>
    <w:rsid w:val="00D95B2D"/>
    <w:rsid w:val="00DA1502"/>
    <w:rsid w:val="00DA6B0A"/>
    <w:rsid w:val="00DB0B96"/>
    <w:rsid w:val="00DB21E3"/>
    <w:rsid w:val="00DC069D"/>
    <w:rsid w:val="00DD673D"/>
    <w:rsid w:val="00DE5BFC"/>
    <w:rsid w:val="00DF0CDC"/>
    <w:rsid w:val="00DF505E"/>
    <w:rsid w:val="00E05E60"/>
    <w:rsid w:val="00E06352"/>
    <w:rsid w:val="00E11384"/>
    <w:rsid w:val="00E16F3F"/>
    <w:rsid w:val="00E27CD9"/>
    <w:rsid w:val="00E342A6"/>
    <w:rsid w:val="00E3500B"/>
    <w:rsid w:val="00E53A06"/>
    <w:rsid w:val="00E73BCA"/>
    <w:rsid w:val="00E76CDF"/>
    <w:rsid w:val="00E80463"/>
    <w:rsid w:val="00E812AC"/>
    <w:rsid w:val="00E83B32"/>
    <w:rsid w:val="00E85477"/>
    <w:rsid w:val="00E8786B"/>
    <w:rsid w:val="00E928B7"/>
    <w:rsid w:val="00EB79FE"/>
    <w:rsid w:val="00EB7C96"/>
    <w:rsid w:val="00EC12D8"/>
    <w:rsid w:val="00EC3036"/>
    <w:rsid w:val="00EC4BDD"/>
    <w:rsid w:val="00ED0999"/>
    <w:rsid w:val="00ED2F67"/>
    <w:rsid w:val="00EE2B08"/>
    <w:rsid w:val="00EE50BB"/>
    <w:rsid w:val="00F1236D"/>
    <w:rsid w:val="00F16596"/>
    <w:rsid w:val="00F16EA0"/>
    <w:rsid w:val="00F20E41"/>
    <w:rsid w:val="00F23DDE"/>
    <w:rsid w:val="00F25DAB"/>
    <w:rsid w:val="00F3257A"/>
    <w:rsid w:val="00F33142"/>
    <w:rsid w:val="00F3504E"/>
    <w:rsid w:val="00F36EC2"/>
    <w:rsid w:val="00F41229"/>
    <w:rsid w:val="00F4259E"/>
    <w:rsid w:val="00F5137D"/>
    <w:rsid w:val="00F5300D"/>
    <w:rsid w:val="00F60F84"/>
    <w:rsid w:val="00F61636"/>
    <w:rsid w:val="00F64C9D"/>
    <w:rsid w:val="00F66109"/>
    <w:rsid w:val="00F7107C"/>
    <w:rsid w:val="00F72070"/>
    <w:rsid w:val="00F86E1B"/>
    <w:rsid w:val="00F9799C"/>
    <w:rsid w:val="00FA56D8"/>
    <w:rsid w:val="00FA7159"/>
    <w:rsid w:val="00FC101A"/>
    <w:rsid w:val="00FC24FC"/>
    <w:rsid w:val="00FC25B0"/>
    <w:rsid w:val="00FC7CCA"/>
    <w:rsid w:val="00FD125D"/>
    <w:rsid w:val="00FD1F14"/>
    <w:rsid w:val="00FD28C5"/>
    <w:rsid w:val="00FD7256"/>
    <w:rsid w:val="00FD7A88"/>
    <w:rsid w:val="00FE1B6A"/>
    <w:rsid w:val="00FE20E7"/>
    <w:rsid w:val="00FF5231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A2FD63"/>
  <w15:chartTrackingRefBased/>
  <w15:docId w15:val="{D2A8260C-0039-473C-A38A-F672D197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6EF"/>
  </w:style>
  <w:style w:type="paragraph" w:styleId="Nadpis1">
    <w:name w:val="heading 1"/>
    <w:basedOn w:val="Normln"/>
    <w:next w:val="Normln"/>
    <w:link w:val="Nadpis1Char"/>
    <w:uiPriority w:val="9"/>
    <w:qFormat/>
    <w:rsid w:val="004826E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26EF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6E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826EF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26EF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26EF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26EF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26EF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26EF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A13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136A3"/>
  </w:style>
  <w:style w:type="paragraph" w:styleId="Zpat">
    <w:name w:val="footer"/>
    <w:basedOn w:val="Normln"/>
    <w:link w:val="ZpatChar"/>
    <w:unhideWhenUsed/>
    <w:rsid w:val="00A136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136A3"/>
  </w:style>
  <w:style w:type="paragraph" w:customStyle="1" w:styleId="podraeny">
    <w:name w:val="podraženy"/>
    <w:uiPriority w:val="99"/>
    <w:rsid w:val="00C71859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 w:line="240" w:lineRule="auto"/>
    </w:pPr>
    <w:rPr>
      <w:rFonts w:ascii="Times New Roman CE obyeejné" w:eastAsia="Times New Roman" w:hAnsi="Times New Roman CE obyeejné" w:cs="Times New Roman CE obyeejné"/>
      <w:lang w:eastAsia="cs-CZ"/>
    </w:rPr>
  </w:style>
  <w:style w:type="paragraph" w:styleId="Zkladntextodsazen">
    <w:name w:val="Body Text Indent"/>
    <w:basedOn w:val="Normln"/>
    <w:link w:val="ZkladntextodsazenChar"/>
    <w:rsid w:val="00C7185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</w:pPr>
  </w:style>
  <w:style w:type="character" w:customStyle="1" w:styleId="ZkladntextodsazenChar">
    <w:name w:val="Základní text odsazený Char"/>
    <w:basedOn w:val="Standardnpsmoodstavce"/>
    <w:link w:val="Zkladntextodsazen"/>
    <w:rsid w:val="00C718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C71859"/>
    <w:rPr>
      <w:rFonts w:ascii="Times New Roman" w:hAnsi="Times New Roman" w:cs="Times New Roman"/>
      <w:color w:val="0000FF"/>
      <w:u w:val="single"/>
    </w:rPr>
  </w:style>
  <w:style w:type="paragraph" w:styleId="Normlnweb">
    <w:name w:val="Normal (Web)"/>
    <w:basedOn w:val="Normln"/>
    <w:rsid w:val="009562E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character" w:styleId="Odkaznakoment">
    <w:name w:val="annotation reference"/>
    <w:basedOn w:val="Standardnpsmoodstavce"/>
    <w:uiPriority w:val="99"/>
    <w:unhideWhenUsed/>
    <w:rsid w:val="00F165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6596"/>
  </w:style>
  <w:style w:type="character" w:customStyle="1" w:styleId="TextkomenteChar">
    <w:name w:val="Text komentáře Char"/>
    <w:basedOn w:val="Standardnpsmoodstavce"/>
    <w:link w:val="Textkomente"/>
    <w:uiPriority w:val="99"/>
    <w:rsid w:val="00F165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65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165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16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65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6596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nhideWhenUsed/>
    <w:rsid w:val="006D4B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6D4BB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26EF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826EF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826EF"/>
    <w:rPr>
      <w:smallCaps/>
      <w:spacing w:val="5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6D4BBF"/>
  </w:style>
  <w:style w:type="paragraph" w:customStyle="1" w:styleId="Standardn1">
    <w:name w:val="Standardní :1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customStyle="1" w:styleId="Standardnte">
    <w:name w:val="Standardní te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styleId="Zkladntext2">
    <w:name w:val="Body Text 2"/>
    <w:basedOn w:val="Normln"/>
    <w:link w:val="Zkladntext2Char"/>
    <w:rsid w:val="006D4BBF"/>
    <w:pPr>
      <w:widowControl w:val="0"/>
      <w:ind w:right="-659"/>
    </w:pPr>
    <w:rPr>
      <w:snapToGrid w:val="0"/>
    </w:rPr>
  </w:style>
  <w:style w:type="character" w:customStyle="1" w:styleId="Zkladntext2Char">
    <w:name w:val="Základní text 2 Char"/>
    <w:basedOn w:val="Standardnpsmoodstavce"/>
    <w:link w:val="Zkladntext2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6D4BBF"/>
    <w:pPr>
      <w:widowControl w:val="0"/>
      <w:ind w:right="-517"/>
    </w:pPr>
    <w:rPr>
      <w:snapToGrid w:val="0"/>
    </w:rPr>
  </w:style>
  <w:style w:type="character" w:customStyle="1" w:styleId="Zkladntext3Char">
    <w:name w:val="Základní text 3 Char"/>
    <w:basedOn w:val="Standardnpsmoodstavce"/>
    <w:link w:val="Zkladntext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6D4BBF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D4BBF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character" w:styleId="slostrnky">
    <w:name w:val="page number"/>
    <w:basedOn w:val="Standardnpsmoodstavce"/>
    <w:rsid w:val="006D4BBF"/>
  </w:style>
  <w:style w:type="paragraph" w:styleId="Podnadpis">
    <w:name w:val="Subtitle"/>
    <w:basedOn w:val="Normln"/>
    <w:next w:val="Normln"/>
    <w:link w:val="PodnadpisChar"/>
    <w:uiPriority w:val="11"/>
    <w:qFormat/>
    <w:rsid w:val="004826EF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4826EF"/>
    <w:rPr>
      <w:rFonts w:asciiTheme="majorHAnsi" w:eastAsiaTheme="majorEastAsia" w:hAnsiTheme="majorHAnsi" w:cstheme="majorBidi"/>
    </w:rPr>
  </w:style>
  <w:style w:type="paragraph" w:styleId="Zkladntextodsazen3">
    <w:name w:val="Body Text Indent 3"/>
    <w:basedOn w:val="Normln"/>
    <w:link w:val="Zkladntextodsazen3Char"/>
    <w:rsid w:val="006D4BBF"/>
    <w:pPr>
      <w:ind w:left="1134" w:hanging="567"/>
    </w:pPr>
    <w:rPr>
      <w:snapToGrid w:val="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826EF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826EF"/>
    <w:rPr>
      <w:smallCaps/>
      <w:color w:val="262626" w:themeColor="text1" w:themeTint="D9"/>
      <w:sz w:val="52"/>
      <w:szCs w:val="52"/>
    </w:rPr>
  </w:style>
  <w:style w:type="character" w:styleId="Sledovanodkaz">
    <w:name w:val="FollowedHyperlink"/>
    <w:basedOn w:val="Standardnpsmoodstavce"/>
    <w:rsid w:val="006D4BBF"/>
    <w:rPr>
      <w:color w:val="800080"/>
      <w:u w:val="single"/>
    </w:rPr>
  </w:style>
  <w:style w:type="character" w:customStyle="1" w:styleId="Typewriter">
    <w:name w:val="Typewriter"/>
    <w:rsid w:val="006D4BBF"/>
    <w:rPr>
      <w:rFonts w:ascii="Courier New" w:hAnsi="Courier New"/>
      <w:sz w:val="20"/>
    </w:rPr>
  </w:style>
  <w:style w:type="paragraph" w:customStyle="1" w:styleId="Default">
    <w:name w:val="Default"/>
    <w:rsid w:val="006D4B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826EF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26EF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26EF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26EF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26EF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26EF"/>
    <w:rPr>
      <w:b/>
      <w:bCs/>
      <w:i/>
      <w:iCs/>
      <w:smallCaps/>
      <w:color w:val="385623" w:themeColor="accent6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826EF"/>
    <w:rPr>
      <w:b/>
      <w:bCs/>
      <w:caps/>
      <w:sz w:val="16"/>
      <w:szCs w:val="16"/>
    </w:rPr>
  </w:style>
  <w:style w:type="character" w:styleId="Siln">
    <w:name w:val="Strong"/>
    <w:uiPriority w:val="22"/>
    <w:qFormat/>
    <w:rsid w:val="004826EF"/>
    <w:rPr>
      <w:b/>
      <w:bCs/>
      <w:color w:val="70AD47" w:themeColor="accent6"/>
    </w:rPr>
  </w:style>
  <w:style w:type="character" w:styleId="Zdraznn">
    <w:name w:val="Emphasis"/>
    <w:uiPriority w:val="20"/>
    <w:qFormat/>
    <w:rsid w:val="004826EF"/>
    <w:rPr>
      <w:b/>
      <w:bCs/>
      <w:i/>
      <w:iCs/>
      <w:spacing w:val="10"/>
    </w:rPr>
  </w:style>
  <w:style w:type="paragraph" w:styleId="Bezmezer">
    <w:name w:val="No Spacing"/>
    <w:uiPriority w:val="1"/>
    <w:qFormat/>
    <w:rsid w:val="004826E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4826E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826E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26EF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26EF"/>
    <w:rPr>
      <w:b/>
      <w:bCs/>
      <w:i/>
      <w:iCs/>
    </w:rPr>
  </w:style>
  <w:style w:type="character" w:styleId="Zdraznnjemn">
    <w:name w:val="Subtle Emphasis"/>
    <w:uiPriority w:val="19"/>
    <w:qFormat/>
    <w:rsid w:val="004826EF"/>
    <w:rPr>
      <w:i/>
      <w:iCs/>
    </w:rPr>
  </w:style>
  <w:style w:type="character" w:styleId="Zdraznnintenzivn">
    <w:name w:val="Intense Emphasis"/>
    <w:uiPriority w:val="21"/>
    <w:qFormat/>
    <w:rsid w:val="004826EF"/>
    <w:rPr>
      <w:b/>
      <w:bCs/>
      <w:i/>
      <w:iCs/>
      <w:color w:val="70AD47" w:themeColor="accent6"/>
      <w:spacing w:val="10"/>
    </w:rPr>
  </w:style>
  <w:style w:type="character" w:styleId="Odkazjemn">
    <w:name w:val="Subtle Reference"/>
    <w:uiPriority w:val="31"/>
    <w:qFormat/>
    <w:rsid w:val="004826EF"/>
    <w:rPr>
      <w:b/>
      <w:bCs/>
    </w:rPr>
  </w:style>
  <w:style w:type="character" w:styleId="Odkazintenzivn">
    <w:name w:val="Intense Reference"/>
    <w:uiPriority w:val="32"/>
    <w:qFormat/>
    <w:rsid w:val="004826EF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826E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26EF"/>
    <w:pPr>
      <w:outlineLvl w:val="9"/>
    </w:pPr>
  </w:style>
  <w:style w:type="paragraph" w:styleId="Odstavecseseznamem">
    <w:name w:val="List Paragraph"/>
    <w:basedOn w:val="Normln"/>
    <w:uiPriority w:val="34"/>
    <w:qFormat/>
    <w:rsid w:val="0047449B"/>
    <w:pPr>
      <w:ind w:left="720"/>
      <w:contextualSpacing/>
    </w:pPr>
  </w:style>
  <w:style w:type="paragraph" w:customStyle="1" w:styleId="NzevtabulkyCZ">
    <w:name w:val="Název tabulky CZ"/>
    <w:basedOn w:val="Normln"/>
    <w:link w:val="NzevtabulkyCZChar"/>
    <w:qFormat/>
    <w:rsid w:val="008510FE"/>
    <w:pPr>
      <w:spacing w:after="0" w:line="240" w:lineRule="auto"/>
    </w:pPr>
    <w:rPr>
      <w:rFonts w:ascii="Arial" w:hAnsi="Arial" w:cs="Arial"/>
      <w:b/>
    </w:rPr>
  </w:style>
  <w:style w:type="paragraph" w:customStyle="1" w:styleId="NzevtabulkyEN">
    <w:name w:val="Název tabulky EN"/>
    <w:basedOn w:val="Normln"/>
    <w:link w:val="NzevtabulkyENChar"/>
    <w:qFormat/>
    <w:rsid w:val="008510FE"/>
    <w:pPr>
      <w:spacing w:after="0" w:line="240" w:lineRule="auto"/>
    </w:pPr>
    <w:rPr>
      <w:rFonts w:ascii="Arial" w:hAnsi="Arial" w:cs="Arial"/>
      <w:i/>
      <w:lang w:val="en-GB"/>
    </w:rPr>
  </w:style>
  <w:style w:type="character" w:customStyle="1" w:styleId="NzevtabulkyCZChar">
    <w:name w:val="Název tabulky CZ Char"/>
    <w:basedOn w:val="Standardnpsmoodstavce"/>
    <w:link w:val="NzevtabulkyCZ"/>
    <w:rsid w:val="008510FE"/>
    <w:rPr>
      <w:rFonts w:ascii="Arial" w:hAnsi="Arial" w:cs="Arial"/>
      <w:b/>
    </w:rPr>
  </w:style>
  <w:style w:type="paragraph" w:customStyle="1" w:styleId="NzevtabulkyfolioP">
    <w:name w:val="Název tabulky folio P"/>
    <w:basedOn w:val="NzevtabulkyEN"/>
    <w:link w:val="NzevtabulkyfolioPChar"/>
    <w:qFormat/>
    <w:rsid w:val="006C2D29"/>
    <w:pPr>
      <w:jc w:val="right"/>
    </w:pPr>
    <w:rPr>
      <w:rFonts w:eastAsia="Times New Roman"/>
      <w:lang w:eastAsia="cs-CZ"/>
    </w:rPr>
  </w:style>
  <w:style w:type="character" w:customStyle="1" w:styleId="NzevtabulkyENChar">
    <w:name w:val="Název tabulky EN Char"/>
    <w:basedOn w:val="Standardnpsmoodstavce"/>
    <w:link w:val="NzevtabulkyEN"/>
    <w:rsid w:val="008510FE"/>
    <w:rPr>
      <w:rFonts w:ascii="Arial" w:hAnsi="Arial" w:cs="Arial"/>
      <w:i/>
      <w:lang w:val="en-GB"/>
    </w:rPr>
  </w:style>
  <w:style w:type="character" w:customStyle="1" w:styleId="NzevtabulkyfolioPChar">
    <w:name w:val="Název tabulky folio P Char"/>
    <w:basedOn w:val="NzevtabulkyENChar"/>
    <w:link w:val="NzevtabulkyfolioP"/>
    <w:rsid w:val="006C2D29"/>
    <w:rPr>
      <w:rFonts w:ascii="Arial" w:eastAsia="Times New Roman" w:hAnsi="Arial" w:cs="Arial"/>
      <w:i/>
      <w:lang w:val="en-GB" w:eastAsia="cs-CZ"/>
    </w:rPr>
  </w:style>
  <w:style w:type="paragraph" w:customStyle="1" w:styleId="NzevkapitolyCZ">
    <w:name w:val="Název kapitoly CZ"/>
    <w:basedOn w:val="Normln"/>
    <w:link w:val="NzevkapitolyCZChar"/>
    <w:qFormat/>
    <w:rsid w:val="0052209C"/>
    <w:pPr>
      <w:spacing w:after="0" w:line="240" w:lineRule="auto"/>
    </w:pPr>
    <w:rPr>
      <w:rFonts w:ascii="Arial" w:hAnsi="Arial" w:cs="Arial"/>
      <w:b/>
      <w:snapToGrid w:val="0"/>
    </w:rPr>
  </w:style>
  <w:style w:type="paragraph" w:customStyle="1" w:styleId="NzevkapitolyEN">
    <w:name w:val="Název kapitoly EN"/>
    <w:basedOn w:val="Normln"/>
    <w:link w:val="NzevkapitolyENChar"/>
    <w:qFormat/>
    <w:rsid w:val="0052209C"/>
    <w:pPr>
      <w:spacing w:after="0" w:line="240" w:lineRule="auto"/>
    </w:pPr>
    <w:rPr>
      <w:rFonts w:ascii="Arial" w:hAnsi="Arial" w:cs="Arial"/>
      <w:b/>
      <w:i/>
      <w:snapToGrid w:val="0"/>
      <w:lang w:val="en-GB"/>
    </w:rPr>
  </w:style>
  <w:style w:type="character" w:customStyle="1" w:styleId="NzevkapitolyCZChar">
    <w:name w:val="Název kapitoly CZ Char"/>
    <w:basedOn w:val="Standardnpsmoodstavce"/>
    <w:link w:val="NzevkapitolyCZ"/>
    <w:rsid w:val="0052209C"/>
    <w:rPr>
      <w:rFonts w:ascii="Arial" w:hAnsi="Arial" w:cs="Arial"/>
      <w:b/>
      <w:snapToGrid w:val="0"/>
    </w:rPr>
  </w:style>
  <w:style w:type="character" w:customStyle="1" w:styleId="NzevkapitolyENChar">
    <w:name w:val="Název kapitoly EN Char"/>
    <w:basedOn w:val="Standardnpsmoodstavce"/>
    <w:link w:val="NzevkapitolyEN"/>
    <w:rsid w:val="0052209C"/>
    <w:rPr>
      <w:rFonts w:ascii="Arial" w:hAnsi="Arial" w:cs="Arial"/>
      <w:b/>
      <w:i/>
      <w:snapToGrid w:val="0"/>
      <w:lang w:val="en-GB"/>
    </w:rPr>
  </w:style>
  <w:style w:type="table" w:styleId="Mkatabulky">
    <w:name w:val="Table Grid"/>
    <w:basedOn w:val="Normlntabulka"/>
    <w:uiPriority w:val="39"/>
    <w:rsid w:val="003A4DF1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3A4DF1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3A4DF1"/>
    <w:pPr>
      <w:spacing w:after="0" w:line="240" w:lineRule="auto"/>
      <w:jc w:val="left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3A4DF1"/>
    <w:pPr>
      <w:spacing w:after="0" w:line="240" w:lineRule="auto"/>
      <w:jc w:val="left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Bezseznamu2">
    <w:name w:val="Bez seznamu2"/>
    <w:next w:val="Bezseznamu"/>
    <w:uiPriority w:val="99"/>
    <w:semiHidden/>
    <w:unhideWhenUsed/>
    <w:rsid w:val="00175446"/>
  </w:style>
  <w:style w:type="paragraph" w:customStyle="1" w:styleId="doc-ti">
    <w:name w:val="doc-ti"/>
    <w:basedOn w:val="Normln"/>
    <w:rsid w:val="001754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nadpis">
    <w:name w:val="R nadpis"/>
    <w:basedOn w:val="Normln"/>
    <w:next w:val="Normln"/>
    <w:rsid w:val="00175446"/>
    <w:pPr>
      <w:numPr>
        <w:numId w:val="1"/>
      </w:numPr>
      <w:tabs>
        <w:tab w:val="left" w:pos="1080"/>
      </w:tabs>
      <w:spacing w:before="360" w:after="120" w:line="240" w:lineRule="auto"/>
      <w:jc w:val="left"/>
    </w:pPr>
    <w:rPr>
      <w:rFonts w:ascii="Arial" w:eastAsia="Times New Roman" w:hAnsi="Arial" w:cs="Times New Roman"/>
      <w:b/>
      <w:caps/>
      <w:sz w:val="24"/>
      <w:lang w:eastAsia="cs-CZ"/>
    </w:rPr>
  </w:style>
  <w:style w:type="paragraph" w:customStyle="1" w:styleId="Tabulka">
    <w:name w:val="Tabulka"/>
    <w:basedOn w:val="Normln"/>
    <w:next w:val="Normln"/>
    <w:link w:val="TabulkaChar"/>
    <w:qFormat/>
    <w:rsid w:val="00175446"/>
    <w:pPr>
      <w:numPr>
        <w:ilvl w:val="1"/>
        <w:numId w:val="1"/>
      </w:numPr>
      <w:spacing w:before="240" w:after="120" w:line="240" w:lineRule="auto"/>
    </w:pPr>
    <w:rPr>
      <w:rFonts w:ascii="Arial" w:eastAsia="Times New Roman" w:hAnsi="Arial" w:cs="Times New Roman"/>
      <w:b/>
      <w:lang w:eastAsia="cs-CZ"/>
    </w:rPr>
  </w:style>
  <w:style w:type="character" w:customStyle="1" w:styleId="TabulkaChar">
    <w:name w:val="Tabulka Char"/>
    <w:link w:val="Tabulka"/>
    <w:rsid w:val="00175446"/>
    <w:rPr>
      <w:rFonts w:ascii="Arial" w:eastAsia="Times New Roman" w:hAnsi="Arial" w:cs="Times New Roman"/>
      <w:b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75446"/>
    <w:pPr>
      <w:spacing w:before="240" w:after="120" w:line="240" w:lineRule="auto"/>
    </w:pPr>
    <w:rPr>
      <w:rFonts w:ascii="Arial" w:eastAsia="Times New Roman" w:hAnsi="Arial" w:cs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5446"/>
    <w:rPr>
      <w:rFonts w:ascii="Arial" w:eastAsia="Times New Roman" w:hAnsi="Arial" w:cs="Times New Roman"/>
      <w:lang w:eastAsia="cs-CZ"/>
    </w:rPr>
  </w:style>
  <w:style w:type="character" w:styleId="Znakapoznpodarou">
    <w:name w:val="footnote reference"/>
    <w:uiPriority w:val="99"/>
    <w:semiHidden/>
    <w:unhideWhenUsed/>
    <w:rsid w:val="00175446"/>
    <w:rPr>
      <w:vertAlign w:val="superscript"/>
    </w:rPr>
  </w:style>
  <w:style w:type="paragraph" w:customStyle="1" w:styleId="Normlnangl">
    <w:name w:val="Normální angl"/>
    <w:basedOn w:val="Normln"/>
    <w:rsid w:val="00175446"/>
    <w:pPr>
      <w:tabs>
        <w:tab w:val="left" w:pos="709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customStyle="1" w:styleId="CharCharCharCharCharChar">
    <w:name w:val="Char Char Char Char Char Char"/>
    <w:basedOn w:val="Normln"/>
    <w:rsid w:val="0017544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Bezseznamu3">
    <w:name w:val="Bez seznamu3"/>
    <w:next w:val="Bezseznamu"/>
    <w:uiPriority w:val="99"/>
    <w:semiHidden/>
    <w:unhideWhenUsed/>
    <w:rsid w:val="00175446"/>
  </w:style>
  <w:style w:type="paragraph" w:customStyle="1" w:styleId="Normln-angl">
    <w:name w:val="Normální - angl"/>
    <w:basedOn w:val="Normln"/>
    <w:rsid w:val="00B3255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customStyle="1" w:styleId="Normang-1">
    <w:name w:val="Norm ang - ř. 1"/>
    <w:aliases w:val="5"/>
    <w:basedOn w:val="Normln"/>
    <w:rsid w:val="00B3255D"/>
    <w:pPr>
      <w:spacing w:before="120" w:after="120" w:line="36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customStyle="1" w:styleId="Normangl-1">
    <w:name w:val="Norm angl - ř.1"/>
    <w:basedOn w:val="Normln"/>
    <w:rsid w:val="00B3255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customStyle="1" w:styleId="NadpisI">
    <w:name w:val="Nadpis I."/>
    <w:basedOn w:val="Normang-1"/>
    <w:next w:val="Normang-1"/>
    <w:rsid w:val="00B3255D"/>
    <w:pPr>
      <w:spacing w:after="180"/>
      <w:jc w:val="left"/>
    </w:pPr>
    <w:rPr>
      <w:b/>
      <w:sz w:val="28"/>
    </w:rPr>
  </w:style>
  <w:style w:type="paragraph" w:customStyle="1" w:styleId="NadpisI1">
    <w:name w:val="Nadpis I.1."/>
    <w:basedOn w:val="Normang-1"/>
    <w:next w:val="Normang-1"/>
    <w:rsid w:val="00B3255D"/>
    <w:pPr>
      <w:spacing w:before="240" w:after="240"/>
      <w:jc w:val="left"/>
    </w:pPr>
    <w:rPr>
      <w:b/>
    </w:rPr>
  </w:style>
  <w:style w:type="paragraph" w:customStyle="1" w:styleId="101">
    <w:name w:val="10.1"/>
    <w:basedOn w:val="Normln-angl"/>
    <w:rsid w:val="00B3255D"/>
    <w:pPr>
      <w:numPr>
        <w:numId w:val="3"/>
      </w:numPr>
    </w:pPr>
  </w:style>
  <w:style w:type="paragraph" w:customStyle="1" w:styleId="102">
    <w:name w:val="10.2"/>
    <w:basedOn w:val="101"/>
    <w:rsid w:val="00B3255D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B3255D"/>
    <w:pPr>
      <w:numPr>
        <w:numId w:val="4"/>
      </w:numPr>
    </w:pPr>
  </w:style>
  <w:style w:type="paragraph" w:customStyle="1" w:styleId="104">
    <w:name w:val="10.4"/>
    <w:basedOn w:val="103"/>
    <w:rsid w:val="00B3255D"/>
    <w:pPr>
      <w:numPr>
        <w:numId w:val="5"/>
      </w:numPr>
    </w:pPr>
  </w:style>
  <w:style w:type="paragraph" w:customStyle="1" w:styleId="Pa18">
    <w:name w:val="Pa18"/>
    <w:basedOn w:val="Normln"/>
    <w:next w:val="Normln"/>
    <w:uiPriority w:val="99"/>
    <w:rsid w:val="00B3255D"/>
    <w:pPr>
      <w:autoSpaceDE w:val="0"/>
      <w:autoSpaceDN w:val="0"/>
      <w:adjustRightInd w:val="0"/>
      <w:spacing w:after="0" w:line="181" w:lineRule="atLeast"/>
      <w:jc w:val="left"/>
    </w:pPr>
    <w:rPr>
      <w:rFonts w:ascii="Myriad Pro" w:eastAsia="Times New Roman" w:hAnsi="Myriad Pro" w:cs="Times New Roman"/>
      <w:sz w:val="24"/>
      <w:szCs w:val="24"/>
      <w:lang w:eastAsia="cs-CZ"/>
    </w:rPr>
  </w:style>
  <w:style w:type="character" w:customStyle="1" w:styleId="shorttext">
    <w:name w:val="short_text"/>
    <w:rsid w:val="00B3255D"/>
  </w:style>
  <w:style w:type="character" w:customStyle="1" w:styleId="tgc">
    <w:name w:val="_tgc"/>
    <w:basedOn w:val="Standardnpsmoodstavce"/>
    <w:rsid w:val="00B3255D"/>
  </w:style>
  <w:style w:type="paragraph" w:customStyle="1" w:styleId="normalnsodrkami">
    <w:name w:val="normalní s odrážkami"/>
    <w:basedOn w:val="Normln"/>
    <w:rsid w:val="00B3255D"/>
    <w:pPr>
      <w:numPr>
        <w:numId w:val="6"/>
      </w:num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paragraph" w:customStyle="1" w:styleId="styl1">
    <w:name w:val="styl1"/>
    <w:basedOn w:val="Normln"/>
    <w:rsid w:val="00B32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0">
    <w:name w:val="Styl1"/>
    <w:basedOn w:val="Zkladntext2"/>
    <w:rsid w:val="00B3255D"/>
    <w:pPr>
      <w:widowControl/>
      <w:spacing w:before="120" w:after="120" w:line="240" w:lineRule="auto"/>
      <w:ind w:right="0" w:firstLine="357"/>
    </w:pPr>
    <w:rPr>
      <w:rFonts w:ascii="Arial" w:eastAsia="Times New Roman" w:hAnsi="Arial" w:cs="Times New Roman"/>
      <w:snapToGrid/>
      <w:sz w:val="16"/>
      <w:szCs w:val="24"/>
      <w:lang w:eastAsia="cs-CZ"/>
    </w:rPr>
  </w:style>
  <w:style w:type="paragraph" w:customStyle="1" w:styleId="Bn">
    <w:name w:val="Běžný"/>
    <w:basedOn w:val="Normln"/>
    <w:rsid w:val="00B3255D"/>
    <w:pPr>
      <w:spacing w:before="120" w:after="120" w:line="240" w:lineRule="auto"/>
      <w:ind w:firstLine="340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VaTStyl2">
    <w:name w:val="VaT_Styl_2"/>
    <w:basedOn w:val="Normln"/>
    <w:rsid w:val="00B3255D"/>
    <w:pPr>
      <w:spacing w:after="60" w:line="240" w:lineRule="auto"/>
      <w:ind w:firstLine="357"/>
    </w:pPr>
    <w:rPr>
      <w:rFonts w:ascii="Arial" w:eastAsia="Times New Roman" w:hAnsi="Arial" w:cs="Times New Roman"/>
      <w:sz w:val="16"/>
      <w:szCs w:val="24"/>
      <w:lang w:eastAsia="cs-CZ"/>
    </w:rPr>
  </w:style>
  <w:style w:type="character" w:customStyle="1" w:styleId="st">
    <w:name w:val="st"/>
    <w:basedOn w:val="Standardnpsmoodstavce"/>
    <w:rsid w:val="00B3255D"/>
  </w:style>
  <w:style w:type="character" w:customStyle="1" w:styleId="s1">
    <w:name w:val="s1"/>
    <w:rsid w:val="00B3255D"/>
    <w:rPr>
      <w:rFonts w:ascii="Arial" w:hAnsi="Arial" w:cs="Arial" w:hint="default"/>
      <w:color w:val="000000"/>
      <w:sz w:val="19"/>
      <w:szCs w:val="19"/>
      <w:shd w:val="clear" w:color="auto" w:fill="FFFFFF"/>
    </w:rPr>
  </w:style>
  <w:style w:type="character" w:customStyle="1" w:styleId="vcafequiven1">
    <w:name w:val="vcafequiven1"/>
    <w:rsid w:val="00B3255D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mwfield">
    <w:name w:val="mw_field"/>
    <w:basedOn w:val="Standardnpsmoodstavce"/>
    <w:rsid w:val="00B3255D"/>
  </w:style>
  <w:style w:type="paragraph" w:customStyle="1" w:styleId="Textbubliny1">
    <w:name w:val="Text bubliny1"/>
    <w:basedOn w:val="Normln"/>
    <w:rsid w:val="00B3255D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vlastn">
    <w:name w:val="Text vlastní"/>
    <w:basedOn w:val="Normln"/>
    <w:rsid w:val="00B3255D"/>
    <w:pPr>
      <w:spacing w:before="120" w:after="0" w:line="240" w:lineRule="auto"/>
    </w:pPr>
    <w:rPr>
      <w:rFonts w:ascii="Arial" w:eastAsia="Times New Roman" w:hAnsi="Arial" w:cs="Arial"/>
      <w:sz w:val="1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13BAA"/>
    <w:pPr>
      <w:tabs>
        <w:tab w:val="right" w:leader="dot" w:pos="9968"/>
      </w:tabs>
      <w:spacing w:before="60" w:after="0" w:line="240" w:lineRule="auto"/>
      <w:ind w:left="454" w:hanging="454"/>
      <w:jc w:val="left"/>
    </w:pPr>
    <w:rPr>
      <w:rFonts w:ascii="Arial" w:hAnsi="Arial" w:cs="Arial"/>
      <w:b/>
      <w:i/>
      <w:noProof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B85BD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85BD6"/>
    <w:pPr>
      <w:spacing w:after="100" w:line="259" w:lineRule="auto"/>
      <w:ind w:left="440"/>
      <w:jc w:val="left"/>
    </w:pPr>
    <w:rPr>
      <w:sz w:val="22"/>
      <w:szCs w:val="22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B85BD6"/>
    <w:pPr>
      <w:spacing w:after="100" w:line="259" w:lineRule="auto"/>
      <w:ind w:left="660"/>
      <w:jc w:val="left"/>
    </w:pPr>
    <w:rPr>
      <w:sz w:val="22"/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85BD6"/>
    <w:pPr>
      <w:spacing w:after="100" w:line="259" w:lineRule="auto"/>
      <w:ind w:left="880"/>
      <w:jc w:val="left"/>
    </w:pPr>
    <w:rPr>
      <w:sz w:val="22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85BD6"/>
    <w:pPr>
      <w:spacing w:after="100" w:line="259" w:lineRule="auto"/>
      <w:ind w:left="1100"/>
      <w:jc w:val="left"/>
    </w:pPr>
    <w:rPr>
      <w:sz w:val="22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85BD6"/>
    <w:pPr>
      <w:spacing w:after="100" w:line="259" w:lineRule="auto"/>
      <w:ind w:left="1320"/>
      <w:jc w:val="left"/>
    </w:pPr>
    <w:rPr>
      <w:sz w:val="22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85BD6"/>
    <w:pPr>
      <w:spacing w:after="100" w:line="259" w:lineRule="auto"/>
      <w:ind w:left="1540"/>
      <w:jc w:val="left"/>
    </w:pPr>
    <w:rPr>
      <w:sz w:val="22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85BD6"/>
    <w:pPr>
      <w:spacing w:after="100" w:line="259" w:lineRule="auto"/>
      <w:ind w:left="1760"/>
      <w:jc w:val="left"/>
    </w:pPr>
    <w:rPr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su.gov.cz/cestovni-ruch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99A1B03283A64CAB83C680AF16B794" ma:contentTypeVersion="3" ma:contentTypeDescription="Vytvoří nový dokument" ma:contentTypeScope="" ma:versionID="42d88d4d8e7e30495edea4d33b6869a4">
  <xsd:schema xmlns:xsd="http://www.w3.org/2001/XMLSchema" xmlns:xs="http://www.w3.org/2001/XMLSchema" xmlns:p="http://schemas.microsoft.com/office/2006/metadata/properties" xmlns:ns2="83a86dcd-d51b-4a7e-8c2c-6193f52bc8ad" targetNamespace="http://schemas.microsoft.com/office/2006/metadata/properties" ma:root="true" ma:fieldsID="245ff6e407a433c092f132e71fefe16e" ns2:_="">
    <xsd:import namespace="83a86dcd-d51b-4a7e-8c2c-6193f52bc8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86dcd-d51b-4a7e-8c2c-6193f52bc8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40E2D-E2F5-48D7-AEAB-6F9A3C3D91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47BA89-1D8B-4EC7-9C99-725F981E6F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206E96-825C-4ECB-8737-62DAD00D3A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BA7DFD-5BC4-460C-89D5-33D9E5BF80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a86dcd-d51b-4a7e-8c2c-6193f52bc8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1041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19. CESTOVNÍ RUCH, Metodické vysvětlivky, Statistická ročenka ČR 2024</vt:lpstr>
    </vt:vector>
  </TitlesOfParts>
  <Company>ČSÚ</Company>
  <LinksUpToDate>false</LinksUpToDate>
  <CharactersWithSpaces>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 CESTOVNÍ RUCH, Metodické vysvětlivky, Statistická ročenka ČR 2025</dc:title>
  <dc:subject/>
  <dc:creator>Český statistický úřad</dc:creator>
  <cp:keywords/>
  <dc:description/>
  <cp:lastModifiedBy>Zadák Rostislav</cp:lastModifiedBy>
  <cp:revision>13</cp:revision>
  <cp:lastPrinted>2024-07-10T09:43:00Z</cp:lastPrinted>
  <dcterms:created xsi:type="dcterms:W3CDTF">2024-10-10T08:59:00Z</dcterms:created>
  <dcterms:modified xsi:type="dcterms:W3CDTF">2025-12-03T12:19:00Z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0x010100FE99A1B03283A64CAB83C680AF16B794</vt:lpwstr>
  </property>
</Properties>
</file>