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5EFDC" w14:textId="1ADD2AF7" w:rsidR="00154D7A" w:rsidRPr="00154D7A" w:rsidRDefault="00154D7A" w:rsidP="00154D7A">
      <w:pPr>
        <w:spacing w:after="0"/>
        <w:rPr>
          <w:rFonts w:ascii="Arial" w:eastAsiaTheme="minorHAnsi" w:hAnsi="Arial" w:cs="Arial"/>
          <w:b/>
          <w:bCs/>
          <w:color w:val="0071BC"/>
          <w:sz w:val="24"/>
          <w:szCs w:val="24"/>
        </w:rPr>
      </w:pPr>
      <w:r w:rsidRPr="00154D7A">
        <w:rPr>
          <w:rFonts w:ascii="Arial" w:eastAsiaTheme="minorHAnsi" w:hAnsi="Arial" w:cs="Arial"/>
          <w:b/>
          <w:bCs/>
          <w:color w:val="0071BC"/>
          <w:sz w:val="24"/>
          <w:szCs w:val="24"/>
        </w:rPr>
        <w:t>17 STAVEBNICTVÍ</w:t>
      </w:r>
    </w:p>
    <w:p w14:paraId="743F940D" w14:textId="77777777" w:rsidR="00154D7A" w:rsidRDefault="00154D7A" w:rsidP="00154D7A">
      <w:pPr>
        <w:tabs>
          <w:tab w:val="left" w:pos="0"/>
          <w:tab w:val="left" w:pos="567"/>
        </w:tabs>
        <w:suppressAutoHyphens/>
        <w:spacing w:after="0"/>
        <w:rPr>
          <w:rFonts w:ascii="Arial" w:hAnsi="Arial" w:cs="Arial"/>
          <w:sz w:val="18"/>
          <w:szCs w:val="18"/>
        </w:rPr>
      </w:pPr>
    </w:p>
    <w:p w14:paraId="3A6E85B4" w14:textId="461F9B5A" w:rsidR="00154D7A" w:rsidRDefault="00154D7A" w:rsidP="00154D7A">
      <w:pPr>
        <w:spacing w:after="0"/>
        <w:rPr>
          <w:rFonts w:ascii="Arial" w:eastAsia="Times New Roman" w:hAnsi="Arial" w:cs="Arial"/>
          <w:color w:val="0071BC"/>
          <w:lang w:eastAsia="cs-CZ"/>
        </w:rPr>
      </w:pPr>
      <w:r w:rsidRPr="004932E9">
        <w:rPr>
          <w:rFonts w:ascii="Arial" w:hAnsi="Arial" w:cs="Arial"/>
          <w:b/>
          <w:color w:val="0071BC"/>
        </w:rPr>
        <w:t>Metodické vysvětlivky</w:t>
      </w:r>
    </w:p>
    <w:p w14:paraId="5FADCBA4" w14:textId="77777777" w:rsidR="00E16F3F" w:rsidRDefault="00E16F3F" w:rsidP="00E16F3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B1D30B9" w14:textId="79818DB9" w:rsidR="00E02253" w:rsidRPr="00E02253" w:rsidRDefault="00E02253" w:rsidP="00E02253">
      <w:pPr>
        <w:tabs>
          <w:tab w:val="left" w:pos="0"/>
          <w:tab w:val="left" w:pos="567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Do odvětvové statistiky stavebnictví se zahrnují podniky s převažující stavební činností</w:t>
      </w:r>
      <w:r w:rsidR="00C96EB0">
        <w:rPr>
          <w:rFonts w:ascii="Arial" w:eastAsia="Times New Roman" w:hAnsi="Arial" w:cs="Arial"/>
          <w:sz w:val="18"/>
          <w:szCs w:val="18"/>
          <w:lang w:eastAsia="cs-CZ"/>
        </w:rPr>
        <w:t xml:space="preserve">, 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>odpovídá zařazení do oddílu 41, 42 a 43 Klasifikace</w:t>
      </w:r>
      <w:r w:rsidR="00C96EB0">
        <w:rPr>
          <w:rFonts w:ascii="Arial" w:eastAsia="Times New Roman" w:hAnsi="Arial" w:cs="Arial"/>
          <w:sz w:val="18"/>
          <w:szCs w:val="18"/>
          <w:lang w:eastAsia="cs-CZ"/>
        </w:rPr>
        <w:t xml:space="preserve"> ekonomických činností (CZ-NACE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>).</w:t>
      </w:r>
    </w:p>
    <w:p w14:paraId="76E9FEA8" w14:textId="77777777" w:rsidR="00E02253" w:rsidRPr="00E02253" w:rsidRDefault="00E02253" w:rsidP="00E02253">
      <w:pPr>
        <w:tabs>
          <w:tab w:val="left" w:pos="0"/>
          <w:tab w:val="left" w:pos="567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9DB5C62" w14:textId="77777777" w:rsidR="00E02253" w:rsidRPr="00E02253" w:rsidRDefault="00E02253" w:rsidP="00E02253">
      <w:pPr>
        <w:tabs>
          <w:tab w:val="left" w:pos="0"/>
          <w:tab w:val="left" w:pos="567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Základní ukazatele:</w:t>
      </w:r>
    </w:p>
    <w:p w14:paraId="3F73DE10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Index stavební produkce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je základní ukazatel konjunkturální statistiky stavebnictví. Při jeho výpočtu se vychází z vývoje stavebních prací základní stavební výroby přeceněných do stálých cen. Index je primárně počítán jako měsíční bazický index. Od bazických indexů jsou dále odvozeny indexy meziroční a případné kumulace v čase (čtvrtletní, pololetní, roční). Je publikován za celou populaci podniků s převažující stavební činností.</w:t>
      </w:r>
    </w:p>
    <w:p w14:paraId="5B1AEA12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Stavební práce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jsou zejména práce na výstavbě, přestavbě, rozšíření, obnově, opravách a údržbě stálých i dočasných budov a staveb. Zahrnují i montážní práce stavebních konstrukcí a hodnotu zabudovaného materiálu a konstrukcí.</w:t>
      </w:r>
    </w:p>
    <w:p w14:paraId="3292A1B6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Základní stavební výroba</w:t>
      </w:r>
      <w:r w:rsidRPr="00E02253">
        <w:rPr>
          <w:rFonts w:ascii="Arial" w:eastAsia="Times New Roman" w:hAnsi="Arial" w:cs="Arial"/>
          <w:i/>
          <w:iCs/>
          <w:sz w:val="18"/>
          <w:szCs w:val="18"/>
          <w:lang w:eastAsia="cs-CZ"/>
        </w:rPr>
        <w:t xml:space="preserve"> 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>představuje objem stavebních prací, které jednotka provedla pracovníky zahrnutými do jejího evidenčního stavu, včetně produktivní práce učňů a objemu stavebních prací na vlastním hmotném investičním majetku.</w:t>
      </w:r>
    </w:p>
    <w:p w14:paraId="3E528F8B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Arial Unicode MS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Stavební práce „S“ (podle dodavatelských smluv) celkem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vyjadřují celkovou hodnotu vlastních výkonů ze stavební činnosti vykazující jednotky (včetně zabudovaných materiálů) provedenou na základě smlouvy o dodávce pro konečného uživatele (stavebníka), včetně hodnoty eventuálních poddodávek stavebních prací přijatých od jiných dodavatelských organizací pro splnění dané smlouvy o dodávce pro konečného uživatele. Nepatří sem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>poddodávky stavebních prací vykazující jednotky pro jiné dodavatele ani dodávky stavebních prací realizované mezi závodovými jednotkami vykazující jednotky.</w:t>
      </w:r>
    </w:p>
    <w:p w14:paraId="0059ABD4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Směry výstavby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>:</w:t>
      </w:r>
    </w:p>
    <w:p w14:paraId="0B219FD0" w14:textId="77777777" w:rsidR="00E02253" w:rsidRPr="00E02253" w:rsidRDefault="00E02253" w:rsidP="00E02253">
      <w:pPr>
        <w:tabs>
          <w:tab w:val="left" w:pos="0"/>
          <w:tab w:val="left" w:pos="426"/>
        </w:tabs>
        <w:spacing w:before="120" w:after="0" w:line="240" w:lineRule="auto"/>
        <w:ind w:left="170" w:hanging="170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– bytové budovy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– do této kategorie patří bytové domy, tj. domy převážně určené k bydlení; odpovídá třídám Klasifikace stavebních děl (CZ-CC) sekce 1, kód 1110, 1121, 1122, 1130;</w:t>
      </w:r>
    </w:p>
    <w:p w14:paraId="23FCA018" w14:textId="77777777" w:rsidR="00E02253" w:rsidRPr="00E02253" w:rsidRDefault="00E02253" w:rsidP="00E02253">
      <w:pPr>
        <w:tabs>
          <w:tab w:val="left" w:pos="0"/>
          <w:tab w:val="left" w:pos="426"/>
        </w:tabs>
        <w:spacing w:before="120" w:after="0" w:line="240" w:lineRule="auto"/>
        <w:ind w:left="170" w:hanging="170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– nebytové budovy nevýrobní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– všechny nebytové nevýrobní budovy, tj. budovy léčebné, školské, administrativní včetně administrativních budov pro výrobní, zemědělské, obchodní a jiné podniky, budovy pro společenské a kulturní účely, hotely atp.; odpovídá třídám CZ-CC sekce 1, kód 1211, 1212, 1220, 1261–1265,1272–1274;</w:t>
      </w:r>
    </w:p>
    <w:p w14:paraId="2D967D0C" w14:textId="77777777" w:rsidR="00E02253" w:rsidRPr="00E02253" w:rsidRDefault="00E02253" w:rsidP="00E02253">
      <w:pPr>
        <w:tabs>
          <w:tab w:val="left" w:pos="0"/>
          <w:tab w:val="left" w:pos="426"/>
        </w:tabs>
        <w:spacing w:before="120" w:after="0" w:line="240" w:lineRule="auto"/>
        <w:ind w:left="170" w:hanging="170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– nebytové budovy výrobní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– všechny nebytové výrobní budovy pro zemědělství, průmysl, obchod, dopravu a telekomunikace ap.; odpovídá třídám CZ-CC sekce 1, kód 1230, 1241, 1242, 1251, 1252, 1271;</w:t>
      </w:r>
    </w:p>
    <w:p w14:paraId="0147F2C4" w14:textId="77777777" w:rsidR="00E02253" w:rsidRPr="00E02253" w:rsidRDefault="00E02253" w:rsidP="00E02253">
      <w:pPr>
        <w:tabs>
          <w:tab w:val="left" w:pos="0"/>
          <w:tab w:val="left" w:pos="426"/>
        </w:tabs>
        <w:spacing w:before="120" w:after="0" w:line="240" w:lineRule="auto"/>
        <w:ind w:left="170" w:hanging="170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– inženýrské stavby 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>–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>např. mosty, komunikace, dráhy, podzemní stavby, vedení trubní a elektrická;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 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>odpovídá třídám CZ-CC sekce 2, kód 2111–2142, 2211–2420;</w:t>
      </w:r>
    </w:p>
    <w:p w14:paraId="40390A47" w14:textId="77777777" w:rsidR="00E02253" w:rsidRPr="00E02253" w:rsidRDefault="00E02253" w:rsidP="00E02253">
      <w:pPr>
        <w:tabs>
          <w:tab w:val="left" w:pos="0"/>
          <w:tab w:val="left" w:pos="426"/>
        </w:tabs>
        <w:spacing w:before="120" w:after="0" w:line="240" w:lineRule="auto"/>
        <w:ind w:left="170" w:hanging="170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– vodohospodářské stavby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– patří sem </w:t>
      </w:r>
      <w:proofErr w:type="spellStart"/>
      <w:r w:rsidRPr="00E02253">
        <w:rPr>
          <w:rFonts w:ascii="Arial" w:eastAsia="Times New Roman" w:hAnsi="Arial" w:cs="Arial"/>
          <w:sz w:val="18"/>
          <w:szCs w:val="18"/>
          <w:lang w:eastAsia="cs-CZ"/>
        </w:rPr>
        <w:t>hydromeliorace</w:t>
      </w:r>
      <w:proofErr w:type="spellEnd"/>
      <w:r w:rsidRPr="00E02253">
        <w:rPr>
          <w:rFonts w:ascii="Arial" w:eastAsia="Times New Roman" w:hAnsi="Arial" w:cs="Arial"/>
          <w:sz w:val="18"/>
          <w:szCs w:val="18"/>
          <w:lang w:eastAsia="cs-CZ"/>
        </w:rPr>
        <w:t>, hráze a nádrže na tocích, úpravy toků a kanály; odpovídá třídám CZ-CC sekce 2, kódům 2151, 2152, 2153.</w:t>
      </w:r>
    </w:p>
    <w:p w14:paraId="674C2969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Arial Unicode MS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Stavebními zakázkami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se rozumí objem stavebních prací k provedení podle dodavatelských smluv. Jde o práce, které má zpravodajská jednotka potvrzeny smlouvami se zadavateli (včetně dodatečných, doplňkových objednávek ap.), bez ohledu na začátek prací a dobu jejich realizace. Vykazují se v cenách platných při převzetí zakázky, bez daně z přidané hodnoty.</w:t>
      </w:r>
    </w:p>
    <w:p w14:paraId="6FDD8625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Arial Unicode MS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Stav zakázek ke konci sledovaného období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zachycuje jednak hodnotu přijatých (se zadavatelem vzájemně potvrzených), ale dosud nezahájených zakázek, a jednak hodnotu prací, které zbývají k provedení, u zakázek již rozpracovaných. Znamená to, že stavební práce na zakázkách dosud nezahájených se vykazují v celé hodnotě, zatímco práce na akcích rozestavěných se zahrnují jen v jejich zůstatkové hodnotě (tj. v hodnotě prací, které zbývají k provedení). Nezahrnují se sem akce, které již byly dokončeny, i když dosud nebyly předány a vyfakturovány.</w:t>
      </w:r>
    </w:p>
    <w:p w14:paraId="207033F4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Arial Unicode MS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Za 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nové zakázky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se považují během sledovaného čtvrtletí nově přijaté a potvrzené zakázky, jakož i dodatečné a doplňkové objednávky (rovněž potvrzené) k dřívějším zakázkám. Patří sem též zakázky „krátkodobé“, tj. které byly ve sledovaném čtvrtletí přijaty a plně realizovány.</w:t>
      </w:r>
    </w:p>
    <w:p w14:paraId="0B85CA85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Budovou 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>se rozumí nadzemní stavba prostorově soustředěná a navenek převážně uzavřená obvodovými stěnami a střešní konstrukcí.</w:t>
      </w:r>
    </w:p>
    <w:p w14:paraId="26B7109B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Bytem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se rozumí místnost nebo soubor místností, které jsou podle rozhodnutí stavebního úřadu určeny k bydlení a mohou tomuto účelu sloužit jako samostatné bytové jednotky.</w:t>
      </w:r>
    </w:p>
    <w:p w14:paraId="5804DE4D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Byty zahájené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jsou byty v těch domech, jejichž výstavba byla ve sledovaném období povolena, a to bez ohledu na to, zda tyto byty byly ve sledovaném období dokončeny či nikoliv. Za dům je pro účely této definice považován rodinný dům, bytový dům, nástavba, vestavba nebo přístavba k oběma uvedeným domům, domov-penzion a domov pro seniory, nebytová budova a jakýkoliv nebytový prostor, jehož adaptací vznikne nový byt.</w:t>
      </w:r>
    </w:p>
    <w:p w14:paraId="4DD12190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Byty dokončené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jsou byty v nových budovách, kterým bylo přiděleno číslo popisné/evidenční nebo nově dokončené byty ve stávajících budovách.</w:t>
      </w:r>
    </w:p>
    <w:p w14:paraId="6B01793C" w14:textId="77777777" w:rsidR="00E02253" w:rsidRPr="00E02253" w:rsidRDefault="00E02253" w:rsidP="00E02253">
      <w:pPr>
        <w:tabs>
          <w:tab w:val="left" w:pos="0"/>
          <w:tab w:val="left" w:pos="567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Rodinný dům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je stavba, v níž je více než polovina podlahové plochy všech místností určena k bydlení. Rodinný dům může mít nejvýše tři samostatné byty a nejvýše dvě nadzemní podlaží a podkroví. Při tom se nepřihlíží ke společným vedlejším místnostem a prostorám.</w:t>
      </w:r>
    </w:p>
    <w:p w14:paraId="3294F087" w14:textId="77777777" w:rsidR="00E02253" w:rsidRPr="00E02253" w:rsidRDefault="00E02253" w:rsidP="00E02253">
      <w:pPr>
        <w:tabs>
          <w:tab w:val="left" w:pos="0"/>
          <w:tab w:val="left" w:pos="567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lastRenderedPageBreak/>
        <w:t>Bytový dům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je stavba, v níž je více než polovina podlahové plochy všech místností určena k bydlení a počet samostatných bytů činí čtyři a více.</w:t>
      </w:r>
    </w:p>
    <w:p w14:paraId="16DC3D18" w14:textId="77777777" w:rsidR="00E02253" w:rsidRPr="00E02253" w:rsidRDefault="00E02253" w:rsidP="00E02253">
      <w:pPr>
        <w:tabs>
          <w:tab w:val="left" w:pos="0"/>
          <w:tab w:val="left" w:pos="567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Úpravy stávajících domů </w:t>
      </w:r>
      <w:r w:rsidRPr="00E02253">
        <w:rPr>
          <w:rFonts w:ascii="Arial" w:eastAsia="Times New Roman" w:hAnsi="Arial" w:cs="Arial"/>
          <w:bCs/>
          <w:sz w:val="18"/>
          <w:szCs w:val="18"/>
          <w:lang w:eastAsia="cs-CZ"/>
        </w:rPr>
        <w:t>zahrnují nástavby, vestavby nebo přístavby a dále adaptace nebytových prostor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. </w:t>
      </w:r>
      <w:r w:rsidRPr="00E02253">
        <w:rPr>
          <w:rFonts w:ascii="Arial" w:eastAsia="Times New Roman" w:hAnsi="Arial" w:cs="Arial"/>
          <w:bCs/>
          <w:sz w:val="18"/>
          <w:szCs w:val="18"/>
          <w:lang w:eastAsia="cs-CZ"/>
        </w:rPr>
        <w:t>Nástavba, vestavba nebo přístavba bytu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je taková stavební úprava stávajícího bytového či rodinného domu, která vede k získání nových bytů. </w:t>
      </w:r>
      <w:r w:rsidRPr="00E02253">
        <w:rPr>
          <w:rFonts w:ascii="Arial" w:eastAsia="Times New Roman" w:hAnsi="Arial" w:cs="Arial"/>
          <w:bCs/>
          <w:sz w:val="18"/>
          <w:szCs w:val="18"/>
          <w:lang w:eastAsia="cs-CZ"/>
        </w:rPr>
        <w:t>Adaptace nebytových prostor na byty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jsou takové stavební úpravy nebytových prostor, jak na stavbách pro bydlení, tak v nebytových budovách, které znamenají přírůstek bytů, ne však novou výstavbu.</w:t>
      </w:r>
    </w:p>
    <w:p w14:paraId="1A20713A" w14:textId="77777777" w:rsidR="00E02253" w:rsidRPr="00E02253" w:rsidRDefault="00E02253" w:rsidP="00E02253">
      <w:pPr>
        <w:tabs>
          <w:tab w:val="left" w:pos="0"/>
          <w:tab w:val="left" w:pos="567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Byty v 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nebytových budovách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jsou ty byty, které jsou umístěny v jiných než bytových budovách.</w:t>
      </w:r>
    </w:p>
    <w:p w14:paraId="69A477B0" w14:textId="77777777" w:rsidR="00E02253" w:rsidRPr="00E02253" w:rsidRDefault="00E02253" w:rsidP="00E02253">
      <w:pPr>
        <w:tabs>
          <w:tab w:val="left" w:pos="0"/>
          <w:tab w:val="left" w:pos="540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Obestavěný prostor domu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je dán součtem obestavěných prostor základů (kubaturou základových konstrukcí), spodní a vrchní části objektu a zastřešením (ohraničeno vnějšími plochami obvodových konstrukcí, dole rovinou spodní úrovně podlahové konstrukce a nahoře vnějšími plochami střechy).</w:t>
      </w:r>
    </w:p>
    <w:p w14:paraId="65908EED" w14:textId="77777777" w:rsidR="00E02253" w:rsidRPr="00E02253" w:rsidRDefault="00E02253" w:rsidP="00E02253">
      <w:pPr>
        <w:tabs>
          <w:tab w:val="left" w:pos="0"/>
          <w:tab w:val="left" w:pos="540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Obytnou plochou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bytu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se rozumí podlahová plocha obytných místností. Za 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obytnou místnost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se považuje přímo osvětlená a přímo větratelná místnost o podlahové ploše alespoň 8 m</w:t>
      </w:r>
      <w:r w:rsidRPr="00E02253">
        <w:rPr>
          <w:rFonts w:ascii="Arial" w:eastAsia="Times New Roman" w:hAnsi="Arial" w:cs="Arial"/>
          <w:sz w:val="18"/>
          <w:szCs w:val="18"/>
          <w:vertAlign w:val="superscript"/>
          <w:lang w:eastAsia="cs-CZ"/>
        </w:rPr>
        <w:t>2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, kterou lze přímo nebo dostatečně nepřímo vytápět a jež je vzhledem k uspořádání a vybavení určena k celoročnímu bydlení. Do obytné plochy se nezapočítává podlahová plocha 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vedlejších místností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(předsíň, nebytová hala, komora a další neobydlené místnosti určené k užívání společně s bytem; k vedlejším místnostem se nepočítají sklep, prádelna, neobyvatelné podkroví, eventuálně garáž) ani 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příslušenství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(záchod, koupelna, koupelnový nebo sprchový kout a spíž).</w:t>
      </w:r>
    </w:p>
    <w:p w14:paraId="75C7FAD4" w14:textId="67C98688" w:rsidR="00E02253" w:rsidRPr="00E02253" w:rsidRDefault="00E02253" w:rsidP="00E02253">
      <w:pPr>
        <w:tabs>
          <w:tab w:val="left" w:pos="0"/>
          <w:tab w:val="left" w:pos="540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Užit</w:t>
      </w:r>
      <w:r w:rsidR="001A2B96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n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ou plochou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bytu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se rozumí plocha všech obytných a vedlejších místností, včetně příslušenství bytu. Sklepy, prádelny a</w:t>
      </w:r>
      <w:r w:rsidR="00561F86">
        <w:rPr>
          <w:rFonts w:ascii="Arial" w:eastAsia="Times New Roman" w:hAnsi="Arial" w:cs="Arial"/>
          <w:sz w:val="18"/>
          <w:szCs w:val="18"/>
          <w:lang w:eastAsia="cs-CZ"/>
        </w:rPr>
        <w:t> 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>neobyvatelná podkroví se nesledují vůbec; garáže ano, ale v nebytových prostorách.</w:t>
      </w:r>
    </w:p>
    <w:p w14:paraId="13EE83F7" w14:textId="77777777" w:rsidR="00E02253" w:rsidRPr="00E02253" w:rsidRDefault="00E02253" w:rsidP="00E02253">
      <w:pPr>
        <w:tabs>
          <w:tab w:val="left" w:pos="0"/>
          <w:tab w:val="left" w:pos="540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Hodnota budov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je vyjádřena ve „smíšené ceně“, tj. souhrn hodnot v běžných cenách platných v jednotlivých letech výstavby.</w:t>
      </w:r>
    </w:p>
    <w:p w14:paraId="40495267" w14:textId="77777777" w:rsidR="00E02253" w:rsidRPr="00E02253" w:rsidRDefault="00E02253" w:rsidP="00E02253">
      <w:pPr>
        <w:tabs>
          <w:tab w:val="left" w:pos="0"/>
          <w:tab w:val="left" w:pos="540"/>
          <w:tab w:val="left" w:pos="1843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Doba výstavby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je skutečnou lhůtou mezi okamžikem vydání stavebního povolení a dokončením bytu, tj. zkolaudováním.</w:t>
      </w:r>
    </w:p>
    <w:p w14:paraId="57EB11AF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sz w:val="18"/>
          <w:szCs w:val="18"/>
          <w:lang w:eastAsia="cs-CZ"/>
        </w:rPr>
        <w:t>Stavebním povolením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se rozumí celkový počet stavebních povolení (včetně společných), stavebních ohlášení, staveb povolených na podkladě veřejnoprávní smlouvy a staveb ve zkráceném stavebním řízení autorizovaným inspektorem, které byly podle stavebního zákona vydány a evidovány příslušným stavebním úřadem.</w:t>
      </w:r>
    </w:p>
    <w:p w14:paraId="70123F5D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Orientační hodnota staveb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zahrnuje celkové náklady včetně technologie (v běžných cenách) vynaložené na přípravu, realizaci a uvedení stavby do provozu.</w:t>
      </w:r>
    </w:p>
    <w:p w14:paraId="0715B5FE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Nová výstavba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představuje zcela novou konstrukci, nové stavební dílo bez ohledu na to, zda už bylo dříve zastavěné a bez zřetele na stavebně technické provedení, účelu a doby trvání.</w:t>
      </w:r>
    </w:p>
    <w:p w14:paraId="66F397A1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Změnami dokončených staveb 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>jsou:</w:t>
      </w:r>
    </w:p>
    <w:p w14:paraId="2A0CEAD5" w14:textId="77777777" w:rsidR="00E02253" w:rsidRPr="00E02253" w:rsidRDefault="00E02253" w:rsidP="00E02253">
      <w:pPr>
        <w:tabs>
          <w:tab w:val="left" w:pos="0"/>
          <w:tab w:val="left" w:pos="426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– nástavby, jimiž se stavby zvyšují;</w:t>
      </w:r>
    </w:p>
    <w:p w14:paraId="4C99C412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– přístavby, jimiž se stavby půdorysně rozšiřují, a které jsou vzájemně provozně propojeny s dosavadní stavbou;</w:t>
      </w:r>
    </w:p>
    <w:p w14:paraId="4203C673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– stavební úpravy, při nichž se zachovává vnější půdorysné i výškové ohraničení stavby.</w:t>
      </w:r>
    </w:p>
    <w:p w14:paraId="25E0F070" w14:textId="77777777" w:rsidR="00E02253" w:rsidRPr="00E02253" w:rsidRDefault="00E02253" w:rsidP="00E02253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174B72E" w14:textId="77777777" w:rsidR="00E02253" w:rsidRPr="00E02253" w:rsidRDefault="00E02253" w:rsidP="00E02253">
      <w:pPr>
        <w:tabs>
          <w:tab w:val="left" w:pos="0"/>
          <w:tab w:val="left" w:pos="283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5A425EB" w14:textId="77777777" w:rsidR="00E02253" w:rsidRPr="00E02253" w:rsidRDefault="00E02253" w:rsidP="00E0225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rPr>
          <w:rFonts w:ascii="Arial" w:eastAsia="Calibri" w:hAnsi="Arial" w:cs="Arial"/>
          <w:b/>
          <w:bCs/>
          <w:color w:val="0071BC"/>
        </w:rPr>
      </w:pPr>
      <w:r w:rsidRPr="00E02253">
        <w:rPr>
          <w:rFonts w:ascii="Arial" w:eastAsia="Calibri" w:hAnsi="Arial" w:cs="Arial"/>
          <w:b/>
          <w:bCs/>
          <w:color w:val="0071BC"/>
        </w:rPr>
        <w:t>Poznámky k tabulkám</w:t>
      </w:r>
    </w:p>
    <w:p w14:paraId="754F89C6" w14:textId="77777777" w:rsidR="00E02253" w:rsidRPr="00E02253" w:rsidRDefault="00E02253" w:rsidP="00E02253">
      <w:pPr>
        <w:widowControl w:val="0"/>
        <w:tabs>
          <w:tab w:val="left" w:pos="-720"/>
          <w:tab w:val="left" w:pos="0"/>
          <w:tab w:val="left" w:pos="283"/>
          <w:tab w:val="left" w:pos="566"/>
          <w:tab w:val="left" w:pos="720"/>
          <w:tab w:val="left" w:pos="850"/>
          <w:tab w:val="left" w:pos="1134"/>
          <w:tab w:val="left" w:pos="1440"/>
          <w:tab w:val="left" w:pos="1700"/>
          <w:tab w:val="left" w:pos="1983"/>
          <w:tab w:val="left" w:pos="2160"/>
          <w:tab w:val="left" w:pos="2268"/>
          <w:tab w:val="left" w:pos="2551"/>
          <w:tab w:val="left" w:pos="2834"/>
          <w:tab w:val="left" w:pos="2880"/>
          <w:tab w:val="left" w:pos="3117"/>
          <w:tab w:val="left" w:pos="340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765763B" w14:textId="7D11E4ED" w:rsidR="00E02253" w:rsidRPr="00E02253" w:rsidRDefault="00E02253" w:rsidP="00E02253">
      <w:pPr>
        <w:tabs>
          <w:tab w:val="left" w:pos="0"/>
          <w:tab w:val="left" w:pos="567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Údaje v tab. 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17</w:t>
      </w:r>
      <w:r w:rsidR="00542949">
        <w:rPr>
          <w:rFonts w:ascii="Arial" w:eastAsia="Times New Roman" w:hAnsi="Arial" w:cs="Arial"/>
          <w:b/>
          <w:sz w:val="18"/>
          <w:szCs w:val="18"/>
          <w:lang w:eastAsia="cs-CZ"/>
        </w:rPr>
        <w:t>.</w:t>
      </w:r>
      <w:r w:rsidRPr="00E02253">
        <w:rPr>
          <w:rFonts w:ascii="Arial" w:eastAsia="Times New Roman" w:hAnsi="Arial" w:cs="Arial"/>
          <w:b/>
          <w:sz w:val="18"/>
          <w:szCs w:val="18"/>
          <w:lang w:eastAsia="cs-CZ"/>
        </w:rPr>
        <w:t>1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až 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17</w:t>
      </w:r>
      <w:r w:rsidR="00542949">
        <w:rPr>
          <w:rFonts w:ascii="Arial" w:eastAsia="Times New Roman" w:hAnsi="Arial" w:cs="Arial"/>
          <w:b/>
          <w:sz w:val="18"/>
          <w:szCs w:val="18"/>
          <w:lang w:eastAsia="cs-CZ"/>
        </w:rPr>
        <w:t>.</w:t>
      </w:r>
      <w:r w:rsidRPr="00E02253">
        <w:rPr>
          <w:rFonts w:ascii="Arial" w:eastAsia="Times New Roman" w:hAnsi="Arial" w:cs="Arial"/>
          <w:b/>
          <w:sz w:val="18"/>
          <w:szCs w:val="18"/>
          <w:lang w:eastAsia="cs-CZ"/>
        </w:rPr>
        <w:t>3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se vztahují k souboru všech stavebních podniků. Tab. 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17</w:t>
      </w:r>
      <w:r w:rsidR="00542949">
        <w:rPr>
          <w:rFonts w:ascii="Arial" w:eastAsia="Times New Roman" w:hAnsi="Arial" w:cs="Arial"/>
          <w:b/>
          <w:sz w:val="18"/>
          <w:szCs w:val="18"/>
          <w:lang w:eastAsia="cs-CZ"/>
        </w:rPr>
        <w:t>.</w:t>
      </w:r>
      <w:r w:rsidRPr="00E02253">
        <w:rPr>
          <w:rFonts w:ascii="Arial" w:eastAsia="Times New Roman" w:hAnsi="Arial" w:cs="Arial"/>
          <w:b/>
          <w:sz w:val="18"/>
          <w:szCs w:val="18"/>
          <w:lang w:eastAsia="cs-CZ"/>
        </w:rPr>
        <w:t>4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a 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17</w:t>
      </w:r>
      <w:r w:rsidR="00542949">
        <w:rPr>
          <w:rFonts w:ascii="Arial" w:eastAsia="Times New Roman" w:hAnsi="Arial" w:cs="Arial"/>
          <w:b/>
          <w:sz w:val="18"/>
          <w:szCs w:val="18"/>
          <w:lang w:eastAsia="cs-CZ"/>
        </w:rPr>
        <w:t>.</w:t>
      </w:r>
      <w:r w:rsidRPr="00E02253">
        <w:rPr>
          <w:rFonts w:ascii="Arial" w:eastAsia="Times New Roman" w:hAnsi="Arial" w:cs="Arial"/>
          <w:b/>
          <w:sz w:val="18"/>
          <w:szCs w:val="18"/>
          <w:lang w:eastAsia="cs-CZ"/>
        </w:rPr>
        <w:t>5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jsou za podniky s 20 a více zaměstnanci. Tab. 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17</w:t>
      </w:r>
      <w:r w:rsidR="00542949">
        <w:rPr>
          <w:rFonts w:ascii="Arial" w:eastAsia="Times New Roman" w:hAnsi="Arial" w:cs="Arial"/>
          <w:b/>
          <w:sz w:val="18"/>
          <w:szCs w:val="18"/>
          <w:lang w:eastAsia="cs-CZ"/>
        </w:rPr>
        <w:t>.</w:t>
      </w:r>
      <w:r w:rsidRPr="00E02253">
        <w:rPr>
          <w:rFonts w:ascii="Arial" w:eastAsia="Times New Roman" w:hAnsi="Arial" w:cs="Arial"/>
          <w:b/>
          <w:sz w:val="18"/>
          <w:szCs w:val="18"/>
          <w:lang w:eastAsia="cs-CZ"/>
        </w:rPr>
        <w:t>6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je za podniky s 50 a více zaměstnanci.</w:t>
      </w:r>
    </w:p>
    <w:p w14:paraId="5A756E4E" w14:textId="57F0ACD8" w:rsidR="00E02253" w:rsidRDefault="00E02253" w:rsidP="00E02253">
      <w:pPr>
        <w:tabs>
          <w:tab w:val="left" w:pos="0"/>
          <w:tab w:val="left" w:pos="566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6157B01" w14:textId="6E0A8F3E" w:rsidR="00E02253" w:rsidRPr="00E02253" w:rsidRDefault="00542949" w:rsidP="00E02253">
      <w:pPr>
        <w:tabs>
          <w:tab w:val="left" w:pos="0"/>
          <w:tab w:val="left" w:pos="283"/>
        </w:tabs>
        <w:suppressAutoHyphens/>
        <w:spacing w:after="0" w:line="240" w:lineRule="auto"/>
        <w:rPr>
          <w:rFonts w:ascii="Arial" w:eastAsia="Calibri" w:hAnsi="Arial" w:cs="Arial"/>
          <w:b/>
          <w:color w:val="0071BC"/>
        </w:rPr>
      </w:pPr>
      <w:r>
        <w:rPr>
          <w:rFonts w:ascii="Arial" w:eastAsia="Calibri" w:hAnsi="Arial" w:cs="Arial"/>
          <w:b/>
          <w:color w:val="0071BC"/>
        </w:rPr>
        <w:t>Tab. 17.6</w:t>
      </w:r>
      <w:r w:rsidR="00E02253" w:rsidRPr="00E02253">
        <w:rPr>
          <w:rFonts w:ascii="Arial" w:eastAsia="Calibri" w:hAnsi="Arial" w:cs="Arial"/>
          <w:b/>
          <w:color w:val="0071BC"/>
        </w:rPr>
        <w:t xml:space="preserve"> Zakázky stavebních prací</w:t>
      </w:r>
    </w:p>
    <w:p w14:paraId="611CB8F1" w14:textId="77777777" w:rsidR="00E02253" w:rsidRPr="00E02253" w:rsidRDefault="00E02253" w:rsidP="00E02253">
      <w:pPr>
        <w:tabs>
          <w:tab w:val="left" w:pos="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Údaje jsou výsledkem zpracování výkazů za podniky </w:t>
      </w:r>
      <w:r w:rsidRPr="00E02253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s převažující stavební činností </w:t>
      </w:r>
      <w:r w:rsidRPr="00E02253">
        <w:rPr>
          <w:rFonts w:ascii="Arial" w:eastAsia="Times New Roman" w:hAnsi="Arial" w:cs="Arial"/>
          <w:sz w:val="18"/>
          <w:szCs w:val="18"/>
          <w:lang w:eastAsia="cs-CZ"/>
        </w:rPr>
        <w:t>zařazené do skupiny CZ-NACE:</w:t>
      </w:r>
    </w:p>
    <w:p w14:paraId="25EFDEC1" w14:textId="77777777" w:rsidR="00E02253" w:rsidRPr="00E02253" w:rsidRDefault="00E02253" w:rsidP="00E02253">
      <w:pPr>
        <w:tabs>
          <w:tab w:val="left" w:pos="0"/>
          <w:tab w:val="left" w:pos="426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41.2 – Výstavba bytových a nebytových budov;</w:t>
      </w:r>
    </w:p>
    <w:p w14:paraId="7E41467C" w14:textId="77777777" w:rsidR="00E02253" w:rsidRPr="00E02253" w:rsidRDefault="00E02253" w:rsidP="00E02253">
      <w:pPr>
        <w:tabs>
          <w:tab w:val="left" w:pos="0"/>
          <w:tab w:val="left" w:pos="426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42.1 – Výstavba silnic a železnic;</w:t>
      </w:r>
    </w:p>
    <w:p w14:paraId="293A01FA" w14:textId="77777777" w:rsidR="00E02253" w:rsidRPr="00E02253" w:rsidRDefault="00E02253" w:rsidP="00E02253">
      <w:pPr>
        <w:tabs>
          <w:tab w:val="left" w:pos="0"/>
          <w:tab w:val="left" w:pos="426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42.2 – Výstavba inženýrských sítí;</w:t>
      </w:r>
    </w:p>
    <w:p w14:paraId="316AA245" w14:textId="77777777" w:rsidR="00E02253" w:rsidRPr="00E02253" w:rsidRDefault="00E02253" w:rsidP="00E02253">
      <w:pPr>
        <w:tabs>
          <w:tab w:val="left" w:pos="0"/>
          <w:tab w:val="left" w:pos="426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42.9 – Výstavba ostatních staveb;</w:t>
      </w:r>
    </w:p>
    <w:p w14:paraId="62E011B9" w14:textId="77777777" w:rsidR="00E02253" w:rsidRPr="00E02253" w:rsidRDefault="00E02253" w:rsidP="00E02253">
      <w:pPr>
        <w:tabs>
          <w:tab w:val="left" w:pos="0"/>
          <w:tab w:val="left" w:pos="426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43.1 – Demolice a příprava staveniště;</w:t>
      </w:r>
    </w:p>
    <w:p w14:paraId="4914CC2F" w14:textId="77777777" w:rsidR="00E02253" w:rsidRPr="00E02253" w:rsidRDefault="00E02253" w:rsidP="00E02253">
      <w:pPr>
        <w:tabs>
          <w:tab w:val="left" w:pos="0"/>
          <w:tab w:val="left" w:pos="426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43.9 – Ostatní specializované stavební činnosti.</w:t>
      </w:r>
    </w:p>
    <w:p w14:paraId="3DEA0915" w14:textId="77777777" w:rsidR="00E02253" w:rsidRPr="00E02253" w:rsidRDefault="00E02253" w:rsidP="00E02253">
      <w:pPr>
        <w:tabs>
          <w:tab w:val="left" w:pos="0"/>
          <w:tab w:val="left" w:pos="426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566B3495" w14:textId="77777777" w:rsidR="00E02253" w:rsidRPr="00E02253" w:rsidRDefault="00E02253" w:rsidP="00E02253">
      <w:pPr>
        <w:tabs>
          <w:tab w:val="left" w:pos="0"/>
          <w:tab w:val="left" w:pos="426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9CD1CAE" w14:textId="3E610E6A" w:rsidR="00E02253" w:rsidRPr="00E02253" w:rsidRDefault="00542949" w:rsidP="00E02253">
      <w:pPr>
        <w:tabs>
          <w:tab w:val="left" w:pos="0"/>
          <w:tab w:val="left" w:pos="283"/>
        </w:tabs>
        <w:suppressAutoHyphens/>
        <w:spacing w:after="0" w:line="240" w:lineRule="auto"/>
        <w:rPr>
          <w:rFonts w:ascii="Arial" w:eastAsia="Calibri" w:hAnsi="Arial" w:cs="Arial"/>
          <w:b/>
          <w:color w:val="0071BC"/>
        </w:rPr>
      </w:pPr>
      <w:r>
        <w:rPr>
          <w:rFonts w:ascii="Arial" w:eastAsia="Calibri" w:hAnsi="Arial" w:cs="Arial"/>
          <w:b/>
          <w:color w:val="0071BC"/>
        </w:rPr>
        <w:t xml:space="preserve">Tab. 17.7 </w:t>
      </w:r>
      <w:r w:rsidR="00E02253" w:rsidRPr="00E02253">
        <w:rPr>
          <w:rFonts w:ascii="Arial" w:eastAsia="Calibri" w:hAnsi="Arial" w:cs="Arial"/>
          <w:b/>
          <w:color w:val="0071BC"/>
        </w:rPr>
        <w:t>Nová výstavba nebytových budov podle klasifikace stavebních děl</w:t>
      </w:r>
    </w:p>
    <w:p w14:paraId="7CD23645" w14:textId="77777777" w:rsidR="00E02253" w:rsidRPr="00E02253" w:rsidRDefault="00E02253" w:rsidP="00E02253">
      <w:pPr>
        <w:tabs>
          <w:tab w:val="left" w:pos="0"/>
          <w:tab w:val="left" w:pos="283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Údaje o dokončených nebytových budovách jsou ročně zjišťovány vyčerpávajícím způsobem za všechny stavební úřady. Část údajů je čerpána z Registru územní identifikace, adres a nemovitostí.</w:t>
      </w:r>
    </w:p>
    <w:p w14:paraId="2778E6F6" w14:textId="70A7DE2E" w:rsidR="00E02253" w:rsidRDefault="00E02253" w:rsidP="00E02253">
      <w:pPr>
        <w:tabs>
          <w:tab w:val="left" w:pos="0"/>
          <w:tab w:val="left" w:pos="283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303763B" w14:textId="77777777" w:rsidR="00723AC2" w:rsidRDefault="00723AC2" w:rsidP="00E02253">
      <w:pPr>
        <w:tabs>
          <w:tab w:val="left" w:pos="0"/>
          <w:tab w:val="left" w:pos="283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CD3498A" w14:textId="77777777" w:rsidR="00F933BF" w:rsidRDefault="00F933BF" w:rsidP="00E02253">
      <w:pPr>
        <w:tabs>
          <w:tab w:val="left" w:pos="0"/>
          <w:tab w:val="left" w:pos="283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473124E" w14:textId="77777777" w:rsidR="00F933BF" w:rsidRPr="00E02253" w:rsidRDefault="00F933BF" w:rsidP="00E02253">
      <w:pPr>
        <w:tabs>
          <w:tab w:val="left" w:pos="0"/>
          <w:tab w:val="left" w:pos="283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1D30FEF" w14:textId="618DDD61" w:rsidR="00E02253" w:rsidRPr="00E02253" w:rsidRDefault="00542949" w:rsidP="00E02253">
      <w:pPr>
        <w:tabs>
          <w:tab w:val="left" w:pos="0"/>
          <w:tab w:val="left" w:pos="283"/>
        </w:tabs>
        <w:suppressAutoHyphens/>
        <w:spacing w:after="0" w:line="240" w:lineRule="auto"/>
        <w:rPr>
          <w:rFonts w:ascii="Arial" w:eastAsia="Calibri" w:hAnsi="Arial" w:cs="Arial"/>
          <w:b/>
          <w:color w:val="0071BC"/>
        </w:rPr>
      </w:pPr>
      <w:r>
        <w:rPr>
          <w:rFonts w:ascii="Arial" w:eastAsia="Calibri" w:hAnsi="Arial" w:cs="Arial"/>
          <w:b/>
          <w:color w:val="0071BC"/>
        </w:rPr>
        <w:lastRenderedPageBreak/>
        <w:t xml:space="preserve">Tab. 17.8 až 17.15 </w:t>
      </w:r>
      <w:r w:rsidR="00E02253" w:rsidRPr="00E02253">
        <w:rPr>
          <w:rFonts w:ascii="Arial" w:eastAsia="Calibri" w:hAnsi="Arial" w:cs="Arial"/>
          <w:b/>
          <w:color w:val="0071BC"/>
        </w:rPr>
        <w:t>Bytová výstavba, vydaná stavební povolení a orientační hodnota staveb</w:t>
      </w:r>
    </w:p>
    <w:p w14:paraId="09171739" w14:textId="77777777" w:rsidR="00E02253" w:rsidRPr="00E02253" w:rsidRDefault="00E02253" w:rsidP="00E02253">
      <w:pPr>
        <w:tabs>
          <w:tab w:val="left" w:pos="0"/>
          <w:tab w:val="left" w:pos="283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Údaje jsou zjišťovány vyčerpávajícím způsobem za všechny stavební úřady. Část údajů je čerpána z Registru územní identifikace, adres a nemovitostí.</w:t>
      </w:r>
    </w:p>
    <w:p w14:paraId="55E29F8D" w14:textId="77777777" w:rsidR="00E02253" w:rsidRPr="00E02253" w:rsidRDefault="00E02253" w:rsidP="00E02253">
      <w:pPr>
        <w:tabs>
          <w:tab w:val="left" w:pos="0"/>
          <w:tab w:val="left" w:pos="54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Změna Klasifikace stavebních děl CZ-CC od 1. 1. 2019 umožnila navázat charakter budovy na tuto mezinárodní klasifikaci. Zároveň s touto změnou byly ve výkazech Stav 2-12 a Stav 7-99 počínaje rokem 2020 provedeny další úpravy, které snížily administrativní zátěž a usnadnily získání údajů potřebných pro </w:t>
      </w:r>
      <w:proofErr w:type="spellStart"/>
      <w:r w:rsidRPr="00E02253">
        <w:rPr>
          <w:rFonts w:ascii="Arial" w:eastAsia="Times New Roman" w:hAnsi="Arial" w:cs="Arial"/>
          <w:sz w:val="18"/>
          <w:szCs w:val="18"/>
          <w:lang w:eastAsia="cs-CZ"/>
        </w:rPr>
        <w:t>Eurostat</w:t>
      </w:r>
      <w:proofErr w:type="spellEnd"/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. Některé položky byly ze sledování odstraněny nebo upraveny z důvodu nekompatibility s klasifikací CZ-CC. Již není možné odděleně sledovat stavby na ochranu životního prostředí, které jsou nově zatříděny pod příslušný kód Klasifikace CZ-CC. Byty v nebytových prostorech jsou v souladu s nařízením </w:t>
      </w:r>
      <w:proofErr w:type="spellStart"/>
      <w:r w:rsidRPr="00E02253">
        <w:rPr>
          <w:rFonts w:ascii="Arial" w:eastAsia="Times New Roman" w:hAnsi="Arial" w:cs="Arial"/>
          <w:sz w:val="18"/>
          <w:szCs w:val="18"/>
          <w:lang w:eastAsia="cs-CZ"/>
        </w:rPr>
        <w:t>Eurostatu</w:t>
      </w:r>
      <w:proofErr w:type="spellEnd"/>
      <w:r w:rsidRPr="00E02253">
        <w:rPr>
          <w:rFonts w:ascii="Arial" w:eastAsia="Times New Roman" w:hAnsi="Arial" w:cs="Arial"/>
          <w:sz w:val="18"/>
          <w:szCs w:val="18"/>
          <w:lang w:eastAsia="cs-CZ"/>
        </w:rPr>
        <w:t xml:space="preserve"> zařazeny do rodinných nebo bytových domů a současně s nástavbami, přístavbami a vestavbami tvoří novou kategorii „Úpravy stávajících rodinných nebo bytových domů“. Tato kategorie byla zpětně dopočítána tak, aby časová řada nebyla narušena.</w:t>
      </w:r>
    </w:p>
    <w:p w14:paraId="720FC6C0" w14:textId="77777777" w:rsidR="00E02253" w:rsidRPr="00E02253" w:rsidRDefault="00E02253" w:rsidP="00E02253">
      <w:pPr>
        <w:widowControl w:val="0"/>
        <w:tabs>
          <w:tab w:val="left" w:pos="-720"/>
          <w:tab w:val="left" w:pos="0"/>
          <w:tab w:val="left" w:pos="283"/>
          <w:tab w:val="left" w:pos="566"/>
          <w:tab w:val="left" w:pos="720"/>
          <w:tab w:val="left" w:pos="850"/>
          <w:tab w:val="left" w:pos="1134"/>
          <w:tab w:val="left" w:pos="1440"/>
          <w:tab w:val="left" w:pos="1700"/>
          <w:tab w:val="left" w:pos="1983"/>
          <w:tab w:val="left" w:pos="2160"/>
          <w:tab w:val="left" w:pos="2268"/>
          <w:tab w:val="left" w:pos="2551"/>
          <w:tab w:val="left" w:pos="2834"/>
          <w:tab w:val="left" w:pos="2880"/>
          <w:tab w:val="left" w:pos="3117"/>
          <w:tab w:val="left" w:pos="340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248AE7B" w14:textId="77777777" w:rsidR="00E02253" w:rsidRPr="00E02253" w:rsidRDefault="00E02253" w:rsidP="00E0225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95A92E8" w14:textId="77777777" w:rsidR="00E02253" w:rsidRPr="00E02253" w:rsidRDefault="00E02253" w:rsidP="00E0225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after="0" w:line="240" w:lineRule="auto"/>
        <w:ind w:left="680" w:hanging="680"/>
        <w:jc w:val="center"/>
        <w:rPr>
          <w:rFonts w:ascii="Arial" w:eastAsia="Times New Roman" w:hAnsi="Arial" w:cs="Arial"/>
          <w:color w:val="0071BC"/>
          <w:lang w:eastAsia="cs-CZ"/>
        </w:rPr>
      </w:pPr>
      <w:r w:rsidRPr="00E02253">
        <w:rPr>
          <w:rFonts w:ascii="Arial" w:eastAsia="Times New Roman" w:hAnsi="Arial" w:cs="Arial"/>
          <w:color w:val="0071BC"/>
          <w:lang w:eastAsia="cs-CZ"/>
        </w:rPr>
        <w:t>*          *          *</w:t>
      </w:r>
    </w:p>
    <w:p w14:paraId="42C2892D" w14:textId="77777777" w:rsidR="00E02253" w:rsidRPr="00E02253" w:rsidRDefault="00E02253" w:rsidP="00E02253">
      <w:pPr>
        <w:tabs>
          <w:tab w:val="left" w:pos="0"/>
          <w:tab w:val="left" w:pos="54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C155459" w14:textId="77777777" w:rsidR="00E02253" w:rsidRPr="00E02253" w:rsidRDefault="00E02253" w:rsidP="00E02253">
      <w:pPr>
        <w:tabs>
          <w:tab w:val="left" w:pos="0"/>
          <w:tab w:val="left" w:pos="54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9519B5F" w14:textId="77777777" w:rsidR="00E02253" w:rsidRPr="00E02253" w:rsidRDefault="00E02253" w:rsidP="00E0225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Další informace jsou dostupné na internetových stránkách Českého statistického úřadu:</w:t>
      </w:r>
    </w:p>
    <w:p w14:paraId="26A9C64C" w14:textId="3B3456E4" w:rsidR="003F7D79" w:rsidRPr="003F7D79" w:rsidRDefault="00E02253" w:rsidP="00F933BF">
      <w:pPr>
        <w:tabs>
          <w:tab w:val="left" w:pos="0"/>
          <w:tab w:val="left" w:pos="567"/>
        </w:tabs>
        <w:suppressAutoHyphens/>
        <w:spacing w:before="120" w:after="0" w:line="240" w:lineRule="auto"/>
        <w:rPr>
          <w:rFonts w:ascii="Arial" w:eastAsia="Arial Unicode MS" w:hAnsi="Arial" w:cs="Arial"/>
          <w:b/>
          <w:i/>
          <w:iCs/>
          <w:lang w:val="en-GB" w:eastAsia="cs-CZ"/>
        </w:rPr>
      </w:pPr>
      <w:r w:rsidRPr="00E02253">
        <w:rPr>
          <w:rFonts w:ascii="Arial" w:eastAsia="Times New Roman" w:hAnsi="Arial" w:cs="Arial"/>
          <w:sz w:val="18"/>
          <w:szCs w:val="18"/>
          <w:lang w:eastAsia="cs-CZ"/>
        </w:rPr>
        <w:t>– </w:t>
      </w:r>
      <w:hyperlink r:id="rId11" w:history="1">
        <w:r w:rsidR="00154D7A" w:rsidRPr="00F56A21">
          <w:rPr>
            <w:rStyle w:val="Hypertextovodkaz"/>
            <w:rFonts w:ascii="Arial" w:eastAsia="Times New Roman" w:hAnsi="Arial" w:cs="Arial"/>
            <w:sz w:val="18"/>
            <w:szCs w:val="18"/>
            <w:lang w:eastAsia="cs-CZ"/>
          </w:rPr>
          <w:t>www</w:t>
        </w:r>
        <w:r w:rsidR="00154D7A" w:rsidRPr="00F56A21">
          <w:rPr>
            <w:rStyle w:val="Hypertextovodkaz"/>
            <w:rFonts w:asciiTheme="minorHAnsi" w:hAnsiTheme="minorHAnsi" w:cstheme="minorBidi"/>
          </w:rPr>
          <w:t>.</w:t>
        </w:r>
        <w:r w:rsidR="00154D7A" w:rsidRPr="00F56A21">
          <w:rPr>
            <w:rStyle w:val="Hypertextovodkaz"/>
            <w:rFonts w:ascii="Arial" w:eastAsia="Times New Roman" w:hAnsi="Arial" w:cs="Arial"/>
            <w:sz w:val="18"/>
            <w:szCs w:val="18"/>
            <w:lang w:eastAsia="cs-CZ"/>
          </w:rPr>
          <w:t>csu.gov.cz/stavebnictvi-byty</w:t>
        </w:r>
      </w:hyperlink>
    </w:p>
    <w:sectPr w:rsidR="003F7D79" w:rsidRPr="003F7D79" w:rsidSect="00F933BF">
      <w:footerReference w:type="even" r:id="rId12"/>
      <w:pgSz w:w="11906" w:h="16838" w:code="9"/>
      <w:pgMar w:top="1134" w:right="964" w:bottom="1418" w:left="964" w:header="510" w:footer="680" w:gutter="0"/>
      <w:pgNumType w:start="4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060E4" w14:textId="77777777" w:rsidR="002F2E57" w:rsidRDefault="002F2E57" w:rsidP="00A136A3">
      <w:r>
        <w:separator/>
      </w:r>
    </w:p>
  </w:endnote>
  <w:endnote w:type="continuationSeparator" w:id="0">
    <w:p w14:paraId="06E61203" w14:textId="77777777" w:rsidR="002F2E57" w:rsidRDefault="002F2E57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04714" w14:textId="575D8FC7" w:rsidR="002B272C" w:rsidRPr="00F86E1B" w:rsidRDefault="002B272C" w:rsidP="00F86E1B">
    <w:pPr>
      <w:pStyle w:val="Zpat"/>
      <w:tabs>
        <w:tab w:val="clear" w:pos="4536"/>
        <w:tab w:val="clear" w:pos="9072"/>
        <w:tab w:val="left" w:pos="5161"/>
      </w:tabs>
      <w:jc w:val="left"/>
      <w:rPr>
        <w:rFonts w:ascii="Arial" w:hAnsi="Arial" w:cs="Arial"/>
        <w:sz w:val="16"/>
        <w:szCs w:val="16"/>
      </w:rPr>
    </w:pPr>
    <w:r w:rsidRPr="004B6C55">
      <w:rPr>
        <w:rFonts w:ascii="Arial" w:hAnsi="Arial" w:cs="Arial"/>
        <w:sz w:val="16"/>
        <w:szCs w:val="16"/>
      </w:rPr>
      <w:ptab w:relativeTo="margin" w:alignment="center" w:leader="none"/>
    </w:r>
    <w:r w:rsidRPr="004B6C55">
      <w:rPr>
        <w:rFonts w:ascii="Arial" w:hAnsi="Arial" w:cs="Arial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53C0A" w14:textId="77777777" w:rsidR="002F2E57" w:rsidRDefault="002F2E57" w:rsidP="00A136A3">
      <w:r>
        <w:separator/>
      </w:r>
    </w:p>
  </w:footnote>
  <w:footnote w:type="continuationSeparator" w:id="0">
    <w:p w14:paraId="33891825" w14:textId="77777777" w:rsidR="002F2E57" w:rsidRDefault="002F2E57" w:rsidP="00A1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CF0010E"/>
    <w:multiLevelType w:val="multilevel"/>
    <w:tmpl w:val="3F3AEB90"/>
    <w:lvl w:ilvl="0">
      <w:start w:val="1"/>
      <w:numFmt w:val="decimal"/>
      <w:pStyle w:val="Rnadpis"/>
      <w:lvlText w:val="%1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abulka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6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7" w15:restartNumberingAfterBreak="0">
    <w:nsid w:val="36575FB1"/>
    <w:multiLevelType w:val="hybridMultilevel"/>
    <w:tmpl w:val="B7E2E6AA"/>
    <w:lvl w:ilvl="0" w:tplc="C8C487C0">
      <w:start w:val="1"/>
      <w:numFmt w:val="lowerRoman"/>
      <w:lvlText w:val="%1)"/>
      <w:lvlJc w:val="left"/>
      <w:pPr>
        <w:ind w:left="1146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9" w15:restartNumberingAfterBreak="0">
    <w:nsid w:val="37CC5066"/>
    <w:multiLevelType w:val="hybridMultilevel"/>
    <w:tmpl w:val="67F49080"/>
    <w:lvl w:ilvl="0" w:tplc="6C3EE854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" w15:restartNumberingAfterBreak="0">
    <w:nsid w:val="3E3C4441"/>
    <w:multiLevelType w:val="hybridMultilevel"/>
    <w:tmpl w:val="67F49080"/>
    <w:lvl w:ilvl="0" w:tplc="6C3EE854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3" w15:restartNumberingAfterBreak="0">
    <w:nsid w:val="4A6B2931"/>
    <w:multiLevelType w:val="hybridMultilevel"/>
    <w:tmpl w:val="DBBC5030"/>
    <w:lvl w:ilvl="0" w:tplc="BCDE4670">
      <w:start w:val="1"/>
      <w:numFmt w:val="decimal"/>
      <w:pStyle w:val="104"/>
      <w:lvlText w:val="10.4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8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24137A"/>
    <w:multiLevelType w:val="hybridMultilevel"/>
    <w:tmpl w:val="A1F4A55E"/>
    <w:lvl w:ilvl="0" w:tplc="3236CDC0">
      <w:start w:val="1"/>
      <w:numFmt w:val="lowerRoman"/>
      <w:lvlText w:val="%1)"/>
      <w:lvlJc w:val="left"/>
      <w:pPr>
        <w:ind w:left="1146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06631"/>
    <w:multiLevelType w:val="hybridMultilevel"/>
    <w:tmpl w:val="CCBAA1D4"/>
    <w:lvl w:ilvl="0" w:tplc="6A26BC42">
      <w:start w:val="5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212055">
    <w:abstractNumId w:val="1"/>
  </w:num>
  <w:num w:numId="2" w16cid:durableId="841120639">
    <w:abstractNumId w:val="21"/>
  </w:num>
  <w:num w:numId="3" w16cid:durableId="1563784010">
    <w:abstractNumId w:val="19"/>
  </w:num>
  <w:num w:numId="4" w16cid:durableId="404887781">
    <w:abstractNumId w:val="14"/>
  </w:num>
  <w:num w:numId="5" w16cid:durableId="1438719871">
    <w:abstractNumId w:val="13"/>
  </w:num>
  <w:num w:numId="6" w16cid:durableId="87039920">
    <w:abstractNumId w:val="4"/>
  </w:num>
  <w:num w:numId="7" w16cid:durableId="257371847">
    <w:abstractNumId w:val="7"/>
  </w:num>
  <w:num w:numId="8" w16cid:durableId="1057245490">
    <w:abstractNumId w:val="20"/>
  </w:num>
  <w:num w:numId="9" w16cid:durableId="277217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1485919">
    <w:abstractNumId w:val="9"/>
  </w:num>
  <w:num w:numId="11" w16cid:durableId="307705075">
    <w:abstractNumId w:val="10"/>
  </w:num>
  <w:num w:numId="12" w16cid:durableId="3898338">
    <w:abstractNumId w:val="3"/>
  </w:num>
  <w:num w:numId="13" w16cid:durableId="456725037">
    <w:abstractNumId w:val="16"/>
  </w:num>
  <w:num w:numId="14" w16cid:durableId="1396246699">
    <w:abstractNumId w:val="15"/>
  </w:num>
  <w:num w:numId="15" w16cid:durableId="1906990126">
    <w:abstractNumId w:val="5"/>
  </w:num>
  <w:num w:numId="16" w16cid:durableId="1538395830">
    <w:abstractNumId w:val="8"/>
  </w:num>
  <w:num w:numId="17" w16cid:durableId="1326586416">
    <w:abstractNumId w:val="17"/>
  </w:num>
  <w:num w:numId="18" w16cid:durableId="416827044">
    <w:abstractNumId w:val="6"/>
  </w:num>
  <w:num w:numId="19" w16cid:durableId="432822875">
    <w:abstractNumId w:val="2"/>
  </w:num>
  <w:num w:numId="20" w16cid:durableId="559098998">
    <w:abstractNumId w:val="0"/>
  </w:num>
  <w:num w:numId="21" w16cid:durableId="99841754">
    <w:abstractNumId w:val="12"/>
  </w:num>
  <w:num w:numId="22" w16cid:durableId="1675499877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cs-CZ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EF5"/>
    <w:rsid w:val="00004A75"/>
    <w:rsid w:val="000107C6"/>
    <w:rsid w:val="00012A2C"/>
    <w:rsid w:val="0001422F"/>
    <w:rsid w:val="000168A5"/>
    <w:rsid w:val="00016CAB"/>
    <w:rsid w:val="00021C40"/>
    <w:rsid w:val="0002215C"/>
    <w:rsid w:val="00022EDD"/>
    <w:rsid w:val="00026995"/>
    <w:rsid w:val="000354EF"/>
    <w:rsid w:val="00035D76"/>
    <w:rsid w:val="0004358E"/>
    <w:rsid w:val="000500F8"/>
    <w:rsid w:val="00054C90"/>
    <w:rsid w:val="000550B2"/>
    <w:rsid w:val="000569D7"/>
    <w:rsid w:val="00072100"/>
    <w:rsid w:val="000851E7"/>
    <w:rsid w:val="00091E37"/>
    <w:rsid w:val="00095D33"/>
    <w:rsid w:val="000A0039"/>
    <w:rsid w:val="000A4614"/>
    <w:rsid w:val="000B46D6"/>
    <w:rsid w:val="000B7755"/>
    <w:rsid w:val="000C2B8E"/>
    <w:rsid w:val="000D126B"/>
    <w:rsid w:val="000D33AE"/>
    <w:rsid w:val="000D6A64"/>
    <w:rsid w:val="000E3E4E"/>
    <w:rsid w:val="000F346B"/>
    <w:rsid w:val="00103CB2"/>
    <w:rsid w:val="001042ED"/>
    <w:rsid w:val="00112D61"/>
    <w:rsid w:val="00113ABA"/>
    <w:rsid w:val="00115ACF"/>
    <w:rsid w:val="00116D82"/>
    <w:rsid w:val="00117FA0"/>
    <w:rsid w:val="00125882"/>
    <w:rsid w:val="0012695F"/>
    <w:rsid w:val="00134A76"/>
    <w:rsid w:val="0014223C"/>
    <w:rsid w:val="00154D7A"/>
    <w:rsid w:val="0015701C"/>
    <w:rsid w:val="00160B5A"/>
    <w:rsid w:val="00164105"/>
    <w:rsid w:val="001653F9"/>
    <w:rsid w:val="00165F24"/>
    <w:rsid w:val="00170EC7"/>
    <w:rsid w:val="00175446"/>
    <w:rsid w:val="00175D5F"/>
    <w:rsid w:val="00176C28"/>
    <w:rsid w:val="0018004A"/>
    <w:rsid w:val="001800FB"/>
    <w:rsid w:val="00180CFF"/>
    <w:rsid w:val="0018315A"/>
    <w:rsid w:val="00191463"/>
    <w:rsid w:val="001946BE"/>
    <w:rsid w:val="00195642"/>
    <w:rsid w:val="00195F2B"/>
    <w:rsid w:val="001A2B96"/>
    <w:rsid w:val="001A2CED"/>
    <w:rsid w:val="001A611A"/>
    <w:rsid w:val="001B0028"/>
    <w:rsid w:val="001C5E3C"/>
    <w:rsid w:val="001E07DD"/>
    <w:rsid w:val="001E0D9F"/>
    <w:rsid w:val="001E228A"/>
    <w:rsid w:val="001E256D"/>
    <w:rsid w:val="001E723A"/>
    <w:rsid w:val="001F4517"/>
    <w:rsid w:val="001F5F9C"/>
    <w:rsid w:val="002011EB"/>
    <w:rsid w:val="002026CF"/>
    <w:rsid w:val="002031F9"/>
    <w:rsid w:val="00205F45"/>
    <w:rsid w:val="00207A27"/>
    <w:rsid w:val="00207E65"/>
    <w:rsid w:val="00213538"/>
    <w:rsid w:val="00214301"/>
    <w:rsid w:val="002152BA"/>
    <w:rsid w:val="00220BC5"/>
    <w:rsid w:val="0022104D"/>
    <w:rsid w:val="00222B32"/>
    <w:rsid w:val="00223BFC"/>
    <w:rsid w:val="00226FEE"/>
    <w:rsid w:val="00251909"/>
    <w:rsid w:val="002539D0"/>
    <w:rsid w:val="002638B5"/>
    <w:rsid w:val="00264111"/>
    <w:rsid w:val="00276F85"/>
    <w:rsid w:val="0027775D"/>
    <w:rsid w:val="00284E15"/>
    <w:rsid w:val="00287FE6"/>
    <w:rsid w:val="00290D0C"/>
    <w:rsid w:val="00294A52"/>
    <w:rsid w:val="00295BD0"/>
    <w:rsid w:val="00297C86"/>
    <w:rsid w:val="002B272C"/>
    <w:rsid w:val="002B342E"/>
    <w:rsid w:val="002B5F6E"/>
    <w:rsid w:val="002C10D1"/>
    <w:rsid w:val="002C14A9"/>
    <w:rsid w:val="002C7CE5"/>
    <w:rsid w:val="002D119C"/>
    <w:rsid w:val="002D4E43"/>
    <w:rsid w:val="002E06D7"/>
    <w:rsid w:val="002E166C"/>
    <w:rsid w:val="002E349F"/>
    <w:rsid w:val="002E6E5E"/>
    <w:rsid w:val="002E7602"/>
    <w:rsid w:val="002F2E57"/>
    <w:rsid w:val="002F594A"/>
    <w:rsid w:val="003000BB"/>
    <w:rsid w:val="00300215"/>
    <w:rsid w:val="003027C2"/>
    <w:rsid w:val="00305D6A"/>
    <w:rsid w:val="00307741"/>
    <w:rsid w:val="00320DBD"/>
    <w:rsid w:val="00321B73"/>
    <w:rsid w:val="0032556B"/>
    <w:rsid w:val="003277F2"/>
    <w:rsid w:val="003356E3"/>
    <w:rsid w:val="0034635A"/>
    <w:rsid w:val="0035008D"/>
    <w:rsid w:val="003533EA"/>
    <w:rsid w:val="003538EB"/>
    <w:rsid w:val="00360E51"/>
    <w:rsid w:val="00364F6B"/>
    <w:rsid w:val="003654A6"/>
    <w:rsid w:val="003656C2"/>
    <w:rsid w:val="003679D5"/>
    <w:rsid w:val="00367CDE"/>
    <w:rsid w:val="00374BD5"/>
    <w:rsid w:val="00384C96"/>
    <w:rsid w:val="00391EF7"/>
    <w:rsid w:val="0039487B"/>
    <w:rsid w:val="003A4DF1"/>
    <w:rsid w:val="003A5CEC"/>
    <w:rsid w:val="003A6B14"/>
    <w:rsid w:val="003B622A"/>
    <w:rsid w:val="003C033C"/>
    <w:rsid w:val="003C168E"/>
    <w:rsid w:val="003C1DA4"/>
    <w:rsid w:val="003C6347"/>
    <w:rsid w:val="003D17EF"/>
    <w:rsid w:val="003D2611"/>
    <w:rsid w:val="003D66CC"/>
    <w:rsid w:val="003D6E8A"/>
    <w:rsid w:val="003D785D"/>
    <w:rsid w:val="003D78EC"/>
    <w:rsid w:val="003F04CA"/>
    <w:rsid w:val="003F15B0"/>
    <w:rsid w:val="003F1EC2"/>
    <w:rsid w:val="003F35B0"/>
    <w:rsid w:val="003F4986"/>
    <w:rsid w:val="003F57DB"/>
    <w:rsid w:val="003F6C0F"/>
    <w:rsid w:val="003F70F7"/>
    <w:rsid w:val="003F7D79"/>
    <w:rsid w:val="004016B8"/>
    <w:rsid w:val="0040390F"/>
    <w:rsid w:val="00410595"/>
    <w:rsid w:val="00415AE2"/>
    <w:rsid w:val="004161D3"/>
    <w:rsid w:val="00420824"/>
    <w:rsid w:val="00420C28"/>
    <w:rsid w:val="004216B9"/>
    <w:rsid w:val="00432E1F"/>
    <w:rsid w:val="00437A7D"/>
    <w:rsid w:val="00441883"/>
    <w:rsid w:val="004423E0"/>
    <w:rsid w:val="00442513"/>
    <w:rsid w:val="0044330A"/>
    <w:rsid w:val="004436D5"/>
    <w:rsid w:val="0044448A"/>
    <w:rsid w:val="0044528B"/>
    <w:rsid w:val="00451D0D"/>
    <w:rsid w:val="00462BAB"/>
    <w:rsid w:val="00463728"/>
    <w:rsid w:val="00463E98"/>
    <w:rsid w:val="00463F58"/>
    <w:rsid w:val="004729F1"/>
    <w:rsid w:val="0047449B"/>
    <w:rsid w:val="00477A2F"/>
    <w:rsid w:val="004826EF"/>
    <w:rsid w:val="00491DE9"/>
    <w:rsid w:val="00494C5F"/>
    <w:rsid w:val="00495E8B"/>
    <w:rsid w:val="004A4E83"/>
    <w:rsid w:val="004A77F6"/>
    <w:rsid w:val="004B6C55"/>
    <w:rsid w:val="004C062F"/>
    <w:rsid w:val="004E01FB"/>
    <w:rsid w:val="004E17AC"/>
    <w:rsid w:val="004E5D4C"/>
    <w:rsid w:val="004E7F2E"/>
    <w:rsid w:val="004F4333"/>
    <w:rsid w:val="004F6B79"/>
    <w:rsid w:val="00503FE8"/>
    <w:rsid w:val="00511555"/>
    <w:rsid w:val="00512501"/>
    <w:rsid w:val="00514F8D"/>
    <w:rsid w:val="005205E6"/>
    <w:rsid w:val="0052209C"/>
    <w:rsid w:val="00532B66"/>
    <w:rsid w:val="00540909"/>
    <w:rsid w:val="00542696"/>
    <w:rsid w:val="00542949"/>
    <w:rsid w:val="005455BE"/>
    <w:rsid w:val="00546E49"/>
    <w:rsid w:val="00547491"/>
    <w:rsid w:val="005527C5"/>
    <w:rsid w:val="00556C19"/>
    <w:rsid w:val="00560366"/>
    <w:rsid w:val="00561F86"/>
    <w:rsid w:val="00570A94"/>
    <w:rsid w:val="00582B7B"/>
    <w:rsid w:val="00584880"/>
    <w:rsid w:val="005870A2"/>
    <w:rsid w:val="00590D51"/>
    <w:rsid w:val="005A1F78"/>
    <w:rsid w:val="005A25B0"/>
    <w:rsid w:val="005A25CB"/>
    <w:rsid w:val="005A35F2"/>
    <w:rsid w:val="005B1B0E"/>
    <w:rsid w:val="005C4E89"/>
    <w:rsid w:val="005C72FD"/>
    <w:rsid w:val="005E334C"/>
    <w:rsid w:val="00600B7A"/>
    <w:rsid w:val="00610EE6"/>
    <w:rsid w:val="006162EA"/>
    <w:rsid w:val="00617409"/>
    <w:rsid w:val="00622E9E"/>
    <w:rsid w:val="00623491"/>
    <w:rsid w:val="006250D6"/>
    <w:rsid w:val="006311DE"/>
    <w:rsid w:val="00632F23"/>
    <w:rsid w:val="00655D92"/>
    <w:rsid w:val="00657A86"/>
    <w:rsid w:val="00661E96"/>
    <w:rsid w:val="006708CA"/>
    <w:rsid w:val="0068662F"/>
    <w:rsid w:val="00690774"/>
    <w:rsid w:val="0069346B"/>
    <w:rsid w:val="00693546"/>
    <w:rsid w:val="0069490A"/>
    <w:rsid w:val="00695007"/>
    <w:rsid w:val="00696425"/>
    <w:rsid w:val="00697FAC"/>
    <w:rsid w:val="006A141B"/>
    <w:rsid w:val="006A5726"/>
    <w:rsid w:val="006A7A76"/>
    <w:rsid w:val="006B1760"/>
    <w:rsid w:val="006B4F4C"/>
    <w:rsid w:val="006B736D"/>
    <w:rsid w:val="006B7FBA"/>
    <w:rsid w:val="006C0761"/>
    <w:rsid w:val="006C2D29"/>
    <w:rsid w:val="006C7F68"/>
    <w:rsid w:val="006D0526"/>
    <w:rsid w:val="006D1A8F"/>
    <w:rsid w:val="006D4BBF"/>
    <w:rsid w:val="006D62D8"/>
    <w:rsid w:val="006D789A"/>
    <w:rsid w:val="006E0616"/>
    <w:rsid w:val="006E4200"/>
    <w:rsid w:val="006F08A7"/>
    <w:rsid w:val="006F6425"/>
    <w:rsid w:val="00705C36"/>
    <w:rsid w:val="0071219A"/>
    <w:rsid w:val="00715480"/>
    <w:rsid w:val="00717EA2"/>
    <w:rsid w:val="007200E2"/>
    <w:rsid w:val="00723AC2"/>
    <w:rsid w:val="00723C31"/>
    <w:rsid w:val="00731F98"/>
    <w:rsid w:val="0074178E"/>
    <w:rsid w:val="0074659B"/>
    <w:rsid w:val="00746F90"/>
    <w:rsid w:val="00752EBE"/>
    <w:rsid w:val="0075366C"/>
    <w:rsid w:val="00755DA3"/>
    <w:rsid w:val="00756029"/>
    <w:rsid w:val="007704D0"/>
    <w:rsid w:val="00771EB6"/>
    <w:rsid w:val="0077497D"/>
    <w:rsid w:val="007758C4"/>
    <w:rsid w:val="00776845"/>
    <w:rsid w:val="00776C44"/>
    <w:rsid w:val="0077714F"/>
    <w:rsid w:val="007825B9"/>
    <w:rsid w:val="00784A0B"/>
    <w:rsid w:val="00795664"/>
    <w:rsid w:val="007979C3"/>
    <w:rsid w:val="007979C9"/>
    <w:rsid w:val="007A5C15"/>
    <w:rsid w:val="007B3B71"/>
    <w:rsid w:val="007C2860"/>
    <w:rsid w:val="007C447A"/>
    <w:rsid w:val="007C45FC"/>
    <w:rsid w:val="007C735B"/>
    <w:rsid w:val="007D16E6"/>
    <w:rsid w:val="007D4334"/>
    <w:rsid w:val="007E08C4"/>
    <w:rsid w:val="007E2117"/>
    <w:rsid w:val="007E4A05"/>
    <w:rsid w:val="007E6712"/>
    <w:rsid w:val="007E7765"/>
    <w:rsid w:val="007F23B1"/>
    <w:rsid w:val="007F2DF8"/>
    <w:rsid w:val="007F4769"/>
    <w:rsid w:val="007F5E26"/>
    <w:rsid w:val="00800AF2"/>
    <w:rsid w:val="00802E4A"/>
    <w:rsid w:val="00803F8B"/>
    <w:rsid w:val="00814233"/>
    <w:rsid w:val="008143E8"/>
    <w:rsid w:val="008148EE"/>
    <w:rsid w:val="00814AF4"/>
    <w:rsid w:val="00817371"/>
    <w:rsid w:val="00817966"/>
    <w:rsid w:val="00821BD8"/>
    <w:rsid w:val="00821CD4"/>
    <w:rsid w:val="0082230E"/>
    <w:rsid w:val="00824975"/>
    <w:rsid w:val="008258E4"/>
    <w:rsid w:val="00826357"/>
    <w:rsid w:val="008318DF"/>
    <w:rsid w:val="00837303"/>
    <w:rsid w:val="00842B5E"/>
    <w:rsid w:val="00844FEF"/>
    <w:rsid w:val="008502CE"/>
    <w:rsid w:val="008507CE"/>
    <w:rsid w:val="008510FE"/>
    <w:rsid w:val="0085302B"/>
    <w:rsid w:val="00855333"/>
    <w:rsid w:val="00856F28"/>
    <w:rsid w:val="0086331C"/>
    <w:rsid w:val="00864966"/>
    <w:rsid w:val="0086502C"/>
    <w:rsid w:val="00870744"/>
    <w:rsid w:val="008724F7"/>
    <w:rsid w:val="00872ADC"/>
    <w:rsid w:val="0087693F"/>
    <w:rsid w:val="0088174F"/>
    <w:rsid w:val="00883BD5"/>
    <w:rsid w:val="008948B5"/>
    <w:rsid w:val="00894A86"/>
    <w:rsid w:val="00894FA1"/>
    <w:rsid w:val="008A0E23"/>
    <w:rsid w:val="008A4A39"/>
    <w:rsid w:val="008A630C"/>
    <w:rsid w:val="008A705C"/>
    <w:rsid w:val="008A74D1"/>
    <w:rsid w:val="008B0F5A"/>
    <w:rsid w:val="008B1F15"/>
    <w:rsid w:val="008B36E6"/>
    <w:rsid w:val="008B4EC5"/>
    <w:rsid w:val="008B592A"/>
    <w:rsid w:val="008C6D74"/>
    <w:rsid w:val="008D259F"/>
    <w:rsid w:val="008D619E"/>
    <w:rsid w:val="008D7928"/>
    <w:rsid w:val="008E4537"/>
    <w:rsid w:val="008E5EF5"/>
    <w:rsid w:val="008E6A5E"/>
    <w:rsid w:val="008F47F1"/>
    <w:rsid w:val="008F7173"/>
    <w:rsid w:val="00902FB6"/>
    <w:rsid w:val="0090640C"/>
    <w:rsid w:val="00917B66"/>
    <w:rsid w:val="00920432"/>
    <w:rsid w:val="00922D5A"/>
    <w:rsid w:val="0092621C"/>
    <w:rsid w:val="00930C8E"/>
    <w:rsid w:val="009353D2"/>
    <w:rsid w:val="009360A6"/>
    <w:rsid w:val="009511AA"/>
    <w:rsid w:val="0095300F"/>
    <w:rsid w:val="009562E7"/>
    <w:rsid w:val="00956FFD"/>
    <w:rsid w:val="0095757C"/>
    <w:rsid w:val="00957763"/>
    <w:rsid w:val="00957C76"/>
    <w:rsid w:val="009605F9"/>
    <w:rsid w:val="00965D14"/>
    <w:rsid w:val="00970598"/>
    <w:rsid w:val="0097195E"/>
    <w:rsid w:val="00974A24"/>
    <w:rsid w:val="0099393F"/>
    <w:rsid w:val="00994CEE"/>
    <w:rsid w:val="009955D7"/>
    <w:rsid w:val="009A1A1B"/>
    <w:rsid w:val="009A2379"/>
    <w:rsid w:val="009A2D94"/>
    <w:rsid w:val="009B5510"/>
    <w:rsid w:val="009D129D"/>
    <w:rsid w:val="009D50F9"/>
    <w:rsid w:val="009D5984"/>
    <w:rsid w:val="009E1415"/>
    <w:rsid w:val="009F050D"/>
    <w:rsid w:val="009F3724"/>
    <w:rsid w:val="009F4A0D"/>
    <w:rsid w:val="009F67DD"/>
    <w:rsid w:val="009F7896"/>
    <w:rsid w:val="00A06266"/>
    <w:rsid w:val="00A07E0B"/>
    <w:rsid w:val="00A10C08"/>
    <w:rsid w:val="00A136A3"/>
    <w:rsid w:val="00A14D3A"/>
    <w:rsid w:val="00A20C29"/>
    <w:rsid w:val="00A22F67"/>
    <w:rsid w:val="00A34C20"/>
    <w:rsid w:val="00A402B9"/>
    <w:rsid w:val="00A44180"/>
    <w:rsid w:val="00A45414"/>
    <w:rsid w:val="00A50357"/>
    <w:rsid w:val="00A54074"/>
    <w:rsid w:val="00A73EBF"/>
    <w:rsid w:val="00A75AC0"/>
    <w:rsid w:val="00A75CB8"/>
    <w:rsid w:val="00A85BAC"/>
    <w:rsid w:val="00AA5364"/>
    <w:rsid w:val="00AB604D"/>
    <w:rsid w:val="00AC7AB3"/>
    <w:rsid w:val="00AD69F3"/>
    <w:rsid w:val="00AE54FF"/>
    <w:rsid w:val="00AE55CD"/>
    <w:rsid w:val="00AE5F89"/>
    <w:rsid w:val="00AF6AD0"/>
    <w:rsid w:val="00B00720"/>
    <w:rsid w:val="00B01995"/>
    <w:rsid w:val="00B046C9"/>
    <w:rsid w:val="00B071A5"/>
    <w:rsid w:val="00B10D45"/>
    <w:rsid w:val="00B10EB2"/>
    <w:rsid w:val="00B12923"/>
    <w:rsid w:val="00B1480E"/>
    <w:rsid w:val="00B17778"/>
    <w:rsid w:val="00B3255D"/>
    <w:rsid w:val="00B421AA"/>
    <w:rsid w:val="00B450C6"/>
    <w:rsid w:val="00B479D3"/>
    <w:rsid w:val="00B56B65"/>
    <w:rsid w:val="00B57A31"/>
    <w:rsid w:val="00B60232"/>
    <w:rsid w:val="00B63D1F"/>
    <w:rsid w:val="00B7469F"/>
    <w:rsid w:val="00B80FCC"/>
    <w:rsid w:val="00B83CB2"/>
    <w:rsid w:val="00B85BD6"/>
    <w:rsid w:val="00B87B0B"/>
    <w:rsid w:val="00B91329"/>
    <w:rsid w:val="00B9406A"/>
    <w:rsid w:val="00B950AC"/>
    <w:rsid w:val="00B96813"/>
    <w:rsid w:val="00BA3374"/>
    <w:rsid w:val="00BA4FEF"/>
    <w:rsid w:val="00BA7E6D"/>
    <w:rsid w:val="00BB0A34"/>
    <w:rsid w:val="00BB60B6"/>
    <w:rsid w:val="00BD0B52"/>
    <w:rsid w:val="00BD7702"/>
    <w:rsid w:val="00BE069D"/>
    <w:rsid w:val="00BF2B3F"/>
    <w:rsid w:val="00BF3FBC"/>
    <w:rsid w:val="00BF541D"/>
    <w:rsid w:val="00C035D0"/>
    <w:rsid w:val="00C155E7"/>
    <w:rsid w:val="00C20986"/>
    <w:rsid w:val="00C36796"/>
    <w:rsid w:val="00C43E2B"/>
    <w:rsid w:val="00C5198F"/>
    <w:rsid w:val="00C5628F"/>
    <w:rsid w:val="00C57D13"/>
    <w:rsid w:val="00C60BC9"/>
    <w:rsid w:val="00C64D99"/>
    <w:rsid w:val="00C66B70"/>
    <w:rsid w:val="00C679F8"/>
    <w:rsid w:val="00C71580"/>
    <w:rsid w:val="00C71859"/>
    <w:rsid w:val="00C71BB1"/>
    <w:rsid w:val="00C71D41"/>
    <w:rsid w:val="00C92888"/>
    <w:rsid w:val="00C96EB0"/>
    <w:rsid w:val="00C97C24"/>
    <w:rsid w:val="00CA3991"/>
    <w:rsid w:val="00CB197C"/>
    <w:rsid w:val="00CB6459"/>
    <w:rsid w:val="00CB6F3F"/>
    <w:rsid w:val="00CC3991"/>
    <w:rsid w:val="00CD27CC"/>
    <w:rsid w:val="00CD342F"/>
    <w:rsid w:val="00CD46D0"/>
    <w:rsid w:val="00CE5FA8"/>
    <w:rsid w:val="00CE6371"/>
    <w:rsid w:val="00CE7399"/>
    <w:rsid w:val="00CF243B"/>
    <w:rsid w:val="00CF7863"/>
    <w:rsid w:val="00D01B62"/>
    <w:rsid w:val="00D0468A"/>
    <w:rsid w:val="00D06505"/>
    <w:rsid w:val="00D13BAA"/>
    <w:rsid w:val="00D21B43"/>
    <w:rsid w:val="00D275E4"/>
    <w:rsid w:val="00D30769"/>
    <w:rsid w:val="00D4544C"/>
    <w:rsid w:val="00D5024E"/>
    <w:rsid w:val="00D50464"/>
    <w:rsid w:val="00D64574"/>
    <w:rsid w:val="00D649A6"/>
    <w:rsid w:val="00D6697E"/>
    <w:rsid w:val="00D66FEE"/>
    <w:rsid w:val="00D720E5"/>
    <w:rsid w:val="00D74B71"/>
    <w:rsid w:val="00D82DAE"/>
    <w:rsid w:val="00D871D5"/>
    <w:rsid w:val="00DA1502"/>
    <w:rsid w:val="00DA2B24"/>
    <w:rsid w:val="00DA5F02"/>
    <w:rsid w:val="00DA6B0A"/>
    <w:rsid w:val="00DB0B96"/>
    <w:rsid w:val="00DB0E51"/>
    <w:rsid w:val="00DB191E"/>
    <w:rsid w:val="00DB21E3"/>
    <w:rsid w:val="00DB4C39"/>
    <w:rsid w:val="00DB78AA"/>
    <w:rsid w:val="00DC069D"/>
    <w:rsid w:val="00DC10AE"/>
    <w:rsid w:val="00DD022B"/>
    <w:rsid w:val="00DD28A0"/>
    <w:rsid w:val="00DD673D"/>
    <w:rsid w:val="00DE4E21"/>
    <w:rsid w:val="00DF0CDC"/>
    <w:rsid w:val="00DF1168"/>
    <w:rsid w:val="00DF505E"/>
    <w:rsid w:val="00E02253"/>
    <w:rsid w:val="00E02B94"/>
    <w:rsid w:val="00E05E60"/>
    <w:rsid w:val="00E06352"/>
    <w:rsid w:val="00E069F6"/>
    <w:rsid w:val="00E11384"/>
    <w:rsid w:val="00E12CDC"/>
    <w:rsid w:val="00E16F3F"/>
    <w:rsid w:val="00E172E0"/>
    <w:rsid w:val="00E21613"/>
    <w:rsid w:val="00E2594B"/>
    <w:rsid w:val="00E27CD9"/>
    <w:rsid w:val="00E342A6"/>
    <w:rsid w:val="00E3500B"/>
    <w:rsid w:val="00E47042"/>
    <w:rsid w:val="00E53A06"/>
    <w:rsid w:val="00E665D6"/>
    <w:rsid w:val="00E66780"/>
    <w:rsid w:val="00E6723C"/>
    <w:rsid w:val="00E7254C"/>
    <w:rsid w:val="00E729FD"/>
    <w:rsid w:val="00E73BCA"/>
    <w:rsid w:val="00E76CDF"/>
    <w:rsid w:val="00E80463"/>
    <w:rsid w:val="00E812AC"/>
    <w:rsid w:val="00E83B32"/>
    <w:rsid w:val="00E85477"/>
    <w:rsid w:val="00E8786B"/>
    <w:rsid w:val="00EB79FE"/>
    <w:rsid w:val="00EB7C96"/>
    <w:rsid w:val="00EC12D8"/>
    <w:rsid w:val="00EC3036"/>
    <w:rsid w:val="00EC4BDD"/>
    <w:rsid w:val="00ED2F67"/>
    <w:rsid w:val="00EE2B08"/>
    <w:rsid w:val="00EE50BB"/>
    <w:rsid w:val="00F1236D"/>
    <w:rsid w:val="00F16596"/>
    <w:rsid w:val="00F16EA0"/>
    <w:rsid w:val="00F20E41"/>
    <w:rsid w:val="00F23266"/>
    <w:rsid w:val="00F23DDE"/>
    <w:rsid w:val="00F25DAB"/>
    <w:rsid w:val="00F26DEB"/>
    <w:rsid w:val="00F26F60"/>
    <w:rsid w:val="00F3257A"/>
    <w:rsid w:val="00F33142"/>
    <w:rsid w:val="00F3454B"/>
    <w:rsid w:val="00F3504E"/>
    <w:rsid w:val="00F362D1"/>
    <w:rsid w:val="00F36EC2"/>
    <w:rsid w:val="00F41229"/>
    <w:rsid w:val="00F4259E"/>
    <w:rsid w:val="00F511A6"/>
    <w:rsid w:val="00F5137D"/>
    <w:rsid w:val="00F5300D"/>
    <w:rsid w:val="00F60F84"/>
    <w:rsid w:val="00F61636"/>
    <w:rsid w:val="00F64C9D"/>
    <w:rsid w:val="00F66109"/>
    <w:rsid w:val="00F7107C"/>
    <w:rsid w:val="00F72070"/>
    <w:rsid w:val="00F74161"/>
    <w:rsid w:val="00F77DD9"/>
    <w:rsid w:val="00F811D8"/>
    <w:rsid w:val="00F86E1B"/>
    <w:rsid w:val="00F933BF"/>
    <w:rsid w:val="00F940E7"/>
    <w:rsid w:val="00F9799C"/>
    <w:rsid w:val="00FA56D8"/>
    <w:rsid w:val="00FA7159"/>
    <w:rsid w:val="00FB651B"/>
    <w:rsid w:val="00FC101A"/>
    <w:rsid w:val="00FC24FC"/>
    <w:rsid w:val="00FC25B0"/>
    <w:rsid w:val="00FC7237"/>
    <w:rsid w:val="00FC7CCA"/>
    <w:rsid w:val="00FD125D"/>
    <w:rsid w:val="00FD1F14"/>
    <w:rsid w:val="00FD28C5"/>
    <w:rsid w:val="00FD7256"/>
    <w:rsid w:val="00FD7A88"/>
    <w:rsid w:val="00FE20E7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D0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iPriority w:val="99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uiPriority w:val="99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  <w:style w:type="table" w:styleId="Mkatabulky">
    <w:name w:val="Table Grid"/>
    <w:basedOn w:val="Normlntabulka"/>
    <w:uiPriority w:val="39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175446"/>
  </w:style>
  <w:style w:type="paragraph" w:customStyle="1" w:styleId="doc-ti">
    <w:name w:val="doc-ti"/>
    <w:basedOn w:val="Normln"/>
    <w:rsid w:val="001754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nadpis">
    <w:name w:val="R nadpis"/>
    <w:basedOn w:val="Normln"/>
    <w:next w:val="Normln"/>
    <w:rsid w:val="00175446"/>
    <w:pPr>
      <w:numPr>
        <w:numId w:val="1"/>
      </w:numPr>
      <w:tabs>
        <w:tab w:val="left" w:pos="1080"/>
      </w:tabs>
      <w:spacing w:before="360" w:after="120" w:line="240" w:lineRule="auto"/>
      <w:jc w:val="left"/>
    </w:pPr>
    <w:rPr>
      <w:rFonts w:ascii="Arial" w:eastAsia="Times New Roman" w:hAnsi="Arial" w:cs="Times New Roman"/>
      <w:b/>
      <w:caps/>
      <w:sz w:val="24"/>
      <w:lang w:eastAsia="cs-CZ"/>
    </w:rPr>
  </w:style>
  <w:style w:type="paragraph" w:customStyle="1" w:styleId="Tabulka">
    <w:name w:val="Tabulka"/>
    <w:basedOn w:val="Normln"/>
    <w:next w:val="Normln"/>
    <w:link w:val="TabulkaChar"/>
    <w:qFormat/>
    <w:rsid w:val="00175446"/>
    <w:pPr>
      <w:numPr>
        <w:ilvl w:val="1"/>
        <w:numId w:val="1"/>
      </w:numPr>
      <w:spacing w:before="240" w:after="120" w:line="240" w:lineRule="auto"/>
    </w:pPr>
    <w:rPr>
      <w:rFonts w:ascii="Arial" w:eastAsia="Times New Roman" w:hAnsi="Arial" w:cs="Times New Roman"/>
      <w:b/>
      <w:lang w:eastAsia="cs-CZ"/>
    </w:rPr>
  </w:style>
  <w:style w:type="character" w:customStyle="1" w:styleId="TabulkaChar">
    <w:name w:val="Tabulka Char"/>
    <w:link w:val="Tabulka"/>
    <w:rsid w:val="00175446"/>
    <w:rPr>
      <w:rFonts w:ascii="Arial" w:eastAsia="Times New Roman" w:hAnsi="Arial" w:cs="Times New Roman"/>
      <w:b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75446"/>
    <w:pPr>
      <w:spacing w:before="240" w:after="120" w:line="240" w:lineRule="auto"/>
    </w:pPr>
    <w:rPr>
      <w:rFonts w:ascii="Arial" w:eastAsia="Times New Roman" w:hAnsi="Arial" w:cs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5446"/>
    <w:rPr>
      <w:rFonts w:ascii="Arial" w:eastAsia="Times New Roman" w:hAnsi="Arial" w:cs="Times New Roman"/>
      <w:lang w:eastAsia="cs-CZ"/>
    </w:rPr>
  </w:style>
  <w:style w:type="character" w:styleId="Znakapoznpodarou">
    <w:name w:val="footnote reference"/>
    <w:uiPriority w:val="99"/>
    <w:semiHidden/>
    <w:unhideWhenUsed/>
    <w:rsid w:val="00175446"/>
    <w:rPr>
      <w:vertAlign w:val="superscript"/>
    </w:rPr>
  </w:style>
  <w:style w:type="paragraph" w:customStyle="1" w:styleId="Normlnangl">
    <w:name w:val="Normální angl"/>
    <w:basedOn w:val="Normln"/>
    <w:rsid w:val="00175446"/>
    <w:pPr>
      <w:tabs>
        <w:tab w:val="left" w:pos="709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CharCharCharCharCharChar">
    <w:name w:val="Char Char Char Char Char Char"/>
    <w:basedOn w:val="Normln"/>
    <w:rsid w:val="0017544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Bezseznamu3">
    <w:name w:val="Bez seznamu3"/>
    <w:next w:val="Bezseznamu"/>
    <w:uiPriority w:val="99"/>
    <w:semiHidden/>
    <w:unhideWhenUsed/>
    <w:rsid w:val="00175446"/>
  </w:style>
  <w:style w:type="paragraph" w:customStyle="1" w:styleId="Normln-angl">
    <w:name w:val="Normální - angl"/>
    <w:basedOn w:val="Normln"/>
    <w:rsid w:val="00B3255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Normang-1">
    <w:name w:val="Norm ang - ř. 1"/>
    <w:aliases w:val="5"/>
    <w:basedOn w:val="Normln"/>
    <w:rsid w:val="00B3255D"/>
    <w:pPr>
      <w:spacing w:before="120" w:after="120" w:line="36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Normangl-1">
    <w:name w:val="Norm angl - ř.1"/>
    <w:basedOn w:val="Normln"/>
    <w:rsid w:val="00B3255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NadpisI">
    <w:name w:val="Nadpis I."/>
    <w:basedOn w:val="Normang-1"/>
    <w:next w:val="Normang-1"/>
    <w:rsid w:val="00B3255D"/>
    <w:pPr>
      <w:spacing w:after="180"/>
      <w:jc w:val="left"/>
    </w:pPr>
    <w:rPr>
      <w:b/>
      <w:sz w:val="28"/>
    </w:rPr>
  </w:style>
  <w:style w:type="paragraph" w:customStyle="1" w:styleId="NadpisI1">
    <w:name w:val="Nadpis I.1."/>
    <w:basedOn w:val="Normang-1"/>
    <w:next w:val="Normang-1"/>
    <w:rsid w:val="00B3255D"/>
    <w:pPr>
      <w:spacing w:before="240" w:after="240"/>
      <w:jc w:val="left"/>
    </w:pPr>
    <w:rPr>
      <w:b/>
    </w:rPr>
  </w:style>
  <w:style w:type="paragraph" w:customStyle="1" w:styleId="101">
    <w:name w:val="10.1"/>
    <w:basedOn w:val="Normln-angl"/>
    <w:rsid w:val="00B3255D"/>
    <w:pPr>
      <w:numPr>
        <w:numId w:val="3"/>
      </w:numPr>
    </w:pPr>
  </w:style>
  <w:style w:type="paragraph" w:customStyle="1" w:styleId="102">
    <w:name w:val="10.2"/>
    <w:basedOn w:val="101"/>
    <w:rsid w:val="00B3255D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B3255D"/>
    <w:pPr>
      <w:numPr>
        <w:numId w:val="4"/>
      </w:numPr>
    </w:pPr>
  </w:style>
  <w:style w:type="paragraph" w:customStyle="1" w:styleId="104">
    <w:name w:val="10.4"/>
    <w:basedOn w:val="103"/>
    <w:rsid w:val="00B3255D"/>
    <w:pPr>
      <w:numPr>
        <w:numId w:val="5"/>
      </w:numPr>
    </w:pPr>
  </w:style>
  <w:style w:type="paragraph" w:customStyle="1" w:styleId="Pa18">
    <w:name w:val="Pa18"/>
    <w:basedOn w:val="Normln"/>
    <w:next w:val="Normln"/>
    <w:uiPriority w:val="99"/>
    <w:rsid w:val="00B3255D"/>
    <w:pPr>
      <w:autoSpaceDE w:val="0"/>
      <w:autoSpaceDN w:val="0"/>
      <w:adjustRightInd w:val="0"/>
      <w:spacing w:after="0" w:line="181" w:lineRule="atLeast"/>
      <w:jc w:val="left"/>
    </w:pPr>
    <w:rPr>
      <w:rFonts w:ascii="Myriad Pro" w:eastAsia="Times New Roman" w:hAnsi="Myriad Pro" w:cs="Times New Roman"/>
      <w:sz w:val="24"/>
      <w:szCs w:val="24"/>
      <w:lang w:eastAsia="cs-CZ"/>
    </w:rPr>
  </w:style>
  <w:style w:type="character" w:customStyle="1" w:styleId="shorttext">
    <w:name w:val="short_text"/>
    <w:rsid w:val="00B3255D"/>
  </w:style>
  <w:style w:type="character" w:customStyle="1" w:styleId="tgc">
    <w:name w:val="_tgc"/>
    <w:basedOn w:val="Standardnpsmoodstavce"/>
    <w:rsid w:val="00B3255D"/>
  </w:style>
  <w:style w:type="paragraph" w:customStyle="1" w:styleId="normalnsodrkami">
    <w:name w:val="normalní s odrážkami"/>
    <w:basedOn w:val="Normln"/>
    <w:rsid w:val="00B3255D"/>
    <w:pPr>
      <w:numPr>
        <w:numId w:val="6"/>
      </w:num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paragraph" w:customStyle="1" w:styleId="styl1">
    <w:name w:val="styl1"/>
    <w:basedOn w:val="Normln"/>
    <w:rsid w:val="00B32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0">
    <w:name w:val="Styl1"/>
    <w:basedOn w:val="Zkladntext2"/>
    <w:rsid w:val="00B3255D"/>
    <w:pPr>
      <w:widowControl/>
      <w:spacing w:before="120" w:after="120" w:line="240" w:lineRule="auto"/>
      <w:ind w:right="0" w:firstLine="357"/>
    </w:pPr>
    <w:rPr>
      <w:rFonts w:ascii="Arial" w:eastAsia="Times New Roman" w:hAnsi="Arial" w:cs="Times New Roman"/>
      <w:snapToGrid/>
      <w:sz w:val="16"/>
      <w:szCs w:val="24"/>
      <w:lang w:eastAsia="cs-CZ"/>
    </w:rPr>
  </w:style>
  <w:style w:type="paragraph" w:customStyle="1" w:styleId="Bn">
    <w:name w:val="Běžný"/>
    <w:basedOn w:val="Normln"/>
    <w:rsid w:val="00B3255D"/>
    <w:pPr>
      <w:spacing w:before="120" w:after="120" w:line="240" w:lineRule="auto"/>
      <w:ind w:firstLine="340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VaTStyl2">
    <w:name w:val="VaT_Styl_2"/>
    <w:basedOn w:val="Normln"/>
    <w:rsid w:val="00B3255D"/>
    <w:pPr>
      <w:spacing w:after="60" w:line="240" w:lineRule="auto"/>
      <w:ind w:firstLine="357"/>
    </w:pPr>
    <w:rPr>
      <w:rFonts w:ascii="Arial" w:eastAsia="Times New Roman" w:hAnsi="Arial" w:cs="Times New Roman"/>
      <w:sz w:val="16"/>
      <w:szCs w:val="24"/>
      <w:lang w:eastAsia="cs-CZ"/>
    </w:rPr>
  </w:style>
  <w:style w:type="character" w:customStyle="1" w:styleId="st">
    <w:name w:val="st"/>
    <w:basedOn w:val="Standardnpsmoodstavce"/>
    <w:rsid w:val="00B3255D"/>
  </w:style>
  <w:style w:type="character" w:customStyle="1" w:styleId="s1">
    <w:name w:val="s1"/>
    <w:rsid w:val="00B3255D"/>
    <w:rPr>
      <w:rFonts w:ascii="Arial" w:hAnsi="Arial" w:cs="Arial" w:hint="default"/>
      <w:color w:val="000000"/>
      <w:sz w:val="19"/>
      <w:szCs w:val="19"/>
      <w:shd w:val="clear" w:color="auto" w:fill="FFFFFF"/>
    </w:rPr>
  </w:style>
  <w:style w:type="character" w:customStyle="1" w:styleId="vcafequiven1">
    <w:name w:val="vcafequiven1"/>
    <w:rsid w:val="00B3255D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mwfield">
    <w:name w:val="mw_field"/>
    <w:basedOn w:val="Standardnpsmoodstavce"/>
    <w:rsid w:val="00B3255D"/>
  </w:style>
  <w:style w:type="paragraph" w:customStyle="1" w:styleId="Textbubliny1">
    <w:name w:val="Text bubliny1"/>
    <w:basedOn w:val="Normln"/>
    <w:rsid w:val="00B3255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vlastn">
    <w:name w:val="Text vlastní"/>
    <w:basedOn w:val="Normln"/>
    <w:rsid w:val="00B3255D"/>
    <w:pPr>
      <w:spacing w:before="120" w:after="0" w:line="240" w:lineRule="auto"/>
    </w:pPr>
    <w:rPr>
      <w:rFonts w:ascii="Arial" w:eastAsia="Times New Roman" w:hAnsi="Arial" w:cs="Arial"/>
      <w:sz w:val="1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13BAA"/>
    <w:pPr>
      <w:tabs>
        <w:tab w:val="right" w:leader="dot" w:pos="9968"/>
      </w:tabs>
      <w:spacing w:before="60" w:after="0" w:line="240" w:lineRule="auto"/>
      <w:ind w:left="454" w:hanging="454"/>
      <w:jc w:val="left"/>
    </w:pPr>
    <w:rPr>
      <w:rFonts w:ascii="Arial" w:hAnsi="Arial" w:cs="Arial"/>
      <w:b/>
      <w:i/>
      <w:noProof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B85BD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85BD6"/>
    <w:pPr>
      <w:spacing w:after="100" w:line="259" w:lineRule="auto"/>
      <w:ind w:left="440"/>
      <w:jc w:val="left"/>
    </w:pPr>
    <w:rPr>
      <w:sz w:val="22"/>
      <w:szCs w:val="22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B85BD6"/>
    <w:pPr>
      <w:spacing w:after="100" w:line="259" w:lineRule="auto"/>
      <w:ind w:left="660"/>
      <w:jc w:val="left"/>
    </w:pPr>
    <w:rPr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85BD6"/>
    <w:pPr>
      <w:spacing w:after="100" w:line="259" w:lineRule="auto"/>
      <w:ind w:left="880"/>
      <w:jc w:val="left"/>
    </w:pPr>
    <w:rPr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85BD6"/>
    <w:pPr>
      <w:spacing w:after="100" w:line="259" w:lineRule="auto"/>
      <w:ind w:left="1100"/>
      <w:jc w:val="left"/>
    </w:pPr>
    <w:rPr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85BD6"/>
    <w:pPr>
      <w:spacing w:after="100" w:line="259" w:lineRule="auto"/>
      <w:ind w:left="1320"/>
      <w:jc w:val="left"/>
    </w:pPr>
    <w:rPr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85BD6"/>
    <w:pPr>
      <w:spacing w:after="100" w:line="259" w:lineRule="auto"/>
      <w:ind w:left="1540"/>
      <w:jc w:val="left"/>
    </w:pPr>
    <w:rPr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85BD6"/>
    <w:pPr>
      <w:spacing w:after="100" w:line="259" w:lineRule="auto"/>
      <w:ind w:left="1760"/>
      <w:jc w:val="left"/>
    </w:pPr>
    <w:rPr>
      <w:sz w:val="22"/>
      <w:szCs w:val="22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154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su.gov.cz/stavebnictvi-byty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0303453EBAC0468DF541DC41A5EC81" ma:contentTypeVersion="4" ma:contentTypeDescription="Vytvoří nový dokument" ma:contentTypeScope="" ma:versionID="6292db8c5b0d9ffb1434487036861a7c">
  <xsd:schema xmlns:xsd="http://www.w3.org/2001/XMLSchema" xmlns:xs="http://www.w3.org/2001/XMLSchema" xmlns:p="http://schemas.microsoft.com/office/2006/metadata/properties" xmlns:ns2="41484f04-741c-42fb-a298-e8d06866e88d" targetNamespace="http://schemas.microsoft.com/office/2006/metadata/properties" ma:root="true" ma:fieldsID="05f28d812e46613316110156660d14df" ns2:_="">
    <xsd:import namespace="41484f04-741c-42fb-a298-e8d06866e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84f04-741c-42fb-a298-e8d06866e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301635-4E35-4B6C-819A-79460D949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FA8C5A-8515-4D9B-B57B-162068F22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484f04-741c-42fb-a298-e8d06866e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1E6B7F-30A5-48D1-8075-0944F4E0AB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599E4E-AB29-4CD2-AE72-8429819957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3</Pages>
  <Words>1468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Statistická ročenka České republiky 2025 / Statistical Yearbook of the Czech Republic, 2025</vt:lpstr>
    </vt:vector>
  </TitlesOfParts>
  <Company>ČSÚ</Company>
  <LinksUpToDate>false</LinksUpToDate>
  <CharactersWithSpaces>10110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STAVEBNICTVÍ, Metodické vysvětlivky, Statistická ročenka ČR 2025</dc:title>
  <dc:subject/>
  <dc:creator>Český statistický úřad</dc:creator>
  <cp:keywords/>
  <dc:description/>
  <cp:lastModifiedBy>Zadák Rostislav</cp:lastModifiedBy>
  <cp:revision>128</cp:revision>
  <cp:lastPrinted>2025-10-02T13:56:00Z</cp:lastPrinted>
  <dcterms:created xsi:type="dcterms:W3CDTF">2024-07-17T11:05:00Z</dcterms:created>
  <dcterms:modified xsi:type="dcterms:W3CDTF">2025-12-08T12:34:00Z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0x010100AD0303453EBAC0468DF541DC41A5EC81</vt:lpwstr>
  </property>
</Properties>
</file>