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7D917" w14:textId="77777777" w:rsidR="00F82EC9" w:rsidRPr="006A184C" w:rsidRDefault="00F82EC9" w:rsidP="00F82EC9">
      <w:pPr>
        <w:tabs>
          <w:tab w:val="left" w:pos="0"/>
          <w:tab w:val="left" w:pos="284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after="0"/>
        <w:rPr>
          <w:rFonts w:ascii="Arial" w:eastAsiaTheme="minorHAnsi" w:hAnsi="Arial" w:cs="Arial"/>
          <w:b/>
          <w:bCs/>
          <w:color w:val="0071BC"/>
          <w:sz w:val="24"/>
          <w:szCs w:val="24"/>
        </w:rPr>
      </w:pPr>
      <w:r w:rsidRPr="006A184C">
        <w:rPr>
          <w:rFonts w:ascii="Arial" w:eastAsiaTheme="minorHAnsi" w:hAnsi="Arial" w:cs="Arial"/>
          <w:b/>
          <w:bCs/>
          <w:color w:val="0071BC"/>
          <w:sz w:val="24"/>
          <w:szCs w:val="24"/>
        </w:rPr>
        <w:t>15 PRŮMYSL</w:t>
      </w:r>
    </w:p>
    <w:p w14:paraId="43102278" w14:textId="77777777" w:rsidR="00F82EC9" w:rsidRDefault="00F82EC9" w:rsidP="00F82EC9">
      <w:pPr>
        <w:pStyle w:val="podraeny"/>
        <w:widowControl/>
        <w:tabs>
          <w:tab w:val="clear" w:pos="-720"/>
          <w:tab w:val="clear" w:pos="283"/>
          <w:tab w:val="clear" w:pos="566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80"/>
          <w:tab w:val="clear" w:pos="3117"/>
          <w:tab w:val="clear" w:pos="3400"/>
          <w:tab w:val="clear" w:pos="3600"/>
          <w:tab w:val="left" w:pos="2127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13E51DE0" w14:textId="5D072AA3" w:rsidR="00F82EC9" w:rsidRDefault="00F82EC9" w:rsidP="00F82EC9">
      <w:pPr>
        <w:spacing w:after="0" w:line="240" w:lineRule="auto"/>
        <w:rPr>
          <w:rFonts w:ascii="Arial" w:hAnsi="Arial" w:cs="Arial"/>
          <w:b/>
          <w:color w:val="0071BC"/>
        </w:rPr>
      </w:pPr>
      <w:r w:rsidRPr="00CA0F24">
        <w:rPr>
          <w:rFonts w:ascii="Arial" w:hAnsi="Arial" w:cs="Arial"/>
          <w:b/>
          <w:color w:val="0071BC"/>
        </w:rPr>
        <w:t>Metodické vysvětlivky</w:t>
      </w:r>
    </w:p>
    <w:p w14:paraId="2BB44506" w14:textId="77777777" w:rsidR="00F82EC9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3C26172" w14:textId="502AC56F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Do odvětvové statistiky průmyslu se zahrnují podniky s hlavní (převažující) průmyslovou činností, tedy tou, která je podle Klasifikace ekonomických činností (CZ-NACE) zahrnuta do sekcí B – Těžba a dobývání, C – Zpracovatelský průmysl, 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br/>
        <w:t>D – Výroba a rozvod elektřiny, plynu, tepla a klimatizovaného vzduchu nebo E – Zásobování vodou; činnosti související s odpadními vodami, odpady a sanacemi. Podrobnější členění CZ-NACE pak zahrnuje 34 oddílů.</w:t>
      </w:r>
    </w:p>
    <w:p w14:paraId="532116D3" w14:textId="77777777" w:rsidR="00F82EC9" w:rsidRPr="00706FD1" w:rsidRDefault="00F82EC9" w:rsidP="00E07FE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sz w:val="18"/>
          <w:szCs w:val="18"/>
          <w:lang w:eastAsia="cs-CZ"/>
        </w:rPr>
        <w:t>Pokud výslovně není uvedeno jinak, veškeré výsledky uvedené v této kapitole reprezentují celou populaci průmyslových podniků bez ohledu na jejich velikost.</w:t>
      </w:r>
    </w:p>
    <w:p w14:paraId="37757046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F60FC2E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6B746E1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color w:val="0071BC"/>
          <w:lang w:eastAsia="cs-CZ"/>
        </w:rPr>
      </w:pP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Poznámky k tabulkám</w:t>
      </w:r>
    </w:p>
    <w:p w14:paraId="3026FB3C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280E9F0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706FD1">
        <w:rPr>
          <w:rFonts w:ascii="Arial" w:eastAsia="Times New Roman" w:hAnsi="Arial" w:cs="Arial"/>
          <w:b/>
          <w:color w:val="0071BC"/>
          <w:lang w:eastAsia="cs-CZ"/>
        </w:rPr>
        <w:t xml:space="preserve">Tab. </w:t>
      </w: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15</w:t>
      </w:r>
      <w:r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706FD1">
        <w:rPr>
          <w:rFonts w:ascii="Arial" w:eastAsia="Times New Roman" w:hAnsi="Arial" w:cs="Arial"/>
          <w:b/>
          <w:color w:val="0071BC"/>
          <w:lang w:eastAsia="cs-CZ"/>
        </w:rPr>
        <w:t xml:space="preserve">1 a </w:t>
      </w: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15</w:t>
      </w:r>
      <w:r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706FD1">
        <w:rPr>
          <w:rFonts w:ascii="Arial" w:eastAsia="Times New Roman" w:hAnsi="Arial" w:cs="Arial"/>
          <w:b/>
          <w:color w:val="0071BC"/>
          <w:lang w:eastAsia="cs-CZ"/>
        </w:rPr>
        <w:t xml:space="preserve">2 </w:t>
      </w: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Index průmyslové produkce</w:t>
      </w:r>
    </w:p>
    <w:p w14:paraId="069B7E6C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 xml:space="preserve">Index průmyslové produkce 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měří vlastní výstup průmyslových odvětví i průmyslu celkem očištěný od cenových vlivů. Jedná se o základní ukazatel konjunkturální statistiky průmyslu. Při jeho výpočtu se z větší části vychází z tržeb za vlastní výrobky a služby přeceněné do stálých cen, v případě vybraných činností charakterizují vývoj odvětví fyzické objemy produkce výrobkových reprezentantů. Index je primárně počítán jako měsíční bazický index k průměrnému měsíci základního období, kterým je v současné době rok 2021. Výpočet začíná na úrovni dvouciferného oddílu CZ-NACE a při agregaci na vyšší úroveň se využívají váhy odvozené ze struktury přidané hodnoty v bazickém roce (agregace na úroveň sekcí, hlavních průmyslových seskupení a na průmysl celkem). Od bazických indexů jsou dále indexy meziroční a případné kumulace v čase (čtvrtletní, pololetní, roční). V souladu s předpisy </w:t>
      </w:r>
      <w:proofErr w:type="spellStart"/>
      <w:r w:rsidRPr="00706FD1">
        <w:rPr>
          <w:rFonts w:ascii="Arial" w:eastAsia="Times New Roman" w:hAnsi="Arial" w:cs="Arial"/>
          <w:sz w:val="18"/>
          <w:szCs w:val="18"/>
          <w:lang w:eastAsia="cs-CZ"/>
        </w:rPr>
        <w:t>Eurostatu</w:t>
      </w:r>
      <w:proofErr w:type="spellEnd"/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index průmyslové produkce pokrývá sekce CZ-NACE B, C, D (kromě skupiny 35.3). Index je nově prezentován ve formě očištěné o vliv počtu pracovních dnů, a to v celé prezentované časové řadě.</w:t>
      </w:r>
    </w:p>
    <w:p w14:paraId="164DADBC" w14:textId="77777777" w:rsidR="00F82EC9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D0EB720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8941872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b/>
          <w:bCs/>
          <w:color w:val="0071BC"/>
          <w:lang w:eastAsia="cs-CZ"/>
        </w:rPr>
      </w:pPr>
      <w:r w:rsidRPr="00706FD1">
        <w:rPr>
          <w:rFonts w:ascii="Arial" w:eastAsia="Times New Roman" w:hAnsi="Arial" w:cs="Arial"/>
          <w:b/>
          <w:color w:val="0071BC"/>
          <w:lang w:eastAsia="cs-CZ"/>
        </w:rPr>
        <w:t xml:space="preserve">Tab. </w:t>
      </w: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15</w:t>
      </w:r>
      <w:r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706FD1">
        <w:rPr>
          <w:rFonts w:ascii="Arial" w:eastAsia="Times New Roman" w:hAnsi="Arial" w:cs="Arial"/>
          <w:b/>
          <w:color w:val="0071BC"/>
          <w:lang w:eastAsia="cs-CZ"/>
        </w:rPr>
        <w:t xml:space="preserve">3, </w:t>
      </w: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15</w:t>
      </w:r>
      <w:r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706FD1">
        <w:rPr>
          <w:rFonts w:ascii="Arial" w:eastAsia="Times New Roman" w:hAnsi="Arial" w:cs="Arial"/>
          <w:b/>
          <w:color w:val="0071BC"/>
          <w:lang w:eastAsia="cs-CZ"/>
        </w:rPr>
        <w:t xml:space="preserve">4 a </w:t>
      </w: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15</w:t>
      </w:r>
      <w:r>
        <w:rPr>
          <w:rFonts w:ascii="Arial" w:eastAsia="Times New Roman" w:hAnsi="Arial" w:cs="Arial"/>
          <w:b/>
          <w:color w:val="0071BC"/>
          <w:lang w:eastAsia="cs-CZ"/>
        </w:rPr>
        <w:t xml:space="preserve">.6 </w:t>
      </w: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Základní ukazatele průmyslu</w:t>
      </w:r>
    </w:p>
    <w:p w14:paraId="647AB4BD" w14:textId="77777777" w:rsidR="00F82EC9" w:rsidRDefault="00F82EC9" w:rsidP="00F82EC9">
      <w:pPr>
        <w:spacing w:before="120" w:after="0" w:line="240" w:lineRule="auto"/>
        <w:rPr>
          <w:rFonts w:ascii="Arial" w:eastAsia="Times New Roman" w:hAnsi="Arial" w:cs="Times New Roman"/>
          <w:sz w:val="18"/>
          <w:szCs w:val="24"/>
          <w:lang w:eastAsia="cs-CZ"/>
        </w:rPr>
      </w:pP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Údaje v tabulce </w:t>
      </w: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15</w:t>
      </w:r>
      <w:r>
        <w:rPr>
          <w:rFonts w:ascii="Arial" w:eastAsia="Times New Roman" w:hAnsi="Arial" w:cs="Arial"/>
          <w:b/>
          <w:sz w:val="18"/>
          <w:szCs w:val="18"/>
          <w:lang w:eastAsia="cs-CZ"/>
        </w:rPr>
        <w:t>.</w:t>
      </w:r>
      <w:r w:rsidRPr="00706FD1">
        <w:rPr>
          <w:rFonts w:ascii="Arial" w:eastAsia="Times New Roman" w:hAnsi="Arial" w:cs="Arial"/>
          <w:b/>
          <w:sz w:val="18"/>
          <w:szCs w:val="18"/>
          <w:lang w:eastAsia="cs-CZ"/>
        </w:rPr>
        <w:t>6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jsou čerpány ze zpracování </w:t>
      </w: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čtvrtletních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statistických výkazů statistiky trhu práce. Tyto výsledky je třeba považovat za předběžné, neboť vycházejí ze šetření s omezenou velikostí výběrových souborů a s vyšším podílem odhadů. Podrobnější informace o zjišťování a metodice jsou uvedeny v kapitole </w:t>
      </w:r>
      <w:r w:rsidRPr="00706FD1">
        <w:rPr>
          <w:rFonts w:ascii="Arial" w:eastAsia="Times New Roman" w:hAnsi="Arial" w:cs="Arial"/>
          <w:b/>
          <w:sz w:val="18"/>
          <w:szCs w:val="18"/>
          <w:lang w:eastAsia="cs-CZ"/>
        </w:rPr>
        <w:t>10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Trh práce. Naproti tomu tabulky </w:t>
      </w: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15</w:t>
      </w:r>
      <w:r>
        <w:rPr>
          <w:rFonts w:ascii="Arial" w:eastAsia="Times New Roman" w:hAnsi="Arial" w:cs="Arial"/>
          <w:b/>
          <w:sz w:val="18"/>
          <w:szCs w:val="18"/>
          <w:lang w:eastAsia="cs-CZ"/>
        </w:rPr>
        <w:t>.</w:t>
      </w:r>
      <w:r w:rsidRPr="00706FD1">
        <w:rPr>
          <w:rFonts w:ascii="Arial" w:eastAsia="Times New Roman" w:hAnsi="Arial" w:cs="Arial"/>
          <w:b/>
          <w:sz w:val="18"/>
          <w:szCs w:val="18"/>
          <w:lang w:eastAsia="cs-CZ"/>
        </w:rPr>
        <w:t>3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a </w:t>
      </w: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15</w:t>
      </w:r>
      <w:r>
        <w:rPr>
          <w:rFonts w:ascii="Arial" w:eastAsia="Times New Roman" w:hAnsi="Arial" w:cs="Arial"/>
          <w:b/>
          <w:sz w:val="18"/>
          <w:szCs w:val="18"/>
          <w:lang w:eastAsia="cs-CZ"/>
        </w:rPr>
        <w:t>.</w:t>
      </w:r>
      <w:r w:rsidRPr="00706FD1">
        <w:rPr>
          <w:rFonts w:ascii="Arial" w:eastAsia="Times New Roman" w:hAnsi="Arial" w:cs="Arial"/>
          <w:b/>
          <w:sz w:val="18"/>
          <w:szCs w:val="18"/>
          <w:lang w:eastAsia="cs-CZ"/>
        </w:rPr>
        <w:t>4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obsahují údaje ze zpracování ročních statistických výkazů poskytujících detailnější okruh definitivních dat, které jsou ale k dispoz</w:t>
      </w:r>
      <w:r>
        <w:rPr>
          <w:rFonts w:ascii="Arial" w:eastAsia="Times New Roman" w:hAnsi="Arial" w:cs="Arial"/>
          <w:sz w:val="18"/>
          <w:szCs w:val="18"/>
          <w:lang w:eastAsia="cs-CZ"/>
        </w:rPr>
        <w:t>ici s větším časovým zpožděním.</w:t>
      </w:r>
    </w:p>
    <w:p w14:paraId="5274A315" w14:textId="77777777" w:rsidR="00F82EC9" w:rsidRPr="00706FD1" w:rsidRDefault="00F82EC9" w:rsidP="00F82EC9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  <w:t>Průměrný evidenční počet zaměstnanců přepočtený</w:t>
      </w:r>
      <w:r w:rsidRPr="00706FD1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zahrnuje počet osob v pracovním, služebním nebo členském poměru (kde součástí členství je též pracovní vztah) k zaměstnavateli. Je přepočtem průměrného evidenčního počtu zaměstnanců ve fyzických osobách podle délky jejich pracovních úvazků na zaměstnavatelem stanovenou (plnou) pracovní dobu.</w:t>
      </w:r>
    </w:p>
    <w:p w14:paraId="5FA13019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Mzdy bez ostatních osobních nákladů</w:t>
      </w:r>
      <w:r w:rsidRPr="00706FD1">
        <w:rPr>
          <w:rFonts w:ascii="Arial" w:eastAsia="Times New Roman" w:hAnsi="Arial" w:cs="Arial"/>
          <w:bCs/>
          <w:sz w:val="18"/>
          <w:szCs w:val="18"/>
          <w:lang w:eastAsia="cs-CZ"/>
        </w:rPr>
        <w:t xml:space="preserve"> zahrnují všechna peněžitá plnění </w:t>
      </w:r>
      <w:r w:rsidRPr="00706FD1">
        <w:rPr>
          <w:rFonts w:ascii="Arial" w:eastAsia="Times New Roman" w:hAnsi="Arial" w:cs="Times New Roman"/>
          <w:sz w:val="18"/>
          <w:szCs w:val="24"/>
          <w:lang w:eastAsia="cs-CZ"/>
        </w:rPr>
        <w:t xml:space="preserve">(základní mzdy, osobní příplatky a ohodnocení, prémie a odměny, podíly na </w:t>
      </w:r>
      <w:r w:rsidRPr="00706FD1">
        <w:rPr>
          <w:rFonts w:ascii="Arial" w:eastAsia="Times New Roman" w:hAnsi="Arial" w:cs="Arial"/>
          <w:bCs/>
          <w:sz w:val="18"/>
          <w:szCs w:val="18"/>
          <w:lang w:eastAsia="cs-CZ"/>
        </w:rPr>
        <w:t xml:space="preserve">hospodářském výsledku a </w:t>
      </w:r>
      <w:r w:rsidRPr="00706FD1">
        <w:rPr>
          <w:rFonts w:ascii="Arial" w:eastAsia="Times New Roman" w:hAnsi="Arial" w:cs="Times New Roman"/>
          <w:sz w:val="18"/>
          <w:szCs w:val="24"/>
          <w:lang w:eastAsia="cs-CZ"/>
        </w:rPr>
        <w:t>náhrady mzdy), které byly zúčtovány zaměstnancům v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> </w:t>
      </w:r>
      <w:r w:rsidRPr="00706FD1">
        <w:rPr>
          <w:rFonts w:ascii="Arial" w:eastAsia="Times New Roman" w:hAnsi="Arial" w:cs="Times New Roman"/>
          <w:sz w:val="18"/>
          <w:szCs w:val="24"/>
          <w:lang w:eastAsia="cs-CZ"/>
        </w:rPr>
        <w:t xml:space="preserve">evidenčním počtu podle příslušných platových a mzdových předpisů. </w:t>
      </w:r>
      <w:r w:rsidRPr="00706FD1">
        <w:rPr>
          <w:rFonts w:ascii="Arial" w:eastAsia="Times New Roman" w:hAnsi="Arial" w:cs="Arial"/>
          <w:bCs/>
          <w:sz w:val="18"/>
          <w:szCs w:val="18"/>
          <w:lang w:eastAsia="cs-CZ"/>
        </w:rPr>
        <w:t>Obsahují i příjmy společníků a členů družstva, pokud jsou v pracovním poměru ke společnosti a jsou vedeni v evidenčním počtu zaměstnanců. Obsahují i odměny z použitelného zisku nebo z fondů, tvořených ze zisku. Nezahrnují plnění v souvislosti s dohodami o provedení práce nebo o činnosti a odměny členům orgánů společností, tedy plnění osobám, které nejsou zahrnuty v průměrném evidenčním počtu</w:t>
      </w:r>
      <w:r w:rsidRPr="00706FD1">
        <w:rPr>
          <w:rFonts w:ascii="Arial" w:eastAsia="Times New Roman" w:hAnsi="Arial" w:cs="Times New Roman"/>
          <w:sz w:val="18"/>
          <w:szCs w:val="24"/>
          <w:lang w:eastAsia="cs-CZ"/>
        </w:rPr>
        <w:t xml:space="preserve"> zaměstnanců.</w:t>
      </w:r>
    </w:p>
    <w:p w14:paraId="45BF1642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Tržby z prodeje výrobků a služeb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představují tržby z prodeje vlastní hmotné a nehmotné produkce externím odběratelům.</w:t>
      </w:r>
    </w:p>
    <w:p w14:paraId="4EC5C063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Tržby za prodej zboží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představují tržby za prodej obchodního zboží, tj. produktů nakoupených za účelem dalšího prodeje v nezměněném stavu.</w:t>
      </w:r>
    </w:p>
    <w:p w14:paraId="13726AB6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Výkony včetně obchodní marže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zahrnují tržby z prodeje výrobků a služeb, obchodní marži (rozdíl mezi tržbami za prodané zboží a náklady na prodané zboží), změnu stavu zásob vlastní činnosti a aktivaci materiálu, zboží, služeb a dlouhodobého majetku.</w:t>
      </w:r>
    </w:p>
    <w:p w14:paraId="27748C4E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Spotřeba materiálu a energie a náklady na služby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– spotřebované nákupy (hodnota spotřebovaného materiálu a energií) a náklady na služby (externí služby, náklady na reprezentaci a drobný nehmotný majetek, o kterém účetní jednotka rozhodla, že není dlouhodobým majetkem). Do roku 2015 tomuto ukazateli obsahově odpovídal ukazatel „Výkonová spotřeba“.</w:t>
      </w:r>
    </w:p>
    <w:p w14:paraId="3D374B0D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Přidaná hodnota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je rozdíl mezi výkony, včetně obchodní marže, a spotřebou materiálu a energie a nákladů na služby.</w:t>
      </w:r>
    </w:p>
    <w:p w14:paraId="0D470CD7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Výsledek hospodaření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představuje rozdíl mezi výnosy celkem a náklady celkem za sledované období. Nabývá buď podoby zisku (kladný výsledek hospodaření), nebo ztráty (záporný výsledek hospodaření).</w:t>
      </w:r>
    </w:p>
    <w:p w14:paraId="79C442C8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sz w:val="18"/>
          <w:szCs w:val="18"/>
          <w:lang w:eastAsia="cs-CZ"/>
        </w:rPr>
        <w:t>Hodnoty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</w:t>
      </w:r>
      <w:r w:rsidRPr="00706FD1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aktiv, pasiv a jejich složek </w:t>
      </w:r>
      <w:r w:rsidRPr="00706FD1">
        <w:rPr>
          <w:rFonts w:ascii="Arial" w:eastAsia="Times New Roman" w:hAnsi="Arial" w:cs="Arial"/>
          <w:bCs/>
          <w:sz w:val="18"/>
          <w:szCs w:val="18"/>
          <w:lang w:eastAsia="cs-CZ"/>
        </w:rPr>
        <w:t xml:space="preserve">(v tab. </w:t>
      </w:r>
      <w:r>
        <w:rPr>
          <w:rFonts w:ascii="Arial" w:eastAsia="Times New Roman" w:hAnsi="Arial" w:cs="Arial"/>
          <w:b/>
          <w:bCs/>
          <w:sz w:val="18"/>
          <w:szCs w:val="18"/>
          <w:lang w:eastAsia="cs-CZ"/>
        </w:rPr>
        <w:t>15.</w:t>
      </w: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3</w:t>
      </w:r>
      <w:r w:rsidRPr="00706FD1">
        <w:rPr>
          <w:rFonts w:ascii="Arial" w:eastAsia="Times New Roman" w:hAnsi="Arial" w:cs="Arial"/>
          <w:bCs/>
          <w:sz w:val="18"/>
          <w:szCs w:val="18"/>
          <w:lang w:eastAsia="cs-CZ"/>
        </w:rPr>
        <w:t xml:space="preserve"> jde o celková aktiva a vlastní kapitál)</w:t>
      </w:r>
      <w:r w:rsidRPr="00706FD1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 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>vyjadřují stavy na rozvahových účtech ke konci kalendářního roku. Náplň ukazatelů odpovídá účtové osnově pro podnikatele.</w:t>
      </w:r>
    </w:p>
    <w:p w14:paraId="7942F913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Pořízení dlouhodobého majetku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představuje sumu výdajů, které vykazující jednotky vynaložily na pořízení dlouhodobého majetku (koupí, vytvořením vlastní činností, nabytím práv k výsledkům duševní tvořivé činnosti). Dlouhodobým majetkem se stávají věci uvedené do užívání. Uvedením do užívání se rozumí zabezpečení všech technických funkcí potřebných k užívání a splnění všech povinností stanovených právními předpisy, např. stavebními, ekologickými, požárními, bezpečnostními a hygienickými. Ukazatel nezahrnuje bezúplatně nabytý majetek a zahrnuje majetek pořízený na finanční leasing.</w:t>
      </w:r>
    </w:p>
    <w:p w14:paraId="195A4903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7AFBC5A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BD98E60" w14:textId="77777777" w:rsidR="00F82EC9" w:rsidRPr="00706FD1" w:rsidRDefault="00F82EC9" w:rsidP="00F82EC9">
      <w:pPr>
        <w:tabs>
          <w:tab w:val="left" w:pos="2400"/>
        </w:tabs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706FD1">
        <w:rPr>
          <w:rFonts w:ascii="Arial" w:eastAsia="Times New Roman" w:hAnsi="Arial" w:cs="Arial"/>
          <w:b/>
          <w:color w:val="0071BC"/>
          <w:lang w:eastAsia="cs-CZ"/>
        </w:rPr>
        <w:t xml:space="preserve">Tab. </w:t>
      </w: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15</w:t>
      </w:r>
      <w:r>
        <w:rPr>
          <w:rFonts w:ascii="Arial" w:eastAsia="Times New Roman" w:hAnsi="Arial" w:cs="Arial"/>
          <w:b/>
          <w:color w:val="0071BC"/>
          <w:lang w:eastAsia="cs-CZ"/>
        </w:rPr>
        <w:t xml:space="preserve">.5 </w:t>
      </w:r>
      <w:r w:rsidRPr="00706FD1">
        <w:rPr>
          <w:rFonts w:ascii="Arial" w:eastAsia="Times New Roman" w:hAnsi="Arial" w:cs="Arial"/>
          <w:b/>
          <w:bCs/>
          <w:color w:val="0071BC"/>
          <w:lang w:eastAsia="cs-CZ"/>
        </w:rPr>
        <w:t>Výroba vybraných výrobků</w:t>
      </w:r>
    </w:p>
    <w:p w14:paraId="1437F63C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Produkce vybraných výrobků zahrnuje veškerou produkci daného výrobku nebo jejich agregátu vymezeného příslušným kódem. Jde o ukazatel typu hrubého obratu, který zahrnuje i objem produkce předané v rámci podnikatelského subjektu k další výrobě či do zásob. Obsah uvedených vybraných výrobků je specifikován Seznamem výrobků CZ-PRODCOM, který vychází z Klasifikace produkce (CZ-CPA). Tabulka </w:t>
      </w:r>
      <w:r>
        <w:rPr>
          <w:rFonts w:ascii="Arial" w:eastAsia="Times New Roman" w:hAnsi="Arial" w:cs="Arial"/>
          <w:b/>
          <w:sz w:val="18"/>
          <w:szCs w:val="18"/>
          <w:lang w:eastAsia="cs-CZ"/>
        </w:rPr>
        <w:t>15.</w:t>
      </w:r>
      <w:r w:rsidRPr="00706FD1">
        <w:rPr>
          <w:rFonts w:ascii="Arial" w:eastAsia="Times New Roman" w:hAnsi="Arial" w:cs="Arial"/>
          <w:b/>
          <w:sz w:val="18"/>
          <w:szCs w:val="18"/>
          <w:lang w:eastAsia="cs-CZ"/>
        </w:rPr>
        <w:t>5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 xml:space="preserve"> přitom obsahuje agregáty kódů CZ-PRODCOM vytvořené pro účely statistické ročenky. Zdrojem dat je specifické roční zjišťování, které zahrnuje pouze podniky s hlavní (převažující) průmyslovou činností s 20 a více zaměstnanci nebo významným ročním obratem, menší průmyslové jednotky s významným podílem na produkci konkrétního výrobku a vybrané neprůmyslové podniky s významným podílem průmyslové činnosti. Data za poslední uvedené období jsou vždy předběžná.</w:t>
      </w:r>
    </w:p>
    <w:p w14:paraId="41EE0AED" w14:textId="77777777" w:rsidR="00F82EC9" w:rsidRPr="00706FD1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sz w:val="18"/>
          <w:szCs w:val="18"/>
          <w:lang w:eastAsia="cs-CZ"/>
        </w:rPr>
        <w:t>V návaznosti na nové právní předpisy upravující evropské standardy pro statistiku průmyslových výrobků a služeb byly upraveny publikační výstupy statistiky průmyslových výrobků a služeb Č</w:t>
      </w:r>
      <w:r>
        <w:rPr>
          <w:rFonts w:ascii="Arial" w:eastAsia="Times New Roman" w:hAnsi="Arial" w:cs="Arial"/>
          <w:sz w:val="18"/>
          <w:szCs w:val="18"/>
          <w:lang w:eastAsia="cs-CZ"/>
        </w:rPr>
        <w:t>eska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>. Hlavní obsahovou změnou je důsledné zahrnutí produkce v režimu práce ve mzdě do publikovaných výstupů, a to počínaje daty za rok 2021 bez přepočtu historických časových řad. I když tento specifický dodavatelsko-odběratelský režim výroby nabývá v posledních letech celosvětově na významu, v rámci souhrnných výsledků za vybrané výrobky je v naprosté většině případů minoritní formou produkce a k porušení srovnatelnosti údajů v časové řadě nedošlo. Výrobky, u kterých je podíl nově zahrnuté práce ve mzdě významný, a v důsledku toho jsou údaje za rok 2021 výrazně odlišné od předchozích, jsou označeny poznámkou</w:t>
      </w:r>
      <w:r w:rsidRPr="00706FD1">
        <w:rPr>
          <w:rFonts w:ascii="Arial" w:eastAsia="Times New Roman" w:hAnsi="Arial" w:cs="Arial"/>
          <w:sz w:val="18"/>
          <w:szCs w:val="18"/>
          <w:vertAlign w:val="superscript"/>
          <w:lang w:eastAsia="cs-CZ"/>
        </w:rPr>
        <w:t>1)</w:t>
      </w:r>
      <w:r w:rsidRPr="00706FD1">
        <w:rPr>
          <w:rFonts w:ascii="Arial" w:eastAsia="Times New Roman" w:hAnsi="Arial" w:cs="Arial"/>
          <w:sz w:val="18"/>
          <w:szCs w:val="18"/>
          <w:lang w:eastAsia="cs-CZ"/>
        </w:rPr>
        <w:t>.</w:t>
      </w:r>
    </w:p>
    <w:p w14:paraId="6426099A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24B3B2E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B2A0C35" w14:textId="77777777" w:rsidR="00F82EC9" w:rsidRPr="00706FD1" w:rsidRDefault="00F82EC9" w:rsidP="00F82EC9">
      <w:pPr>
        <w:tabs>
          <w:tab w:val="left" w:pos="2400"/>
        </w:tabs>
        <w:spacing w:after="0" w:line="240" w:lineRule="auto"/>
        <w:jc w:val="center"/>
        <w:rPr>
          <w:rFonts w:ascii="Arial" w:eastAsia="Times New Roman" w:hAnsi="Arial" w:cs="Arial"/>
          <w:color w:val="0071BC"/>
          <w:lang w:eastAsia="cs-CZ"/>
        </w:rPr>
      </w:pPr>
      <w:r w:rsidRPr="00706FD1">
        <w:rPr>
          <w:rFonts w:ascii="Arial" w:eastAsia="Times New Roman" w:hAnsi="Arial" w:cs="Arial"/>
          <w:color w:val="0071BC"/>
          <w:lang w:eastAsia="cs-CZ"/>
        </w:rPr>
        <w:t>*           *          *</w:t>
      </w:r>
    </w:p>
    <w:p w14:paraId="57232572" w14:textId="77777777" w:rsidR="00F82EC9" w:rsidRPr="00706FD1" w:rsidRDefault="00F82EC9" w:rsidP="00F82EC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190FE39" w14:textId="77777777" w:rsidR="00F82EC9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706FD1">
        <w:rPr>
          <w:rFonts w:ascii="Arial" w:eastAsia="Times New Roman" w:hAnsi="Arial" w:cs="Arial"/>
          <w:sz w:val="18"/>
          <w:szCs w:val="18"/>
          <w:lang w:eastAsia="cs-CZ"/>
        </w:rPr>
        <w:t>Další informace jsou dostupné na internetových stránkách Českého statistického úřadu:</w:t>
      </w:r>
      <w:r>
        <w:rPr>
          <w:rFonts w:ascii="Arial" w:eastAsia="Times New Roman" w:hAnsi="Arial" w:cs="Arial"/>
          <w:sz w:val="18"/>
          <w:szCs w:val="18"/>
          <w:lang w:eastAsia="cs-CZ"/>
        </w:rPr>
        <w:t xml:space="preserve">   </w:t>
      </w:r>
    </w:p>
    <w:p w14:paraId="51962B1B" w14:textId="5BFDDDE4" w:rsidR="00F82EC9" w:rsidRDefault="00F82EC9" w:rsidP="00F82EC9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080517">
        <w:rPr>
          <w:rFonts w:ascii="Arial" w:eastAsia="Times New Roman" w:hAnsi="Arial" w:cs="Arial"/>
          <w:sz w:val="18"/>
          <w:szCs w:val="18"/>
          <w:lang w:val="en-GB" w:eastAsia="cs-CZ"/>
        </w:rPr>
        <w:t>– </w:t>
      </w:r>
      <w:hyperlink r:id="rId4" w:history="1">
        <w:r w:rsidRPr="005732E5">
          <w:rPr>
            <w:rStyle w:val="Hypertextovodkaz"/>
            <w:rFonts w:ascii="Arial" w:hAnsi="Arial" w:cs="Arial"/>
            <w:sz w:val="18"/>
            <w:szCs w:val="18"/>
          </w:rPr>
          <w:t>www.c</w:t>
        </w:r>
        <w:r w:rsidRPr="0019602E">
          <w:rPr>
            <w:rStyle w:val="Hypertextovodkaz"/>
            <w:rFonts w:ascii="Arial" w:hAnsi="Arial" w:cs="Arial"/>
            <w:sz w:val="18"/>
            <w:szCs w:val="18"/>
          </w:rPr>
          <w:t>su.gov.cz/prumysl</w:t>
        </w:r>
      </w:hyperlink>
    </w:p>
    <w:p w14:paraId="3A7426CE" w14:textId="1BFA5AA0" w:rsidR="00F82EC9" w:rsidRDefault="00F82EC9" w:rsidP="00F82EC9"/>
    <w:sectPr w:rsidR="00F82EC9" w:rsidSect="00E07FE3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EC9"/>
    <w:rsid w:val="001F6926"/>
    <w:rsid w:val="005D2FFE"/>
    <w:rsid w:val="006A184C"/>
    <w:rsid w:val="00740C31"/>
    <w:rsid w:val="00934FF6"/>
    <w:rsid w:val="00CB2856"/>
    <w:rsid w:val="00E07FE3"/>
    <w:rsid w:val="00F8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8D32E"/>
  <w15:chartTrackingRefBased/>
  <w15:docId w15:val="{1022C746-6C20-463A-8DE2-6167FDB1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2EC9"/>
    <w:pPr>
      <w:spacing w:after="200" w:line="276" w:lineRule="auto"/>
      <w:jc w:val="both"/>
    </w:pPr>
    <w:rPr>
      <w:rFonts w:eastAsiaTheme="minorEastAsia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82EC9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82EC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82EC9"/>
    <w:pPr>
      <w:keepNext/>
      <w:keepLines/>
      <w:spacing w:before="160" w:after="80" w:line="259" w:lineRule="auto"/>
      <w:jc w:val="left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2EC9"/>
    <w:pPr>
      <w:keepNext/>
      <w:keepLines/>
      <w:spacing w:before="80" w:after="40" w:line="259" w:lineRule="auto"/>
      <w:jc w:val="left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82EC9"/>
    <w:pPr>
      <w:keepNext/>
      <w:keepLines/>
      <w:spacing w:before="80" w:after="40" w:line="259" w:lineRule="auto"/>
      <w:jc w:val="left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82EC9"/>
    <w:pPr>
      <w:keepNext/>
      <w:keepLines/>
      <w:spacing w:before="40" w:after="0" w:line="259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82EC9"/>
    <w:pPr>
      <w:keepNext/>
      <w:keepLines/>
      <w:spacing w:before="40" w:after="0" w:line="259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82EC9"/>
    <w:pPr>
      <w:keepNext/>
      <w:keepLines/>
      <w:spacing w:after="0" w:line="259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82EC9"/>
    <w:pPr>
      <w:keepNext/>
      <w:keepLines/>
      <w:spacing w:after="0" w:line="259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2E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82E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82E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2EC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82EC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82EC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82EC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82EC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2EC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82EC9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82E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82EC9"/>
    <w:pPr>
      <w:numPr>
        <w:ilvl w:val="1"/>
      </w:numPr>
      <w:spacing w:after="160" w:line="259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82E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82EC9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82EC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82EC9"/>
    <w:pPr>
      <w:spacing w:after="160" w:line="259" w:lineRule="auto"/>
      <w:ind w:left="720"/>
      <w:contextualSpacing/>
      <w:jc w:val="left"/>
    </w:pPr>
    <w:rPr>
      <w:rFonts w:eastAsiaTheme="minorHAnsi"/>
      <w:kern w:val="2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82EC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82E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82EC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82EC9"/>
    <w:rPr>
      <w:b/>
      <w:bCs/>
      <w:smallCaps/>
      <w:color w:val="2E74B5" w:themeColor="accent1" w:themeShade="BF"/>
      <w:spacing w:val="5"/>
    </w:rPr>
  </w:style>
  <w:style w:type="paragraph" w:customStyle="1" w:styleId="podraeny">
    <w:name w:val="podraženy"/>
    <w:uiPriority w:val="99"/>
    <w:rsid w:val="00F82EC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  <w:ind w:left="680" w:hanging="680"/>
      <w:jc w:val="both"/>
    </w:pPr>
    <w:rPr>
      <w:rFonts w:ascii="Times New Roman CE obyeejné" w:eastAsia="Times New Roman" w:hAnsi="Times New Roman CE obyeejné" w:cs="Times New Roman CE obyeejné"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rsid w:val="00F82EC9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su.gov.cz/prumys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1050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Český statistický úřad</dc:creator>
  <cp:keywords/>
  <dc:description/>
  <cp:lastModifiedBy>Zadák Rostislav</cp:lastModifiedBy>
  <cp:revision>4</cp:revision>
  <dcterms:created xsi:type="dcterms:W3CDTF">2025-12-04T08:51:00Z</dcterms:created>
  <dcterms:modified xsi:type="dcterms:W3CDTF">2025-12-08T09:06:00Z</dcterms:modified>
</cp:coreProperties>
</file>