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39E05" w14:textId="241B8F88" w:rsidR="00006F29" w:rsidRPr="00C74F61" w:rsidRDefault="00E92E0E" w:rsidP="00800A7F">
      <w:pPr>
        <w:jc w:val="both"/>
        <w:rPr>
          <w:rFonts w:ascii="Arial" w:eastAsia="MS Mincho" w:hAnsi="Arial" w:cs="Arial"/>
          <w:b/>
          <w:bCs/>
          <w:i/>
          <w:caps/>
          <w:color w:val="0085BC"/>
          <w:lang w:val="en-GB"/>
        </w:rPr>
      </w:pPr>
      <w:r w:rsidRPr="00C74F61">
        <w:rPr>
          <w:rFonts w:ascii="Arial" w:eastAsia="MS Mincho" w:hAnsi="Arial" w:cs="Arial"/>
          <w:b/>
          <w:bCs/>
          <w:i/>
          <w:caps/>
          <w:color w:val="0085BC"/>
          <w:lang w:val="en-GB"/>
        </w:rPr>
        <w:t>4 Population</w:t>
      </w:r>
    </w:p>
    <w:p w14:paraId="5CDA30BC" w14:textId="398C7709" w:rsidR="00952023" w:rsidRPr="004A1119" w:rsidRDefault="00952023" w:rsidP="00800A7F">
      <w:pPr>
        <w:jc w:val="both"/>
        <w:rPr>
          <w:rFonts w:ascii="Arial" w:eastAsia="MS Mincho" w:hAnsi="Arial" w:cs="Arial"/>
          <w:b/>
          <w:bCs/>
          <w:caps/>
          <w:sz w:val="14"/>
          <w:szCs w:val="14"/>
          <w:lang w:val="en-GB"/>
        </w:rPr>
      </w:pPr>
    </w:p>
    <w:p w14:paraId="21B79D4E" w14:textId="77777777" w:rsidR="00952023" w:rsidRPr="00C06B45" w:rsidRDefault="00952023" w:rsidP="00952023">
      <w:pPr>
        <w:tabs>
          <w:tab w:val="left" w:pos="0"/>
        </w:tabs>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Methodological notes</w:t>
      </w:r>
    </w:p>
    <w:p w14:paraId="003202E2" w14:textId="77777777" w:rsidR="006941C5" w:rsidRPr="004A1119" w:rsidRDefault="006941C5" w:rsidP="00800A7F">
      <w:pPr>
        <w:pStyle w:val="Zkladntextodsazen"/>
        <w:ind w:firstLine="0"/>
        <w:rPr>
          <w:sz w:val="14"/>
          <w:szCs w:val="14"/>
          <w:lang w:val="en-GB"/>
        </w:rPr>
      </w:pPr>
    </w:p>
    <w:p w14:paraId="7744C2D1" w14:textId="373E18D0" w:rsidR="0010372B" w:rsidRPr="00D60D27" w:rsidRDefault="0010372B" w:rsidP="0010372B">
      <w:pPr>
        <w:jc w:val="both"/>
        <w:rPr>
          <w:rFonts w:ascii="Arial" w:eastAsia="Arial Unicode MS" w:hAnsi="Arial" w:cs="Arial"/>
          <w:i/>
          <w:iCs/>
          <w:sz w:val="18"/>
          <w:szCs w:val="18"/>
          <w:lang w:val="en-GB"/>
        </w:rPr>
      </w:pPr>
      <w:r w:rsidRPr="006F7F9A">
        <w:rPr>
          <w:rFonts w:ascii="Arial" w:eastAsia="Arial Unicode MS" w:hAnsi="Arial" w:cs="Arial"/>
          <w:i/>
          <w:iCs/>
          <w:sz w:val="18"/>
          <w:szCs w:val="18"/>
          <w:lang w:val="en-GB"/>
        </w:rPr>
        <w:t xml:space="preserve">Data on the size and structure </w:t>
      </w:r>
      <w:r w:rsidRPr="003928FF">
        <w:rPr>
          <w:rFonts w:ascii="Arial" w:eastAsia="Arial Unicode MS" w:hAnsi="Arial" w:cs="Arial"/>
          <w:i/>
          <w:iCs/>
          <w:sz w:val="18"/>
          <w:szCs w:val="18"/>
          <w:lang w:val="en-GB"/>
        </w:rPr>
        <w:t xml:space="preserve">of the population are </w:t>
      </w:r>
      <w:r w:rsidR="00E2438D" w:rsidRPr="003928FF">
        <w:rPr>
          <w:rFonts w:ascii="Arial" w:eastAsia="Arial Unicode MS" w:hAnsi="Arial" w:cs="Arial"/>
          <w:i/>
          <w:iCs/>
          <w:sz w:val="18"/>
          <w:szCs w:val="18"/>
          <w:lang w:val="en-GB"/>
        </w:rPr>
        <w:t xml:space="preserve">obtained </w:t>
      </w:r>
      <w:r w:rsidRPr="003928FF">
        <w:rPr>
          <w:rFonts w:ascii="Arial" w:eastAsia="Arial Unicode MS" w:hAnsi="Arial" w:cs="Arial"/>
          <w:i/>
          <w:iCs/>
          <w:sz w:val="18"/>
          <w:szCs w:val="18"/>
          <w:lang w:val="en-GB"/>
        </w:rPr>
        <w:t>from population censuses</w:t>
      </w:r>
      <w:r w:rsidR="00E2438D" w:rsidRPr="003928FF">
        <w:rPr>
          <w:rFonts w:ascii="Arial" w:eastAsia="Arial Unicode MS" w:hAnsi="Arial" w:cs="Arial"/>
          <w:i/>
          <w:iCs/>
          <w:sz w:val="18"/>
          <w:szCs w:val="18"/>
          <w:lang w:val="en-GB"/>
        </w:rPr>
        <w:t xml:space="preserve"> that are followed by</w:t>
      </w:r>
      <w:r w:rsidR="00082714" w:rsidRPr="003928FF">
        <w:rPr>
          <w:rFonts w:ascii="Arial" w:eastAsia="Arial Unicode MS" w:hAnsi="Arial" w:cs="Arial"/>
          <w:i/>
          <w:iCs/>
          <w:sz w:val="18"/>
          <w:szCs w:val="18"/>
          <w:lang w:val="en-GB"/>
        </w:rPr>
        <w:t xml:space="preserve"> </w:t>
      </w:r>
      <w:r w:rsidR="008E7905" w:rsidRPr="003928FF">
        <w:rPr>
          <w:rFonts w:ascii="Arial" w:eastAsia="Arial Unicode MS" w:hAnsi="Arial" w:cs="Arial"/>
          <w:i/>
          <w:iCs/>
          <w:sz w:val="18"/>
          <w:szCs w:val="18"/>
          <w:lang w:val="en-GB"/>
        </w:rPr>
        <w:t xml:space="preserve">annual </w:t>
      </w:r>
      <w:r w:rsidR="003928FF" w:rsidRPr="00477733">
        <w:rPr>
          <w:rFonts w:ascii="Arial" w:eastAsia="Arial Unicode MS" w:hAnsi="Arial" w:cs="Arial"/>
          <w:i/>
          <w:iCs/>
          <w:sz w:val="18"/>
          <w:szCs w:val="18"/>
          <w:lang w:val="en-GB"/>
        </w:rPr>
        <w:t xml:space="preserve">statistical </w:t>
      </w:r>
      <w:r w:rsidR="00082714" w:rsidRPr="003928FF">
        <w:rPr>
          <w:rFonts w:ascii="Arial" w:eastAsia="Arial Unicode MS" w:hAnsi="Arial" w:cs="Arial"/>
          <w:i/>
          <w:iCs/>
          <w:sz w:val="18"/>
          <w:szCs w:val="18"/>
          <w:lang w:val="en-GB"/>
        </w:rPr>
        <w:t>balances</w:t>
      </w:r>
      <w:r w:rsidR="003928FF" w:rsidRPr="00477733">
        <w:rPr>
          <w:rFonts w:ascii="Arial" w:eastAsia="Arial Unicode MS" w:hAnsi="Arial" w:cs="Arial"/>
          <w:i/>
          <w:iCs/>
          <w:sz w:val="18"/>
          <w:szCs w:val="18"/>
          <w:lang w:val="en-GB"/>
        </w:rPr>
        <w:t xml:space="preserve"> of data</w:t>
      </w:r>
      <w:r w:rsidR="00082714" w:rsidRPr="00D60D27">
        <w:rPr>
          <w:rFonts w:ascii="Arial" w:eastAsia="Arial Unicode MS" w:hAnsi="Arial" w:cs="Arial"/>
          <w:i/>
          <w:iCs/>
          <w:sz w:val="18"/>
          <w:szCs w:val="18"/>
          <w:lang w:val="en-GB"/>
        </w:rPr>
        <w:t xml:space="preserve"> on demographic events.</w:t>
      </w:r>
      <w:r w:rsidRPr="00D60D27">
        <w:rPr>
          <w:rFonts w:ascii="Arial" w:eastAsia="Arial Unicode MS" w:hAnsi="Arial" w:cs="Arial"/>
          <w:i/>
          <w:iCs/>
          <w:sz w:val="18"/>
          <w:szCs w:val="18"/>
          <w:lang w:val="en-GB"/>
        </w:rPr>
        <w:t xml:space="preserve"> </w:t>
      </w:r>
      <w:r w:rsidR="00082714" w:rsidRPr="00D60D27">
        <w:rPr>
          <w:rFonts w:ascii="Arial" w:eastAsia="Arial Unicode MS" w:hAnsi="Arial" w:cs="Arial"/>
          <w:i/>
          <w:iCs/>
          <w:sz w:val="18"/>
          <w:szCs w:val="18"/>
          <w:lang w:val="en-GB"/>
        </w:rPr>
        <w:t>Data on</w:t>
      </w:r>
      <w:r w:rsidR="00C06B45" w:rsidRPr="003928FF">
        <w:rPr>
          <w:rFonts w:ascii="Arial" w:eastAsia="Arial Unicode MS" w:hAnsi="Arial" w:cs="Arial"/>
          <w:i/>
          <w:iCs/>
          <w:sz w:val="18"/>
          <w:szCs w:val="18"/>
          <w:lang w:val="en-GB"/>
        </w:rPr>
        <w:t xml:space="preserve"> the numbers</w:t>
      </w:r>
      <w:r w:rsidR="00C06B45" w:rsidRPr="006F7F9A">
        <w:rPr>
          <w:rFonts w:ascii="Arial" w:eastAsia="Arial Unicode MS" w:hAnsi="Arial" w:cs="Arial"/>
          <w:i/>
          <w:iCs/>
          <w:sz w:val="18"/>
          <w:szCs w:val="18"/>
          <w:lang w:val="en-GB"/>
        </w:rPr>
        <w:t xml:space="preserve"> of</w:t>
      </w:r>
      <w:r w:rsidR="00082714" w:rsidRPr="006F7F9A">
        <w:rPr>
          <w:rFonts w:ascii="Arial" w:eastAsia="Arial Unicode MS" w:hAnsi="Arial" w:cs="Arial"/>
          <w:i/>
          <w:iCs/>
          <w:sz w:val="18"/>
          <w:szCs w:val="18"/>
          <w:lang w:val="en-GB"/>
        </w:rPr>
        <w:t xml:space="preserve"> b</w:t>
      </w:r>
      <w:r w:rsidRPr="006F7F9A">
        <w:rPr>
          <w:rFonts w:ascii="Arial" w:eastAsia="Arial Unicode MS" w:hAnsi="Arial" w:cs="Arial"/>
          <w:i/>
          <w:iCs/>
          <w:sz w:val="18"/>
          <w:szCs w:val="18"/>
          <w:lang w:val="en-GB"/>
        </w:rPr>
        <w:t>irths, deaths</w:t>
      </w:r>
      <w:r w:rsidR="00082714" w:rsidRPr="006F7F9A">
        <w:rPr>
          <w:rFonts w:ascii="Arial" w:eastAsia="Arial Unicode MS" w:hAnsi="Arial" w:cs="Arial"/>
          <w:i/>
          <w:iCs/>
          <w:sz w:val="18"/>
          <w:szCs w:val="18"/>
          <w:lang w:val="en-GB"/>
        </w:rPr>
        <w:t>, and marriages</w:t>
      </w:r>
      <w:r w:rsidR="00C06B45" w:rsidRPr="006F7F9A">
        <w:rPr>
          <w:rFonts w:ascii="Arial" w:eastAsia="Arial Unicode MS" w:hAnsi="Arial" w:cs="Arial"/>
          <w:i/>
          <w:iCs/>
          <w:sz w:val="18"/>
          <w:szCs w:val="18"/>
          <w:lang w:val="en-GB"/>
        </w:rPr>
        <w:t xml:space="preserve"> stem from the processing of statistical reports </w:t>
      </w:r>
      <w:r w:rsidRPr="006F7F9A">
        <w:rPr>
          <w:rFonts w:ascii="Arial" w:eastAsia="Arial Unicode MS" w:hAnsi="Arial" w:cs="Arial"/>
          <w:i/>
          <w:iCs/>
          <w:sz w:val="18"/>
          <w:szCs w:val="18"/>
          <w:lang w:val="en-GB"/>
        </w:rPr>
        <w:t xml:space="preserve">provided by registry offices and from data from </w:t>
      </w:r>
      <w:r w:rsidR="00C06B45" w:rsidRPr="006F7F9A">
        <w:rPr>
          <w:rFonts w:ascii="Arial" w:eastAsia="Arial Unicode MS" w:hAnsi="Arial" w:cs="Arial"/>
          <w:i/>
          <w:iCs/>
          <w:sz w:val="18"/>
          <w:szCs w:val="18"/>
          <w:lang w:val="en-GB"/>
        </w:rPr>
        <w:t xml:space="preserve">the Census </w:t>
      </w:r>
      <w:r w:rsidRPr="006F7F9A">
        <w:rPr>
          <w:rFonts w:ascii="Arial" w:eastAsia="Arial Unicode MS" w:hAnsi="Arial" w:cs="Arial"/>
          <w:i/>
          <w:iCs/>
          <w:sz w:val="18"/>
          <w:szCs w:val="18"/>
          <w:lang w:val="en-GB"/>
        </w:rPr>
        <w:t>information system.</w:t>
      </w:r>
      <w:r w:rsidR="00C06B45" w:rsidRPr="006F7F9A">
        <w:rPr>
          <w:rFonts w:ascii="Arial" w:eastAsia="Arial Unicode MS" w:hAnsi="Arial" w:cs="Arial"/>
          <w:i/>
          <w:iCs/>
          <w:sz w:val="18"/>
          <w:szCs w:val="18"/>
          <w:lang w:val="en-GB"/>
        </w:rPr>
        <w:t xml:space="preserve"> Data on the number of divorces</w:t>
      </w:r>
      <w:r w:rsidR="006344DB" w:rsidRPr="006F7F9A">
        <w:rPr>
          <w:rFonts w:ascii="Arial" w:eastAsia="Arial Unicode MS" w:hAnsi="Arial" w:cs="Arial"/>
          <w:i/>
          <w:iCs/>
          <w:sz w:val="18"/>
          <w:szCs w:val="18"/>
          <w:lang w:val="en-GB"/>
        </w:rPr>
        <w:t xml:space="preserve"> are from</w:t>
      </w:r>
      <w:r w:rsidR="00E93B08">
        <w:rPr>
          <w:rFonts w:ascii="Arial" w:eastAsia="Arial Unicode MS" w:hAnsi="Arial" w:cs="Arial"/>
          <w:i/>
          <w:iCs/>
          <w:sz w:val="18"/>
          <w:szCs w:val="18"/>
          <w:lang w:val="en-GB"/>
        </w:rPr>
        <w:t xml:space="preserve"> statistical reports on divorces </w:t>
      </w:r>
      <w:r w:rsidR="00E93B08" w:rsidRPr="006F7F9A">
        <w:rPr>
          <w:rFonts w:ascii="Arial" w:eastAsia="Arial Unicode MS" w:hAnsi="Arial" w:cs="Arial"/>
          <w:i/>
          <w:iCs/>
          <w:sz w:val="18"/>
          <w:szCs w:val="18"/>
          <w:lang w:val="en-GB"/>
        </w:rPr>
        <w:t>obtained</w:t>
      </w:r>
      <w:r w:rsidR="00E93B08">
        <w:rPr>
          <w:rFonts w:ascii="Arial" w:eastAsia="Arial Unicode MS" w:hAnsi="Arial" w:cs="Arial"/>
          <w:i/>
          <w:iCs/>
          <w:sz w:val="18"/>
          <w:szCs w:val="18"/>
          <w:lang w:val="en-GB"/>
        </w:rPr>
        <w:t xml:space="preserve"> from</w:t>
      </w:r>
      <w:r w:rsidR="006344DB" w:rsidRPr="006F7F9A">
        <w:rPr>
          <w:rFonts w:ascii="Arial" w:eastAsia="Arial Unicode MS" w:hAnsi="Arial" w:cs="Arial"/>
          <w:i/>
          <w:iCs/>
          <w:sz w:val="18"/>
          <w:szCs w:val="18"/>
          <w:lang w:val="en-GB"/>
        </w:rPr>
        <w:t xml:space="preserve"> t</w:t>
      </w:r>
      <w:r w:rsidRPr="006F7F9A">
        <w:rPr>
          <w:rFonts w:ascii="Arial" w:eastAsia="Arial Unicode MS" w:hAnsi="Arial" w:cs="Arial"/>
          <w:i/>
          <w:iCs/>
          <w:sz w:val="18"/>
          <w:szCs w:val="18"/>
          <w:lang w:val="en-GB"/>
        </w:rPr>
        <w:t>he information system of the Ministry of Justice.</w:t>
      </w:r>
      <w:r w:rsidR="006344DB" w:rsidRPr="006F7F9A">
        <w:rPr>
          <w:rFonts w:ascii="Arial" w:eastAsia="Arial Unicode MS" w:hAnsi="Arial" w:cs="Arial"/>
          <w:i/>
          <w:iCs/>
          <w:sz w:val="18"/>
          <w:szCs w:val="18"/>
          <w:lang w:val="en-GB"/>
        </w:rPr>
        <w:t xml:space="preserve"> D</w:t>
      </w:r>
      <w:r w:rsidRPr="006F7F9A">
        <w:rPr>
          <w:rFonts w:ascii="Arial" w:eastAsia="Arial Unicode MS" w:hAnsi="Arial" w:cs="Arial"/>
          <w:i/>
          <w:iCs/>
          <w:sz w:val="18"/>
          <w:szCs w:val="18"/>
          <w:lang w:val="en-GB"/>
        </w:rPr>
        <w:t>ata on migration the CZSO obtains from information systems of the Ministry of the Interior</w:t>
      </w:r>
      <w:r w:rsidR="006344DB" w:rsidRPr="006F7F9A">
        <w:rPr>
          <w:rFonts w:ascii="Arial" w:eastAsia="Arial Unicode MS" w:hAnsi="Arial" w:cs="Arial"/>
          <w:i/>
          <w:iCs/>
          <w:sz w:val="18"/>
          <w:szCs w:val="18"/>
          <w:lang w:val="en-GB"/>
        </w:rPr>
        <w:t xml:space="preserve"> </w:t>
      </w:r>
      <w:r w:rsidR="006344DB" w:rsidRPr="00477733">
        <w:rPr>
          <w:rFonts w:ascii="Arial" w:eastAsia="Arial Unicode MS" w:hAnsi="Arial" w:cs="Arial"/>
          <w:i/>
          <w:iCs/>
          <w:sz w:val="18"/>
          <w:szCs w:val="18"/>
          <w:lang w:val="en-GB"/>
        </w:rPr>
        <w:t>(</w:t>
      </w:r>
      <w:r w:rsidR="0072128E" w:rsidRPr="00477733">
        <w:rPr>
          <w:rFonts w:ascii="Arial" w:eastAsia="Arial Unicode MS" w:hAnsi="Arial" w:cs="Arial"/>
          <w:i/>
          <w:iCs/>
          <w:sz w:val="18"/>
          <w:szCs w:val="18"/>
          <w:lang w:val="en-GB"/>
        </w:rPr>
        <w:t>Information syste</w:t>
      </w:r>
      <w:r w:rsidR="006344DB" w:rsidRPr="00477733">
        <w:rPr>
          <w:rFonts w:ascii="Arial" w:eastAsia="Arial Unicode MS" w:hAnsi="Arial" w:cs="Arial"/>
          <w:i/>
          <w:iCs/>
          <w:sz w:val="18"/>
          <w:szCs w:val="18"/>
          <w:lang w:val="en-GB"/>
        </w:rPr>
        <w:t xml:space="preserve">m </w:t>
      </w:r>
      <w:r w:rsidR="0072128E" w:rsidRPr="006F7F9A">
        <w:rPr>
          <w:rFonts w:ascii="Arial" w:eastAsia="Arial Unicode MS" w:hAnsi="Arial" w:cs="Arial"/>
          <w:i/>
          <w:iCs/>
          <w:sz w:val="18"/>
          <w:szCs w:val="18"/>
          <w:lang w:val="en-GB"/>
        </w:rPr>
        <w:t xml:space="preserve">of </w:t>
      </w:r>
      <w:r w:rsidR="008D7071">
        <w:rPr>
          <w:rFonts w:ascii="Arial" w:eastAsia="Arial Unicode MS" w:hAnsi="Arial" w:cs="Arial"/>
          <w:i/>
          <w:iCs/>
          <w:sz w:val="18"/>
          <w:szCs w:val="18"/>
          <w:lang w:val="en-GB"/>
        </w:rPr>
        <w:t>p</w:t>
      </w:r>
      <w:r w:rsidR="0072128E" w:rsidRPr="006F7F9A">
        <w:rPr>
          <w:rFonts w:ascii="Arial" w:eastAsia="Arial Unicode MS" w:hAnsi="Arial" w:cs="Arial"/>
          <w:i/>
          <w:iCs/>
          <w:sz w:val="18"/>
          <w:szCs w:val="18"/>
          <w:lang w:val="en-GB"/>
        </w:rPr>
        <w:t xml:space="preserve">opulation </w:t>
      </w:r>
      <w:r w:rsidR="008D7071">
        <w:rPr>
          <w:rFonts w:ascii="Arial" w:eastAsia="Arial Unicode MS" w:hAnsi="Arial" w:cs="Arial"/>
          <w:i/>
          <w:iCs/>
          <w:sz w:val="18"/>
          <w:szCs w:val="18"/>
          <w:lang w:val="en-GB"/>
        </w:rPr>
        <w:t>r</w:t>
      </w:r>
      <w:r w:rsidR="0072128E" w:rsidRPr="006F7F9A">
        <w:rPr>
          <w:rFonts w:ascii="Arial" w:eastAsia="Arial Unicode MS" w:hAnsi="Arial" w:cs="Arial"/>
          <w:i/>
          <w:iCs/>
          <w:sz w:val="18"/>
          <w:szCs w:val="18"/>
          <w:lang w:val="en-GB"/>
        </w:rPr>
        <w:t>ecords</w:t>
      </w:r>
      <w:r w:rsidR="000D227A" w:rsidRPr="006F7F9A">
        <w:rPr>
          <w:rFonts w:ascii="Arial" w:eastAsia="Arial Unicode MS" w:hAnsi="Arial" w:cs="Arial"/>
          <w:i/>
          <w:iCs/>
          <w:sz w:val="18"/>
          <w:szCs w:val="18"/>
          <w:lang w:val="en-GB"/>
        </w:rPr>
        <w:t xml:space="preserve"> </w:t>
      </w:r>
      <w:r w:rsidR="008D7071">
        <w:rPr>
          <w:rFonts w:ascii="Arial" w:eastAsia="Arial Unicode MS" w:hAnsi="Arial" w:cs="Arial"/>
          <w:i/>
          <w:iCs/>
          <w:sz w:val="18"/>
          <w:szCs w:val="18"/>
          <w:lang w:val="en-GB"/>
        </w:rPr>
        <w:t>also called</w:t>
      </w:r>
      <w:r w:rsidR="000D227A" w:rsidRPr="006F7F9A">
        <w:rPr>
          <w:rFonts w:ascii="Arial" w:eastAsia="Arial Unicode MS" w:hAnsi="Arial" w:cs="Arial"/>
          <w:i/>
          <w:iCs/>
          <w:sz w:val="18"/>
          <w:szCs w:val="18"/>
          <w:lang w:val="en-GB"/>
        </w:rPr>
        <w:t xml:space="preserve"> </w:t>
      </w:r>
      <w:r w:rsidR="000D227A" w:rsidRPr="00477733">
        <w:rPr>
          <w:rFonts w:ascii="Arial" w:eastAsia="Arial Unicode MS" w:hAnsi="Arial" w:cs="Arial"/>
          <w:i/>
          <w:iCs/>
          <w:sz w:val="18"/>
          <w:szCs w:val="18"/>
          <w:lang w:val="en-GB"/>
        </w:rPr>
        <w:t xml:space="preserve">Population </w:t>
      </w:r>
      <w:r w:rsidR="008D7071">
        <w:rPr>
          <w:rFonts w:ascii="Arial" w:eastAsia="Arial Unicode MS" w:hAnsi="Arial" w:cs="Arial"/>
          <w:i/>
          <w:iCs/>
          <w:sz w:val="18"/>
          <w:szCs w:val="18"/>
          <w:lang w:val="en-GB"/>
        </w:rPr>
        <w:t>r</w:t>
      </w:r>
      <w:r w:rsidR="000D227A" w:rsidRPr="00477733">
        <w:rPr>
          <w:rFonts w:ascii="Arial" w:eastAsia="Arial Unicode MS" w:hAnsi="Arial" w:cs="Arial"/>
          <w:i/>
          <w:iCs/>
          <w:sz w:val="18"/>
          <w:szCs w:val="18"/>
          <w:lang w:val="en-GB"/>
        </w:rPr>
        <w:t xml:space="preserve">egistration </w:t>
      </w:r>
      <w:r w:rsidR="008D7071">
        <w:rPr>
          <w:rFonts w:ascii="Arial" w:eastAsia="Arial Unicode MS" w:hAnsi="Arial" w:cs="Arial"/>
          <w:i/>
          <w:iCs/>
          <w:sz w:val="18"/>
          <w:szCs w:val="18"/>
          <w:lang w:val="en-GB"/>
        </w:rPr>
        <w:t>i</w:t>
      </w:r>
      <w:r w:rsidR="000D227A" w:rsidRPr="00477733">
        <w:rPr>
          <w:rFonts w:ascii="Arial" w:eastAsia="Arial Unicode MS" w:hAnsi="Arial" w:cs="Arial"/>
          <w:i/>
          <w:iCs/>
          <w:sz w:val="18"/>
          <w:szCs w:val="18"/>
          <w:lang w:val="en-GB"/>
        </w:rPr>
        <w:t xml:space="preserve">nformation </w:t>
      </w:r>
      <w:r w:rsidR="008D7071">
        <w:rPr>
          <w:rFonts w:ascii="Arial" w:eastAsia="Arial Unicode MS" w:hAnsi="Arial" w:cs="Arial"/>
          <w:i/>
          <w:iCs/>
          <w:sz w:val="18"/>
          <w:szCs w:val="18"/>
          <w:lang w:val="en-GB"/>
        </w:rPr>
        <w:t>s</w:t>
      </w:r>
      <w:r w:rsidR="000D227A" w:rsidRPr="00477733">
        <w:rPr>
          <w:rFonts w:ascii="Arial" w:eastAsia="Arial Unicode MS" w:hAnsi="Arial" w:cs="Arial"/>
          <w:i/>
          <w:iCs/>
          <w:sz w:val="18"/>
          <w:szCs w:val="18"/>
          <w:lang w:val="en-GB"/>
        </w:rPr>
        <w:t>ystem (</w:t>
      </w:r>
      <w:r w:rsidR="0077388B">
        <w:rPr>
          <w:rFonts w:ascii="Arial" w:eastAsia="Arial Unicode MS" w:hAnsi="Arial" w:cs="Arial"/>
          <w:i/>
          <w:iCs/>
          <w:sz w:val="18"/>
          <w:szCs w:val="18"/>
          <w:lang w:val="en-GB"/>
        </w:rPr>
        <w:t>abbreviated</w:t>
      </w:r>
      <w:r w:rsidR="000D227A" w:rsidRPr="00477733">
        <w:rPr>
          <w:rFonts w:ascii="Arial" w:eastAsia="Arial Unicode MS" w:hAnsi="Arial" w:cs="Arial"/>
          <w:i/>
          <w:iCs/>
          <w:sz w:val="18"/>
          <w:szCs w:val="18"/>
          <w:lang w:val="en-GB"/>
        </w:rPr>
        <w:t xml:space="preserve"> as </w:t>
      </w:r>
      <w:r w:rsidR="000D227A" w:rsidRPr="00477733">
        <w:rPr>
          <w:rFonts w:ascii="Arial" w:eastAsia="Arial Unicode MS" w:hAnsi="Arial" w:cs="Arial"/>
          <w:iCs/>
          <w:sz w:val="18"/>
          <w:szCs w:val="18"/>
          <w:lang w:val="en-GB"/>
        </w:rPr>
        <w:t>ISEO</w:t>
      </w:r>
      <w:r w:rsidR="000D227A" w:rsidRPr="00477733">
        <w:rPr>
          <w:rFonts w:ascii="Arial" w:eastAsia="Arial Unicode MS" w:hAnsi="Arial" w:cs="Arial"/>
          <w:i/>
          <w:iCs/>
          <w:sz w:val="18"/>
          <w:szCs w:val="18"/>
          <w:lang w:val="en-GB"/>
        </w:rPr>
        <w:t xml:space="preserve"> or </w:t>
      </w:r>
      <w:r w:rsidR="000D227A" w:rsidRPr="00477733">
        <w:rPr>
          <w:rFonts w:ascii="Arial" w:eastAsia="Arial Unicode MS" w:hAnsi="Arial" w:cs="Arial"/>
          <w:iCs/>
          <w:sz w:val="18"/>
          <w:szCs w:val="18"/>
          <w:lang w:val="en-GB"/>
        </w:rPr>
        <w:t>AISEO</w:t>
      </w:r>
      <w:r w:rsidR="0077388B">
        <w:rPr>
          <w:rFonts w:ascii="Arial" w:eastAsia="Arial Unicode MS" w:hAnsi="Arial" w:cs="Arial"/>
          <w:iCs/>
          <w:sz w:val="18"/>
          <w:szCs w:val="18"/>
          <w:lang w:val="en-GB"/>
        </w:rPr>
        <w:t xml:space="preserve"> </w:t>
      </w:r>
      <w:r w:rsidR="0077388B" w:rsidRPr="00477733">
        <w:rPr>
          <w:rFonts w:ascii="Arial" w:eastAsia="Arial Unicode MS" w:hAnsi="Arial" w:cs="Arial"/>
          <w:i/>
          <w:iCs/>
          <w:sz w:val="18"/>
          <w:szCs w:val="18"/>
          <w:lang w:val="en-GB"/>
        </w:rPr>
        <w:t>in Czech</w:t>
      </w:r>
      <w:r w:rsidR="000D227A" w:rsidRPr="00477733">
        <w:rPr>
          <w:rFonts w:ascii="Arial" w:eastAsia="Arial Unicode MS" w:hAnsi="Arial" w:cs="Arial"/>
          <w:i/>
          <w:iCs/>
          <w:sz w:val="18"/>
          <w:szCs w:val="18"/>
          <w:lang w:val="en-GB"/>
        </w:rPr>
        <w:t xml:space="preserve">)) </w:t>
      </w:r>
      <w:r w:rsidRPr="006F7F9A">
        <w:rPr>
          <w:rFonts w:ascii="Arial" w:eastAsia="Arial Unicode MS" w:hAnsi="Arial" w:cs="Arial"/>
          <w:i/>
          <w:iCs/>
          <w:sz w:val="18"/>
          <w:szCs w:val="18"/>
          <w:lang w:val="en-GB"/>
        </w:rPr>
        <w:t>and</w:t>
      </w:r>
      <w:r w:rsidR="006344DB" w:rsidRPr="006F7F9A">
        <w:rPr>
          <w:rFonts w:ascii="Arial" w:eastAsia="Arial Unicode MS" w:hAnsi="Arial" w:cs="Arial"/>
          <w:i/>
          <w:iCs/>
          <w:sz w:val="18"/>
          <w:szCs w:val="18"/>
          <w:lang w:val="en-GB"/>
        </w:rPr>
        <w:t xml:space="preserve"> from</w:t>
      </w:r>
      <w:r w:rsidRPr="006F7F9A">
        <w:rPr>
          <w:rFonts w:ascii="Arial" w:eastAsia="Arial Unicode MS" w:hAnsi="Arial" w:cs="Arial"/>
          <w:i/>
          <w:iCs/>
          <w:sz w:val="18"/>
          <w:szCs w:val="18"/>
          <w:lang w:val="en-GB"/>
        </w:rPr>
        <w:t xml:space="preserve"> the Directorate of the Foreign Police Service</w:t>
      </w:r>
      <w:r w:rsidR="006344DB" w:rsidRPr="006F7F9A">
        <w:rPr>
          <w:rFonts w:ascii="Arial" w:eastAsia="Arial Unicode MS" w:hAnsi="Arial" w:cs="Arial"/>
          <w:i/>
          <w:iCs/>
          <w:sz w:val="18"/>
          <w:szCs w:val="18"/>
          <w:lang w:val="en-GB"/>
        </w:rPr>
        <w:t xml:space="preserve"> </w:t>
      </w:r>
      <w:r w:rsidR="006344DB" w:rsidRPr="00477733">
        <w:rPr>
          <w:rFonts w:ascii="Arial" w:eastAsia="Arial Unicode MS" w:hAnsi="Arial" w:cs="Arial"/>
          <w:i/>
          <w:iCs/>
          <w:sz w:val="18"/>
          <w:szCs w:val="18"/>
          <w:lang w:val="en-GB"/>
        </w:rPr>
        <w:t>(</w:t>
      </w:r>
      <w:r w:rsidR="0045295E" w:rsidRPr="00477733">
        <w:rPr>
          <w:rFonts w:ascii="Arial" w:eastAsia="Arial Unicode MS" w:hAnsi="Arial" w:cs="Arial"/>
          <w:i/>
          <w:iCs/>
          <w:sz w:val="18"/>
          <w:szCs w:val="18"/>
          <w:lang w:val="en-GB"/>
        </w:rPr>
        <w:t xml:space="preserve">Foreigners </w:t>
      </w:r>
      <w:r w:rsidR="008D7071">
        <w:rPr>
          <w:rFonts w:ascii="Arial" w:eastAsia="Arial Unicode MS" w:hAnsi="Arial" w:cs="Arial"/>
          <w:i/>
          <w:iCs/>
          <w:sz w:val="18"/>
          <w:szCs w:val="18"/>
          <w:lang w:val="en-GB"/>
        </w:rPr>
        <w:t>i</w:t>
      </w:r>
      <w:r w:rsidR="0045295E" w:rsidRPr="00477733">
        <w:rPr>
          <w:rFonts w:ascii="Arial" w:eastAsia="Arial Unicode MS" w:hAnsi="Arial" w:cs="Arial"/>
          <w:i/>
          <w:iCs/>
          <w:sz w:val="18"/>
          <w:szCs w:val="18"/>
          <w:lang w:val="en-GB"/>
        </w:rPr>
        <w:t xml:space="preserve">nformation </w:t>
      </w:r>
      <w:r w:rsidR="008D7071">
        <w:rPr>
          <w:rFonts w:ascii="Arial" w:eastAsia="Arial Unicode MS" w:hAnsi="Arial" w:cs="Arial"/>
          <w:i/>
          <w:iCs/>
          <w:sz w:val="18"/>
          <w:szCs w:val="18"/>
          <w:lang w:val="en-GB"/>
        </w:rPr>
        <w:t>s</w:t>
      </w:r>
      <w:r w:rsidR="0045295E" w:rsidRPr="00477733">
        <w:rPr>
          <w:rFonts w:ascii="Arial" w:eastAsia="Arial Unicode MS" w:hAnsi="Arial" w:cs="Arial"/>
          <w:i/>
          <w:iCs/>
          <w:sz w:val="18"/>
          <w:szCs w:val="18"/>
          <w:lang w:val="en-GB"/>
        </w:rPr>
        <w:t xml:space="preserve">ystem, </w:t>
      </w:r>
      <w:r w:rsidR="00655052">
        <w:rPr>
          <w:rFonts w:ascii="Arial" w:eastAsia="Arial Unicode MS" w:hAnsi="Arial" w:cs="Arial"/>
          <w:i/>
          <w:iCs/>
          <w:sz w:val="18"/>
          <w:szCs w:val="18"/>
          <w:lang w:val="en-GB"/>
        </w:rPr>
        <w:t>abbreviated</w:t>
      </w:r>
      <w:r w:rsidR="0045295E" w:rsidRPr="00477733">
        <w:rPr>
          <w:rFonts w:ascii="Arial" w:eastAsia="Arial Unicode MS" w:hAnsi="Arial" w:cs="Arial"/>
          <w:i/>
          <w:iCs/>
          <w:sz w:val="18"/>
          <w:szCs w:val="18"/>
          <w:lang w:val="en-GB"/>
        </w:rPr>
        <w:t xml:space="preserve"> as “</w:t>
      </w:r>
      <w:r w:rsidR="0045295E" w:rsidRPr="00477733">
        <w:rPr>
          <w:rFonts w:ascii="Arial" w:eastAsia="Arial Unicode MS" w:hAnsi="Arial" w:cs="Arial"/>
          <w:iCs/>
          <w:sz w:val="18"/>
          <w:szCs w:val="18"/>
          <w:lang w:val="en-GB"/>
        </w:rPr>
        <w:t>CIS</w:t>
      </w:r>
      <w:r w:rsidR="0045295E" w:rsidRPr="00477733">
        <w:rPr>
          <w:rFonts w:ascii="Arial" w:eastAsia="Arial Unicode MS" w:hAnsi="Arial" w:cs="Arial"/>
          <w:i/>
          <w:iCs/>
          <w:sz w:val="18"/>
          <w:szCs w:val="18"/>
          <w:lang w:val="en-GB"/>
        </w:rPr>
        <w:t>”</w:t>
      </w:r>
      <w:r w:rsidR="0077388B">
        <w:rPr>
          <w:rFonts w:ascii="Arial" w:eastAsia="Arial Unicode MS" w:hAnsi="Arial" w:cs="Arial"/>
          <w:i/>
          <w:iCs/>
          <w:sz w:val="18"/>
          <w:szCs w:val="18"/>
          <w:lang w:val="en-GB"/>
        </w:rPr>
        <w:t xml:space="preserve"> in Czech</w:t>
      </w:r>
      <w:r w:rsidR="006344DB" w:rsidRPr="00477733">
        <w:rPr>
          <w:rFonts w:ascii="Arial" w:eastAsia="Arial Unicode MS" w:hAnsi="Arial" w:cs="Arial"/>
          <w:i/>
          <w:iCs/>
          <w:sz w:val="18"/>
          <w:szCs w:val="18"/>
          <w:lang w:val="en-GB"/>
        </w:rPr>
        <w:t>)</w:t>
      </w:r>
      <w:r w:rsidRPr="006F7F9A">
        <w:rPr>
          <w:rFonts w:ascii="Arial" w:eastAsia="Arial Unicode MS" w:hAnsi="Arial" w:cs="Arial"/>
          <w:i/>
          <w:iCs/>
          <w:sz w:val="18"/>
          <w:szCs w:val="18"/>
          <w:lang w:val="en-GB"/>
        </w:rPr>
        <w:t xml:space="preserve">. </w:t>
      </w:r>
      <w:r w:rsidR="000440DE" w:rsidRPr="00477733">
        <w:rPr>
          <w:rFonts w:ascii="Arial" w:eastAsia="Arial Unicode MS" w:hAnsi="Arial" w:cs="Arial"/>
          <w:i/>
          <w:iCs/>
          <w:sz w:val="18"/>
          <w:szCs w:val="18"/>
          <w:lang w:val="en-GB"/>
        </w:rPr>
        <w:t xml:space="preserve">For the statistics on causes of death, the Institute of Health Information and Statistics of the CR provides to the CZSO primary data from the “Death certificate (Report on examination of the deceased person)”. </w:t>
      </w:r>
      <w:r w:rsidRPr="006F7F9A">
        <w:rPr>
          <w:rFonts w:ascii="Arial" w:eastAsia="Arial Unicode MS" w:hAnsi="Arial" w:cs="Arial"/>
          <w:i/>
          <w:iCs/>
          <w:sz w:val="18"/>
          <w:szCs w:val="18"/>
          <w:lang w:val="en-GB"/>
        </w:rPr>
        <w:t xml:space="preserve">Differences in the mid-year population figures for the years 1990–1991, 2000–2001, 2010–2011, and 2020–2021 are due to differences between results of the population censuses </w:t>
      </w:r>
      <w:r w:rsidRPr="00D60D27">
        <w:rPr>
          <w:rFonts w:ascii="Arial" w:eastAsia="Arial Unicode MS" w:hAnsi="Arial" w:cs="Arial"/>
          <w:i/>
          <w:iCs/>
          <w:sz w:val="18"/>
          <w:szCs w:val="18"/>
          <w:lang w:val="en-GB"/>
        </w:rPr>
        <w:t>and annual population balances.</w:t>
      </w:r>
    </w:p>
    <w:p w14:paraId="23F2C131"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32EA329E"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1158AC89" w14:textId="77777777" w:rsidR="0010372B" w:rsidRPr="00C74F61" w:rsidRDefault="0010372B" w:rsidP="0010372B">
      <w:pPr>
        <w:jc w:val="both"/>
        <w:rPr>
          <w:rFonts w:ascii="Arial" w:eastAsia="Arial Unicode MS" w:hAnsi="Arial" w:cs="Arial"/>
          <w:i/>
          <w:iCs/>
          <w:color w:val="0071BC"/>
          <w:sz w:val="20"/>
          <w:szCs w:val="20"/>
          <w:lang w:val="en-GB"/>
        </w:rPr>
      </w:pPr>
      <w:r w:rsidRPr="00C74F61">
        <w:rPr>
          <w:rFonts w:ascii="Arial" w:eastAsia="Arial Unicode MS" w:hAnsi="Arial" w:cs="Arial"/>
          <w:b/>
          <w:bCs/>
          <w:i/>
          <w:iCs/>
          <w:color w:val="0071BC"/>
          <w:sz w:val="20"/>
          <w:szCs w:val="20"/>
          <w:lang w:val="en-GB"/>
        </w:rPr>
        <w:t>Notes on Tables</w:t>
      </w:r>
    </w:p>
    <w:p w14:paraId="11DFB8F9" w14:textId="77777777" w:rsidR="0010372B" w:rsidRPr="004A1119" w:rsidRDefault="0010372B" w:rsidP="0010372B">
      <w:pPr>
        <w:jc w:val="both"/>
        <w:rPr>
          <w:rFonts w:ascii="Arial" w:eastAsia="Arial Unicode MS" w:hAnsi="Arial" w:cs="Arial"/>
          <w:i/>
          <w:iCs/>
          <w:sz w:val="14"/>
          <w:szCs w:val="14"/>
          <w:lang w:val="en-GB"/>
        </w:rPr>
      </w:pPr>
    </w:p>
    <w:p w14:paraId="70885309" w14:textId="0526574F" w:rsidR="00481485" w:rsidRPr="00C74F61" w:rsidRDefault="007F102C" w:rsidP="00477733">
      <w:pPr>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A</w:t>
      </w:r>
      <w:r w:rsidR="0010372B" w:rsidRPr="00C74F61">
        <w:rPr>
          <w:rFonts w:ascii="Arial" w:eastAsia="Arial Unicode MS" w:hAnsi="Arial" w:cs="Arial"/>
          <w:i/>
          <w:iCs/>
          <w:sz w:val="18"/>
          <w:szCs w:val="18"/>
          <w:lang w:val="en-GB"/>
        </w:rPr>
        <w:t>ll data</w:t>
      </w:r>
      <w:r w:rsidRPr="00C74F61">
        <w:rPr>
          <w:rFonts w:ascii="Arial" w:eastAsia="Arial Unicode MS" w:hAnsi="Arial" w:cs="Arial"/>
          <w:i/>
          <w:iCs/>
          <w:sz w:val="18"/>
          <w:szCs w:val="18"/>
          <w:lang w:val="en-GB"/>
        </w:rPr>
        <w:t xml:space="preserve"> in Tab</w:t>
      </w:r>
      <w:r w:rsidR="009B775A">
        <w:rPr>
          <w:rFonts w:ascii="Arial" w:eastAsia="Arial Unicode MS" w:hAnsi="Arial" w:cs="Arial"/>
          <w:i/>
          <w:iCs/>
          <w:sz w:val="18"/>
          <w:szCs w:val="18"/>
          <w:lang w:val="en-GB"/>
        </w:rPr>
        <w:t>.</w:t>
      </w:r>
      <w:r w:rsidRPr="00C74F61">
        <w:rPr>
          <w:rFonts w:ascii="Arial" w:eastAsia="Arial Unicode MS" w:hAnsi="Arial" w:cs="Arial"/>
          <w:i/>
          <w:iCs/>
          <w:sz w:val="18"/>
          <w:szCs w:val="18"/>
          <w:lang w:val="en-GB"/>
        </w:rPr>
        <w:t xml:space="preserve"> </w:t>
      </w:r>
      <w:r w:rsidRPr="00477733">
        <w:rPr>
          <w:rFonts w:ascii="Arial" w:eastAsia="Arial Unicode MS" w:hAnsi="Arial" w:cs="Arial"/>
          <w:b/>
          <w:i/>
          <w:iCs/>
          <w:sz w:val="18"/>
          <w:szCs w:val="18"/>
          <w:lang w:val="en-GB"/>
        </w:rPr>
        <w:t>4.1</w:t>
      </w:r>
      <w:r w:rsidRPr="00C74F61">
        <w:rPr>
          <w:rFonts w:ascii="Arial" w:eastAsia="Arial Unicode MS" w:hAnsi="Arial" w:cs="Arial"/>
          <w:i/>
          <w:iCs/>
          <w:sz w:val="18"/>
          <w:szCs w:val="18"/>
          <w:lang w:val="en-GB"/>
        </w:rPr>
        <w:t xml:space="preserve"> to </w:t>
      </w:r>
      <w:r w:rsidRPr="00477733">
        <w:rPr>
          <w:rFonts w:ascii="Arial" w:eastAsia="Arial Unicode MS" w:hAnsi="Arial" w:cs="Arial"/>
          <w:b/>
          <w:i/>
          <w:iCs/>
          <w:sz w:val="18"/>
          <w:szCs w:val="18"/>
          <w:lang w:val="en-GB"/>
        </w:rPr>
        <w:t>4.21</w:t>
      </w:r>
      <w:r w:rsidR="0010372B" w:rsidRPr="00C74F61">
        <w:rPr>
          <w:rFonts w:ascii="Arial" w:eastAsia="Arial Unicode MS" w:hAnsi="Arial" w:cs="Arial"/>
          <w:i/>
          <w:iCs/>
          <w:sz w:val="18"/>
          <w:szCs w:val="18"/>
          <w:lang w:val="en-GB"/>
        </w:rPr>
        <w:t xml:space="preserve"> refer to citizens of the Czech Republic and foreigners with permanent residence in the Czech Republic, third-country nationals with temporary residence in the territory of the Czech Republic based on a long-term visa (over 90 days) or a long-term residence permit, nationals of the EU Member States, Norway, Switzerland, Iceland, Liechtenstein and their family members with notified temporary residence in the territory of the Czech Republic</w:t>
      </w:r>
      <w:r w:rsidR="00A359A6">
        <w:rPr>
          <w:rFonts w:ascii="Arial" w:eastAsia="Arial Unicode MS" w:hAnsi="Arial" w:cs="Arial"/>
          <w:i/>
          <w:iCs/>
          <w:sz w:val="18"/>
          <w:szCs w:val="18"/>
          <w:lang w:val="en-GB"/>
        </w:rPr>
        <w:t>,</w:t>
      </w:r>
      <w:r w:rsidR="0010372B" w:rsidRPr="00C74F61">
        <w:rPr>
          <w:rFonts w:ascii="Arial" w:eastAsia="Arial Unicode MS" w:hAnsi="Arial" w:cs="Arial"/>
          <w:i/>
          <w:iCs/>
          <w:sz w:val="18"/>
          <w:szCs w:val="18"/>
          <w:lang w:val="en-GB"/>
        </w:rPr>
        <w:t xml:space="preserve"> and foreigners with </w:t>
      </w:r>
      <w:r w:rsidR="00454E8B" w:rsidRPr="00C74F61">
        <w:rPr>
          <w:rFonts w:ascii="Arial" w:eastAsia="Arial Unicode MS" w:hAnsi="Arial" w:cs="Arial"/>
          <w:i/>
          <w:iCs/>
          <w:sz w:val="18"/>
          <w:szCs w:val="18"/>
          <w:lang w:val="en-GB"/>
        </w:rPr>
        <w:t xml:space="preserve">international protection granted </w:t>
      </w:r>
      <w:r w:rsidR="0010372B" w:rsidRPr="00C74F61">
        <w:rPr>
          <w:rFonts w:ascii="Arial" w:eastAsia="Arial Unicode MS" w:hAnsi="Arial" w:cs="Arial"/>
          <w:i/>
          <w:iCs/>
          <w:sz w:val="18"/>
          <w:szCs w:val="18"/>
          <w:lang w:val="en-GB"/>
        </w:rPr>
        <w:t>in the Czech Republic</w:t>
      </w:r>
      <w:r w:rsidRPr="00C74F61">
        <w:rPr>
          <w:rFonts w:ascii="Arial" w:eastAsia="Arial Unicode MS" w:hAnsi="Arial" w:cs="Arial"/>
          <w:i/>
          <w:iCs/>
          <w:sz w:val="18"/>
          <w:szCs w:val="18"/>
          <w:lang w:val="en-GB"/>
        </w:rPr>
        <w:t>.</w:t>
      </w:r>
      <w:r w:rsidR="00430968" w:rsidRPr="00C74F61">
        <w:rPr>
          <w:rFonts w:ascii="Arial" w:eastAsia="Arial Unicode MS" w:hAnsi="Arial" w:cs="Arial"/>
          <w:i/>
          <w:iCs/>
          <w:sz w:val="18"/>
          <w:szCs w:val="18"/>
          <w:lang w:val="en-GB"/>
        </w:rPr>
        <w:t xml:space="preserve"> </w:t>
      </w:r>
      <w:r w:rsidRPr="00477733">
        <w:rPr>
          <w:rFonts w:ascii="Arial" w:eastAsia="Arial Unicode MS" w:hAnsi="Arial" w:cs="Arial"/>
          <w:i/>
          <w:iCs/>
          <w:sz w:val="18"/>
          <w:szCs w:val="18"/>
          <w:lang w:val="en-GB"/>
        </w:rPr>
        <w:t>S</w:t>
      </w:r>
      <w:r w:rsidR="00430968" w:rsidRPr="00C74F61">
        <w:rPr>
          <w:rFonts w:ascii="Arial" w:eastAsia="Arial Unicode MS" w:hAnsi="Arial" w:cs="Arial"/>
          <w:i/>
          <w:iCs/>
          <w:sz w:val="18"/>
          <w:szCs w:val="18"/>
          <w:lang w:val="en-GB"/>
        </w:rPr>
        <w:t xml:space="preserve">ince 2022, </w:t>
      </w:r>
      <w:r w:rsidRPr="00477733">
        <w:rPr>
          <w:rFonts w:ascii="Arial" w:eastAsia="Arial Unicode MS" w:hAnsi="Arial" w:cs="Arial"/>
          <w:i/>
          <w:iCs/>
          <w:sz w:val="18"/>
          <w:szCs w:val="18"/>
          <w:lang w:val="en-GB"/>
        </w:rPr>
        <w:t>they also</w:t>
      </w:r>
      <w:r w:rsidR="00430968" w:rsidRPr="00C74F61">
        <w:rPr>
          <w:rFonts w:ascii="Arial" w:eastAsia="Arial Unicode MS" w:hAnsi="Arial" w:cs="Arial"/>
          <w:i/>
          <w:iCs/>
          <w:sz w:val="18"/>
          <w:szCs w:val="18"/>
          <w:lang w:val="en-GB"/>
        </w:rPr>
        <w:t xml:space="preserve"> refer to persons with temporary protection granted in the Czech Republic with usual residence in Czechia</w:t>
      </w:r>
      <w:r w:rsidR="00477733">
        <w:rPr>
          <w:rFonts w:ascii="Arial" w:eastAsia="Arial Unicode MS" w:hAnsi="Arial" w:cs="Arial"/>
          <w:i/>
          <w:iCs/>
          <w:sz w:val="18"/>
          <w:szCs w:val="18"/>
          <w:lang w:val="en-GB"/>
        </w:rPr>
        <w:t xml:space="preserve">. </w:t>
      </w:r>
      <w:r w:rsidR="00481485" w:rsidRPr="00C74F61">
        <w:rPr>
          <w:rFonts w:ascii="Arial" w:eastAsia="Arial Unicode MS" w:hAnsi="Arial" w:cs="Arial"/>
          <w:i/>
          <w:iCs/>
          <w:sz w:val="18"/>
          <w:szCs w:val="18"/>
          <w:lang w:val="en-GB"/>
        </w:rPr>
        <w:t>The data also include events (marriages, births, and deaths) of Czech citizens with the permanent residence in the Czech Republic that occurred abroad and were registered in the Czech Republic within a period that allowed their inclusion into the statistics.</w:t>
      </w:r>
    </w:p>
    <w:p w14:paraId="3E918AD8" w14:textId="77777777" w:rsidR="00481485" w:rsidRPr="004A1119" w:rsidRDefault="00481485" w:rsidP="0010372B">
      <w:pPr>
        <w:jc w:val="both"/>
        <w:rPr>
          <w:rFonts w:ascii="Arial" w:hAnsi="Arial" w:cs="Arial"/>
          <w:i/>
          <w:sz w:val="14"/>
          <w:szCs w:val="14"/>
          <w:lang w:val="en-GB"/>
        </w:rPr>
      </w:pPr>
    </w:p>
    <w:p w14:paraId="3F7D3C7F" w14:textId="77777777" w:rsidR="0010372B" w:rsidRPr="00C74F61" w:rsidRDefault="0010372B" w:rsidP="004A1119">
      <w:pPr>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Before 2001, data only referred to the population with permanent residence in the Czech Republic (irrespective of their citizenship). Since 2001, following the 2001 Population and Housing Census, the data have also newly included foreigners with a visa for stay over 90 days and foreigners with asylum status.</w:t>
      </w:r>
    </w:p>
    <w:p w14:paraId="410CE12D" w14:textId="1B5F3F1F"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In all tables, the age means a completed age, i.e. the age at the last birthday, with the exception of the Tab</w:t>
      </w:r>
      <w:r w:rsidR="00C05C1E" w:rsidRPr="00C74F61">
        <w:rPr>
          <w:rFonts w:ascii="Arial" w:eastAsia="Arial Unicode MS" w:hAnsi="Arial" w:cs="Arial"/>
          <w:i/>
          <w:iCs/>
          <w:sz w:val="18"/>
          <w:szCs w:val="18"/>
          <w:lang w:val="en-GB"/>
        </w:rPr>
        <w:t>.</w:t>
      </w:r>
      <w:r w:rsidRPr="00C74F61">
        <w:rPr>
          <w:rFonts w:ascii="Arial" w:eastAsia="Arial Unicode MS" w:hAnsi="Arial" w:cs="Arial"/>
          <w:i/>
          <w:iCs/>
          <w:sz w:val="18"/>
          <w:szCs w:val="18"/>
          <w:lang w:val="en-GB"/>
        </w:rPr>
        <w:t xml:space="preserve"> </w:t>
      </w:r>
      <w:r w:rsidRPr="00C74F61">
        <w:rPr>
          <w:rFonts w:ascii="Arial" w:eastAsia="Arial Unicode MS" w:hAnsi="Arial" w:cs="Arial"/>
          <w:b/>
          <w:i/>
          <w:iCs/>
          <w:sz w:val="18"/>
          <w:szCs w:val="18"/>
          <w:lang w:val="en-GB"/>
        </w:rPr>
        <w:t>4</w:t>
      </w:r>
      <w:r w:rsidR="00C05C1E" w:rsidRPr="00C74F61">
        <w:rPr>
          <w:rFonts w:ascii="Arial" w:eastAsia="Arial Unicode MS" w:hAnsi="Arial" w:cs="Arial"/>
          <w:b/>
          <w:i/>
          <w:iCs/>
          <w:sz w:val="18"/>
          <w:szCs w:val="18"/>
          <w:lang w:val="en-GB"/>
        </w:rPr>
        <w:t>.</w:t>
      </w:r>
      <w:r w:rsidRPr="00C74F61">
        <w:rPr>
          <w:rFonts w:ascii="Arial" w:eastAsia="Arial Unicode MS" w:hAnsi="Arial" w:cs="Arial"/>
          <w:b/>
          <w:i/>
          <w:iCs/>
          <w:sz w:val="18"/>
          <w:szCs w:val="18"/>
          <w:lang w:val="en-GB"/>
        </w:rPr>
        <w:t>19.</w:t>
      </w:r>
    </w:p>
    <w:p w14:paraId="262760F4"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4FBF2FCE"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7499D064" w14:textId="7E63AF42" w:rsidR="0010372B" w:rsidRPr="00C74F61" w:rsidRDefault="0010372B" w:rsidP="0010372B">
      <w:pPr>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Tab</w:t>
      </w:r>
      <w:r w:rsidR="00971DA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971DA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1 Vital statistics</w:t>
      </w:r>
    </w:p>
    <w:p w14:paraId="4BDC955F" w14:textId="77777777"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mid-year population</w:t>
      </w:r>
      <w:r w:rsidRPr="00C74F61">
        <w:rPr>
          <w:rFonts w:ascii="Arial" w:eastAsia="Arial Unicode MS" w:hAnsi="Arial" w:cs="Arial"/>
          <w:i/>
          <w:iCs/>
          <w:sz w:val="18"/>
          <w:szCs w:val="18"/>
          <w:lang w:val="en-GB"/>
        </w:rPr>
        <w:t xml:space="preserve"> is defined as the population as at 1 July of the reference year.</w:t>
      </w:r>
    </w:p>
    <w:p w14:paraId="685B3FE4" w14:textId="77777777"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natural change</w:t>
      </w:r>
      <w:r w:rsidRPr="00C74F61">
        <w:rPr>
          <w:rFonts w:ascii="Arial" w:eastAsia="Arial Unicode MS" w:hAnsi="Arial" w:cs="Arial"/>
          <w:i/>
          <w:iCs/>
          <w:sz w:val="18"/>
          <w:szCs w:val="18"/>
          <w:lang w:val="en-GB"/>
        </w:rPr>
        <w:t xml:space="preserve"> or natural population change is the number of live births minus the number of deaths.</w:t>
      </w:r>
    </w:p>
    <w:p w14:paraId="0FAEFAA1" w14:textId="77777777"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net migration</w:t>
      </w:r>
      <w:r w:rsidRPr="00C74F61">
        <w:rPr>
          <w:rFonts w:ascii="Arial" w:eastAsia="Arial Unicode MS" w:hAnsi="Arial" w:cs="Arial"/>
          <w:i/>
          <w:iCs/>
          <w:sz w:val="18"/>
          <w:szCs w:val="18"/>
          <w:lang w:val="en-GB"/>
        </w:rPr>
        <w:t xml:space="preserve"> is the difference between the number of immigrants and emigrants.</w:t>
      </w:r>
    </w:p>
    <w:p w14:paraId="46D19C13"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725D5778"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01F19D3E" w14:textId="02A5C2BB" w:rsidR="0010372B" w:rsidRPr="00C74F61" w:rsidRDefault="0010372B" w:rsidP="0010372B">
      <w:pPr>
        <w:jc w:val="both"/>
        <w:rPr>
          <w:rFonts w:ascii="Arial" w:eastAsia="Arial Unicode MS" w:hAnsi="Arial" w:cs="Arial"/>
          <w:bCs/>
          <w:i/>
          <w:iCs/>
          <w:sz w:val="20"/>
          <w:szCs w:val="20"/>
          <w:lang w:val="en-GB"/>
        </w:rPr>
      </w:pPr>
      <w:r w:rsidRPr="00C74F61">
        <w:rPr>
          <w:rFonts w:ascii="Arial" w:eastAsia="Arial Unicode MS" w:hAnsi="Arial" w:cs="Arial"/>
          <w:b/>
          <w:i/>
          <w:iCs/>
          <w:color w:val="0071BC"/>
          <w:sz w:val="20"/>
          <w:szCs w:val="20"/>
          <w:lang w:val="en-GB"/>
        </w:rPr>
        <w:t>Tab</w:t>
      </w:r>
      <w:r w:rsidR="00971DA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971DA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7 First marriages by age of groom and bride</w:t>
      </w:r>
    </w:p>
    <w:p w14:paraId="2D2A16BC" w14:textId="304B8F85"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total first marriage rate</w:t>
      </w:r>
      <w:r w:rsidRPr="00C74F61">
        <w:rPr>
          <w:rFonts w:ascii="Arial" w:eastAsia="Arial Unicode MS" w:hAnsi="Arial" w:cs="Arial"/>
          <w:i/>
          <w:iCs/>
          <w:sz w:val="18"/>
          <w:szCs w:val="18"/>
          <w:lang w:val="en-GB"/>
        </w:rPr>
        <w:t xml:space="preserve"> is the proportion of males/females (in %) who would enter into the first marriage before their 50th birthday provided that age-specific marriage, mortality, and migration rates of single population of a reference year remained  unchanged. It is the main output indicator of one-decrement nuptiality life tables. The mean age at first marriage is based on the distribution of marriage intensities by age.</w:t>
      </w:r>
    </w:p>
    <w:p w14:paraId="42B70184"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01C1FFEC"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0A83A17B" w14:textId="37EE15FC" w:rsidR="0010372B" w:rsidRPr="00F4062C" w:rsidRDefault="0010372B" w:rsidP="0010372B">
      <w:pPr>
        <w:jc w:val="both"/>
        <w:rPr>
          <w:rFonts w:ascii="Arial" w:eastAsia="Arial Unicode MS" w:hAnsi="Arial" w:cs="Arial"/>
          <w:bCs/>
          <w:i/>
          <w:iCs/>
          <w:sz w:val="20"/>
          <w:szCs w:val="20"/>
          <w:lang w:val="en-GB"/>
        </w:rPr>
      </w:pPr>
      <w:r w:rsidRPr="00F4062C">
        <w:rPr>
          <w:rFonts w:ascii="Arial" w:eastAsia="Arial Unicode MS" w:hAnsi="Arial" w:cs="Arial"/>
          <w:b/>
          <w:i/>
          <w:iCs/>
          <w:color w:val="0071BC"/>
          <w:sz w:val="20"/>
          <w:szCs w:val="20"/>
          <w:lang w:val="en-GB"/>
        </w:rPr>
        <w:t>T</w:t>
      </w:r>
      <w:r w:rsidR="004B418C" w:rsidRPr="00F4062C">
        <w:rPr>
          <w:rFonts w:ascii="Arial" w:eastAsia="Arial Unicode MS" w:hAnsi="Arial" w:cs="Arial"/>
          <w:b/>
          <w:i/>
          <w:iCs/>
          <w:color w:val="0071BC"/>
          <w:sz w:val="20"/>
          <w:szCs w:val="20"/>
          <w:lang w:val="en-GB"/>
        </w:rPr>
        <w:t>ab</w:t>
      </w:r>
      <w:r w:rsidR="00971DAD" w:rsidRPr="00F4062C">
        <w:rPr>
          <w:rFonts w:ascii="Arial" w:eastAsia="Arial Unicode MS" w:hAnsi="Arial" w:cs="Arial"/>
          <w:b/>
          <w:i/>
          <w:iCs/>
          <w:color w:val="0071BC"/>
          <w:sz w:val="20"/>
          <w:szCs w:val="20"/>
          <w:lang w:val="en-GB"/>
        </w:rPr>
        <w:t>.</w:t>
      </w:r>
      <w:r w:rsidR="004B418C" w:rsidRPr="00F4062C">
        <w:rPr>
          <w:rFonts w:ascii="Arial" w:eastAsia="Arial Unicode MS" w:hAnsi="Arial" w:cs="Arial"/>
          <w:b/>
          <w:i/>
          <w:iCs/>
          <w:color w:val="0071BC"/>
          <w:sz w:val="20"/>
          <w:szCs w:val="20"/>
          <w:lang w:val="en-GB"/>
        </w:rPr>
        <w:t xml:space="preserve"> 4</w:t>
      </w:r>
      <w:r w:rsidR="00971DAD" w:rsidRPr="00F4062C">
        <w:rPr>
          <w:rFonts w:ascii="Arial" w:eastAsia="Arial Unicode MS" w:hAnsi="Arial" w:cs="Arial"/>
          <w:b/>
          <w:i/>
          <w:iCs/>
          <w:color w:val="0071BC"/>
          <w:sz w:val="20"/>
          <w:szCs w:val="20"/>
          <w:lang w:val="en-GB"/>
        </w:rPr>
        <w:t>.</w:t>
      </w:r>
      <w:r w:rsidR="004B418C" w:rsidRPr="00F4062C">
        <w:rPr>
          <w:rFonts w:ascii="Arial" w:eastAsia="Arial Unicode MS" w:hAnsi="Arial" w:cs="Arial"/>
          <w:b/>
          <w:i/>
          <w:iCs/>
          <w:color w:val="0071BC"/>
          <w:sz w:val="20"/>
          <w:szCs w:val="20"/>
          <w:lang w:val="en-GB"/>
        </w:rPr>
        <w:t xml:space="preserve">11 </w:t>
      </w:r>
      <w:r w:rsidR="00971DAD" w:rsidRPr="00F4062C">
        <w:rPr>
          <w:rFonts w:ascii="Arial" w:eastAsia="Arial Unicode MS" w:hAnsi="Arial" w:cs="Arial"/>
          <w:b/>
          <w:i/>
          <w:iCs/>
          <w:color w:val="0071BC"/>
          <w:sz w:val="20"/>
          <w:szCs w:val="20"/>
          <w:lang w:val="en-GB"/>
        </w:rPr>
        <w:t xml:space="preserve">and </w:t>
      </w:r>
      <w:r w:rsidR="004B418C" w:rsidRPr="00F4062C">
        <w:rPr>
          <w:rFonts w:ascii="Arial" w:eastAsia="Arial Unicode MS" w:hAnsi="Arial" w:cs="Arial"/>
          <w:b/>
          <w:i/>
          <w:iCs/>
          <w:color w:val="0071BC"/>
          <w:sz w:val="20"/>
          <w:szCs w:val="20"/>
          <w:lang w:val="en-GB"/>
        </w:rPr>
        <w:t>4</w:t>
      </w:r>
      <w:r w:rsidR="00971DAD" w:rsidRPr="00F4062C">
        <w:rPr>
          <w:rFonts w:ascii="Arial" w:eastAsia="Arial Unicode MS" w:hAnsi="Arial" w:cs="Arial"/>
          <w:b/>
          <w:i/>
          <w:iCs/>
          <w:color w:val="0071BC"/>
          <w:sz w:val="20"/>
          <w:szCs w:val="20"/>
          <w:lang w:val="en-GB"/>
        </w:rPr>
        <w:t>.</w:t>
      </w:r>
      <w:r w:rsidR="004B418C" w:rsidRPr="00F4062C">
        <w:rPr>
          <w:rFonts w:ascii="Arial" w:eastAsia="Arial Unicode MS" w:hAnsi="Arial" w:cs="Arial"/>
          <w:b/>
          <w:i/>
          <w:iCs/>
          <w:color w:val="0071BC"/>
          <w:sz w:val="20"/>
          <w:szCs w:val="20"/>
          <w:lang w:val="en-GB"/>
        </w:rPr>
        <w:t>1</w:t>
      </w:r>
      <w:r w:rsidR="00971DAD" w:rsidRPr="00F4062C">
        <w:rPr>
          <w:rFonts w:ascii="Arial" w:eastAsia="Arial Unicode MS" w:hAnsi="Arial" w:cs="Arial"/>
          <w:b/>
          <w:i/>
          <w:iCs/>
          <w:color w:val="0071BC"/>
          <w:sz w:val="20"/>
          <w:szCs w:val="20"/>
          <w:lang w:val="en-GB"/>
        </w:rPr>
        <w:t>2</w:t>
      </w:r>
      <w:r w:rsidR="004B418C" w:rsidRPr="00F4062C">
        <w:rPr>
          <w:rFonts w:ascii="Arial" w:eastAsia="Arial Unicode MS" w:hAnsi="Arial" w:cs="Arial"/>
          <w:b/>
          <w:i/>
          <w:iCs/>
          <w:color w:val="0071BC"/>
          <w:sz w:val="20"/>
          <w:szCs w:val="20"/>
          <w:lang w:val="en-GB"/>
        </w:rPr>
        <w:t xml:space="preserve"> Births </w:t>
      </w:r>
    </w:p>
    <w:p w14:paraId="33E2EFAA" w14:textId="1481B1EC" w:rsidR="00F51C73" w:rsidRPr="00477733" w:rsidRDefault="00F51C73" w:rsidP="0010372B">
      <w:pPr>
        <w:spacing w:before="120"/>
        <w:jc w:val="both"/>
        <w:rPr>
          <w:rFonts w:ascii="Arial" w:eastAsia="Arial Unicode MS" w:hAnsi="Arial" w:cs="Arial"/>
          <w:i/>
          <w:iCs/>
          <w:sz w:val="18"/>
          <w:szCs w:val="18"/>
          <w:lang w:val="en-GB"/>
        </w:rPr>
      </w:pPr>
      <w:r w:rsidRPr="00477733">
        <w:rPr>
          <w:rFonts w:ascii="Arial" w:eastAsia="Arial Unicode MS" w:hAnsi="Arial" w:cs="Arial"/>
          <w:i/>
          <w:iCs/>
          <w:sz w:val="18"/>
          <w:szCs w:val="18"/>
          <w:lang w:val="en-GB"/>
        </w:rPr>
        <w:t>Data of the CZSO on numbers of live births and stillbirths are based on this kind of information stated in the report on birth</w:t>
      </w:r>
      <w:r w:rsidRPr="00F4062C">
        <w:rPr>
          <w:rFonts w:ascii="Arial" w:eastAsia="Arial Unicode MS" w:hAnsi="Arial" w:cs="Arial"/>
          <w:i/>
          <w:iCs/>
          <w:sz w:val="18"/>
          <w:szCs w:val="18"/>
          <w:lang w:val="en-GB"/>
        </w:rPr>
        <w:t xml:space="preserve"> and </w:t>
      </w:r>
      <w:r w:rsidR="00540D8F">
        <w:rPr>
          <w:rFonts w:ascii="Arial" w:eastAsia="Arial Unicode MS" w:hAnsi="Arial" w:cs="Arial"/>
          <w:i/>
          <w:iCs/>
          <w:sz w:val="18"/>
          <w:szCs w:val="18"/>
          <w:lang w:val="en-GB"/>
        </w:rPr>
        <w:t>are based on</w:t>
      </w:r>
      <w:r w:rsidRPr="00F4062C">
        <w:rPr>
          <w:rFonts w:ascii="Arial" w:eastAsia="Arial Unicode MS" w:hAnsi="Arial" w:cs="Arial"/>
          <w:i/>
          <w:iCs/>
          <w:sz w:val="18"/>
          <w:szCs w:val="18"/>
          <w:lang w:val="en-GB"/>
        </w:rPr>
        <w:t xml:space="preserve"> definitions valid for the given year (within the period that is presented in the publication, the definition for a live birth or a stillbirth changed as at 1 March 1988 and as at 1 April 2012).</w:t>
      </w:r>
      <w:r>
        <w:rPr>
          <w:rFonts w:ascii="Arial" w:eastAsia="Arial Unicode MS" w:hAnsi="Arial" w:cs="Arial"/>
          <w:i/>
          <w:iCs/>
          <w:sz w:val="18"/>
          <w:szCs w:val="18"/>
          <w:lang w:val="en-GB"/>
        </w:rPr>
        <w:t xml:space="preserve"> </w:t>
      </w:r>
    </w:p>
    <w:p w14:paraId="41436931" w14:textId="5A10A943"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4C3A462E" w14:textId="77777777" w:rsidR="000B4CFC" w:rsidRPr="004A1119" w:rsidRDefault="000B4CFC"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52275E0F" w14:textId="535C568B" w:rsidR="0010372B" w:rsidRPr="00C74F61" w:rsidRDefault="0010372B" w:rsidP="0010372B">
      <w:pPr>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Tab</w:t>
      </w:r>
      <w:r w:rsidR="009372A8"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9372A8"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1</w:t>
      </w:r>
      <w:r w:rsidR="009372A8" w:rsidRPr="00C74F61">
        <w:rPr>
          <w:rFonts w:ascii="Arial" w:eastAsia="Arial Unicode MS" w:hAnsi="Arial" w:cs="Arial"/>
          <w:b/>
          <w:i/>
          <w:iCs/>
          <w:color w:val="0071BC"/>
          <w:sz w:val="20"/>
          <w:szCs w:val="20"/>
          <w:lang w:val="en-GB"/>
        </w:rPr>
        <w:t>3</w:t>
      </w:r>
      <w:r w:rsidRPr="00C74F61">
        <w:rPr>
          <w:rFonts w:ascii="Arial" w:eastAsia="Arial Unicode MS" w:hAnsi="Arial" w:cs="Arial"/>
          <w:b/>
          <w:i/>
          <w:iCs/>
          <w:color w:val="0071BC"/>
          <w:sz w:val="20"/>
          <w:szCs w:val="20"/>
          <w:lang w:val="en-GB"/>
        </w:rPr>
        <w:t xml:space="preserve"> Fertility rates</w:t>
      </w:r>
    </w:p>
    <w:p w14:paraId="4B503672" w14:textId="578C247A"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age-specific </w:t>
      </w:r>
      <w:r w:rsidRPr="00C74F61">
        <w:rPr>
          <w:rFonts w:ascii="Arial" w:eastAsia="Arial Unicode MS" w:hAnsi="Arial" w:cs="Arial"/>
          <w:b/>
          <w:i/>
          <w:iCs/>
          <w:sz w:val="18"/>
          <w:szCs w:val="18"/>
          <w:lang w:val="en-GB"/>
        </w:rPr>
        <w:t>fertility rate</w:t>
      </w:r>
      <w:r w:rsidRPr="00C74F61">
        <w:rPr>
          <w:rFonts w:ascii="Arial" w:eastAsia="Arial Unicode MS" w:hAnsi="Arial" w:cs="Arial"/>
          <w:i/>
          <w:iCs/>
          <w:sz w:val="18"/>
          <w:szCs w:val="18"/>
          <w:lang w:val="en-GB"/>
        </w:rPr>
        <w:t xml:space="preserve"> shows the number of live births to women in a particular age group per 1</w:t>
      </w:r>
      <w:r w:rsidR="0048295A" w:rsidRPr="00C74F61">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000 mid-year population of women in that age group.</w:t>
      </w:r>
    </w:p>
    <w:p w14:paraId="5F459AD0" w14:textId="77777777"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total fertility rate</w:t>
      </w:r>
      <w:r w:rsidRPr="00C74F61">
        <w:rPr>
          <w:rFonts w:ascii="Arial" w:eastAsia="Arial Unicode MS" w:hAnsi="Arial" w:cs="Arial"/>
          <w:i/>
          <w:iCs/>
          <w:sz w:val="18"/>
          <w:szCs w:val="18"/>
          <w:lang w:val="en-GB"/>
        </w:rPr>
        <w:t xml:space="preserve"> (the sum of age-specific fertility rates) expresses the mean number of children that would be born alive to a woman provided that age-specific fertility rates recorded in a reference calendar year remained unchanged during her childbearing period (age 15–49 years). The mean age of women at childbirth is based on the distribution of age-specific fertility rates.</w:t>
      </w:r>
    </w:p>
    <w:p w14:paraId="57F6C43F" w14:textId="77777777" w:rsidR="0010372B" w:rsidRPr="004A1119" w:rsidRDefault="0010372B" w:rsidP="004A1119">
      <w:pPr>
        <w:jc w:val="both"/>
        <w:rPr>
          <w:rFonts w:ascii="Arial" w:hAnsi="Arial" w:cs="Arial"/>
          <w:bCs/>
          <w:sz w:val="14"/>
          <w:szCs w:val="14"/>
          <w:lang w:val="en-GB"/>
        </w:rPr>
      </w:pPr>
    </w:p>
    <w:p w14:paraId="30D37FA0" w14:textId="77777777" w:rsidR="0010372B" w:rsidRPr="004A1119" w:rsidRDefault="0010372B" w:rsidP="004A1119">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4"/>
          <w:szCs w:val="14"/>
          <w:lang w:val="en-GB"/>
        </w:rPr>
      </w:pPr>
    </w:p>
    <w:p w14:paraId="3CD3F5B1" w14:textId="6718D033" w:rsidR="0010372B" w:rsidRPr="00C06B45" w:rsidRDefault="0010372B" w:rsidP="0010372B">
      <w:pPr>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Tab</w:t>
      </w:r>
      <w:r w:rsidR="009372A8"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9372A8"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1</w:t>
      </w:r>
      <w:r w:rsidR="009372A8" w:rsidRPr="00C74F61">
        <w:rPr>
          <w:rFonts w:ascii="Arial" w:eastAsia="Arial Unicode MS" w:hAnsi="Arial" w:cs="Arial"/>
          <w:b/>
          <w:i/>
          <w:iCs/>
          <w:color w:val="0071BC"/>
          <w:sz w:val="20"/>
          <w:szCs w:val="20"/>
          <w:lang w:val="en-GB"/>
        </w:rPr>
        <w:t>5</w:t>
      </w:r>
      <w:r w:rsidRPr="00C74F61">
        <w:rPr>
          <w:rFonts w:ascii="Arial" w:eastAsia="Arial Unicode MS" w:hAnsi="Arial" w:cs="Arial"/>
          <w:b/>
          <w:i/>
          <w:iCs/>
          <w:color w:val="0071BC"/>
          <w:sz w:val="20"/>
          <w:szCs w:val="20"/>
          <w:lang w:val="en-GB"/>
        </w:rPr>
        <w:t xml:space="preserve"> and 4</w:t>
      </w:r>
      <w:r w:rsidR="009372A8"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1</w:t>
      </w:r>
      <w:r w:rsidR="009372A8" w:rsidRPr="00C74F61">
        <w:rPr>
          <w:rFonts w:ascii="Arial" w:eastAsia="Arial Unicode MS" w:hAnsi="Arial" w:cs="Arial"/>
          <w:b/>
          <w:i/>
          <w:iCs/>
          <w:color w:val="0071BC"/>
          <w:sz w:val="20"/>
          <w:szCs w:val="20"/>
          <w:lang w:val="en-GB"/>
        </w:rPr>
        <w:t>6</w:t>
      </w:r>
      <w:r w:rsidRPr="00C74F61">
        <w:rPr>
          <w:rFonts w:ascii="Arial" w:eastAsia="Arial Unicode MS" w:hAnsi="Arial" w:cs="Arial"/>
          <w:b/>
          <w:i/>
          <w:iCs/>
          <w:color w:val="0071BC"/>
          <w:sz w:val="20"/>
          <w:szCs w:val="20"/>
          <w:lang w:val="en-GB"/>
        </w:rPr>
        <w:t xml:space="preserve"> Deaths by cause of death</w:t>
      </w:r>
    </w:p>
    <w:p w14:paraId="2A85559A" w14:textId="6D631745" w:rsidR="0010372B" w:rsidRPr="00C06B45" w:rsidRDefault="009E38DA" w:rsidP="0010372B">
      <w:pPr>
        <w:spacing w:before="120"/>
        <w:jc w:val="both"/>
        <w:rPr>
          <w:rFonts w:ascii="Arial" w:eastAsia="Arial Unicode MS" w:hAnsi="Arial" w:cs="Arial"/>
          <w:i/>
          <w:iCs/>
          <w:sz w:val="18"/>
          <w:szCs w:val="18"/>
          <w:lang w:val="en-GB"/>
        </w:rPr>
      </w:pPr>
      <w:r w:rsidRPr="00477733">
        <w:rPr>
          <w:rFonts w:ascii="Arial" w:eastAsia="Arial Unicode MS" w:hAnsi="Arial" w:cs="Arial"/>
          <w:i/>
          <w:iCs/>
          <w:sz w:val="18"/>
          <w:szCs w:val="18"/>
          <w:lang w:val="en-GB"/>
        </w:rPr>
        <w:t>The</w:t>
      </w:r>
      <w:r w:rsidR="00E44897" w:rsidRPr="00477733">
        <w:rPr>
          <w:rFonts w:ascii="Arial" w:eastAsia="Arial Unicode MS" w:hAnsi="Arial" w:cs="Arial"/>
          <w:i/>
          <w:iCs/>
          <w:sz w:val="18"/>
          <w:szCs w:val="18"/>
          <w:lang w:val="en-GB"/>
        </w:rPr>
        <w:t xml:space="preserve"> cause of </w:t>
      </w:r>
      <w:r w:rsidR="00C768A7">
        <w:rPr>
          <w:rFonts w:ascii="Arial" w:eastAsia="Arial Unicode MS" w:hAnsi="Arial" w:cs="Arial"/>
          <w:i/>
          <w:iCs/>
          <w:sz w:val="18"/>
          <w:szCs w:val="18"/>
          <w:lang w:val="en-GB"/>
        </w:rPr>
        <w:t>death refer</w:t>
      </w:r>
      <w:r w:rsidR="00E44897" w:rsidRPr="00477733">
        <w:rPr>
          <w:rFonts w:ascii="Arial" w:eastAsia="Arial Unicode MS" w:hAnsi="Arial" w:cs="Arial"/>
          <w:i/>
          <w:iCs/>
          <w:sz w:val="18"/>
          <w:szCs w:val="18"/>
          <w:lang w:val="en-GB"/>
        </w:rPr>
        <w:t xml:space="preserve">s to an </w:t>
      </w:r>
      <w:r w:rsidR="00E44897" w:rsidRPr="006D63A7">
        <w:rPr>
          <w:rFonts w:ascii="Arial" w:eastAsia="Arial Unicode MS" w:hAnsi="Arial" w:cs="Arial"/>
          <w:i/>
          <w:iCs/>
          <w:sz w:val="18"/>
          <w:szCs w:val="18"/>
          <w:lang w:val="en-GB"/>
        </w:rPr>
        <w:t>underlying</w:t>
      </w:r>
      <w:r w:rsidR="00E44897" w:rsidRPr="006F7F9A">
        <w:rPr>
          <w:rFonts w:ascii="Arial" w:eastAsia="Arial Unicode MS" w:hAnsi="Arial" w:cs="Arial"/>
          <w:i/>
          <w:iCs/>
          <w:sz w:val="18"/>
          <w:szCs w:val="18"/>
          <w:lang w:val="en-GB"/>
        </w:rPr>
        <w:t xml:space="preserve"> cause of death, which is defined as (a) the disease or injury which initiated the train of morbid events leading directly to death, or the (b) circumstances of the accident or violence which produced the fatal injury. </w:t>
      </w:r>
      <w:r w:rsidR="0010372B" w:rsidRPr="006F7F9A">
        <w:rPr>
          <w:rFonts w:ascii="Arial" w:eastAsia="Arial Unicode MS" w:hAnsi="Arial" w:cs="Arial"/>
          <w:i/>
          <w:iCs/>
          <w:sz w:val="18"/>
          <w:szCs w:val="18"/>
          <w:lang w:val="en-GB"/>
        </w:rPr>
        <w:t xml:space="preserve">Causes of death have been coded according to the 10th revision of the International Statistical Classification of Diseases and </w:t>
      </w:r>
      <w:r w:rsidR="0010372B" w:rsidRPr="006F7F9A">
        <w:rPr>
          <w:rFonts w:ascii="Arial" w:eastAsia="Arial Unicode MS" w:hAnsi="Arial" w:cs="Arial"/>
          <w:i/>
          <w:iCs/>
          <w:sz w:val="18"/>
          <w:szCs w:val="18"/>
          <w:lang w:val="en-GB"/>
        </w:rPr>
        <w:lastRenderedPageBreak/>
        <w:t xml:space="preserve">Related Health Problems (ICD-10) and its updates issued by the World Health Organization (WHO). The ICD-10 is used in the </w:t>
      </w:r>
      <w:r w:rsidR="00220081" w:rsidRPr="006F7F9A">
        <w:rPr>
          <w:rFonts w:ascii="Arial" w:eastAsia="Arial Unicode MS" w:hAnsi="Arial" w:cs="Arial"/>
          <w:i/>
          <w:iCs/>
          <w:sz w:val="18"/>
          <w:szCs w:val="18"/>
          <w:lang w:val="en-GB"/>
        </w:rPr>
        <w:t xml:space="preserve">Czech Republic </w:t>
      </w:r>
      <w:r w:rsidR="0010372B" w:rsidRPr="006F7F9A">
        <w:rPr>
          <w:rFonts w:ascii="Arial" w:eastAsia="Arial Unicode MS" w:hAnsi="Arial" w:cs="Arial"/>
          <w:i/>
          <w:iCs/>
          <w:sz w:val="18"/>
          <w:szCs w:val="18"/>
          <w:lang w:val="en-GB"/>
        </w:rPr>
        <w:t xml:space="preserve">since data for the year 1994. </w:t>
      </w:r>
    </w:p>
    <w:p w14:paraId="5831C7AA"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08C5B2FB"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23700214" w14:textId="01798AA8" w:rsidR="0010372B" w:rsidRPr="00C74F61" w:rsidRDefault="0010372B" w:rsidP="0010372B">
      <w:pPr>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Tab</w:t>
      </w:r>
      <w:r w:rsidR="00D1504E"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D1504E"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1</w:t>
      </w:r>
      <w:r w:rsidR="00D1504E" w:rsidRPr="00C74F61">
        <w:rPr>
          <w:rFonts w:ascii="Arial" w:eastAsia="Arial Unicode MS" w:hAnsi="Arial" w:cs="Arial"/>
          <w:b/>
          <w:i/>
          <w:iCs/>
          <w:color w:val="0071BC"/>
          <w:sz w:val="20"/>
          <w:szCs w:val="20"/>
          <w:lang w:val="en-GB"/>
        </w:rPr>
        <w:t>7</w:t>
      </w:r>
      <w:r w:rsidRPr="00C74F61">
        <w:rPr>
          <w:rFonts w:ascii="Arial" w:eastAsia="Arial Unicode MS" w:hAnsi="Arial" w:cs="Arial"/>
          <w:b/>
          <w:i/>
          <w:iCs/>
          <w:color w:val="0071BC"/>
          <w:sz w:val="20"/>
          <w:szCs w:val="20"/>
          <w:lang w:val="en-GB"/>
        </w:rPr>
        <w:t xml:space="preserve"> Stillbirth rate and mortality rates of children under 1 year of age</w:t>
      </w:r>
    </w:p>
    <w:p w14:paraId="1B0C8A44" w14:textId="77777777"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b/>
          <w:i/>
          <w:iCs/>
          <w:sz w:val="18"/>
          <w:szCs w:val="18"/>
          <w:lang w:val="en-GB"/>
        </w:rPr>
        <w:t>Perinatal deaths</w:t>
      </w:r>
      <w:r w:rsidRPr="00C74F61">
        <w:rPr>
          <w:rFonts w:ascii="Arial" w:eastAsia="Arial Unicode MS" w:hAnsi="Arial" w:cs="Arial"/>
          <w:i/>
          <w:iCs/>
          <w:sz w:val="18"/>
          <w:szCs w:val="18"/>
          <w:lang w:val="en-GB"/>
        </w:rPr>
        <w:t xml:space="preserve"> include stillbirths and early neonatal deaths (i.e. deaths under 7 days).</w:t>
      </w:r>
    </w:p>
    <w:p w14:paraId="4B2113BE" w14:textId="250D48EE"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early neonatal mortality rate</w:t>
      </w:r>
      <w:r w:rsidRPr="00C74F61">
        <w:rPr>
          <w:rFonts w:ascii="Arial" w:eastAsia="Arial Unicode MS" w:hAnsi="Arial" w:cs="Arial"/>
          <w:i/>
          <w:iCs/>
          <w:sz w:val="18"/>
          <w:szCs w:val="18"/>
          <w:lang w:val="en-GB"/>
        </w:rPr>
        <w:t xml:space="preserve"> shows the number of deaths of infants aged under 7 days per 1</w:t>
      </w:r>
      <w:r w:rsidR="0048295A" w:rsidRPr="00C74F61">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000 live births.</w:t>
      </w:r>
    </w:p>
    <w:p w14:paraId="4EFF2CF9" w14:textId="48FD84A6"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neonatal mortality rate</w:t>
      </w:r>
      <w:r w:rsidRPr="00C74F61">
        <w:rPr>
          <w:rFonts w:ascii="Arial" w:eastAsia="Arial Unicode MS" w:hAnsi="Arial" w:cs="Arial"/>
          <w:i/>
          <w:iCs/>
          <w:sz w:val="18"/>
          <w:szCs w:val="18"/>
          <w:lang w:val="en-GB"/>
        </w:rPr>
        <w:t xml:space="preserve"> shows the number of deaths of infants aged under 28 days per 1</w:t>
      </w:r>
      <w:r w:rsidR="0048295A" w:rsidRPr="00C74F61">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000 live births.</w:t>
      </w:r>
    </w:p>
    <w:p w14:paraId="2E6D3B34" w14:textId="0905BA8C"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postneonatal mortality rate</w:t>
      </w:r>
      <w:r w:rsidRPr="00C74F61">
        <w:rPr>
          <w:rFonts w:ascii="Arial" w:eastAsia="Arial Unicode MS" w:hAnsi="Arial" w:cs="Arial"/>
          <w:i/>
          <w:iCs/>
          <w:sz w:val="18"/>
          <w:szCs w:val="18"/>
          <w:lang w:val="en-GB"/>
        </w:rPr>
        <w:t xml:space="preserve"> shows the number of deaths of infants aged between 28 days and 1 year per 1</w:t>
      </w:r>
      <w:r w:rsidR="0048295A" w:rsidRPr="00C74F61">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000 live births.</w:t>
      </w:r>
    </w:p>
    <w:p w14:paraId="2F84FF33" w14:textId="098E10DA"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infant mortality rate</w:t>
      </w:r>
      <w:r w:rsidRPr="00C74F61">
        <w:rPr>
          <w:rFonts w:ascii="Arial" w:eastAsia="Arial Unicode MS" w:hAnsi="Arial" w:cs="Arial"/>
          <w:i/>
          <w:iCs/>
          <w:sz w:val="18"/>
          <w:szCs w:val="18"/>
          <w:lang w:val="en-GB"/>
        </w:rPr>
        <w:t xml:space="preserve"> shows the number of deaths of infants aged under 1 year per 1</w:t>
      </w:r>
      <w:r w:rsidR="0048295A" w:rsidRPr="00C74F61">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000 live births.</w:t>
      </w:r>
    </w:p>
    <w:p w14:paraId="1C3F220B" w14:textId="206C38D5"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stillbirth rate</w:t>
      </w:r>
      <w:r w:rsidRPr="00C74F61">
        <w:rPr>
          <w:rFonts w:ascii="Arial" w:eastAsia="Arial Unicode MS" w:hAnsi="Arial" w:cs="Arial"/>
          <w:i/>
          <w:iCs/>
          <w:sz w:val="18"/>
          <w:szCs w:val="18"/>
          <w:lang w:val="en-GB"/>
        </w:rPr>
        <w:t xml:space="preserve"> is the number of stillbirths per 1</w:t>
      </w:r>
      <w:r w:rsidR="0048295A" w:rsidRPr="00C74F61">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000 births.</w:t>
      </w:r>
    </w:p>
    <w:p w14:paraId="3D09C3A8" w14:textId="3FD01712"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perinatal mortality rate</w:t>
      </w:r>
      <w:r w:rsidRPr="00C74F61">
        <w:rPr>
          <w:rFonts w:ascii="Arial" w:eastAsia="Arial Unicode MS" w:hAnsi="Arial" w:cs="Arial"/>
          <w:i/>
          <w:iCs/>
          <w:sz w:val="18"/>
          <w:szCs w:val="18"/>
          <w:lang w:val="en-GB"/>
        </w:rPr>
        <w:t xml:space="preserve"> shows the number of stillbirths and deaths of infants aged under 7 days per 1</w:t>
      </w:r>
      <w:r w:rsidR="0048295A" w:rsidRPr="00C74F61">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000 births.</w:t>
      </w:r>
    </w:p>
    <w:p w14:paraId="3AA3DEB2"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3BA32443"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7CB2F0C2" w14:textId="61C56B04" w:rsidR="0010372B" w:rsidRPr="00C74F61" w:rsidRDefault="0010372B" w:rsidP="0010372B">
      <w:pPr>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Tab</w:t>
      </w:r>
      <w:r w:rsidR="00FA5927"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FA5927"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1</w:t>
      </w:r>
      <w:r w:rsidR="00FA5927" w:rsidRPr="00C74F61">
        <w:rPr>
          <w:rFonts w:ascii="Arial" w:eastAsia="Arial Unicode MS" w:hAnsi="Arial" w:cs="Arial"/>
          <w:b/>
          <w:i/>
          <w:iCs/>
          <w:color w:val="0071BC"/>
          <w:sz w:val="20"/>
          <w:szCs w:val="20"/>
          <w:lang w:val="en-GB"/>
        </w:rPr>
        <w:t>8</w:t>
      </w:r>
      <w:r w:rsidRPr="00C74F61">
        <w:rPr>
          <w:rFonts w:ascii="Arial" w:eastAsia="Arial Unicode MS" w:hAnsi="Arial" w:cs="Arial"/>
          <w:b/>
          <w:i/>
          <w:iCs/>
          <w:color w:val="0071BC"/>
          <w:sz w:val="20"/>
          <w:szCs w:val="20"/>
          <w:lang w:val="en-GB"/>
        </w:rPr>
        <w:t xml:space="preserve"> Life expectancy by age and sex</w:t>
      </w:r>
    </w:p>
    <w:p w14:paraId="77CB3B2F" w14:textId="483AAB57"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life expectancy</w:t>
      </w:r>
      <w:r w:rsidRPr="00C74F61">
        <w:rPr>
          <w:rFonts w:ascii="Arial" w:eastAsia="Arial Unicode MS" w:hAnsi="Arial" w:cs="Arial"/>
          <w:i/>
          <w:iCs/>
          <w:sz w:val="18"/>
          <w:szCs w:val="18"/>
          <w:lang w:val="en-GB"/>
        </w:rPr>
        <w:t xml:space="preserve"> shows the average number of years an x-year-old individual can expect to live, given the mortality conditions of the reference period. It is a main indicator of life tables</w:t>
      </w:r>
      <w:r w:rsidR="009F585B" w:rsidRPr="00C74F61">
        <w:rPr>
          <w:rFonts w:ascii="Arial" w:eastAsia="Arial Unicode MS" w:hAnsi="Arial" w:cs="Arial"/>
          <w:i/>
          <w:iCs/>
          <w:sz w:val="18"/>
          <w:szCs w:val="18"/>
          <w:lang w:val="en-GB"/>
        </w:rPr>
        <w:t xml:space="preserve"> (also called mortality tables)</w:t>
      </w:r>
      <w:r w:rsidRPr="00C74F61">
        <w:rPr>
          <w:rFonts w:ascii="Arial" w:eastAsia="Arial Unicode MS" w:hAnsi="Arial" w:cs="Arial"/>
          <w:i/>
          <w:iCs/>
          <w:sz w:val="18"/>
          <w:szCs w:val="18"/>
          <w:lang w:val="en-GB"/>
        </w:rPr>
        <w:t xml:space="preserve"> reflecting mortality conditions in a given year.</w:t>
      </w:r>
    </w:p>
    <w:p w14:paraId="4AAA6BE4"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06F9E060"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3B216E7C" w14:textId="70E9F9D1" w:rsidR="0010372B" w:rsidRPr="00C74F61" w:rsidRDefault="0010372B" w:rsidP="0010372B">
      <w:pPr>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Tab</w:t>
      </w:r>
      <w:r w:rsidR="00A72E24"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A72E24" w:rsidRPr="00C74F61">
        <w:rPr>
          <w:rFonts w:ascii="Arial" w:eastAsia="Arial Unicode MS" w:hAnsi="Arial" w:cs="Arial"/>
          <w:b/>
          <w:i/>
          <w:iCs/>
          <w:color w:val="0071BC"/>
          <w:sz w:val="20"/>
          <w:szCs w:val="20"/>
          <w:lang w:val="en-GB"/>
        </w:rPr>
        <w:t>.19</w:t>
      </w:r>
      <w:r w:rsidRPr="00C74F61">
        <w:rPr>
          <w:rFonts w:ascii="Arial" w:eastAsia="Arial Unicode MS" w:hAnsi="Arial" w:cs="Arial"/>
          <w:b/>
          <w:i/>
          <w:iCs/>
          <w:color w:val="0071BC"/>
          <w:sz w:val="20"/>
          <w:szCs w:val="20"/>
          <w:lang w:val="en-GB"/>
        </w:rPr>
        <w:t xml:space="preserve"> Internal migration by type of migration and age of the migrant</w:t>
      </w:r>
    </w:p>
    <w:p w14:paraId="0C9859F3" w14:textId="74A40007"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internal migration</w:t>
      </w:r>
      <w:r w:rsidRPr="00C74F61">
        <w:rPr>
          <w:rFonts w:ascii="Arial" w:eastAsia="Arial Unicode MS" w:hAnsi="Arial" w:cs="Arial"/>
          <w:i/>
          <w:iCs/>
          <w:sz w:val="18"/>
          <w:szCs w:val="18"/>
          <w:lang w:val="en-GB"/>
        </w:rPr>
        <w:t xml:space="preserve"> refers to a change of the municipality of permanent residence, as for foreigners, also</w:t>
      </w:r>
      <w:r w:rsidR="0096286D" w:rsidRPr="00477733">
        <w:rPr>
          <w:rFonts w:ascii="Arial" w:eastAsia="Arial Unicode MS" w:hAnsi="Arial" w:cs="Arial"/>
          <w:i/>
          <w:iCs/>
          <w:sz w:val="18"/>
          <w:szCs w:val="18"/>
          <w:lang w:val="en-GB"/>
        </w:rPr>
        <w:t xml:space="preserve"> of</w:t>
      </w:r>
      <w:r w:rsidRPr="00C74F61">
        <w:rPr>
          <w:rFonts w:ascii="Arial" w:eastAsia="Arial Unicode MS" w:hAnsi="Arial" w:cs="Arial"/>
          <w:i/>
          <w:iCs/>
          <w:sz w:val="18"/>
          <w:szCs w:val="18"/>
          <w:lang w:val="en-GB"/>
        </w:rPr>
        <w:t xml:space="preserve"> </w:t>
      </w:r>
      <w:r w:rsidRPr="00C74F61">
        <w:rPr>
          <w:rFonts w:ascii="Arial" w:eastAsia="Arial Unicode MS" w:hAnsi="Arial" w:cs="Arial"/>
          <w:i/>
          <w:iCs/>
          <w:sz w:val="18"/>
          <w:szCs w:val="18"/>
          <w:lang w:val="en-GB"/>
        </w:rPr>
        <w:br/>
        <w:t>other types of residence exceeding 90 days, within the territory of the Czech Republic. All data reflect the territorial breakdown of the Czech Republic valid as at 1</w:t>
      </w:r>
      <w:r w:rsidR="0005736A">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January of the year data refer to.</w:t>
      </w:r>
    </w:p>
    <w:p w14:paraId="4BBF7D05"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0C2BF612"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0D8BCE6F" w14:textId="31AE75F9" w:rsidR="0010372B" w:rsidRPr="00C74F61" w:rsidRDefault="0010372B" w:rsidP="0010372B">
      <w:pPr>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Tab</w:t>
      </w:r>
      <w:r w:rsidR="0096286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96286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2</w:t>
      </w:r>
      <w:r w:rsidR="0096286D" w:rsidRPr="00C74F61">
        <w:rPr>
          <w:rFonts w:ascii="Arial" w:eastAsia="Arial Unicode MS" w:hAnsi="Arial" w:cs="Arial"/>
          <w:b/>
          <w:i/>
          <w:iCs/>
          <w:color w:val="0071BC"/>
          <w:sz w:val="20"/>
          <w:szCs w:val="20"/>
          <w:lang w:val="en-GB"/>
        </w:rPr>
        <w:t>0</w:t>
      </w:r>
      <w:r w:rsidRPr="00C74F61">
        <w:rPr>
          <w:rFonts w:ascii="Arial" w:eastAsia="Arial Unicode MS" w:hAnsi="Arial" w:cs="Arial"/>
          <w:b/>
          <w:i/>
          <w:iCs/>
          <w:color w:val="0071BC"/>
          <w:sz w:val="20"/>
          <w:szCs w:val="20"/>
          <w:lang w:val="en-GB"/>
        </w:rPr>
        <w:t xml:space="preserve"> and 4-2</w:t>
      </w:r>
      <w:r w:rsidR="0096286D" w:rsidRPr="00C74F61">
        <w:rPr>
          <w:rFonts w:ascii="Arial" w:eastAsia="Arial Unicode MS" w:hAnsi="Arial" w:cs="Arial"/>
          <w:b/>
          <w:i/>
          <w:iCs/>
          <w:color w:val="0071BC"/>
          <w:sz w:val="20"/>
          <w:szCs w:val="20"/>
          <w:lang w:val="en-GB"/>
        </w:rPr>
        <w:t>1</w:t>
      </w:r>
      <w:r w:rsidRPr="00C74F61">
        <w:rPr>
          <w:rFonts w:ascii="Arial" w:eastAsia="Arial Unicode MS" w:hAnsi="Arial" w:cs="Arial"/>
          <w:b/>
          <w:i/>
          <w:iCs/>
          <w:color w:val="0071BC"/>
          <w:sz w:val="20"/>
          <w:szCs w:val="20"/>
          <w:lang w:val="en-GB"/>
        </w:rPr>
        <w:t xml:space="preserve"> International migration</w:t>
      </w:r>
    </w:p>
    <w:p w14:paraId="477B2D26" w14:textId="03BB0465"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The </w:t>
      </w:r>
      <w:r w:rsidRPr="00C74F61">
        <w:rPr>
          <w:rFonts w:ascii="Arial" w:eastAsia="Arial Unicode MS" w:hAnsi="Arial" w:cs="Arial"/>
          <w:b/>
          <w:i/>
          <w:iCs/>
          <w:sz w:val="18"/>
          <w:szCs w:val="18"/>
          <w:lang w:val="en-GB"/>
        </w:rPr>
        <w:t>international migration</w:t>
      </w:r>
      <w:r w:rsidRPr="00C74F61">
        <w:rPr>
          <w:rFonts w:ascii="Arial" w:eastAsia="Arial Unicode MS" w:hAnsi="Arial" w:cs="Arial"/>
          <w:i/>
          <w:iCs/>
          <w:sz w:val="18"/>
          <w:szCs w:val="18"/>
          <w:lang w:val="en-GB"/>
        </w:rPr>
        <w:t xml:space="preserve"> refers to a change of the country of permanent residence; as for foreigners, also of other types of residence exceeding 90 days.</w:t>
      </w:r>
      <w:r w:rsidR="00430968" w:rsidRPr="00C74F61">
        <w:rPr>
          <w:rFonts w:ascii="Arial" w:eastAsia="Arial Unicode MS" w:hAnsi="Arial" w:cs="Arial"/>
          <w:i/>
          <w:iCs/>
          <w:sz w:val="18"/>
          <w:szCs w:val="18"/>
          <w:lang w:val="en-GB"/>
        </w:rPr>
        <w:t xml:space="preserve"> The table shows 45 countries with the highest number of immigrants during the last year.</w:t>
      </w:r>
    </w:p>
    <w:p w14:paraId="5B7FE6D1"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54C6BBDD"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12"/>
          <w:szCs w:val="12"/>
          <w:lang w:val="en-GB"/>
        </w:rPr>
      </w:pPr>
    </w:p>
    <w:p w14:paraId="6721E240" w14:textId="6DC3673E" w:rsidR="0010372B" w:rsidRPr="00C74F61" w:rsidRDefault="0010372B" w:rsidP="0010372B">
      <w:pPr>
        <w:jc w:val="both"/>
        <w:rPr>
          <w:rFonts w:ascii="Arial" w:eastAsia="Arial Unicode MS" w:hAnsi="Arial" w:cs="Arial"/>
          <w:b/>
          <w:i/>
          <w:iCs/>
          <w:color w:val="0071BC"/>
          <w:sz w:val="20"/>
          <w:szCs w:val="20"/>
          <w:lang w:val="en-GB"/>
        </w:rPr>
      </w:pPr>
      <w:r w:rsidRPr="00C74F61">
        <w:rPr>
          <w:rFonts w:ascii="Arial" w:eastAsia="Arial Unicode MS" w:hAnsi="Arial" w:cs="Arial"/>
          <w:b/>
          <w:i/>
          <w:iCs/>
          <w:color w:val="0071BC"/>
          <w:sz w:val="20"/>
          <w:szCs w:val="20"/>
          <w:lang w:val="en-GB"/>
        </w:rPr>
        <w:t>Tab</w:t>
      </w:r>
      <w:r w:rsidR="0096286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 xml:space="preserve"> 4</w:t>
      </w:r>
      <w:r w:rsidR="0096286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2</w:t>
      </w:r>
      <w:r w:rsidR="0096286D" w:rsidRPr="00C74F61">
        <w:rPr>
          <w:rFonts w:ascii="Arial" w:eastAsia="Arial Unicode MS" w:hAnsi="Arial" w:cs="Arial"/>
          <w:b/>
          <w:i/>
          <w:iCs/>
          <w:color w:val="0071BC"/>
          <w:sz w:val="20"/>
          <w:szCs w:val="20"/>
          <w:lang w:val="en-GB"/>
        </w:rPr>
        <w:t>2</w:t>
      </w:r>
      <w:r w:rsidRPr="00C74F61">
        <w:rPr>
          <w:rFonts w:ascii="Arial" w:eastAsia="Arial Unicode MS" w:hAnsi="Arial" w:cs="Arial"/>
          <w:b/>
          <w:i/>
          <w:iCs/>
          <w:color w:val="0071BC"/>
          <w:sz w:val="20"/>
          <w:szCs w:val="20"/>
          <w:lang w:val="en-GB"/>
        </w:rPr>
        <w:t xml:space="preserve"> </w:t>
      </w:r>
      <w:r w:rsidR="0096286D" w:rsidRPr="00C74F61">
        <w:rPr>
          <w:rFonts w:ascii="Arial" w:eastAsia="Arial Unicode MS" w:hAnsi="Arial" w:cs="Arial"/>
          <w:b/>
          <w:i/>
          <w:iCs/>
          <w:color w:val="0071BC"/>
          <w:sz w:val="20"/>
          <w:szCs w:val="20"/>
          <w:lang w:val="en-GB"/>
        </w:rPr>
        <w:t xml:space="preserve">to </w:t>
      </w:r>
      <w:r w:rsidRPr="00C74F61">
        <w:rPr>
          <w:rFonts w:ascii="Arial" w:eastAsia="Arial Unicode MS" w:hAnsi="Arial" w:cs="Arial"/>
          <w:b/>
          <w:i/>
          <w:iCs/>
          <w:color w:val="0071BC"/>
          <w:sz w:val="20"/>
          <w:szCs w:val="20"/>
          <w:lang w:val="en-GB"/>
        </w:rPr>
        <w:t>4</w:t>
      </w:r>
      <w:r w:rsidR="0096286D" w:rsidRPr="00C74F61">
        <w:rPr>
          <w:rFonts w:ascii="Arial" w:eastAsia="Arial Unicode MS" w:hAnsi="Arial" w:cs="Arial"/>
          <w:b/>
          <w:i/>
          <w:iCs/>
          <w:color w:val="0071BC"/>
          <w:sz w:val="20"/>
          <w:szCs w:val="20"/>
          <w:lang w:val="en-GB"/>
        </w:rPr>
        <w:t>.</w:t>
      </w:r>
      <w:r w:rsidRPr="00C74F61">
        <w:rPr>
          <w:rFonts w:ascii="Arial" w:eastAsia="Arial Unicode MS" w:hAnsi="Arial" w:cs="Arial"/>
          <w:b/>
          <w:i/>
          <w:iCs/>
          <w:color w:val="0071BC"/>
          <w:sz w:val="20"/>
          <w:szCs w:val="20"/>
          <w:lang w:val="en-GB"/>
        </w:rPr>
        <w:t>24 Foreigners in the Czech Republic</w:t>
      </w:r>
    </w:p>
    <w:p w14:paraId="19F1B0B5" w14:textId="0B35F803"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Pursuant to the Act No 326/1999 Sb, on the Residence of Foreigners in the Territory of the Czech Republic and amending certain acts, such a person is deemed a foreigner, who lacks Czech citizenship, including a national of the EU. The acquisition and loss of citizenship of the Czech Republic is governed by the Act No 186/2013 Sb, on Citizenship of the Czech Republic. The act became effective on 1</w:t>
      </w:r>
      <w:r w:rsidR="0005736A">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January 2014. Besides other changes brought by the act, it allows e.g. dual or multiple citizenship. On 6</w:t>
      </w:r>
      <w:r w:rsidR="0096286D" w:rsidRPr="00C74F61">
        <w:rPr>
          <w:rFonts w:ascii="Arial" w:eastAsia="Arial Unicode MS" w:hAnsi="Arial" w:cs="Arial"/>
          <w:i/>
          <w:iCs/>
          <w:sz w:val="18"/>
          <w:szCs w:val="18"/>
          <w:lang w:val="en-GB"/>
        </w:rPr>
        <w:t> </w:t>
      </w:r>
      <w:r w:rsidRPr="00C74F61">
        <w:rPr>
          <w:rFonts w:ascii="Arial" w:eastAsia="Arial Unicode MS" w:hAnsi="Arial" w:cs="Arial"/>
          <w:i/>
          <w:iCs/>
          <w:sz w:val="18"/>
          <w:szCs w:val="18"/>
          <w:lang w:val="en-GB"/>
        </w:rPr>
        <w:t>September 2019, an amendment of the Act on Citizenship of the Czech Republic came into force pursuant to which it is newly possible for children and grandchildren of former Czechoslovak and Czech citizens to acquire citizenship of the Czech Republic by declaration.</w:t>
      </w:r>
    </w:p>
    <w:p w14:paraId="6814C21B" w14:textId="77777777"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The entry to the territory of the Czech Republic, residence in it, and departure from it fall within the competence of the Police of the CR, the Ministry of the Interior, and the Ministry of Foreign Affairs. Foreigners may reside in the territory of the Czech Republic temporarily or permanently. The tables contain the following categories of foreigners:</w:t>
      </w:r>
    </w:p>
    <w:p w14:paraId="7F67620B" w14:textId="0F6F9913" w:rsidR="0010372B" w:rsidRPr="00C74F61" w:rsidRDefault="0010372B" w:rsidP="0010372B">
      <w:pPr>
        <w:spacing w:before="120"/>
        <w:ind w:left="170" w:hanging="17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xml:space="preserve">– nationals of the EU Member States, Norway, Switzerland, Iceland, and Liechtenstein </w:t>
      </w:r>
      <w:r w:rsidR="00127FE0" w:rsidRPr="00C74F61">
        <w:rPr>
          <w:rFonts w:ascii="Arial" w:eastAsia="Arial Unicode MS" w:hAnsi="Arial" w:cs="Arial"/>
          <w:i/>
          <w:iCs/>
          <w:sz w:val="18"/>
          <w:szCs w:val="18"/>
          <w:lang w:val="en-GB"/>
        </w:rPr>
        <w:t xml:space="preserve">and </w:t>
      </w:r>
      <w:r w:rsidRPr="00C74F61">
        <w:rPr>
          <w:rFonts w:ascii="Arial" w:eastAsia="Arial Unicode MS" w:hAnsi="Arial" w:cs="Arial"/>
          <w:i/>
          <w:iCs/>
          <w:sz w:val="18"/>
          <w:szCs w:val="18"/>
          <w:lang w:val="en-GB"/>
        </w:rPr>
        <w:t>their family members with permanent residence</w:t>
      </w:r>
      <w:r w:rsidR="00127FE0" w:rsidRPr="00C74F61">
        <w:rPr>
          <w:rFonts w:ascii="Arial" w:eastAsia="Arial Unicode MS" w:hAnsi="Arial" w:cs="Arial"/>
          <w:i/>
          <w:iCs/>
          <w:sz w:val="18"/>
          <w:szCs w:val="18"/>
          <w:lang w:val="en-GB"/>
        </w:rPr>
        <w:t xml:space="preserve"> or </w:t>
      </w:r>
      <w:r w:rsidR="004E3910" w:rsidRPr="00C74F61">
        <w:rPr>
          <w:rFonts w:ascii="Arial" w:eastAsia="Arial Unicode MS" w:hAnsi="Arial" w:cs="Arial"/>
          <w:i/>
          <w:iCs/>
          <w:sz w:val="18"/>
          <w:szCs w:val="18"/>
          <w:lang w:val="en-GB"/>
        </w:rPr>
        <w:t>notified</w:t>
      </w:r>
      <w:r w:rsidR="00127FE0" w:rsidRPr="00C74F61">
        <w:rPr>
          <w:rFonts w:ascii="Arial" w:eastAsia="Arial Unicode MS" w:hAnsi="Arial" w:cs="Arial"/>
          <w:i/>
          <w:iCs/>
          <w:sz w:val="18"/>
          <w:szCs w:val="18"/>
          <w:lang w:val="en-GB"/>
        </w:rPr>
        <w:t xml:space="preserve"> temporary residence</w:t>
      </w:r>
      <w:r w:rsidRPr="00C74F61">
        <w:rPr>
          <w:rFonts w:ascii="Arial" w:eastAsia="Arial Unicode MS" w:hAnsi="Arial" w:cs="Arial"/>
          <w:i/>
          <w:iCs/>
          <w:sz w:val="18"/>
          <w:szCs w:val="18"/>
          <w:lang w:val="en-GB"/>
        </w:rPr>
        <w:t>;</w:t>
      </w:r>
    </w:p>
    <w:p w14:paraId="0FB7D18B" w14:textId="566EFA37" w:rsidR="000A25FA" w:rsidRPr="00C74F61" w:rsidRDefault="000A25FA" w:rsidP="0010372B">
      <w:pPr>
        <w:spacing w:before="120"/>
        <w:ind w:left="170" w:hanging="17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third-country nationals with a permanent residence permit or a long-term residence permit;</w:t>
      </w:r>
    </w:p>
    <w:p w14:paraId="3C2930D7" w14:textId="0997A78B" w:rsidR="0010372B"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third-country nationals residing in the Czech Republic based on a long-term visa (over 90 days);</w:t>
      </w:r>
    </w:p>
    <w:p w14:paraId="4635A62E" w14:textId="1FB63810" w:rsidR="0009697F" w:rsidRPr="00477733" w:rsidRDefault="0009697F" w:rsidP="0010372B">
      <w:pPr>
        <w:spacing w:before="120"/>
        <w:jc w:val="both"/>
        <w:rPr>
          <w:rFonts w:ascii="Arial" w:hAnsi="Arial" w:cs="Arial"/>
          <w:i/>
          <w:sz w:val="18"/>
          <w:szCs w:val="18"/>
          <w:lang w:val="en-GB"/>
        </w:rPr>
      </w:pPr>
      <w:r w:rsidRPr="00C74F61">
        <w:rPr>
          <w:rFonts w:ascii="Arial" w:eastAsia="Arial Unicode MS" w:hAnsi="Arial" w:cs="Arial"/>
          <w:i/>
          <w:iCs/>
          <w:sz w:val="18"/>
          <w:szCs w:val="18"/>
          <w:lang w:val="en-GB"/>
        </w:rPr>
        <w:t>–</w:t>
      </w:r>
      <w:r w:rsidRPr="00C74F61">
        <w:rPr>
          <w:rFonts w:ascii="Arial" w:hAnsi="Arial" w:cs="Arial"/>
          <w:i/>
          <w:sz w:val="18"/>
          <w:szCs w:val="18"/>
          <w:lang w:val="en-GB"/>
        </w:rPr>
        <w:t xml:space="preserve"> third-country nationals staying in the territory under temporary protection;</w:t>
      </w:r>
    </w:p>
    <w:p w14:paraId="6D0B3764" w14:textId="07099D45" w:rsidR="0009697F" w:rsidRPr="00C74F61" w:rsidRDefault="0010372B" w:rsidP="0010372B">
      <w:pPr>
        <w:spacing w:before="120"/>
        <w:jc w:val="both"/>
        <w:rPr>
          <w:rFonts w:ascii="Arial" w:eastAsia="Arial Unicode MS" w:hAnsi="Arial" w:cs="Arial"/>
          <w:i/>
          <w:iCs/>
          <w:sz w:val="18"/>
          <w:szCs w:val="18"/>
          <w:lang w:val="en-GB"/>
        </w:rPr>
      </w:pPr>
      <w:r w:rsidRPr="00C74F61">
        <w:rPr>
          <w:rFonts w:ascii="Arial" w:eastAsia="Arial Unicode MS" w:hAnsi="Arial" w:cs="Arial"/>
          <w:i/>
          <w:iCs/>
          <w:sz w:val="18"/>
          <w:szCs w:val="18"/>
          <w:lang w:val="en-GB"/>
        </w:rPr>
        <w:t>– foreigners with</w:t>
      </w:r>
      <w:r w:rsidR="003F6F9A" w:rsidRPr="00C74F61">
        <w:rPr>
          <w:rFonts w:ascii="Arial" w:eastAsia="Arial Unicode MS" w:hAnsi="Arial" w:cs="Arial"/>
          <w:i/>
          <w:iCs/>
          <w:sz w:val="18"/>
          <w:szCs w:val="18"/>
          <w:lang w:val="en-GB"/>
        </w:rPr>
        <w:t xml:space="preserve"> international protection granted</w:t>
      </w:r>
      <w:r w:rsidRPr="00C74F61">
        <w:rPr>
          <w:rFonts w:ascii="Arial" w:eastAsia="Arial Unicode MS" w:hAnsi="Arial" w:cs="Arial"/>
          <w:i/>
          <w:iCs/>
          <w:sz w:val="18"/>
          <w:szCs w:val="18"/>
          <w:lang w:val="en-GB"/>
        </w:rPr>
        <w:t xml:space="preserve"> </w:t>
      </w:r>
      <w:r w:rsidR="003F6F9A" w:rsidRPr="00C74F61">
        <w:rPr>
          <w:rFonts w:ascii="Arial" w:eastAsia="Arial Unicode MS" w:hAnsi="Arial" w:cs="Arial"/>
          <w:i/>
          <w:iCs/>
          <w:sz w:val="18"/>
          <w:szCs w:val="18"/>
          <w:lang w:val="en-GB"/>
        </w:rPr>
        <w:t xml:space="preserve">(i.e. </w:t>
      </w:r>
      <w:r w:rsidR="00DF3854">
        <w:rPr>
          <w:rFonts w:ascii="Arial" w:eastAsia="Arial Unicode MS" w:hAnsi="Arial" w:cs="Arial"/>
          <w:i/>
          <w:iCs/>
          <w:sz w:val="18"/>
          <w:szCs w:val="18"/>
          <w:lang w:val="en-GB"/>
        </w:rPr>
        <w:t xml:space="preserve">with </w:t>
      </w:r>
      <w:r w:rsidRPr="00C74F61">
        <w:rPr>
          <w:rFonts w:ascii="Arial" w:eastAsia="Arial Unicode MS" w:hAnsi="Arial" w:cs="Arial"/>
          <w:i/>
          <w:iCs/>
          <w:sz w:val="18"/>
          <w:szCs w:val="18"/>
          <w:lang w:val="en-GB"/>
        </w:rPr>
        <w:t>asylum status</w:t>
      </w:r>
      <w:r w:rsidR="00454E8B" w:rsidRPr="00C74F61">
        <w:rPr>
          <w:rFonts w:ascii="Arial" w:eastAsia="Arial Unicode MS" w:hAnsi="Arial" w:cs="Arial"/>
          <w:i/>
          <w:iCs/>
          <w:sz w:val="18"/>
          <w:szCs w:val="18"/>
          <w:lang w:val="en-GB"/>
        </w:rPr>
        <w:t xml:space="preserve"> </w:t>
      </w:r>
      <w:r w:rsidR="003F6F9A" w:rsidRPr="00C74F61">
        <w:rPr>
          <w:rFonts w:ascii="Arial" w:eastAsia="Arial Unicode MS" w:hAnsi="Arial" w:cs="Arial"/>
          <w:i/>
          <w:iCs/>
          <w:sz w:val="18"/>
          <w:szCs w:val="18"/>
          <w:lang w:val="en-GB"/>
        </w:rPr>
        <w:t xml:space="preserve">or </w:t>
      </w:r>
      <w:r w:rsidR="00454E8B" w:rsidRPr="00C74F61">
        <w:rPr>
          <w:rFonts w:ascii="Arial" w:eastAsia="Arial Unicode MS" w:hAnsi="Arial" w:cs="Arial"/>
          <w:i/>
          <w:iCs/>
          <w:sz w:val="18"/>
          <w:szCs w:val="18"/>
          <w:lang w:val="en-GB"/>
        </w:rPr>
        <w:t>subsidiary protection</w:t>
      </w:r>
      <w:r w:rsidR="003F6F9A" w:rsidRPr="00C74F61">
        <w:rPr>
          <w:rFonts w:ascii="Arial" w:eastAsia="Arial Unicode MS" w:hAnsi="Arial" w:cs="Arial"/>
          <w:i/>
          <w:iCs/>
          <w:sz w:val="18"/>
          <w:szCs w:val="18"/>
          <w:lang w:val="en-GB"/>
        </w:rPr>
        <w:t xml:space="preserve"> granted)</w:t>
      </w:r>
      <w:r w:rsidR="0009697F" w:rsidRPr="00C74F61">
        <w:rPr>
          <w:rFonts w:ascii="Arial" w:eastAsia="Arial Unicode MS" w:hAnsi="Arial" w:cs="Arial"/>
          <w:i/>
          <w:iCs/>
          <w:sz w:val="18"/>
          <w:szCs w:val="18"/>
          <w:lang w:val="en-GB"/>
        </w:rPr>
        <w:t>.</w:t>
      </w:r>
    </w:p>
    <w:p w14:paraId="34A43ED3" w14:textId="1FE4B382" w:rsidR="00475ED8" w:rsidRPr="00C74F61" w:rsidRDefault="0005356B" w:rsidP="0010372B">
      <w:pPr>
        <w:spacing w:before="120"/>
        <w:jc w:val="both"/>
        <w:rPr>
          <w:rFonts w:ascii="Arial" w:eastAsia="Arial Unicode MS" w:hAnsi="Arial" w:cs="Arial"/>
          <w:i/>
          <w:iCs/>
          <w:sz w:val="18"/>
          <w:szCs w:val="18"/>
          <w:lang w:val="en-GB"/>
        </w:rPr>
      </w:pPr>
      <w:r w:rsidRPr="00477733">
        <w:rPr>
          <w:rFonts w:ascii="Arial" w:eastAsia="Arial Unicode MS" w:hAnsi="Arial" w:cs="Arial"/>
          <w:i/>
          <w:iCs/>
          <w:sz w:val="18"/>
          <w:szCs w:val="18"/>
          <w:lang w:val="en-GB"/>
        </w:rPr>
        <w:t xml:space="preserve">Data on citizenship include data on the relevant dependent territories. </w:t>
      </w:r>
    </w:p>
    <w:p w14:paraId="439CEED0"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2"/>
          <w:szCs w:val="12"/>
          <w:lang w:val="en-GB"/>
        </w:rPr>
      </w:pPr>
    </w:p>
    <w:p w14:paraId="76826718"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2"/>
          <w:szCs w:val="12"/>
          <w:lang w:val="en-GB"/>
        </w:rPr>
      </w:pPr>
    </w:p>
    <w:p w14:paraId="03B9F324" w14:textId="77777777" w:rsidR="0010372B" w:rsidRPr="00C74F61" w:rsidRDefault="0010372B" w:rsidP="0010372B">
      <w:pPr>
        <w:jc w:val="center"/>
        <w:rPr>
          <w:rFonts w:ascii="Arial" w:hAnsi="Arial" w:cs="Arial"/>
          <w:i/>
          <w:iCs/>
          <w:color w:val="0071BC"/>
          <w:sz w:val="20"/>
          <w:szCs w:val="20"/>
          <w:lang w:val="en-GB"/>
        </w:rPr>
      </w:pPr>
      <w:r w:rsidRPr="00C74F61">
        <w:rPr>
          <w:rFonts w:ascii="Arial" w:hAnsi="Arial" w:cs="Arial"/>
          <w:i/>
          <w:iCs/>
          <w:color w:val="0071BC"/>
          <w:sz w:val="20"/>
          <w:szCs w:val="20"/>
          <w:lang w:val="en-GB"/>
        </w:rPr>
        <w:t>*          *          *</w:t>
      </w:r>
    </w:p>
    <w:p w14:paraId="0FB16374"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2"/>
          <w:szCs w:val="12"/>
          <w:lang w:val="en-GB"/>
        </w:rPr>
      </w:pPr>
    </w:p>
    <w:p w14:paraId="23411589" w14:textId="77777777" w:rsidR="0010372B" w:rsidRPr="004A1119" w:rsidRDefault="0010372B" w:rsidP="0010372B">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Arial" w:hAnsi="Arial" w:cs="Arial"/>
          <w:bCs/>
          <w:sz w:val="12"/>
          <w:szCs w:val="12"/>
          <w:lang w:val="en-GB"/>
        </w:rPr>
      </w:pPr>
    </w:p>
    <w:p w14:paraId="12E3EBAF" w14:textId="77777777" w:rsidR="0010372B" w:rsidRPr="00C74F61" w:rsidRDefault="0010372B" w:rsidP="0010372B">
      <w:pPr>
        <w:rPr>
          <w:rFonts w:ascii="Arial" w:eastAsia="Arial Unicode MS" w:hAnsi="Arial" w:cs="Arial"/>
          <w:i/>
          <w:iCs/>
          <w:sz w:val="18"/>
          <w:szCs w:val="18"/>
          <w:lang w:val="en-GB"/>
        </w:rPr>
      </w:pPr>
      <w:r w:rsidRPr="00C74F61">
        <w:rPr>
          <w:rFonts w:ascii="Arial" w:eastAsia="Arial Unicode MS" w:hAnsi="Arial" w:cs="Arial"/>
          <w:i/>
          <w:iCs/>
          <w:sz w:val="18"/>
          <w:szCs w:val="18"/>
          <w:lang w:val="en-GB"/>
        </w:rPr>
        <w:t>Further information can be found on the website of the Czech Statistical Office at:</w:t>
      </w:r>
    </w:p>
    <w:p w14:paraId="4CD553EB" w14:textId="2BD7E4E9" w:rsidR="0010372B" w:rsidRPr="00C74F61" w:rsidRDefault="007F58B9" w:rsidP="0010372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ascii="Arial" w:hAnsi="Arial" w:cs="Arial"/>
          <w:sz w:val="18"/>
          <w:szCs w:val="18"/>
          <w:lang w:val="en-GB"/>
        </w:rPr>
      </w:pPr>
      <w:r w:rsidRPr="00C74F61">
        <w:rPr>
          <w:rFonts w:ascii="Arial" w:hAnsi="Arial" w:cs="Arial"/>
          <w:sz w:val="18"/>
          <w:szCs w:val="18"/>
          <w:lang w:val="en-GB"/>
        </w:rPr>
        <w:t>– </w:t>
      </w:r>
      <w:hyperlink r:id="rId6" w:history="1">
        <w:r w:rsidRPr="00C74F61">
          <w:rPr>
            <w:rStyle w:val="Hypertextovodkaz"/>
            <w:rFonts w:ascii="Arial" w:hAnsi="Arial" w:cs="Arial"/>
            <w:color w:val="0070C0"/>
            <w:sz w:val="18"/>
            <w:szCs w:val="18"/>
            <w:lang w:val="en-GB"/>
          </w:rPr>
          <w:t>www.csu.gov.cz/population</w:t>
        </w:r>
      </w:hyperlink>
    </w:p>
    <w:p w14:paraId="2F0132D1" w14:textId="22B37D9C" w:rsidR="0010372B" w:rsidRPr="00C74F61" w:rsidRDefault="0010372B" w:rsidP="0010372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ascii="Arial" w:hAnsi="Arial" w:cs="Arial"/>
          <w:sz w:val="18"/>
          <w:szCs w:val="18"/>
          <w:lang w:val="en-GB"/>
        </w:rPr>
      </w:pPr>
      <w:r w:rsidRPr="00C74F61">
        <w:rPr>
          <w:rFonts w:ascii="Arial" w:hAnsi="Arial" w:cs="Arial"/>
          <w:sz w:val="18"/>
          <w:szCs w:val="18"/>
          <w:lang w:val="en-GB"/>
        </w:rPr>
        <w:t>–</w:t>
      </w:r>
      <w:r w:rsidR="007F58B9" w:rsidRPr="00C74F61">
        <w:rPr>
          <w:rFonts w:ascii="Arial" w:hAnsi="Arial" w:cs="Arial"/>
          <w:sz w:val="18"/>
          <w:szCs w:val="18"/>
          <w:lang w:val="en-GB"/>
        </w:rPr>
        <w:t> </w:t>
      </w:r>
      <w:hyperlink r:id="rId7" w:history="1">
        <w:r w:rsidR="007F58B9" w:rsidRPr="00C74F61">
          <w:rPr>
            <w:rStyle w:val="Hypertextovodkaz"/>
            <w:rFonts w:ascii="Arial" w:hAnsi="Arial" w:cs="Arial"/>
            <w:color w:val="0070C0"/>
            <w:sz w:val="18"/>
            <w:szCs w:val="18"/>
            <w:lang w:val="en-GB"/>
          </w:rPr>
          <w:t>www.csu.gov.cz/foreigners</w:t>
        </w:r>
      </w:hyperlink>
    </w:p>
    <w:p w14:paraId="5C074A99" w14:textId="77777777" w:rsidR="0010372B" w:rsidRPr="00C74F61" w:rsidRDefault="0010372B" w:rsidP="0010372B">
      <w:pPr>
        <w:spacing w:before="120"/>
        <w:rPr>
          <w:rFonts w:ascii="Arial" w:eastAsia="Arial Unicode MS" w:hAnsi="Arial" w:cs="Arial"/>
          <w:i/>
          <w:iCs/>
          <w:sz w:val="18"/>
          <w:szCs w:val="18"/>
          <w:lang w:val="en-GB"/>
        </w:rPr>
      </w:pPr>
      <w:r w:rsidRPr="00C74F61">
        <w:rPr>
          <w:rFonts w:ascii="Arial" w:eastAsia="Arial Unicode MS" w:hAnsi="Arial" w:cs="Arial"/>
          <w:i/>
          <w:iCs/>
          <w:sz w:val="18"/>
          <w:szCs w:val="18"/>
          <w:lang w:val="en-GB"/>
        </w:rPr>
        <w:t>or on the website of the Institute of Health Information and Statistics of the CR at:</w:t>
      </w:r>
    </w:p>
    <w:p w14:paraId="01A33A59" w14:textId="19418F63" w:rsidR="00C762B5" w:rsidRPr="00C06B45" w:rsidRDefault="0010372B" w:rsidP="0010372B">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rFonts w:ascii="Arial" w:hAnsi="Arial" w:cs="Arial"/>
          <w:color w:val="0000FF"/>
          <w:lang w:val="en-GB"/>
        </w:rPr>
      </w:pPr>
      <w:r w:rsidRPr="00C74F61">
        <w:rPr>
          <w:rFonts w:ascii="Arial" w:hAnsi="Arial" w:cs="Arial"/>
          <w:sz w:val="18"/>
          <w:szCs w:val="18"/>
          <w:lang w:val="en-GB"/>
        </w:rPr>
        <w:t>–</w:t>
      </w:r>
      <w:r w:rsidR="007F58B9" w:rsidRPr="00C74F61">
        <w:rPr>
          <w:rFonts w:ascii="Arial" w:hAnsi="Arial" w:cs="Arial"/>
          <w:sz w:val="18"/>
          <w:szCs w:val="18"/>
          <w:lang w:val="en-GB"/>
        </w:rPr>
        <w:t> </w:t>
      </w:r>
      <w:hyperlink r:id="rId8" w:history="1">
        <w:r w:rsidRPr="00C74F61">
          <w:rPr>
            <w:rStyle w:val="Hypertextovodkaz"/>
            <w:rFonts w:ascii="Arial" w:hAnsi="Arial" w:cs="Arial"/>
            <w:color w:val="0070C0"/>
            <w:sz w:val="18"/>
            <w:szCs w:val="18"/>
            <w:lang w:val="en-GB"/>
          </w:rPr>
          <w:t>www.uzis.cz/en</w:t>
        </w:r>
      </w:hyperlink>
    </w:p>
    <w:sectPr w:rsidR="00C762B5" w:rsidRPr="00C06B45" w:rsidSect="00800A7F">
      <w:pgSz w:w="11906" w:h="16838"/>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3C4441"/>
    <w:multiLevelType w:val="hybridMultilevel"/>
    <w:tmpl w:val="67F49080"/>
    <w:lvl w:ilvl="0" w:tplc="6C3EE8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16cid:durableId="513303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29"/>
    <w:rsid w:val="00000973"/>
    <w:rsid w:val="0000632A"/>
    <w:rsid w:val="00006F29"/>
    <w:rsid w:val="00007606"/>
    <w:rsid w:val="00007BD9"/>
    <w:rsid w:val="00007CE4"/>
    <w:rsid w:val="00011D96"/>
    <w:rsid w:val="00012BA7"/>
    <w:rsid w:val="000158AA"/>
    <w:rsid w:val="0001670B"/>
    <w:rsid w:val="00020EA2"/>
    <w:rsid w:val="00021A1C"/>
    <w:rsid w:val="000258CC"/>
    <w:rsid w:val="00026870"/>
    <w:rsid w:val="00032F15"/>
    <w:rsid w:val="00033E75"/>
    <w:rsid w:val="00034FEC"/>
    <w:rsid w:val="0004021E"/>
    <w:rsid w:val="00040C8E"/>
    <w:rsid w:val="00040DF1"/>
    <w:rsid w:val="0004386D"/>
    <w:rsid w:val="00044008"/>
    <w:rsid w:val="000440DE"/>
    <w:rsid w:val="00052CE9"/>
    <w:rsid w:val="0005356B"/>
    <w:rsid w:val="00056795"/>
    <w:rsid w:val="00056DE1"/>
    <w:rsid w:val="0005736A"/>
    <w:rsid w:val="00060799"/>
    <w:rsid w:val="00062DD6"/>
    <w:rsid w:val="0006418D"/>
    <w:rsid w:val="00065AD8"/>
    <w:rsid w:val="00067455"/>
    <w:rsid w:val="0007333E"/>
    <w:rsid w:val="0007498F"/>
    <w:rsid w:val="0007662A"/>
    <w:rsid w:val="00082714"/>
    <w:rsid w:val="000839BC"/>
    <w:rsid w:val="00084DEC"/>
    <w:rsid w:val="00093230"/>
    <w:rsid w:val="00093A7B"/>
    <w:rsid w:val="0009476F"/>
    <w:rsid w:val="00095D4D"/>
    <w:rsid w:val="0009697F"/>
    <w:rsid w:val="00097A47"/>
    <w:rsid w:val="000A0CDB"/>
    <w:rsid w:val="000A25FA"/>
    <w:rsid w:val="000A3B67"/>
    <w:rsid w:val="000A7A85"/>
    <w:rsid w:val="000B05EE"/>
    <w:rsid w:val="000B0DE2"/>
    <w:rsid w:val="000B3DAF"/>
    <w:rsid w:val="000B4BBD"/>
    <w:rsid w:val="000B4CFC"/>
    <w:rsid w:val="000B55D9"/>
    <w:rsid w:val="000C104B"/>
    <w:rsid w:val="000C3019"/>
    <w:rsid w:val="000C3CCF"/>
    <w:rsid w:val="000C51DC"/>
    <w:rsid w:val="000C5D0D"/>
    <w:rsid w:val="000D1C46"/>
    <w:rsid w:val="000D227A"/>
    <w:rsid w:val="000D2403"/>
    <w:rsid w:val="000D2410"/>
    <w:rsid w:val="000D65D5"/>
    <w:rsid w:val="000D6979"/>
    <w:rsid w:val="000D7505"/>
    <w:rsid w:val="000E1E35"/>
    <w:rsid w:val="000E2783"/>
    <w:rsid w:val="000E370E"/>
    <w:rsid w:val="000E4A76"/>
    <w:rsid w:val="000E4FD2"/>
    <w:rsid w:val="000E7961"/>
    <w:rsid w:val="000F6F20"/>
    <w:rsid w:val="00102C0E"/>
    <w:rsid w:val="0010372B"/>
    <w:rsid w:val="0010651E"/>
    <w:rsid w:val="00106AFE"/>
    <w:rsid w:val="0011379F"/>
    <w:rsid w:val="00114969"/>
    <w:rsid w:val="001227DB"/>
    <w:rsid w:val="00126EE4"/>
    <w:rsid w:val="00127B9C"/>
    <w:rsid w:val="00127FE0"/>
    <w:rsid w:val="00130469"/>
    <w:rsid w:val="00133165"/>
    <w:rsid w:val="00140905"/>
    <w:rsid w:val="00140A16"/>
    <w:rsid w:val="0014105A"/>
    <w:rsid w:val="00147E8B"/>
    <w:rsid w:val="00151C50"/>
    <w:rsid w:val="001555A9"/>
    <w:rsid w:val="00157C58"/>
    <w:rsid w:val="00157F99"/>
    <w:rsid w:val="00160D9F"/>
    <w:rsid w:val="00161136"/>
    <w:rsid w:val="001728C0"/>
    <w:rsid w:val="00173747"/>
    <w:rsid w:val="00174931"/>
    <w:rsid w:val="00175761"/>
    <w:rsid w:val="00180AB5"/>
    <w:rsid w:val="00184B67"/>
    <w:rsid w:val="0019444A"/>
    <w:rsid w:val="00195AA2"/>
    <w:rsid w:val="001A00EF"/>
    <w:rsid w:val="001A08D1"/>
    <w:rsid w:val="001A493F"/>
    <w:rsid w:val="001A6EA9"/>
    <w:rsid w:val="001B0954"/>
    <w:rsid w:val="001B117E"/>
    <w:rsid w:val="001B5F57"/>
    <w:rsid w:val="001B7458"/>
    <w:rsid w:val="001C575B"/>
    <w:rsid w:val="001C6939"/>
    <w:rsid w:val="001D1110"/>
    <w:rsid w:val="001D1DF9"/>
    <w:rsid w:val="001D3671"/>
    <w:rsid w:val="001D50A7"/>
    <w:rsid w:val="001D6FC8"/>
    <w:rsid w:val="001E7847"/>
    <w:rsid w:val="001E7A46"/>
    <w:rsid w:val="001F20B0"/>
    <w:rsid w:val="001F2CFE"/>
    <w:rsid w:val="001F6757"/>
    <w:rsid w:val="001F737A"/>
    <w:rsid w:val="0020512D"/>
    <w:rsid w:val="002051CD"/>
    <w:rsid w:val="00216DCD"/>
    <w:rsid w:val="00220081"/>
    <w:rsid w:val="00221935"/>
    <w:rsid w:val="00225CAF"/>
    <w:rsid w:val="002346D7"/>
    <w:rsid w:val="00237C89"/>
    <w:rsid w:val="0024003F"/>
    <w:rsid w:val="00240133"/>
    <w:rsid w:val="002410F7"/>
    <w:rsid w:val="00241406"/>
    <w:rsid w:val="00246A51"/>
    <w:rsid w:val="00250BA6"/>
    <w:rsid w:val="00250CAC"/>
    <w:rsid w:val="00251DDB"/>
    <w:rsid w:val="002601F1"/>
    <w:rsid w:val="00260565"/>
    <w:rsid w:val="00261A54"/>
    <w:rsid w:val="002678C2"/>
    <w:rsid w:val="002756B4"/>
    <w:rsid w:val="0028558B"/>
    <w:rsid w:val="00287303"/>
    <w:rsid w:val="00287A10"/>
    <w:rsid w:val="00291FC2"/>
    <w:rsid w:val="00292F89"/>
    <w:rsid w:val="0029385D"/>
    <w:rsid w:val="00293BD7"/>
    <w:rsid w:val="002978C9"/>
    <w:rsid w:val="002A33F0"/>
    <w:rsid w:val="002A4189"/>
    <w:rsid w:val="002A5DC6"/>
    <w:rsid w:val="002A7366"/>
    <w:rsid w:val="002B3C07"/>
    <w:rsid w:val="002B4B44"/>
    <w:rsid w:val="002B505E"/>
    <w:rsid w:val="002C2FEA"/>
    <w:rsid w:val="002D25C9"/>
    <w:rsid w:val="002D2F2B"/>
    <w:rsid w:val="002D3AD7"/>
    <w:rsid w:val="002D43E7"/>
    <w:rsid w:val="002F2F84"/>
    <w:rsid w:val="002F55FF"/>
    <w:rsid w:val="0030121F"/>
    <w:rsid w:val="00301858"/>
    <w:rsid w:val="003063D0"/>
    <w:rsid w:val="00306534"/>
    <w:rsid w:val="00313E54"/>
    <w:rsid w:val="003205DF"/>
    <w:rsid w:val="003224E8"/>
    <w:rsid w:val="00332CFB"/>
    <w:rsid w:val="00333A49"/>
    <w:rsid w:val="00336B6E"/>
    <w:rsid w:val="0033763D"/>
    <w:rsid w:val="00340112"/>
    <w:rsid w:val="00340698"/>
    <w:rsid w:val="003440C1"/>
    <w:rsid w:val="003529E8"/>
    <w:rsid w:val="00354C7C"/>
    <w:rsid w:val="00356B8C"/>
    <w:rsid w:val="00357AC0"/>
    <w:rsid w:val="003650E5"/>
    <w:rsid w:val="0037069E"/>
    <w:rsid w:val="00374234"/>
    <w:rsid w:val="0037436C"/>
    <w:rsid w:val="00375A22"/>
    <w:rsid w:val="00377BCC"/>
    <w:rsid w:val="00381668"/>
    <w:rsid w:val="00382BCD"/>
    <w:rsid w:val="00383590"/>
    <w:rsid w:val="00384324"/>
    <w:rsid w:val="00384F43"/>
    <w:rsid w:val="00386873"/>
    <w:rsid w:val="0039199E"/>
    <w:rsid w:val="003928FF"/>
    <w:rsid w:val="003964B4"/>
    <w:rsid w:val="003A100F"/>
    <w:rsid w:val="003A1787"/>
    <w:rsid w:val="003A5458"/>
    <w:rsid w:val="003A6A59"/>
    <w:rsid w:val="003B068A"/>
    <w:rsid w:val="003B5C01"/>
    <w:rsid w:val="003B7E18"/>
    <w:rsid w:val="003C32F5"/>
    <w:rsid w:val="003C38C3"/>
    <w:rsid w:val="003C4827"/>
    <w:rsid w:val="003D470D"/>
    <w:rsid w:val="003D73F7"/>
    <w:rsid w:val="003E2CB8"/>
    <w:rsid w:val="003E3E2A"/>
    <w:rsid w:val="003E7559"/>
    <w:rsid w:val="003E7D8E"/>
    <w:rsid w:val="003F198E"/>
    <w:rsid w:val="003F4D05"/>
    <w:rsid w:val="003F6F9A"/>
    <w:rsid w:val="003F7388"/>
    <w:rsid w:val="00400DA8"/>
    <w:rsid w:val="004042A8"/>
    <w:rsid w:val="00404538"/>
    <w:rsid w:val="00405A82"/>
    <w:rsid w:val="00405EA8"/>
    <w:rsid w:val="0041196A"/>
    <w:rsid w:val="004124A6"/>
    <w:rsid w:val="00412DF6"/>
    <w:rsid w:val="00414268"/>
    <w:rsid w:val="0041548E"/>
    <w:rsid w:val="00422932"/>
    <w:rsid w:val="00423112"/>
    <w:rsid w:val="0042406E"/>
    <w:rsid w:val="00430968"/>
    <w:rsid w:val="004315A6"/>
    <w:rsid w:val="00434350"/>
    <w:rsid w:val="00435CC9"/>
    <w:rsid w:val="004363B3"/>
    <w:rsid w:val="0044197F"/>
    <w:rsid w:val="00441A9A"/>
    <w:rsid w:val="00445FFB"/>
    <w:rsid w:val="004461CA"/>
    <w:rsid w:val="00447BC1"/>
    <w:rsid w:val="00451B55"/>
    <w:rsid w:val="00451FE2"/>
    <w:rsid w:val="0045295E"/>
    <w:rsid w:val="00454E8B"/>
    <w:rsid w:val="00455C93"/>
    <w:rsid w:val="00461A20"/>
    <w:rsid w:val="00462DCF"/>
    <w:rsid w:val="00463097"/>
    <w:rsid w:val="00466233"/>
    <w:rsid w:val="004676DD"/>
    <w:rsid w:val="00467C89"/>
    <w:rsid w:val="0047030D"/>
    <w:rsid w:val="00471281"/>
    <w:rsid w:val="00471737"/>
    <w:rsid w:val="00472701"/>
    <w:rsid w:val="00472FAB"/>
    <w:rsid w:val="00475ED8"/>
    <w:rsid w:val="00477733"/>
    <w:rsid w:val="00477B17"/>
    <w:rsid w:val="00481485"/>
    <w:rsid w:val="004814CE"/>
    <w:rsid w:val="0048295A"/>
    <w:rsid w:val="0048481E"/>
    <w:rsid w:val="00493840"/>
    <w:rsid w:val="004A0477"/>
    <w:rsid w:val="004A1119"/>
    <w:rsid w:val="004A11A2"/>
    <w:rsid w:val="004A258C"/>
    <w:rsid w:val="004B1773"/>
    <w:rsid w:val="004B3364"/>
    <w:rsid w:val="004B418C"/>
    <w:rsid w:val="004C113D"/>
    <w:rsid w:val="004C11FA"/>
    <w:rsid w:val="004C3150"/>
    <w:rsid w:val="004C3A46"/>
    <w:rsid w:val="004C46FD"/>
    <w:rsid w:val="004C53BA"/>
    <w:rsid w:val="004C62CD"/>
    <w:rsid w:val="004C6385"/>
    <w:rsid w:val="004C64ED"/>
    <w:rsid w:val="004C72C2"/>
    <w:rsid w:val="004D60E2"/>
    <w:rsid w:val="004D7C53"/>
    <w:rsid w:val="004E02FD"/>
    <w:rsid w:val="004E3015"/>
    <w:rsid w:val="004E3079"/>
    <w:rsid w:val="004E3910"/>
    <w:rsid w:val="004E694B"/>
    <w:rsid w:val="004E7B4C"/>
    <w:rsid w:val="004F0B2D"/>
    <w:rsid w:val="004F1FA4"/>
    <w:rsid w:val="004F3FC1"/>
    <w:rsid w:val="004F4F91"/>
    <w:rsid w:val="004F628F"/>
    <w:rsid w:val="004F6664"/>
    <w:rsid w:val="00501D87"/>
    <w:rsid w:val="00502314"/>
    <w:rsid w:val="00502BBC"/>
    <w:rsid w:val="00503834"/>
    <w:rsid w:val="00504445"/>
    <w:rsid w:val="00505CD0"/>
    <w:rsid w:val="00505F10"/>
    <w:rsid w:val="00506DF4"/>
    <w:rsid w:val="00507AC8"/>
    <w:rsid w:val="00511A52"/>
    <w:rsid w:val="00512FD7"/>
    <w:rsid w:val="005142B0"/>
    <w:rsid w:val="00515B72"/>
    <w:rsid w:val="00516264"/>
    <w:rsid w:val="0051703D"/>
    <w:rsid w:val="005173D3"/>
    <w:rsid w:val="00520EB2"/>
    <w:rsid w:val="00521CD3"/>
    <w:rsid w:val="005257E7"/>
    <w:rsid w:val="0053336A"/>
    <w:rsid w:val="0053344B"/>
    <w:rsid w:val="005348DF"/>
    <w:rsid w:val="00535EFA"/>
    <w:rsid w:val="00540A71"/>
    <w:rsid w:val="00540D8F"/>
    <w:rsid w:val="005433BB"/>
    <w:rsid w:val="0054498F"/>
    <w:rsid w:val="00547F24"/>
    <w:rsid w:val="00551EB4"/>
    <w:rsid w:val="00557063"/>
    <w:rsid w:val="00560767"/>
    <w:rsid w:val="00561149"/>
    <w:rsid w:val="00565759"/>
    <w:rsid w:val="00572EEB"/>
    <w:rsid w:val="005749AE"/>
    <w:rsid w:val="00576F21"/>
    <w:rsid w:val="005844CD"/>
    <w:rsid w:val="0059473D"/>
    <w:rsid w:val="005A0124"/>
    <w:rsid w:val="005A184B"/>
    <w:rsid w:val="005B57E2"/>
    <w:rsid w:val="005B63B1"/>
    <w:rsid w:val="005C0830"/>
    <w:rsid w:val="005C1382"/>
    <w:rsid w:val="005C2C16"/>
    <w:rsid w:val="005C41C5"/>
    <w:rsid w:val="005D091C"/>
    <w:rsid w:val="005D2BDD"/>
    <w:rsid w:val="005E0CF3"/>
    <w:rsid w:val="005E24BF"/>
    <w:rsid w:val="005E3836"/>
    <w:rsid w:val="005E4989"/>
    <w:rsid w:val="005E4B1F"/>
    <w:rsid w:val="005F0193"/>
    <w:rsid w:val="005F31BB"/>
    <w:rsid w:val="006000F4"/>
    <w:rsid w:val="00601701"/>
    <w:rsid w:val="00601BF7"/>
    <w:rsid w:val="00604867"/>
    <w:rsid w:val="00610E71"/>
    <w:rsid w:val="00613316"/>
    <w:rsid w:val="006165C2"/>
    <w:rsid w:val="006205AE"/>
    <w:rsid w:val="00621544"/>
    <w:rsid w:val="00621F81"/>
    <w:rsid w:val="0062261D"/>
    <w:rsid w:val="00630757"/>
    <w:rsid w:val="00631793"/>
    <w:rsid w:val="006329D8"/>
    <w:rsid w:val="00633374"/>
    <w:rsid w:val="00633ACD"/>
    <w:rsid w:val="00634413"/>
    <w:rsid w:val="006344DB"/>
    <w:rsid w:val="00634C15"/>
    <w:rsid w:val="0063569D"/>
    <w:rsid w:val="00635AA8"/>
    <w:rsid w:val="006430F4"/>
    <w:rsid w:val="00644FA4"/>
    <w:rsid w:val="0064600C"/>
    <w:rsid w:val="0065120A"/>
    <w:rsid w:val="00655052"/>
    <w:rsid w:val="00660051"/>
    <w:rsid w:val="00666756"/>
    <w:rsid w:val="006749E1"/>
    <w:rsid w:val="006751B6"/>
    <w:rsid w:val="00676D6A"/>
    <w:rsid w:val="00677B9F"/>
    <w:rsid w:val="00681FD0"/>
    <w:rsid w:val="006842B1"/>
    <w:rsid w:val="006853F6"/>
    <w:rsid w:val="0069197B"/>
    <w:rsid w:val="00692380"/>
    <w:rsid w:val="006941C5"/>
    <w:rsid w:val="006962F9"/>
    <w:rsid w:val="00696634"/>
    <w:rsid w:val="006976DB"/>
    <w:rsid w:val="006A11C3"/>
    <w:rsid w:val="006B716A"/>
    <w:rsid w:val="006B7D4E"/>
    <w:rsid w:val="006C12F6"/>
    <w:rsid w:val="006C2145"/>
    <w:rsid w:val="006D2071"/>
    <w:rsid w:val="006D3A44"/>
    <w:rsid w:val="006D63A7"/>
    <w:rsid w:val="006E0D71"/>
    <w:rsid w:val="006E1840"/>
    <w:rsid w:val="006F1C25"/>
    <w:rsid w:val="006F4E40"/>
    <w:rsid w:val="006F50D3"/>
    <w:rsid w:val="006F5B5B"/>
    <w:rsid w:val="006F72D4"/>
    <w:rsid w:val="006F7F9A"/>
    <w:rsid w:val="007011C7"/>
    <w:rsid w:val="007038C9"/>
    <w:rsid w:val="0070531E"/>
    <w:rsid w:val="00705407"/>
    <w:rsid w:val="00705EB4"/>
    <w:rsid w:val="00707C0A"/>
    <w:rsid w:val="0071134C"/>
    <w:rsid w:val="00712AE0"/>
    <w:rsid w:val="0072128E"/>
    <w:rsid w:val="00724DCE"/>
    <w:rsid w:val="00725B38"/>
    <w:rsid w:val="0073222E"/>
    <w:rsid w:val="00745018"/>
    <w:rsid w:val="007476D3"/>
    <w:rsid w:val="007478BD"/>
    <w:rsid w:val="00751476"/>
    <w:rsid w:val="00756293"/>
    <w:rsid w:val="00760407"/>
    <w:rsid w:val="00760E41"/>
    <w:rsid w:val="00761351"/>
    <w:rsid w:val="00762A05"/>
    <w:rsid w:val="007638BD"/>
    <w:rsid w:val="00764928"/>
    <w:rsid w:val="007651A2"/>
    <w:rsid w:val="00765CC3"/>
    <w:rsid w:val="00767F18"/>
    <w:rsid w:val="0077388B"/>
    <w:rsid w:val="0077397F"/>
    <w:rsid w:val="007764B2"/>
    <w:rsid w:val="007804E4"/>
    <w:rsid w:val="00784500"/>
    <w:rsid w:val="00784C68"/>
    <w:rsid w:val="0079585F"/>
    <w:rsid w:val="007A1FD6"/>
    <w:rsid w:val="007A292E"/>
    <w:rsid w:val="007A2B55"/>
    <w:rsid w:val="007A42F6"/>
    <w:rsid w:val="007A45A9"/>
    <w:rsid w:val="007B5804"/>
    <w:rsid w:val="007B6E11"/>
    <w:rsid w:val="007C0481"/>
    <w:rsid w:val="007C1220"/>
    <w:rsid w:val="007C479B"/>
    <w:rsid w:val="007C5410"/>
    <w:rsid w:val="007C7108"/>
    <w:rsid w:val="007D0065"/>
    <w:rsid w:val="007D1AB8"/>
    <w:rsid w:val="007D58BF"/>
    <w:rsid w:val="007E179F"/>
    <w:rsid w:val="007E6988"/>
    <w:rsid w:val="007E7C36"/>
    <w:rsid w:val="007E7DEC"/>
    <w:rsid w:val="007F00C4"/>
    <w:rsid w:val="007F102C"/>
    <w:rsid w:val="007F132A"/>
    <w:rsid w:val="007F3666"/>
    <w:rsid w:val="007F42CF"/>
    <w:rsid w:val="007F57F6"/>
    <w:rsid w:val="007F58B9"/>
    <w:rsid w:val="007F5FFD"/>
    <w:rsid w:val="007F66F6"/>
    <w:rsid w:val="00800A7F"/>
    <w:rsid w:val="00805BD2"/>
    <w:rsid w:val="00807267"/>
    <w:rsid w:val="008174A7"/>
    <w:rsid w:val="00823F0A"/>
    <w:rsid w:val="00826133"/>
    <w:rsid w:val="00827DAD"/>
    <w:rsid w:val="00834F6D"/>
    <w:rsid w:val="00836AB1"/>
    <w:rsid w:val="00836B57"/>
    <w:rsid w:val="00841B5E"/>
    <w:rsid w:val="00843E52"/>
    <w:rsid w:val="00853C57"/>
    <w:rsid w:val="008567D9"/>
    <w:rsid w:val="00862A7E"/>
    <w:rsid w:val="00865FE8"/>
    <w:rsid w:val="008663D1"/>
    <w:rsid w:val="00871336"/>
    <w:rsid w:val="008773E2"/>
    <w:rsid w:val="008776BA"/>
    <w:rsid w:val="00877C19"/>
    <w:rsid w:val="0088520E"/>
    <w:rsid w:val="008872BA"/>
    <w:rsid w:val="00892216"/>
    <w:rsid w:val="00893918"/>
    <w:rsid w:val="00894539"/>
    <w:rsid w:val="008A2A14"/>
    <w:rsid w:val="008A2EA1"/>
    <w:rsid w:val="008A392B"/>
    <w:rsid w:val="008B0B16"/>
    <w:rsid w:val="008B36B0"/>
    <w:rsid w:val="008B417F"/>
    <w:rsid w:val="008B6D51"/>
    <w:rsid w:val="008D001F"/>
    <w:rsid w:val="008D2CD1"/>
    <w:rsid w:val="008D7071"/>
    <w:rsid w:val="008E0726"/>
    <w:rsid w:val="008E431D"/>
    <w:rsid w:val="008E4BEA"/>
    <w:rsid w:val="008E7905"/>
    <w:rsid w:val="009020DC"/>
    <w:rsid w:val="00902D72"/>
    <w:rsid w:val="00903DD3"/>
    <w:rsid w:val="00904769"/>
    <w:rsid w:val="00905184"/>
    <w:rsid w:val="00905673"/>
    <w:rsid w:val="00907133"/>
    <w:rsid w:val="00917F80"/>
    <w:rsid w:val="00923AFA"/>
    <w:rsid w:val="00931512"/>
    <w:rsid w:val="00932D2B"/>
    <w:rsid w:val="009372A8"/>
    <w:rsid w:val="0094015C"/>
    <w:rsid w:val="00940B02"/>
    <w:rsid w:val="00941232"/>
    <w:rsid w:val="00950B5C"/>
    <w:rsid w:val="00952023"/>
    <w:rsid w:val="009523CD"/>
    <w:rsid w:val="00952B78"/>
    <w:rsid w:val="0096286D"/>
    <w:rsid w:val="0096544C"/>
    <w:rsid w:val="00966E7E"/>
    <w:rsid w:val="00970A37"/>
    <w:rsid w:val="00971DAD"/>
    <w:rsid w:val="00972003"/>
    <w:rsid w:val="009861A1"/>
    <w:rsid w:val="009927EE"/>
    <w:rsid w:val="00994053"/>
    <w:rsid w:val="009A07EA"/>
    <w:rsid w:val="009A3F0D"/>
    <w:rsid w:val="009A662C"/>
    <w:rsid w:val="009B38D9"/>
    <w:rsid w:val="009B4475"/>
    <w:rsid w:val="009B5312"/>
    <w:rsid w:val="009B6915"/>
    <w:rsid w:val="009B7397"/>
    <w:rsid w:val="009B775A"/>
    <w:rsid w:val="009C0284"/>
    <w:rsid w:val="009C1D9C"/>
    <w:rsid w:val="009C7F53"/>
    <w:rsid w:val="009D2DBA"/>
    <w:rsid w:val="009D4C25"/>
    <w:rsid w:val="009D6B5C"/>
    <w:rsid w:val="009D6E38"/>
    <w:rsid w:val="009E38DA"/>
    <w:rsid w:val="009E60EB"/>
    <w:rsid w:val="009E6D1C"/>
    <w:rsid w:val="009F585B"/>
    <w:rsid w:val="00A0027D"/>
    <w:rsid w:val="00A015BA"/>
    <w:rsid w:val="00A02DCD"/>
    <w:rsid w:val="00A03FE7"/>
    <w:rsid w:val="00A04188"/>
    <w:rsid w:val="00A05D30"/>
    <w:rsid w:val="00A060C4"/>
    <w:rsid w:val="00A101F9"/>
    <w:rsid w:val="00A122D5"/>
    <w:rsid w:val="00A1230D"/>
    <w:rsid w:val="00A12B52"/>
    <w:rsid w:val="00A1375B"/>
    <w:rsid w:val="00A15A77"/>
    <w:rsid w:val="00A17F6C"/>
    <w:rsid w:val="00A256C2"/>
    <w:rsid w:val="00A359A6"/>
    <w:rsid w:val="00A35B5C"/>
    <w:rsid w:val="00A36B0D"/>
    <w:rsid w:val="00A410B1"/>
    <w:rsid w:val="00A44F19"/>
    <w:rsid w:val="00A44FE1"/>
    <w:rsid w:val="00A545D6"/>
    <w:rsid w:val="00A55108"/>
    <w:rsid w:val="00A575B6"/>
    <w:rsid w:val="00A60B31"/>
    <w:rsid w:val="00A62B93"/>
    <w:rsid w:val="00A636A8"/>
    <w:rsid w:val="00A6749E"/>
    <w:rsid w:val="00A679CC"/>
    <w:rsid w:val="00A72E24"/>
    <w:rsid w:val="00A74DA3"/>
    <w:rsid w:val="00A74DBA"/>
    <w:rsid w:val="00A75311"/>
    <w:rsid w:val="00A770F2"/>
    <w:rsid w:val="00A801E3"/>
    <w:rsid w:val="00A80A1A"/>
    <w:rsid w:val="00A82F50"/>
    <w:rsid w:val="00A86B5F"/>
    <w:rsid w:val="00A9051B"/>
    <w:rsid w:val="00A91CC9"/>
    <w:rsid w:val="00A9221A"/>
    <w:rsid w:val="00AA08CF"/>
    <w:rsid w:val="00AA66F3"/>
    <w:rsid w:val="00AB3D69"/>
    <w:rsid w:val="00AB6E37"/>
    <w:rsid w:val="00AC19F1"/>
    <w:rsid w:val="00AC3536"/>
    <w:rsid w:val="00AC69F8"/>
    <w:rsid w:val="00AD1244"/>
    <w:rsid w:val="00AD2E91"/>
    <w:rsid w:val="00AD39B6"/>
    <w:rsid w:val="00AE2409"/>
    <w:rsid w:val="00AE4A7E"/>
    <w:rsid w:val="00AF16BD"/>
    <w:rsid w:val="00AF2A58"/>
    <w:rsid w:val="00AF7883"/>
    <w:rsid w:val="00AF7FAA"/>
    <w:rsid w:val="00B017AA"/>
    <w:rsid w:val="00B0216D"/>
    <w:rsid w:val="00B03A54"/>
    <w:rsid w:val="00B1351D"/>
    <w:rsid w:val="00B255BD"/>
    <w:rsid w:val="00B26131"/>
    <w:rsid w:val="00B346AA"/>
    <w:rsid w:val="00B35C9B"/>
    <w:rsid w:val="00B37DA0"/>
    <w:rsid w:val="00B42444"/>
    <w:rsid w:val="00B440EF"/>
    <w:rsid w:val="00B44132"/>
    <w:rsid w:val="00B452CF"/>
    <w:rsid w:val="00B47A30"/>
    <w:rsid w:val="00B51190"/>
    <w:rsid w:val="00B55D4D"/>
    <w:rsid w:val="00B5794C"/>
    <w:rsid w:val="00B607A0"/>
    <w:rsid w:val="00B61FF0"/>
    <w:rsid w:val="00B63FF9"/>
    <w:rsid w:val="00B665B5"/>
    <w:rsid w:val="00B706A4"/>
    <w:rsid w:val="00B72BF7"/>
    <w:rsid w:val="00B752C8"/>
    <w:rsid w:val="00B8213A"/>
    <w:rsid w:val="00B827AA"/>
    <w:rsid w:val="00B90F37"/>
    <w:rsid w:val="00B929D5"/>
    <w:rsid w:val="00B9336F"/>
    <w:rsid w:val="00B977B4"/>
    <w:rsid w:val="00B97B86"/>
    <w:rsid w:val="00BA20D8"/>
    <w:rsid w:val="00BB20D0"/>
    <w:rsid w:val="00BB3B4A"/>
    <w:rsid w:val="00BB6DA7"/>
    <w:rsid w:val="00BC337F"/>
    <w:rsid w:val="00BC74F2"/>
    <w:rsid w:val="00BD3EA6"/>
    <w:rsid w:val="00BD52A3"/>
    <w:rsid w:val="00BD6FF1"/>
    <w:rsid w:val="00BE058E"/>
    <w:rsid w:val="00BE1446"/>
    <w:rsid w:val="00BE2CFA"/>
    <w:rsid w:val="00BE4A43"/>
    <w:rsid w:val="00BE4D94"/>
    <w:rsid w:val="00BE65CF"/>
    <w:rsid w:val="00BE7205"/>
    <w:rsid w:val="00BF041C"/>
    <w:rsid w:val="00BF357B"/>
    <w:rsid w:val="00BF40F1"/>
    <w:rsid w:val="00BF4606"/>
    <w:rsid w:val="00BF4F01"/>
    <w:rsid w:val="00C00616"/>
    <w:rsid w:val="00C04089"/>
    <w:rsid w:val="00C0414C"/>
    <w:rsid w:val="00C04F60"/>
    <w:rsid w:val="00C05C1E"/>
    <w:rsid w:val="00C06B45"/>
    <w:rsid w:val="00C11575"/>
    <w:rsid w:val="00C124A3"/>
    <w:rsid w:val="00C14C5D"/>
    <w:rsid w:val="00C160FD"/>
    <w:rsid w:val="00C30734"/>
    <w:rsid w:val="00C35243"/>
    <w:rsid w:val="00C3649B"/>
    <w:rsid w:val="00C37140"/>
    <w:rsid w:val="00C43C62"/>
    <w:rsid w:val="00C44C40"/>
    <w:rsid w:val="00C5085E"/>
    <w:rsid w:val="00C51AB9"/>
    <w:rsid w:val="00C52A23"/>
    <w:rsid w:val="00C53483"/>
    <w:rsid w:val="00C5537B"/>
    <w:rsid w:val="00C55A04"/>
    <w:rsid w:val="00C57622"/>
    <w:rsid w:val="00C57A97"/>
    <w:rsid w:val="00C60842"/>
    <w:rsid w:val="00C60BC2"/>
    <w:rsid w:val="00C61C41"/>
    <w:rsid w:val="00C63DB1"/>
    <w:rsid w:val="00C66483"/>
    <w:rsid w:val="00C66F3C"/>
    <w:rsid w:val="00C67375"/>
    <w:rsid w:val="00C74F61"/>
    <w:rsid w:val="00C762B5"/>
    <w:rsid w:val="00C768A7"/>
    <w:rsid w:val="00C81827"/>
    <w:rsid w:val="00C90F6D"/>
    <w:rsid w:val="00C92496"/>
    <w:rsid w:val="00C93ADC"/>
    <w:rsid w:val="00C96273"/>
    <w:rsid w:val="00CA1FAD"/>
    <w:rsid w:val="00CA79BD"/>
    <w:rsid w:val="00CB614F"/>
    <w:rsid w:val="00CC2EBB"/>
    <w:rsid w:val="00CD0D81"/>
    <w:rsid w:val="00CD0E21"/>
    <w:rsid w:val="00CD2390"/>
    <w:rsid w:val="00CD2BEA"/>
    <w:rsid w:val="00CE0CB9"/>
    <w:rsid w:val="00CE623A"/>
    <w:rsid w:val="00CE6B70"/>
    <w:rsid w:val="00CF3620"/>
    <w:rsid w:val="00D05902"/>
    <w:rsid w:val="00D103DD"/>
    <w:rsid w:val="00D1504E"/>
    <w:rsid w:val="00D1507E"/>
    <w:rsid w:val="00D1592C"/>
    <w:rsid w:val="00D15EF6"/>
    <w:rsid w:val="00D16E7E"/>
    <w:rsid w:val="00D30E0C"/>
    <w:rsid w:val="00D477D2"/>
    <w:rsid w:val="00D47BF6"/>
    <w:rsid w:val="00D559DF"/>
    <w:rsid w:val="00D5700A"/>
    <w:rsid w:val="00D60D27"/>
    <w:rsid w:val="00D6310E"/>
    <w:rsid w:val="00D63DFC"/>
    <w:rsid w:val="00D6440C"/>
    <w:rsid w:val="00D65294"/>
    <w:rsid w:val="00D66D3E"/>
    <w:rsid w:val="00D6788E"/>
    <w:rsid w:val="00D73F31"/>
    <w:rsid w:val="00D7684A"/>
    <w:rsid w:val="00D803F2"/>
    <w:rsid w:val="00D8191C"/>
    <w:rsid w:val="00D83513"/>
    <w:rsid w:val="00D8430C"/>
    <w:rsid w:val="00D86264"/>
    <w:rsid w:val="00D875B5"/>
    <w:rsid w:val="00D87A96"/>
    <w:rsid w:val="00D87D16"/>
    <w:rsid w:val="00D91C52"/>
    <w:rsid w:val="00D91D5A"/>
    <w:rsid w:val="00D95B50"/>
    <w:rsid w:val="00D963AD"/>
    <w:rsid w:val="00DA6F97"/>
    <w:rsid w:val="00DA7055"/>
    <w:rsid w:val="00DB01EF"/>
    <w:rsid w:val="00DB4016"/>
    <w:rsid w:val="00DB40C2"/>
    <w:rsid w:val="00DC2566"/>
    <w:rsid w:val="00DC58B9"/>
    <w:rsid w:val="00DD6468"/>
    <w:rsid w:val="00DD7842"/>
    <w:rsid w:val="00DD7849"/>
    <w:rsid w:val="00DE4713"/>
    <w:rsid w:val="00DE4E90"/>
    <w:rsid w:val="00DE5D9A"/>
    <w:rsid w:val="00DE5EED"/>
    <w:rsid w:val="00DE69A2"/>
    <w:rsid w:val="00DF13C5"/>
    <w:rsid w:val="00DF2377"/>
    <w:rsid w:val="00DF3854"/>
    <w:rsid w:val="00DF6F16"/>
    <w:rsid w:val="00E00F15"/>
    <w:rsid w:val="00E01557"/>
    <w:rsid w:val="00E01913"/>
    <w:rsid w:val="00E06840"/>
    <w:rsid w:val="00E07088"/>
    <w:rsid w:val="00E1046A"/>
    <w:rsid w:val="00E10781"/>
    <w:rsid w:val="00E14791"/>
    <w:rsid w:val="00E152BF"/>
    <w:rsid w:val="00E15522"/>
    <w:rsid w:val="00E16999"/>
    <w:rsid w:val="00E175E4"/>
    <w:rsid w:val="00E17666"/>
    <w:rsid w:val="00E2438D"/>
    <w:rsid w:val="00E31578"/>
    <w:rsid w:val="00E31AB5"/>
    <w:rsid w:val="00E3551D"/>
    <w:rsid w:val="00E3568D"/>
    <w:rsid w:val="00E35C28"/>
    <w:rsid w:val="00E417DC"/>
    <w:rsid w:val="00E44897"/>
    <w:rsid w:val="00E5185F"/>
    <w:rsid w:val="00E51B81"/>
    <w:rsid w:val="00E55203"/>
    <w:rsid w:val="00E63417"/>
    <w:rsid w:val="00E65B35"/>
    <w:rsid w:val="00E702E3"/>
    <w:rsid w:val="00E8051F"/>
    <w:rsid w:val="00E809BA"/>
    <w:rsid w:val="00E80C31"/>
    <w:rsid w:val="00E80FD7"/>
    <w:rsid w:val="00E867E9"/>
    <w:rsid w:val="00E90F9B"/>
    <w:rsid w:val="00E92E0E"/>
    <w:rsid w:val="00E93B08"/>
    <w:rsid w:val="00E93BA1"/>
    <w:rsid w:val="00E94CFC"/>
    <w:rsid w:val="00E9544C"/>
    <w:rsid w:val="00E95694"/>
    <w:rsid w:val="00E95D22"/>
    <w:rsid w:val="00E97ACA"/>
    <w:rsid w:val="00EA2C16"/>
    <w:rsid w:val="00EA3B18"/>
    <w:rsid w:val="00EA4566"/>
    <w:rsid w:val="00EA4DC1"/>
    <w:rsid w:val="00EA6D87"/>
    <w:rsid w:val="00EB63A2"/>
    <w:rsid w:val="00EC3FF5"/>
    <w:rsid w:val="00EC48C3"/>
    <w:rsid w:val="00EC5FCA"/>
    <w:rsid w:val="00ED1358"/>
    <w:rsid w:val="00ED2EC5"/>
    <w:rsid w:val="00ED3A7E"/>
    <w:rsid w:val="00ED475C"/>
    <w:rsid w:val="00EE1B5B"/>
    <w:rsid w:val="00EE3659"/>
    <w:rsid w:val="00EE792D"/>
    <w:rsid w:val="00EF0E51"/>
    <w:rsid w:val="00EF2ECD"/>
    <w:rsid w:val="00F05262"/>
    <w:rsid w:val="00F073E5"/>
    <w:rsid w:val="00F0758A"/>
    <w:rsid w:val="00F07B97"/>
    <w:rsid w:val="00F1029A"/>
    <w:rsid w:val="00F14F65"/>
    <w:rsid w:val="00F159AE"/>
    <w:rsid w:val="00F1647D"/>
    <w:rsid w:val="00F1649E"/>
    <w:rsid w:val="00F2315F"/>
    <w:rsid w:val="00F24167"/>
    <w:rsid w:val="00F25E90"/>
    <w:rsid w:val="00F26434"/>
    <w:rsid w:val="00F30E55"/>
    <w:rsid w:val="00F31961"/>
    <w:rsid w:val="00F32414"/>
    <w:rsid w:val="00F4062C"/>
    <w:rsid w:val="00F41A72"/>
    <w:rsid w:val="00F41AD3"/>
    <w:rsid w:val="00F4370A"/>
    <w:rsid w:val="00F45B0D"/>
    <w:rsid w:val="00F51C73"/>
    <w:rsid w:val="00F520BE"/>
    <w:rsid w:val="00F5249F"/>
    <w:rsid w:val="00F52CF2"/>
    <w:rsid w:val="00F52E56"/>
    <w:rsid w:val="00F5460E"/>
    <w:rsid w:val="00F602CA"/>
    <w:rsid w:val="00F6539E"/>
    <w:rsid w:val="00F65853"/>
    <w:rsid w:val="00F66557"/>
    <w:rsid w:val="00F716C4"/>
    <w:rsid w:val="00F71FE5"/>
    <w:rsid w:val="00F731CC"/>
    <w:rsid w:val="00F731E8"/>
    <w:rsid w:val="00F76083"/>
    <w:rsid w:val="00F7713F"/>
    <w:rsid w:val="00F81955"/>
    <w:rsid w:val="00F84832"/>
    <w:rsid w:val="00F8575A"/>
    <w:rsid w:val="00F903A4"/>
    <w:rsid w:val="00F913F5"/>
    <w:rsid w:val="00F918D3"/>
    <w:rsid w:val="00F94033"/>
    <w:rsid w:val="00F96931"/>
    <w:rsid w:val="00F97B80"/>
    <w:rsid w:val="00FA3126"/>
    <w:rsid w:val="00FA5927"/>
    <w:rsid w:val="00FB050F"/>
    <w:rsid w:val="00FB313A"/>
    <w:rsid w:val="00FB3355"/>
    <w:rsid w:val="00FB3C3A"/>
    <w:rsid w:val="00FB4665"/>
    <w:rsid w:val="00FC37A7"/>
    <w:rsid w:val="00FC6DB9"/>
    <w:rsid w:val="00FD087D"/>
    <w:rsid w:val="00FE6BDA"/>
    <w:rsid w:val="00FF0C6B"/>
    <w:rsid w:val="00FF5F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BC97"/>
  <w15:docId w15:val="{30AAF00A-10A0-42B9-96DB-F2F7C685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6F2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006F29"/>
    <w:rPr>
      <w:rFonts w:ascii="Courier New" w:hAnsi="Courier New" w:cs="Courier New"/>
      <w:sz w:val="20"/>
      <w:szCs w:val="20"/>
    </w:rPr>
  </w:style>
  <w:style w:type="character" w:customStyle="1" w:styleId="ProsttextChar">
    <w:name w:val="Prostý text Char"/>
    <w:basedOn w:val="Standardnpsmoodstavce"/>
    <w:link w:val="Prosttext"/>
    <w:rsid w:val="00006F29"/>
    <w:rPr>
      <w:rFonts w:ascii="Courier New" w:eastAsia="Times New Roman" w:hAnsi="Courier New" w:cs="Courier New"/>
      <w:sz w:val="20"/>
      <w:szCs w:val="20"/>
      <w:lang w:eastAsia="cs-CZ"/>
    </w:rPr>
  </w:style>
  <w:style w:type="paragraph" w:styleId="Zkladntextodsazen">
    <w:name w:val="Body Text Indent"/>
    <w:basedOn w:val="Normln"/>
    <w:link w:val="ZkladntextodsazenChar"/>
    <w:rsid w:val="00006F29"/>
    <w:pPr>
      <w:ind w:firstLine="720"/>
      <w:jc w:val="both"/>
    </w:pPr>
    <w:rPr>
      <w:rFonts w:ascii="Arial" w:eastAsia="MS Mincho" w:hAnsi="Arial" w:cs="Arial"/>
      <w:sz w:val="20"/>
    </w:rPr>
  </w:style>
  <w:style w:type="character" w:customStyle="1" w:styleId="ZkladntextodsazenChar">
    <w:name w:val="Základní text odsazený Char"/>
    <w:basedOn w:val="Standardnpsmoodstavce"/>
    <w:link w:val="Zkladntextodsazen"/>
    <w:rsid w:val="00006F29"/>
    <w:rPr>
      <w:rFonts w:ascii="Arial" w:eastAsia="MS Mincho" w:hAnsi="Arial" w:cs="Arial"/>
      <w:sz w:val="20"/>
      <w:szCs w:val="24"/>
      <w:lang w:eastAsia="cs-CZ"/>
    </w:rPr>
  </w:style>
  <w:style w:type="character" w:styleId="Hypertextovodkaz">
    <w:name w:val="Hyperlink"/>
    <w:rsid w:val="00384F43"/>
    <w:rPr>
      <w:color w:val="0000FF"/>
      <w:u w:val="single"/>
    </w:rPr>
  </w:style>
  <w:style w:type="paragraph" w:customStyle="1" w:styleId="Normang-1">
    <w:name w:val="Norm ang - ř. 1"/>
    <w:aliases w:val="5"/>
    <w:basedOn w:val="Normln"/>
    <w:rsid w:val="00340698"/>
    <w:pPr>
      <w:spacing w:before="120" w:after="120" w:line="360" w:lineRule="auto"/>
      <w:jc w:val="both"/>
    </w:pPr>
    <w:rPr>
      <w:lang w:val="en-GB"/>
    </w:rPr>
  </w:style>
  <w:style w:type="character" w:styleId="Sledovanodkaz">
    <w:name w:val="FollowedHyperlink"/>
    <w:basedOn w:val="Standardnpsmoodstavce"/>
    <w:uiPriority w:val="99"/>
    <w:semiHidden/>
    <w:unhideWhenUsed/>
    <w:rsid w:val="00C51AB9"/>
    <w:rPr>
      <w:color w:val="800080" w:themeColor="followedHyperlink"/>
      <w:u w:val="single"/>
    </w:rPr>
  </w:style>
  <w:style w:type="paragraph" w:customStyle="1" w:styleId="Rtextmetodika">
    <w:name w:val="R text metodika"/>
    <w:basedOn w:val="Normln"/>
    <w:rsid w:val="003C38C3"/>
    <w:pPr>
      <w:spacing w:after="120"/>
      <w:jc w:val="both"/>
    </w:pPr>
    <w:rPr>
      <w:rFonts w:ascii="Arial" w:hAnsi="Arial"/>
      <w:sz w:val="18"/>
      <w:szCs w:val="20"/>
    </w:rPr>
  </w:style>
  <w:style w:type="paragraph" w:customStyle="1" w:styleId="RtextmetodikaA">
    <w:name w:val="R text metodika A"/>
    <w:basedOn w:val="Normln"/>
    <w:rsid w:val="003C38C3"/>
    <w:pPr>
      <w:spacing w:after="120"/>
      <w:jc w:val="both"/>
    </w:pPr>
    <w:rPr>
      <w:rFonts w:ascii="Arial" w:hAnsi="Arial"/>
      <w:i/>
      <w:sz w:val="18"/>
      <w:szCs w:val="20"/>
      <w:lang w:val="en-GB"/>
    </w:rPr>
  </w:style>
  <w:style w:type="paragraph" w:styleId="Zkladntextodsazen2">
    <w:name w:val="Body Text Indent 2"/>
    <w:basedOn w:val="Normln"/>
    <w:link w:val="Zkladntextodsazen2Char"/>
    <w:rsid w:val="00AC19F1"/>
    <w:pPr>
      <w:spacing w:after="120" w:line="480" w:lineRule="auto"/>
      <w:ind w:left="283"/>
    </w:pPr>
  </w:style>
  <w:style w:type="character" w:customStyle="1" w:styleId="Zkladntextodsazen2Char">
    <w:name w:val="Základní text odsazený 2 Char"/>
    <w:basedOn w:val="Standardnpsmoodstavce"/>
    <w:link w:val="Zkladntextodsazen2"/>
    <w:rsid w:val="00AC19F1"/>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D87D16"/>
    <w:pPr>
      <w:spacing w:after="120" w:line="480" w:lineRule="auto"/>
    </w:pPr>
  </w:style>
  <w:style w:type="character" w:customStyle="1" w:styleId="Zkladntext2Char">
    <w:name w:val="Základní text 2 Char"/>
    <w:basedOn w:val="Standardnpsmoodstavce"/>
    <w:link w:val="Zkladntext2"/>
    <w:uiPriority w:val="99"/>
    <w:semiHidden/>
    <w:rsid w:val="00D87D1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87D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7D16"/>
    <w:rPr>
      <w:rFonts w:ascii="Segoe UI" w:eastAsia="Times New Roman" w:hAnsi="Segoe UI" w:cs="Segoe UI"/>
      <w:sz w:val="18"/>
      <w:szCs w:val="18"/>
      <w:lang w:eastAsia="cs-CZ"/>
    </w:rPr>
  </w:style>
  <w:style w:type="paragraph" w:customStyle="1" w:styleId="Style0">
    <w:name w:val="Style0"/>
    <w:rsid w:val="00D47BF6"/>
    <w:pPr>
      <w:autoSpaceDE w:val="0"/>
      <w:autoSpaceDN w:val="0"/>
      <w:adjustRightInd w:val="0"/>
      <w:spacing w:after="0" w:line="240" w:lineRule="auto"/>
    </w:pPr>
    <w:rPr>
      <w:rFonts w:ascii="MS Sans Serif" w:eastAsia="Times New Roman" w:hAnsi="MS Sans Serif" w:cs="Times New Roman"/>
      <w:sz w:val="20"/>
      <w:szCs w:val="24"/>
      <w:lang w:eastAsia="cs-CZ"/>
    </w:rPr>
  </w:style>
  <w:style w:type="character" w:styleId="Odkaznakoment">
    <w:name w:val="annotation reference"/>
    <w:basedOn w:val="Standardnpsmoodstavce"/>
    <w:uiPriority w:val="99"/>
    <w:semiHidden/>
    <w:unhideWhenUsed/>
    <w:rsid w:val="00EC5FCA"/>
    <w:rPr>
      <w:sz w:val="16"/>
      <w:szCs w:val="16"/>
    </w:rPr>
  </w:style>
  <w:style w:type="paragraph" w:styleId="Textkomente">
    <w:name w:val="annotation text"/>
    <w:basedOn w:val="Normln"/>
    <w:link w:val="TextkomenteChar"/>
    <w:uiPriority w:val="99"/>
    <w:semiHidden/>
    <w:unhideWhenUsed/>
    <w:rsid w:val="00EC5FCA"/>
    <w:rPr>
      <w:sz w:val="20"/>
      <w:szCs w:val="20"/>
    </w:rPr>
  </w:style>
  <w:style w:type="character" w:customStyle="1" w:styleId="TextkomenteChar">
    <w:name w:val="Text komentáře Char"/>
    <w:basedOn w:val="Standardnpsmoodstavce"/>
    <w:link w:val="Textkomente"/>
    <w:uiPriority w:val="99"/>
    <w:semiHidden/>
    <w:rsid w:val="00EC5FC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5FCA"/>
    <w:rPr>
      <w:b/>
      <w:bCs/>
    </w:rPr>
  </w:style>
  <w:style w:type="character" w:customStyle="1" w:styleId="PedmtkomenteChar">
    <w:name w:val="Předmět komentáře Char"/>
    <w:basedOn w:val="TextkomenteChar"/>
    <w:link w:val="Pedmtkomente"/>
    <w:uiPriority w:val="99"/>
    <w:semiHidden/>
    <w:rsid w:val="00EC5FCA"/>
    <w:rPr>
      <w:rFonts w:ascii="Times New Roman" w:eastAsia="Times New Roman" w:hAnsi="Times New Roman" w:cs="Times New Roman"/>
      <w:b/>
      <w:bCs/>
      <w:sz w:val="20"/>
      <w:szCs w:val="20"/>
      <w:lang w:eastAsia="cs-CZ"/>
    </w:rPr>
  </w:style>
  <w:style w:type="paragraph" w:styleId="Revize">
    <w:name w:val="Revision"/>
    <w:hidden/>
    <w:uiPriority w:val="99"/>
    <w:semiHidden/>
    <w:rsid w:val="006853F6"/>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nhideWhenUsed/>
    <w:rsid w:val="00C762B5"/>
    <w:pPr>
      <w:tabs>
        <w:tab w:val="center" w:pos="4536"/>
        <w:tab w:val="right" w:pos="9072"/>
      </w:tabs>
      <w:spacing w:after="200" w:line="276" w:lineRule="auto"/>
      <w:jc w:val="both"/>
    </w:pPr>
    <w:rPr>
      <w:rFonts w:asciiTheme="minorHAnsi" w:eastAsiaTheme="minorEastAsia" w:hAnsiTheme="minorHAnsi" w:cstheme="minorBidi"/>
      <w:sz w:val="20"/>
      <w:szCs w:val="20"/>
      <w:lang w:eastAsia="en-US"/>
    </w:rPr>
  </w:style>
  <w:style w:type="character" w:customStyle="1" w:styleId="ZpatChar">
    <w:name w:val="Zápatí Char"/>
    <w:basedOn w:val="Standardnpsmoodstavce"/>
    <w:link w:val="Zpat"/>
    <w:rsid w:val="00C762B5"/>
    <w:rPr>
      <w:rFonts w:eastAsiaTheme="minorEastAsia"/>
      <w:sz w:val="20"/>
      <w:szCs w:val="20"/>
    </w:rPr>
  </w:style>
  <w:style w:type="paragraph" w:styleId="Odstavecseseznamem">
    <w:name w:val="List Paragraph"/>
    <w:basedOn w:val="Normln"/>
    <w:uiPriority w:val="34"/>
    <w:qFormat/>
    <w:rsid w:val="0047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en" TargetMode="External"/><Relationship Id="rId3" Type="http://schemas.openxmlformats.org/officeDocument/2006/relationships/styles" Target="styles.xml"/><Relationship Id="rId7" Type="http://schemas.openxmlformats.org/officeDocument/2006/relationships/hyperlink" Target="http://www.csu.gov.cz/foreig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su.gov.cz/popul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6690C-F98C-4D0F-B5BE-B1F19BEA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1307</Words>
  <Characters>7713</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4  POPULATION, Methodological notes, Statistical Yearbook of the CR 2024</vt:lpstr>
    </vt:vector>
  </TitlesOfParts>
  <Company>ČSÚ</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POPULATION, Methodological notes, Statistical Yearbook of the CR 2025</dc:title>
  <dc:creator>Czech Statistical Office</dc:creator>
  <cp:lastModifiedBy>Zadák Rostislav</cp:lastModifiedBy>
  <cp:revision>7</cp:revision>
  <cp:lastPrinted>2018-04-24T06:02:00Z</cp:lastPrinted>
  <dcterms:created xsi:type="dcterms:W3CDTF">2025-08-19T14:14:00Z</dcterms:created>
  <dcterms:modified xsi:type="dcterms:W3CDTF">2025-12-03T09:26:00Z</dcterms:modified>
</cp:coreProperties>
</file>