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53643" w14:textId="177C8D7E" w:rsidR="006769C6" w:rsidRPr="00D970F7" w:rsidRDefault="006769C6" w:rsidP="006769C6">
      <w:pPr>
        <w:pStyle w:val="Nadpis11"/>
        <w:rPr>
          <w:lang w:val="en-GB"/>
        </w:rPr>
      </w:pPr>
      <w:bookmarkStart w:id="0" w:name="_Toc19090679"/>
      <w:bookmarkStart w:id="1" w:name="_Toc50712130"/>
      <w:r w:rsidRPr="00D970F7">
        <w:rPr>
          <w:lang w:val="en-GB"/>
        </w:rPr>
        <w:t>6. </w:t>
      </w:r>
      <w:r w:rsidR="00A974A6" w:rsidRPr="00D970F7">
        <w:rPr>
          <w:lang w:val="en-GB"/>
        </w:rPr>
        <w:t>Labour Market</w:t>
      </w:r>
      <w:bookmarkEnd w:id="0"/>
      <w:bookmarkEnd w:id="1"/>
    </w:p>
    <w:p w14:paraId="1FF5FDA9" w14:textId="77777777" w:rsidR="006769C6" w:rsidRPr="00D970F7" w:rsidRDefault="006769C6" w:rsidP="006769C6">
      <w:pPr>
        <w:spacing w:after="0"/>
        <w:rPr>
          <w:b/>
          <w:color w:val="0D0D0D" w:themeColor="text1" w:themeTint="F2"/>
          <w:sz w:val="2"/>
          <w:szCs w:val="2"/>
          <w:lang w:val="en-GB"/>
        </w:rPr>
      </w:pPr>
    </w:p>
    <w:tbl>
      <w:tblPr>
        <w:tblW w:w="9664" w:type="dxa"/>
        <w:tblInd w:w="-30" w:type="dxa"/>
        <w:tblCellMar>
          <w:left w:w="0" w:type="dxa"/>
          <w:right w:w="0" w:type="dxa"/>
        </w:tblCellMar>
        <w:tblLook w:val="00A0" w:firstRow="1" w:lastRow="0" w:firstColumn="1" w:lastColumn="0" w:noHBand="0" w:noVBand="0"/>
      </w:tblPr>
      <w:tblGrid>
        <w:gridCol w:w="1792"/>
        <w:gridCol w:w="216"/>
        <w:gridCol w:w="7656"/>
      </w:tblGrid>
      <w:tr w:rsidR="00C2211E" w:rsidRPr="00D970F7" w14:paraId="033F0451" w14:textId="77777777" w:rsidTr="00C2211E">
        <w:trPr>
          <w:trHeight w:val="155"/>
        </w:trPr>
        <w:tc>
          <w:tcPr>
            <w:tcW w:w="1792" w:type="dxa"/>
            <w:vMerge w:val="restart"/>
            <w:shd w:val="clear" w:color="auto" w:fill="auto"/>
            <w:tcMar>
              <w:left w:w="0" w:type="dxa"/>
            </w:tcMar>
          </w:tcPr>
          <w:p w14:paraId="611E1DCC" w14:textId="77777777" w:rsidR="00C2211E" w:rsidRPr="00D970F7" w:rsidRDefault="00C2211E" w:rsidP="00C2211E">
            <w:pPr>
              <w:pStyle w:val="Marginlie"/>
              <w:rPr>
                <w:spacing w:val="-4"/>
                <w:lang w:val="en-GB"/>
              </w:rPr>
            </w:pPr>
            <w:bookmarkStart w:id="2" w:name="_Toc50712131"/>
            <w:r w:rsidRPr="00D970F7">
              <w:rPr>
                <w:spacing w:val="-4"/>
                <w:lang w:val="en-GB"/>
              </w:rPr>
              <w:t xml:space="preserve">Immediate impacts of the external shock on the labour market were considerably varied. They were reflected the most in fading of overall economic activity. </w:t>
            </w:r>
          </w:p>
        </w:tc>
        <w:tc>
          <w:tcPr>
            <w:tcW w:w="216" w:type="dxa"/>
            <w:vMerge w:val="restart"/>
            <w:shd w:val="clear" w:color="auto" w:fill="auto"/>
            <w:tcMar>
              <w:left w:w="0" w:type="dxa"/>
            </w:tcMar>
          </w:tcPr>
          <w:p w14:paraId="5B69FD6A"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0C2BB157" w14:textId="15068AD9" w:rsidR="00C2211E" w:rsidRPr="00D970F7" w:rsidRDefault="00C2211E" w:rsidP="00C2211E">
            <w:pPr>
              <w:spacing w:after="200"/>
              <w:rPr>
                <w:rFonts w:cs="Arial"/>
                <w:bCs/>
                <w:color w:val="000000"/>
                <w:spacing w:val="-4"/>
                <w:szCs w:val="20"/>
                <w:lang w:val="en-GB"/>
              </w:rPr>
            </w:pPr>
            <w:r w:rsidRPr="00D970F7">
              <w:rPr>
                <w:rFonts w:cs="Arial"/>
                <w:bCs/>
                <w:color w:val="000000"/>
                <w:spacing w:val="-4"/>
                <w:szCs w:val="20"/>
                <w:lang w:val="en-GB"/>
              </w:rPr>
              <w:t xml:space="preserve">Even though the domestic labour market traditionally reacts to economic shocks </w:t>
            </w:r>
            <w:r w:rsidR="00DF448E">
              <w:rPr>
                <w:rFonts w:cs="Arial"/>
                <w:bCs/>
                <w:color w:val="000000"/>
                <w:spacing w:val="-4"/>
                <w:szCs w:val="20"/>
                <w:lang w:val="en-GB"/>
              </w:rPr>
              <w:t xml:space="preserve">with certain delay, the </w:t>
            </w:r>
            <w:r w:rsidRPr="00D970F7">
              <w:rPr>
                <w:rFonts w:cs="Arial"/>
                <w:bCs/>
                <w:color w:val="000000"/>
                <w:spacing w:val="-4"/>
                <w:szCs w:val="20"/>
                <w:lang w:val="en-GB"/>
              </w:rPr>
              <w:t>pandemic restrictions already managed to be markedly felt. More than two-month period of state of emergency struck into the whole first half of Q2 20</w:t>
            </w:r>
            <w:r w:rsidR="00DF448E">
              <w:rPr>
                <w:rFonts w:cs="Arial"/>
                <w:bCs/>
                <w:color w:val="000000"/>
                <w:spacing w:val="-4"/>
                <w:szCs w:val="20"/>
                <w:lang w:val="en-GB"/>
              </w:rPr>
              <w:t>20 and also in subsequent weeks</w:t>
            </w:r>
            <w:r w:rsidRPr="00D970F7">
              <w:rPr>
                <w:rFonts w:cs="Arial"/>
                <w:bCs/>
                <w:color w:val="000000"/>
                <w:spacing w:val="-4"/>
                <w:szCs w:val="20"/>
                <w:lang w:val="en-GB"/>
              </w:rPr>
              <w:t xml:space="preserve"> the return to normal was taking place only very gradually. So far monitored impacts of this shock on the labour market were considerably varied (for example from the view of branch or position of persons in employment). Diverse intensity of impact also emphasised the testimonies of households (experiencing negative impacts in their employment as well as concerns regarding the growth of unemployment</w:t>
            </w:r>
            <w:r w:rsidRPr="00D970F7">
              <w:rPr>
                <w:rFonts w:cs="Arial"/>
                <w:bCs/>
                <w:color w:val="000000"/>
                <w:spacing w:val="-5"/>
                <w:szCs w:val="20"/>
                <w:lang w:val="en-GB"/>
              </w:rPr>
              <w:t>). The substantial downturn of economic activity expressed both by lower number of employed and also deeper reduction of hours worked were the most visible manifestations of the onset of economic recession in Q</w:t>
            </w:r>
            <w:r w:rsidRPr="00D970F7">
              <w:rPr>
                <w:rFonts w:cs="Arial"/>
                <w:bCs/>
                <w:color w:val="000000"/>
                <w:spacing w:val="-4"/>
                <w:szCs w:val="20"/>
                <w:lang w:val="en-GB"/>
              </w:rPr>
              <w:t xml:space="preserve">2. The on the contrary so far only mild growth of unemployment was connected to the stabilisation government programmes (Antivirus, care benefits) and with the fact, that part of persons, who lost work, evacuated the labour market (foreign workers, economically inactive). Worsened economic situation of businesses was evident by ceasing of growth of average wages in the majority of market branches and contrasted with the so far stabilised development in branches with the dominance of state. </w:t>
            </w:r>
          </w:p>
        </w:tc>
      </w:tr>
      <w:tr w:rsidR="00C2211E" w:rsidRPr="00D970F7" w14:paraId="218D68F4" w14:textId="77777777" w:rsidTr="00C2211E">
        <w:trPr>
          <w:trHeight w:val="155"/>
        </w:trPr>
        <w:tc>
          <w:tcPr>
            <w:tcW w:w="1792" w:type="dxa"/>
            <w:vMerge w:val="restart"/>
            <w:shd w:val="clear" w:color="auto" w:fill="auto"/>
            <w:tcMar>
              <w:left w:w="0" w:type="dxa"/>
            </w:tcMar>
          </w:tcPr>
          <w:p w14:paraId="23954343" w14:textId="77777777" w:rsidR="00C2211E" w:rsidRPr="00D970F7" w:rsidRDefault="00C2211E" w:rsidP="00C2211E">
            <w:pPr>
              <w:pStyle w:val="Marginlie"/>
              <w:rPr>
                <w:spacing w:val="-4"/>
                <w:lang w:val="en-GB"/>
              </w:rPr>
            </w:pPr>
            <w:r w:rsidRPr="00D970F7">
              <w:rPr>
                <w:spacing w:val="-4"/>
                <w:lang w:val="en-GB"/>
              </w:rPr>
              <w:t xml:space="preserve">Total number of employed shrank by significant 1.4% during Q2 following the stagnation at the beginning of the year. </w:t>
            </w:r>
          </w:p>
          <w:p w14:paraId="30421EC9" w14:textId="77777777" w:rsidR="00C2211E" w:rsidRPr="00D970F7" w:rsidRDefault="00C2211E" w:rsidP="00C2211E">
            <w:pPr>
              <w:pStyle w:val="Marginlie"/>
              <w:rPr>
                <w:spacing w:val="-4"/>
                <w:lang w:val="en-GB"/>
              </w:rPr>
            </w:pPr>
          </w:p>
          <w:p w14:paraId="73A3CD66" w14:textId="77777777" w:rsidR="00C2211E" w:rsidRPr="00D970F7" w:rsidRDefault="00C2211E" w:rsidP="00C2211E">
            <w:pPr>
              <w:pStyle w:val="Marginlie"/>
              <w:rPr>
                <w:spacing w:val="-4"/>
                <w:lang w:val="en-GB"/>
              </w:rPr>
            </w:pPr>
          </w:p>
          <w:p w14:paraId="6E0BADB9" w14:textId="77777777" w:rsidR="00C2211E" w:rsidRPr="00D970F7" w:rsidRDefault="00C2211E" w:rsidP="00C2211E">
            <w:pPr>
              <w:pStyle w:val="Marginlie"/>
              <w:rPr>
                <w:spacing w:val="-4"/>
                <w:lang w:val="en-GB"/>
              </w:rPr>
            </w:pPr>
          </w:p>
          <w:p w14:paraId="51149328" w14:textId="77777777" w:rsidR="00C2211E" w:rsidRPr="00D970F7" w:rsidRDefault="00C2211E" w:rsidP="00C2211E">
            <w:pPr>
              <w:pStyle w:val="Marginlie"/>
              <w:rPr>
                <w:spacing w:val="-4"/>
                <w:lang w:val="en-GB"/>
              </w:rPr>
            </w:pPr>
          </w:p>
          <w:p w14:paraId="1D5E569A" w14:textId="77777777" w:rsidR="00C2211E" w:rsidRPr="00D970F7" w:rsidRDefault="00C2211E" w:rsidP="00C2211E">
            <w:pPr>
              <w:pStyle w:val="Marginlie"/>
              <w:rPr>
                <w:spacing w:val="-4"/>
                <w:lang w:val="en-GB"/>
              </w:rPr>
            </w:pPr>
          </w:p>
          <w:p w14:paraId="472D0918" w14:textId="77777777" w:rsidR="00C2211E" w:rsidRPr="00D970F7" w:rsidRDefault="00C2211E" w:rsidP="00C2211E">
            <w:pPr>
              <w:pStyle w:val="Marginlie"/>
              <w:rPr>
                <w:spacing w:val="-4"/>
                <w:lang w:val="en-GB"/>
              </w:rPr>
            </w:pPr>
          </w:p>
          <w:p w14:paraId="25C2AB92" w14:textId="77777777" w:rsidR="00C2211E" w:rsidRPr="00D970F7" w:rsidRDefault="00C2211E" w:rsidP="00C2211E">
            <w:pPr>
              <w:pStyle w:val="Marginlie"/>
              <w:rPr>
                <w:spacing w:val="-4"/>
                <w:lang w:val="en-GB"/>
              </w:rPr>
            </w:pPr>
            <w:r w:rsidRPr="00D970F7">
              <w:rPr>
                <w:spacing w:val="-4"/>
                <w:lang w:val="en-GB"/>
              </w:rPr>
              <w:t xml:space="preserve">Especially employees contributed to the year-on-year decrease of employment. Stronger reduction of places occurred in manufacturing and branches of services associated with tourism. </w:t>
            </w:r>
          </w:p>
        </w:tc>
        <w:tc>
          <w:tcPr>
            <w:tcW w:w="216" w:type="dxa"/>
            <w:vMerge w:val="restart"/>
            <w:shd w:val="clear" w:color="auto" w:fill="auto"/>
            <w:tcMar>
              <w:left w:w="0" w:type="dxa"/>
            </w:tcMar>
          </w:tcPr>
          <w:p w14:paraId="383CCF50"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0FEA10A6" w14:textId="64A84A0F" w:rsidR="00C2211E" w:rsidRPr="00D970F7" w:rsidRDefault="00C2211E" w:rsidP="00C2211E">
            <w:pPr>
              <w:spacing w:after="200"/>
              <w:rPr>
                <w:rFonts w:cs="Arial"/>
                <w:bCs/>
                <w:color w:val="000000"/>
                <w:spacing w:val="-4"/>
                <w:szCs w:val="20"/>
                <w:lang w:val="en-GB"/>
              </w:rPr>
            </w:pPr>
            <w:r w:rsidRPr="00D970F7">
              <w:rPr>
                <w:rFonts w:cs="Arial"/>
                <w:bCs/>
                <w:color w:val="000000"/>
                <w:spacing w:val="-4"/>
                <w:szCs w:val="20"/>
                <w:lang w:val="en-GB"/>
              </w:rPr>
              <w:t>While the total employment</w:t>
            </w:r>
            <w:r w:rsidRPr="00D970F7">
              <w:rPr>
                <w:spacing w:val="-4"/>
                <w:vertAlign w:val="superscript"/>
                <w:lang w:val="en-GB"/>
              </w:rPr>
              <w:footnoteReference w:id="1"/>
            </w:r>
            <w:r w:rsidRPr="00D970F7">
              <w:rPr>
                <w:rFonts w:cs="Arial"/>
                <w:bCs/>
                <w:color w:val="000000"/>
                <w:spacing w:val="-4"/>
                <w:szCs w:val="20"/>
                <w:lang w:val="en-GB"/>
              </w:rPr>
              <w:t xml:space="preserve"> stagnated in quarter-on-quarter expression in Q1 2020, similarly to the whole last year, it already dived by record 1.4% in Q2. In the preceding recession periods, the loss of employment positions was more gradual, simultaneously it however had longer term character</w:t>
            </w:r>
            <w:r w:rsidRPr="00D970F7">
              <w:rPr>
                <w:spacing w:val="-4"/>
                <w:vertAlign w:val="superscript"/>
                <w:lang w:val="en-GB"/>
              </w:rPr>
              <w:footnoteReference w:id="2"/>
            </w:r>
            <w:r w:rsidRPr="00D970F7">
              <w:rPr>
                <w:rFonts w:cs="Arial"/>
                <w:bCs/>
                <w:color w:val="000000"/>
                <w:spacing w:val="-4"/>
                <w:szCs w:val="20"/>
                <w:lang w:val="en-GB"/>
              </w:rPr>
              <w:t>. The employment lowered by 1.9% year-on-year (the most after Q1 2010), it is however necessary to take into account, that the number of employed attained record level in the history of independent CR (5.44 mil.) last year. This decrease was caused nearly exclusively by employees, since the number of self-employed was falling slower (–1.5%)</w:t>
            </w:r>
            <w:r w:rsidRPr="00D970F7">
              <w:rPr>
                <w:spacing w:val="-4"/>
                <w:vertAlign w:val="superscript"/>
                <w:lang w:val="en-GB"/>
              </w:rPr>
              <w:footnoteReference w:id="3"/>
            </w:r>
            <w:r w:rsidRPr="00D970F7">
              <w:rPr>
                <w:rFonts w:cs="Arial"/>
                <w:bCs/>
                <w:color w:val="000000"/>
                <w:spacing w:val="-4"/>
                <w:szCs w:val="20"/>
                <w:lang w:val="en-GB"/>
              </w:rPr>
              <w:t>. It can be perceived relatively favourably, because 60% of entrepreneurs (without employees) stated within the LFSS survey, that they experienced adverse impacts in their enterprise (financial difficulties, lower sales, volume of work or orders)</w:t>
            </w:r>
            <w:r w:rsidRPr="00D970F7">
              <w:rPr>
                <w:spacing w:val="-4"/>
                <w:vertAlign w:val="superscript"/>
                <w:lang w:val="en-GB"/>
              </w:rPr>
              <w:footnoteReference w:id="4"/>
            </w:r>
            <w:r w:rsidRPr="00D970F7">
              <w:rPr>
                <w:rFonts w:cs="Arial"/>
                <w:bCs/>
                <w:color w:val="000000"/>
                <w:spacing w:val="-4"/>
                <w:szCs w:val="20"/>
                <w:lang w:val="en-GB"/>
              </w:rPr>
              <w:t>. Nearly three quarters of these affected at the same time considered the impacts likely temporary and possible to overcome (e.g. with the help of government programs). From the view of main branches, manufacturing where also due to “cooling” of agency employment 51 thousand of places decreased (3.5%), contributed to lower employment the most in the whole economy in Q2.</w:t>
            </w:r>
            <w:r w:rsidR="00DF448E">
              <w:rPr>
                <w:rFonts w:cs="Arial"/>
                <w:bCs/>
                <w:color w:val="000000"/>
                <w:spacing w:val="-4"/>
                <w:szCs w:val="20"/>
                <w:lang w:val="en-GB"/>
              </w:rPr>
              <w:t xml:space="preserve"> Almost</w:t>
            </w:r>
            <w:r w:rsidRPr="00D970F7">
              <w:rPr>
                <w:rFonts w:cs="Arial"/>
                <w:bCs/>
                <w:color w:val="000000"/>
                <w:spacing w:val="-4"/>
                <w:szCs w:val="20"/>
                <w:lang w:val="en-GB"/>
              </w:rPr>
              <w:t xml:space="preserve"> 43 thousand positions were cut in the services sector, it was however very unevenly distributed. Due to substantial impact of restrictions in the tourism area, the number of working in the grouping trade, transportation, accommodation, food service and restaurants reduced by 40 thousand, resp. 3.2%. Professional, scientific, technical and administrative activities (-4.4%) had the deepest relative reduction of places. It contrasted with the long term growth of employment in information and communication (+3.4%) and also in branches with the dominance of state (+1.6%), where it was the effect of recruiting in education, among other things also because of higher number of students in primary education. </w:t>
            </w:r>
          </w:p>
        </w:tc>
      </w:tr>
      <w:tr w:rsidR="00C2211E" w:rsidRPr="00D970F7" w14:paraId="4E424970" w14:textId="77777777" w:rsidTr="00C2211E">
        <w:trPr>
          <w:trHeight w:val="155"/>
        </w:trPr>
        <w:tc>
          <w:tcPr>
            <w:tcW w:w="1792" w:type="dxa"/>
            <w:vMerge w:val="restart"/>
            <w:shd w:val="clear" w:color="auto" w:fill="auto"/>
            <w:tcMar>
              <w:left w:w="0" w:type="dxa"/>
            </w:tcMar>
          </w:tcPr>
          <w:p w14:paraId="49001868" w14:textId="77777777" w:rsidR="00C2211E" w:rsidRPr="00D970F7" w:rsidRDefault="00C2211E" w:rsidP="00C2211E">
            <w:pPr>
              <w:pStyle w:val="Marginlie"/>
              <w:rPr>
                <w:spacing w:val="-4"/>
                <w:lang w:val="en-GB"/>
              </w:rPr>
            </w:pPr>
            <w:r w:rsidRPr="00D970F7">
              <w:rPr>
                <w:spacing w:val="-4"/>
                <w:lang w:val="en-GB"/>
              </w:rPr>
              <w:t xml:space="preserve">Number of hours worked by employees returned to normal in June. </w:t>
            </w:r>
            <w:r w:rsidRPr="00D970F7">
              <w:rPr>
                <w:spacing w:val="-4"/>
                <w:lang w:val="en-GB"/>
              </w:rPr>
              <w:lastRenderedPageBreak/>
              <w:t>Expectations of employment development remained negative, especially in industry and majority of market services.</w:t>
            </w:r>
          </w:p>
        </w:tc>
        <w:tc>
          <w:tcPr>
            <w:tcW w:w="216" w:type="dxa"/>
            <w:vMerge w:val="restart"/>
            <w:shd w:val="clear" w:color="auto" w:fill="auto"/>
            <w:tcMar>
              <w:left w:w="0" w:type="dxa"/>
            </w:tcMar>
          </w:tcPr>
          <w:p w14:paraId="23B5175D"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754E0C7F" w14:textId="630CE702" w:rsidR="00C2211E" w:rsidRPr="00D970F7" w:rsidRDefault="004B5570" w:rsidP="00C2211E">
            <w:pPr>
              <w:spacing w:after="200"/>
              <w:rPr>
                <w:spacing w:val="-5"/>
                <w:lang w:val="en-GB"/>
              </w:rPr>
            </w:pPr>
            <w:r>
              <w:rPr>
                <w:spacing w:val="-5"/>
                <w:lang w:val="en-GB"/>
              </w:rPr>
              <w:t xml:space="preserve">The effect of </w:t>
            </w:r>
            <w:r w:rsidR="00C2211E" w:rsidRPr="00D970F7">
              <w:rPr>
                <w:spacing w:val="-5"/>
                <w:lang w:val="en-GB"/>
              </w:rPr>
              <w:t xml:space="preserve">pandemic restrictions is plastically expressed by the decrease of number of hours worked in the economy. Based on the LFSS, it was 10% year-on-year in March, in </w:t>
            </w:r>
            <w:r w:rsidR="00C2211E" w:rsidRPr="00D970F7">
              <w:rPr>
                <w:spacing w:val="-5"/>
                <w:lang w:val="en-GB"/>
              </w:rPr>
              <w:lastRenderedPageBreak/>
              <w:t>April it deepened to not yet seen 22% (31% for entrepreneurs). The descend decreased in May (to 8%) and July already signalled a return to paces from the turn of years 2019 and 2020 (</w:t>
            </w:r>
            <w:r w:rsidR="00C2211E" w:rsidRPr="00D970F7">
              <w:rPr>
                <w:rFonts w:cs="Arial"/>
                <w:bCs/>
                <w:color w:val="000000"/>
                <w:spacing w:val="-5"/>
                <w:szCs w:val="20"/>
                <w:lang w:val="en-GB"/>
              </w:rPr>
              <w:t>–</w:t>
            </w:r>
            <w:r w:rsidR="00C2211E" w:rsidRPr="00D970F7">
              <w:rPr>
                <w:spacing w:val="-5"/>
                <w:lang w:val="en-GB"/>
              </w:rPr>
              <w:t>2%), which however was not completely valid for small businesses (</w:t>
            </w:r>
            <w:r w:rsidR="00C2211E" w:rsidRPr="00D970F7">
              <w:rPr>
                <w:rFonts w:cs="Arial"/>
                <w:bCs/>
                <w:color w:val="000000"/>
                <w:spacing w:val="-5"/>
                <w:szCs w:val="20"/>
                <w:lang w:val="en-GB"/>
              </w:rPr>
              <w:t>–</w:t>
            </w:r>
            <w:r w:rsidR="00C2211E" w:rsidRPr="00D970F7">
              <w:rPr>
                <w:spacing w:val="-5"/>
                <w:lang w:val="en-GB"/>
              </w:rPr>
              <w:t xml:space="preserve">6%), where the effect of weakened demand was more evident. Expectations of businesses in the area of employment stayed in the majority of branches negative. It was valid for market services </w:t>
            </w:r>
            <w:r w:rsidR="00C2211E" w:rsidRPr="00D970F7">
              <w:rPr>
                <w:spacing w:val="-6"/>
                <w:lang w:val="en-GB"/>
              </w:rPr>
              <w:t xml:space="preserve">(except for trade), where the proportion of businesses anticipating growth of employment in the next three months was by 33 p. p. lower than the share of businesses planning to reduce employment levels </w:t>
            </w:r>
            <w:r w:rsidR="00C2211E" w:rsidRPr="00D970F7">
              <w:rPr>
                <w:spacing w:val="-5"/>
                <w:lang w:val="en-GB"/>
              </w:rPr>
              <w:t>in August 2020. This balance remained distinctly negative despite weakening pessimism also in industry (</w:t>
            </w:r>
            <w:r w:rsidR="00C2211E" w:rsidRPr="00D970F7">
              <w:rPr>
                <w:rFonts w:cs="Arial"/>
                <w:bCs/>
                <w:color w:val="000000"/>
                <w:spacing w:val="-5"/>
                <w:szCs w:val="20"/>
                <w:lang w:val="en-GB"/>
              </w:rPr>
              <w:t>–</w:t>
            </w:r>
            <w:r w:rsidR="00C2211E" w:rsidRPr="00D970F7">
              <w:rPr>
                <w:spacing w:val="-5"/>
                <w:lang w:val="en-GB"/>
              </w:rPr>
              <w:t>12 p.p.). Businesses in trade (</w:t>
            </w:r>
            <w:r w:rsidR="00C2211E" w:rsidRPr="00D970F7">
              <w:rPr>
                <w:rFonts w:cs="Arial"/>
                <w:bCs/>
                <w:color w:val="000000"/>
                <w:spacing w:val="-5"/>
                <w:szCs w:val="20"/>
                <w:lang w:val="en-GB"/>
              </w:rPr>
              <w:t>–</w:t>
            </w:r>
            <w:r w:rsidR="00C2211E" w:rsidRPr="00D970F7">
              <w:rPr>
                <w:spacing w:val="-5"/>
                <w:lang w:val="en-GB"/>
              </w:rPr>
              <w:t>5 p.p.) and mainly construction (</w:t>
            </w:r>
            <w:r w:rsidR="00C2211E" w:rsidRPr="00D970F7">
              <w:rPr>
                <w:rFonts w:cs="Arial"/>
                <w:bCs/>
                <w:color w:val="000000"/>
                <w:spacing w:val="-5"/>
                <w:szCs w:val="20"/>
                <w:lang w:val="en-GB"/>
              </w:rPr>
              <w:t>+2</w:t>
            </w:r>
            <w:r w:rsidR="00C2211E" w:rsidRPr="00D970F7">
              <w:rPr>
                <w:spacing w:val="-5"/>
                <w:lang w:val="en-GB"/>
              </w:rPr>
              <w:t xml:space="preserve"> p.p.), where a large proportion of businesses did not anticipate changes in employment (87%) were in better situation. Still around 40% of construction firms considered the lack of workers as a barrier to growth even in the summer period. </w:t>
            </w:r>
          </w:p>
        </w:tc>
      </w:tr>
      <w:tr w:rsidR="00C2211E" w:rsidRPr="00D970F7" w14:paraId="4DB93541" w14:textId="77777777" w:rsidTr="00C2211E">
        <w:trPr>
          <w:trHeight w:val="155"/>
        </w:trPr>
        <w:tc>
          <w:tcPr>
            <w:tcW w:w="1792" w:type="dxa"/>
            <w:vMerge w:val="restart"/>
            <w:shd w:val="clear" w:color="auto" w:fill="auto"/>
            <w:tcMar>
              <w:left w:w="0" w:type="dxa"/>
            </w:tcMar>
          </w:tcPr>
          <w:p w14:paraId="60083DB4" w14:textId="77777777" w:rsidR="00C2211E" w:rsidRPr="00D970F7" w:rsidRDefault="00C2211E" w:rsidP="00C2211E">
            <w:pPr>
              <w:pStyle w:val="Marginlie"/>
              <w:rPr>
                <w:spacing w:val="-4"/>
                <w:lang w:val="en-GB"/>
              </w:rPr>
            </w:pPr>
            <w:r w:rsidRPr="00D970F7">
              <w:rPr>
                <w:spacing w:val="-4"/>
                <w:lang w:val="en-GB"/>
              </w:rPr>
              <w:lastRenderedPageBreak/>
              <w:t>Growth of the number of economically inactive drastically accelerated.</w:t>
            </w:r>
          </w:p>
        </w:tc>
        <w:tc>
          <w:tcPr>
            <w:tcW w:w="216" w:type="dxa"/>
            <w:vMerge w:val="restart"/>
            <w:shd w:val="clear" w:color="auto" w:fill="auto"/>
            <w:tcMar>
              <w:left w:w="0" w:type="dxa"/>
            </w:tcMar>
          </w:tcPr>
          <w:p w14:paraId="3734116F"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638DB081" w14:textId="77777777" w:rsidR="00C2211E" w:rsidRPr="00D970F7" w:rsidRDefault="00C2211E" w:rsidP="00C2211E">
            <w:pPr>
              <w:spacing w:after="220"/>
              <w:rPr>
                <w:rFonts w:cs="Arial"/>
                <w:bCs/>
                <w:color w:val="000000"/>
                <w:szCs w:val="20"/>
                <w:lang w:val="en-GB"/>
              </w:rPr>
            </w:pPr>
            <w:r w:rsidRPr="00D970F7">
              <w:rPr>
                <w:rFonts w:cs="Arial"/>
                <w:bCs/>
                <w:color w:val="000000"/>
                <w:szCs w:val="20"/>
                <w:lang w:val="en-GB"/>
              </w:rPr>
              <w:t xml:space="preserve">Changes on the labour market were reflected more than in the unemployment in enlarging the number of economically inactive H1. Even though the number of inactive was growing also for the most part of the last year, significant acceleration of the year-on-year pace occurred only this year. The increase was 59 thousand persons at the beginning of the year, already 86 thousand in Q2 (the most in the CR history). Mainly males aged 60 and more years (+25 thousand) and females aged up to 30 years (+33 thousand) contributed to the record growth. These groups typically more often utilise part time job contracts and temporary employment. </w:t>
            </w:r>
          </w:p>
        </w:tc>
      </w:tr>
      <w:tr w:rsidR="00C2211E" w:rsidRPr="00D970F7" w14:paraId="6B6E05B7" w14:textId="77777777" w:rsidTr="00C2211E">
        <w:trPr>
          <w:trHeight w:val="155"/>
        </w:trPr>
        <w:tc>
          <w:tcPr>
            <w:tcW w:w="1792" w:type="dxa"/>
            <w:vMerge w:val="restart"/>
            <w:shd w:val="clear" w:color="auto" w:fill="auto"/>
            <w:tcMar>
              <w:left w:w="0" w:type="dxa"/>
            </w:tcMar>
          </w:tcPr>
          <w:p w14:paraId="553CEA22" w14:textId="77777777" w:rsidR="00C2211E" w:rsidRPr="00D970F7" w:rsidRDefault="00C2211E" w:rsidP="00C2211E">
            <w:pPr>
              <w:pStyle w:val="Marginlie"/>
              <w:rPr>
                <w:spacing w:val="-4"/>
                <w:lang w:val="en-GB"/>
              </w:rPr>
            </w:pPr>
          </w:p>
        </w:tc>
        <w:tc>
          <w:tcPr>
            <w:tcW w:w="216" w:type="dxa"/>
            <w:vMerge w:val="restart"/>
            <w:shd w:val="clear" w:color="auto" w:fill="auto"/>
            <w:tcMar>
              <w:left w:w="0" w:type="dxa"/>
            </w:tcMar>
          </w:tcPr>
          <w:p w14:paraId="1CEF0D4B"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19DDC227" w14:textId="3CE32B18" w:rsidR="00C2211E" w:rsidRPr="00D970F7" w:rsidRDefault="00C2211E" w:rsidP="00C2211E">
            <w:pPr>
              <w:spacing w:after="0"/>
              <w:rPr>
                <w:spacing w:val="-2"/>
                <w:lang w:val="en-GB"/>
              </w:rPr>
            </w:pPr>
            <w:r w:rsidRPr="00D970F7">
              <w:rPr>
                <w:rFonts w:cs="Arial"/>
                <w:b/>
                <w:bCs/>
                <w:color w:val="000000"/>
                <w:szCs w:val="20"/>
                <w:lang w:val="en-GB"/>
              </w:rPr>
              <w:t>Chart 13</w:t>
            </w:r>
            <w:r w:rsidRPr="00D970F7">
              <w:rPr>
                <w:rFonts w:cs="Arial"/>
                <w:b/>
                <w:bCs/>
                <w:color w:val="000000"/>
                <w:sz w:val="18"/>
                <w:szCs w:val="18"/>
                <w:lang w:val="en-GB"/>
              </w:rPr>
              <w:t xml:space="preserve">  </w:t>
            </w:r>
            <w:r w:rsidRPr="00D970F7">
              <w:rPr>
                <w:b/>
                <w:bCs/>
                <w:lang w:val="en-GB" w:eastAsia="en-US"/>
              </w:rPr>
              <w:t xml:space="preserve">Total employment </w:t>
            </w:r>
            <w:r w:rsidRPr="00D970F7">
              <w:rPr>
                <w:lang w:val="en-GB" w:eastAsia="en-US"/>
              </w:rPr>
              <w:t xml:space="preserve">(year-on-year in </w:t>
            </w:r>
            <w:r w:rsidRPr="00D970F7">
              <w:rPr>
                <w:spacing w:val="-2"/>
                <w:lang w:val="en-GB"/>
              </w:rPr>
              <w:t>%)</w:t>
            </w:r>
            <w:r w:rsidRPr="00D970F7">
              <w:rPr>
                <w:b/>
                <w:bCs/>
                <w:spacing w:val="-2"/>
                <w:lang w:val="en-GB"/>
              </w:rPr>
              <w:t xml:space="preserve">, contributions of main branches to year-on-year employment change </w:t>
            </w:r>
            <w:r w:rsidRPr="00D970F7">
              <w:rPr>
                <w:spacing w:val="-2"/>
                <w:lang w:val="en-GB"/>
              </w:rPr>
              <w:t>(in p.p.)</w:t>
            </w:r>
            <w:r w:rsidRPr="00D970F7">
              <w:rPr>
                <w:b/>
                <w:bCs/>
                <w:spacing w:val="-2"/>
                <w:lang w:val="en-GB"/>
              </w:rPr>
              <w:t xml:space="preserve"> and expectations of employment development </w:t>
            </w:r>
            <w:r w:rsidR="0038103D">
              <w:rPr>
                <w:spacing w:val="-2"/>
                <w:lang w:val="en-GB"/>
              </w:rPr>
              <w:t xml:space="preserve">(balance in p.p., </w:t>
            </w:r>
            <w:r w:rsidR="0038103D" w:rsidRPr="00D970F7">
              <w:rPr>
                <w:lang w:val="en-GB"/>
              </w:rPr>
              <w:t>right axis)</w:t>
            </w:r>
          </w:p>
        </w:tc>
      </w:tr>
      <w:tr w:rsidR="00C2211E" w:rsidRPr="00D970F7" w14:paraId="0D766E8A" w14:textId="77777777" w:rsidTr="00C2211E">
        <w:tblPrEx>
          <w:tblCellMar>
            <w:left w:w="70" w:type="dxa"/>
            <w:right w:w="70" w:type="dxa"/>
          </w:tblCellMar>
        </w:tblPrEx>
        <w:trPr>
          <w:trHeight w:val="155"/>
        </w:trPr>
        <w:tc>
          <w:tcPr>
            <w:tcW w:w="1792" w:type="dxa"/>
            <w:vMerge/>
            <w:shd w:val="clear" w:color="auto" w:fill="auto"/>
          </w:tcPr>
          <w:p w14:paraId="76DE3C7B" w14:textId="77777777" w:rsidR="00C2211E" w:rsidRPr="00D970F7" w:rsidRDefault="00C2211E" w:rsidP="00C2211E">
            <w:pPr>
              <w:pStyle w:val="Marginlie"/>
              <w:rPr>
                <w:spacing w:val="-4"/>
                <w:lang w:val="en-GB"/>
              </w:rPr>
            </w:pPr>
          </w:p>
        </w:tc>
        <w:tc>
          <w:tcPr>
            <w:tcW w:w="216" w:type="dxa"/>
            <w:vMerge/>
            <w:shd w:val="clear" w:color="auto" w:fill="auto"/>
          </w:tcPr>
          <w:p w14:paraId="46C33664" w14:textId="77777777" w:rsidR="00C2211E" w:rsidRPr="00D970F7" w:rsidRDefault="00C2211E" w:rsidP="00C2211E">
            <w:pPr>
              <w:pStyle w:val="Textpoznpodarou"/>
              <w:jc w:val="both"/>
              <w:rPr>
                <w:spacing w:val="-4"/>
                <w:lang w:val="en-GB"/>
              </w:rPr>
            </w:pPr>
          </w:p>
        </w:tc>
        <w:tc>
          <w:tcPr>
            <w:tcW w:w="7656" w:type="dxa"/>
            <w:shd w:val="clear" w:color="auto" w:fill="auto"/>
          </w:tcPr>
          <w:p w14:paraId="4A0A6FF9" w14:textId="77777777" w:rsidR="00C2211E" w:rsidRPr="00D970F7" w:rsidRDefault="00C2211E" w:rsidP="00C2211E">
            <w:pPr>
              <w:spacing w:after="0"/>
              <w:rPr>
                <w:spacing w:val="-4"/>
                <w:lang w:val="en-GB"/>
              </w:rPr>
            </w:pPr>
            <w:r>
              <w:rPr>
                <w:noProof/>
              </w:rPr>
              <w:drawing>
                <wp:inline distT="0" distB="0" distL="0" distR="0" wp14:anchorId="49660DD3" wp14:editId="6B2D38FB">
                  <wp:extent cx="4741545" cy="3717984"/>
                  <wp:effectExtent l="0" t="0" r="1905" b="0"/>
                  <wp:docPr id="34" name="Graf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C2211E" w:rsidRPr="00A372FA" w14:paraId="22007001" w14:textId="77777777" w:rsidTr="00C2211E">
        <w:trPr>
          <w:trHeight w:val="671"/>
        </w:trPr>
        <w:tc>
          <w:tcPr>
            <w:tcW w:w="1792" w:type="dxa"/>
            <w:vMerge/>
            <w:shd w:val="clear" w:color="auto" w:fill="auto"/>
            <w:tcMar>
              <w:left w:w="0" w:type="dxa"/>
            </w:tcMar>
          </w:tcPr>
          <w:p w14:paraId="137B57C3" w14:textId="77777777" w:rsidR="00C2211E" w:rsidRPr="00D970F7" w:rsidRDefault="00C2211E" w:rsidP="00C2211E">
            <w:pPr>
              <w:pStyle w:val="Marginlie"/>
              <w:rPr>
                <w:spacing w:val="-4"/>
                <w:lang w:val="en-GB"/>
              </w:rPr>
            </w:pPr>
          </w:p>
        </w:tc>
        <w:tc>
          <w:tcPr>
            <w:tcW w:w="216" w:type="dxa"/>
            <w:vMerge/>
            <w:shd w:val="clear" w:color="auto" w:fill="auto"/>
            <w:tcMar>
              <w:left w:w="0" w:type="dxa"/>
            </w:tcMar>
          </w:tcPr>
          <w:p w14:paraId="7DE28D15"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774B5623" w14:textId="77777777" w:rsidR="00C2211E" w:rsidRPr="00D970F7" w:rsidRDefault="00C2211E" w:rsidP="00C2211E">
            <w:pPr>
              <w:spacing w:after="0" w:line="240" w:lineRule="auto"/>
              <w:rPr>
                <w:rFonts w:cs="Arial"/>
                <w:sz w:val="14"/>
                <w:szCs w:val="14"/>
                <w:lang w:val="en-GB"/>
              </w:rPr>
            </w:pPr>
            <w:r w:rsidRPr="00D970F7">
              <w:rPr>
                <w:rFonts w:cs="Arial"/>
                <w:color w:val="0D0D0D" w:themeColor="text1" w:themeTint="F2"/>
                <w:spacing w:val="-2"/>
                <w:sz w:val="14"/>
                <w:szCs w:val="14"/>
                <w:lang w:val="en-GB"/>
              </w:rPr>
              <w:t>*</w:t>
            </w:r>
            <w:r w:rsidRPr="00D970F7">
              <w:rPr>
                <w:rFonts w:cs="Arial"/>
                <w:sz w:val="14"/>
                <w:szCs w:val="14"/>
                <w:lang w:val="en-GB"/>
              </w:rPr>
              <w:t xml:space="preserve"> Mining and energetics; Financial and insurance activities; Real estate activities; Arts, entertainment and recreation activities;   </w:t>
            </w:r>
          </w:p>
          <w:p w14:paraId="20347221" w14:textId="77777777" w:rsidR="00C2211E" w:rsidRPr="00D970F7" w:rsidRDefault="00C2211E" w:rsidP="00C2211E">
            <w:pPr>
              <w:spacing w:after="0" w:line="240" w:lineRule="auto"/>
              <w:rPr>
                <w:rFonts w:cs="Arial"/>
                <w:sz w:val="14"/>
                <w:szCs w:val="14"/>
                <w:lang w:val="en-GB"/>
              </w:rPr>
            </w:pPr>
            <w:r w:rsidRPr="00D970F7">
              <w:rPr>
                <w:rFonts w:cs="Arial"/>
                <w:sz w:val="14"/>
                <w:szCs w:val="14"/>
                <w:lang w:val="en-GB"/>
              </w:rPr>
              <w:t xml:space="preserve">Note: Balance of expectations expresses the difference in p.p. between categories (growth vs. decrease of employment in the next three months). Data are seasonally adjusted and relate to the last month of the given quarter. </w:t>
            </w:r>
          </w:p>
          <w:p w14:paraId="170B27BE" w14:textId="77777777" w:rsidR="00C2211E" w:rsidRPr="00A372FA" w:rsidRDefault="00C2211E" w:rsidP="00C2211E">
            <w:pPr>
              <w:spacing w:after="220" w:line="240" w:lineRule="auto"/>
              <w:rPr>
                <w:rFonts w:cs="Arial"/>
                <w:sz w:val="14"/>
                <w:szCs w:val="14"/>
                <w:lang w:val="en-GB"/>
              </w:rPr>
            </w:pPr>
            <w:r w:rsidRPr="00D970F7">
              <w:rPr>
                <w:rFonts w:cs="Arial"/>
                <w:sz w:val="14"/>
                <w:szCs w:val="14"/>
                <w:lang w:val="en-GB"/>
              </w:rPr>
              <w:t>Source: CZSO (national accounts, business cycle surveys</w:t>
            </w:r>
            <w:r>
              <w:rPr>
                <w:rFonts w:cs="Arial"/>
                <w:sz w:val="14"/>
                <w:szCs w:val="14"/>
                <w:lang w:val="en-GB"/>
              </w:rPr>
              <w:t>)</w:t>
            </w:r>
          </w:p>
        </w:tc>
      </w:tr>
      <w:tr w:rsidR="00C2211E" w:rsidRPr="00D970F7" w14:paraId="2AE02B2F" w14:textId="77777777" w:rsidTr="00C2211E">
        <w:trPr>
          <w:trHeight w:val="145"/>
        </w:trPr>
        <w:tc>
          <w:tcPr>
            <w:tcW w:w="1792" w:type="dxa"/>
            <w:shd w:val="clear" w:color="auto" w:fill="auto"/>
            <w:tcMar>
              <w:left w:w="0" w:type="dxa"/>
            </w:tcMar>
          </w:tcPr>
          <w:p w14:paraId="05D590E3" w14:textId="77777777" w:rsidR="00C2211E" w:rsidRPr="00D970F7" w:rsidRDefault="00C2211E" w:rsidP="00C2211E">
            <w:pPr>
              <w:pStyle w:val="Marginlie"/>
              <w:rPr>
                <w:lang w:val="en-GB"/>
              </w:rPr>
            </w:pPr>
            <w:r w:rsidRPr="00D970F7">
              <w:rPr>
                <w:lang w:val="en-GB"/>
              </w:rPr>
              <w:lastRenderedPageBreak/>
              <w:t xml:space="preserve">General unemployment rate increased only slightly; the rate grew faster for males. </w:t>
            </w:r>
          </w:p>
          <w:p w14:paraId="6D24029E" w14:textId="77777777" w:rsidR="00C2211E" w:rsidRPr="00D970F7" w:rsidRDefault="00C2211E" w:rsidP="00C2211E">
            <w:pPr>
              <w:pStyle w:val="Marginlie"/>
              <w:rPr>
                <w:lang w:val="en-GB"/>
              </w:rPr>
            </w:pPr>
          </w:p>
          <w:p w14:paraId="19856368" w14:textId="77777777" w:rsidR="00C2211E" w:rsidRPr="00D970F7" w:rsidRDefault="00C2211E" w:rsidP="00C2211E">
            <w:pPr>
              <w:pStyle w:val="Marginlie"/>
              <w:rPr>
                <w:lang w:val="en-GB"/>
              </w:rPr>
            </w:pPr>
          </w:p>
          <w:p w14:paraId="2D4357F0" w14:textId="77777777" w:rsidR="00C2211E" w:rsidRPr="00D970F7" w:rsidRDefault="00C2211E" w:rsidP="00C2211E">
            <w:pPr>
              <w:pStyle w:val="Marginlie"/>
              <w:rPr>
                <w:lang w:val="en-GB"/>
              </w:rPr>
            </w:pPr>
          </w:p>
          <w:p w14:paraId="0B914CC9" w14:textId="77777777" w:rsidR="00C2211E" w:rsidRPr="00D970F7" w:rsidRDefault="00C2211E" w:rsidP="00C2211E">
            <w:pPr>
              <w:pStyle w:val="Marginlie"/>
              <w:rPr>
                <w:lang w:val="en-GB"/>
              </w:rPr>
            </w:pPr>
            <w:r w:rsidRPr="00D970F7">
              <w:rPr>
                <w:lang w:val="en-GB"/>
              </w:rPr>
              <w:t xml:space="preserve">Expectations of households regarding the unemployment growth sharply hiked up. </w:t>
            </w:r>
          </w:p>
        </w:tc>
        <w:tc>
          <w:tcPr>
            <w:tcW w:w="216" w:type="dxa"/>
            <w:shd w:val="clear" w:color="auto" w:fill="auto"/>
            <w:tcMar>
              <w:left w:w="0" w:type="dxa"/>
            </w:tcMar>
          </w:tcPr>
          <w:p w14:paraId="603B7024"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634A0CF6" w14:textId="77777777" w:rsidR="00C2211E" w:rsidRPr="00D970F7" w:rsidRDefault="00C2211E" w:rsidP="00C2211E">
            <w:pPr>
              <w:spacing w:after="220"/>
              <w:rPr>
                <w:spacing w:val="-4"/>
                <w:lang w:val="en-GB"/>
              </w:rPr>
            </w:pPr>
            <w:r w:rsidRPr="00D970F7">
              <w:rPr>
                <w:spacing w:val="-4"/>
                <w:lang w:val="en-GB"/>
              </w:rPr>
              <w:t>General unemployment rate</w:t>
            </w:r>
            <w:r w:rsidRPr="00D970F7">
              <w:rPr>
                <w:rStyle w:val="Znakapoznpodarou"/>
                <w:color w:val="0D0D0D" w:themeColor="text1" w:themeTint="F2"/>
                <w:spacing w:val="-4"/>
                <w:lang w:val="en-GB"/>
              </w:rPr>
              <w:footnoteReference w:id="5"/>
            </w:r>
            <w:r w:rsidRPr="00D970F7">
              <w:rPr>
                <w:spacing w:val="-4"/>
                <w:lang w:val="en-GB"/>
              </w:rPr>
              <w:t xml:space="preserve"> went mildly up during Q2. It was 2.7%, while the difference between genders (0.3 p.p.) was one of the smallest in the monitored time series since year 1993. The unemployment of males rose by 0.8 p.p. since the beginning of this year, by 0.6 p.p. for females. It can seem surprising at first sight, since the recession hit more the branches of services with the predominance of employed women in its first phase. Onset of unemployment of females was softened by the option to draw care benefits</w:t>
            </w:r>
            <w:r w:rsidRPr="00D970F7">
              <w:rPr>
                <w:rStyle w:val="Znakapoznpodarou"/>
                <w:color w:val="0D0D0D" w:themeColor="text1" w:themeTint="F2"/>
                <w:spacing w:val="-4"/>
                <w:lang w:val="en-GB"/>
              </w:rPr>
              <w:footnoteReference w:id="6"/>
            </w:r>
            <w:r w:rsidRPr="00D970F7">
              <w:rPr>
                <w:spacing w:val="-4"/>
                <w:lang w:val="en-GB"/>
              </w:rPr>
              <w:t xml:space="preserve"> for the reason of closing schools and other facilities. Positive fact was that even long-term unemployed were still finding work. Their share on total unemployed neared 20% (the lowest level since half of 90s). However, the balance of expectations of growth of unemployment in the economy (in the upcoming twelve months) among households sharply hiked up and it got to the level last observed in year 2012</w:t>
            </w:r>
            <w:r w:rsidRPr="00D970F7">
              <w:rPr>
                <w:rStyle w:val="Znakapoznpodarou"/>
                <w:color w:val="0D0D0D" w:themeColor="text1" w:themeTint="F2"/>
                <w:spacing w:val="-4"/>
                <w:lang w:val="en-GB"/>
              </w:rPr>
              <w:footnoteReference w:id="7"/>
            </w:r>
            <w:r w:rsidRPr="00D970F7">
              <w:rPr>
                <w:spacing w:val="-4"/>
                <w:lang w:val="en-GB"/>
              </w:rPr>
              <w:t xml:space="preserve"> in Q2.</w:t>
            </w:r>
          </w:p>
        </w:tc>
      </w:tr>
      <w:tr w:rsidR="00C2211E" w:rsidRPr="00D970F7" w14:paraId="0B2E65EC" w14:textId="77777777" w:rsidTr="00C2211E">
        <w:trPr>
          <w:trHeight w:val="145"/>
        </w:trPr>
        <w:tc>
          <w:tcPr>
            <w:tcW w:w="1792" w:type="dxa"/>
            <w:shd w:val="clear" w:color="auto" w:fill="auto"/>
            <w:tcMar>
              <w:left w:w="0" w:type="dxa"/>
            </w:tcMar>
          </w:tcPr>
          <w:p w14:paraId="74E5808A" w14:textId="77777777" w:rsidR="00C2211E" w:rsidRPr="00D970F7" w:rsidRDefault="00C2211E" w:rsidP="00C2211E">
            <w:pPr>
              <w:pStyle w:val="Marginlie"/>
              <w:rPr>
                <w:lang w:val="en-GB"/>
              </w:rPr>
            </w:pPr>
            <w:r w:rsidRPr="00D970F7">
              <w:rPr>
                <w:lang w:val="en-GB"/>
              </w:rPr>
              <w:t xml:space="preserve">Number of registered job vacancies only slightly fluctuated. Higher increase occurred in Prague and central Bohemia. </w:t>
            </w:r>
          </w:p>
        </w:tc>
        <w:tc>
          <w:tcPr>
            <w:tcW w:w="216" w:type="dxa"/>
            <w:shd w:val="clear" w:color="auto" w:fill="auto"/>
            <w:tcMar>
              <w:left w:w="0" w:type="dxa"/>
            </w:tcMar>
          </w:tcPr>
          <w:p w14:paraId="23811F80"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2BA24499" w14:textId="77777777" w:rsidR="00C2211E" w:rsidRPr="00D970F7" w:rsidRDefault="00C2211E" w:rsidP="00C2211E">
            <w:pPr>
              <w:spacing w:after="200"/>
              <w:rPr>
                <w:spacing w:val="-3"/>
                <w:lang w:val="en-GB"/>
              </w:rPr>
            </w:pPr>
            <w:r w:rsidRPr="00D970F7">
              <w:rPr>
                <w:spacing w:val="-4"/>
                <w:lang w:val="en-GB"/>
              </w:rPr>
              <w:t>Number of job vacancies in the supply of labour offices did not feature any significant changes during H1. It equalled 334 thousand at the end of June and fell by 3.5% year-on-year (nevertheless by 15% for positions requiring higher than primary education). More than one third of positions was vacant for more than one year. Total supply of job vacancies decreased in manufacturing (in servicing machinery and equipment), in trade or administrative as well as support service activities. As a result of difficult mobility of foreign workers, the number of vacant jobs expanded in the primary sector. Growth of the total supply of job vacancies occurred in Prague (+15%) and central Bohemia (+12%), for the overwhelming part it consisted of low-qualification manual positions (for persons with primary education).</w:t>
            </w:r>
          </w:p>
        </w:tc>
      </w:tr>
      <w:tr w:rsidR="00C2211E" w:rsidRPr="00D970F7" w14:paraId="4A1E130B" w14:textId="77777777" w:rsidTr="00C2211E">
        <w:trPr>
          <w:trHeight w:val="145"/>
        </w:trPr>
        <w:tc>
          <w:tcPr>
            <w:tcW w:w="1792" w:type="dxa"/>
            <w:shd w:val="clear" w:color="auto" w:fill="auto"/>
            <w:tcMar>
              <w:left w:w="0" w:type="dxa"/>
            </w:tcMar>
          </w:tcPr>
          <w:p w14:paraId="0E08B507" w14:textId="77777777" w:rsidR="00C2211E" w:rsidRPr="00D970F7" w:rsidRDefault="00C2211E" w:rsidP="00C2211E">
            <w:pPr>
              <w:pStyle w:val="Marginlie"/>
              <w:rPr>
                <w:lang w:val="en-GB"/>
              </w:rPr>
            </w:pPr>
            <w:r w:rsidRPr="00D970F7">
              <w:rPr>
                <w:lang w:val="en-GB"/>
              </w:rPr>
              <w:t>Total unemployment rate increased only slightly in majority of the EU states for H1. It grew faster for persons up to 25 years.</w:t>
            </w:r>
          </w:p>
        </w:tc>
        <w:tc>
          <w:tcPr>
            <w:tcW w:w="216" w:type="dxa"/>
            <w:shd w:val="clear" w:color="auto" w:fill="auto"/>
            <w:tcMar>
              <w:left w:w="0" w:type="dxa"/>
            </w:tcMar>
          </w:tcPr>
          <w:p w14:paraId="7F157A0C"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75F81A83" w14:textId="77777777" w:rsidR="00C2211E" w:rsidRPr="00D970F7" w:rsidRDefault="00C2211E" w:rsidP="00C2211E">
            <w:pPr>
              <w:spacing w:after="160"/>
              <w:rPr>
                <w:spacing w:val="-4"/>
                <w:lang w:val="en-GB"/>
              </w:rPr>
            </w:pPr>
            <w:r w:rsidRPr="00D970F7">
              <w:rPr>
                <w:spacing w:val="-4"/>
                <w:lang w:val="en-GB"/>
              </w:rPr>
              <w:t>Mild reaction of the labour market to the economic shock can be observed in the majority of EU countries</w:t>
            </w:r>
            <w:r w:rsidRPr="00D970F7">
              <w:rPr>
                <w:rStyle w:val="Znakapoznpodarou"/>
                <w:color w:val="0D0D0D" w:themeColor="text1" w:themeTint="F2"/>
                <w:spacing w:val="-4"/>
                <w:lang w:val="en-GB"/>
              </w:rPr>
              <w:footnoteReference w:id="8"/>
            </w:r>
            <w:r w:rsidRPr="00D970F7">
              <w:rPr>
                <w:spacing w:val="-4"/>
                <w:lang w:val="en-GB"/>
              </w:rPr>
              <w:t xml:space="preserve"> for now. The unemployment rate</w:t>
            </w:r>
            <w:r w:rsidRPr="00D970F7">
              <w:rPr>
                <w:rStyle w:val="Znakapoznpodarou"/>
                <w:color w:val="0D0D0D" w:themeColor="text1" w:themeTint="F2"/>
                <w:spacing w:val="-4"/>
                <w:lang w:val="en-GB"/>
              </w:rPr>
              <w:footnoteReference w:id="9"/>
            </w:r>
            <w:r w:rsidRPr="00D970F7">
              <w:rPr>
                <w:spacing w:val="-4"/>
                <w:lang w:val="en-GB"/>
              </w:rPr>
              <w:t xml:space="preserve"> rose by 0.6 p.p. (without significant differences between males and females) during H1, it arrived at 7.1% in June. Only three states avoided decrease (Ireland, France, Italy), on the contrary Estonia, Latvia, Lithuania and Croatia registered growth within the rage of 2.5 to 3.5 p.p. Interestingly also, a lowest GDP decrease eventuated in the Baltic states compared to the EU members in Q2. Frequent employment in the affected branches as well as large share of more flexible job contracts led to higher increase of unemployment of young persons (aged up to 25 years) in the EU in H1 (+3.0 p. b. for females, +1.4 p.p. for males). It increased the most in Estonia (+14 p.p.) and Spain (+10 p.p.), where it reached maximum among the Union members (42%)</w:t>
            </w:r>
            <w:r w:rsidRPr="00D970F7">
              <w:rPr>
                <w:rStyle w:val="Znakapoznpodarou"/>
                <w:color w:val="0D0D0D" w:themeColor="text1" w:themeTint="F2"/>
                <w:spacing w:val="-4"/>
                <w:lang w:val="en-GB"/>
              </w:rPr>
              <w:footnoteReference w:id="10"/>
            </w:r>
            <w:r w:rsidRPr="00D970F7">
              <w:rPr>
                <w:spacing w:val="-4"/>
                <w:lang w:val="en-GB"/>
              </w:rPr>
              <w:t>. Sweden, Luxembourg, Croatia and Portugal registered larger shift (by more than 7 p.p.). The shift was below 4 p.p. in the CR, unemployment still ranked among one of the lowest even in this age group in the whole EU (CR 8.6%, Germany 5.7%, EU 16.9%).</w:t>
            </w:r>
          </w:p>
        </w:tc>
      </w:tr>
      <w:tr w:rsidR="00C2211E" w:rsidRPr="00D970F7" w14:paraId="64BD0AF0" w14:textId="77777777" w:rsidTr="00C2211E">
        <w:trPr>
          <w:trHeight w:val="145"/>
        </w:trPr>
        <w:tc>
          <w:tcPr>
            <w:tcW w:w="1792" w:type="dxa"/>
            <w:shd w:val="clear" w:color="auto" w:fill="auto"/>
            <w:tcMar>
              <w:left w:w="0" w:type="dxa"/>
            </w:tcMar>
          </w:tcPr>
          <w:p w14:paraId="7ECD65C8" w14:textId="77777777" w:rsidR="00C2211E" w:rsidRPr="00D970F7" w:rsidRDefault="00C2211E" w:rsidP="00C2211E">
            <w:pPr>
              <w:pStyle w:val="Marginlie"/>
              <w:rPr>
                <w:lang w:val="en-GB"/>
              </w:rPr>
            </w:pPr>
            <w:r w:rsidRPr="00D970F7">
              <w:rPr>
                <w:lang w:val="en-GB"/>
              </w:rPr>
              <w:t>So called hidden unemployment increased significantly in the EU already during Q1.</w:t>
            </w:r>
          </w:p>
        </w:tc>
        <w:tc>
          <w:tcPr>
            <w:tcW w:w="216" w:type="dxa"/>
            <w:shd w:val="clear" w:color="auto" w:fill="auto"/>
            <w:tcMar>
              <w:left w:w="0" w:type="dxa"/>
            </w:tcMar>
          </w:tcPr>
          <w:p w14:paraId="28C6B33A"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69D67E6D" w14:textId="77777777" w:rsidR="00C2211E" w:rsidRPr="00D970F7" w:rsidRDefault="00C2211E" w:rsidP="00C2211E">
            <w:pPr>
              <w:spacing w:after="160"/>
              <w:rPr>
                <w:spacing w:val="-4"/>
                <w:lang w:val="en-GB"/>
              </w:rPr>
            </w:pPr>
            <w:r w:rsidRPr="00D970F7">
              <w:rPr>
                <w:spacing w:val="-4"/>
                <w:lang w:val="en-GB"/>
              </w:rPr>
              <w:t>Differences between the EU states in the existing impacts of the shock on the labour market were influenced by the speed as well as intensity of adopted counter pandemic measures, branch structure of the economy as well as extent of government stabilisation measures aimed at both employers and small-scale entrepreneurs. Data for Q1 already suggest, that the transfer of employed among economically inactive was the most significant flow on the Union labour market</w:t>
            </w:r>
            <w:r w:rsidRPr="00D970F7">
              <w:rPr>
                <w:rStyle w:val="Znakapoznpodarou"/>
                <w:color w:val="0D0D0D" w:themeColor="text1" w:themeTint="F2"/>
                <w:spacing w:val="-4"/>
                <w:lang w:val="en-GB"/>
              </w:rPr>
              <w:footnoteReference w:id="11"/>
            </w:r>
            <w:r w:rsidRPr="00D970F7">
              <w:rPr>
                <w:spacing w:val="-4"/>
                <w:lang w:val="en-GB"/>
              </w:rPr>
              <w:t xml:space="preserve">. Part of these inactive can be at the same time regarded as hidden </w:t>
            </w:r>
            <w:r w:rsidRPr="00D970F7">
              <w:rPr>
                <w:spacing w:val="-4"/>
                <w:lang w:val="en-GB"/>
              </w:rPr>
              <w:lastRenderedPageBreak/>
              <w:t>unemployed</w:t>
            </w:r>
            <w:r w:rsidRPr="00D970F7">
              <w:rPr>
                <w:rStyle w:val="Znakapoznpodarou"/>
                <w:color w:val="0D0D0D" w:themeColor="text1" w:themeTint="F2"/>
                <w:spacing w:val="-4"/>
                <w:lang w:val="en-GB"/>
              </w:rPr>
              <w:footnoteReference w:id="12"/>
            </w:r>
            <w:r w:rsidRPr="00D970F7">
              <w:rPr>
                <w:spacing w:val="-4"/>
                <w:lang w:val="en-GB"/>
              </w:rPr>
              <w:t>. Their ratio to the total number of economically active increased from 6.8% to 7.4% compared to Q4 2019 and attained high values even compared to “classical” unemployment in some states (Italy, 14.7%, Finland 10.6%), however very low 0.9% in the CR.</w:t>
            </w:r>
          </w:p>
        </w:tc>
      </w:tr>
      <w:tr w:rsidR="00C2211E" w:rsidRPr="00D970F7" w14:paraId="39AA320A" w14:textId="77777777" w:rsidTr="00C2211E">
        <w:trPr>
          <w:trHeight w:val="155"/>
        </w:trPr>
        <w:tc>
          <w:tcPr>
            <w:tcW w:w="1792" w:type="dxa"/>
            <w:vMerge w:val="restart"/>
            <w:shd w:val="clear" w:color="auto" w:fill="auto"/>
            <w:tcMar>
              <w:left w:w="0" w:type="dxa"/>
            </w:tcMar>
          </w:tcPr>
          <w:p w14:paraId="4359963E" w14:textId="77777777" w:rsidR="00C2211E" w:rsidRPr="00D970F7" w:rsidRDefault="00C2211E" w:rsidP="00C2211E">
            <w:pPr>
              <w:pStyle w:val="Marginlie"/>
              <w:rPr>
                <w:spacing w:val="-4"/>
                <w:lang w:val="en-GB"/>
              </w:rPr>
            </w:pPr>
          </w:p>
        </w:tc>
        <w:tc>
          <w:tcPr>
            <w:tcW w:w="216" w:type="dxa"/>
            <w:vMerge w:val="restart"/>
            <w:shd w:val="clear" w:color="auto" w:fill="auto"/>
            <w:tcMar>
              <w:left w:w="0" w:type="dxa"/>
            </w:tcMar>
          </w:tcPr>
          <w:p w14:paraId="5EE5A86E"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2B7B70FC" w14:textId="77777777" w:rsidR="00C2211E" w:rsidRPr="00D970F7" w:rsidRDefault="00C2211E" w:rsidP="00C2211E">
            <w:pPr>
              <w:spacing w:after="0"/>
              <w:rPr>
                <w:b/>
                <w:spacing w:val="-2"/>
                <w:lang w:val="en-GB"/>
              </w:rPr>
            </w:pPr>
            <w:r w:rsidRPr="00D970F7">
              <w:rPr>
                <w:b/>
                <w:spacing w:val="-2"/>
                <w:lang w:val="en-GB"/>
              </w:rPr>
              <w:t xml:space="preserve">Chart 14  </w:t>
            </w:r>
            <w:r w:rsidRPr="00D970F7">
              <w:rPr>
                <w:rFonts w:cs="Arial"/>
                <w:b/>
                <w:spacing w:val="-3"/>
                <w:lang w:val="en-GB"/>
              </w:rPr>
              <w:t xml:space="preserve">General unemployment rate </w:t>
            </w:r>
            <w:r w:rsidRPr="00D970F7">
              <w:rPr>
                <w:rFonts w:cs="Arial"/>
                <w:bCs/>
                <w:spacing w:val="-3"/>
                <w:lang w:val="en-GB"/>
              </w:rPr>
              <w:t>(in %)</w:t>
            </w:r>
            <w:r w:rsidRPr="00D970F7">
              <w:rPr>
                <w:rFonts w:cs="Arial"/>
                <w:b/>
                <w:spacing w:val="-3"/>
                <w:lang w:val="en-GB"/>
              </w:rPr>
              <w:t xml:space="preserve">, ratio of long-term unemployed and persons aged 50 and more among unemployed </w:t>
            </w:r>
            <w:r w:rsidRPr="00D970F7">
              <w:rPr>
                <w:rFonts w:cs="Arial"/>
                <w:bCs/>
                <w:spacing w:val="-3"/>
                <w:lang w:val="en-GB"/>
              </w:rPr>
              <w:t>(in %)</w:t>
            </w:r>
            <w:r w:rsidRPr="00D970F7">
              <w:rPr>
                <w:rFonts w:cs="Arial"/>
                <w:b/>
                <w:spacing w:val="-3"/>
                <w:lang w:val="en-GB"/>
              </w:rPr>
              <w:t xml:space="preserve">, economically inactive willing to work </w:t>
            </w:r>
            <w:r w:rsidRPr="00D970F7">
              <w:rPr>
                <w:rFonts w:cs="Arial"/>
                <w:bCs/>
                <w:spacing w:val="-3"/>
                <w:lang w:val="en-GB"/>
              </w:rPr>
              <w:t>(in thousand)</w:t>
            </w:r>
            <w:r w:rsidRPr="00D970F7">
              <w:rPr>
                <w:rFonts w:cs="Arial"/>
                <w:bCs/>
                <w:spacing w:val="-2"/>
                <w:lang w:val="en-GB"/>
              </w:rPr>
              <w:t>*</w:t>
            </w:r>
            <w:r w:rsidRPr="00D970F7">
              <w:rPr>
                <w:rFonts w:cs="Arial"/>
                <w:b/>
                <w:spacing w:val="-3"/>
                <w:lang w:val="en-GB"/>
              </w:rPr>
              <w:t xml:space="preserve"> and unemployment expectations of households </w:t>
            </w:r>
            <w:r w:rsidRPr="00D970F7">
              <w:rPr>
                <w:rFonts w:cs="Arial"/>
                <w:bCs/>
                <w:spacing w:val="-2"/>
                <w:lang w:val="en-GB"/>
              </w:rPr>
              <w:t>(in %)**</w:t>
            </w:r>
          </w:p>
        </w:tc>
      </w:tr>
      <w:tr w:rsidR="00C2211E" w:rsidRPr="00D970F7" w14:paraId="6C0D3FD6" w14:textId="77777777" w:rsidTr="00C2211E">
        <w:tblPrEx>
          <w:tblCellMar>
            <w:left w:w="70" w:type="dxa"/>
            <w:right w:w="70" w:type="dxa"/>
          </w:tblCellMar>
        </w:tblPrEx>
        <w:trPr>
          <w:trHeight w:val="155"/>
        </w:trPr>
        <w:tc>
          <w:tcPr>
            <w:tcW w:w="1792" w:type="dxa"/>
            <w:vMerge/>
            <w:shd w:val="clear" w:color="auto" w:fill="auto"/>
          </w:tcPr>
          <w:p w14:paraId="514E6FD7" w14:textId="77777777" w:rsidR="00C2211E" w:rsidRPr="00D970F7" w:rsidRDefault="00C2211E" w:rsidP="00C2211E">
            <w:pPr>
              <w:pStyle w:val="Marginlie"/>
              <w:rPr>
                <w:spacing w:val="-4"/>
                <w:lang w:val="en-GB"/>
              </w:rPr>
            </w:pPr>
          </w:p>
        </w:tc>
        <w:tc>
          <w:tcPr>
            <w:tcW w:w="216" w:type="dxa"/>
            <w:vMerge/>
            <w:shd w:val="clear" w:color="auto" w:fill="auto"/>
          </w:tcPr>
          <w:p w14:paraId="49256C83" w14:textId="77777777" w:rsidR="00C2211E" w:rsidRPr="00D970F7" w:rsidRDefault="00C2211E" w:rsidP="00C2211E">
            <w:pPr>
              <w:pStyle w:val="Textpoznpodarou"/>
              <w:jc w:val="both"/>
              <w:rPr>
                <w:spacing w:val="-4"/>
                <w:lang w:val="en-GB"/>
              </w:rPr>
            </w:pPr>
          </w:p>
        </w:tc>
        <w:tc>
          <w:tcPr>
            <w:tcW w:w="7656" w:type="dxa"/>
            <w:shd w:val="clear" w:color="auto" w:fill="auto"/>
          </w:tcPr>
          <w:p w14:paraId="3BC0BC86" w14:textId="77777777" w:rsidR="00C2211E" w:rsidRPr="00D970F7" w:rsidRDefault="00C2211E" w:rsidP="00C2211E">
            <w:pPr>
              <w:spacing w:after="0"/>
              <w:rPr>
                <w:spacing w:val="-4"/>
                <w:lang w:val="en-GB"/>
              </w:rPr>
            </w:pPr>
            <w:r>
              <w:rPr>
                <w:noProof/>
              </w:rPr>
              <w:drawing>
                <wp:inline distT="0" distB="0" distL="0" distR="0" wp14:anchorId="40EFF383" wp14:editId="505DCC05">
                  <wp:extent cx="4715772" cy="3567706"/>
                  <wp:effectExtent l="0" t="0" r="8890" b="0"/>
                  <wp:docPr id="36" name="Graf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C2211E" w:rsidRPr="00094367" w14:paraId="7559FD80" w14:textId="77777777" w:rsidTr="00C2211E">
        <w:trPr>
          <w:trHeight w:val="671"/>
        </w:trPr>
        <w:tc>
          <w:tcPr>
            <w:tcW w:w="1792" w:type="dxa"/>
            <w:vMerge/>
            <w:shd w:val="clear" w:color="auto" w:fill="auto"/>
            <w:tcMar>
              <w:left w:w="0" w:type="dxa"/>
            </w:tcMar>
          </w:tcPr>
          <w:p w14:paraId="5356E8CE" w14:textId="77777777" w:rsidR="00C2211E" w:rsidRPr="00D970F7" w:rsidRDefault="00C2211E" w:rsidP="00C2211E">
            <w:pPr>
              <w:pStyle w:val="Marginlie"/>
              <w:rPr>
                <w:spacing w:val="-4"/>
                <w:lang w:val="en-GB"/>
              </w:rPr>
            </w:pPr>
          </w:p>
        </w:tc>
        <w:tc>
          <w:tcPr>
            <w:tcW w:w="216" w:type="dxa"/>
            <w:vMerge/>
            <w:shd w:val="clear" w:color="auto" w:fill="auto"/>
            <w:tcMar>
              <w:left w:w="0" w:type="dxa"/>
            </w:tcMar>
          </w:tcPr>
          <w:p w14:paraId="482E0E9D"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29F36677" w14:textId="77777777" w:rsidR="00C2211E" w:rsidRPr="00D970F7" w:rsidRDefault="00C2211E" w:rsidP="00C2211E">
            <w:pPr>
              <w:spacing w:after="0" w:line="240" w:lineRule="auto"/>
              <w:rPr>
                <w:rFonts w:cs="Arial"/>
                <w:color w:val="0D0D0D" w:themeColor="text1" w:themeTint="F2"/>
                <w:sz w:val="14"/>
                <w:szCs w:val="14"/>
                <w:lang w:val="en-GB"/>
              </w:rPr>
            </w:pPr>
            <w:r w:rsidRPr="00D970F7">
              <w:rPr>
                <w:rFonts w:cs="Arial"/>
                <w:color w:val="0D0D0D" w:themeColor="text1" w:themeTint="F2"/>
                <w:sz w:val="14"/>
                <w:szCs w:val="14"/>
                <w:lang w:val="en-GB"/>
              </w:rPr>
              <w:t>Note.: Figures regarding the unemployment rate are seasonally adjusted, other data are not.</w:t>
            </w:r>
          </w:p>
          <w:p w14:paraId="79AEBD5E" w14:textId="77777777" w:rsidR="00C2211E" w:rsidRPr="00D970F7" w:rsidRDefault="00C2211E" w:rsidP="00C2211E">
            <w:pPr>
              <w:spacing w:after="0" w:line="240" w:lineRule="auto"/>
              <w:rPr>
                <w:rFonts w:cs="Arial"/>
                <w:bCs/>
                <w:color w:val="0D0D0D" w:themeColor="text1" w:themeTint="F2"/>
                <w:sz w:val="14"/>
                <w:szCs w:val="14"/>
                <w:lang w:val="en-GB"/>
              </w:rPr>
            </w:pPr>
            <w:r w:rsidRPr="00D970F7">
              <w:rPr>
                <w:rFonts w:cs="Arial"/>
                <w:bCs/>
                <w:color w:val="0D0D0D" w:themeColor="text1" w:themeTint="F2"/>
                <w:sz w:val="14"/>
                <w:szCs w:val="14"/>
                <w:lang w:val="en-GB"/>
              </w:rPr>
              <w:t xml:space="preserve">*Persons not in employment, not seeking work, but expressing the willingness to work. </w:t>
            </w:r>
          </w:p>
          <w:p w14:paraId="3FA3ACB2" w14:textId="77777777" w:rsidR="00C2211E" w:rsidRPr="00D970F7" w:rsidRDefault="00C2211E" w:rsidP="00C2211E">
            <w:pPr>
              <w:spacing w:after="0" w:line="240" w:lineRule="auto"/>
              <w:rPr>
                <w:rFonts w:cs="Arial"/>
                <w:color w:val="0D0D0D" w:themeColor="text1" w:themeTint="F2"/>
                <w:spacing w:val="-2"/>
                <w:sz w:val="14"/>
                <w:szCs w:val="14"/>
                <w:lang w:val="en-GB"/>
              </w:rPr>
            </w:pPr>
            <w:r w:rsidRPr="00D970F7">
              <w:rPr>
                <w:rFonts w:cs="Arial"/>
                <w:color w:val="0D0D0D" w:themeColor="text1" w:themeTint="F2"/>
                <w:spacing w:val="-2"/>
                <w:sz w:val="14"/>
                <w:szCs w:val="14"/>
                <w:lang w:val="en-GB"/>
              </w:rPr>
              <w:t xml:space="preserve">**Seasonally adjusted balance of expectations of unemployment in the next 12 months (difference between percentage frequency of answers of households “growth” and “decrease” expressed in percentage points. Data relate to the last month of the given quarter. </w:t>
            </w:r>
          </w:p>
          <w:p w14:paraId="0524F1B9" w14:textId="77777777" w:rsidR="00C2211E" w:rsidRPr="00094367" w:rsidRDefault="00C2211E" w:rsidP="00C2211E">
            <w:pPr>
              <w:spacing w:after="220" w:line="240" w:lineRule="auto"/>
              <w:rPr>
                <w:rFonts w:cs="Arial"/>
                <w:color w:val="0D0D0D" w:themeColor="text1" w:themeTint="F2"/>
                <w:sz w:val="14"/>
                <w:szCs w:val="14"/>
                <w:lang w:val="en-GB"/>
              </w:rPr>
            </w:pPr>
            <w:r w:rsidRPr="00D970F7">
              <w:rPr>
                <w:rFonts w:cs="Arial"/>
                <w:color w:val="0D0D0D" w:themeColor="text1" w:themeTint="F2"/>
                <w:sz w:val="14"/>
                <w:szCs w:val="14"/>
                <w:lang w:val="en-GB"/>
              </w:rPr>
              <w:t>Source: CZSO</w:t>
            </w:r>
            <w:r>
              <w:rPr>
                <w:rFonts w:cs="Arial"/>
                <w:color w:val="0D0D0D" w:themeColor="text1" w:themeTint="F2"/>
                <w:sz w:val="14"/>
                <w:szCs w:val="14"/>
                <w:lang w:val="en-GB"/>
              </w:rPr>
              <w:t xml:space="preserve"> (LFSS, business cycle surveys)</w:t>
            </w:r>
          </w:p>
        </w:tc>
      </w:tr>
      <w:tr w:rsidR="00C2211E" w:rsidRPr="00D970F7" w14:paraId="4BEB904B" w14:textId="77777777" w:rsidTr="00C2211E">
        <w:trPr>
          <w:trHeight w:val="145"/>
        </w:trPr>
        <w:tc>
          <w:tcPr>
            <w:tcW w:w="1792" w:type="dxa"/>
            <w:shd w:val="clear" w:color="auto" w:fill="auto"/>
            <w:tcMar>
              <w:left w:w="0" w:type="dxa"/>
            </w:tcMar>
          </w:tcPr>
          <w:p w14:paraId="185F19A7" w14:textId="77777777" w:rsidR="00C2211E" w:rsidRPr="00D970F7" w:rsidRDefault="00C2211E" w:rsidP="00C2211E">
            <w:pPr>
              <w:pStyle w:val="Marginlie"/>
              <w:rPr>
                <w:lang w:val="en-GB"/>
              </w:rPr>
            </w:pPr>
            <w:r w:rsidRPr="00D970F7">
              <w:rPr>
                <w:lang w:val="en-GB"/>
              </w:rPr>
              <w:t xml:space="preserve">Size of average wages dropped by 3.1% quarter-on-quarter and partially reflected the deeper slump of the number of hours worked. </w:t>
            </w:r>
          </w:p>
          <w:p w14:paraId="1367E2C7" w14:textId="77777777" w:rsidR="00C2211E" w:rsidRPr="00D970F7" w:rsidRDefault="00C2211E" w:rsidP="00C2211E">
            <w:pPr>
              <w:pStyle w:val="Marginlie"/>
              <w:rPr>
                <w:lang w:val="en-GB"/>
              </w:rPr>
            </w:pPr>
          </w:p>
          <w:p w14:paraId="1373AE3C" w14:textId="77777777" w:rsidR="00C2211E" w:rsidRPr="00D970F7" w:rsidRDefault="00C2211E" w:rsidP="00C2211E">
            <w:pPr>
              <w:pStyle w:val="Marginlie"/>
              <w:rPr>
                <w:lang w:val="en-GB"/>
              </w:rPr>
            </w:pPr>
          </w:p>
          <w:p w14:paraId="57EFE147" w14:textId="77777777" w:rsidR="00C2211E" w:rsidRPr="00D970F7" w:rsidRDefault="00C2211E" w:rsidP="00C2211E">
            <w:pPr>
              <w:pStyle w:val="Marginlie"/>
              <w:rPr>
                <w:lang w:val="en-GB"/>
              </w:rPr>
            </w:pPr>
          </w:p>
          <w:p w14:paraId="28A24473" w14:textId="77777777" w:rsidR="00C2211E" w:rsidRPr="00D970F7" w:rsidRDefault="00C2211E" w:rsidP="00C2211E">
            <w:pPr>
              <w:pStyle w:val="Marginlie"/>
              <w:rPr>
                <w:lang w:val="en-GB"/>
              </w:rPr>
            </w:pPr>
          </w:p>
          <w:p w14:paraId="7428B994" w14:textId="77777777" w:rsidR="00C2211E" w:rsidRPr="00D970F7" w:rsidRDefault="00C2211E" w:rsidP="00C2211E">
            <w:pPr>
              <w:pStyle w:val="Marginlie"/>
              <w:rPr>
                <w:lang w:val="en-GB"/>
              </w:rPr>
            </w:pPr>
            <w:r w:rsidRPr="00D970F7">
              <w:rPr>
                <w:lang w:val="en-GB"/>
              </w:rPr>
              <w:t xml:space="preserve">In the year-on-year expression, mild growth of wages persisted. Factors preventing fast </w:t>
            </w:r>
            <w:r w:rsidRPr="00D970F7">
              <w:rPr>
                <w:lang w:val="en-GB"/>
              </w:rPr>
              <w:lastRenderedPageBreak/>
              <w:t xml:space="preserve">downturn of the wage dynamics still worked. </w:t>
            </w:r>
          </w:p>
        </w:tc>
        <w:tc>
          <w:tcPr>
            <w:tcW w:w="216" w:type="dxa"/>
            <w:shd w:val="clear" w:color="auto" w:fill="auto"/>
            <w:tcMar>
              <w:left w:w="0" w:type="dxa"/>
            </w:tcMar>
          </w:tcPr>
          <w:p w14:paraId="59645FBF" w14:textId="77777777" w:rsidR="00C2211E" w:rsidRPr="00D970F7" w:rsidRDefault="00C2211E" w:rsidP="00C2211E">
            <w:pPr>
              <w:pStyle w:val="Textpoznpodarou"/>
              <w:spacing w:after="200"/>
              <w:jc w:val="both"/>
              <w:rPr>
                <w:spacing w:val="-4"/>
                <w:lang w:val="en-GB"/>
              </w:rPr>
            </w:pPr>
          </w:p>
        </w:tc>
        <w:tc>
          <w:tcPr>
            <w:tcW w:w="7656" w:type="dxa"/>
            <w:shd w:val="clear" w:color="auto" w:fill="auto"/>
            <w:tcMar>
              <w:left w:w="0" w:type="dxa"/>
            </w:tcMar>
          </w:tcPr>
          <w:p w14:paraId="7AB9FB53" w14:textId="77777777" w:rsidR="00C2211E" w:rsidRPr="00D970F7" w:rsidRDefault="00C2211E" w:rsidP="00C2211E">
            <w:pPr>
              <w:spacing w:after="200"/>
              <w:rPr>
                <w:spacing w:val="-4"/>
                <w:lang w:val="en-GB"/>
              </w:rPr>
            </w:pPr>
            <w:r w:rsidRPr="00D970F7">
              <w:rPr>
                <w:spacing w:val="-4"/>
                <w:lang w:val="en-GB"/>
              </w:rPr>
              <w:t>Restriction of operations as well as temporary closing of some businesses especially in the area of market services or manufacturing (as a consequence of both quarantine measures and longer-term decrease of demand) must have manifested also in the wage area. The size of average wages (after seasonal adjustment) dropped to record 3.1% in comparison to the preceding quarter in Q2 (it still grew by 1.1% in Q1). In the year-on-year comparison the wage growth nearly halted (+0.5%), lower dynamics was comparable in the 20year time series only during year 2013, when however, the rates of growth were artificially oscillated</w:t>
            </w:r>
            <w:r w:rsidRPr="00D970F7">
              <w:rPr>
                <w:rStyle w:val="Znakapoznpodarou"/>
                <w:color w:val="0D0D0D" w:themeColor="text1" w:themeTint="F2"/>
                <w:spacing w:val="-4"/>
                <w:lang w:val="en-GB"/>
              </w:rPr>
              <w:footnoteReference w:id="13"/>
            </w:r>
            <w:r w:rsidRPr="00D970F7">
              <w:rPr>
                <w:spacing w:val="-4"/>
                <w:lang w:val="en-GB"/>
              </w:rPr>
              <w:t>. Weaker wage growth rates partially mirrored the steeper fall of average hours worked</w:t>
            </w:r>
            <w:r w:rsidRPr="00D970F7">
              <w:rPr>
                <w:rStyle w:val="Znakapoznpodarou"/>
                <w:color w:val="0D0D0D" w:themeColor="text1" w:themeTint="F2"/>
                <w:spacing w:val="-4"/>
                <w:lang w:val="en-GB"/>
              </w:rPr>
              <w:footnoteReference w:id="14"/>
            </w:r>
            <w:r w:rsidRPr="00D970F7">
              <w:rPr>
                <w:spacing w:val="-4"/>
                <w:lang w:val="en-GB"/>
              </w:rPr>
              <w:t xml:space="preserve">. The administrative influences (raising of the minimal wage and bands of guaranteed wages) as well as the tense condition of the labour market at the beginning of the year (characterised among other things by the lack of labour force), which partially prevailed in </w:t>
            </w:r>
            <w:r w:rsidRPr="00D970F7">
              <w:rPr>
                <w:spacing w:val="-4"/>
                <w:lang w:val="en-GB"/>
              </w:rPr>
              <w:lastRenderedPageBreak/>
              <w:t>some branches also in the summer period, prevented deeper reduction of the size of earnings. Rigidity of wages (existence of longer-term internal contracts of enterprises regarding the growth of wages or the tariff system in the public sphere) also played a role. It cannot be excluded, that the worsened economic situation of businesses could have been reflected also in the reduction in the area of non-wage employee compensations this year.</w:t>
            </w:r>
          </w:p>
        </w:tc>
      </w:tr>
      <w:tr w:rsidR="00C2211E" w:rsidRPr="00D970F7" w14:paraId="5BFE8C4D" w14:textId="77777777" w:rsidTr="00C2211E">
        <w:trPr>
          <w:trHeight w:val="145"/>
        </w:trPr>
        <w:tc>
          <w:tcPr>
            <w:tcW w:w="1792" w:type="dxa"/>
            <w:shd w:val="clear" w:color="auto" w:fill="auto"/>
            <w:tcMar>
              <w:left w:w="0" w:type="dxa"/>
            </w:tcMar>
          </w:tcPr>
          <w:p w14:paraId="270B71E0" w14:textId="77777777" w:rsidR="00C2211E" w:rsidRPr="00D970F7" w:rsidRDefault="00C2211E" w:rsidP="00C2211E">
            <w:pPr>
              <w:pStyle w:val="Marginlie"/>
              <w:rPr>
                <w:lang w:val="en-GB"/>
              </w:rPr>
            </w:pPr>
          </w:p>
        </w:tc>
        <w:tc>
          <w:tcPr>
            <w:tcW w:w="216" w:type="dxa"/>
            <w:shd w:val="clear" w:color="auto" w:fill="auto"/>
            <w:tcMar>
              <w:left w:w="0" w:type="dxa"/>
            </w:tcMar>
          </w:tcPr>
          <w:p w14:paraId="7D1C760A" w14:textId="77777777" w:rsidR="00C2211E" w:rsidRPr="00D970F7" w:rsidRDefault="00C2211E" w:rsidP="00C2211E">
            <w:pPr>
              <w:pStyle w:val="Textpoznpodarou"/>
              <w:jc w:val="both"/>
              <w:rPr>
                <w:spacing w:val="-4"/>
                <w:lang w:val="en-GB"/>
              </w:rPr>
            </w:pPr>
          </w:p>
        </w:tc>
        <w:tc>
          <w:tcPr>
            <w:tcW w:w="7656" w:type="dxa"/>
            <w:shd w:val="clear" w:color="auto" w:fill="auto"/>
            <w:tcMar>
              <w:left w:w="0" w:type="dxa"/>
            </w:tcMar>
          </w:tcPr>
          <w:p w14:paraId="47E94B67" w14:textId="77777777" w:rsidR="00C2211E" w:rsidRPr="00D970F7" w:rsidRDefault="00C2211E" w:rsidP="00C2211E">
            <w:pPr>
              <w:spacing w:after="0"/>
              <w:rPr>
                <w:spacing w:val="-4"/>
                <w:lang w:val="en-GB"/>
              </w:rPr>
            </w:pPr>
            <w:r w:rsidRPr="00D970F7">
              <w:rPr>
                <w:b/>
                <w:spacing w:val="-4"/>
                <w:lang w:val="en-GB"/>
              </w:rPr>
              <w:t xml:space="preserve">Chart 15  </w:t>
            </w:r>
            <w:r w:rsidRPr="00D970F7">
              <w:rPr>
                <w:b/>
                <w:spacing w:val="-2"/>
                <w:lang w:val="en-GB"/>
              </w:rPr>
              <w:t xml:space="preserve">Average nominal and real wage and wage median </w:t>
            </w:r>
            <w:r w:rsidRPr="00D970F7">
              <w:rPr>
                <w:spacing w:val="-4"/>
                <w:lang w:val="en-GB"/>
              </w:rPr>
              <w:t>(year-on-year, in %)</w:t>
            </w:r>
          </w:p>
        </w:tc>
      </w:tr>
      <w:tr w:rsidR="00C2211E" w:rsidRPr="00D970F7" w14:paraId="63218881" w14:textId="77777777" w:rsidTr="00C2211E">
        <w:tblPrEx>
          <w:tblCellMar>
            <w:left w:w="70" w:type="dxa"/>
            <w:right w:w="70" w:type="dxa"/>
          </w:tblCellMar>
        </w:tblPrEx>
        <w:trPr>
          <w:trHeight w:val="145"/>
        </w:trPr>
        <w:tc>
          <w:tcPr>
            <w:tcW w:w="1792" w:type="dxa"/>
            <w:shd w:val="clear" w:color="auto" w:fill="auto"/>
          </w:tcPr>
          <w:p w14:paraId="4F5956AA" w14:textId="77777777" w:rsidR="00C2211E" w:rsidRPr="00D970F7" w:rsidRDefault="00C2211E" w:rsidP="00C2211E">
            <w:pPr>
              <w:pStyle w:val="Marginlie"/>
              <w:spacing w:after="200"/>
              <w:rPr>
                <w:lang w:val="en-GB"/>
              </w:rPr>
            </w:pPr>
          </w:p>
        </w:tc>
        <w:tc>
          <w:tcPr>
            <w:tcW w:w="216" w:type="dxa"/>
            <w:shd w:val="clear" w:color="auto" w:fill="auto"/>
          </w:tcPr>
          <w:p w14:paraId="315E98CB" w14:textId="77777777" w:rsidR="00C2211E" w:rsidRPr="00D970F7" w:rsidRDefault="00C2211E" w:rsidP="00C2211E">
            <w:pPr>
              <w:pStyle w:val="Textpoznpodarou"/>
              <w:spacing w:after="200"/>
              <w:jc w:val="both"/>
              <w:rPr>
                <w:spacing w:val="-4"/>
                <w:lang w:val="en-GB"/>
              </w:rPr>
            </w:pPr>
          </w:p>
        </w:tc>
        <w:tc>
          <w:tcPr>
            <w:tcW w:w="7656" w:type="dxa"/>
            <w:shd w:val="clear" w:color="auto" w:fill="auto"/>
          </w:tcPr>
          <w:p w14:paraId="15185FD7" w14:textId="77777777" w:rsidR="00C2211E" w:rsidRPr="00D970F7" w:rsidRDefault="00C2211E" w:rsidP="00C2211E">
            <w:pPr>
              <w:spacing w:after="0"/>
              <w:rPr>
                <w:spacing w:val="-4"/>
                <w:lang w:val="en-GB"/>
              </w:rPr>
            </w:pPr>
            <w:r>
              <w:rPr>
                <w:noProof/>
              </w:rPr>
              <w:drawing>
                <wp:inline distT="0" distB="0" distL="0" distR="0" wp14:anchorId="3968B714" wp14:editId="01445D40">
                  <wp:extent cx="4760378" cy="3673774"/>
                  <wp:effectExtent l="0" t="0" r="2540" b="3175"/>
                  <wp:docPr id="37" name="Graf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C2211E" w:rsidRPr="00D970F7" w14:paraId="0D677A1D" w14:textId="77777777" w:rsidTr="00C2211E">
        <w:trPr>
          <w:trHeight w:val="145"/>
        </w:trPr>
        <w:tc>
          <w:tcPr>
            <w:tcW w:w="1792" w:type="dxa"/>
            <w:shd w:val="clear" w:color="auto" w:fill="auto"/>
            <w:tcMar>
              <w:left w:w="0" w:type="dxa"/>
            </w:tcMar>
          </w:tcPr>
          <w:p w14:paraId="187EAF0F" w14:textId="77777777" w:rsidR="00C2211E" w:rsidRPr="00D970F7" w:rsidRDefault="00C2211E" w:rsidP="00C2211E">
            <w:pPr>
              <w:pStyle w:val="Marginlie"/>
              <w:spacing w:after="200"/>
              <w:rPr>
                <w:lang w:val="en-GB"/>
              </w:rPr>
            </w:pPr>
          </w:p>
        </w:tc>
        <w:tc>
          <w:tcPr>
            <w:tcW w:w="216" w:type="dxa"/>
            <w:shd w:val="clear" w:color="auto" w:fill="auto"/>
            <w:tcMar>
              <w:left w:w="0" w:type="dxa"/>
            </w:tcMar>
          </w:tcPr>
          <w:p w14:paraId="4F0E7F08" w14:textId="77777777" w:rsidR="00C2211E" w:rsidRPr="00D970F7" w:rsidRDefault="00C2211E" w:rsidP="00C2211E">
            <w:pPr>
              <w:pStyle w:val="Textpoznpodarou"/>
              <w:spacing w:after="200"/>
              <w:jc w:val="both"/>
              <w:rPr>
                <w:spacing w:val="-4"/>
                <w:lang w:val="en-GB"/>
              </w:rPr>
            </w:pPr>
          </w:p>
        </w:tc>
        <w:tc>
          <w:tcPr>
            <w:tcW w:w="7656" w:type="dxa"/>
            <w:shd w:val="clear" w:color="auto" w:fill="auto"/>
            <w:tcMar>
              <w:left w:w="0" w:type="dxa"/>
            </w:tcMar>
          </w:tcPr>
          <w:p w14:paraId="7A2C32AA" w14:textId="77777777" w:rsidR="00C2211E" w:rsidRPr="00D970F7" w:rsidRDefault="00C2211E" w:rsidP="00C2211E">
            <w:pPr>
              <w:spacing w:after="0"/>
              <w:rPr>
                <w:rFonts w:cs="Arial"/>
                <w:spacing w:val="-3"/>
                <w:sz w:val="14"/>
                <w:szCs w:val="14"/>
                <w:lang w:val="en-GB"/>
              </w:rPr>
            </w:pPr>
            <w:r w:rsidRPr="00D970F7">
              <w:rPr>
                <w:spacing w:val="-3"/>
                <w:sz w:val="14"/>
                <w:szCs w:val="14"/>
                <w:lang w:val="en-GB"/>
              </w:rPr>
              <w:t>*</w:t>
            </w:r>
            <w:r w:rsidRPr="00D970F7">
              <w:rPr>
                <w:rFonts w:cs="Arial"/>
                <w:spacing w:val="-3"/>
                <w:sz w:val="14"/>
                <w:szCs w:val="14"/>
                <w:lang w:val="en-GB"/>
              </w:rPr>
              <w:t xml:space="preserve"> Includes branches: Public administration, defence, social security; Education Human health and social work activities; Arts, entertainment and recreation activities. </w:t>
            </w:r>
          </w:p>
          <w:p w14:paraId="0CA09F05" w14:textId="77777777" w:rsidR="00C2211E" w:rsidRPr="00D970F7" w:rsidRDefault="00C2211E" w:rsidP="00C2211E">
            <w:pPr>
              <w:spacing w:after="0"/>
              <w:rPr>
                <w:spacing w:val="-4"/>
                <w:sz w:val="14"/>
                <w:szCs w:val="14"/>
                <w:lang w:val="en-GB"/>
              </w:rPr>
            </w:pPr>
            <w:r w:rsidRPr="00D970F7">
              <w:rPr>
                <w:spacing w:val="-3"/>
                <w:sz w:val="14"/>
                <w:szCs w:val="14"/>
                <w:lang w:val="en-GB"/>
              </w:rPr>
              <w:t>Source:</w:t>
            </w:r>
            <w:r w:rsidRPr="00D970F7">
              <w:rPr>
                <w:rFonts w:cs="Arial"/>
                <w:sz w:val="14"/>
                <w:szCs w:val="14"/>
                <w:lang w:val="en-GB"/>
              </w:rPr>
              <w:t xml:space="preserve"> CZSO</w:t>
            </w:r>
          </w:p>
          <w:p w14:paraId="09012EA7" w14:textId="77777777" w:rsidR="00C2211E" w:rsidRPr="00D970F7" w:rsidRDefault="00C2211E" w:rsidP="00C2211E">
            <w:pPr>
              <w:spacing w:after="0"/>
              <w:rPr>
                <w:spacing w:val="-4"/>
                <w:sz w:val="14"/>
                <w:szCs w:val="14"/>
                <w:lang w:val="en-GB"/>
              </w:rPr>
            </w:pPr>
          </w:p>
        </w:tc>
      </w:tr>
      <w:tr w:rsidR="00C2211E" w:rsidRPr="00D970F7" w14:paraId="2A9D13CA" w14:textId="77777777" w:rsidTr="00C2211E">
        <w:trPr>
          <w:trHeight w:val="145"/>
        </w:trPr>
        <w:tc>
          <w:tcPr>
            <w:tcW w:w="1792" w:type="dxa"/>
            <w:shd w:val="clear" w:color="auto" w:fill="auto"/>
            <w:tcMar>
              <w:left w:w="0" w:type="dxa"/>
            </w:tcMar>
          </w:tcPr>
          <w:p w14:paraId="55C45BE9" w14:textId="77777777" w:rsidR="00C2211E" w:rsidRPr="00D970F7" w:rsidRDefault="00C2211E" w:rsidP="00C2211E">
            <w:pPr>
              <w:pStyle w:val="Marginlie"/>
              <w:rPr>
                <w:lang w:val="en-GB"/>
              </w:rPr>
            </w:pPr>
            <w:r w:rsidRPr="00D970F7">
              <w:rPr>
                <w:lang w:val="en-GB"/>
              </w:rPr>
              <w:t>Wage development at the level of branches was very varied in Q2.</w:t>
            </w:r>
          </w:p>
          <w:p w14:paraId="6906EE61" w14:textId="77777777" w:rsidR="00C2211E" w:rsidRPr="00D970F7" w:rsidRDefault="00C2211E" w:rsidP="00C2211E">
            <w:pPr>
              <w:pStyle w:val="Marginlie"/>
              <w:rPr>
                <w:lang w:val="en-GB"/>
              </w:rPr>
            </w:pPr>
          </w:p>
          <w:p w14:paraId="49F3FF4A" w14:textId="77777777" w:rsidR="00C2211E" w:rsidRPr="00D970F7" w:rsidRDefault="00C2211E" w:rsidP="00C2211E">
            <w:pPr>
              <w:pStyle w:val="Marginlie"/>
              <w:rPr>
                <w:lang w:val="en-GB"/>
              </w:rPr>
            </w:pPr>
          </w:p>
          <w:p w14:paraId="3095A3FC" w14:textId="77777777" w:rsidR="00C2211E" w:rsidRPr="00D970F7" w:rsidRDefault="00C2211E" w:rsidP="00C2211E">
            <w:pPr>
              <w:pStyle w:val="Marginlie"/>
              <w:rPr>
                <w:lang w:val="en-GB"/>
              </w:rPr>
            </w:pPr>
          </w:p>
          <w:p w14:paraId="77C0B5D0" w14:textId="77777777" w:rsidR="00C2211E" w:rsidRPr="00D970F7" w:rsidRDefault="00C2211E" w:rsidP="00C2211E">
            <w:pPr>
              <w:pStyle w:val="Marginlie"/>
              <w:rPr>
                <w:lang w:val="en-GB"/>
              </w:rPr>
            </w:pPr>
          </w:p>
          <w:p w14:paraId="370BE067" w14:textId="77777777" w:rsidR="00C2211E" w:rsidRPr="00D970F7" w:rsidRDefault="00C2211E" w:rsidP="00C2211E">
            <w:pPr>
              <w:pStyle w:val="Marginlie"/>
              <w:rPr>
                <w:lang w:val="en-GB"/>
              </w:rPr>
            </w:pPr>
          </w:p>
          <w:p w14:paraId="5DACA25D" w14:textId="77777777" w:rsidR="00C2211E" w:rsidRPr="00D970F7" w:rsidRDefault="00C2211E" w:rsidP="00C2211E">
            <w:pPr>
              <w:pStyle w:val="Marginlie"/>
              <w:rPr>
                <w:lang w:val="en-GB"/>
              </w:rPr>
            </w:pPr>
          </w:p>
          <w:p w14:paraId="42DDA68C" w14:textId="77777777" w:rsidR="00C2211E" w:rsidRPr="00D970F7" w:rsidRDefault="00C2211E" w:rsidP="00C2211E">
            <w:pPr>
              <w:pStyle w:val="Marginlie"/>
              <w:rPr>
                <w:lang w:val="en-GB"/>
              </w:rPr>
            </w:pPr>
          </w:p>
          <w:p w14:paraId="4C4B1DC1" w14:textId="77777777" w:rsidR="00C2211E" w:rsidRPr="00D970F7" w:rsidRDefault="00C2211E" w:rsidP="00C2211E">
            <w:pPr>
              <w:pStyle w:val="Marginlie"/>
              <w:spacing w:after="200"/>
              <w:rPr>
                <w:lang w:val="en-GB"/>
              </w:rPr>
            </w:pPr>
            <w:r w:rsidRPr="00D970F7">
              <w:rPr>
                <w:lang w:val="en-GB"/>
              </w:rPr>
              <w:t xml:space="preserve">Restrictive measures impacted the most accommodation, food service and restaurants, where the volume of paid out wages dropped by one quarter. </w:t>
            </w:r>
          </w:p>
        </w:tc>
        <w:tc>
          <w:tcPr>
            <w:tcW w:w="216" w:type="dxa"/>
            <w:shd w:val="clear" w:color="auto" w:fill="auto"/>
            <w:tcMar>
              <w:left w:w="0" w:type="dxa"/>
            </w:tcMar>
          </w:tcPr>
          <w:p w14:paraId="78C1473B"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29D6A5A2" w14:textId="77777777" w:rsidR="00C2211E" w:rsidRPr="00D970F7" w:rsidRDefault="00C2211E" w:rsidP="00C2211E">
            <w:pPr>
              <w:spacing w:after="200"/>
              <w:rPr>
                <w:spacing w:val="-2"/>
                <w:szCs w:val="20"/>
                <w:lang w:val="en-GB"/>
              </w:rPr>
            </w:pPr>
            <w:r w:rsidRPr="00D970F7">
              <w:rPr>
                <w:spacing w:val="-2"/>
                <w:szCs w:val="20"/>
                <w:lang w:val="en-GB"/>
              </w:rPr>
              <w:t>Markedly uneven primary impact of counter pandemic measures as well as different flexibility of various segments of the labour market (e.g. tie of the volume of earnings to the number of hours worked) were reflected in the very differentiated development of wages at the level of individual branches in Q2 2020. It is not surprising, that the average wages fell the most in the strongly hit branch accommodation, food service and restaurants (</w:t>
            </w:r>
            <w:r w:rsidRPr="00D970F7">
              <w:rPr>
                <w:rFonts w:cs="Arial"/>
                <w:bCs/>
                <w:color w:val="000000"/>
                <w:spacing w:val="-5"/>
                <w:szCs w:val="20"/>
                <w:lang w:val="en-GB"/>
              </w:rPr>
              <w:t>–</w:t>
            </w:r>
            <w:r w:rsidRPr="00D970F7">
              <w:rPr>
                <w:spacing w:val="-2"/>
                <w:szCs w:val="20"/>
                <w:lang w:val="en-GB"/>
              </w:rPr>
              <w:t>11.8%) year-on-year. This development was in addition amplified by even deeper reduction of the registered number of employees, volume of paid out wages thus dropped by one quarter here. The average wage went down by 6% in the real estate activities. Higher wage basis of the last year and also the swift growth of employment this year (still it presented the smallest branch of the services section – given the number of employees) both had an effect. Transporting and storage also belonged to the strongly affected branches, where the decrease of wages (</w:t>
            </w:r>
            <w:r w:rsidRPr="00D970F7">
              <w:rPr>
                <w:rFonts w:cs="Arial"/>
                <w:bCs/>
                <w:color w:val="000000"/>
                <w:spacing w:val="-5"/>
                <w:szCs w:val="20"/>
                <w:lang w:val="en-GB"/>
              </w:rPr>
              <w:t>–</w:t>
            </w:r>
            <w:r w:rsidRPr="00D970F7">
              <w:rPr>
                <w:spacing w:val="-2"/>
                <w:szCs w:val="20"/>
                <w:lang w:val="en-GB"/>
              </w:rPr>
              <w:t>1.7%) was overshadowed by deeper reduction of employee positions (</w:t>
            </w:r>
            <w:r w:rsidRPr="00D970F7">
              <w:rPr>
                <w:rFonts w:cs="Arial"/>
                <w:bCs/>
                <w:color w:val="000000"/>
                <w:spacing w:val="-5"/>
                <w:szCs w:val="20"/>
                <w:lang w:val="en-GB"/>
              </w:rPr>
              <w:t>–</w:t>
            </w:r>
            <w:r w:rsidRPr="00D970F7">
              <w:rPr>
                <w:spacing w:val="-2"/>
                <w:szCs w:val="20"/>
                <w:lang w:val="en-GB"/>
              </w:rPr>
              <w:t xml:space="preserve">4.2%). Already last year signalled a light decrease (mainly of employment) in this branch, specifically in connection to weakened performance of industry as well as associated demand in the freight transportation. The decrease of wages as well as employment was compared to the before mentioned branch approximately only one half in trade. The situation here was likely very different, depending on the size of the business. Adverse development was notable in the branch other services activities (including for example hairdressing), total volume of paid out wages shrank by more than 8%. It was also lower especially due to the reduction of the </w:t>
            </w:r>
            <w:r w:rsidRPr="00D970F7">
              <w:rPr>
                <w:spacing w:val="-2"/>
                <w:szCs w:val="20"/>
                <w:lang w:val="en-GB"/>
              </w:rPr>
              <w:lastRenderedPageBreak/>
              <w:t>number of workers by 6.5% in cultural, amusement and recreation activities</w:t>
            </w:r>
            <w:r w:rsidRPr="00D970F7">
              <w:rPr>
                <w:rStyle w:val="Znakapoznpodarou"/>
                <w:color w:val="0D0D0D" w:themeColor="text1" w:themeTint="F2"/>
                <w:spacing w:val="-4"/>
                <w:lang w:val="en-GB"/>
              </w:rPr>
              <w:footnoteReference w:id="15"/>
            </w:r>
            <w:r w:rsidRPr="00D970F7">
              <w:rPr>
                <w:spacing w:val="-2"/>
                <w:szCs w:val="20"/>
                <w:lang w:val="en-GB"/>
              </w:rPr>
              <w:t>. Administrative and support service activities, which are in the conception of enterprise statistics formed mainly by the agency workers, is also necessary to include among more hit branches. Dismissals of low qualified workers</w:t>
            </w:r>
            <w:r w:rsidRPr="00D970F7">
              <w:rPr>
                <w:rStyle w:val="Znakapoznpodarou"/>
                <w:color w:val="0D0D0D" w:themeColor="text1" w:themeTint="F2"/>
                <w:spacing w:val="-4"/>
                <w:lang w:val="en-GB"/>
              </w:rPr>
              <w:footnoteReference w:id="16"/>
            </w:r>
            <w:r w:rsidRPr="00D970F7">
              <w:rPr>
                <w:spacing w:val="-2"/>
                <w:szCs w:val="20"/>
                <w:lang w:val="en-GB"/>
              </w:rPr>
              <w:t xml:space="preserve"> led here next to the increase of the minimal wage to the growth of the average wage (+4.2%). This development was closely tied to the situation in manufacturing. Several weeks interruption of production mainly in the companies of motor vehicle industry resulted in the considerable year-on-year decline of hours worked by employees (</w:t>
            </w:r>
            <w:r w:rsidRPr="00D970F7">
              <w:rPr>
                <w:rFonts w:cs="Arial"/>
                <w:bCs/>
                <w:color w:val="000000"/>
                <w:spacing w:val="-5"/>
                <w:szCs w:val="20"/>
                <w:lang w:val="en-GB"/>
              </w:rPr>
              <w:t>–</w:t>
            </w:r>
            <w:r w:rsidRPr="00D970F7">
              <w:rPr>
                <w:spacing w:val="-2"/>
                <w:szCs w:val="20"/>
                <w:lang w:val="en-GB"/>
              </w:rPr>
              <w:t xml:space="preserve">13.6%) in Q2. Volume of paid out wages slumped by one tenth, which was equally caused by the loss of job positions and lower average wage. </w:t>
            </w:r>
          </w:p>
        </w:tc>
      </w:tr>
      <w:tr w:rsidR="00C2211E" w:rsidRPr="00D970F7" w14:paraId="7CE58588" w14:textId="77777777" w:rsidTr="00C2211E">
        <w:trPr>
          <w:trHeight w:val="145"/>
        </w:trPr>
        <w:tc>
          <w:tcPr>
            <w:tcW w:w="1792" w:type="dxa"/>
            <w:shd w:val="clear" w:color="auto" w:fill="auto"/>
            <w:tcMar>
              <w:left w:w="0" w:type="dxa"/>
            </w:tcMar>
          </w:tcPr>
          <w:p w14:paraId="670D0159" w14:textId="77777777" w:rsidR="00C2211E" w:rsidRPr="00D970F7" w:rsidRDefault="00C2211E" w:rsidP="00C2211E">
            <w:pPr>
              <w:pStyle w:val="Marginlie"/>
              <w:spacing w:after="200"/>
              <w:rPr>
                <w:lang w:val="en-GB"/>
              </w:rPr>
            </w:pPr>
            <w:r w:rsidRPr="00D970F7">
              <w:rPr>
                <w:lang w:val="en-GB"/>
              </w:rPr>
              <w:lastRenderedPageBreak/>
              <w:t xml:space="preserve">Energetics, information and communication and public services maintained brisk growth of the average wages. </w:t>
            </w:r>
          </w:p>
        </w:tc>
        <w:tc>
          <w:tcPr>
            <w:tcW w:w="216" w:type="dxa"/>
            <w:shd w:val="clear" w:color="auto" w:fill="auto"/>
            <w:tcMar>
              <w:left w:w="0" w:type="dxa"/>
            </w:tcMar>
          </w:tcPr>
          <w:p w14:paraId="78F9B2C8"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1E4CA1BD" w14:textId="77777777" w:rsidR="00C2211E" w:rsidRPr="00D970F7" w:rsidRDefault="00C2211E" w:rsidP="00C2211E">
            <w:pPr>
              <w:spacing w:after="200"/>
              <w:rPr>
                <w:spacing w:val="-4"/>
                <w:szCs w:val="20"/>
                <w:lang w:val="en-GB"/>
              </w:rPr>
            </w:pPr>
            <w:r w:rsidRPr="00D970F7">
              <w:rPr>
                <w:spacing w:val="-4"/>
                <w:szCs w:val="20"/>
                <w:lang w:val="en-GB"/>
              </w:rPr>
              <w:t>Construction was not at first affected by the onset of recession, both employment and average earnings stagnated here in Q2. Energetics, where as in the only main branch the year-on-year growth of wages did not slacken compared to the pace from the same period of the last year (+5.3%) also prospered. The size of average gross monthly wage approached the boundary of 50 CZK thousand here, it featured the largest increase among all branches (by 2 471 CZK). Employees of information and communication were also by 3.5% better off, their earnings were already 3.5 times higher compared to workers in branch accommodation, food service activities and restaurants. The wage growth ceased in financial and insurance activities this year (</w:t>
            </w:r>
            <w:r w:rsidRPr="00D970F7">
              <w:rPr>
                <w:rFonts w:cs="Arial"/>
                <w:bCs/>
                <w:color w:val="000000"/>
                <w:spacing w:val="-4"/>
                <w:szCs w:val="20"/>
                <w:lang w:val="en-GB"/>
              </w:rPr>
              <w:t>–</w:t>
            </w:r>
            <w:r w:rsidRPr="00D970F7">
              <w:rPr>
                <w:spacing w:val="-4"/>
                <w:szCs w:val="20"/>
                <w:lang w:val="en-GB"/>
              </w:rPr>
              <w:t>0.6%). The impact of high last year basis, when the pace of average wages exceeded 8% was also evident next to the decrease of the profitability of the financial sector. The wage growth slightly overstepped 5% in the services with the dominance of the public sector and the achieved wages level surpassed the level of the whole economy (34 271 CZK) by one tenth in Q2. Pace of wages was also influenced by the extraordinary increase of compensations for overtime work in some very busy fields (health care).</w:t>
            </w:r>
          </w:p>
        </w:tc>
      </w:tr>
      <w:tr w:rsidR="00C2211E" w:rsidRPr="00D970F7" w14:paraId="5DFF32DC" w14:textId="77777777" w:rsidTr="00C2211E">
        <w:trPr>
          <w:trHeight w:val="145"/>
        </w:trPr>
        <w:tc>
          <w:tcPr>
            <w:tcW w:w="1792" w:type="dxa"/>
            <w:shd w:val="clear" w:color="auto" w:fill="auto"/>
            <w:tcMar>
              <w:left w:w="0" w:type="dxa"/>
            </w:tcMar>
          </w:tcPr>
          <w:p w14:paraId="0C40A340" w14:textId="77777777" w:rsidR="00C2211E" w:rsidRPr="00D970F7" w:rsidRDefault="00C2211E" w:rsidP="00C2211E">
            <w:pPr>
              <w:pStyle w:val="Marginlie"/>
              <w:rPr>
                <w:lang w:val="en-GB"/>
              </w:rPr>
            </w:pPr>
            <w:r w:rsidRPr="00D970F7">
              <w:rPr>
                <w:lang w:val="en-GB"/>
              </w:rPr>
              <w:t>Total wage differentiation considerably widened in Q2.</w:t>
            </w:r>
          </w:p>
        </w:tc>
        <w:tc>
          <w:tcPr>
            <w:tcW w:w="216" w:type="dxa"/>
            <w:shd w:val="clear" w:color="auto" w:fill="auto"/>
            <w:tcMar>
              <w:left w:w="0" w:type="dxa"/>
            </w:tcMar>
          </w:tcPr>
          <w:p w14:paraId="26C39702"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3884E984" w14:textId="77777777" w:rsidR="00C2211E" w:rsidRPr="00D970F7" w:rsidRDefault="00C2211E" w:rsidP="00C2211E">
            <w:pPr>
              <w:spacing w:after="200"/>
              <w:rPr>
                <w:spacing w:val="-2"/>
                <w:szCs w:val="20"/>
                <w:lang w:val="en-GB"/>
              </w:rPr>
            </w:pPr>
            <w:r w:rsidRPr="00D970F7">
              <w:rPr>
                <w:spacing w:val="-2"/>
                <w:szCs w:val="20"/>
                <w:lang w:val="en-GB"/>
              </w:rPr>
              <w:t>Above mentioned development led to the widening of scissors of wage differentiation. While the lowest wage decile fell by 1.7% year-on-year in Q2, value of the highest decile increased by 2.2%. The wage median recorded the first decrease since the end of year 2012 (</w:t>
            </w:r>
            <w:r w:rsidRPr="00D970F7">
              <w:rPr>
                <w:rFonts w:cs="Arial"/>
                <w:bCs/>
                <w:color w:val="000000"/>
                <w:spacing w:val="-5"/>
                <w:szCs w:val="20"/>
                <w:lang w:val="en-GB"/>
              </w:rPr>
              <w:t>–</w:t>
            </w:r>
            <w:r w:rsidRPr="00D970F7">
              <w:rPr>
                <w:spacing w:val="-2"/>
                <w:szCs w:val="20"/>
                <w:lang w:val="en-GB"/>
              </w:rPr>
              <w:t>0.2%). It was falling faster for males (</w:t>
            </w:r>
            <w:r w:rsidRPr="00D970F7">
              <w:rPr>
                <w:rFonts w:cs="Arial"/>
                <w:bCs/>
                <w:color w:val="000000"/>
                <w:spacing w:val="-5"/>
                <w:szCs w:val="20"/>
                <w:lang w:val="en-GB"/>
              </w:rPr>
              <w:t>–1.0%), still the achieved median earnings of males exceeded those of females by 16% (resp. near 5 thousand crowns).</w:t>
            </w:r>
          </w:p>
        </w:tc>
      </w:tr>
      <w:tr w:rsidR="00C2211E" w:rsidRPr="00AB0ABB" w14:paraId="76F8FF46" w14:textId="77777777" w:rsidTr="00C2211E">
        <w:trPr>
          <w:trHeight w:val="145"/>
        </w:trPr>
        <w:tc>
          <w:tcPr>
            <w:tcW w:w="1792" w:type="dxa"/>
            <w:shd w:val="clear" w:color="auto" w:fill="auto"/>
            <w:tcMar>
              <w:left w:w="0" w:type="dxa"/>
            </w:tcMar>
          </w:tcPr>
          <w:p w14:paraId="224F0DD2" w14:textId="77777777" w:rsidR="00C2211E" w:rsidRPr="00D970F7" w:rsidRDefault="00C2211E" w:rsidP="00C2211E">
            <w:pPr>
              <w:pStyle w:val="Marginlie"/>
              <w:rPr>
                <w:lang w:val="en-GB"/>
              </w:rPr>
            </w:pPr>
            <w:r w:rsidRPr="00D970F7">
              <w:rPr>
                <w:lang w:val="en-GB"/>
              </w:rPr>
              <w:t xml:space="preserve">Real wage decreased after more than six years. </w:t>
            </w:r>
          </w:p>
        </w:tc>
        <w:tc>
          <w:tcPr>
            <w:tcW w:w="216" w:type="dxa"/>
            <w:shd w:val="clear" w:color="auto" w:fill="auto"/>
            <w:tcMar>
              <w:left w:w="0" w:type="dxa"/>
            </w:tcMar>
          </w:tcPr>
          <w:p w14:paraId="4DD1FA58" w14:textId="77777777" w:rsidR="00C2211E" w:rsidRPr="00D970F7" w:rsidRDefault="00C2211E" w:rsidP="00C2211E">
            <w:pPr>
              <w:pStyle w:val="Textpoznpodarou"/>
              <w:spacing w:after="200"/>
              <w:jc w:val="both"/>
              <w:rPr>
                <w:rFonts w:eastAsia="Times New Roman"/>
                <w:spacing w:val="-2"/>
                <w:sz w:val="16"/>
                <w:szCs w:val="16"/>
                <w:lang w:val="en-GB"/>
              </w:rPr>
            </w:pPr>
          </w:p>
        </w:tc>
        <w:tc>
          <w:tcPr>
            <w:tcW w:w="7656" w:type="dxa"/>
            <w:shd w:val="clear" w:color="auto" w:fill="auto"/>
            <w:tcMar>
              <w:left w:w="0" w:type="dxa"/>
            </w:tcMar>
          </w:tcPr>
          <w:p w14:paraId="0B7DDFA2" w14:textId="77777777" w:rsidR="00C2211E" w:rsidRPr="00AB0ABB" w:rsidRDefault="00C2211E" w:rsidP="00C2211E">
            <w:pPr>
              <w:spacing w:after="0"/>
              <w:rPr>
                <w:spacing w:val="-2"/>
                <w:szCs w:val="20"/>
                <w:lang w:val="en-GB"/>
              </w:rPr>
            </w:pPr>
            <w:r w:rsidRPr="00D970F7">
              <w:rPr>
                <w:spacing w:val="-2"/>
                <w:szCs w:val="20"/>
                <w:lang w:val="en-GB"/>
              </w:rPr>
              <w:t xml:space="preserve">Weaker dynamics of nominal wages during the first half of year 2020 contrasted with the swift growth rate of growth of consumer prices not losing strength. Average wage dropped by 2.5% in real terms in Q2. More than six years prevailing growth of the purchasing power of employee earnings was thus interrupted. </w:t>
            </w:r>
          </w:p>
        </w:tc>
      </w:tr>
    </w:tbl>
    <w:p w14:paraId="400D5C83" w14:textId="32C9C11A" w:rsidR="00DD2984" w:rsidRDefault="00DD2984">
      <w:pPr>
        <w:spacing w:after="0" w:line="240" w:lineRule="auto"/>
        <w:jc w:val="left"/>
        <w:rPr>
          <w:rFonts w:eastAsia="MS Gothic"/>
          <w:b/>
          <w:bCs/>
          <w:color w:val="71818C"/>
          <w:sz w:val="32"/>
          <w:szCs w:val="28"/>
          <w:lang w:val="en-GB"/>
        </w:rPr>
      </w:pPr>
      <w:bookmarkStart w:id="3" w:name="_GoBack"/>
      <w:bookmarkEnd w:id="2"/>
      <w:bookmarkEnd w:id="3"/>
    </w:p>
    <w:sectPr w:rsidR="00DD2984" w:rsidSect="00A34076">
      <w:headerReference w:type="even" r:id="rId12"/>
      <w:headerReference w:type="default" r:id="rId13"/>
      <w:footerReference w:type="even" r:id="rId14"/>
      <w:footerReference w:type="default" r:id="rId15"/>
      <w:pgSz w:w="11906" w:h="16838" w:code="9"/>
      <w:pgMar w:top="1134" w:right="1134" w:bottom="1418" w:left="1134" w:header="680" w:footer="737"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5ABF4" w14:textId="77777777" w:rsidR="00B7026F" w:rsidRDefault="00B7026F" w:rsidP="00E71A58">
      <w:r>
        <w:separator/>
      </w:r>
    </w:p>
  </w:endnote>
  <w:endnote w:type="continuationSeparator" w:id="0">
    <w:p w14:paraId="7CC57FB8" w14:textId="77777777" w:rsidR="00B7026F" w:rsidRDefault="00B7026F"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51A0D" w14:textId="71638D01" w:rsidR="00C2211E" w:rsidRPr="00932443" w:rsidRDefault="00C2211E" w:rsidP="00A418BC">
    <w:pPr>
      <w:pStyle w:val="Zpat"/>
      <w:rPr>
        <w:szCs w:val="16"/>
      </w:rPr>
    </w:pPr>
    <w:r>
      <w:rPr>
        <w:szCs w:val="16"/>
        <w:lang w:eastAsia="cs-CZ"/>
      </w:rPr>
      <w:drawing>
        <wp:anchor distT="0" distB="0" distL="114300" distR="114300" simplePos="0" relativeHeight="251667968" behindDoc="0" locked="0" layoutInCell="1" allowOverlap="1" wp14:anchorId="71F0B6E3" wp14:editId="3AA519D4">
          <wp:simplePos x="0" y="0"/>
          <wp:positionH relativeFrom="column">
            <wp:align>right</wp:align>
          </wp:positionH>
          <wp:positionV relativeFrom="paragraph">
            <wp:posOffset>-64770</wp:posOffset>
          </wp:positionV>
          <wp:extent cx="428625" cy="201295"/>
          <wp:effectExtent l="0" t="0" r="3175" b="1905"/>
          <wp:wrapNone/>
          <wp:docPr id="22"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A34076">
      <w:rPr>
        <w:szCs w:val="16"/>
      </w:rPr>
      <w:t>28</w:t>
    </w:r>
    <w:r w:rsidRPr="00932443">
      <w:rPr>
        <w:szCs w:val="16"/>
      </w:rPr>
      <w:fldChar w:fldCharType="end"/>
    </w:r>
    <w:r w:rsidRPr="00932443">
      <w:rPr>
        <w:szCs w:val="16"/>
      </w:rPr>
      <w:tab/>
    </w:r>
    <w:r>
      <w:rPr>
        <w:szCs w:val="16"/>
      </w:rPr>
      <w:t>First half of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7E4B" w14:textId="180A3AE1" w:rsidR="00C2211E" w:rsidRPr="00932443" w:rsidRDefault="00C2211E" w:rsidP="00FA6CB6">
    <w:pPr>
      <w:pStyle w:val="Zpat"/>
      <w:rPr>
        <w:szCs w:val="16"/>
      </w:rPr>
    </w:pPr>
    <w:r w:rsidRPr="00FA6CB6">
      <w:rPr>
        <w:szCs w:val="16"/>
      </w:rPr>
      <w:tab/>
    </w:r>
    <w:r>
      <w:rPr>
        <w:szCs w:val="16"/>
        <w:lang w:eastAsia="cs-CZ"/>
      </w:rPr>
      <w:drawing>
        <wp:anchor distT="0" distB="0" distL="114300" distR="114300" simplePos="0" relativeHeight="251658752" behindDoc="0" locked="0" layoutInCell="1" allowOverlap="1" wp14:anchorId="6ADC9B20" wp14:editId="2C3814E9">
          <wp:simplePos x="0" y="0"/>
          <wp:positionH relativeFrom="column">
            <wp:align>left</wp:align>
          </wp:positionH>
          <wp:positionV relativeFrom="paragraph">
            <wp:posOffset>-122555</wp:posOffset>
          </wp:positionV>
          <wp:extent cx="510540" cy="272415"/>
          <wp:effectExtent l="0" t="0" r="0" b="6985"/>
          <wp:wrapNone/>
          <wp:docPr id="2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Pr>
        <w:szCs w:val="16"/>
      </w:rPr>
      <w:t>First half of 2020</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A34076">
      <w:rPr>
        <w:rStyle w:val="ZpatChar"/>
        <w:szCs w:val="16"/>
      </w:rPr>
      <w:t>29</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C9157" w14:textId="77777777" w:rsidR="00B7026F" w:rsidRDefault="00B7026F" w:rsidP="00A21B4D">
      <w:pPr>
        <w:spacing w:after="0"/>
      </w:pPr>
      <w:r>
        <w:separator/>
      </w:r>
    </w:p>
  </w:footnote>
  <w:footnote w:type="continuationSeparator" w:id="0">
    <w:p w14:paraId="1A569472" w14:textId="77777777" w:rsidR="00B7026F" w:rsidRDefault="00B7026F" w:rsidP="00E71A58">
      <w:r>
        <w:continuationSeparator/>
      </w:r>
    </w:p>
  </w:footnote>
  <w:footnote w:id="1">
    <w:p w14:paraId="36BA11B4" w14:textId="77777777" w:rsidR="00C2211E" w:rsidRPr="000B4EBA" w:rsidRDefault="00C2211E" w:rsidP="00C2211E">
      <w:pPr>
        <w:pStyle w:val="Textpoznpodarou"/>
        <w:jc w:val="both"/>
        <w:rPr>
          <w:spacing w:val="-4"/>
          <w:sz w:val="16"/>
          <w:szCs w:val="16"/>
          <w:lang w:val="en-GB"/>
        </w:rPr>
      </w:pPr>
      <w:r w:rsidRPr="00363D19">
        <w:rPr>
          <w:rStyle w:val="Znakapoznpodarou"/>
          <w:spacing w:val="-4"/>
          <w:sz w:val="16"/>
          <w:szCs w:val="16"/>
        </w:rPr>
        <w:footnoteRef/>
      </w:r>
      <w:r w:rsidRPr="00363D19">
        <w:rPr>
          <w:spacing w:val="-4"/>
          <w:sz w:val="16"/>
          <w:szCs w:val="16"/>
        </w:rPr>
        <w:t xml:space="preserve"> </w:t>
      </w:r>
      <w:r w:rsidRPr="000B4EBA">
        <w:rPr>
          <w:spacing w:val="-4"/>
          <w:sz w:val="16"/>
          <w:szCs w:val="16"/>
          <w:lang w:val="en-GB"/>
        </w:rPr>
        <w:t xml:space="preserve">Unless stated otherwise, data regarding employment are given in the national accounts’ conception after adjustment for seasonal effects in this chapter. </w:t>
      </w:r>
    </w:p>
  </w:footnote>
  <w:footnote w:id="2">
    <w:p w14:paraId="1B45FBBD" w14:textId="77777777" w:rsidR="00C2211E" w:rsidRPr="000B4EBA" w:rsidRDefault="00C2211E" w:rsidP="00C2211E">
      <w:pPr>
        <w:pStyle w:val="Textpoznpodarou"/>
        <w:jc w:val="both"/>
        <w:rPr>
          <w:spacing w:val="-4"/>
          <w:sz w:val="16"/>
          <w:szCs w:val="16"/>
          <w:lang w:val="en-GB"/>
        </w:rPr>
      </w:pPr>
      <w:r w:rsidRPr="000B4EBA">
        <w:rPr>
          <w:rStyle w:val="Znakapoznpodarou"/>
          <w:spacing w:val="-4"/>
          <w:sz w:val="16"/>
          <w:szCs w:val="16"/>
          <w:lang w:val="en-GB"/>
        </w:rPr>
        <w:footnoteRef/>
      </w:r>
      <w:r w:rsidRPr="000B4EBA">
        <w:rPr>
          <w:spacing w:val="-4"/>
          <w:sz w:val="16"/>
          <w:szCs w:val="16"/>
          <w:lang w:val="en-GB"/>
        </w:rPr>
        <w:t xml:space="preserve"> </w:t>
      </w:r>
      <w:r>
        <w:rPr>
          <w:spacing w:val="-4"/>
          <w:sz w:val="16"/>
          <w:szCs w:val="16"/>
          <w:lang w:val="en-GB"/>
        </w:rPr>
        <w:t xml:space="preserve">E.g. in years </w:t>
      </w:r>
      <w:r w:rsidRPr="000B4EBA">
        <w:rPr>
          <w:spacing w:val="-4"/>
          <w:sz w:val="16"/>
          <w:szCs w:val="16"/>
          <w:lang w:val="en-GB"/>
        </w:rPr>
        <w:t>2009 a</w:t>
      </w:r>
      <w:r>
        <w:rPr>
          <w:spacing w:val="-4"/>
          <w:sz w:val="16"/>
          <w:szCs w:val="16"/>
          <w:lang w:val="en-GB"/>
        </w:rPr>
        <w:t>nd</w:t>
      </w:r>
      <w:r w:rsidRPr="000B4EBA">
        <w:rPr>
          <w:spacing w:val="-4"/>
          <w:sz w:val="16"/>
          <w:szCs w:val="16"/>
          <w:lang w:val="en-GB"/>
        </w:rPr>
        <w:t> 2010</w:t>
      </w:r>
      <w:r>
        <w:rPr>
          <w:spacing w:val="-4"/>
          <w:sz w:val="16"/>
          <w:szCs w:val="16"/>
          <w:lang w:val="en-GB"/>
        </w:rPr>
        <w:t xml:space="preserve">, the employment decrease lasted five quarters </w:t>
      </w:r>
      <w:r w:rsidRPr="000B4EBA">
        <w:rPr>
          <w:spacing w:val="-4"/>
          <w:sz w:val="16"/>
          <w:szCs w:val="16"/>
          <w:lang w:val="en-GB"/>
        </w:rPr>
        <w:t>(</w:t>
      </w:r>
      <w:r>
        <w:rPr>
          <w:spacing w:val="-4"/>
          <w:sz w:val="16"/>
          <w:szCs w:val="16"/>
          <w:lang w:val="en-GB"/>
        </w:rPr>
        <w:t xml:space="preserve">it arrived at total </w:t>
      </w:r>
      <w:r w:rsidRPr="000B4EBA">
        <w:rPr>
          <w:spacing w:val="-4"/>
          <w:sz w:val="16"/>
          <w:szCs w:val="16"/>
          <w:lang w:val="en-GB"/>
        </w:rPr>
        <w:t>–3</w:t>
      </w:r>
      <w:r>
        <w:rPr>
          <w:spacing w:val="-4"/>
          <w:sz w:val="16"/>
          <w:szCs w:val="16"/>
          <w:lang w:val="en-GB"/>
        </w:rPr>
        <w:t>.</w:t>
      </w:r>
      <w:r w:rsidRPr="000B4EBA">
        <w:rPr>
          <w:spacing w:val="-4"/>
          <w:sz w:val="16"/>
          <w:szCs w:val="16"/>
          <w:lang w:val="en-GB"/>
        </w:rPr>
        <w:t xml:space="preserve">8%), </w:t>
      </w:r>
      <w:r>
        <w:rPr>
          <w:spacing w:val="-4"/>
          <w:sz w:val="16"/>
          <w:szCs w:val="16"/>
          <w:lang w:val="en-GB"/>
        </w:rPr>
        <w:t xml:space="preserve">in period </w:t>
      </w:r>
      <w:r w:rsidRPr="000B4EBA">
        <w:rPr>
          <w:spacing w:val="-4"/>
          <w:sz w:val="16"/>
          <w:szCs w:val="16"/>
          <w:lang w:val="en-GB"/>
        </w:rPr>
        <w:t xml:space="preserve">1997 </w:t>
      </w:r>
      <w:r>
        <w:rPr>
          <w:spacing w:val="-4"/>
          <w:sz w:val="16"/>
          <w:szCs w:val="16"/>
          <w:lang w:val="en-GB"/>
        </w:rPr>
        <w:t>to</w:t>
      </w:r>
      <w:r w:rsidRPr="000B4EBA">
        <w:rPr>
          <w:spacing w:val="-4"/>
          <w:sz w:val="16"/>
          <w:szCs w:val="16"/>
          <w:lang w:val="en-GB"/>
        </w:rPr>
        <w:t xml:space="preserve"> 1999</w:t>
      </w:r>
      <w:r>
        <w:rPr>
          <w:spacing w:val="-4"/>
          <w:sz w:val="16"/>
          <w:szCs w:val="16"/>
          <w:lang w:val="en-GB"/>
        </w:rPr>
        <w:t xml:space="preserve"> even ten quarters </w:t>
      </w:r>
      <w:r w:rsidRPr="000B4EBA">
        <w:rPr>
          <w:spacing w:val="-4"/>
          <w:sz w:val="16"/>
          <w:szCs w:val="16"/>
          <w:lang w:val="en-GB"/>
        </w:rPr>
        <w:t>(–5</w:t>
      </w:r>
      <w:r>
        <w:rPr>
          <w:spacing w:val="-4"/>
          <w:sz w:val="16"/>
          <w:szCs w:val="16"/>
          <w:lang w:val="en-GB"/>
        </w:rPr>
        <w:t>.</w:t>
      </w:r>
      <w:r w:rsidRPr="000B4EBA">
        <w:rPr>
          <w:spacing w:val="-4"/>
          <w:sz w:val="16"/>
          <w:szCs w:val="16"/>
          <w:lang w:val="en-GB"/>
        </w:rPr>
        <w:t>1%).</w:t>
      </w:r>
    </w:p>
  </w:footnote>
  <w:footnote w:id="3">
    <w:p w14:paraId="66D73C54" w14:textId="77777777" w:rsidR="00C2211E" w:rsidRPr="000B4EBA" w:rsidRDefault="00C2211E" w:rsidP="00C2211E">
      <w:pPr>
        <w:pStyle w:val="Textpoznpodarou"/>
        <w:jc w:val="both"/>
        <w:rPr>
          <w:spacing w:val="-4"/>
          <w:sz w:val="16"/>
          <w:szCs w:val="16"/>
          <w:lang w:val="en-GB"/>
        </w:rPr>
      </w:pPr>
      <w:r w:rsidRPr="000B4EBA">
        <w:rPr>
          <w:rStyle w:val="Znakapoznpodarou"/>
          <w:spacing w:val="-4"/>
          <w:sz w:val="16"/>
          <w:szCs w:val="16"/>
          <w:lang w:val="en-GB"/>
        </w:rPr>
        <w:footnoteRef/>
      </w:r>
      <w:r w:rsidRPr="000B4EBA">
        <w:rPr>
          <w:spacing w:val="-4"/>
          <w:sz w:val="16"/>
          <w:szCs w:val="16"/>
          <w:lang w:val="en-GB"/>
        </w:rPr>
        <w:t xml:space="preserve"> </w:t>
      </w:r>
      <w:r w:rsidRPr="000B4EBA">
        <w:rPr>
          <w:spacing w:val="-5"/>
          <w:sz w:val="16"/>
          <w:szCs w:val="16"/>
          <w:lang w:val="en-GB"/>
        </w:rPr>
        <w:t>Situa</w:t>
      </w:r>
      <w:r>
        <w:rPr>
          <w:spacing w:val="-5"/>
          <w:sz w:val="16"/>
          <w:szCs w:val="16"/>
          <w:lang w:val="en-GB"/>
        </w:rPr>
        <w:t xml:space="preserve">tion was however different in individual branches. 7% decrease manifested similarly in manufacturing, in grouping trade transportation, accommodation and restaurants. In contrast, the number of entrepreneurs expanded by one sixth in information and communication, it was also higher in construction </w:t>
      </w:r>
      <w:r w:rsidRPr="000B4EBA">
        <w:rPr>
          <w:spacing w:val="-5"/>
          <w:sz w:val="16"/>
          <w:szCs w:val="16"/>
          <w:lang w:val="en-GB"/>
        </w:rPr>
        <w:t>(+1</w:t>
      </w:r>
      <w:r>
        <w:rPr>
          <w:spacing w:val="-5"/>
          <w:sz w:val="16"/>
          <w:szCs w:val="16"/>
          <w:lang w:val="en-GB"/>
        </w:rPr>
        <w:t>.</w:t>
      </w:r>
      <w:r w:rsidRPr="000B4EBA">
        <w:rPr>
          <w:spacing w:val="-5"/>
          <w:sz w:val="16"/>
          <w:szCs w:val="16"/>
          <w:lang w:val="en-GB"/>
        </w:rPr>
        <w:t>5%).</w:t>
      </w:r>
    </w:p>
  </w:footnote>
  <w:footnote w:id="4">
    <w:p w14:paraId="6A3244F8" w14:textId="77777777" w:rsidR="00C2211E" w:rsidRPr="000B4EBA" w:rsidRDefault="00C2211E" w:rsidP="00C2211E">
      <w:pPr>
        <w:pStyle w:val="Textpoznpodarou"/>
        <w:jc w:val="both"/>
        <w:rPr>
          <w:spacing w:val="-4"/>
          <w:sz w:val="16"/>
          <w:szCs w:val="16"/>
          <w:lang w:val="en-GB"/>
        </w:rPr>
      </w:pPr>
      <w:r w:rsidRPr="000B4EBA">
        <w:rPr>
          <w:rStyle w:val="Znakapoznpodarou"/>
          <w:spacing w:val="-4"/>
          <w:sz w:val="16"/>
          <w:szCs w:val="16"/>
          <w:lang w:val="en-GB"/>
        </w:rPr>
        <w:footnoteRef/>
      </w:r>
      <w:r w:rsidRPr="000B4EBA">
        <w:rPr>
          <w:spacing w:val="-4"/>
          <w:sz w:val="16"/>
          <w:szCs w:val="16"/>
          <w:lang w:val="en-GB"/>
        </w:rPr>
        <w:t xml:space="preserve"> </w:t>
      </w:r>
      <w:r>
        <w:rPr>
          <w:spacing w:val="-4"/>
          <w:sz w:val="16"/>
          <w:szCs w:val="16"/>
          <w:lang w:val="en-GB"/>
        </w:rPr>
        <w:t xml:space="preserve">Small businesses were affected this way the most in accommodation, food service and restaurants </w:t>
      </w:r>
      <w:r w:rsidRPr="000B4EBA">
        <w:rPr>
          <w:spacing w:val="-4"/>
          <w:sz w:val="16"/>
          <w:szCs w:val="16"/>
          <w:lang w:val="en-GB"/>
        </w:rPr>
        <w:t>(94%</w:t>
      </w:r>
      <w:r>
        <w:rPr>
          <w:spacing w:val="-4"/>
          <w:sz w:val="16"/>
          <w:szCs w:val="16"/>
          <w:lang w:val="en-GB"/>
        </w:rPr>
        <w:t xml:space="preserve"> of entities in this branch</w:t>
      </w:r>
      <w:r w:rsidRPr="000B4EBA">
        <w:rPr>
          <w:spacing w:val="-4"/>
          <w:sz w:val="16"/>
          <w:szCs w:val="16"/>
          <w:lang w:val="en-GB"/>
        </w:rPr>
        <w:t>),</w:t>
      </w:r>
      <w:r>
        <w:rPr>
          <w:spacing w:val="-4"/>
          <w:sz w:val="16"/>
          <w:szCs w:val="16"/>
          <w:lang w:val="en-GB"/>
        </w:rPr>
        <w:t xml:space="preserve"> in education </w:t>
      </w:r>
      <w:r w:rsidRPr="000B4EBA">
        <w:rPr>
          <w:spacing w:val="-4"/>
          <w:sz w:val="16"/>
          <w:szCs w:val="16"/>
          <w:lang w:val="en-GB"/>
        </w:rPr>
        <w:t>(95%),</w:t>
      </w:r>
      <w:r>
        <w:rPr>
          <w:spacing w:val="-4"/>
          <w:sz w:val="16"/>
          <w:szCs w:val="16"/>
          <w:lang w:val="en-GB"/>
        </w:rPr>
        <w:t xml:space="preserve"> in cultural, amusement and recreational activities </w:t>
      </w:r>
      <w:r w:rsidRPr="000B4EBA">
        <w:rPr>
          <w:spacing w:val="-4"/>
          <w:sz w:val="16"/>
          <w:szCs w:val="16"/>
          <w:lang w:val="en-GB"/>
        </w:rPr>
        <w:t xml:space="preserve">(74%) </w:t>
      </w:r>
      <w:r>
        <w:rPr>
          <w:spacing w:val="-4"/>
          <w:sz w:val="16"/>
          <w:szCs w:val="16"/>
          <w:lang w:val="en-GB"/>
        </w:rPr>
        <w:t xml:space="preserve">or in other services activities </w:t>
      </w:r>
      <w:r w:rsidRPr="000B4EBA">
        <w:rPr>
          <w:spacing w:val="-4"/>
          <w:sz w:val="16"/>
          <w:szCs w:val="16"/>
          <w:lang w:val="en-GB"/>
        </w:rPr>
        <w:t xml:space="preserve">(86%), </w:t>
      </w:r>
      <w:r>
        <w:rPr>
          <w:spacing w:val="-4"/>
          <w:sz w:val="16"/>
          <w:szCs w:val="16"/>
          <w:lang w:val="en-GB"/>
        </w:rPr>
        <w:t>where is found for example hairdressing or repairs of products for personal use</w:t>
      </w:r>
      <w:r w:rsidRPr="000B4EBA">
        <w:rPr>
          <w:spacing w:val="-4"/>
          <w:sz w:val="16"/>
          <w:szCs w:val="16"/>
          <w:lang w:val="en-GB"/>
        </w:rPr>
        <w:t xml:space="preserve">. </w:t>
      </w:r>
      <w:r>
        <w:rPr>
          <w:spacing w:val="-4"/>
          <w:sz w:val="16"/>
          <w:szCs w:val="16"/>
          <w:lang w:val="en-GB"/>
        </w:rPr>
        <w:t xml:space="preserve">Impact in the two most frequent branches among entrepreneurs was also significant </w:t>
      </w:r>
      <w:r w:rsidRPr="000B4EBA">
        <w:rPr>
          <w:spacing w:val="-4"/>
          <w:sz w:val="16"/>
          <w:szCs w:val="16"/>
          <w:lang w:val="en-GB"/>
        </w:rPr>
        <w:t xml:space="preserve">– </w:t>
      </w:r>
      <w:r>
        <w:rPr>
          <w:spacing w:val="-4"/>
          <w:sz w:val="16"/>
          <w:szCs w:val="16"/>
          <w:lang w:val="en-GB"/>
        </w:rPr>
        <w:t xml:space="preserve">construction </w:t>
      </w:r>
      <w:r w:rsidRPr="000B4EBA">
        <w:rPr>
          <w:spacing w:val="-4"/>
          <w:sz w:val="16"/>
          <w:szCs w:val="16"/>
          <w:lang w:val="en-GB"/>
        </w:rPr>
        <w:t>(56%) a</w:t>
      </w:r>
      <w:r>
        <w:rPr>
          <w:spacing w:val="-4"/>
          <w:sz w:val="16"/>
          <w:szCs w:val="16"/>
          <w:lang w:val="en-GB"/>
        </w:rPr>
        <w:t xml:space="preserve">nd trade </w:t>
      </w:r>
      <w:r w:rsidRPr="000B4EBA">
        <w:rPr>
          <w:spacing w:val="-4"/>
          <w:sz w:val="16"/>
          <w:szCs w:val="16"/>
          <w:lang w:val="en-GB"/>
        </w:rPr>
        <w:t>(66%).</w:t>
      </w:r>
    </w:p>
  </w:footnote>
  <w:footnote w:id="5">
    <w:p w14:paraId="258CD1DC" w14:textId="77777777" w:rsidR="00C2211E" w:rsidRPr="002D488A" w:rsidRDefault="00C2211E" w:rsidP="00C2211E">
      <w:pPr>
        <w:pStyle w:val="Textpoznpodarou"/>
        <w:jc w:val="both"/>
        <w:rPr>
          <w:spacing w:val="-3"/>
          <w:sz w:val="16"/>
          <w:szCs w:val="16"/>
          <w:lang w:val="en-GB"/>
        </w:rPr>
      </w:pPr>
      <w:r w:rsidRPr="004E68B1">
        <w:rPr>
          <w:rStyle w:val="Znakapoznpodarou"/>
          <w:spacing w:val="-3"/>
          <w:sz w:val="16"/>
          <w:szCs w:val="16"/>
        </w:rPr>
        <w:footnoteRef/>
      </w:r>
      <w:r w:rsidRPr="004E68B1">
        <w:rPr>
          <w:spacing w:val="-3"/>
          <w:sz w:val="16"/>
          <w:szCs w:val="16"/>
        </w:rPr>
        <w:t xml:space="preserve"> </w:t>
      </w:r>
      <w:r w:rsidRPr="002D488A">
        <w:rPr>
          <w:spacing w:val="-3"/>
          <w:sz w:val="16"/>
          <w:szCs w:val="16"/>
          <w:lang w:val="en-GB"/>
        </w:rPr>
        <w:t xml:space="preserve">For persons aged 15–64, value after seasonal adjustment. </w:t>
      </w:r>
      <w:r w:rsidRPr="002D488A">
        <w:rPr>
          <w:spacing w:val="-2"/>
          <w:sz w:val="16"/>
          <w:szCs w:val="16"/>
          <w:lang w:val="en-GB"/>
        </w:rPr>
        <w:t xml:space="preserve">All given unemployment data are sourced from the data of Labour Force Sample Survey. </w:t>
      </w:r>
    </w:p>
  </w:footnote>
  <w:footnote w:id="6">
    <w:p w14:paraId="265BB0C0" w14:textId="77777777" w:rsidR="00C2211E" w:rsidRPr="002D488A" w:rsidRDefault="00C2211E" w:rsidP="00C2211E">
      <w:pPr>
        <w:pStyle w:val="Textpoznpodarou"/>
        <w:jc w:val="both"/>
        <w:rPr>
          <w:spacing w:val="-3"/>
          <w:sz w:val="16"/>
          <w:szCs w:val="16"/>
          <w:lang w:val="en-GB"/>
        </w:rPr>
      </w:pPr>
      <w:r w:rsidRPr="002D488A">
        <w:rPr>
          <w:rStyle w:val="Znakapoznpodarou"/>
          <w:spacing w:val="-3"/>
          <w:sz w:val="16"/>
          <w:szCs w:val="16"/>
          <w:lang w:val="en-GB"/>
        </w:rPr>
        <w:footnoteRef/>
      </w:r>
      <w:r w:rsidRPr="002D488A">
        <w:rPr>
          <w:spacing w:val="-3"/>
          <w:sz w:val="16"/>
          <w:szCs w:val="16"/>
          <w:lang w:val="en-GB"/>
        </w:rPr>
        <w:t xml:space="preserve"> Total drawing of care benefits was 9.1 CZK bn from March till July of this year, it was only 0.6 bn in the same period of the last year.</w:t>
      </w:r>
    </w:p>
  </w:footnote>
  <w:footnote w:id="7">
    <w:p w14:paraId="269888B3" w14:textId="77777777" w:rsidR="00C2211E" w:rsidRPr="002D488A" w:rsidRDefault="00C2211E" w:rsidP="00C2211E">
      <w:pPr>
        <w:pStyle w:val="Textpoznpodarou"/>
        <w:jc w:val="both"/>
        <w:rPr>
          <w:spacing w:val="-4"/>
          <w:sz w:val="16"/>
          <w:szCs w:val="16"/>
          <w:lang w:val="en-GB"/>
        </w:rPr>
      </w:pPr>
      <w:r w:rsidRPr="002D488A">
        <w:rPr>
          <w:rStyle w:val="Znakapoznpodarou"/>
          <w:spacing w:val="-4"/>
          <w:sz w:val="16"/>
          <w:szCs w:val="16"/>
          <w:lang w:val="en-GB"/>
        </w:rPr>
        <w:footnoteRef/>
      </w:r>
      <w:r w:rsidRPr="002D488A">
        <w:rPr>
          <w:spacing w:val="-4"/>
          <w:sz w:val="16"/>
          <w:szCs w:val="16"/>
          <w:lang w:val="en-GB"/>
        </w:rPr>
        <w:t xml:space="preserve"> </w:t>
      </w:r>
      <w:r>
        <w:rPr>
          <w:spacing w:val="-4"/>
          <w:sz w:val="16"/>
          <w:szCs w:val="16"/>
          <w:lang w:val="en-GB"/>
        </w:rPr>
        <w:t xml:space="preserve">According to data from business cycle surveys, e.g. persons with higher level of education, persons aged 50 to 64 or persons working in groups based on the classification ISCO 1-5 </w:t>
      </w:r>
      <w:r w:rsidRPr="002D488A">
        <w:rPr>
          <w:spacing w:val="-4"/>
          <w:sz w:val="16"/>
          <w:szCs w:val="16"/>
          <w:lang w:val="en-GB"/>
        </w:rPr>
        <w:t>(</w:t>
      </w:r>
      <w:r>
        <w:rPr>
          <w:spacing w:val="-4"/>
          <w:sz w:val="16"/>
          <w:szCs w:val="16"/>
          <w:lang w:val="en-GB"/>
        </w:rPr>
        <w:t>managers, specialists, technical and specialised workers, workers in services and trade</w:t>
      </w:r>
      <w:r w:rsidRPr="002D488A">
        <w:rPr>
          <w:spacing w:val="-4"/>
          <w:sz w:val="16"/>
          <w:szCs w:val="16"/>
          <w:lang w:val="en-GB"/>
        </w:rPr>
        <w:t>)</w:t>
      </w:r>
      <w:r>
        <w:rPr>
          <w:spacing w:val="-4"/>
          <w:sz w:val="16"/>
          <w:szCs w:val="16"/>
          <w:lang w:val="en-GB"/>
        </w:rPr>
        <w:t xml:space="preserve"> recorded higher than average balance </w:t>
      </w:r>
      <w:r w:rsidRPr="002D488A">
        <w:rPr>
          <w:spacing w:val="-4"/>
          <w:sz w:val="16"/>
          <w:szCs w:val="16"/>
          <w:lang w:val="en-GB"/>
        </w:rPr>
        <w:t>(+47 p.</w:t>
      </w:r>
      <w:r>
        <w:rPr>
          <w:spacing w:val="-4"/>
          <w:sz w:val="16"/>
          <w:szCs w:val="16"/>
          <w:lang w:val="en-GB"/>
        </w:rPr>
        <w:t>p.</w:t>
      </w:r>
      <w:r w:rsidRPr="002D488A">
        <w:rPr>
          <w:spacing w:val="-4"/>
          <w:sz w:val="16"/>
          <w:szCs w:val="16"/>
          <w:lang w:val="en-GB"/>
        </w:rPr>
        <w:t xml:space="preserve">) </w:t>
      </w:r>
      <w:r>
        <w:rPr>
          <w:spacing w:val="-4"/>
          <w:sz w:val="16"/>
          <w:szCs w:val="16"/>
          <w:lang w:val="en-GB"/>
        </w:rPr>
        <w:t>in August 2020</w:t>
      </w:r>
      <w:r w:rsidRPr="002D488A">
        <w:rPr>
          <w:spacing w:val="-4"/>
          <w:sz w:val="16"/>
          <w:szCs w:val="16"/>
          <w:lang w:val="en-GB"/>
        </w:rPr>
        <w:t xml:space="preserve">. </w:t>
      </w:r>
      <w:r>
        <w:rPr>
          <w:spacing w:val="-4"/>
          <w:sz w:val="16"/>
          <w:szCs w:val="16"/>
          <w:lang w:val="en-GB"/>
        </w:rPr>
        <w:t xml:space="preserve">Higher expectation of unemployment does not necessarily mean expectation of worsened financial situation of the given person or household. </w:t>
      </w:r>
    </w:p>
  </w:footnote>
  <w:footnote w:id="8">
    <w:p w14:paraId="44C0F16D" w14:textId="77777777" w:rsidR="00C2211E" w:rsidRPr="002D488A" w:rsidRDefault="00C2211E" w:rsidP="00C2211E">
      <w:pPr>
        <w:pStyle w:val="Textpoznpodarou"/>
        <w:jc w:val="both"/>
        <w:rPr>
          <w:spacing w:val="-2"/>
          <w:sz w:val="16"/>
          <w:szCs w:val="16"/>
          <w:lang w:val="en-GB"/>
        </w:rPr>
      </w:pPr>
      <w:r w:rsidRPr="002D488A">
        <w:rPr>
          <w:rStyle w:val="Znakapoznpodarou"/>
          <w:spacing w:val="-2"/>
          <w:sz w:val="16"/>
          <w:szCs w:val="16"/>
          <w:lang w:val="en-GB"/>
        </w:rPr>
        <w:footnoteRef/>
      </w:r>
      <w:r w:rsidRPr="002D488A">
        <w:rPr>
          <w:spacing w:val="-2"/>
          <w:sz w:val="16"/>
          <w:szCs w:val="16"/>
          <w:lang w:val="en-GB"/>
        </w:rPr>
        <w:t xml:space="preserve"> </w:t>
      </w:r>
      <w:r>
        <w:rPr>
          <w:spacing w:val="-2"/>
          <w:sz w:val="16"/>
          <w:szCs w:val="16"/>
          <w:lang w:val="en-GB"/>
        </w:rPr>
        <w:t xml:space="preserve">It was also valid for example about Japan. On the contrary, the labour market reacted very fiercely in the USA. While unemployment reached here </w:t>
      </w:r>
      <w:r w:rsidRPr="002D488A">
        <w:rPr>
          <w:spacing w:val="-2"/>
          <w:sz w:val="16"/>
          <w:szCs w:val="16"/>
          <w:lang w:val="en-GB"/>
        </w:rPr>
        <w:t>4</w:t>
      </w:r>
      <w:r>
        <w:rPr>
          <w:spacing w:val="-2"/>
          <w:sz w:val="16"/>
          <w:szCs w:val="16"/>
          <w:lang w:val="en-GB"/>
        </w:rPr>
        <w:t>.</w:t>
      </w:r>
      <w:r w:rsidRPr="002D488A">
        <w:rPr>
          <w:spacing w:val="-2"/>
          <w:sz w:val="16"/>
          <w:szCs w:val="16"/>
          <w:lang w:val="en-GB"/>
        </w:rPr>
        <w:t>4%</w:t>
      </w:r>
      <w:r>
        <w:rPr>
          <w:spacing w:val="-2"/>
          <w:sz w:val="16"/>
          <w:szCs w:val="16"/>
          <w:lang w:val="en-GB"/>
        </w:rPr>
        <w:t xml:space="preserve"> in March</w:t>
      </w:r>
      <w:r w:rsidRPr="002D488A">
        <w:rPr>
          <w:spacing w:val="-2"/>
          <w:sz w:val="16"/>
          <w:szCs w:val="16"/>
          <w:lang w:val="en-GB"/>
        </w:rPr>
        <w:t>,</w:t>
      </w:r>
      <w:r>
        <w:rPr>
          <w:spacing w:val="-2"/>
          <w:sz w:val="16"/>
          <w:szCs w:val="16"/>
          <w:lang w:val="en-GB"/>
        </w:rPr>
        <w:t xml:space="preserve"> it accelerated to </w:t>
      </w:r>
      <w:r w:rsidRPr="002D488A">
        <w:rPr>
          <w:spacing w:val="-2"/>
          <w:sz w:val="16"/>
          <w:szCs w:val="16"/>
          <w:lang w:val="en-GB"/>
        </w:rPr>
        <w:t>14</w:t>
      </w:r>
      <w:r>
        <w:rPr>
          <w:spacing w:val="-2"/>
          <w:sz w:val="16"/>
          <w:szCs w:val="16"/>
          <w:lang w:val="en-GB"/>
        </w:rPr>
        <w:t>.</w:t>
      </w:r>
      <w:r w:rsidRPr="002D488A">
        <w:rPr>
          <w:spacing w:val="-2"/>
          <w:sz w:val="16"/>
          <w:szCs w:val="16"/>
          <w:lang w:val="en-GB"/>
        </w:rPr>
        <w:t>7%</w:t>
      </w:r>
      <w:r>
        <w:rPr>
          <w:spacing w:val="-2"/>
          <w:sz w:val="16"/>
          <w:szCs w:val="16"/>
          <w:lang w:val="en-GB"/>
        </w:rPr>
        <w:t xml:space="preserve"> in April</w:t>
      </w:r>
      <w:r w:rsidRPr="002D488A">
        <w:rPr>
          <w:spacing w:val="-2"/>
          <w:sz w:val="16"/>
          <w:szCs w:val="16"/>
          <w:lang w:val="en-GB"/>
        </w:rPr>
        <w:t>.</w:t>
      </w:r>
      <w:r>
        <w:rPr>
          <w:spacing w:val="-2"/>
          <w:sz w:val="16"/>
          <w:szCs w:val="16"/>
          <w:lang w:val="en-GB"/>
        </w:rPr>
        <w:t xml:space="preserve"> Only small correction occurred in the subsequent months, but the June value still exceeded </w:t>
      </w:r>
      <w:r w:rsidRPr="002D488A">
        <w:rPr>
          <w:spacing w:val="-2"/>
          <w:sz w:val="16"/>
          <w:szCs w:val="16"/>
          <w:lang w:val="en-GB"/>
        </w:rPr>
        <w:t>11% a</w:t>
      </w:r>
      <w:r>
        <w:rPr>
          <w:spacing w:val="-2"/>
          <w:sz w:val="16"/>
          <w:szCs w:val="16"/>
          <w:lang w:val="en-GB"/>
        </w:rPr>
        <w:t xml:space="preserve">nd it was by more than </w:t>
      </w:r>
      <w:r w:rsidRPr="002D488A">
        <w:rPr>
          <w:spacing w:val="-2"/>
          <w:sz w:val="16"/>
          <w:szCs w:val="16"/>
          <w:lang w:val="en-GB"/>
        </w:rPr>
        <w:t>1 p.</w:t>
      </w:r>
      <w:r>
        <w:rPr>
          <w:spacing w:val="-2"/>
          <w:sz w:val="16"/>
          <w:szCs w:val="16"/>
          <w:lang w:val="en-GB"/>
        </w:rPr>
        <w:t xml:space="preserve">p. above the level from the recession peak from years </w:t>
      </w:r>
      <w:r w:rsidRPr="002D488A">
        <w:rPr>
          <w:spacing w:val="-2"/>
          <w:sz w:val="16"/>
          <w:szCs w:val="16"/>
          <w:lang w:val="en-GB"/>
        </w:rPr>
        <w:t>2009</w:t>
      </w:r>
      <w:r>
        <w:rPr>
          <w:spacing w:val="-2"/>
          <w:sz w:val="16"/>
          <w:szCs w:val="16"/>
          <w:lang w:val="en-GB"/>
        </w:rPr>
        <w:t xml:space="preserve"> to</w:t>
      </w:r>
      <w:r w:rsidRPr="002D488A">
        <w:rPr>
          <w:spacing w:val="-2"/>
          <w:sz w:val="16"/>
          <w:szCs w:val="16"/>
          <w:lang w:val="en-GB"/>
        </w:rPr>
        <w:t xml:space="preserve"> 2010.</w:t>
      </w:r>
    </w:p>
  </w:footnote>
  <w:footnote w:id="9">
    <w:p w14:paraId="38FAB77E" w14:textId="77777777" w:rsidR="00C2211E" w:rsidRPr="002D488A" w:rsidRDefault="00C2211E" w:rsidP="00C2211E">
      <w:pPr>
        <w:pStyle w:val="Textpoznpodarou"/>
        <w:jc w:val="both"/>
        <w:rPr>
          <w:spacing w:val="-2"/>
          <w:sz w:val="16"/>
          <w:szCs w:val="16"/>
          <w:lang w:val="en-GB"/>
        </w:rPr>
      </w:pPr>
      <w:r w:rsidRPr="002D488A">
        <w:rPr>
          <w:rStyle w:val="Znakapoznpodarou"/>
          <w:spacing w:val="-2"/>
          <w:sz w:val="16"/>
          <w:szCs w:val="16"/>
          <w:lang w:val="en-GB"/>
        </w:rPr>
        <w:footnoteRef/>
      </w:r>
      <w:r w:rsidRPr="002D488A">
        <w:rPr>
          <w:spacing w:val="-2"/>
          <w:sz w:val="16"/>
          <w:szCs w:val="16"/>
          <w:lang w:val="en-GB"/>
        </w:rPr>
        <w:t xml:space="preserve"> Relates to persons aged 15–74, all data regarding unemployment describe reality after seasonal adjustment. </w:t>
      </w:r>
    </w:p>
  </w:footnote>
  <w:footnote w:id="10">
    <w:p w14:paraId="055E2EE6" w14:textId="77777777" w:rsidR="00C2211E" w:rsidRPr="00D82D14" w:rsidRDefault="00C2211E" w:rsidP="00C2211E">
      <w:pPr>
        <w:pStyle w:val="Textpoznpodarou"/>
        <w:jc w:val="both"/>
        <w:rPr>
          <w:spacing w:val="-2"/>
          <w:sz w:val="16"/>
          <w:szCs w:val="16"/>
          <w:lang w:val="en-GB"/>
        </w:rPr>
      </w:pPr>
      <w:r w:rsidRPr="00D82D14">
        <w:rPr>
          <w:rStyle w:val="Znakapoznpodarou"/>
          <w:spacing w:val="-2"/>
          <w:sz w:val="16"/>
          <w:szCs w:val="16"/>
          <w:lang w:val="en-GB"/>
        </w:rPr>
        <w:footnoteRef/>
      </w:r>
      <w:r w:rsidRPr="00D82D14">
        <w:rPr>
          <w:spacing w:val="-2"/>
          <w:sz w:val="16"/>
          <w:szCs w:val="16"/>
          <w:lang w:val="en-GB"/>
        </w:rPr>
        <w:t xml:space="preserve"> It reaches high level also in Greece in the long term, for which the most current this year´s figu</w:t>
      </w:r>
      <w:r>
        <w:rPr>
          <w:spacing w:val="-2"/>
          <w:sz w:val="16"/>
          <w:szCs w:val="16"/>
          <w:lang w:val="en-GB"/>
        </w:rPr>
        <w:t>r</w:t>
      </w:r>
      <w:r w:rsidRPr="00D82D14">
        <w:rPr>
          <w:spacing w:val="-2"/>
          <w:sz w:val="16"/>
          <w:szCs w:val="16"/>
          <w:lang w:val="en-GB"/>
        </w:rPr>
        <w:t>e relates to May (37.5%).</w:t>
      </w:r>
    </w:p>
  </w:footnote>
  <w:footnote w:id="11">
    <w:p w14:paraId="0939E408" w14:textId="77777777" w:rsidR="00C2211E" w:rsidRPr="00D82D14" w:rsidRDefault="00C2211E" w:rsidP="00C2211E">
      <w:pPr>
        <w:pStyle w:val="Textpoznpodarou"/>
        <w:jc w:val="both"/>
        <w:rPr>
          <w:spacing w:val="-2"/>
          <w:sz w:val="16"/>
          <w:szCs w:val="16"/>
          <w:lang w:val="en-GB"/>
        </w:rPr>
      </w:pPr>
      <w:r w:rsidRPr="00D82D14">
        <w:rPr>
          <w:rStyle w:val="Znakapoznpodarou"/>
          <w:spacing w:val="-2"/>
          <w:sz w:val="16"/>
          <w:szCs w:val="16"/>
          <w:lang w:val="en-GB"/>
        </w:rPr>
        <w:footnoteRef/>
      </w:r>
      <w:r w:rsidRPr="00D82D14">
        <w:rPr>
          <w:spacing w:val="-2"/>
          <w:sz w:val="16"/>
          <w:szCs w:val="16"/>
          <w:lang w:val="en-GB"/>
        </w:rPr>
        <w:t xml:space="preserve"> </w:t>
      </w:r>
      <w:r>
        <w:rPr>
          <w:spacing w:val="-2"/>
          <w:sz w:val="16"/>
          <w:szCs w:val="16"/>
          <w:lang w:val="en-GB"/>
        </w:rPr>
        <w:t xml:space="preserve">According to the LFSS, it concerned </w:t>
      </w:r>
      <w:r w:rsidRPr="00D82D14">
        <w:rPr>
          <w:spacing w:val="-2"/>
          <w:sz w:val="16"/>
          <w:szCs w:val="16"/>
          <w:lang w:val="en-GB"/>
        </w:rPr>
        <w:t>3</w:t>
      </w:r>
      <w:r>
        <w:rPr>
          <w:spacing w:val="-2"/>
          <w:sz w:val="16"/>
          <w:szCs w:val="16"/>
          <w:lang w:val="en-GB"/>
        </w:rPr>
        <w:t>.</w:t>
      </w:r>
      <w:r w:rsidRPr="00D82D14">
        <w:rPr>
          <w:spacing w:val="-2"/>
          <w:sz w:val="16"/>
          <w:szCs w:val="16"/>
          <w:lang w:val="en-GB"/>
        </w:rPr>
        <w:t>9 mil</w:t>
      </w:r>
      <w:r>
        <w:rPr>
          <w:spacing w:val="-2"/>
          <w:sz w:val="16"/>
          <w:szCs w:val="16"/>
          <w:lang w:val="en-GB"/>
        </w:rPr>
        <w:t xml:space="preserve"> of citizens </w:t>
      </w:r>
      <w:r w:rsidRPr="00D82D14">
        <w:rPr>
          <w:spacing w:val="-2"/>
          <w:sz w:val="16"/>
          <w:szCs w:val="16"/>
          <w:lang w:val="en-GB"/>
        </w:rPr>
        <w:t>(</w:t>
      </w:r>
      <w:r>
        <w:rPr>
          <w:spacing w:val="-2"/>
          <w:sz w:val="16"/>
          <w:szCs w:val="16"/>
          <w:lang w:val="en-GB"/>
        </w:rPr>
        <w:t xml:space="preserve">aged </w:t>
      </w:r>
      <w:r w:rsidRPr="00D82D14">
        <w:rPr>
          <w:spacing w:val="-2"/>
          <w:sz w:val="16"/>
          <w:szCs w:val="16"/>
          <w:lang w:val="en-GB"/>
        </w:rPr>
        <w:t>15</w:t>
      </w:r>
      <w:r>
        <w:rPr>
          <w:spacing w:val="-2"/>
          <w:sz w:val="16"/>
          <w:szCs w:val="16"/>
          <w:lang w:val="en-GB"/>
        </w:rPr>
        <w:t xml:space="preserve"> to </w:t>
      </w:r>
      <w:r w:rsidRPr="00D82D14">
        <w:rPr>
          <w:spacing w:val="-2"/>
          <w:sz w:val="16"/>
          <w:szCs w:val="16"/>
          <w:lang w:val="en-GB"/>
        </w:rPr>
        <w:t>74 </w:t>
      </w:r>
      <w:r>
        <w:rPr>
          <w:spacing w:val="-2"/>
          <w:sz w:val="16"/>
          <w:szCs w:val="16"/>
          <w:lang w:val="en-GB"/>
        </w:rPr>
        <w:t>years</w:t>
      </w:r>
      <w:r w:rsidRPr="00D82D14">
        <w:rPr>
          <w:spacing w:val="-2"/>
          <w:sz w:val="16"/>
          <w:szCs w:val="16"/>
          <w:lang w:val="en-GB"/>
        </w:rPr>
        <w:t xml:space="preserve">), </w:t>
      </w:r>
      <w:r>
        <w:rPr>
          <w:spacing w:val="-2"/>
          <w:sz w:val="16"/>
          <w:szCs w:val="16"/>
          <w:lang w:val="en-GB"/>
        </w:rPr>
        <w:t>which were employed in Q</w:t>
      </w:r>
      <w:r w:rsidRPr="00D82D14">
        <w:rPr>
          <w:spacing w:val="-2"/>
          <w:sz w:val="16"/>
          <w:szCs w:val="16"/>
          <w:lang w:val="en-GB"/>
        </w:rPr>
        <w:t>4</w:t>
      </w:r>
      <w:r>
        <w:rPr>
          <w:spacing w:val="-2"/>
          <w:sz w:val="16"/>
          <w:szCs w:val="16"/>
          <w:lang w:val="en-GB"/>
        </w:rPr>
        <w:t xml:space="preserve"> </w:t>
      </w:r>
      <w:r w:rsidRPr="00D82D14">
        <w:rPr>
          <w:spacing w:val="-2"/>
          <w:sz w:val="16"/>
          <w:szCs w:val="16"/>
          <w:lang w:val="en-GB"/>
        </w:rPr>
        <w:t>2019</w:t>
      </w:r>
      <w:r>
        <w:rPr>
          <w:spacing w:val="-2"/>
          <w:sz w:val="16"/>
          <w:szCs w:val="16"/>
          <w:lang w:val="en-GB"/>
        </w:rPr>
        <w:t xml:space="preserve"> and were counted among inactive in the following quarter. The flows between inactivity and unemployment were in the same period nearly equal </w:t>
      </w:r>
      <w:r w:rsidRPr="00D82D14">
        <w:rPr>
          <w:spacing w:val="-2"/>
          <w:sz w:val="16"/>
          <w:szCs w:val="16"/>
          <w:lang w:val="en-GB"/>
        </w:rPr>
        <w:t>(3</w:t>
      </w:r>
      <w:r>
        <w:rPr>
          <w:spacing w:val="-2"/>
          <w:sz w:val="16"/>
          <w:szCs w:val="16"/>
          <w:lang w:val="en-GB"/>
        </w:rPr>
        <w:t>.</w:t>
      </w:r>
      <w:r w:rsidRPr="00D82D14">
        <w:rPr>
          <w:spacing w:val="-2"/>
          <w:sz w:val="16"/>
          <w:szCs w:val="16"/>
          <w:lang w:val="en-GB"/>
        </w:rPr>
        <w:t>2, resp. 3</w:t>
      </w:r>
      <w:r>
        <w:rPr>
          <w:spacing w:val="-2"/>
          <w:sz w:val="16"/>
          <w:szCs w:val="16"/>
          <w:lang w:val="en-GB"/>
        </w:rPr>
        <w:t>.</w:t>
      </w:r>
      <w:r w:rsidRPr="00D82D14">
        <w:rPr>
          <w:spacing w:val="-2"/>
          <w:sz w:val="16"/>
          <w:szCs w:val="16"/>
          <w:lang w:val="en-GB"/>
        </w:rPr>
        <w:t xml:space="preserve">3 mil.). </w:t>
      </w:r>
      <w:r>
        <w:rPr>
          <w:spacing w:val="-2"/>
          <w:sz w:val="16"/>
          <w:szCs w:val="16"/>
          <w:lang w:val="en-GB"/>
        </w:rPr>
        <w:t xml:space="preserve">Relations between employment and unemployment appeared still mildly in favour of employed at the beginning of the year </w:t>
      </w:r>
      <w:r w:rsidRPr="00D82D14">
        <w:rPr>
          <w:spacing w:val="-2"/>
          <w:sz w:val="16"/>
          <w:szCs w:val="16"/>
          <w:lang w:val="en-GB"/>
        </w:rPr>
        <w:t>(+0</w:t>
      </w:r>
      <w:r>
        <w:rPr>
          <w:spacing w:val="-2"/>
          <w:sz w:val="16"/>
          <w:szCs w:val="16"/>
          <w:lang w:val="en-GB"/>
        </w:rPr>
        <w:t>.</w:t>
      </w:r>
      <w:r w:rsidRPr="00D82D14">
        <w:rPr>
          <w:spacing w:val="-2"/>
          <w:sz w:val="16"/>
          <w:szCs w:val="16"/>
          <w:lang w:val="en-GB"/>
        </w:rPr>
        <w:t xml:space="preserve">4 mil.), </w:t>
      </w:r>
      <w:r>
        <w:rPr>
          <w:spacing w:val="-2"/>
          <w:sz w:val="16"/>
          <w:szCs w:val="16"/>
          <w:lang w:val="en-GB"/>
        </w:rPr>
        <w:t>however as the first estimations from the national accounts clearly indicated</w:t>
      </w:r>
      <w:r w:rsidRPr="00D82D14">
        <w:rPr>
          <w:spacing w:val="-2"/>
          <w:sz w:val="16"/>
          <w:szCs w:val="16"/>
          <w:lang w:val="en-GB"/>
        </w:rPr>
        <w:t xml:space="preserve">, </w:t>
      </w:r>
      <w:r>
        <w:rPr>
          <w:spacing w:val="-2"/>
          <w:sz w:val="16"/>
          <w:szCs w:val="16"/>
          <w:lang w:val="en-GB"/>
        </w:rPr>
        <w:t>a sharp decrease of the number of employed (year-on-year as well as quarter-on-quarter by nearly 3%) occurred in the EU in Q</w:t>
      </w:r>
      <w:r w:rsidRPr="00D82D14">
        <w:rPr>
          <w:spacing w:val="-2"/>
          <w:sz w:val="16"/>
          <w:szCs w:val="16"/>
          <w:lang w:val="en-GB"/>
        </w:rPr>
        <w:t>2.</w:t>
      </w:r>
      <w:r>
        <w:rPr>
          <w:spacing w:val="-2"/>
          <w:sz w:val="16"/>
          <w:szCs w:val="16"/>
          <w:lang w:val="en-GB"/>
        </w:rPr>
        <w:t xml:space="preserve"> </w:t>
      </w:r>
    </w:p>
  </w:footnote>
  <w:footnote w:id="12">
    <w:p w14:paraId="0CEDBC69" w14:textId="77777777" w:rsidR="00C2211E" w:rsidRPr="00B07EF7" w:rsidRDefault="00C2211E" w:rsidP="00C2211E">
      <w:pPr>
        <w:pStyle w:val="Textpoznpodarou"/>
        <w:jc w:val="both"/>
        <w:rPr>
          <w:spacing w:val="-2"/>
          <w:sz w:val="16"/>
          <w:szCs w:val="16"/>
          <w:lang w:val="en-GB"/>
        </w:rPr>
      </w:pPr>
      <w:r w:rsidRPr="006A4CF3">
        <w:rPr>
          <w:rStyle w:val="Znakapoznpodarou"/>
          <w:spacing w:val="-2"/>
          <w:sz w:val="16"/>
          <w:szCs w:val="16"/>
        </w:rPr>
        <w:footnoteRef/>
      </w:r>
      <w:r>
        <w:rPr>
          <w:spacing w:val="-2"/>
          <w:sz w:val="16"/>
          <w:szCs w:val="16"/>
        </w:rPr>
        <w:t xml:space="preserve"> It </w:t>
      </w:r>
      <w:r w:rsidRPr="00B07EF7">
        <w:rPr>
          <w:spacing w:val="-2"/>
          <w:sz w:val="16"/>
          <w:szCs w:val="16"/>
          <w:lang w:val="en-GB"/>
        </w:rPr>
        <w:t>concerns persons ready to enter employment, who however do not actively seek job, further persons who seek employment, but are not able to join it within 14 days (because of this they do not fulfil condition of being ranked among unemployed) and finally also so called underemployed i.e. those who do have a job, however work involuntarily part time (e.</w:t>
      </w:r>
      <w:r>
        <w:rPr>
          <w:spacing w:val="-2"/>
          <w:sz w:val="16"/>
          <w:szCs w:val="16"/>
          <w:lang w:val="en-GB"/>
        </w:rPr>
        <w:t>g</w:t>
      </w:r>
      <w:r w:rsidRPr="00B07EF7">
        <w:rPr>
          <w:spacing w:val="-2"/>
          <w:sz w:val="16"/>
          <w:szCs w:val="16"/>
          <w:lang w:val="en-GB"/>
        </w:rPr>
        <w:t>. for the reason of lack of work at their employer).</w:t>
      </w:r>
    </w:p>
  </w:footnote>
  <w:footnote w:id="13">
    <w:p w14:paraId="1761AFC9" w14:textId="77777777" w:rsidR="00C2211E" w:rsidRPr="00B07EF7" w:rsidRDefault="00C2211E" w:rsidP="00C2211E">
      <w:pPr>
        <w:pStyle w:val="Textpoznpodarou"/>
        <w:jc w:val="both"/>
        <w:rPr>
          <w:spacing w:val="-2"/>
          <w:sz w:val="16"/>
          <w:szCs w:val="16"/>
          <w:lang w:val="en-GB"/>
        </w:rPr>
      </w:pPr>
      <w:r w:rsidRPr="00B07EF7">
        <w:rPr>
          <w:rStyle w:val="Znakapoznpodarou"/>
          <w:spacing w:val="-2"/>
          <w:sz w:val="16"/>
          <w:szCs w:val="16"/>
          <w:lang w:val="en-GB"/>
        </w:rPr>
        <w:footnoteRef/>
      </w:r>
      <w:r w:rsidRPr="00B07EF7">
        <w:rPr>
          <w:spacing w:val="-2"/>
          <w:sz w:val="16"/>
          <w:szCs w:val="16"/>
          <w:lang w:val="en-GB"/>
        </w:rPr>
        <w:t xml:space="preserve"> </w:t>
      </w:r>
      <w:r>
        <w:rPr>
          <w:spacing w:val="-2"/>
          <w:sz w:val="16"/>
          <w:szCs w:val="16"/>
          <w:lang w:val="en-GB"/>
        </w:rPr>
        <w:t xml:space="preserve">It was a consequence of transfer of payment of non-mandatory wage components of part of high-income workers for the purpose of tax optimization. </w:t>
      </w:r>
    </w:p>
  </w:footnote>
  <w:footnote w:id="14">
    <w:p w14:paraId="19A168DF" w14:textId="77777777" w:rsidR="00C2211E" w:rsidRPr="00B07EF7" w:rsidRDefault="00C2211E" w:rsidP="00C2211E">
      <w:pPr>
        <w:pStyle w:val="Textpoznpodarou"/>
        <w:jc w:val="both"/>
        <w:rPr>
          <w:spacing w:val="-2"/>
          <w:sz w:val="16"/>
          <w:szCs w:val="16"/>
          <w:lang w:val="en-GB"/>
        </w:rPr>
      </w:pPr>
      <w:r w:rsidRPr="00B07EF7">
        <w:rPr>
          <w:rStyle w:val="Znakapoznpodarou"/>
          <w:spacing w:val="-2"/>
          <w:sz w:val="16"/>
          <w:szCs w:val="16"/>
          <w:lang w:val="en-GB"/>
        </w:rPr>
        <w:footnoteRef/>
      </w:r>
      <w:r w:rsidRPr="00B07EF7">
        <w:rPr>
          <w:spacing w:val="-2"/>
          <w:sz w:val="16"/>
          <w:szCs w:val="16"/>
          <w:lang w:val="en-GB"/>
        </w:rPr>
        <w:t xml:space="preserve"> </w:t>
      </w:r>
      <w:r>
        <w:rPr>
          <w:spacing w:val="-2"/>
          <w:sz w:val="16"/>
          <w:szCs w:val="16"/>
          <w:lang w:val="en-GB"/>
        </w:rPr>
        <w:t xml:space="preserve">State partially contributed to businesses afflicted by the impacts of the coronavirus crisis after fulfilment of certain conditions </w:t>
      </w:r>
      <w:r w:rsidRPr="00B07EF7">
        <w:rPr>
          <w:spacing w:val="-2"/>
          <w:sz w:val="16"/>
          <w:szCs w:val="16"/>
          <w:lang w:val="en-GB"/>
        </w:rPr>
        <w:t>(</w:t>
      </w:r>
      <w:r>
        <w:rPr>
          <w:spacing w:val="-2"/>
          <w:sz w:val="16"/>
          <w:szCs w:val="16"/>
          <w:lang w:val="en-GB"/>
        </w:rPr>
        <w:t xml:space="preserve">e.g. preserving job positions) on employee wages </w:t>
      </w:r>
      <w:r w:rsidRPr="00B07EF7">
        <w:rPr>
          <w:spacing w:val="-2"/>
          <w:sz w:val="16"/>
          <w:szCs w:val="16"/>
          <w:lang w:val="en-GB"/>
        </w:rPr>
        <w:t>(program</w:t>
      </w:r>
      <w:r>
        <w:rPr>
          <w:spacing w:val="-2"/>
          <w:sz w:val="16"/>
          <w:szCs w:val="16"/>
          <w:lang w:val="en-GB"/>
        </w:rPr>
        <w:t>me</w:t>
      </w:r>
      <w:r w:rsidRPr="00B07EF7">
        <w:rPr>
          <w:spacing w:val="-2"/>
          <w:sz w:val="16"/>
          <w:szCs w:val="16"/>
          <w:lang w:val="en-GB"/>
        </w:rPr>
        <w:t xml:space="preserve"> Antivirus). </w:t>
      </w:r>
      <w:r>
        <w:rPr>
          <w:spacing w:val="-2"/>
          <w:sz w:val="16"/>
          <w:szCs w:val="16"/>
          <w:lang w:val="en-GB"/>
        </w:rPr>
        <w:t>Persons were drawing these wage compensations due to work barriers caused by the pandemics</w:t>
      </w:r>
      <w:r w:rsidRPr="00B07EF7">
        <w:rPr>
          <w:spacing w:val="-2"/>
          <w:sz w:val="16"/>
          <w:szCs w:val="16"/>
          <w:lang w:val="en-GB"/>
        </w:rPr>
        <w:t xml:space="preserve">. </w:t>
      </w:r>
      <w:r>
        <w:rPr>
          <w:spacing w:val="-2"/>
          <w:sz w:val="16"/>
          <w:szCs w:val="16"/>
          <w:lang w:val="en-GB"/>
        </w:rPr>
        <w:t>On the contrary persons who did not work for the reason of drawing of care benefits or ordered quarantine received transfers from state, which are methodically not part of wages (their drawing thus worked against the growth of the average wages</w:t>
      </w:r>
      <w:r w:rsidRPr="00B07EF7">
        <w:rPr>
          <w:spacing w:val="-2"/>
          <w:sz w:val="16"/>
          <w:szCs w:val="16"/>
          <w:lang w:val="en-GB"/>
        </w:rPr>
        <w:t>).</w:t>
      </w:r>
    </w:p>
  </w:footnote>
  <w:footnote w:id="15">
    <w:p w14:paraId="6040E4FD" w14:textId="77777777" w:rsidR="00C2211E" w:rsidRPr="001E1F50" w:rsidRDefault="00C2211E" w:rsidP="00C2211E">
      <w:pPr>
        <w:pStyle w:val="Textpoznpodarou"/>
        <w:jc w:val="both"/>
        <w:rPr>
          <w:spacing w:val="-2"/>
          <w:sz w:val="16"/>
          <w:szCs w:val="16"/>
          <w:lang w:val="en-GB"/>
        </w:rPr>
      </w:pPr>
      <w:r w:rsidRPr="006A4CF3">
        <w:rPr>
          <w:rStyle w:val="Znakapoznpodarou"/>
          <w:spacing w:val="-2"/>
          <w:sz w:val="16"/>
          <w:szCs w:val="16"/>
        </w:rPr>
        <w:footnoteRef/>
      </w:r>
      <w:r>
        <w:rPr>
          <w:spacing w:val="-2"/>
          <w:sz w:val="16"/>
          <w:szCs w:val="16"/>
        </w:rPr>
        <w:t xml:space="preserve"> </w:t>
      </w:r>
      <w:r w:rsidRPr="001E1F50">
        <w:rPr>
          <w:spacing w:val="-2"/>
          <w:sz w:val="16"/>
          <w:szCs w:val="16"/>
          <w:lang w:val="en-GB"/>
        </w:rPr>
        <w:t xml:space="preserve">The average wage was falling slower here in Q2 (by 1.3%). It was also connected to the fact, that approximately half of employees belongs to the so-called wage sphere in this branch and their compensations are then tied to the public budgets. </w:t>
      </w:r>
    </w:p>
  </w:footnote>
  <w:footnote w:id="16">
    <w:p w14:paraId="349D9DAB" w14:textId="77777777" w:rsidR="00C2211E" w:rsidRPr="001E1F50" w:rsidRDefault="00C2211E" w:rsidP="00C2211E">
      <w:pPr>
        <w:pStyle w:val="Textpoznpodarou"/>
        <w:jc w:val="both"/>
        <w:rPr>
          <w:spacing w:val="-2"/>
          <w:sz w:val="16"/>
          <w:szCs w:val="16"/>
          <w:lang w:val="en-GB"/>
        </w:rPr>
      </w:pPr>
      <w:r w:rsidRPr="001E1F50">
        <w:rPr>
          <w:rStyle w:val="Znakapoznpodarou"/>
          <w:spacing w:val="-2"/>
          <w:sz w:val="16"/>
          <w:szCs w:val="16"/>
          <w:lang w:val="en-GB"/>
        </w:rPr>
        <w:footnoteRef/>
      </w:r>
      <w:r w:rsidRPr="001E1F50">
        <w:rPr>
          <w:spacing w:val="-2"/>
          <w:sz w:val="16"/>
          <w:szCs w:val="16"/>
          <w:lang w:val="en-GB"/>
        </w:rPr>
        <w:t xml:space="preserve"> </w:t>
      </w:r>
      <w:r>
        <w:rPr>
          <w:spacing w:val="-2"/>
          <w:sz w:val="16"/>
          <w:szCs w:val="16"/>
          <w:lang w:val="en-GB"/>
        </w:rPr>
        <w:t>Number of employees fell by 12% here year-on-year in H</w:t>
      </w:r>
      <w:r w:rsidRPr="001E1F50">
        <w:rPr>
          <w:spacing w:val="-2"/>
          <w:sz w:val="16"/>
          <w:szCs w:val="16"/>
          <w:lang w:val="en-GB"/>
        </w:rPr>
        <w:t>1</w:t>
      </w:r>
      <w:r>
        <w:rPr>
          <w:spacing w:val="-2"/>
          <w:sz w:val="16"/>
          <w:szCs w:val="16"/>
          <w:lang w:val="en-GB"/>
        </w:rPr>
        <w:t xml:space="preserve"> </w:t>
      </w:r>
      <w:r w:rsidRPr="001E1F50">
        <w:rPr>
          <w:spacing w:val="-2"/>
          <w:sz w:val="16"/>
          <w:szCs w:val="16"/>
          <w:lang w:val="en-GB"/>
        </w:rPr>
        <w:t xml:space="preserve">2020, </w:t>
      </w:r>
      <w:r>
        <w:rPr>
          <w:spacing w:val="-2"/>
          <w:sz w:val="16"/>
          <w:szCs w:val="16"/>
          <w:lang w:val="en-GB"/>
        </w:rPr>
        <w:t xml:space="preserve">similarly to the crisis year </w:t>
      </w:r>
      <w:r w:rsidRPr="001E1F50">
        <w:rPr>
          <w:spacing w:val="-2"/>
          <w:sz w:val="16"/>
          <w:szCs w:val="16"/>
          <w:lang w:val="en-GB"/>
        </w:rPr>
        <w:t>2009.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985C8" w14:textId="2868C48F" w:rsidR="00C2211E" w:rsidRPr="00BB50E6" w:rsidRDefault="00C2211E" w:rsidP="00937AE2">
    <w:pPr>
      <w:pStyle w:val="Zhlav"/>
      <w:rPr>
        <w:lang w:val="en-GB"/>
      </w:rPr>
    </w:pPr>
    <w:r w:rsidRPr="00BB50E6">
      <w:rPr>
        <w:lang w:val="en-GB"/>
      </w:rPr>
      <w:t>The Czech Economy Development</w:t>
    </w:r>
  </w:p>
  <w:p w14:paraId="675E4C41" w14:textId="77777777" w:rsidR="00C2211E" w:rsidRPr="006F5416" w:rsidRDefault="00C2211E" w:rsidP="00937AE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812FB" w14:textId="15FBD22A" w:rsidR="00C2211E" w:rsidRPr="00BB50E6" w:rsidRDefault="00C2211E" w:rsidP="00937AE2">
    <w:pPr>
      <w:pStyle w:val="Zhlav"/>
      <w:rPr>
        <w:lang w:val="en-GB"/>
      </w:rPr>
    </w:pPr>
    <w:r w:rsidRPr="00BB50E6">
      <w:rPr>
        <w:lang w:val="en-GB"/>
      </w:rPr>
      <w:t>The Czech Economy Development</w:t>
    </w:r>
  </w:p>
  <w:p w14:paraId="0CDCFD48" w14:textId="77777777" w:rsidR="00C2211E" w:rsidRPr="006F5416" w:rsidRDefault="00C2211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C5946"/>
    <w:multiLevelType w:val="hybridMultilevel"/>
    <w:tmpl w:val="4C1C2D78"/>
    <w:lvl w:ilvl="0" w:tplc="B01A5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3"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C1667"/>
    <w:multiLevelType w:val="hybridMultilevel"/>
    <w:tmpl w:val="735E7570"/>
    <w:lvl w:ilvl="0" w:tplc="5588AF8E">
      <w:start w:val="1"/>
      <w:numFmt w:val="decimal"/>
      <w:lvlText w:val="%1."/>
      <w:lvlJc w:val="left"/>
      <w:pPr>
        <w:ind w:left="4800" w:hanging="360"/>
      </w:pPr>
      <w:rPr>
        <w:rFonts w:hint="default"/>
      </w:rPr>
    </w:lvl>
    <w:lvl w:ilvl="1" w:tplc="04050019" w:tentative="1">
      <w:start w:val="1"/>
      <w:numFmt w:val="lowerLetter"/>
      <w:lvlText w:val="%2."/>
      <w:lvlJc w:val="left"/>
      <w:pPr>
        <w:ind w:left="5520" w:hanging="360"/>
      </w:pPr>
    </w:lvl>
    <w:lvl w:ilvl="2" w:tplc="0405001B" w:tentative="1">
      <w:start w:val="1"/>
      <w:numFmt w:val="lowerRoman"/>
      <w:lvlText w:val="%3."/>
      <w:lvlJc w:val="right"/>
      <w:pPr>
        <w:ind w:left="6240" w:hanging="180"/>
      </w:pPr>
    </w:lvl>
    <w:lvl w:ilvl="3" w:tplc="0405000F" w:tentative="1">
      <w:start w:val="1"/>
      <w:numFmt w:val="decimal"/>
      <w:lvlText w:val="%4."/>
      <w:lvlJc w:val="left"/>
      <w:pPr>
        <w:ind w:left="6960" w:hanging="360"/>
      </w:pPr>
    </w:lvl>
    <w:lvl w:ilvl="4" w:tplc="04050019" w:tentative="1">
      <w:start w:val="1"/>
      <w:numFmt w:val="lowerLetter"/>
      <w:lvlText w:val="%5."/>
      <w:lvlJc w:val="left"/>
      <w:pPr>
        <w:ind w:left="7680" w:hanging="360"/>
      </w:pPr>
    </w:lvl>
    <w:lvl w:ilvl="5" w:tplc="0405001B" w:tentative="1">
      <w:start w:val="1"/>
      <w:numFmt w:val="lowerRoman"/>
      <w:lvlText w:val="%6."/>
      <w:lvlJc w:val="right"/>
      <w:pPr>
        <w:ind w:left="8400" w:hanging="180"/>
      </w:pPr>
    </w:lvl>
    <w:lvl w:ilvl="6" w:tplc="0405000F" w:tentative="1">
      <w:start w:val="1"/>
      <w:numFmt w:val="decimal"/>
      <w:lvlText w:val="%7."/>
      <w:lvlJc w:val="left"/>
      <w:pPr>
        <w:ind w:left="9120" w:hanging="360"/>
      </w:pPr>
    </w:lvl>
    <w:lvl w:ilvl="7" w:tplc="04050019" w:tentative="1">
      <w:start w:val="1"/>
      <w:numFmt w:val="lowerLetter"/>
      <w:lvlText w:val="%8."/>
      <w:lvlJc w:val="left"/>
      <w:pPr>
        <w:ind w:left="9840" w:hanging="360"/>
      </w:pPr>
    </w:lvl>
    <w:lvl w:ilvl="8" w:tplc="0405001B" w:tentative="1">
      <w:start w:val="1"/>
      <w:numFmt w:val="lowerRoman"/>
      <w:lvlText w:val="%9."/>
      <w:lvlJc w:val="right"/>
      <w:pPr>
        <w:ind w:left="10560" w:hanging="180"/>
      </w:pPr>
    </w:lvl>
  </w:abstractNum>
  <w:abstractNum w:abstractNumId="21" w15:restartNumberingAfterBreak="0">
    <w:nsid w:val="3D4D0562"/>
    <w:multiLevelType w:val="hybridMultilevel"/>
    <w:tmpl w:val="E8A8F2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3"/>
  </w:num>
  <w:num w:numId="13">
    <w:abstractNumId w:val="24"/>
  </w:num>
  <w:num w:numId="14">
    <w:abstractNumId w:val="12"/>
  </w:num>
  <w:num w:numId="15">
    <w:abstractNumId w:val="18"/>
  </w:num>
  <w:num w:numId="16">
    <w:abstractNumId w:val="14"/>
  </w:num>
  <w:num w:numId="17">
    <w:abstractNumId w:val="25"/>
  </w:num>
  <w:num w:numId="18">
    <w:abstractNumId w:val="19"/>
  </w:num>
  <w:num w:numId="19">
    <w:abstractNumId w:val="26"/>
  </w:num>
  <w:num w:numId="20">
    <w:abstractNumId w:val="27"/>
  </w:num>
  <w:num w:numId="21">
    <w:abstractNumId w:val="23"/>
  </w:num>
  <w:num w:numId="22">
    <w:abstractNumId w:val="17"/>
  </w:num>
  <w:num w:numId="23">
    <w:abstractNumId w:val="15"/>
  </w:num>
  <w:num w:numId="24">
    <w:abstractNumId w:val="16"/>
  </w:num>
  <w:num w:numId="25">
    <w:abstractNumId w:val="11"/>
  </w:num>
  <w:num w:numId="26">
    <w:abstractNumId w:val="21"/>
  </w:num>
  <w:num w:numId="27">
    <w:abstractNumId w:val="20"/>
  </w:num>
  <w:num w:numId="28">
    <w:abstractNumId w:val="1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B55"/>
    <w:rsid w:val="00000DC2"/>
    <w:rsid w:val="0000130A"/>
    <w:rsid w:val="00001B6E"/>
    <w:rsid w:val="0000209D"/>
    <w:rsid w:val="00002566"/>
    <w:rsid w:val="00002664"/>
    <w:rsid w:val="000029B2"/>
    <w:rsid w:val="00002B7E"/>
    <w:rsid w:val="00003849"/>
    <w:rsid w:val="00003F5C"/>
    <w:rsid w:val="000047D1"/>
    <w:rsid w:val="00004D5A"/>
    <w:rsid w:val="000056D5"/>
    <w:rsid w:val="00005D9E"/>
    <w:rsid w:val="000063D5"/>
    <w:rsid w:val="00006625"/>
    <w:rsid w:val="00006ABD"/>
    <w:rsid w:val="00006B67"/>
    <w:rsid w:val="00006C0B"/>
    <w:rsid w:val="000070EA"/>
    <w:rsid w:val="000073A0"/>
    <w:rsid w:val="0000767A"/>
    <w:rsid w:val="00007ABE"/>
    <w:rsid w:val="00010256"/>
    <w:rsid w:val="00010702"/>
    <w:rsid w:val="0001128E"/>
    <w:rsid w:val="00011912"/>
    <w:rsid w:val="00011B7F"/>
    <w:rsid w:val="0001250C"/>
    <w:rsid w:val="000129C2"/>
    <w:rsid w:val="00012DD5"/>
    <w:rsid w:val="0001387D"/>
    <w:rsid w:val="000144A2"/>
    <w:rsid w:val="00014ED0"/>
    <w:rsid w:val="00016269"/>
    <w:rsid w:val="00016420"/>
    <w:rsid w:val="00017B01"/>
    <w:rsid w:val="00017CD1"/>
    <w:rsid w:val="000205D1"/>
    <w:rsid w:val="00020F22"/>
    <w:rsid w:val="0002195D"/>
    <w:rsid w:val="000228AE"/>
    <w:rsid w:val="000233D1"/>
    <w:rsid w:val="000234D6"/>
    <w:rsid w:val="00023D29"/>
    <w:rsid w:val="00024348"/>
    <w:rsid w:val="00024394"/>
    <w:rsid w:val="00026389"/>
    <w:rsid w:val="0002669F"/>
    <w:rsid w:val="00027644"/>
    <w:rsid w:val="000279E5"/>
    <w:rsid w:val="000304B6"/>
    <w:rsid w:val="00030EB6"/>
    <w:rsid w:val="00031AE0"/>
    <w:rsid w:val="00031BB2"/>
    <w:rsid w:val="000322EF"/>
    <w:rsid w:val="00033FCD"/>
    <w:rsid w:val="00034DF7"/>
    <w:rsid w:val="00034E68"/>
    <w:rsid w:val="000350C8"/>
    <w:rsid w:val="00036195"/>
    <w:rsid w:val="000374B2"/>
    <w:rsid w:val="000376C0"/>
    <w:rsid w:val="000403A7"/>
    <w:rsid w:val="00040632"/>
    <w:rsid w:val="0004166D"/>
    <w:rsid w:val="00041AFC"/>
    <w:rsid w:val="00041CEC"/>
    <w:rsid w:val="000421A8"/>
    <w:rsid w:val="00042596"/>
    <w:rsid w:val="00044183"/>
    <w:rsid w:val="0004431D"/>
    <w:rsid w:val="0004694F"/>
    <w:rsid w:val="00046F2F"/>
    <w:rsid w:val="00047AD4"/>
    <w:rsid w:val="00047D54"/>
    <w:rsid w:val="0005054A"/>
    <w:rsid w:val="00050708"/>
    <w:rsid w:val="00051506"/>
    <w:rsid w:val="000522E4"/>
    <w:rsid w:val="00053713"/>
    <w:rsid w:val="0005434E"/>
    <w:rsid w:val="00054F86"/>
    <w:rsid w:val="00055CB6"/>
    <w:rsid w:val="000572DD"/>
    <w:rsid w:val="00057B1E"/>
    <w:rsid w:val="00057DC9"/>
    <w:rsid w:val="00060ED3"/>
    <w:rsid w:val="000610E1"/>
    <w:rsid w:val="000616AD"/>
    <w:rsid w:val="000622A6"/>
    <w:rsid w:val="00062EC5"/>
    <w:rsid w:val="00062F22"/>
    <w:rsid w:val="00063975"/>
    <w:rsid w:val="00063CEA"/>
    <w:rsid w:val="0006444D"/>
    <w:rsid w:val="000645FC"/>
    <w:rsid w:val="0006533F"/>
    <w:rsid w:val="00065348"/>
    <w:rsid w:val="00065A75"/>
    <w:rsid w:val="00066558"/>
    <w:rsid w:val="000665D7"/>
    <w:rsid w:val="00066A8F"/>
    <w:rsid w:val="00070A87"/>
    <w:rsid w:val="000712B3"/>
    <w:rsid w:val="00071A7C"/>
    <w:rsid w:val="0007200B"/>
    <w:rsid w:val="000727C7"/>
    <w:rsid w:val="00072FF5"/>
    <w:rsid w:val="00073BA3"/>
    <w:rsid w:val="0007462F"/>
    <w:rsid w:val="0007474E"/>
    <w:rsid w:val="00074988"/>
    <w:rsid w:val="0007512B"/>
    <w:rsid w:val="00075551"/>
    <w:rsid w:val="000767F5"/>
    <w:rsid w:val="0007683E"/>
    <w:rsid w:val="00076D90"/>
    <w:rsid w:val="00077DEE"/>
    <w:rsid w:val="00077FF0"/>
    <w:rsid w:val="000812D3"/>
    <w:rsid w:val="00081A55"/>
    <w:rsid w:val="0008263E"/>
    <w:rsid w:val="00082C19"/>
    <w:rsid w:val="00082F89"/>
    <w:rsid w:val="000837CD"/>
    <w:rsid w:val="000848CA"/>
    <w:rsid w:val="00084BFF"/>
    <w:rsid w:val="00085395"/>
    <w:rsid w:val="00086896"/>
    <w:rsid w:val="00086AC1"/>
    <w:rsid w:val="00086C6F"/>
    <w:rsid w:val="00086D19"/>
    <w:rsid w:val="00087634"/>
    <w:rsid w:val="00087F2B"/>
    <w:rsid w:val="00090694"/>
    <w:rsid w:val="00090EE2"/>
    <w:rsid w:val="00090FC6"/>
    <w:rsid w:val="0009100B"/>
    <w:rsid w:val="000913B1"/>
    <w:rsid w:val="000924B7"/>
    <w:rsid w:val="00092513"/>
    <w:rsid w:val="00092D77"/>
    <w:rsid w:val="00093241"/>
    <w:rsid w:val="00093868"/>
    <w:rsid w:val="00094A84"/>
    <w:rsid w:val="00095025"/>
    <w:rsid w:val="00095135"/>
    <w:rsid w:val="0009626E"/>
    <w:rsid w:val="00097191"/>
    <w:rsid w:val="000972D4"/>
    <w:rsid w:val="000974D1"/>
    <w:rsid w:val="00097784"/>
    <w:rsid w:val="0009799E"/>
    <w:rsid w:val="000A07CB"/>
    <w:rsid w:val="000A0BC0"/>
    <w:rsid w:val="000A1183"/>
    <w:rsid w:val="000A12ED"/>
    <w:rsid w:val="000A1B03"/>
    <w:rsid w:val="000A212B"/>
    <w:rsid w:val="000A242D"/>
    <w:rsid w:val="000A256D"/>
    <w:rsid w:val="000A2D86"/>
    <w:rsid w:val="000A37EF"/>
    <w:rsid w:val="000A3A2C"/>
    <w:rsid w:val="000A3D9E"/>
    <w:rsid w:val="000A4A54"/>
    <w:rsid w:val="000A4ED9"/>
    <w:rsid w:val="000A517B"/>
    <w:rsid w:val="000A54B8"/>
    <w:rsid w:val="000A5DB7"/>
    <w:rsid w:val="000A6D94"/>
    <w:rsid w:val="000A7355"/>
    <w:rsid w:val="000A7377"/>
    <w:rsid w:val="000A7FF4"/>
    <w:rsid w:val="000B03CC"/>
    <w:rsid w:val="000B4212"/>
    <w:rsid w:val="000B4733"/>
    <w:rsid w:val="000B4994"/>
    <w:rsid w:val="000B4EBA"/>
    <w:rsid w:val="000B683E"/>
    <w:rsid w:val="000C0EA8"/>
    <w:rsid w:val="000C12A7"/>
    <w:rsid w:val="000C13A2"/>
    <w:rsid w:val="000C21E7"/>
    <w:rsid w:val="000C23EC"/>
    <w:rsid w:val="000C30C3"/>
    <w:rsid w:val="000C3408"/>
    <w:rsid w:val="000C35AB"/>
    <w:rsid w:val="000C3F7B"/>
    <w:rsid w:val="000C41D9"/>
    <w:rsid w:val="000C4769"/>
    <w:rsid w:val="000C48C0"/>
    <w:rsid w:val="000C4D56"/>
    <w:rsid w:val="000C5DFA"/>
    <w:rsid w:val="000C6AFD"/>
    <w:rsid w:val="000C6C90"/>
    <w:rsid w:val="000D0A26"/>
    <w:rsid w:val="000D3058"/>
    <w:rsid w:val="000D310A"/>
    <w:rsid w:val="000D3EF4"/>
    <w:rsid w:val="000D4DC0"/>
    <w:rsid w:val="000D5637"/>
    <w:rsid w:val="000D6F4E"/>
    <w:rsid w:val="000D73BB"/>
    <w:rsid w:val="000E01D9"/>
    <w:rsid w:val="000E0E32"/>
    <w:rsid w:val="000E0E96"/>
    <w:rsid w:val="000E22FC"/>
    <w:rsid w:val="000E298B"/>
    <w:rsid w:val="000E2C7D"/>
    <w:rsid w:val="000E3CB5"/>
    <w:rsid w:val="000E3E28"/>
    <w:rsid w:val="000E440D"/>
    <w:rsid w:val="000E4AC5"/>
    <w:rsid w:val="000E535F"/>
    <w:rsid w:val="000E6253"/>
    <w:rsid w:val="000E6322"/>
    <w:rsid w:val="000E6E4D"/>
    <w:rsid w:val="000E6FBD"/>
    <w:rsid w:val="000E6FCB"/>
    <w:rsid w:val="000E70F3"/>
    <w:rsid w:val="000F090B"/>
    <w:rsid w:val="000F1041"/>
    <w:rsid w:val="000F3F3B"/>
    <w:rsid w:val="000F4098"/>
    <w:rsid w:val="000F4251"/>
    <w:rsid w:val="000F47E8"/>
    <w:rsid w:val="000F6B24"/>
    <w:rsid w:val="000F70E4"/>
    <w:rsid w:val="000F76EA"/>
    <w:rsid w:val="000F78C3"/>
    <w:rsid w:val="000F7B70"/>
    <w:rsid w:val="00100F5C"/>
    <w:rsid w:val="00101BBE"/>
    <w:rsid w:val="00101CDA"/>
    <w:rsid w:val="00102037"/>
    <w:rsid w:val="00103DCB"/>
    <w:rsid w:val="00104C4C"/>
    <w:rsid w:val="00105015"/>
    <w:rsid w:val="001055D2"/>
    <w:rsid w:val="001057C2"/>
    <w:rsid w:val="00107C96"/>
    <w:rsid w:val="0011038E"/>
    <w:rsid w:val="00110C18"/>
    <w:rsid w:val="001125EF"/>
    <w:rsid w:val="001127EE"/>
    <w:rsid w:val="00112CAB"/>
    <w:rsid w:val="00116A49"/>
    <w:rsid w:val="00116D3F"/>
    <w:rsid w:val="00117474"/>
    <w:rsid w:val="00117623"/>
    <w:rsid w:val="00117FEA"/>
    <w:rsid w:val="001200CF"/>
    <w:rsid w:val="001208E3"/>
    <w:rsid w:val="0012192F"/>
    <w:rsid w:val="00122504"/>
    <w:rsid w:val="00122994"/>
    <w:rsid w:val="00124B46"/>
    <w:rsid w:val="0012530D"/>
    <w:rsid w:val="001257E0"/>
    <w:rsid w:val="00125D69"/>
    <w:rsid w:val="0012799C"/>
    <w:rsid w:val="00127BC2"/>
    <w:rsid w:val="00127E15"/>
    <w:rsid w:val="00130ADC"/>
    <w:rsid w:val="00130D9F"/>
    <w:rsid w:val="00131138"/>
    <w:rsid w:val="00132C4D"/>
    <w:rsid w:val="00133FC1"/>
    <w:rsid w:val="001345B6"/>
    <w:rsid w:val="00134659"/>
    <w:rsid w:val="00136696"/>
    <w:rsid w:val="001405FA"/>
    <w:rsid w:val="00140D1A"/>
    <w:rsid w:val="00141184"/>
    <w:rsid w:val="00141258"/>
    <w:rsid w:val="00141315"/>
    <w:rsid w:val="00141AA0"/>
    <w:rsid w:val="00141ACD"/>
    <w:rsid w:val="001425C3"/>
    <w:rsid w:val="0014262D"/>
    <w:rsid w:val="00143BB2"/>
    <w:rsid w:val="00144588"/>
    <w:rsid w:val="001447DD"/>
    <w:rsid w:val="001459BC"/>
    <w:rsid w:val="001510A2"/>
    <w:rsid w:val="001523D1"/>
    <w:rsid w:val="00152F4F"/>
    <w:rsid w:val="00153E4A"/>
    <w:rsid w:val="001544A1"/>
    <w:rsid w:val="0015495D"/>
    <w:rsid w:val="00155158"/>
    <w:rsid w:val="001553B8"/>
    <w:rsid w:val="001554C2"/>
    <w:rsid w:val="0015573B"/>
    <w:rsid w:val="001571C0"/>
    <w:rsid w:val="0015753D"/>
    <w:rsid w:val="00157CC9"/>
    <w:rsid w:val="00160C21"/>
    <w:rsid w:val="001612F4"/>
    <w:rsid w:val="00161553"/>
    <w:rsid w:val="00161A82"/>
    <w:rsid w:val="0016256B"/>
    <w:rsid w:val="00162F81"/>
    <w:rsid w:val="00163793"/>
    <w:rsid w:val="001639E9"/>
    <w:rsid w:val="00165313"/>
    <w:rsid w:val="00166239"/>
    <w:rsid w:val="00167485"/>
    <w:rsid w:val="001679F5"/>
    <w:rsid w:val="00167B92"/>
    <w:rsid w:val="00167CB9"/>
    <w:rsid w:val="00167DD8"/>
    <w:rsid w:val="001705AD"/>
    <w:rsid w:val="001706D6"/>
    <w:rsid w:val="0017129C"/>
    <w:rsid w:val="001714DD"/>
    <w:rsid w:val="001714F2"/>
    <w:rsid w:val="00171FEA"/>
    <w:rsid w:val="00175B9F"/>
    <w:rsid w:val="001762F4"/>
    <w:rsid w:val="001764E2"/>
    <w:rsid w:val="00176DDF"/>
    <w:rsid w:val="00177536"/>
    <w:rsid w:val="00181BBC"/>
    <w:rsid w:val="001832B5"/>
    <w:rsid w:val="0018385F"/>
    <w:rsid w:val="00184017"/>
    <w:rsid w:val="001847BB"/>
    <w:rsid w:val="00184B08"/>
    <w:rsid w:val="00184EC1"/>
    <w:rsid w:val="00185010"/>
    <w:rsid w:val="00185C22"/>
    <w:rsid w:val="00186BA9"/>
    <w:rsid w:val="00190FCE"/>
    <w:rsid w:val="00191468"/>
    <w:rsid w:val="0019196C"/>
    <w:rsid w:val="00192F05"/>
    <w:rsid w:val="00194729"/>
    <w:rsid w:val="00194850"/>
    <w:rsid w:val="00195234"/>
    <w:rsid w:val="00195475"/>
    <w:rsid w:val="00195FA3"/>
    <w:rsid w:val="00196016"/>
    <w:rsid w:val="00196117"/>
    <w:rsid w:val="00196A04"/>
    <w:rsid w:val="001975DD"/>
    <w:rsid w:val="00197A70"/>
    <w:rsid w:val="00197C0F"/>
    <w:rsid w:val="001A0487"/>
    <w:rsid w:val="001A1F68"/>
    <w:rsid w:val="001A21FA"/>
    <w:rsid w:val="001A4CCD"/>
    <w:rsid w:val="001A4EF0"/>
    <w:rsid w:val="001A552F"/>
    <w:rsid w:val="001A70B1"/>
    <w:rsid w:val="001B0606"/>
    <w:rsid w:val="001B0738"/>
    <w:rsid w:val="001B185C"/>
    <w:rsid w:val="001B2822"/>
    <w:rsid w:val="001B2CA9"/>
    <w:rsid w:val="001B3110"/>
    <w:rsid w:val="001B3E38"/>
    <w:rsid w:val="001B40F5"/>
    <w:rsid w:val="001B4729"/>
    <w:rsid w:val="001B4F0E"/>
    <w:rsid w:val="001B626C"/>
    <w:rsid w:val="001B6310"/>
    <w:rsid w:val="001B6C09"/>
    <w:rsid w:val="001B6E12"/>
    <w:rsid w:val="001C05CD"/>
    <w:rsid w:val="001C0F17"/>
    <w:rsid w:val="001C0FB1"/>
    <w:rsid w:val="001C1B24"/>
    <w:rsid w:val="001C1B66"/>
    <w:rsid w:val="001C1BA4"/>
    <w:rsid w:val="001C31A2"/>
    <w:rsid w:val="001C351D"/>
    <w:rsid w:val="001C4BB8"/>
    <w:rsid w:val="001C4FD0"/>
    <w:rsid w:val="001C583D"/>
    <w:rsid w:val="001C5E46"/>
    <w:rsid w:val="001C6AB9"/>
    <w:rsid w:val="001C6B3B"/>
    <w:rsid w:val="001C7E3F"/>
    <w:rsid w:val="001D0EF1"/>
    <w:rsid w:val="001D1240"/>
    <w:rsid w:val="001D22C2"/>
    <w:rsid w:val="001D2C99"/>
    <w:rsid w:val="001D452E"/>
    <w:rsid w:val="001D54C1"/>
    <w:rsid w:val="001D556E"/>
    <w:rsid w:val="001D5DF2"/>
    <w:rsid w:val="001D6464"/>
    <w:rsid w:val="001D68B2"/>
    <w:rsid w:val="001D6F25"/>
    <w:rsid w:val="001D704B"/>
    <w:rsid w:val="001D7EFD"/>
    <w:rsid w:val="001D7F60"/>
    <w:rsid w:val="001E08A7"/>
    <w:rsid w:val="001E1F50"/>
    <w:rsid w:val="001E3306"/>
    <w:rsid w:val="001E504C"/>
    <w:rsid w:val="001E5A17"/>
    <w:rsid w:val="001E74C5"/>
    <w:rsid w:val="001F0AE4"/>
    <w:rsid w:val="001F1236"/>
    <w:rsid w:val="001F2F90"/>
    <w:rsid w:val="001F4597"/>
    <w:rsid w:val="001F4826"/>
    <w:rsid w:val="001F486B"/>
    <w:rsid w:val="001F6CD3"/>
    <w:rsid w:val="001F7CE0"/>
    <w:rsid w:val="00200085"/>
    <w:rsid w:val="002032BE"/>
    <w:rsid w:val="00203332"/>
    <w:rsid w:val="00203CD5"/>
    <w:rsid w:val="00203D8F"/>
    <w:rsid w:val="00203DA4"/>
    <w:rsid w:val="00204EA6"/>
    <w:rsid w:val="00205186"/>
    <w:rsid w:val="00206516"/>
    <w:rsid w:val="002071D5"/>
    <w:rsid w:val="002111E5"/>
    <w:rsid w:val="002118B9"/>
    <w:rsid w:val="002142C0"/>
    <w:rsid w:val="002150B8"/>
    <w:rsid w:val="00217C5B"/>
    <w:rsid w:val="002208AD"/>
    <w:rsid w:val="00220A43"/>
    <w:rsid w:val="0022139E"/>
    <w:rsid w:val="00222729"/>
    <w:rsid w:val="00223185"/>
    <w:rsid w:val="00223214"/>
    <w:rsid w:val="002233D6"/>
    <w:rsid w:val="002238F3"/>
    <w:rsid w:val="0022441D"/>
    <w:rsid w:val="0022448C"/>
    <w:rsid w:val="00224574"/>
    <w:rsid w:val="00224E3F"/>
    <w:rsid w:val="002252E0"/>
    <w:rsid w:val="002255F6"/>
    <w:rsid w:val="00226032"/>
    <w:rsid w:val="00226B29"/>
    <w:rsid w:val="0022738D"/>
    <w:rsid w:val="00227605"/>
    <w:rsid w:val="00227850"/>
    <w:rsid w:val="00227A53"/>
    <w:rsid w:val="00227AB3"/>
    <w:rsid w:val="00227C96"/>
    <w:rsid w:val="00227E2E"/>
    <w:rsid w:val="00227F53"/>
    <w:rsid w:val="00230C6E"/>
    <w:rsid w:val="00230E21"/>
    <w:rsid w:val="00230F48"/>
    <w:rsid w:val="00231066"/>
    <w:rsid w:val="002316A8"/>
    <w:rsid w:val="002320C9"/>
    <w:rsid w:val="0023288F"/>
    <w:rsid w:val="0023359B"/>
    <w:rsid w:val="00233603"/>
    <w:rsid w:val="002340EF"/>
    <w:rsid w:val="00234B82"/>
    <w:rsid w:val="00234C09"/>
    <w:rsid w:val="00236443"/>
    <w:rsid w:val="00236700"/>
    <w:rsid w:val="00236829"/>
    <w:rsid w:val="00240391"/>
    <w:rsid w:val="00240AF3"/>
    <w:rsid w:val="002418D5"/>
    <w:rsid w:val="00241B06"/>
    <w:rsid w:val="002429C8"/>
    <w:rsid w:val="002436BA"/>
    <w:rsid w:val="00244652"/>
    <w:rsid w:val="00244A15"/>
    <w:rsid w:val="002452D9"/>
    <w:rsid w:val="00247319"/>
    <w:rsid w:val="00247905"/>
    <w:rsid w:val="0024799E"/>
    <w:rsid w:val="00247A3D"/>
    <w:rsid w:val="00247A6A"/>
    <w:rsid w:val="00247E60"/>
    <w:rsid w:val="00251B08"/>
    <w:rsid w:val="00251C53"/>
    <w:rsid w:val="00252177"/>
    <w:rsid w:val="002525CC"/>
    <w:rsid w:val="00252AB9"/>
    <w:rsid w:val="00252BFC"/>
    <w:rsid w:val="00253A94"/>
    <w:rsid w:val="00253C0F"/>
    <w:rsid w:val="002558C1"/>
    <w:rsid w:val="00256207"/>
    <w:rsid w:val="002575F3"/>
    <w:rsid w:val="002603E1"/>
    <w:rsid w:val="0026120E"/>
    <w:rsid w:val="002623F0"/>
    <w:rsid w:val="00262582"/>
    <w:rsid w:val="0026291D"/>
    <w:rsid w:val="00262CF3"/>
    <w:rsid w:val="00264309"/>
    <w:rsid w:val="00264752"/>
    <w:rsid w:val="0026564B"/>
    <w:rsid w:val="00265C83"/>
    <w:rsid w:val="00265E85"/>
    <w:rsid w:val="0026736A"/>
    <w:rsid w:val="00267B49"/>
    <w:rsid w:val="002700D9"/>
    <w:rsid w:val="0027025F"/>
    <w:rsid w:val="002709CC"/>
    <w:rsid w:val="00270D25"/>
    <w:rsid w:val="00271022"/>
    <w:rsid w:val="00271465"/>
    <w:rsid w:val="00271C19"/>
    <w:rsid w:val="00271E47"/>
    <w:rsid w:val="002721F5"/>
    <w:rsid w:val="00272DF4"/>
    <w:rsid w:val="00275031"/>
    <w:rsid w:val="002751B5"/>
    <w:rsid w:val="0027583D"/>
    <w:rsid w:val="00275DEF"/>
    <w:rsid w:val="002763A2"/>
    <w:rsid w:val="002765C1"/>
    <w:rsid w:val="00276B33"/>
    <w:rsid w:val="002812E3"/>
    <w:rsid w:val="002828EE"/>
    <w:rsid w:val="0028341F"/>
    <w:rsid w:val="002837AE"/>
    <w:rsid w:val="00283C13"/>
    <w:rsid w:val="00283F7B"/>
    <w:rsid w:val="00283FEB"/>
    <w:rsid w:val="0028431A"/>
    <w:rsid w:val="002853FA"/>
    <w:rsid w:val="00285412"/>
    <w:rsid w:val="00286220"/>
    <w:rsid w:val="00291640"/>
    <w:rsid w:val="00291CFA"/>
    <w:rsid w:val="0029237E"/>
    <w:rsid w:val="00292997"/>
    <w:rsid w:val="00293274"/>
    <w:rsid w:val="00293D24"/>
    <w:rsid w:val="002942D3"/>
    <w:rsid w:val="00294C29"/>
    <w:rsid w:val="0029509B"/>
    <w:rsid w:val="002950EA"/>
    <w:rsid w:val="0029588F"/>
    <w:rsid w:val="00295E96"/>
    <w:rsid w:val="00297256"/>
    <w:rsid w:val="00297A5C"/>
    <w:rsid w:val="00297D51"/>
    <w:rsid w:val="002A0122"/>
    <w:rsid w:val="002A016B"/>
    <w:rsid w:val="002A16D4"/>
    <w:rsid w:val="002A1E4F"/>
    <w:rsid w:val="002A230C"/>
    <w:rsid w:val="002A2AF7"/>
    <w:rsid w:val="002A2D46"/>
    <w:rsid w:val="002A3209"/>
    <w:rsid w:val="002A3EA2"/>
    <w:rsid w:val="002A507C"/>
    <w:rsid w:val="002A51AC"/>
    <w:rsid w:val="002A532A"/>
    <w:rsid w:val="002A5846"/>
    <w:rsid w:val="002A5D97"/>
    <w:rsid w:val="002A603E"/>
    <w:rsid w:val="002A622B"/>
    <w:rsid w:val="002A63B9"/>
    <w:rsid w:val="002A6D77"/>
    <w:rsid w:val="002A7089"/>
    <w:rsid w:val="002B13EE"/>
    <w:rsid w:val="002B1619"/>
    <w:rsid w:val="002B2B8A"/>
    <w:rsid w:val="002B3EF4"/>
    <w:rsid w:val="002B43B3"/>
    <w:rsid w:val="002B4845"/>
    <w:rsid w:val="002B53C9"/>
    <w:rsid w:val="002B5567"/>
    <w:rsid w:val="002B5812"/>
    <w:rsid w:val="002B72AA"/>
    <w:rsid w:val="002B7366"/>
    <w:rsid w:val="002B7678"/>
    <w:rsid w:val="002B7AFA"/>
    <w:rsid w:val="002C1110"/>
    <w:rsid w:val="002C1BC2"/>
    <w:rsid w:val="002C1F09"/>
    <w:rsid w:val="002C22A4"/>
    <w:rsid w:val="002C260B"/>
    <w:rsid w:val="002C27A6"/>
    <w:rsid w:val="002C398D"/>
    <w:rsid w:val="002C40D2"/>
    <w:rsid w:val="002C40DC"/>
    <w:rsid w:val="002C43BD"/>
    <w:rsid w:val="002C51EF"/>
    <w:rsid w:val="002C5245"/>
    <w:rsid w:val="002C59D8"/>
    <w:rsid w:val="002D05CB"/>
    <w:rsid w:val="002D0E59"/>
    <w:rsid w:val="002D2C4F"/>
    <w:rsid w:val="002D3EBB"/>
    <w:rsid w:val="002D455C"/>
    <w:rsid w:val="002D488A"/>
    <w:rsid w:val="002D596E"/>
    <w:rsid w:val="002D6066"/>
    <w:rsid w:val="002D60F6"/>
    <w:rsid w:val="002D6137"/>
    <w:rsid w:val="002E02A1"/>
    <w:rsid w:val="002E196A"/>
    <w:rsid w:val="002E20C7"/>
    <w:rsid w:val="002E20CD"/>
    <w:rsid w:val="002E222E"/>
    <w:rsid w:val="002E28D8"/>
    <w:rsid w:val="002E37D1"/>
    <w:rsid w:val="002E3834"/>
    <w:rsid w:val="002E3BEE"/>
    <w:rsid w:val="002E4E4C"/>
    <w:rsid w:val="002E4EA7"/>
    <w:rsid w:val="002E5846"/>
    <w:rsid w:val="002E792B"/>
    <w:rsid w:val="002F0DA5"/>
    <w:rsid w:val="002F1B09"/>
    <w:rsid w:val="002F1D56"/>
    <w:rsid w:val="002F1DCB"/>
    <w:rsid w:val="002F1DE4"/>
    <w:rsid w:val="002F333D"/>
    <w:rsid w:val="002F351A"/>
    <w:rsid w:val="002F468F"/>
    <w:rsid w:val="002F46D6"/>
    <w:rsid w:val="002F498A"/>
    <w:rsid w:val="002F4AD8"/>
    <w:rsid w:val="002F5285"/>
    <w:rsid w:val="002F5820"/>
    <w:rsid w:val="002F5880"/>
    <w:rsid w:val="002F64BB"/>
    <w:rsid w:val="002F6EEB"/>
    <w:rsid w:val="00300C31"/>
    <w:rsid w:val="003017EC"/>
    <w:rsid w:val="00301F37"/>
    <w:rsid w:val="00302165"/>
    <w:rsid w:val="00304771"/>
    <w:rsid w:val="003050FD"/>
    <w:rsid w:val="003052D4"/>
    <w:rsid w:val="003060E9"/>
    <w:rsid w:val="00306C5B"/>
    <w:rsid w:val="00307529"/>
    <w:rsid w:val="00307DB3"/>
    <w:rsid w:val="00307ED2"/>
    <w:rsid w:val="0031076D"/>
    <w:rsid w:val="00311AA6"/>
    <w:rsid w:val="00311C4D"/>
    <w:rsid w:val="003121AB"/>
    <w:rsid w:val="00312A9B"/>
    <w:rsid w:val="00315169"/>
    <w:rsid w:val="003153C8"/>
    <w:rsid w:val="00315524"/>
    <w:rsid w:val="0032018B"/>
    <w:rsid w:val="0032058C"/>
    <w:rsid w:val="003208D0"/>
    <w:rsid w:val="003209D6"/>
    <w:rsid w:val="003217B9"/>
    <w:rsid w:val="00321924"/>
    <w:rsid w:val="00321EB6"/>
    <w:rsid w:val="003220A5"/>
    <w:rsid w:val="00323A1C"/>
    <w:rsid w:val="00324B59"/>
    <w:rsid w:val="003261F3"/>
    <w:rsid w:val="0032656E"/>
    <w:rsid w:val="003268A0"/>
    <w:rsid w:val="0032788F"/>
    <w:rsid w:val="003306B5"/>
    <w:rsid w:val="00331E46"/>
    <w:rsid w:val="00332190"/>
    <w:rsid w:val="00332A98"/>
    <w:rsid w:val="00333973"/>
    <w:rsid w:val="00333CD0"/>
    <w:rsid w:val="0033448D"/>
    <w:rsid w:val="00334821"/>
    <w:rsid w:val="00334AD2"/>
    <w:rsid w:val="00334CB6"/>
    <w:rsid w:val="0033709C"/>
    <w:rsid w:val="003370C5"/>
    <w:rsid w:val="003373C6"/>
    <w:rsid w:val="00340BF3"/>
    <w:rsid w:val="00341D26"/>
    <w:rsid w:val="00341F05"/>
    <w:rsid w:val="0034335E"/>
    <w:rsid w:val="00344668"/>
    <w:rsid w:val="00344940"/>
    <w:rsid w:val="003458DF"/>
    <w:rsid w:val="00345943"/>
    <w:rsid w:val="00346234"/>
    <w:rsid w:val="003462D9"/>
    <w:rsid w:val="0034723F"/>
    <w:rsid w:val="00347247"/>
    <w:rsid w:val="003473C9"/>
    <w:rsid w:val="003474B6"/>
    <w:rsid w:val="00347DD4"/>
    <w:rsid w:val="00351006"/>
    <w:rsid w:val="00352560"/>
    <w:rsid w:val="00352854"/>
    <w:rsid w:val="00352B43"/>
    <w:rsid w:val="00352C28"/>
    <w:rsid w:val="0035716C"/>
    <w:rsid w:val="0036077F"/>
    <w:rsid w:val="00360C86"/>
    <w:rsid w:val="00360F7A"/>
    <w:rsid w:val="00360FBC"/>
    <w:rsid w:val="00361537"/>
    <w:rsid w:val="0036242A"/>
    <w:rsid w:val="00362C23"/>
    <w:rsid w:val="00362E90"/>
    <w:rsid w:val="003632F0"/>
    <w:rsid w:val="00364FA0"/>
    <w:rsid w:val="003657F3"/>
    <w:rsid w:val="00365844"/>
    <w:rsid w:val="00366692"/>
    <w:rsid w:val="003668CF"/>
    <w:rsid w:val="00367638"/>
    <w:rsid w:val="00367F84"/>
    <w:rsid w:val="003712BC"/>
    <w:rsid w:val="003715FE"/>
    <w:rsid w:val="00372164"/>
    <w:rsid w:val="00372A4C"/>
    <w:rsid w:val="0037323C"/>
    <w:rsid w:val="003738BD"/>
    <w:rsid w:val="00374263"/>
    <w:rsid w:val="00374428"/>
    <w:rsid w:val="003746F0"/>
    <w:rsid w:val="00374A20"/>
    <w:rsid w:val="00374E21"/>
    <w:rsid w:val="00377A50"/>
    <w:rsid w:val="00377B2E"/>
    <w:rsid w:val="0038103D"/>
    <w:rsid w:val="003810F0"/>
    <w:rsid w:val="003818DC"/>
    <w:rsid w:val="00382513"/>
    <w:rsid w:val="00382F3A"/>
    <w:rsid w:val="00383388"/>
    <w:rsid w:val="003834F8"/>
    <w:rsid w:val="003838D0"/>
    <w:rsid w:val="003840C2"/>
    <w:rsid w:val="00384327"/>
    <w:rsid w:val="00384861"/>
    <w:rsid w:val="00384A89"/>
    <w:rsid w:val="00385086"/>
    <w:rsid w:val="00385D98"/>
    <w:rsid w:val="00390306"/>
    <w:rsid w:val="003908A6"/>
    <w:rsid w:val="00390951"/>
    <w:rsid w:val="0039109D"/>
    <w:rsid w:val="00391175"/>
    <w:rsid w:val="00391989"/>
    <w:rsid w:val="00391A6C"/>
    <w:rsid w:val="00392696"/>
    <w:rsid w:val="003927F6"/>
    <w:rsid w:val="0039602D"/>
    <w:rsid w:val="00396739"/>
    <w:rsid w:val="003A04F6"/>
    <w:rsid w:val="003A0837"/>
    <w:rsid w:val="003A2B49"/>
    <w:rsid w:val="003A2B4D"/>
    <w:rsid w:val="003A2D12"/>
    <w:rsid w:val="003A2D68"/>
    <w:rsid w:val="003A2EBA"/>
    <w:rsid w:val="003A4080"/>
    <w:rsid w:val="003A45E3"/>
    <w:rsid w:val="003A478C"/>
    <w:rsid w:val="003A4A38"/>
    <w:rsid w:val="003A5525"/>
    <w:rsid w:val="003A5889"/>
    <w:rsid w:val="003A5949"/>
    <w:rsid w:val="003A6B38"/>
    <w:rsid w:val="003A6B83"/>
    <w:rsid w:val="003A6C97"/>
    <w:rsid w:val="003A722F"/>
    <w:rsid w:val="003A7373"/>
    <w:rsid w:val="003A7D09"/>
    <w:rsid w:val="003B0197"/>
    <w:rsid w:val="003B039F"/>
    <w:rsid w:val="003B05B9"/>
    <w:rsid w:val="003B09BC"/>
    <w:rsid w:val="003B0DF4"/>
    <w:rsid w:val="003B1F9D"/>
    <w:rsid w:val="003B2A8D"/>
    <w:rsid w:val="003B2AD1"/>
    <w:rsid w:val="003B2D2E"/>
    <w:rsid w:val="003B461F"/>
    <w:rsid w:val="003B483F"/>
    <w:rsid w:val="003B4998"/>
    <w:rsid w:val="003B5A32"/>
    <w:rsid w:val="003B6B91"/>
    <w:rsid w:val="003B7B50"/>
    <w:rsid w:val="003C0810"/>
    <w:rsid w:val="003C0B07"/>
    <w:rsid w:val="003C27A5"/>
    <w:rsid w:val="003C2CE7"/>
    <w:rsid w:val="003C3490"/>
    <w:rsid w:val="003C3608"/>
    <w:rsid w:val="003C38C4"/>
    <w:rsid w:val="003C3AE8"/>
    <w:rsid w:val="003C3D2C"/>
    <w:rsid w:val="003C4E13"/>
    <w:rsid w:val="003C6221"/>
    <w:rsid w:val="003C63D7"/>
    <w:rsid w:val="003C68CC"/>
    <w:rsid w:val="003C6D24"/>
    <w:rsid w:val="003C7E62"/>
    <w:rsid w:val="003D12B9"/>
    <w:rsid w:val="003D1E7A"/>
    <w:rsid w:val="003D242B"/>
    <w:rsid w:val="003D2492"/>
    <w:rsid w:val="003D29AA"/>
    <w:rsid w:val="003D2A99"/>
    <w:rsid w:val="003D6920"/>
    <w:rsid w:val="003E0249"/>
    <w:rsid w:val="003E182F"/>
    <w:rsid w:val="003E1EF8"/>
    <w:rsid w:val="003E2089"/>
    <w:rsid w:val="003E2DFB"/>
    <w:rsid w:val="003E3A1D"/>
    <w:rsid w:val="003E4C91"/>
    <w:rsid w:val="003E52D8"/>
    <w:rsid w:val="003E62F1"/>
    <w:rsid w:val="003E6CA1"/>
    <w:rsid w:val="003F04B0"/>
    <w:rsid w:val="003F313C"/>
    <w:rsid w:val="003F3320"/>
    <w:rsid w:val="003F37FC"/>
    <w:rsid w:val="003F416F"/>
    <w:rsid w:val="003F4318"/>
    <w:rsid w:val="003F4B2C"/>
    <w:rsid w:val="003F551C"/>
    <w:rsid w:val="003F6093"/>
    <w:rsid w:val="003F626D"/>
    <w:rsid w:val="003F72ED"/>
    <w:rsid w:val="003F7D23"/>
    <w:rsid w:val="00400050"/>
    <w:rsid w:val="004002C8"/>
    <w:rsid w:val="00400468"/>
    <w:rsid w:val="0040099D"/>
    <w:rsid w:val="004016CB"/>
    <w:rsid w:val="00401B23"/>
    <w:rsid w:val="00402357"/>
    <w:rsid w:val="00402ADB"/>
    <w:rsid w:val="0040368D"/>
    <w:rsid w:val="00403D1D"/>
    <w:rsid w:val="00403F57"/>
    <w:rsid w:val="00405318"/>
    <w:rsid w:val="004053B2"/>
    <w:rsid w:val="004059D2"/>
    <w:rsid w:val="004066D0"/>
    <w:rsid w:val="004068D9"/>
    <w:rsid w:val="00406C2E"/>
    <w:rsid w:val="00406CDA"/>
    <w:rsid w:val="00406EB0"/>
    <w:rsid w:val="00407093"/>
    <w:rsid w:val="00407711"/>
    <w:rsid w:val="00407C13"/>
    <w:rsid w:val="004103F6"/>
    <w:rsid w:val="00410638"/>
    <w:rsid w:val="00411999"/>
    <w:rsid w:val="00412511"/>
    <w:rsid w:val="004125C2"/>
    <w:rsid w:val="00412DFA"/>
    <w:rsid w:val="00413465"/>
    <w:rsid w:val="00413876"/>
    <w:rsid w:val="004149AC"/>
    <w:rsid w:val="0041501E"/>
    <w:rsid w:val="00415452"/>
    <w:rsid w:val="00415489"/>
    <w:rsid w:val="004159C3"/>
    <w:rsid w:val="00415A57"/>
    <w:rsid w:val="00416DAC"/>
    <w:rsid w:val="00417F7D"/>
    <w:rsid w:val="00420880"/>
    <w:rsid w:val="00421179"/>
    <w:rsid w:val="004224C7"/>
    <w:rsid w:val="00423EAD"/>
    <w:rsid w:val="004255B1"/>
    <w:rsid w:val="00430810"/>
    <w:rsid w:val="00430C96"/>
    <w:rsid w:val="00431859"/>
    <w:rsid w:val="00431BFF"/>
    <w:rsid w:val="00432043"/>
    <w:rsid w:val="00432199"/>
    <w:rsid w:val="00432A58"/>
    <w:rsid w:val="004331C3"/>
    <w:rsid w:val="00433C17"/>
    <w:rsid w:val="00434459"/>
    <w:rsid w:val="00434617"/>
    <w:rsid w:val="00435051"/>
    <w:rsid w:val="00435C69"/>
    <w:rsid w:val="004360FB"/>
    <w:rsid w:val="00437CED"/>
    <w:rsid w:val="004407BF"/>
    <w:rsid w:val="00440900"/>
    <w:rsid w:val="0044121D"/>
    <w:rsid w:val="00441A7F"/>
    <w:rsid w:val="00441BF6"/>
    <w:rsid w:val="00441D2B"/>
    <w:rsid w:val="00441F8B"/>
    <w:rsid w:val="0044201B"/>
    <w:rsid w:val="00442085"/>
    <w:rsid w:val="0044279E"/>
    <w:rsid w:val="004441A0"/>
    <w:rsid w:val="0044465B"/>
    <w:rsid w:val="00445861"/>
    <w:rsid w:val="00445A8E"/>
    <w:rsid w:val="00445FBE"/>
    <w:rsid w:val="00446D44"/>
    <w:rsid w:val="0045078A"/>
    <w:rsid w:val="0045086D"/>
    <w:rsid w:val="00450DAB"/>
    <w:rsid w:val="004511F3"/>
    <w:rsid w:val="0045125B"/>
    <w:rsid w:val="00451EF1"/>
    <w:rsid w:val="00452E60"/>
    <w:rsid w:val="0045321B"/>
    <w:rsid w:val="00454515"/>
    <w:rsid w:val="004563A7"/>
    <w:rsid w:val="00456FE5"/>
    <w:rsid w:val="00457490"/>
    <w:rsid w:val="00457953"/>
    <w:rsid w:val="004604D8"/>
    <w:rsid w:val="00460656"/>
    <w:rsid w:val="00460FB3"/>
    <w:rsid w:val="00461549"/>
    <w:rsid w:val="004626A4"/>
    <w:rsid w:val="00463D3C"/>
    <w:rsid w:val="00464851"/>
    <w:rsid w:val="0046746A"/>
    <w:rsid w:val="0046782D"/>
    <w:rsid w:val="00467B14"/>
    <w:rsid w:val="004707FE"/>
    <w:rsid w:val="00470EDC"/>
    <w:rsid w:val="004719DF"/>
    <w:rsid w:val="00471B1B"/>
    <w:rsid w:val="0047276D"/>
    <w:rsid w:val="00472AF6"/>
    <w:rsid w:val="00473482"/>
    <w:rsid w:val="00474A04"/>
    <w:rsid w:val="00475A43"/>
    <w:rsid w:val="00476240"/>
    <w:rsid w:val="00476439"/>
    <w:rsid w:val="00476450"/>
    <w:rsid w:val="004769E1"/>
    <w:rsid w:val="0047735C"/>
    <w:rsid w:val="004776BC"/>
    <w:rsid w:val="00477820"/>
    <w:rsid w:val="00477B96"/>
    <w:rsid w:val="004806E2"/>
    <w:rsid w:val="00480BAE"/>
    <w:rsid w:val="00480D16"/>
    <w:rsid w:val="0048139F"/>
    <w:rsid w:val="00481E40"/>
    <w:rsid w:val="00482405"/>
    <w:rsid w:val="004826A7"/>
    <w:rsid w:val="0048368C"/>
    <w:rsid w:val="0048372F"/>
    <w:rsid w:val="00484ECE"/>
    <w:rsid w:val="00485BF2"/>
    <w:rsid w:val="00485E82"/>
    <w:rsid w:val="00486132"/>
    <w:rsid w:val="0048686D"/>
    <w:rsid w:val="00486A4D"/>
    <w:rsid w:val="00486CF6"/>
    <w:rsid w:val="00491466"/>
    <w:rsid w:val="004915CB"/>
    <w:rsid w:val="004924DC"/>
    <w:rsid w:val="00492879"/>
    <w:rsid w:val="00493D59"/>
    <w:rsid w:val="00493E85"/>
    <w:rsid w:val="00494A49"/>
    <w:rsid w:val="00495145"/>
    <w:rsid w:val="0049620B"/>
    <w:rsid w:val="004973CD"/>
    <w:rsid w:val="004979A5"/>
    <w:rsid w:val="004A0144"/>
    <w:rsid w:val="004A036E"/>
    <w:rsid w:val="004A0498"/>
    <w:rsid w:val="004A0D0E"/>
    <w:rsid w:val="004A14E4"/>
    <w:rsid w:val="004A204E"/>
    <w:rsid w:val="004A26A5"/>
    <w:rsid w:val="004A2794"/>
    <w:rsid w:val="004A27F0"/>
    <w:rsid w:val="004A3212"/>
    <w:rsid w:val="004A37CD"/>
    <w:rsid w:val="004A40D9"/>
    <w:rsid w:val="004A49A5"/>
    <w:rsid w:val="004A4F8A"/>
    <w:rsid w:val="004A5494"/>
    <w:rsid w:val="004A5991"/>
    <w:rsid w:val="004A5D4E"/>
    <w:rsid w:val="004A61C5"/>
    <w:rsid w:val="004A62A0"/>
    <w:rsid w:val="004A6558"/>
    <w:rsid w:val="004A7447"/>
    <w:rsid w:val="004A77DF"/>
    <w:rsid w:val="004B12DD"/>
    <w:rsid w:val="004B1417"/>
    <w:rsid w:val="004B15BA"/>
    <w:rsid w:val="004B17C0"/>
    <w:rsid w:val="004B2BB0"/>
    <w:rsid w:val="004B305C"/>
    <w:rsid w:val="004B31B8"/>
    <w:rsid w:val="004B339A"/>
    <w:rsid w:val="004B473B"/>
    <w:rsid w:val="004B49CB"/>
    <w:rsid w:val="004B4C83"/>
    <w:rsid w:val="004B4DE3"/>
    <w:rsid w:val="004B5570"/>
    <w:rsid w:val="004B55B7"/>
    <w:rsid w:val="004B5BFA"/>
    <w:rsid w:val="004B6468"/>
    <w:rsid w:val="004B6EF8"/>
    <w:rsid w:val="004B7121"/>
    <w:rsid w:val="004B7125"/>
    <w:rsid w:val="004B756A"/>
    <w:rsid w:val="004B7D6D"/>
    <w:rsid w:val="004B7FB1"/>
    <w:rsid w:val="004C0B3F"/>
    <w:rsid w:val="004C2189"/>
    <w:rsid w:val="004C2794"/>
    <w:rsid w:val="004C2BB6"/>
    <w:rsid w:val="004C2C2D"/>
    <w:rsid w:val="004C3027"/>
    <w:rsid w:val="004C384C"/>
    <w:rsid w:val="004C3867"/>
    <w:rsid w:val="004C3DB0"/>
    <w:rsid w:val="004C439A"/>
    <w:rsid w:val="004C4720"/>
    <w:rsid w:val="004C4CD0"/>
    <w:rsid w:val="004C5060"/>
    <w:rsid w:val="004C5165"/>
    <w:rsid w:val="004C589C"/>
    <w:rsid w:val="004C5AE8"/>
    <w:rsid w:val="004C6E0E"/>
    <w:rsid w:val="004C70DC"/>
    <w:rsid w:val="004D0211"/>
    <w:rsid w:val="004D0769"/>
    <w:rsid w:val="004D0794"/>
    <w:rsid w:val="004D2E03"/>
    <w:rsid w:val="004D3296"/>
    <w:rsid w:val="004D4056"/>
    <w:rsid w:val="004D4CB0"/>
    <w:rsid w:val="004D5B0F"/>
    <w:rsid w:val="004D7626"/>
    <w:rsid w:val="004E00D2"/>
    <w:rsid w:val="004E186A"/>
    <w:rsid w:val="004E1A40"/>
    <w:rsid w:val="004E200A"/>
    <w:rsid w:val="004E23FC"/>
    <w:rsid w:val="004E2409"/>
    <w:rsid w:val="004E261D"/>
    <w:rsid w:val="004E5763"/>
    <w:rsid w:val="004E57BF"/>
    <w:rsid w:val="004E5F41"/>
    <w:rsid w:val="004E6DE6"/>
    <w:rsid w:val="004E6E07"/>
    <w:rsid w:val="004E73AE"/>
    <w:rsid w:val="004E765E"/>
    <w:rsid w:val="004E7815"/>
    <w:rsid w:val="004F06F5"/>
    <w:rsid w:val="004F12A4"/>
    <w:rsid w:val="004F253F"/>
    <w:rsid w:val="004F33A0"/>
    <w:rsid w:val="004F3BD2"/>
    <w:rsid w:val="004F46ED"/>
    <w:rsid w:val="004F4C99"/>
    <w:rsid w:val="004F5358"/>
    <w:rsid w:val="004F6484"/>
    <w:rsid w:val="004F6539"/>
    <w:rsid w:val="00503784"/>
    <w:rsid w:val="00503D54"/>
    <w:rsid w:val="005048E2"/>
    <w:rsid w:val="00505FC8"/>
    <w:rsid w:val="00506603"/>
    <w:rsid w:val="0050689D"/>
    <w:rsid w:val="005077F5"/>
    <w:rsid w:val="005108C0"/>
    <w:rsid w:val="0051094F"/>
    <w:rsid w:val="005109BD"/>
    <w:rsid w:val="00511217"/>
    <w:rsid w:val="00511873"/>
    <w:rsid w:val="00511DFB"/>
    <w:rsid w:val="00512461"/>
    <w:rsid w:val="00512585"/>
    <w:rsid w:val="00512A2F"/>
    <w:rsid w:val="00513B7C"/>
    <w:rsid w:val="00513B7E"/>
    <w:rsid w:val="00513E9D"/>
    <w:rsid w:val="0051475D"/>
    <w:rsid w:val="00514B11"/>
    <w:rsid w:val="00515485"/>
    <w:rsid w:val="00515BE9"/>
    <w:rsid w:val="00515C74"/>
    <w:rsid w:val="0051630F"/>
    <w:rsid w:val="00517113"/>
    <w:rsid w:val="0052007E"/>
    <w:rsid w:val="005215A9"/>
    <w:rsid w:val="00521CAD"/>
    <w:rsid w:val="0052200D"/>
    <w:rsid w:val="00522E01"/>
    <w:rsid w:val="0052337A"/>
    <w:rsid w:val="00524385"/>
    <w:rsid w:val="005246BE"/>
    <w:rsid w:val="00525137"/>
    <w:rsid w:val="005251DD"/>
    <w:rsid w:val="005251E7"/>
    <w:rsid w:val="00526691"/>
    <w:rsid w:val="0053012B"/>
    <w:rsid w:val="005301A6"/>
    <w:rsid w:val="005308A4"/>
    <w:rsid w:val="00530A68"/>
    <w:rsid w:val="00530AD4"/>
    <w:rsid w:val="00530BF8"/>
    <w:rsid w:val="00531859"/>
    <w:rsid w:val="00531BC0"/>
    <w:rsid w:val="00531C5A"/>
    <w:rsid w:val="005320DD"/>
    <w:rsid w:val="00532CE7"/>
    <w:rsid w:val="00532D8B"/>
    <w:rsid w:val="0053324C"/>
    <w:rsid w:val="00533A8D"/>
    <w:rsid w:val="00534A28"/>
    <w:rsid w:val="00534FC7"/>
    <w:rsid w:val="00535018"/>
    <w:rsid w:val="0053595E"/>
    <w:rsid w:val="00536D6F"/>
    <w:rsid w:val="00537571"/>
    <w:rsid w:val="00540056"/>
    <w:rsid w:val="005410E2"/>
    <w:rsid w:val="00541508"/>
    <w:rsid w:val="00541AE3"/>
    <w:rsid w:val="0054347E"/>
    <w:rsid w:val="00543498"/>
    <w:rsid w:val="00543771"/>
    <w:rsid w:val="00544011"/>
    <w:rsid w:val="00544889"/>
    <w:rsid w:val="00544BE5"/>
    <w:rsid w:val="005455F6"/>
    <w:rsid w:val="0054582F"/>
    <w:rsid w:val="00546B17"/>
    <w:rsid w:val="005500F9"/>
    <w:rsid w:val="00550160"/>
    <w:rsid w:val="005514EA"/>
    <w:rsid w:val="00552306"/>
    <w:rsid w:val="005523A8"/>
    <w:rsid w:val="00552F2C"/>
    <w:rsid w:val="0055305F"/>
    <w:rsid w:val="00553A25"/>
    <w:rsid w:val="005547EB"/>
    <w:rsid w:val="005552D3"/>
    <w:rsid w:val="005555E0"/>
    <w:rsid w:val="0055599F"/>
    <w:rsid w:val="00556D68"/>
    <w:rsid w:val="005570D6"/>
    <w:rsid w:val="00557954"/>
    <w:rsid w:val="00557E0E"/>
    <w:rsid w:val="00557E45"/>
    <w:rsid w:val="00560C41"/>
    <w:rsid w:val="00561F44"/>
    <w:rsid w:val="00562699"/>
    <w:rsid w:val="00562B4D"/>
    <w:rsid w:val="00563EB8"/>
    <w:rsid w:val="00564178"/>
    <w:rsid w:val="005647BF"/>
    <w:rsid w:val="00564AF1"/>
    <w:rsid w:val="005655DB"/>
    <w:rsid w:val="00565E88"/>
    <w:rsid w:val="00566CE9"/>
    <w:rsid w:val="00566EFA"/>
    <w:rsid w:val="005678EE"/>
    <w:rsid w:val="00570270"/>
    <w:rsid w:val="00570464"/>
    <w:rsid w:val="00570BC3"/>
    <w:rsid w:val="0057182A"/>
    <w:rsid w:val="00571E59"/>
    <w:rsid w:val="00572079"/>
    <w:rsid w:val="00572900"/>
    <w:rsid w:val="00573602"/>
    <w:rsid w:val="0057364B"/>
    <w:rsid w:val="00573878"/>
    <w:rsid w:val="00574773"/>
    <w:rsid w:val="00575EF7"/>
    <w:rsid w:val="005761EC"/>
    <w:rsid w:val="00576542"/>
    <w:rsid w:val="00577C07"/>
    <w:rsid w:val="00577DB1"/>
    <w:rsid w:val="00580AD3"/>
    <w:rsid w:val="00580DE7"/>
    <w:rsid w:val="005810E1"/>
    <w:rsid w:val="005839C8"/>
    <w:rsid w:val="00583E52"/>
    <w:rsid w:val="00583FFD"/>
    <w:rsid w:val="00584252"/>
    <w:rsid w:val="00584269"/>
    <w:rsid w:val="0058519A"/>
    <w:rsid w:val="005856BD"/>
    <w:rsid w:val="00586BCA"/>
    <w:rsid w:val="00587038"/>
    <w:rsid w:val="00590B28"/>
    <w:rsid w:val="005911BE"/>
    <w:rsid w:val="00591273"/>
    <w:rsid w:val="00591E9E"/>
    <w:rsid w:val="005927A4"/>
    <w:rsid w:val="00593152"/>
    <w:rsid w:val="00593357"/>
    <w:rsid w:val="005956A3"/>
    <w:rsid w:val="00595958"/>
    <w:rsid w:val="00595CAB"/>
    <w:rsid w:val="0059622E"/>
    <w:rsid w:val="00597671"/>
    <w:rsid w:val="00597BBF"/>
    <w:rsid w:val="005A0948"/>
    <w:rsid w:val="005A0A03"/>
    <w:rsid w:val="005A10F2"/>
    <w:rsid w:val="005A14E1"/>
    <w:rsid w:val="005A21E0"/>
    <w:rsid w:val="005A28FF"/>
    <w:rsid w:val="005A2C09"/>
    <w:rsid w:val="005A357B"/>
    <w:rsid w:val="005A3778"/>
    <w:rsid w:val="005A3DF8"/>
    <w:rsid w:val="005A5549"/>
    <w:rsid w:val="005A55E8"/>
    <w:rsid w:val="005A58F7"/>
    <w:rsid w:val="005A7CF8"/>
    <w:rsid w:val="005A7F67"/>
    <w:rsid w:val="005B0EDA"/>
    <w:rsid w:val="005B121D"/>
    <w:rsid w:val="005B26B0"/>
    <w:rsid w:val="005B41C9"/>
    <w:rsid w:val="005B44E6"/>
    <w:rsid w:val="005B4853"/>
    <w:rsid w:val="005B5054"/>
    <w:rsid w:val="005B5F82"/>
    <w:rsid w:val="005B6CA1"/>
    <w:rsid w:val="005B770C"/>
    <w:rsid w:val="005C06ED"/>
    <w:rsid w:val="005C11B8"/>
    <w:rsid w:val="005C216C"/>
    <w:rsid w:val="005C2319"/>
    <w:rsid w:val="005C2609"/>
    <w:rsid w:val="005C263A"/>
    <w:rsid w:val="005C2B30"/>
    <w:rsid w:val="005C401C"/>
    <w:rsid w:val="005C412B"/>
    <w:rsid w:val="005C43EC"/>
    <w:rsid w:val="005C45DD"/>
    <w:rsid w:val="005C4CB1"/>
    <w:rsid w:val="005D3F06"/>
    <w:rsid w:val="005D4AC7"/>
    <w:rsid w:val="005D4B73"/>
    <w:rsid w:val="005D5645"/>
    <w:rsid w:val="005D5802"/>
    <w:rsid w:val="005D5AA9"/>
    <w:rsid w:val="005D66E6"/>
    <w:rsid w:val="005D7119"/>
    <w:rsid w:val="005D76C8"/>
    <w:rsid w:val="005D7890"/>
    <w:rsid w:val="005E0204"/>
    <w:rsid w:val="005E0790"/>
    <w:rsid w:val="005E19C1"/>
    <w:rsid w:val="005E2194"/>
    <w:rsid w:val="005E24F0"/>
    <w:rsid w:val="005E36FE"/>
    <w:rsid w:val="005E391F"/>
    <w:rsid w:val="005E3F66"/>
    <w:rsid w:val="005E490F"/>
    <w:rsid w:val="005E4BC9"/>
    <w:rsid w:val="005E5314"/>
    <w:rsid w:val="005E60E1"/>
    <w:rsid w:val="005E7C78"/>
    <w:rsid w:val="005F04A7"/>
    <w:rsid w:val="005F08F0"/>
    <w:rsid w:val="005F114F"/>
    <w:rsid w:val="005F18C5"/>
    <w:rsid w:val="005F2A08"/>
    <w:rsid w:val="005F2D91"/>
    <w:rsid w:val="005F36CC"/>
    <w:rsid w:val="005F3EB1"/>
    <w:rsid w:val="005F413E"/>
    <w:rsid w:val="005F466B"/>
    <w:rsid w:val="005F46D8"/>
    <w:rsid w:val="005F480F"/>
    <w:rsid w:val="005F4FC3"/>
    <w:rsid w:val="005F5469"/>
    <w:rsid w:val="005F63F3"/>
    <w:rsid w:val="005F66F0"/>
    <w:rsid w:val="005F6D7F"/>
    <w:rsid w:val="005F7174"/>
    <w:rsid w:val="005F7E79"/>
    <w:rsid w:val="00601AA5"/>
    <w:rsid w:val="00601ADE"/>
    <w:rsid w:val="00601EA4"/>
    <w:rsid w:val="00601EEF"/>
    <w:rsid w:val="0060255A"/>
    <w:rsid w:val="00602EB3"/>
    <w:rsid w:val="00603F18"/>
    <w:rsid w:val="00604307"/>
    <w:rsid w:val="0060487F"/>
    <w:rsid w:val="00604EAD"/>
    <w:rsid w:val="0060513F"/>
    <w:rsid w:val="0060694B"/>
    <w:rsid w:val="006104FB"/>
    <w:rsid w:val="00610E7F"/>
    <w:rsid w:val="00611113"/>
    <w:rsid w:val="0061176D"/>
    <w:rsid w:val="0061200F"/>
    <w:rsid w:val="00612756"/>
    <w:rsid w:val="00612A2F"/>
    <w:rsid w:val="00612AAE"/>
    <w:rsid w:val="00612BB0"/>
    <w:rsid w:val="00612FD9"/>
    <w:rsid w:val="006139E0"/>
    <w:rsid w:val="00614D35"/>
    <w:rsid w:val="00614FD6"/>
    <w:rsid w:val="0061541C"/>
    <w:rsid w:val="006156B4"/>
    <w:rsid w:val="00615DAF"/>
    <w:rsid w:val="00616E05"/>
    <w:rsid w:val="00616F73"/>
    <w:rsid w:val="00617985"/>
    <w:rsid w:val="00620B77"/>
    <w:rsid w:val="0062131B"/>
    <w:rsid w:val="00621E26"/>
    <w:rsid w:val="0062263A"/>
    <w:rsid w:val="006227DF"/>
    <w:rsid w:val="006236C8"/>
    <w:rsid w:val="00624093"/>
    <w:rsid w:val="006254AE"/>
    <w:rsid w:val="00625A84"/>
    <w:rsid w:val="00626079"/>
    <w:rsid w:val="00630346"/>
    <w:rsid w:val="00631698"/>
    <w:rsid w:val="00631989"/>
    <w:rsid w:val="00631E44"/>
    <w:rsid w:val="00634C57"/>
    <w:rsid w:val="00634CE7"/>
    <w:rsid w:val="006350D5"/>
    <w:rsid w:val="0063642C"/>
    <w:rsid w:val="00637858"/>
    <w:rsid w:val="006404A7"/>
    <w:rsid w:val="00640A38"/>
    <w:rsid w:val="00640E6B"/>
    <w:rsid w:val="00641787"/>
    <w:rsid w:val="0064179B"/>
    <w:rsid w:val="006417C0"/>
    <w:rsid w:val="00642489"/>
    <w:rsid w:val="00644055"/>
    <w:rsid w:val="00644137"/>
    <w:rsid w:val="0064478C"/>
    <w:rsid w:val="00645160"/>
    <w:rsid w:val="006451E4"/>
    <w:rsid w:val="00645B33"/>
    <w:rsid w:val="006479A4"/>
    <w:rsid w:val="00647BC3"/>
    <w:rsid w:val="006516CB"/>
    <w:rsid w:val="006539DD"/>
    <w:rsid w:val="00653BD0"/>
    <w:rsid w:val="00654110"/>
    <w:rsid w:val="006542AF"/>
    <w:rsid w:val="00656C5D"/>
    <w:rsid w:val="00656CFB"/>
    <w:rsid w:val="00657E87"/>
    <w:rsid w:val="00660B4C"/>
    <w:rsid w:val="00660D2D"/>
    <w:rsid w:val="00661C41"/>
    <w:rsid w:val="00661EC9"/>
    <w:rsid w:val="00662198"/>
    <w:rsid w:val="00662469"/>
    <w:rsid w:val="00662BBA"/>
    <w:rsid w:val="006632F5"/>
    <w:rsid w:val="0066411C"/>
    <w:rsid w:val="00664205"/>
    <w:rsid w:val="00664647"/>
    <w:rsid w:val="00664803"/>
    <w:rsid w:val="006653CC"/>
    <w:rsid w:val="00665678"/>
    <w:rsid w:val="00665982"/>
    <w:rsid w:val="00665BA4"/>
    <w:rsid w:val="00666BF3"/>
    <w:rsid w:val="00667856"/>
    <w:rsid w:val="00667AF2"/>
    <w:rsid w:val="00670489"/>
    <w:rsid w:val="006710C9"/>
    <w:rsid w:val="00672586"/>
    <w:rsid w:val="0067262A"/>
    <w:rsid w:val="006741CD"/>
    <w:rsid w:val="0067483A"/>
    <w:rsid w:val="00674D89"/>
    <w:rsid w:val="00674E3E"/>
    <w:rsid w:val="0067514E"/>
    <w:rsid w:val="00675B3D"/>
    <w:rsid w:val="00675E37"/>
    <w:rsid w:val="00676736"/>
    <w:rsid w:val="006769A4"/>
    <w:rsid w:val="006769C6"/>
    <w:rsid w:val="00676D76"/>
    <w:rsid w:val="00676F9F"/>
    <w:rsid w:val="00677591"/>
    <w:rsid w:val="00677594"/>
    <w:rsid w:val="0068032F"/>
    <w:rsid w:val="00680D37"/>
    <w:rsid w:val="0068135D"/>
    <w:rsid w:val="0068174E"/>
    <w:rsid w:val="00681DCE"/>
    <w:rsid w:val="00682519"/>
    <w:rsid w:val="0068260E"/>
    <w:rsid w:val="006831EE"/>
    <w:rsid w:val="006846B3"/>
    <w:rsid w:val="00684D59"/>
    <w:rsid w:val="00684E25"/>
    <w:rsid w:val="006850E9"/>
    <w:rsid w:val="006858A4"/>
    <w:rsid w:val="00686718"/>
    <w:rsid w:val="00686BFA"/>
    <w:rsid w:val="00686DED"/>
    <w:rsid w:val="006875A0"/>
    <w:rsid w:val="006878C6"/>
    <w:rsid w:val="00687D27"/>
    <w:rsid w:val="00691943"/>
    <w:rsid w:val="00693550"/>
    <w:rsid w:val="0069430A"/>
    <w:rsid w:val="00695065"/>
    <w:rsid w:val="00695BEF"/>
    <w:rsid w:val="00696251"/>
    <w:rsid w:val="006963A7"/>
    <w:rsid w:val="006966C7"/>
    <w:rsid w:val="006968C1"/>
    <w:rsid w:val="006977F6"/>
    <w:rsid w:val="00697A13"/>
    <w:rsid w:val="00697A57"/>
    <w:rsid w:val="006A0A71"/>
    <w:rsid w:val="006A0DD4"/>
    <w:rsid w:val="006A109C"/>
    <w:rsid w:val="006A3C12"/>
    <w:rsid w:val="006A3C29"/>
    <w:rsid w:val="006A48E8"/>
    <w:rsid w:val="006A5F4B"/>
    <w:rsid w:val="006A6565"/>
    <w:rsid w:val="006A7691"/>
    <w:rsid w:val="006A7EE2"/>
    <w:rsid w:val="006B0514"/>
    <w:rsid w:val="006B0F92"/>
    <w:rsid w:val="006B2785"/>
    <w:rsid w:val="006B27C7"/>
    <w:rsid w:val="006B344A"/>
    <w:rsid w:val="006B4197"/>
    <w:rsid w:val="006B4F43"/>
    <w:rsid w:val="006B58C9"/>
    <w:rsid w:val="006B60ED"/>
    <w:rsid w:val="006B6CC5"/>
    <w:rsid w:val="006B74AC"/>
    <w:rsid w:val="006B78D8"/>
    <w:rsid w:val="006B79EA"/>
    <w:rsid w:val="006C0221"/>
    <w:rsid w:val="006C0C5D"/>
    <w:rsid w:val="006C113F"/>
    <w:rsid w:val="006C123E"/>
    <w:rsid w:val="006C12B6"/>
    <w:rsid w:val="006C15A1"/>
    <w:rsid w:val="006C1752"/>
    <w:rsid w:val="006C1DDC"/>
    <w:rsid w:val="006C24F9"/>
    <w:rsid w:val="006C28CA"/>
    <w:rsid w:val="006C2BBF"/>
    <w:rsid w:val="006C2FBD"/>
    <w:rsid w:val="006C358B"/>
    <w:rsid w:val="006C4355"/>
    <w:rsid w:val="006C469D"/>
    <w:rsid w:val="006C46B5"/>
    <w:rsid w:val="006C46F7"/>
    <w:rsid w:val="006C484F"/>
    <w:rsid w:val="006C52EC"/>
    <w:rsid w:val="006C56D4"/>
    <w:rsid w:val="006C6681"/>
    <w:rsid w:val="006C67EC"/>
    <w:rsid w:val="006C683C"/>
    <w:rsid w:val="006C6924"/>
    <w:rsid w:val="006C69D4"/>
    <w:rsid w:val="006C6C1E"/>
    <w:rsid w:val="006C7076"/>
    <w:rsid w:val="006C73D7"/>
    <w:rsid w:val="006C7AEC"/>
    <w:rsid w:val="006C7CA6"/>
    <w:rsid w:val="006D15FC"/>
    <w:rsid w:val="006D18B3"/>
    <w:rsid w:val="006D190F"/>
    <w:rsid w:val="006D1E89"/>
    <w:rsid w:val="006D1F0B"/>
    <w:rsid w:val="006D317E"/>
    <w:rsid w:val="006D3D6B"/>
    <w:rsid w:val="006D3E8A"/>
    <w:rsid w:val="006D5925"/>
    <w:rsid w:val="006D61F6"/>
    <w:rsid w:val="006D6ED0"/>
    <w:rsid w:val="006D7837"/>
    <w:rsid w:val="006E1332"/>
    <w:rsid w:val="006E279A"/>
    <w:rsid w:val="006E313B"/>
    <w:rsid w:val="006E34B2"/>
    <w:rsid w:val="006E3A45"/>
    <w:rsid w:val="006E4078"/>
    <w:rsid w:val="006E53AD"/>
    <w:rsid w:val="006E58CB"/>
    <w:rsid w:val="006E6195"/>
    <w:rsid w:val="006E7227"/>
    <w:rsid w:val="006E761A"/>
    <w:rsid w:val="006F0741"/>
    <w:rsid w:val="006F1C27"/>
    <w:rsid w:val="006F2882"/>
    <w:rsid w:val="006F2A65"/>
    <w:rsid w:val="006F3DD6"/>
    <w:rsid w:val="006F40DF"/>
    <w:rsid w:val="006F42BB"/>
    <w:rsid w:val="006F438E"/>
    <w:rsid w:val="006F440B"/>
    <w:rsid w:val="006F48A3"/>
    <w:rsid w:val="006F5416"/>
    <w:rsid w:val="006F624B"/>
    <w:rsid w:val="006F6D87"/>
    <w:rsid w:val="006F77B7"/>
    <w:rsid w:val="007004F2"/>
    <w:rsid w:val="0070398A"/>
    <w:rsid w:val="00705242"/>
    <w:rsid w:val="007055E0"/>
    <w:rsid w:val="007056ED"/>
    <w:rsid w:val="00705F4E"/>
    <w:rsid w:val="007065C5"/>
    <w:rsid w:val="007068E1"/>
    <w:rsid w:val="00706AA0"/>
    <w:rsid w:val="00706AD4"/>
    <w:rsid w:val="00707150"/>
    <w:rsid w:val="00710AF0"/>
    <w:rsid w:val="007119CB"/>
    <w:rsid w:val="007124D7"/>
    <w:rsid w:val="00712C20"/>
    <w:rsid w:val="00713549"/>
    <w:rsid w:val="007140BE"/>
    <w:rsid w:val="007147AB"/>
    <w:rsid w:val="00715502"/>
    <w:rsid w:val="00715B9E"/>
    <w:rsid w:val="00715E4D"/>
    <w:rsid w:val="0071677A"/>
    <w:rsid w:val="00716F48"/>
    <w:rsid w:val="00717096"/>
    <w:rsid w:val="00717114"/>
    <w:rsid w:val="0071779F"/>
    <w:rsid w:val="00720CB6"/>
    <w:rsid w:val="007211F5"/>
    <w:rsid w:val="00721601"/>
    <w:rsid w:val="00722777"/>
    <w:rsid w:val="007230C9"/>
    <w:rsid w:val="00723435"/>
    <w:rsid w:val="00723436"/>
    <w:rsid w:val="007235C9"/>
    <w:rsid w:val="007240E2"/>
    <w:rsid w:val="0072454C"/>
    <w:rsid w:val="0072531B"/>
    <w:rsid w:val="0072583E"/>
    <w:rsid w:val="00725BB5"/>
    <w:rsid w:val="00727C02"/>
    <w:rsid w:val="0073008E"/>
    <w:rsid w:val="00730AE8"/>
    <w:rsid w:val="00730F1B"/>
    <w:rsid w:val="00731616"/>
    <w:rsid w:val="0073186D"/>
    <w:rsid w:val="00731C73"/>
    <w:rsid w:val="007325BA"/>
    <w:rsid w:val="0073333D"/>
    <w:rsid w:val="007343D9"/>
    <w:rsid w:val="00734451"/>
    <w:rsid w:val="00734E87"/>
    <w:rsid w:val="00734F71"/>
    <w:rsid w:val="00735448"/>
    <w:rsid w:val="00736F07"/>
    <w:rsid w:val="007377BD"/>
    <w:rsid w:val="0073789B"/>
    <w:rsid w:val="00737DEC"/>
    <w:rsid w:val="0074004D"/>
    <w:rsid w:val="00741493"/>
    <w:rsid w:val="0074297B"/>
    <w:rsid w:val="007434E5"/>
    <w:rsid w:val="0074499B"/>
    <w:rsid w:val="007450BF"/>
    <w:rsid w:val="00745E3F"/>
    <w:rsid w:val="007471A1"/>
    <w:rsid w:val="007471EF"/>
    <w:rsid w:val="007477BD"/>
    <w:rsid w:val="00747EE9"/>
    <w:rsid w:val="00752126"/>
    <w:rsid w:val="00752180"/>
    <w:rsid w:val="00752323"/>
    <w:rsid w:val="007532B7"/>
    <w:rsid w:val="00753CAB"/>
    <w:rsid w:val="00754A70"/>
    <w:rsid w:val="00754BC9"/>
    <w:rsid w:val="00755202"/>
    <w:rsid w:val="007558AE"/>
    <w:rsid w:val="00755D3A"/>
    <w:rsid w:val="00757241"/>
    <w:rsid w:val="0075751D"/>
    <w:rsid w:val="0075763E"/>
    <w:rsid w:val="007578D3"/>
    <w:rsid w:val="00757C31"/>
    <w:rsid w:val="00757F49"/>
    <w:rsid w:val="007602CF"/>
    <w:rsid w:val="00760391"/>
    <w:rsid w:val="007609C6"/>
    <w:rsid w:val="007615F3"/>
    <w:rsid w:val="0076175D"/>
    <w:rsid w:val="00761CB5"/>
    <w:rsid w:val="007629D5"/>
    <w:rsid w:val="007635F8"/>
    <w:rsid w:val="00763B85"/>
    <w:rsid w:val="00763C9F"/>
    <w:rsid w:val="0076421A"/>
    <w:rsid w:val="00764974"/>
    <w:rsid w:val="00764D18"/>
    <w:rsid w:val="0076521E"/>
    <w:rsid w:val="00765BCC"/>
    <w:rsid w:val="0076600D"/>
    <w:rsid w:val="007661E9"/>
    <w:rsid w:val="00766460"/>
    <w:rsid w:val="00767062"/>
    <w:rsid w:val="00767777"/>
    <w:rsid w:val="00770CFC"/>
    <w:rsid w:val="00771274"/>
    <w:rsid w:val="0077130E"/>
    <w:rsid w:val="007715EE"/>
    <w:rsid w:val="00771972"/>
    <w:rsid w:val="00772279"/>
    <w:rsid w:val="00772DAB"/>
    <w:rsid w:val="00772FF9"/>
    <w:rsid w:val="00774CEF"/>
    <w:rsid w:val="00774D2C"/>
    <w:rsid w:val="00775204"/>
    <w:rsid w:val="007754B9"/>
    <w:rsid w:val="0077605B"/>
    <w:rsid w:val="00776169"/>
    <w:rsid w:val="00776527"/>
    <w:rsid w:val="00776DD8"/>
    <w:rsid w:val="00777040"/>
    <w:rsid w:val="00777CE6"/>
    <w:rsid w:val="00777D2D"/>
    <w:rsid w:val="00780EF1"/>
    <w:rsid w:val="00781A91"/>
    <w:rsid w:val="00781F36"/>
    <w:rsid w:val="0078236A"/>
    <w:rsid w:val="00785778"/>
    <w:rsid w:val="00785BE1"/>
    <w:rsid w:val="00786C87"/>
    <w:rsid w:val="0078755E"/>
    <w:rsid w:val="007877C9"/>
    <w:rsid w:val="00790764"/>
    <w:rsid w:val="0079085F"/>
    <w:rsid w:val="00790E96"/>
    <w:rsid w:val="00791005"/>
    <w:rsid w:val="0079117A"/>
    <w:rsid w:val="00792E9C"/>
    <w:rsid w:val="00793D78"/>
    <w:rsid w:val="0079420B"/>
    <w:rsid w:val="0079453C"/>
    <w:rsid w:val="00794677"/>
    <w:rsid w:val="00795759"/>
    <w:rsid w:val="00797A76"/>
    <w:rsid w:val="007A170B"/>
    <w:rsid w:val="007A20EB"/>
    <w:rsid w:val="007A282C"/>
    <w:rsid w:val="007A293C"/>
    <w:rsid w:val="007A2A3A"/>
    <w:rsid w:val="007A33E2"/>
    <w:rsid w:val="007A3CAF"/>
    <w:rsid w:val="007A4782"/>
    <w:rsid w:val="007A4CE6"/>
    <w:rsid w:val="007A516D"/>
    <w:rsid w:val="007A5E65"/>
    <w:rsid w:val="007A65E1"/>
    <w:rsid w:val="007A6AAA"/>
    <w:rsid w:val="007A6AC6"/>
    <w:rsid w:val="007A7033"/>
    <w:rsid w:val="007A775D"/>
    <w:rsid w:val="007B0834"/>
    <w:rsid w:val="007B0E83"/>
    <w:rsid w:val="007B11FA"/>
    <w:rsid w:val="007B1396"/>
    <w:rsid w:val="007B16D6"/>
    <w:rsid w:val="007B2011"/>
    <w:rsid w:val="007B2CFE"/>
    <w:rsid w:val="007B309B"/>
    <w:rsid w:val="007B3172"/>
    <w:rsid w:val="007B3D5E"/>
    <w:rsid w:val="007B3DCB"/>
    <w:rsid w:val="007B5725"/>
    <w:rsid w:val="007B5C1F"/>
    <w:rsid w:val="007B5E46"/>
    <w:rsid w:val="007B6689"/>
    <w:rsid w:val="007B6747"/>
    <w:rsid w:val="007B6F72"/>
    <w:rsid w:val="007C05A5"/>
    <w:rsid w:val="007C10BD"/>
    <w:rsid w:val="007C1F0C"/>
    <w:rsid w:val="007C1FFB"/>
    <w:rsid w:val="007C2D94"/>
    <w:rsid w:val="007C3423"/>
    <w:rsid w:val="007C3CFE"/>
    <w:rsid w:val="007C3FBC"/>
    <w:rsid w:val="007C54F1"/>
    <w:rsid w:val="007C5F92"/>
    <w:rsid w:val="007C6227"/>
    <w:rsid w:val="007C6BBD"/>
    <w:rsid w:val="007C6D89"/>
    <w:rsid w:val="007C6F5E"/>
    <w:rsid w:val="007D0382"/>
    <w:rsid w:val="007D0E63"/>
    <w:rsid w:val="007D14FE"/>
    <w:rsid w:val="007D1A1F"/>
    <w:rsid w:val="007D2869"/>
    <w:rsid w:val="007D2E18"/>
    <w:rsid w:val="007D34AE"/>
    <w:rsid w:val="007D40DF"/>
    <w:rsid w:val="007D42E5"/>
    <w:rsid w:val="007D4458"/>
    <w:rsid w:val="007D6AF9"/>
    <w:rsid w:val="007D77FB"/>
    <w:rsid w:val="007E0535"/>
    <w:rsid w:val="007E0D4A"/>
    <w:rsid w:val="007E0F75"/>
    <w:rsid w:val="007E1590"/>
    <w:rsid w:val="007E1788"/>
    <w:rsid w:val="007E1EC5"/>
    <w:rsid w:val="007E1EE3"/>
    <w:rsid w:val="007E29B4"/>
    <w:rsid w:val="007E2F12"/>
    <w:rsid w:val="007E3D86"/>
    <w:rsid w:val="007E435A"/>
    <w:rsid w:val="007E445C"/>
    <w:rsid w:val="007E49F7"/>
    <w:rsid w:val="007E4C70"/>
    <w:rsid w:val="007E580F"/>
    <w:rsid w:val="007E5B5F"/>
    <w:rsid w:val="007E5BA1"/>
    <w:rsid w:val="007E7242"/>
    <w:rsid w:val="007E78B6"/>
    <w:rsid w:val="007E7E61"/>
    <w:rsid w:val="007F0845"/>
    <w:rsid w:val="007F0873"/>
    <w:rsid w:val="007F17D4"/>
    <w:rsid w:val="007F208B"/>
    <w:rsid w:val="007F20F3"/>
    <w:rsid w:val="007F2353"/>
    <w:rsid w:val="007F2390"/>
    <w:rsid w:val="007F2CAC"/>
    <w:rsid w:val="007F4740"/>
    <w:rsid w:val="007F595A"/>
    <w:rsid w:val="007F5C38"/>
    <w:rsid w:val="007F708D"/>
    <w:rsid w:val="008006B3"/>
    <w:rsid w:val="00800B63"/>
    <w:rsid w:val="0080158A"/>
    <w:rsid w:val="00801E13"/>
    <w:rsid w:val="00803008"/>
    <w:rsid w:val="00803069"/>
    <w:rsid w:val="0080346B"/>
    <w:rsid w:val="00804155"/>
    <w:rsid w:val="0080559E"/>
    <w:rsid w:val="00805AF3"/>
    <w:rsid w:val="00807104"/>
    <w:rsid w:val="0080734C"/>
    <w:rsid w:val="00807C82"/>
    <w:rsid w:val="00810E62"/>
    <w:rsid w:val="008117CC"/>
    <w:rsid w:val="00811CEC"/>
    <w:rsid w:val="008128B2"/>
    <w:rsid w:val="00813B27"/>
    <w:rsid w:val="00813D58"/>
    <w:rsid w:val="00813DCA"/>
    <w:rsid w:val="008146F7"/>
    <w:rsid w:val="008161A6"/>
    <w:rsid w:val="008165B8"/>
    <w:rsid w:val="00816905"/>
    <w:rsid w:val="00816BCA"/>
    <w:rsid w:val="00816D98"/>
    <w:rsid w:val="00816E42"/>
    <w:rsid w:val="00817040"/>
    <w:rsid w:val="00817A17"/>
    <w:rsid w:val="00817DF8"/>
    <w:rsid w:val="00817EC1"/>
    <w:rsid w:val="0082112D"/>
    <w:rsid w:val="00821FF6"/>
    <w:rsid w:val="00822574"/>
    <w:rsid w:val="00822980"/>
    <w:rsid w:val="00822E58"/>
    <w:rsid w:val="00822F08"/>
    <w:rsid w:val="00825623"/>
    <w:rsid w:val="00825C4D"/>
    <w:rsid w:val="00826A08"/>
    <w:rsid w:val="00826AC0"/>
    <w:rsid w:val="00827186"/>
    <w:rsid w:val="00827C8E"/>
    <w:rsid w:val="00830569"/>
    <w:rsid w:val="00830AEA"/>
    <w:rsid w:val="00830E86"/>
    <w:rsid w:val="0083143E"/>
    <w:rsid w:val="008315B8"/>
    <w:rsid w:val="008315D5"/>
    <w:rsid w:val="00831793"/>
    <w:rsid w:val="00831CDE"/>
    <w:rsid w:val="00831E88"/>
    <w:rsid w:val="00831F2B"/>
    <w:rsid w:val="00831F7B"/>
    <w:rsid w:val="00832F77"/>
    <w:rsid w:val="00834304"/>
    <w:rsid w:val="00834FAA"/>
    <w:rsid w:val="008354FB"/>
    <w:rsid w:val="00835FF1"/>
    <w:rsid w:val="00836086"/>
    <w:rsid w:val="0083630F"/>
    <w:rsid w:val="00836A06"/>
    <w:rsid w:val="008374BC"/>
    <w:rsid w:val="008379D6"/>
    <w:rsid w:val="00837E48"/>
    <w:rsid w:val="00840293"/>
    <w:rsid w:val="008402AD"/>
    <w:rsid w:val="008408D4"/>
    <w:rsid w:val="008417B5"/>
    <w:rsid w:val="00841901"/>
    <w:rsid w:val="00842D20"/>
    <w:rsid w:val="008430FD"/>
    <w:rsid w:val="008458BD"/>
    <w:rsid w:val="00846121"/>
    <w:rsid w:val="008461C2"/>
    <w:rsid w:val="008462F1"/>
    <w:rsid w:val="008466C6"/>
    <w:rsid w:val="0084708F"/>
    <w:rsid w:val="008477C8"/>
    <w:rsid w:val="008478A6"/>
    <w:rsid w:val="008502F6"/>
    <w:rsid w:val="0085114D"/>
    <w:rsid w:val="00851A1F"/>
    <w:rsid w:val="00851B1C"/>
    <w:rsid w:val="008520A8"/>
    <w:rsid w:val="00852217"/>
    <w:rsid w:val="00853282"/>
    <w:rsid w:val="0085334C"/>
    <w:rsid w:val="00853FD1"/>
    <w:rsid w:val="008543DC"/>
    <w:rsid w:val="0085533F"/>
    <w:rsid w:val="00855408"/>
    <w:rsid w:val="00855D03"/>
    <w:rsid w:val="00856D65"/>
    <w:rsid w:val="008575AC"/>
    <w:rsid w:val="00860903"/>
    <w:rsid w:val="008611E0"/>
    <w:rsid w:val="00861B41"/>
    <w:rsid w:val="00861B9F"/>
    <w:rsid w:val="00861BE3"/>
    <w:rsid w:val="008625D3"/>
    <w:rsid w:val="00863434"/>
    <w:rsid w:val="0086344F"/>
    <w:rsid w:val="008641AC"/>
    <w:rsid w:val="00864E1F"/>
    <w:rsid w:val="00865E4C"/>
    <w:rsid w:val="00866413"/>
    <w:rsid w:val="00866494"/>
    <w:rsid w:val="00867546"/>
    <w:rsid w:val="0086796D"/>
    <w:rsid w:val="00867DAB"/>
    <w:rsid w:val="0087000B"/>
    <w:rsid w:val="008701E4"/>
    <w:rsid w:val="008704E9"/>
    <w:rsid w:val="00870ECD"/>
    <w:rsid w:val="0087347C"/>
    <w:rsid w:val="008734E7"/>
    <w:rsid w:val="0087368D"/>
    <w:rsid w:val="008740CC"/>
    <w:rsid w:val="00874FE8"/>
    <w:rsid w:val="00875A32"/>
    <w:rsid w:val="00876086"/>
    <w:rsid w:val="00876E83"/>
    <w:rsid w:val="008772BC"/>
    <w:rsid w:val="00880A0E"/>
    <w:rsid w:val="008817FE"/>
    <w:rsid w:val="00881CD7"/>
    <w:rsid w:val="00882911"/>
    <w:rsid w:val="00882F6E"/>
    <w:rsid w:val="00883859"/>
    <w:rsid w:val="00884E02"/>
    <w:rsid w:val="00885451"/>
    <w:rsid w:val="00885D40"/>
    <w:rsid w:val="00886293"/>
    <w:rsid w:val="00886D47"/>
    <w:rsid w:val="00887337"/>
    <w:rsid w:val="008873D4"/>
    <w:rsid w:val="00887780"/>
    <w:rsid w:val="00887E06"/>
    <w:rsid w:val="00891EDF"/>
    <w:rsid w:val="00892872"/>
    <w:rsid w:val="0089296D"/>
    <w:rsid w:val="00892D9E"/>
    <w:rsid w:val="00893E85"/>
    <w:rsid w:val="00893EBE"/>
    <w:rsid w:val="00894031"/>
    <w:rsid w:val="00894C5D"/>
    <w:rsid w:val="00895508"/>
    <w:rsid w:val="008967E9"/>
    <w:rsid w:val="00896A5C"/>
    <w:rsid w:val="008972D2"/>
    <w:rsid w:val="0089754C"/>
    <w:rsid w:val="008A0995"/>
    <w:rsid w:val="008A0ADD"/>
    <w:rsid w:val="008A0D27"/>
    <w:rsid w:val="008A1C59"/>
    <w:rsid w:val="008A37E2"/>
    <w:rsid w:val="008A388E"/>
    <w:rsid w:val="008A394E"/>
    <w:rsid w:val="008A3CBA"/>
    <w:rsid w:val="008A412A"/>
    <w:rsid w:val="008A4B59"/>
    <w:rsid w:val="008A63E1"/>
    <w:rsid w:val="008A66B7"/>
    <w:rsid w:val="008A68BB"/>
    <w:rsid w:val="008A6AA5"/>
    <w:rsid w:val="008A7127"/>
    <w:rsid w:val="008A71DF"/>
    <w:rsid w:val="008B042B"/>
    <w:rsid w:val="008B3537"/>
    <w:rsid w:val="008B3690"/>
    <w:rsid w:val="008B3701"/>
    <w:rsid w:val="008B3A80"/>
    <w:rsid w:val="008B3AEC"/>
    <w:rsid w:val="008B3C07"/>
    <w:rsid w:val="008B3F7B"/>
    <w:rsid w:val="008B5324"/>
    <w:rsid w:val="008B5F78"/>
    <w:rsid w:val="008B6106"/>
    <w:rsid w:val="008B64CC"/>
    <w:rsid w:val="008B7C02"/>
    <w:rsid w:val="008B7D2B"/>
    <w:rsid w:val="008B7EF9"/>
    <w:rsid w:val="008C0049"/>
    <w:rsid w:val="008C0314"/>
    <w:rsid w:val="008C0E88"/>
    <w:rsid w:val="008C1717"/>
    <w:rsid w:val="008C3F3D"/>
    <w:rsid w:val="008C4B50"/>
    <w:rsid w:val="008C5A37"/>
    <w:rsid w:val="008C7569"/>
    <w:rsid w:val="008C79C3"/>
    <w:rsid w:val="008D018F"/>
    <w:rsid w:val="008D033D"/>
    <w:rsid w:val="008D0DBD"/>
    <w:rsid w:val="008D117E"/>
    <w:rsid w:val="008D127E"/>
    <w:rsid w:val="008D18EF"/>
    <w:rsid w:val="008D1CA8"/>
    <w:rsid w:val="008D1E0A"/>
    <w:rsid w:val="008D1E6A"/>
    <w:rsid w:val="008D2A16"/>
    <w:rsid w:val="008D30AF"/>
    <w:rsid w:val="008D33F5"/>
    <w:rsid w:val="008D35E4"/>
    <w:rsid w:val="008D37BF"/>
    <w:rsid w:val="008D6C3A"/>
    <w:rsid w:val="008D6C5F"/>
    <w:rsid w:val="008E0001"/>
    <w:rsid w:val="008E292B"/>
    <w:rsid w:val="008E2C57"/>
    <w:rsid w:val="008E31FF"/>
    <w:rsid w:val="008E3287"/>
    <w:rsid w:val="008E6DCB"/>
    <w:rsid w:val="008E6F06"/>
    <w:rsid w:val="008E7B8E"/>
    <w:rsid w:val="008E7FC9"/>
    <w:rsid w:val="008F0107"/>
    <w:rsid w:val="008F029B"/>
    <w:rsid w:val="008F0589"/>
    <w:rsid w:val="008F26DB"/>
    <w:rsid w:val="008F2A5D"/>
    <w:rsid w:val="008F3636"/>
    <w:rsid w:val="008F3FC9"/>
    <w:rsid w:val="008F509F"/>
    <w:rsid w:val="008F5383"/>
    <w:rsid w:val="008F585B"/>
    <w:rsid w:val="008F7FB0"/>
    <w:rsid w:val="009003A8"/>
    <w:rsid w:val="009005E4"/>
    <w:rsid w:val="00900977"/>
    <w:rsid w:val="009021DA"/>
    <w:rsid w:val="00902500"/>
    <w:rsid w:val="009027F4"/>
    <w:rsid w:val="00902E73"/>
    <w:rsid w:val="00902EFF"/>
    <w:rsid w:val="00903A8E"/>
    <w:rsid w:val="00904010"/>
    <w:rsid w:val="0090432C"/>
    <w:rsid w:val="0090465F"/>
    <w:rsid w:val="00904F96"/>
    <w:rsid w:val="009052A3"/>
    <w:rsid w:val="00905314"/>
    <w:rsid w:val="009053B0"/>
    <w:rsid w:val="009056D7"/>
    <w:rsid w:val="00905B4D"/>
    <w:rsid w:val="00905B8D"/>
    <w:rsid w:val="00906401"/>
    <w:rsid w:val="009065CB"/>
    <w:rsid w:val="009067EA"/>
    <w:rsid w:val="00906B79"/>
    <w:rsid w:val="0090786F"/>
    <w:rsid w:val="0091001E"/>
    <w:rsid w:val="00910C18"/>
    <w:rsid w:val="009110F7"/>
    <w:rsid w:val="0091155E"/>
    <w:rsid w:val="0091239D"/>
    <w:rsid w:val="00912437"/>
    <w:rsid w:val="00912A92"/>
    <w:rsid w:val="00915D07"/>
    <w:rsid w:val="009162AE"/>
    <w:rsid w:val="00917251"/>
    <w:rsid w:val="0091728D"/>
    <w:rsid w:val="009203CC"/>
    <w:rsid w:val="00920EC4"/>
    <w:rsid w:val="0092180B"/>
    <w:rsid w:val="00921F14"/>
    <w:rsid w:val="0092292F"/>
    <w:rsid w:val="00922FF3"/>
    <w:rsid w:val="00923CB0"/>
    <w:rsid w:val="00923D8C"/>
    <w:rsid w:val="00924871"/>
    <w:rsid w:val="00924AC8"/>
    <w:rsid w:val="00925429"/>
    <w:rsid w:val="00925615"/>
    <w:rsid w:val="0092597A"/>
    <w:rsid w:val="00926520"/>
    <w:rsid w:val="00926CF0"/>
    <w:rsid w:val="009273A9"/>
    <w:rsid w:val="00930251"/>
    <w:rsid w:val="0093033E"/>
    <w:rsid w:val="009305FC"/>
    <w:rsid w:val="00930FB1"/>
    <w:rsid w:val="0093139F"/>
    <w:rsid w:val="00931F9B"/>
    <w:rsid w:val="00932443"/>
    <w:rsid w:val="00932B32"/>
    <w:rsid w:val="00933F4A"/>
    <w:rsid w:val="009341F1"/>
    <w:rsid w:val="00934B30"/>
    <w:rsid w:val="00934FF2"/>
    <w:rsid w:val="009358D7"/>
    <w:rsid w:val="00935BD4"/>
    <w:rsid w:val="00935DFE"/>
    <w:rsid w:val="00935F70"/>
    <w:rsid w:val="00936388"/>
    <w:rsid w:val="009373B2"/>
    <w:rsid w:val="00937AE2"/>
    <w:rsid w:val="00937FCA"/>
    <w:rsid w:val="0094061F"/>
    <w:rsid w:val="009407C6"/>
    <w:rsid w:val="00940F0F"/>
    <w:rsid w:val="009428F2"/>
    <w:rsid w:val="00943D5D"/>
    <w:rsid w:val="0094416B"/>
    <w:rsid w:val="0094427A"/>
    <w:rsid w:val="00944C7C"/>
    <w:rsid w:val="00945245"/>
    <w:rsid w:val="00945523"/>
    <w:rsid w:val="009461B1"/>
    <w:rsid w:val="00946431"/>
    <w:rsid w:val="00946CBE"/>
    <w:rsid w:val="009470C6"/>
    <w:rsid w:val="00950921"/>
    <w:rsid w:val="00951D68"/>
    <w:rsid w:val="00951E5B"/>
    <w:rsid w:val="00952B7B"/>
    <w:rsid w:val="00953171"/>
    <w:rsid w:val="00954F39"/>
    <w:rsid w:val="0095510D"/>
    <w:rsid w:val="009555FD"/>
    <w:rsid w:val="0095664B"/>
    <w:rsid w:val="009568DC"/>
    <w:rsid w:val="00957445"/>
    <w:rsid w:val="00957525"/>
    <w:rsid w:val="0095759C"/>
    <w:rsid w:val="009618EE"/>
    <w:rsid w:val="00961DDD"/>
    <w:rsid w:val="009624D2"/>
    <w:rsid w:val="009625B5"/>
    <w:rsid w:val="009628D9"/>
    <w:rsid w:val="009637AE"/>
    <w:rsid w:val="00963A06"/>
    <w:rsid w:val="00964068"/>
    <w:rsid w:val="009640F6"/>
    <w:rsid w:val="0096433C"/>
    <w:rsid w:val="0096469D"/>
    <w:rsid w:val="00964776"/>
    <w:rsid w:val="00964A4E"/>
    <w:rsid w:val="00964B35"/>
    <w:rsid w:val="009651C7"/>
    <w:rsid w:val="00965797"/>
    <w:rsid w:val="00965A10"/>
    <w:rsid w:val="00965E30"/>
    <w:rsid w:val="009670A3"/>
    <w:rsid w:val="009674BE"/>
    <w:rsid w:val="00970026"/>
    <w:rsid w:val="00970FB5"/>
    <w:rsid w:val="00971710"/>
    <w:rsid w:val="00971B87"/>
    <w:rsid w:val="00971C77"/>
    <w:rsid w:val="00972FCD"/>
    <w:rsid w:val="00973324"/>
    <w:rsid w:val="009736DF"/>
    <w:rsid w:val="00973964"/>
    <w:rsid w:val="009741AE"/>
    <w:rsid w:val="009741FC"/>
    <w:rsid w:val="00974782"/>
    <w:rsid w:val="00974923"/>
    <w:rsid w:val="00975909"/>
    <w:rsid w:val="00975E98"/>
    <w:rsid w:val="00977C3D"/>
    <w:rsid w:val="009802F7"/>
    <w:rsid w:val="00980D3D"/>
    <w:rsid w:val="0098103E"/>
    <w:rsid w:val="0098157D"/>
    <w:rsid w:val="00983101"/>
    <w:rsid w:val="00983E41"/>
    <w:rsid w:val="009845E1"/>
    <w:rsid w:val="00984D1B"/>
    <w:rsid w:val="00986246"/>
    <w:rsid w:val="00987A30"/>
    <w:rsid w:val="00990312"/>
    <w:rsid w:val="0099182E"/>
    <w:rsid w:val="00992CF3"/>
    <w:rsid w:val="00993194"/>
    <w:rsid w:val="0099321E"/>
    <w:rsid w:val="00993910"/>
    <w:rsid w:val="00994868"/>
    <w:rsid w:val="00994D28"/>
    <w:rsid w:val="00994F2C"/>
    <w:rsid w:val="009957CC"/>
    <w:rsid w:val="009968D6"/>
    <w:rsid w:val="00997953"/>
    <w:rsid w:val="009A0229"/>
    <w:rsid w:val="009A04D0"/>
    <w:rsid w:val="009A0BFF"/>
    <w:rsid w:val="009A10A0"/>
    <w:rsid w:val="009A1CAB"/>
    <w:rsid w:val="009A2359"/>
    <w:rsid w:val="009A24F1"/>
    <w:rsid w:val="009A27E0"/>
    <w:rsid w:val="009A3851"/>
    <w:rsid w:val="009A405F"/>
    <w:rsid w:val="009A4D57"/>
    <w:rsid w:val="009A51A5"/>
    <w:rsid w:val="009A60D1"/>
    <w:rsid w:val="009A6225"/>
    <w:rsid w:val="009A6395"/>
    <w:rsid w:val="009A64F5"/>
    <w:rsid w:val="009A78D3"/>
    <w:rsid w:val="009B00D2"/>
    <w:rsid w:val="009B05B3"/>
    <w:rsid w:val="009B172F"/>
    <w:rsid w:val="009B196A"/>
    <w:rsid w:val="009B284F"/>
    <w:rsid w:val="009B3764"/>
    <w:rsid w:val="009B47AC"/>
    <w:rsid w:val="009B52AC"/>
    <w:rsid w:val="009B59EA"/>
    <w:rsid w:val="009B66CE"/>
    <w:rsid w:val="009B6FD3"/>
    <w:rsid w:val="009B72BE"/>
    <w:rsid w:val="009B78A4"/>
    <w:rsid w:val="009B7DB2"/>
    <w:rsid w:val="009C01E8"/>
    <w:rsid w:val="009C03DB"/>
    <w:rsid w:val="009C0987"/>
    <w:rsid w:val="009C1750"/>
    <w:rsid w:val="009C175C"/>
    <w:rsid w:val="009C1ACD"/>
    <w:rsid w:val="009C2E29"/>
    <w:rsid w:val="009C3E8F"/>
    <w:rsid w:val="009C554B"/>
    <w:rsid w:val="009C5E83"/>
    <w:rsid w:val="009C7126"/>
    <w:rsid w:val="009C719E"/>
    <w:rsid w:val="009C7799"/>
    <w:rsid w:val="009D07A9"/>
    <w:rsid w:val="009D0AE2"/>
    <w:rsid w:val="009D0D9F"/>
    <w:rsid w:val="009D0EBB"/>
    <w:rsid w:val="009D1108"/>
    <w:rsid w:val="009D15D8"/>
    <w:rsid w:val="009D2C46"/>
    <w:rsid w:val="009D3ACD"/>
    <w:rsid w:val="009D4254"/>
    <w:rsid w:val="009D4738"/>
    <w:rsid w:val="009D4F21"/>
    <w:rsid w:val="009D587D"/>
    <w:rsid w:val="009D7731"/>
    <w:rsid w:val="009E1120"/>
    <w:rsid w:val="009E1393"/>
    <w:rsid w:val="009E1922"/>
    <w:rsid w:val="009E1A3D"/>
    <w:rsid w:val="009E4715"/>
    <w:rsid w:val="009E4A58"/>
    <w:rsid w:val="009E5273"/>
    <w:rsid w:val="009E52F5"/>
    <w:rsid w:val="009E57A8"/>
    <w:rsid w:val="009E5B85"/>
    <w:rsid w:val="009E5DDB"/>
    <w:rsid w:val="009E66E1"/>
    <w:rsid w:val="009E78AC"/>
    <w:rsid w:val="009F2921"/>
    <w:rsid w:val="009F4982"/>
    <w:rsid w:val="009F4CA7"/>
    <w:rsid w:val="009F4F6A"/>
    <w:rsid w:val="009F55BA"/>
    <w:rsid w:val="009F7D36"/>
    <w:rsid w:val="009F7D61"/>
    <w:rsid w:val="00A00686"/>
    <w:rsid w:val="00A00E71"/>
    <w:rsid w:val="00A0306F"/>
    <w:rsid w:val="00A03244"/>
    <w:rsid w:val="00A03545"/>
    <w:rsid w:val="00A03B10"/>
    <w:rsid w:val="00A03E2E"/>
    <w:rsid w:val="00A04616"/>
    <w:rsid w:val="00A04717"/>
    <w:rsid w:val="00A05D8F"/>
    <w:rsid w:val="00A05EE4"/>
    <w:rsid w:val="00A06212"/>
    <w:rsid w:val="00A06F99"/>
    <w:rsid w:val="00A073CB"/>
    <w:rsid w:val="00A07EB8"/>
    <w:rsid w:val="00A1053B"/>
    <w:rsid w:val="00A1092E"/>
    <w:rsid w:val="00A10D66"/>
    <w:rsid w:val="00A113A4"/>
    <w:rsid w:val="00A11891"/>
    <w:rsid w:val="00A11DD4"/>
    <w:rsid w:val="00A11E3F"/>
    <w:rsid w:val="00A14114"/>
    <w:rsid w:val="00A16413"/>
    <w:rsid w:val="00A16545"/>
    <w:rsid w:val="00A16AED"/>
    <w:rsid w:val="00A16C37"/>
    <w:rsid w:val="00A16CA8"/>
    <w:rsid w:val="00A16E1D"/>
    <w:rsid w:val="00A171D5"/>
    <w:rsid w:val="00A17A15"/>
    <w:rsid w:val="00A17D5B"/>
    <w:rsid w:val="00A20127"/>
    <w:rsid w:val="00A201E1"/>
    <w:rsid w:val="00A20AE3"/>
    <w:rsid w:val="00A20FE1"/>
    <w:rsid w:val="00A21B4D"/>
    <w:rsid w:val="00A22073"/>
    <w:rsid w:val="00A223E0"/>
    <w:rsid w:val="00A22B49"/>
    <w:rsid w:val="00A23158"/>
    <w:rsid w:val="00A23E43"/>
    <w:rsid w:val="00A24726"/>
    <w:rsid w:val="00A24DEB"/>
    <w:rsid w:val="00A24ED9"/>
    <w:rsid w:val="00A25216"/>
    <w:rsid w:val="00A2597D"/>
    <w:rsid w:val="00A2628E"/>
    <w:rsid w:val="00A266BF"/>
    <w:rsid w:val="00A26ADF"/>
    <w:rsid w:val="00A26F45"/>
    <w:rsid w:val="00A2731E"/>
    <w:rsid w:val="00A27DA0"/>
    <w:rsid w:val="00A309AC"/>
    <w:rsid w:val="00A30F65"/>
    <w:rsid w:val="00A312F6"/>
    <w:rsid w:val="00A3279E"/>
    <w:rsid w:val="00A3403F"/>
    <w:rsid w:val="00A34076"/>
    <w:rsid w:val="00A34818"/>
    <w:rsid w:val="00A35900"/>
    <w:rsid w:val="00A40EAC"/>
    <w:rsid w:val="00A418BC"/>
    <w:rsid w:val="00A41AA8"/>
    <w:rsid w:val="00A41CF6"/>
    <w:rsid w:val="00A41FCF"/>
    <w:rsid w:val="00A42936"/>
    <w:rsid w:val="00A42C38"/>
    <w:rsid w:val="00A43494"/>
    <w:rsid w:val="00A434EB"/>
    <w:rsid w:val="00A438C7"/>
    <w:rsid w:val="00A43CF8"/>
    <w:rsid w:val="00A43DF2"/>
    <w:rsid w:val="00A445A8"/>
    <w:rsid w:val="00A44B0D"/>
    <w:rsid w:val="00A44D21"/>
    <w:rsid w:val="00A45087"/>
    <w:rsid w:val="00A45489"/>
    <w:rsid w:val="00A45CED"/>
    <w:rsid w:val="00A465E9"/>
    <w:rsid w:val="00A468E7"/>
    <w:rsid w:val="00A46DE0"/>
    <w:rsid w:val="00A478BA"/>
    <w:rsid w:val="00A50D73"/>
    <w:rsid w:val="00A518BB"/>
    <w:rsid w:val="00A52A88"/>
    <w:rsid w:val="00A52CAD"/>
    <w:rsid w:val="00A53FC7"/>
    <w:rsid w:val="00A55569"/>
    <w:rsid w:val="00A56580"/>
    <w:rsid w:val="00A566A0"/>
    <w:rsid w:val="00A601E7"/>
    <w:rsid w:val="00A60AC1"/>
    <w:rsid w:val="00A60ED1"/>
    <w:rsid w:val="00A61163"/>
    <w:rsid w:val="00A61806"/>
    <w:rsid w:val="00A618EC"/>
    <w:rsid w:val="00A626FF"/>
    <w:rsid w:val="00A62CE1"/>
    <w:rsid w:val="00A6334E"/>
    <w:rsid w:val="00A651FD"/>
    <w:rsid w:val="00A65469"/>
    <w:rsid w:val="00A65528"/>
    <w:rsid w:val="00A655D3"/>
    <w:rsid w:val="00A65A80"/>
    <w:rsid w:val="00A662D9"/>
    <w:rsid w:val="00A6741E"/>
    <w:rsid w:val="00A67E29"/>
    <w:rsid w:val="00A7016A"/>
    <w:rsid w:val="00A7018D"/>
    <w:rsid w:val="00A71462"/>
    <w:rsid w:val="00A7191D"/>
    <w:rsid w:val="00A71EEF"/>
    <w:rsid w:val="00A722F9"/>
    <w:rsid w:val="00A72D42"/>
    <w:rsid w:val="00A746C9"/>
    <w:rsid w:val="00A74C2A"/>
    <w:rsid w:val="00A75E40"/>
    <w:rsid w:val="00A76818"/>
    <w:rsid w:val="00A77D1D"/>
    <w:rsid w:val="00A80466"/>
    <w:rsid w:val="00A81652"/>
    <w:rsid w:val="00A82C91"/>
    <w:rsid w:val="00A83150"/>
    <w:rsid w:val="00A83398"/>
    <w:rsid w:val="00A83D6E"/>
    <w:rsid w:val="00A83FD5"/>
    <w:rsid w:val="00A8521A"/>
    <w:rsid w:val="00A857C0"/>
    <w:rsid w:val="00A8583B"/>
    <w:rsid w:val="00A85ACB"/>
    <w:rsid w:val="00A87253"/>
    <w:rsid w:val="00A874B0"/>
    <w:rsid w:val="00A90F2C"/>
    <w:rsid w:val="00A90FED"/>
    <w:rsid w:val="00A91482"/>
    <w:rsid w:val="00A91500"/>
    <w:rsid w:val="00A9189D"/>
    <w:rsid w:val="00A91B74"/>
    <w:rsid w:val="00A91E71"/>
    <w:rsid w:val="00A925B1"/>
    <w:rsid w:val="00A92921"/>
    <w:rsid w:val="00A92A3E"/>
    <w:rsid w:val="00A934F9"/>
    <w:rsid w:val="00A940E3"/>
    <w:rsid w:val="00A94983"/>
    <w:rsid w:val="00A94A2D"/>
    <w:rsid w:val="00A95F1A"/>
    <w:rsid w:val="00A96116"/>
    <w:rsid w:val="00A9614E"/>
    <w:rsid w:val="00A96422"/>
    <w:rsid w:val="00A96C0F"/>
    <w:rsid w:val="00A974A6"/>
    <w:rsid w:val="00A97B50"/>
    <w:rsid w:val="00AA0E80"/>
    <w:rsid w:val="00AA17CD"/>
    <w:rsid w:val="00AA1D85"/>
    <w:rsid w:val="00AA212F"/>
    <w:rsid w:val="00AA26A9"/>
    <w:rsid w:val="00AA2996"/>
    <w:rsid w:val="00AA2AF4"/>
    <w:rsid w:val="00AA4282"/>
    <w:rsid w:val="00AA4790"/>
    <w:rsid w:val="00AA51F5"/>
    <w:rsid w:val="00AA52BF"/>
    <w:rsid w:val="00AA559A"/>
    <w:rsid w:val="00AA5D84"/>
    <w:rsid w:val="00AA6C31"/>
    <w:rsid w:val="00AA7046"/>
    <w:rsid w:val="00AA7752"/>
    <w:rsid w:val="00AA7CE8"/>
    <w:rsid w:val="00AB1457"/>
    <w:rsid w:val="00AB2AF1"/>
    <w:rsid w:val="00AB32AF"/>
    <w:rsid w:val="00AB3B20"/>
    <w:rsid w:val="00AB3EC7"/>
    <w:rsid w:val="00AB5A64"/>
    <w:rsid w:val="00AB5CA1"/>
    <w:rsid w:val="00AB5DBC"/>
    <w:rsid w:val="00AB6456"/>
    <w:rsid w:val="00AB75C5"/>
    <w:rsid w:val="00AB7D4B"/>
    <w:rsid w:val="00AC044E"/>
    <w:rsid w:val="00AC0913"/>
    <w:rsid w:val="00AC0B28"/>
    <w:rsid w:val="00AC2118"/>
    <w:rsid w:val="00AC2395"/>
    <w:rsid w:val="00AC2960"/>
    <w:rsid w:val="00AC2AC4"/>
    <w:rsid w:val="00AC4284"/>
    <w:rsid w:val="00AC445B"/>
    <w:rsid w:val="00AC4499"/>
    <w:rsid w:val="00AC45BD"/>
    <w:rsid w:val="00AC50BB"/>
    <w:rsid w:val="00AC5663"/>
    <w:rsid w:val="00AC6FFE"/>
    <w:rsid w:val="00AD0B22"/>
    <w:rsid w:val="00AD0EE7"/>
    <w:rsid w:val="00AD168E"/>
    <w:rsid w:val="00AD1900"/>
    <w:rsid w:val="00AD306C"/>
    <w:rsid w:val="00AD44CD"/>
    <w:rsid w:val="00AD5AD2"/>
    <w:rsid w:val="00AD6462"/>
    <w:rsid w:val="00AD66C5"/>
    <w:rsid w:val="00AD68C4"/>
    <w:rsid w:val="00AD71F9"/>
    <w:rsid w:val="00AE09B3"/>
    <w:rsid w:val="00AE16CB"/>
    <w:rsid w:val="00AE1A83"/>
    <w:rsid w:val="00AE1C48"/>
    <w:rsid w:val="00AE1EA7"/>
    <w:rsid w:val="00AE30BE"/>
    <w:rsid w:val="00AE3E6A"/>
    <w:rsid w:val="00AE3EC2"/>
    <w:rsid w:val="00AE52F6"/>
    <w:rsid w:val="00AE5625"/>
    <w:rsid w:val="00AE6414"/>
    <w:rsid w:val="00AE7269"/>
    <w:rsid w:val="00AE797C"/>
    <w:rsid w:val="00AE7CE7"/>
    <w:rsid w:val="00AE7FAB"/>
    <w:rsid w:val="00AF086A"/>
    <w:rsid w:val="00AF0DE4"/>
    <w:rsid w:val="00AF136B"/>
    <w:rsid w:val="00AF1475"/>
    <w:rsid w:val="00AF1E87"/>
    <w:rsid w:val="00AF2A55"/>
    <w:rsid w:val="00AF436B"/>
    <w:rsid w:val="00AF5179"/>
    <w:rsid w:val="00AF5CC2"/>
    <w:rsid w:val="00AF6776"/>
    <w:rsid w:val="00AF6F98"/>
    <w:rsid w:val="00B00913"/>
    <w:rsid w:val="00B01593"/>
    <w:rsid w:val="00B01FF9"/>
    <w:rsid w:val="00B023F2"/>
    <w:rsid w:val="00B038CA"/>
    <w:rsid w:val="00B0656A"/>
    <w:rsid w:val="00B06DB4"/>
    <w:rsid w:val="00B0750D"/>
    <w:rsid w:val="00B0799C"/>
    <w:rsid w:val="00B07EF7"/>
    <w:rsid w:val="00B102CE"/>
    <w:rsid w:val="00B10A4D"/>
    <w:rsid w:val="00B10C90"/>
    <w:rsid w:val="00B11002"/>
    <w:rsid w:val="00B1114F"/>
    <w:rsid w:val="00B121B2"/>
    <w:rsid w:val="00B141B6"/>
    <w:rsid w:val="00B14BC1"/>
    <w:rsid w:val="00B15104"/>
    <w:rsid w:val="00B1576B"/>
    <w:rsid w:val="00B16DD1"/>
    <w:rsid w:val="00B16EB8"/>
    <w:rsid w:val="00B17E71"/>
    <w:rsid w:val="00B17FDE"/>
    <w:rsid w:val="00B20632"/>
    <w:rsid w:val="00B2379C"/>
    <w:rsid w:val="00B23D5D"/>
    <w:rsid w:val="00B250B5"/>
    <w:rsid w:val="00B2687D"/>
    <w:rsid w:val="00B27789"/>
    <w:rsid w:val="00B27BF6"/>
    <w:rsid w:val="00B3045A"/>
    <w:rsid w:val="00B3108D"/>
    <w:rsid w:val="00B32DDB"/>
    <w:rsid w:val="00B32F57"/>
    <w:rsid w:val="00B3345C"/>
    <w:rsid w:val="00B34528"/>
    <w:rsid w:val="00B34CC9"/>
    <w:rsid w:val="00B3563B"/>
    <w:rsid w:val="00B36295"/>
    <w:rsid w:val="00B36BDC"/>
    <w:rsid w:val="00B37D3A"/>
    <w:rsid w:val="00B37D96"/>
    <w:rsid w:val="00B402FC"/>
    <w:rsid w:val="00B41ACD"/>
    <w:rsid w:val="00B422E2"/>
    <w:rsid w:val="00B42BA9"/>
    <w:rsid w:val="00B42D5F"/>
    <w:rsid w:val="00B43216"/>
    <w:rsid w:val="00B439DA"/>
    <w:rsid w:val="00B4411A"/>
    <w:rsid w:val="00B449BE"/>
    <w:rsid w:val="00B454C0"/>
    <w:rsid w:val="00B45FE8"/>
    <w:rsid w:val="00B46604"/>
    <w:rsid w:val="00B47089"/>
    <w:rsid w:val="00B471A7"/>
    <w:rsid w:val="00B47587"/>
    <w:rsid w:val="00B47EE4"/>
    <w:rsid w:val="00B51BF7"/>
    <w:rsid w:val="00B51E3B"/>
    <w:rsid w:val="00B52151"/>
    <w:rsid w:val="00B521D9"/>
    <w:rsid w:val="00B530CD"/>
    <w:rsid w:val="00B53C7D"/>
    <w:rsid w:val="00B53E56"/>
    <w:rsid w:val="00B55489"/>
    <w:rsid w:val="00B55A97"/>
    <w:rsid w:val="00B55F5E"/>
    <w:rsid w:val="00B5642C"/>
    <w:rsid w:val="00B5658D"/>
    <w:rsid w:val="00B56634"/>
    <w:rsid w:val="00B56B6F"/>
    <w:rsid w:val="00B5752E"/>
    <w:rsid w:val="00B60AC1"/>
    <w:rsid w:val="00B61C7A"/>
    <w:rsid w:val="00B61FF6"/>
    <w:rsid w:val="00B62316"/>
    <w:rsid w:val="00B63A11"/>
    <w:rsid w:val="00B64425"/>
    <w:rsid w:val="00B64C24"/>
    <w:rsid w:val="00B65CEF"/>
    <w:rsid w:val="00B6608F"/>
    <w:rsid w:val="00B67749"/>
    <w:rsid w:val="00B679FB"/>
    <w:rsid w:val="00B7026F"/>
    <w:rsid w:val="00B707CD"/>
    <w:rsid w:val="00B70BC0"/>
    <w:rsid w:val="00B71FBF"/>
    <w:rsid w:val="00B734A0"/>
    <w:rsid w:val="00B73A14"/>
    <w:rsid w:val="00B748BD"/>
    <w:rsid w:val="00B75D32"/>
    <w:rsid w:val="00B75E68"/>
    <w:rsid w:val="00B7680F"/>
    <w:rsid w:val="00B76B48"/>
    <w:rsid w:val="00B76D1E"/>
    <w:rsid w:val="00B77543"/>
    <w:rsid w:val="00B77584"/>
    <w:rsid w:val="00B77EE9"/>
    <w:rsid w:val="00B80EC6"/>
    <w:rsid w:val="00B81288"/>
    <w:rsid w:val="00B81D70"/>
    <w:rsid w:val="00B833B9"/>
    <w:rsid w:val="00B83E07"/>
    <w:rsid w:val="00B84CF6"/>
    <w:rsid w:val="00B85016"/>
    <w:rsid w:val="00B8561A"/>
    <w:rsid w:val="00B86643"/>
    <w:rsid w:val="00B868F7"/>
    <w:rsid w:val="00B87CD4"/>
    <w:rsid w:val="00B90131"/>
    <w:rsid w:val="00B92951"/>
    <w:rsid w:val="00B92D1D"/>
    <w:rsid w:val="00B92D7E"/>
    <w:rsid w:val="00B930CE"/>
    <w:rsid w:val="00B936FD"/>
    <w:rsid w:val="00B938C5"/>
    <w:rsid w:val="00B940A8"/>
    <w:rsid w:val="00B9554A"/>
    <w:rsid w:val="00B95940"/>
    <w:rsid w:val="00B95ACA"/>
    <w:rsid w:val="00B96C06"/>
    <w:rsid w:val="00B97281"/>
    <w:rsid w:val="00B97ACC"/>
    <w:rsid w:val="00B97FE2"/>
    <w:rsid w:val="00BA0E0B"/>
    <w:rsid w:val="00BA201A"/>
    <w:rsid w:val="00BA3787"/>
    <w:rsid w:val="00BA4633"/>
    <w:rsid w:val="00BA46E8"/>
    <w:rsid w:val="00BA4E19"/>
    <w:rsid w:val="00BA6436"/>
    <w:rsid w:val="00BA64F2"/>
    <w:rsid w:val="00BA684E"/>
    <w:rsid w:val="00BA6C2B"/>
    <w:rsid w:val="00BA7B64"/>
    <w:rsid w:val="00BB02A3"/>
    <w:rsid w:val="00BB0351"/>
    <w:rsid w:val="00BB15C3"/>
    <w:rsid w:val="00BB1AF4"/>
    <w:rsid w:val="00BB2202"/>
    <w:rsid w:val="00BB366D"/>
    <w:rsid w:val="00BB3C6B"/>
    <w:rsid w:val="00BB3FD6"/>
    <w:rsid w:val="00BB453F"/>
    <w:rsid w:val="00BB46F3"/>
    <w:rsid w:val="00BB4A71"/>
    <w:rsid w:val="00BB4CB1"/>
    <w:rsid w:val="00BB4F98"/>
    <w:rsid w:val="00BB50E6"/>
    <w:rsid w:val="00BB5AB2"/>
    <w:rsid w:val="00BB5ABF"/>
    <w:rsid w:val="00BB6EA2"/>
    <w:rsid w:val="00BB7B5B"/>
    <w:rsid w:val="00BB7C58"/>
    <w:rsid w:val="00BB7EB1"/>
    <w:rsid w:val="00BC003F"/>
    <w:rsid w:val="00BC01C6"/>
    <w:rsid w:val="00BC0930"/>
    <w:rsid w:val="00BC327F"/>
    <w:rsid w:val="00BC3512"/>
    <w:rsid w:val="00BC50BE"/>
    <w:rsid w:val="00BC5332"/>
    <w:rsid w:val="00BC5715"/>
    <w:rsid w:val="00BC5C12"/>
    <w:rsid w:val="00BC66E7"/>
    <w:rsid w:val="00BC7154"/>
    <w:rsid w:val="00BC731E"/>
    <w:rsid w:val="00BC7614"/>
    <w:rsid w:val="00BC7675"/>
    <w:rsid w:val="00BD25BB"/>
    <w:rsid w:val="00BD2AF8"/>
    <w:rsid w:val="00BD366B"/>
    <w:rsid w:val="00BD3C09"/>
    <w:rsid w:val="00BD3F9C"/>
    <w:rsid w:val="00BD410B"/>
    <w:rsid w:val="00BD4A73"/>
    <w:rsid w:val="00BD690C"/>
    <w:rsid w:val="00BD6C75"/>
    <w:rsid w:val="00BD6D50"/>
    <w:rsid w:val="00BD6EF4"/>
    <w:rsid w:val="00BD73D2"/>
    <w:rsid w:val="00BD7D42"/>
    <w:rsid w:val="00BE0AD1"/>
    <w:rsid w:val="00BE0EF9"/>
    <w:rsid w:val="00BE10A1"/>
    <w:rsid w:val="00BE18B9"/>
    <w:rsid w:val="00BE190A"/>
    <w:rsid w:val="00BE1E6C"/>
    <w:rsid w:val="00BE2495"/>
    <w:rsid w:val="00BE24DD"/>
    <w:rsid w:val="00BE386D"/>
    <w:rsid w:val="00BE49D8"/>
    <w:rsid w:val="00BE557B"/>
    <w:rsid w:val="00BE7305"/>
    <w:rsid w:val="00BE74D1"/>
    <w:rsid w:val="00BE7F5F"/>
    <w:rsid w:val="00BF02C8"/>
    <w:rsid w:val="00BF1578"/>
    <w:rsid w:val="00BF15CA"/>
    <w:rsid w:val="00BF1D12"/>
    <w:rsid w:val="00BF1D3A"/>
    <w:rsid w:val="00BF26AA"/>
    <w:rsid w:val="00BF2B5B"/>
    <w:rsid w:val="00BF2D41"/>
    <w:rsid w:val="00BF3274"/>
    <w:rsid w:val="00BF32DC"/>
    <w:rsid w:val="00BF4329"/>
    <w:rsid w:val="00BF4870"/>
    <w:rsid w:val="00BF4E43"/>
    <w:rsid w:val="00BF5C4C"/>
    <w:rsid w:val="00BF72AC"/>
    <w:rsid w:val="00BF77FC"/>
    <w:rsid w:val="00C0015C"/>
    <w:rsid w:val="00C006D6"/>
    <w:rsid w:val="00C00BD7"/>
    <w:rsid w:val="00C00C4D"/>
    <w:rsid w:val="00C01410"/>
    <w:rsid w:val="00C0171C"/>
    <w:rsid w:val="00C037B3"/>
    <w:rsid w:val="00C0475A"/>
    <w:rsid w:val="00C04B78"/>
    <w:rsid w:val="00C052AA"/>
    <w:rsid w:val="00C06EE3"/>
    <w:rsid w:val="00C07749"/>
    <w:rsid w:val="00C111AE"/>
    <w:rsid w:val="00C11244"/>
    <w:rsid w:val="00C11D48"/>
    <w:rsid w:val="00C1229A"/>
    <w:rsid w:val="00C1493E"/>
    <w:rsid w:val="00C158AD"/>
    <w:rsid w:val="00C15DBD"/>
    <w:rsid w:val="00C17F7D"/>
    <w:rsid w:val="00C2010D"/>
    <w:rsid w:val="00C20CB5"/>
    <w:rsid w:val="00C21430"/>
    <w:rsid w:val="00C216DF"/>
    <w:rsid w:val="00C21E61"/>
    <w:rsid w:val="00C21F94"/>
    <w:rsid w:val="00C2211E"/>
    <w:rsid w:val="00C22389"/>
    <w:rsid w:val="00C227D7"/>
    <w:rsid w:val="00C234DB"/>
    <w:rsid w:val="00C24348"/>
    <w:rsid w:val="00C2479A"/>
    <w:rsid w:val="00C24903"/>
    <w:rsid w:val="00C2590D"/>
    <w:rsid w:val="00C25C47"/>
    <w:rsid w:val="00C25D9C"/>
    <w:rsid w:val="00C27913"/>
    <w:rsid w:val="00C300E2"/>
    <w:rsid w:val="00C31F21"/>
    <w:rsid w:val="00C32631"/>
    <w:rsid w:val="00C33301"/>
    <w:rsid w:val="00C33311"/>
    <w:rsid w:val="00C33B68"/>
    <w:rsid w:val="00C33E38"/>
    <w:rsid w:val="00C33F11"/>
    <w:rsid w:val="00C3526D"/>
    <w:rsid w:val="00C35570"/>
    <w:rsid w:val="00C35A2A"/>
    <w:rsid w:val="00C36A79"/>
    <w:rsid w:val="00C401A9"/>
    <w:rsid w:val="00C401D2"/>
    <w:rsid w:val="00C4031A"/>
    <w:rsid w:val="00C405D4"/>
    <w:rsid w:val="00C41285"/>
    <w:rsid w:val="00C41843"/>
    <w:rsid w:val="00C419D5"/>
    <w:rsid w:val="00C41D54"/>
    <w:rsid w:val="00C42EBB"/>
    <w:rsid w:val="00C4513B"/>
    <w:rsid w:val="00C459C6"/>
    <w:rsid w:val="00C46B65"/>
    <w:rsid w:val="00C4738E"/>
    <w:rsid w:val="00C475E8"/>
    <w:rsid w:val="00C50E79"/>
    <w:rsid w:val="00C5197D"/>
    <w:rsid w:val="00C525FB"/>
    <w:rsid w:val="00C52A14"/>
    <w:rsid w:val="00C52F21"/>
    <w:rsid w:val="00C5390B"/>
    <w:rsid w:val="00C54257"/>
    <w:rsid w:val="00C54697"/>
    <w:rsid w:val="00C550CE"/>
    <w:rsid w:val="00C553A5"/>
    <w:rsid w:val="00C55402"/>
    <w:rsid w:val="00C55FC5"/>
    <w:rsid w:val="00C5603B"/>
    <w:rsid w:val="00C600F0"/>
    <w:rsid w:val="00C61D09"/>
    <w:rsid w:val="00C61F47"/>
    <w:rsid w:val="00C62423"/>
    <w:rsid w:val="00C62828"/>
    <w:rsid w:val="00C642DC"/>
    <w:rsid w:val="00C670E5"/>
    <w:rsid w:val="00C715CC"/>
    <w:rsid w:val="00C719A3"/>
    <w:rsid w:val="00C71D2F"/>
    <w:rsid w:val="00C72984"/>
    <w:rsid w:val="00C72FA6"/>
    <w:rsid w:val="00C73885"/>
    <w:rsid w:val="00C73C93"/>
    <w:rsid w:val="00C73CA9"/>
    <w:rsid w:val="00C7435A"/>
    <w:rsid w:val="00C747B1"/>
    <w:rsid w:val="00C74A57"/>
    <w:rsid w:val="00C75510"/>
    <w:rsid w:val="00C755F9"/>
    <w:rsid w:val="00C75752"/>
    <w:rsid w:val="00C770C9"/>
    <w:rsid w:val="00C77B27"/>
    <w:rsid w:val="00C81070"/>
    <w:rsid w:val="00C8174E"/>
    <w:rsid w:val="00C82191"/>
    <w:rsid w:val="00C82E69"/>
    <w:rsid w:val="00C83134"/>
    <w:rsid w:val="00C831E7"/>
    <w:rsid w:val="00C832F3"/>
    <w:rsid w:val="00C845A4"/>
    <w:rsid w:val="00C85545"/>
    <w:rsid w:val="00C855B5"/>
    <w:rsid w:val="00C85F0E"/>
    <w:rsid w:val="00C8753B"/>
    <w:rsid w:val="00C90570"/>
    <w:rsid w:val="00C90CF4"/>
    <w:rsid w:val="00C91C20"/>
    <w:rsid w:val="00C922DE"/>
    <w:rsid w:val="00C92843"/>
    <w:rsid w:val="00C92EB6"/>
    <w:rsid w:val="00C93389"/>
    <w:rsid w:val="00C948E6"/>
    <w:rsid w:val="00C94CDD"/>
    <w:rsid w:val="00C96268"/>
    <w:rsid w:val="00C97588"/>
    <w:rsid w:val="00CA0346"/>
    <w:rsid w:val="00CA1BD6"/>
    <w:rsid w:val="00CA240C"/>
    <w:rsid w:val="00CA2A97"/>
    <w:rsid w:val="00CA37FF"/>
    <w:rsid w:val="00CA4008"/>
    <w:rsid w:val="00CA423A"/>
    <w:rsid w:val="00CA47BC"/>
    <w:rsid w:val="00CA561A"/>
    <w:rsid w:val="00CA5EAD"/>
    <w:rsid w:val="00CA6AB4"/>
    <w:rsid w:val="00CA7255"/>
    <w:rsid w:val="00CB1BEE"/>
    <w:rsid w:val="00CB2351"/>
    <w:rsid w:val="00CB4930"/>
    <w:rsid w:val="00CB4BA9"/>
    <w:rsid w:val="00CB4C63"/>
    <w:rsid w:val="00CB5A48"/>
    <w:rsid w:val="00CB5E10"/>
    <w:rsid w:val="00CB613B"/>
    <w:rsid w:val="00CB6152"/>
    <w:rsid w:val="00CB64E1"/>
    <w:rsid w:val="00CB6E4D"/>
    <w:rsid w:val="00CC057E"/>
    <w:rsid w:val="00CC0834"/>
    <w:rsid w:val="00CC0F4E"/>
    <w:rsid w:val="00CC20FE"/>
    <w:rsid w:val="00CC2E7D"/>
    <w:rsid w:val="00CC4FD0"/>
    <w:rsid w:val="00CC612B"/>
    <w:rsid w:val="00CC655F"/>
    <w:rsid w:val="00CC66F9"/>
    <w:rsid w:val="00CC6C2A"/>
    <w:rsid w:val="00CC6F0F"/>
    <w:rsid w:val="00CC6FE5"/>
    <w:rsid w:val="00CC7458"/>
    <w:rsid w:val="00CC76BD"/>
    <w:rsid w:val="00CC7A87"/>
    <w:rsid w:val="00CD074C"/>
    <w:rsid w:val="00CD10A5"/>
    <w:rsid w:val="00CD1129"/>
    <w:rsid w:val="00CD1A80"/>
    <w:rsid w:val="00CD1CB5"/>
    <w:rsid w:val="00CD2076"/>
    <w:rsid w:val="00CD24CE"/>
    <w:rsid w:val="00CD29B5"/>
    <w:rsid w:val="00CD2B78"/>
    <w:rsid w:val="00CD3FAB"/>
    <w:rsid w:val="00CD5456"/>
    <w:rsid w:val="00CD5C3E"/>
    <w:rsid w:val="00CD6331"/>
    <w:rsid w:val="00CE06B5"/>
    <w:rsid w:val="00CE14BE"/>
    <w:rsid w:val="00CE17A4"/>
    <w:rsid w:val="00CE1BA9"/>
    <w:rsid w:val="00CE2D8F"/>
    <w:rsid w:val="00CE3E48"/>
    <w:rsid w:val="00CE470E"/>
    <w:rsid w:val="00CE47B8"/>
    <w:rsid w:val="00CE54C3"/>
    <w:rsid w:val="00CE62FA"/>
    <w:rsid w:val="00CE670B"/>
    <w:rsid w:val="00CE6833"/>
    <w:rsid w:val="00CE6AAA"/>
    <w:rsid w:val="00CE739F"/>
    <w:rsid w:val="00CF020B"/>
    <w:rsid w:val="00CF16CF"/>
    <w:rsid w:val="00CF2E4D"/>
    <w:rsid w:val="00CF4205"/>
    <w:rsid w:val="00CF4908"/>
    <w:rsid w:val="00CF51EC"/>
    <w:rsid w:val="00CF545D"/>
    <w:rsid w:val="00CF5873"/>
    <w:rsid w:val="00CF6F9C"/>
    <w:rsid w:val="00CF73AE"/>
    <w:rsid w:val="00CF7777"/>
    <w:rsid w:val="00D00052"/>
    <w:rsid w:val="00D0085A"/>
    <w:rsid w:val="00D0197F"/>
    <w:rsid w:val="00D01B31"/>
    <w:rsid w:val="00D0242D"/>
    <w:rsid w:val="00D02716"/>
    <w:rsid w:val="00D03A72"/>
    <w:rsid w:val="00D040DD"/>
    <w:rsid w:val="00D04134"/>
    <w:rsid w:val="00D05C65"/>
    <w:rsid w:val="00D0639F"/>
    <w:rsid w:val="00D063BE"/>
    <w:rsid w:val="00D06B56"/>
    <w:rsid w:val="00D06D68"/>
    <w:rsid w:val="00D075BE"/>
    <w:rsid w:val="00D07AFF"/>
    <w:rsid w:val="00D10A75"/>
    <w:rsid w:val="00D10C15"/>
    <w:rsid w:val="00D10F2A"/>
    <w:rsid w:val="00D11476"/>
    <w:rsid w:val="00D12949"/>
    <w:rsid w:val="00D12C25"/>
    <w:rsid w:val="00D133B4"/>
    <w:rsid w:val="00D13986"/>
    <w:rsid w:val="00D14C12"/>
    <w:rsid w:val="00D14C5B"/>
    <w:rsid w:val="00D15B29"/>
    <w:rsid w:val="00D15FED"/>
    <w:rsid w:val="00D16712"/>
    <w:rsid w:val="00D20078"/>
    <w:rsid w:val="00D20A3B"/>
    <w:rsid w:val="00D214EF"/>
    <w:rsid w:val="00D215B0"/>
    <w:rsid w:val="00D21D6D"/>
    <w:rsid w:val="00D21D83"/>
    <w:rsid w:val="00D2223F"/>
    <w:rsid w:val="00D235B7"/>
    <w:rsid w:val="00D23B76"/>
    <w:rsid w:val="00D23FAE"/>
    <w:rsid w:val="00D25F28"/>
    <w:rsid w:val="00D26071"/>
    <w:rsid w:val="00D269B9"/>
    <w:rsid w:val="00D27973"/>
    <w:rsid w:val="00D27F3A"/>
    <w:rsid w:val="00D31537"/>
    <w:rsid w:val="00D31E1E"/>
    <w:rsid w:val="00D322A0"/>
    <w:rsid w:val="00D32377"/>
    <w:rsid w:val="00D32824"/>
    <w:rsid w:val="00D33478"/>
    <w:rsid w:val="00D334E2"/>
    <w:rsid w:val="00D350B1"/>
    <w:rsid w:val="00D35AD6"/>
    <w:rsid w:val="00D35BBB"/>
    <w:rsid w:val="00D35E1A"/>
    <w:rsid w:val="00D36308"/>
    <w:rsid w:val="00D368ED"/>
    <w:rsid w:val="00D36B0A"/>
    <w:rsid w:val="00D36DFB"/>
    <w:rsid w:val="00D36E1C"/>
    <w:rsid w:val="00D37149"/>
    <w:rsid w:val="00D373AF"/>
    <w:rsid w:val="00D40556"/>
    <w:rsid w:val="00D41F74"/>
    <w:rsid w:val="00D428C8"/>
    <w:rsid w:val="00D43034"/>
    <w:rsid w:val="00D43ED2"/>
    <w:rsid w:val="00D50F46"/>
    <w:rsid w:val="00D51518"/>
    <w:rsid w:val="00D5384E"/>
    <w:rsid w:val="00D53DCB"/>
    <w:rsid w:val="00D544E7"/>
    <w:rsid w:val="00D5499F"/>
    <w:rsid w:val="00D5560A"/>
    <w:rsid w:val="00D569AA"/>
    <w:rsid w:val="00D56FBF"/>
    <w:rsid w:val="00D57677"/>
    <w:rsid w:val="00D5781F"/>
    <w:rsid w:val="00D57CF3"/>
    <w:rsid w:val="00D60415"/>
    <w:rsid w:val="00D60DDA"/>
    <w:rsid w:val="00D60E3C"/>
    <w:rsid w:val="00D60E76"/>
    <w:rsid w:val="00D61FAB"/>
    <w:rsid w:val="00D63BE5"/>
    <w:rsid w:val="00D6475F"/>
    <w:rsid w:val="00D661F3"/>
    <w:rsid w:val="00D66223"/>
    <w:rsid w:val="00D667B8"/>
    <w:rsid w:val="00D70289"/>
    <w:rsid w:val="00D70822"/>
    <w:rsid w:val="00D709DF"/>
    <w:rsid w:val="00D72076"/>
    <w:rsid w:val="00D726A9"/>
    <w:rsid w:val="00D72DBA"/>
    <w:rsid w:val="00D73307"/>
    <w:rsid w:val="00D743E0"/>
    <w:rsid w:val="00D74560"/>
    <w:rsid w:val="00D7490C"/>
    <w:rsid w:val="00D75AC1"/>
    <w:rsid w:val="00D76F0E"/>
    <w:rsid w:val="00D77252"/>
    <w:rsid w:val="00D8084C"/>
    <w:rsid w:val="00D81809"/>
    <w:rsid w:val="00D82D14"/>
    <w:rsid w:val="00D82EF1"/>
    <w:rsid w:val="00D84F43"/>
    <w:rsid w:val="00D85114"/>
    <w:rsid w:val="00D85196"/>
    <w:rsid w:val="00D85821"/>
    <w:rsid w:val="00D8598C"/>
    <w:rsid w:val="00D87C06"/>
    <w:rsid w:val="00D9149C"/>
    <w:rsid w:val="00D915EA"/>
    <w:rsid w:val="00D919ED"/>
    <w:rsid w:val="00D922A1"/>
    <w:rsid w:val="00D923EA"/>
    <w:rsid w:val="00D927D2"/>
    <w:rsid w:val="00D928BE"/>
    <w:rsid w:val="00D93D3C"/>
    <w:rsid w:val="00D94CA2"/>
    <w:rsid w:val="00D95302"/>
    <w:rsid w:val="00D953A3"/>
    <w:rsid w:val="00D95C5D"/>
    <w:rsid w:val="00D970F7"/>
    <w:rsid w:val="00D97D00"/>
    <w:rsid w:val="00DA0385"/>
    <w:rsid w:val="00DA096C"/>
    <w:rsid w:val="00DA1AB6"/>
    <w:rsid w:val="00DA232D"/>
    <w:rsid w:val="00DA2E65"/>
    <w:rsid w:val="00DA3ADF"/>
    <w:rsid w:val="00DA4174"/>
    <w:rsid w:val="00DA544C"/>
    <w:rsid w:val="00DA5F8E"/>
    <w:rsid w:val="00DA6364"/>
    <w:rsid w:val="00DA7114"/>
    <w:rsid w:val="00DA74F0"/>
    <w:rsid w:val="00DA7C0C"/>
    <w:rsid w:val="00DB03DD"/>
    <w:rsid w:val="00DB08A9"/>
    <w:rsid w:val="00DB0B87"/>
    <w:rsid w:val="00DB20A1"/>
    <w:rsid w:val="00DB2DFA"/>
    <w:rsid w:val="00DB2EC8"/>
    <w:rsid w:val="00DB321D"/>
    <w:rsid w:val="00DB459B"/>
    <w:rsid w:val="00DB47FD"/>
    <w:rsid w:val="00DB5E3A"/>
    <w:rsid w:val="00DB5E9A"/>
    <w:rsid w:val="00DB613B"/>
    <w:rsid w:val="00DB657E"/>
    <w:rsid w:val="00DB7342"/>
    <w:rsid w:val="00DB7489"/>
    <w:rsid w:val="00DC17D0"/>
    <w:rsid w:val="00DC1E31"/>
    <w:rsid w:val="00DC2B41"/>
    <w:rsid w:val="00DC3128"/>
    <w:rsid w:val="00DC435B"/>
    <w:rsid w:val="00DC4BE9"/>
    <w:rsid w:val="00DC53D8"/>
    <w:rsid w:val="00DC56FE"/>
    <w:rsid w:val="00DC5B3B"/>
    <w:rsid w:val="00DC690D"/>
    <w:rsid w:val="00DC6C2D"/>
    <w:rsid w:val="00DC7B1A"/>
    <w:rsid w:val="00DD02F3"/>
    <w:rsid w:val="00DD04B0"/>
    <w:rsid w:val="00DD129F"/>
    <w:rsid w:val="00DD12E4"/>
    <w:rsid w:val="00DD13FC"/>
    <w:rsid w:val="00DD1A3F"/>
    <w:rsid w:val="00DD1CA2"/>
    <w:rsid w:val="00DD2984"/>
    <w:rsid w:val="00DD29B5"/>
    <w:rsid w:val="00DD2BC9"/>
    <w:rsid w:val="00DD32DD"/>
    <w:rsid w:val="00DD33E8"/>
    <w:rsid w:val="00DD48CB"/>
    <w:rsid w:val="00DD5287"/>
    <w:rsid w:val="00DD5B36"/>
    <w:rsid w:val="00DD6621"/>
    <w:rsid w:val="00DD7849"/>
    <w:rsid w:val="00DE0D8B"/>
    <w:rsid w:val="00DE1237"/>
    <w:rsid w:val="00DE140F"/>
    <w:rsid w:val="00DE2491"/>
    <w:rsid w:val="00DE3CA3"/>
    <w:rsid w:val="00DE4DEE"/>
    <w:rsid w:val="00DE5CA6"/>
    <w:rsid w:val="00DE7AC8"/>
    <w:rsid w:val="00DF2C5D"/>
    <w:rsid w:val="00DF3643"/>
    <w:rsid w:val="00DF3770"/>
    <w:rsid w:val="00DF3845"/>
    <w:rsid w:val="00DF42FF"/>
    <w:rsid w:val="00DF4369"/>
    <w:rsid w:val="00DF4423"/>
    <w:rsid w:val="00DF448E"/>
    <w:rsid w:val="00DF4ADF"/>
    <w:rsid w:val="00DF566E"/>
    <w:rsid w:val="00DF5D1E"/>
    <w:rsid w:val="00DF724C"/>
    <w:rsid w:val="00DF77E4"/>
    <w:rsid w:val="00DF7F88"/>
    <w:rsid w:val="00E01965"/>
    <w:rsid w:val="00E01C0E"/>
    <w:rsid w:val="00E02E1F"/>
    <w:rsid w:val="00E0368F"/>
    <w:rsid w:val="00E037E9"/>
    <w:rsid w:val="00E03D73"/>
    <w:rsid w:val="00E03F9A"/>
    <w:rsid w:val="00E040DA"/>
    <w:rsid w:val="00E04694"/>
    <w:rsid w:val="00E1168B"/>
    <w:rsid w:val="00E12191"/>
    <w:rsid w:val="00E129E7"/>
    <w:rsid w:val="00E12ABE"/>
    <w:rsid w:val="00E12B1E"/>
    <w:rsid w:val="00E1444C"/>
    <w:rsid w:val="00E15DEE"/>
    <w:rsid w:val="00E17262"/>
    <w:rsid w:val="00E20016"/>
    <w:rsid w:val="00E2009B"/>
    <w:rsid w:val="00E20BB9"/>
    <w:rsid w:val="00E20BCC"/>
    <w:rsid w:val="00E2251C"/>
    <w:rsid w:val="00E2363D"/>
    <w:rsid w:val="00E23C6A"/>
    <w:rsid w:val="00E24694"/>
    <w:rsid w:val="00E2484B"/>
    <w:rsid w:val="00E25124"/>
    <w:rsid w:val="00E253A2"/>
    <w:rsid w:val="00E260F6"/>
    <w:rsid w:val="00E27127"/>
    <w:rsid w:val="00E27233"/>
    <w:rsid w:val="00E30F15"/>
    <w:rsid w:val="00E31771"/>
    <w:rsid w:val="00E3186D"/>
    <w:rsid w:val="00E31A3E"/>
    <w:rsid w:val="00E32080"/>
    <w:rsid w:val="00E3309D"/>
    <w:rsid w:val="00E350B1"/>
    <w:rsid w:val="00E35576"/>
    <w:rsid w:val="00E35A53"/>
    <w:rsid w:val="00E35EFD"/>
    <w:rsid w:val="00E3656B"/>
    <w:rsid w:val="00E3724A"/>
    <w:rsid w:val="00E37460"/>
    <w:rsid w:val="00E378B1"/>
    <w:rsid w:val="00E41066"/>
    <w:rsid w:val="00E417BE"/>
    <w:rsid w:val="00E41CD5"/>
    <w:rsid w:val="00E42054"/>
    <w:rsid w:val="00E4372D"/>
    <w:rsid w:val="00E43A9E"/>
    <w:rsid w:val="00E44243"/>
    <w:rsid w:val="00E4483B"/>
    <w:rsid w:val="00E44BA7"/>
    <w:rsid w:val="00E453F9"/>
    <w:rsid w:val="00E45D7D"/>
    <w:rsid w:val="00E4623F"/>
    <w:rsid w:val="00E4665D"/>
    <w:rsid w:val="00E47854"/>
    <w:rsid w:val="00E47EBA"/>
    <w:rsid w:val="00E50156"/>
    <w:rsid w:val="00E504EB"/>
    <w:rsid w:val="00E5076C"/>
    <w:rsid w:val="00E50D2E"/>
    <w:rsid w:val="00E50D7D"/>
    <w:rsid w:val="00E533F2"/>
    <w:rsid w:val="00E53470"/>
    <w:rsid w:val="00E539F6"/>
    <w:rsid w:val="00E545E3"/>
    <w:rsid w:val="00E54698"/>
    <w:rsid w:val="00E54FB4"/>
    <w:rsid w:val="00E5539A"/>
    <w:rsid w:val="00E55791"/>
    <w:rsid w:val="00E55E1A"/>
    <w:rsid w:val="00E574D2"/>
    <w:rsid w:val="00E575F9"/>
    <w:rsid w:val="00E578A2"/>
    <w:rsid w:val="00E60043"/>
    <w:rsid w:val="00E60BB1"/>
    <w:rsid w:val="00E6130F"/>
    <w:rsid w:val="00E61740"/>
    <w:rsid w:val="00E61EB5"/>
    <w:rsid w:val="00E6324D"/>
    <w:rsid w:val="00E65084"/>
    <w:rsid w:val="00E6519D"/>
    <w:rsid w:val="00E66062"/>
    <w:rsid w:val="00E6660E"/>
    <w:rsid w:val="00E66768"/>
    <w:rsid w:val="00E67305"/>
    <w:rsid w:val="00E67696"/>
    <w:rsid w:val="00E67EDD"/>
    <w:rsid w:val="00E70C5F"/>
    <w:rsid w:val="00E71A58"/>
    <w:rsid w:val="00E72A26"/>
    <w:rsid w:val="00E72A7A"/>
    <w:rsid w:val="00E7335A"/>
    <w:rsid w:val="00E7467D"/>
    <w:rsid w:val="00E747DC"/>
    <w:rsid w:val="00E74A2D"/>
    <w:rsid w:val="00E74ACE"/>
    <w:rsid w:val="00E74C39"/>
    <w:rsid w:val="00E75C94"/>
    <w:rsid w:val="00E75EC8"/>
    <w:rsid w:val="00E76A08"/>
    <w:rsid w:val="00E76B9B"/>
    <w:rsid w:val="00E76E61"/>
    <w:rsid w:val="00E77CC0"/>
    <w:rsid w:val="00E8086E"/>
    <w:rsid w:val="00E80B3D"/>
    <w:rsid w:val="00E80CA3"/>
    <w:rsid w:val="00E82618"/>
    <w:rsid w:val="00E84DD0"/>
    <w:rsid w:val="00E84E09"/>
    <w:rsid w:val="00E90CA8"/>
    <w:rsid w:val="00E930A1"/>
    <w:rsid w:val="00E93820"/>
    <w:rsid w:val="00E94A86"/>
    <w:rsid w:val="00E953F6"/>
    <w:rsid w:val="00E96143"/>
    <w:rsid w:val="00E96833"/>
    <w:rsid w:val="00E97506"/>
    <w:rsid w:val="00E97BB5"/>
    <w:rsid w:val="00EA0C68"/>
    <w:rsid w:val="00EA1D0E"/>
    <w:rsid w:val="00EA2072"/>
    <w:rsid w:val="00EA2841"/>
    <w:rsid w:val="00EA312A"/>
    <w:rsid w:val="00EA32BC"/>
    <w:rsid w:val="00EA33F0"/>
    <w:rsid w:val="00EA35A7"/>
    <w:rsid w:val="00EA3B32"/>
    <w:rsid w:val="00EA3D05"/>
    <w:rsid w:val="00EA4402"/>
    <w:rsid w:val="00EA4B8D"/>
    <w:rsid w:val="00EA513E"/>
    <w:rsid w:val="00EA53D8"/>
    <w:rsid w:val="00EA7419"/>
    <w:rsid w:val="00EA77F1"/>
    <w:rsid w:val="00EB0E32"/>
    <w:rsid w:val="00EB1F3E"/>
    <w:rsid w:val="00EB2F3C"/>
    <w:rsid w:val="00EB2F55"/>
    <w:rsid w:val="00EB3B7B"/>
    <w:rsid w:val="00EB3E60"/>
    <w:rsid w:val="00EB4511"/>
    <w:rsid w:val="00EB48D7"/>
    <w:rsid w:val="00EB4A8E"/>
    <w:rsid w:val="00EB4BC5"/>
    <w:rsid w:val="00EB5BF7"/>
    <w:rsid w:val="00EB5E79"/>
    <w:rsid w:val="00EB6FAC"/>
    <w:rsid w:val="00EB7BAC"/>
    <w:rsid w:val="00EC03D7"/>
    <w:rsid w:val="00EC13A7"/>
    <w:rsid w:val="00EC2B75"/>
    <w:rsid w:val="00EC2EB6"/>
    <w:rsid w:val="00EC3C95"/>
    <w:rsid w:val="00EC5028"/>
    <w:rsid w:val="00EC6232"/>
    <w:rsid w:val="00ED0AB7"/>
    <w:rsid w:val="00ED0EF0"/>
    <w:rsid w:val="00ED12B9"/>
    <w:rsid w:val="00ED142F"/>
    <w:rsid w:val="00ED16B8"/>
    <w:rsid w:val="00ED1DF0"/>
    <w:rsid w:val="00ED2386"/>
    <w:rsid w:val="00ED2EA1"/>
    <w:rsid w:val="00ED3851"/>
    <w:rsid w:val="00ED3F10"/>
    <w:rsid w:val="00ED462A"/>
    <w:rsid w:val="00ED4D04"/>
    <w:rsid w:val="00ED566D"/>
    <w:rsid w:val="00ED5907"/>
    <w:rsid w:val="00ED5F5B"/>
    <w:rsid w:val="00ED62C6"/>
    <w:rsid w:val="00ED64C1"/>
    <w:rsid w:val="00ED6967"/>
    <w:rsid w:val="00ED7705"/>
    <w:rsid w:val="00ED781F"/>
    <w:rsid w:val="00EE2EB4"/>
    <w:rsid w:val="00EE3446"/>
    <w:rsid w:val="00EE3E78"/>
    <w:rsid w:val="00EE41FD"/>
    <w:rsid w:val="00EE460E"/>
    <w:rsid w:val="00EE4B1B"/>
    <w:rsid w:val="00EE5FBA"/>
    <w:rsid w:val="00EE6E06"/>
    <w:rsid w:val="00EE7179"/>
    <w:rsid w:val="00EE7A0B"/>
    <w:rsid w:val="00EF0B27"/>
    <w:rsid w:val="00EF0D90"/>
    <w:rsid w:val="00EF150D"/>
    <w:rsid w:val="00EF1F5A"/>
    <w:rsid w:val="00EF23B5"/>
    <w:rsid w:val="00EF25AD"/>
    <w:rsid w:val="00EF35EC"/>
    <w:rsid w:val="00EF3FCF"/>
    <w:rsid w:val="00EF406A"/>
    <w:rsid w:val="00EF47BF"/>
    <w:rsid w:val="00EF59B1"/>
    <w:rsid w:val="00EF5A13"/>
    <w:rsid w:val="00EF5FF9"/>
    <w:rsid w:val="00EF77D4"/>
    <w:rsid w:val="00EF7CC7"/>
    <w:rsid w:val="00F00853"/>
    <w:rsid w:val="00F00866"/>
    <w:rsid w:val="00F00EC8"/>
    <w:rsid w:val="00F013F0"/>
    <w:rsid w:val="00F0160B"/>
    <w:rsid w:val="00F0193E"/>
    <w:rsid w:val="00F03904"/>
    <w:rsid w:val="00F03E2F"/>
    <w:rsid w:val="00F03F8D"/>
    <w:rsid w:val="00F04181"/>
    <w:rsid w:val="00F04811"/>
    <w:rsid w:val="00F0488C"/>
    <w:rsid w:val="00F055B0"/>
    <w:rsid w:val="00F073ED"/>
    <w:rsid w:val="00F07C4C"/>
    <w:rsid w:val="00F10F11"/>
    <w:rsid w:val="00F11159"/>
    <w:rsid w:val="00F11574"/>
    <w:rsid w:val="00F115E4"/>
    <w:rsid w:val="00F12CFB"/>
    <w:rsid w:val="00F13E60"/>
    <w:rsid w:val="00F13FDB"/>
    <w:rsid w:val="00F15AAA"/>
    <w:rsid w:val="00F15BEF"/>
    <w:rsid w:val="00F17898"/>
    <w:rsid w:val="00F207C2"/>
    <w:rsid w:val="00F21337"/>
    <w:rsid w:val="00F219A1"/>
    <w:rsid w:val="00F23E20"/>
    <w:rsid w:val="00F24407"/>
    <w:rsid w:val="00F246B8"/>
    <w:rsid w:val="00F24FAA"/>
    <w:rsid w:val="00F25040"/>
    <w:rsid w:val="00F27071"/>
    <w:rsid w:val="00F27331"/>
    <w:rsid w:val="00F27EE5"/>
    <w:rsid w:val="00F27FB1"/>
    <w:rsid w:val="00F27FD6"/>
    <w:rsid w:val="00F307CB"/>
    <w:rsid w:val="00F30C65"/>
    <w:rsid w:val="00F31A7E"/>
    <w:rsid w:val="00F321D2"/>
    <w:rsid w:val="00F32649"/>
    <w:rsid w:val="00F32BC4"/>
    <w:rsid w:val="00F33523"/>
    <w:rsid w:val="00F3364D"/>
    <w:rsid w:val="00F33914"/>
    <w:rsid w:val="00F3394D"/>
    <w:rsid w:val="00F349BF"/>
    <w:rsid w:val="00F34DDC"/>
    <w:rsid w:val="00F35DD3"/>
    <w:rsid w:val="00F36191"/>
    <w:rsid w:val="00F3629F"/>
    <w:rsid w:val="00F36DF3"/>
    <w:rsid w:val="00F3729C"/>
    <w:rsid w:val="00F37C85"/>
    <w:rsid w:val="00F37EDC"/>
    <w:rsid w:val="00F405FD"/>
    <w:rsid w:val="00F437CC"/>
    <w:rsid w:val="00F44537"/>
    <w:rsid w:val="00F46185"/>
    <w:rsid w:val="00F46423"/>
    <w:rsid w:val="00F4696A"/>
    <w:rsid w:val="00F47067"/>
    <w:rsid w:val="00F47234"/>
    <w:rsid w:val="00F525AB"/>
    <w:rsid w:val="00F525EB"/>
    <w:rsid w:val="00F52CB5"/>
    <w:rsid w:val="00F53378"/>
    <w:rsid w:val="00F53A68"/>
    <w:rsid w:val="00F53ADD"/>
    <w:rsid w:val="00F54934"/>
    <w:rsid w:val="00F55A92"/>
    <w:rsid w:val="00F55E8F"/>
    <w:rsid w:val="00F609E0"/>
    <w:rsid w:val="00F6200A"/>
    <w:rsid w:val="00F623D6"/>
    <w:rsid w:val="00F62BFF"/>
    <w:rsid w:val="00F63AAE"/>
    <w:rsid w:val="00F63DDE"/>
    <w:rsid w:val="00F63FB7"/>
    <w:rsid w:val="00F6421B"/>
    <w:rsid w:val="00F647F1"/>
    <w:rsid w:val="00F649D2"/>
    <w:rsid w:val="00F64E62"/>
    <w:rsid w:val="00F6503C"/>
    <w:rsid w:val="00F6602B"/>
    <w:rsid w:val="00F7150B"/>
    <w:rsid w:val="00F717E4"/>
    <w:rsid w:val="00F71DE6"/>
    <w:rsid w:val="00F727F1"/>
    <w:rsid w:val="00F72D71"/>
    <w:rsid w:val="00F7381C"/>
    <w:rsid w:val="00F73A0C"/>
    <w:rsid w:val="00F7549F"/>
    <w:rsid w:val="00F756DB"/>
    <w:rsid w:val="00F75922"/>
    <w:rsid w:val="00F75CFE"/>
    <w:rsid w:val="00F767A8"/>
    <w:rsid w:val="00F82D14"/>
    <w:rsid w:val="00F83681"/>
    <w:rsid w:val="00F84E7D"/>
    <w:rsid w:val="00F85066"/>
    <w:rsid w:val="00F8508F"/>
    <w:rsid w:val="00F8628A"/>
    <w:rsid w:val="00F87A4D"/>
    <w:rsid w:val="00F93688"/>
    <w:rsid w:val="00F939F3"/>
    <w:rsid w:val="00F93C6E"/>
    <w:rsid w:val="00F93F2C"/>
    <w:rsid w:val="00F94F43"/>
    <w:rsid w:val="00F9644E"/>
    <w:rsid w:val="00F96FBA"/>
    <w:rsid w:val="00FA0105"/>
    <w:rsid w:val="00FA028A"/>
    <w:rsid w:val="00FA05A0"/>
    <w:rsid w:val="00FA08CD"/>
    <w:rsid w:val="00FA0AEF"/>
    <w:rsid w:val="00FA17CC"/>
    <w:rsid w:val="00FA1F01"/>
    <w:rsid w:val="00FA26DF"/>
    <w:rsid w:val="00FA2F80"/>
    <w:rsid w:val="00FA32BC"/>
    <w:rsid w:val="00FA4533"/>
    <w:rsid w:val="00FA48A4"/>
    <w:rsid w:val="00FA4CB7"/>
    <w:rsid w:val="00FA5112"/>
    <w:rsid w:val="00FA5526"/>
    <w:rsid w:val="00FA5D4D"/>
    <w:rsid w:val="00FA5F40"/>
    <w:rsid w:val="00FA6C9B"/>
    <w:rsid w:val="00FA6CB6"/>
    <w:rsid w:val="00FA70D3"/>
    <w:rsid w:val="00FA7AEC"/>
    <w:rsid w:val="00FB0AEA"/>
    <w:rsid w:val="00FB0EE2"/>
    <w:rsid w:val="00FB1A79"/>
    <w:rsid w:val="00FB1E86"/>
    <w:rsid w:val="00FB208B"/>
    <w:rsid w:val="00FB2B2D"/>
    <w:rsid w:val="00FB45E3"/>
    <w:rsid w:val="00FB4F7E"/>
    <w:rsid w:val="00FB542E"/>
    <w:rsid w:val="00FB564F"/>
    <w:rsid w:val="00FB5686"/>
    <w:rsid w:val="00FB7DBB"/>
    <w:rsid w:val="00FC05F8"/>
    <w:rsid w:val="00FC0E5F"/>
    <w:rsid w:val="00FC1266"/>
    <w:rsid w:val="00FC1A95"/>
    <w:rsid w:val="00FC1ED4"/>
    <w:rsid w:val="00FC2B38"/>
    <w:rsid w:val="00FC3BEC"/>
    <w:rsid w:val="00FC3E69"/>
    <w:rsid w:val="00FC4213"/>
    <w:rsid w:val="00FC440B"/>
    <w:rsid w:val="00FC56DE"/>
    <w:rsid w:val="00FC63D9"/>
    <w:rsid w:val="00FC64DE"/>
    <w:rsid w:val="00FC684B"/>
    <w:rsid w:val="00FC7D98"/>
    <w:rsid w:val="00FD1013"/>
    <w:rsid w:val="00FD1135"/>
    <w:rsid w:val="00FD1173"/>
    <w:rsid w:val="00FD3265"/>
    <w:rsid w:val="00FD3CF7"/>
    <w:rsid w:val="00FD4916"/>
    <w:rsid w:val="00FD4D12"/>
    <w:rsid w:val="00FD4F73"/>
    <w:rsid w:val="00FD595E"/>
    <w:rsid w:val="00FD6B56"/>
    <w:rsid w:val="00FD7802"/>
    <w:rsid w:val="00FE0A8A"/>
    <w:rsid w:val="00FE1F4B"/>
    <w:rsid w:val="00FE2537"/>
    <w:rsid w:val="00FE27C7"/>
    <w:rsid w:val="00FE2C7E"/>
    <w:rsid w:val="00FE2F78"/>
    <w:rsid w:val="00FE3137"/>
    <w:rsid w:val="00FE346B"/>
    <w:rsid w:val="00FE346F"/>
    <w:rsid w:val="00FE48E4"/>
    <w:rsid w:val="00FE5EC0"/>
    <w:rsid w:val="00FE634C"/>
    <w:rsid w:val="00FE6E69"/>
    <w:rsid w:val="00FE6F59"/>
    <w:rsid w:val="00FE7473"/>
    <w:rsid w:val="00FF01B6"/>
    <w:rsid w:val="00FF1136"/>
    <w:rsid w:val="00FF1532"/>
    <w:rsid w:val="00FF23BA"/>
    <w:rsid w:val="00FF29D8"/>
    <w:rsid w:val="00FF2C2C"/>
    <w:rsid w:val="00FF326A"/>
    <w:rsid w:val="00FF36E2"/>
    <w:rsid w:val="00FF3D76"/>
    <w:rsid w:val="00FF464B"/>
    <w:rsid w:val="00FF51B0"/>
    <w:rsid w:val="00FF5B8C"/>
    <w:rsid w:val="00FF63E6"/>
    <w:rsid w:val="00FF7632"/>
    <w:rsid w:val="00FF7B9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4EEB6EC"/>
  <w15:docId w15:val="{2A67D8E9-8FBF-4C12-89B2-1C890D69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764961210">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613050718">
      <w:bodyDiv w:val="1"/>
      <w:marLeft w:val="0"/>
      <w:marRight w:val="0"/>
      <w:marTop w:val="0"/>
      <w:marBottom w:val="0"/>
      <w:divBdr>
        <w:top w:val="none" w:sz="0" w:space="0" w:color="auto"/>
        <w:left w:val="none" w:sz="0" w:space="0" w:color="auto"/>
        <w:bottom w:val="none" w:sz="0" w:space="0" w:color="auto"/>
        <w:right w:val="none" w:sz="0" w:space="0" w:color="auto"/>
      </w:divBdr>
    </w:div>
    <w:div w:id="184026964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JKAM%20CSU\PUBLIKACE\PUBLIKACE\2020\Q-makro\ENGL-1.pololet&#237;\ENGL-Grafy-trh%20pr&#225;ce-rok-2020-1.po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JKAM%20CSU\PUBLIKACE\PUBLIKACE\2020\Q-makro\ENGL-1.pololet&#237;\ENGL-Grafy-trh%20pr&#225;ce-rok-2020-1.po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JKAM%20CSU\PUBLIKACE\PUBLIKACE\2020\Q-makro\ENGL-1.pololet&#237;\ENGL-Grafy-trh%20pr&#225;ce-rok-2020-1.po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3488731014312048E-2"/>
          <c:y val="1.6549886621315374E-2"/>
          <c:w val="0.83420125451377358"/>
          <c:h val="0.65992692395395358"/>
        </c:manualLayout>
      </c:layout>
      <c:barChart>
        <c:barDir val="col"/>
        <c:grouping val="stacked"/>
        <c:varyColors val="0"/>
        <c:ser>
          <c:idx val="0"/>
          <c:order val="0"/>
          <c:tx>
            <c:strRef>
              <c:f>'Trh práce 1'!$AC$7</c:f>
              <c:strCache>
                <c:ptCount val="1"/>
                <c:pt idx="0">
                  <c:v>Agriculture, forestry and fishing</c:v>
                </c:pt>
              </c:strCache>
            </c:strRef>
          </c:tx>
          <c:spPr>
            <a:solidFill>
              <a:srgbClr val="7DBB2D"/>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1'!$AC$8:$AC$49</c:f>
              <c:numCache>
                <c:formatCode>#\ ##0.0</c:formatCode>
                <c:ptCount val="42"/>
                <c:pt idx="0">
                  <c:v>-0.34801319299015127</c:v>
                </c:pt>
                <c:pt idx="1">
                  <c:v>-0.28304813186473832</c:v>
                </c:pt>
                <c:pt idx="2">
                  <c:v>-0.22867359271993312</c:v>
                </c:pt>
                <c:pt idx="3">
                  <c:v>-0.22614018757792589</c:v>
                </c:pt>
                <c:pt idx="4">
                  <c:v>0.24303647870326153</c:v>
                </c:pt>
                <c:pt idx="5">
                  <c:v>0.20714962121209438</c:v>
                </c:pt>
                <c:pt idx="6">
                  <c:v>0.15912159043479449</c:v>
                </c:pt>
                <c:pt idx="7">
                  <c:v>0.15468126765282239</c:v>
                </c:pt>
                <c:pt idx="8">
                  <c:v>-1.1722190046253984E-2</c:v>
                </c:pt>
                <c:pt idx="9">
                  <c:v>-2.2154046449452271E-2</c:v>
                </c:pt>
                <c:pt idx="10">
                  <c:v>1.1329788350838525E-2</c:v>
                </c:pt>
                <c:pt idx="11">
                  <c:v>2.4362123693615664E-2</c:v>
                </c:pt>
                <c:pt idx="12">
                  <c:v>8.0698015011379964E-2</c:v>
                </c:pt>
                <c:pt idx="13">
                  <c:v>0.13654969673633016</c:v>
                </c:pt>
                <c:pt idx="14">
                  <c:v>9.45338236865534E-2</c:v>
                </c:pt>
                <c:pt idx="15">
                  <c:v>7.2253196943040124E-2</c:v>
                </c:pt>
                <c:pt idx="16">
                  <c:v>-1.0016470871332192E-2</c:v>
                </c:pt>
                <c:pt idx="17">
                  <c:v>-5.5912732161514829E-2</c:v>
                </c:pt>
                <c:pt idx="18">
                  <c:v>-3.0212377088993332E-2</c:v>
                </c:pt>
                <c:pt idx="19">
                  <c:v>-3.5110597397762136E-2</c:v>
                </c:pt>
                <c:pt idx="20">
                  <c:v>-6.3775886113478369E-2</c:v>
                </c:pt>
                <c:pt idx="21">
                  <c:v>-5.3530554883726662E-2</c:v>
                </c:pt>
                <c:pt idx="22">
                  <c:v>-6.4075390166381849E-2</c:v>
                </c:pt>
                <c:pt idx="23">
                  <c:v>-0.13844304699479693</c:v>
                </c:pt>
                <c:pt idx="24">
                  <c:v>-0.13446730863002626</c:v>
                </c:pt>
                <c:pt idx="25">
                  <c:v>-4.2544545507820601E-2</c:v>
                </c:pt>
                <c:pt idx="26">
                  <c:v>-3.3191194580390673E-2</c:v>
                </c:pt>
                <c:pt idx="27">
                  <c:v>6.6309323471769377E-2</c:v>
                </c:pt>
                <c:pt idx="28">
                  <c:v>9.8066936941412233E-2</c:v>
                </c:pt>
                <c:pt idx="29">
                  <c:v>2.5196330912572437E-2</c:v>
                </c:pt>
                <c:pt idx="30">
                  <c:v>2.0639846638534198E-2</c:v>
                </c:pt>
                <c:pt idx="31">
                  <c:v>-8.3455519417103677E-2</c:v>
                </c:pt>
                <c:pt idx="32">
                  <c:v>2.5814692683709294E-2</c:v>
                </c:pt>
                <c:pt idx="33">
                  <c:v>2.6984266486121962E-2</c:v>
                </c:pt>
                <c:pt idx="34">
                  <c:v>1.9988014642478076E-2</c:v>
                </c:pt>
                <c:pt idx="35">
                  <c:v>8.7933936276959376E-2</c:v>
                </c:pt>
                <c:pt idx="36">
                  <c:v>-2.5505751222282186E-2</c:v>
                </c:pt>
                <c:pt idx="37">
                  <c:v>-7.8189986559947439E-2</c:v>
                </c:pt>
                <c:pt idx="38">
                  <c:v>-0.10869950494464604</c:v>
                </c:pt>
                <c:pt idx="39">
                  <c:v>-0.12385597955281273</c:v>
                </c:pt>
                <c:pt idx="40">
                  <c:v>-0.13740972377814739</c:v>
                </c:pt>
                <c:pt idx="41">
                  <c:v>-6.3501842656218332E-2</c:v>
                </c:pt>
              </c:numCache>
            </c:numRef>
          </c:val>
          <c:extLst>
            <c:ext xmlns:c16="http://schemas.microsoft.com/office/drawing/2014/chart" uri="{C3380CC4-5D6E-409C-BE32-E72D297353CC}">
              <c16:uniqueId val="{00000000-CB01-484F-87B7-9B522F8DEAE5}"/>
            </c:ext>
          </c:extLst>
        </c:ser>
        <c:ser>
          <c:idx val="1"/>
          <c:order val="1"/>
          <c:tx>
            <c:strRef>
              <c:f>'Trh práce 1'!$AD$7</c:f>
              <c:strCache>
                <c:ptCount val="1"/>
                <c:pt idx="0">
                  <c:v>Manufacturing </c:v>
                </c:pt>
              </c:strCache>
            </c:strRef>
          </c:tx>
          <c:spPr>
            <a:solidFill>
              <a:srgbClr val="A6CDE8"/>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1'!$AD$8:$AD$49</c:f>
              <c:numCache>
                <c:formatCode>#\ ##0.0</c:formatCode>
                <c:ptCount val="42"/>
                <c:pt idx="0">
                  <c:v>-1.9139760198365914</c:v>
                </c:pt>
                <c:pt idx="1">
                  <c:v>-0.91636368469599205</c:v>
                </c:pt>
                <c:pt idx="2">
                  <c:v>-0.36895797829775445</c:v>
                </c:pt>
                <c:pt idx="3">
                  <c:v>-0.21003805903834583</c:v>
                </c:pt>
                <c:pt idx="4">
                  <c:v>1.172571586057386</c:v>
                </c:pt>
                <c:pt idx="5">
                  <c:v>1.2683138871995925</c:v>
                </c:pt>
                <c:pt idx="6">
                  <c:v>1.1687063633645189</c:v>
                </c:pt>
                <c:pt idx="7">
                  <c:v>0.78202384386894153</c:v>
                </c:pt>
                <c:pt idx="8">
                  <c:v>4.6075545647120145E-2</c:v>
                </c:pt>
                <c:pt idx="9">
                  <c:v>2.25104118078885E-2</c:v>
                </c:pt>
                <c:pt idx="10">
                  <c:v>0.2009650919713421</c:v>
                </c:pt>
                <c:pt idx="11">
                  <c:v>0.3118192862970775</c:v>
                </c:pt>
                <c:pt idx="12">
                  <c:v>4.1132772342904023E-2</c:v>
                </c:pt>
                <c:pt idx="13">
                  <c:v>0.12923594633209709</c:v>
                </c:pt>
                <c:pt idx="14">
                  <c:v>-1.9284585181686579E-2</c:v>
                </c:pt>
                <c:pt idx="15">
                  <c:v>3.229633223946192E-2</c:v>
                </c:pt>
                <c:pt idx="16">
                  <c:v>0.21809037859691535</c:v>
                </c:pt>
                <c:pt idx="17">
                  <c:v>0.20763098853236689</c:v>
                </c:pt>
                <c:pt idx="18">
                  <c:v>0.41094336722348374</c:v>
                </c:pt>
                <c:pt idx="19">
                  <c:v>0.54832755274610478</c:v>
                </c:pt>
                <c:pt idx="20">
                  <c:v>0.87384359543532464</c:v>
                </c:pt>
                <c:pt idx="21">
                  <c:v>0.93524489787512044</c:v>
                </c:pt>
                <c:pt idx="22">
                  <c:v>0.78267698384636852</c:v>
                </c:pt>
                <c:pt idx="23">
                  <c:v>0.94962455048902517</c:v>
                </c:pt>
                <c:pt idx="24">
                  <c:v>0.84718285167324348</c:v>
                </c:pt>
                <c:pt idx="25">
                  <c:v>0.62908867154608861</c:v>
                </c:pt>
                <c:pt idx="26">
                  <c:v>0.67775956738111331</c:v>
                </c:pt>
                <c:pt idx="27">
                  <c:v>0.54172812831113937</c:v>
                </c:pt>
                <c:pt idx="28">
                  <c:v>0.26867627785059034</c:v>
                </c:pt>
                <c:pt idx="29">
                  <c:v>0.39386843676908101</c:v>
                </c:pt>
                <c:pt idx="30">
                  <c:v>0.49256509811427385</c:v>
                </c:pt>
                <c:pt idx="31">
                  <c:v>0.47713964802096459</c:v>
                </c:pt>
                <c:pt idx="32">
                  <c:v>0.36449366956327101</c:v>
                </c:pt>
                <c:pt idx="33">
                  <c:v>0.28712009104191716</c:v>
                </c:pt>
                <c:pt idx="34">
                  <c:v>9.9194946851067806E-2</c:v>
                </c:pt>
                <c:pt idx="35">
                  <c:v>7.5749869682651877E-2</c:v>
                </c:pt>
                <c:pt idx="36">
                  <c:v>1.7065666272363354E-3</c:v>
                </c:pt>
                <c:pt idx="37">
                  <c:v>-0.1672130815311223</c:v>
                </c:pt>
                <c:pt idx="38">
                  <c:v>-0.33346453087893024</c:v>
                </c:pt>
                <c:pt idx="39">
                  <c:v>-0.72163732119892665</c:v>
                </c:pt>
                <c:pt idx="40">
                  <c:v>-0.68293147360899475</c:v>
                </c:pt>
                <c:pt idx="41">
                  <c:v>-0.93418470526414155</c:v>
                </c:pt>
              </c:numCache>
            </c:numRef>
          </c:val>
          <c:extLst>
            <c:ext xmlns:c16="http://schemas.microsoft.com/office/drawing/2014/chart" uri="{C3380CC4-5D6E-409C-BE32-E72D297353CC}">
              <c16:uniqueId val="{00000001-CB01-484F-87B7-9B522F8DEAE5}"/>
            </c:ext>
          </c:extLst>
        </c:ser>
        <c:ser>
          <c:idx val="2"/>
          <c:order val="2"/>
          <c:tx>
            <c:strRef>
              <c:f>'Trh práce 1'!$AE$7</c:f>
              <c:strCache>
                <c:ptCount val="1"/>
                <c:pt idx="0">
                  <c:v>Construction</c:v>
                </c:pt>
              </c:strCache>
            </c:strRef>
          </c:tx>
          <c:spPr>
            <a:solidFill>
              <a:srgbClr val="48AEE7"/>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1'!$AE$8:$AE$49</c:f>
              <c:numCache>
                <c:formatCode>#\ ##0.0</c:formatCode>
                <c:ptCount val="42"/>
                <c:pt idx="0">
                  <c:v>0.14158792411211604</c:v>
                </c:pt>
                <c:pt idx="1">
                  <c:v>0.19166977287933318</c:v>
                </c:pt>
                <c:pt idx="2">
                  <c:v>0.2331442589457039</c:v>
                </c:pt>
                <c:pt idx="3">
                  <c:v>0.2364605469237597</c:v>
                </c:pt>
                <c:pt idx="4">
                  <c:v>-0.75774167485897592</c:v>
                </c:pt>
                <c:pt idx="5">
                  <c:v>-0.7493412384715763</c:v>
                </c:pt>
                <c:pt idx="6">
                  <c:v>-0.78071557572941186</c:v>
                </c:pt>
                <c:pt idx="7">
                  <c:v>-0.76224499233199861</c:v>
                </c:pt>
                <c:pt idx="8">
                  <c:v>-9.1238704251723063E-3</c:v>
                </c:pt>
                <c:pt idx="9">
                  <c:v>1.6274018035254481E-2</c:v>
                </c:pt>
                <c:pt idx="10">
                  <c:v>-7.4237843949200688E-2</c:v>
                </c:pt>
                <c:pt idx="11">
                  <c:v>-8.5406531513181186E-2</c:v>
                </c:pt>
                <c:pt idx="12">
                  <c:v>-0.17732927468814916</c:v>
                </c:pt>
                <c:pt idx="13">
                  <c:v>-0.28865593825139396</c:v>
                </c:pt>
                <c:pt idx="14">
                  <c:v>-0.15189562552799868</c:v>
                </c:pt>
                <c:pt idx="15">
                  <c:v>-5.0197165169749043E-2</c:v>
                </c:pt>
                <c:pt idx="16">
                  <c:v>-0.41512048510538863</c:v>
                </c:pt>
                <c:pt idx="17">
                  <c:v>-0.29008656264696037</c:v>
                </c:pt>
                <c:pt idx="18">
                  <c:v>-0.35496103153743763</c:v>
                </c:pt>
                <c:pt idx="19">
                  <c:v>-0.43034098806023929</c:v>
                </c:pt>
                <c:pt idx="20">
                  <c:v>-0.11694210540586052</c:v>
                </c:pt>
                <c:pt idx="21">
                  <c:v>-0.10810072845885586</c:v>
                </c:pt>
                <c:pt idx="22">
                  <c:v>-0.15839123886250733</c:v>
                </c:pt>
                <c:pt idx="23">
                  <c:v>-0.17189865446459995</c:v>
                </c:pt>
                <c:pt idx="24">
                  <c:v>-0.11151278826793087</c:v>
                </c:pt>
                <c:pt idx="25">
                  <c:v>-0.12826978061125432</c:v>
                </c:pt>
                <c:pt idx="26">
                  <c:v>-3.014577719148143E-2</c:v>
                </c:pt>
                <c:pt idx="27">
                  <c:v>1.7024586966207105E-2</c:v>
                </c:pt>
                <c:pt idx="28">
                  <c:v>-6.5148695688723116E-3</c:v>
                </c:pt>
                <c:pt idx="29">
                  <c:v>1.4289321905169284E-2</c:v>
                </c:pt>
                <c:pt idx="30">
                  <c:v>6.6438659970773833E-2</c:v>
                </c:pt>
                <c:pt idx="31">
                  <c:v>-6.4943430456315621E-2</c:v>
                </c:pt>
                <c:pt idx="32">
                  <c:v>0.11749356845101826</c:v>
                </c:pt>
                <c:pt idx="33">
                  <c:v>6.7179580106074471E-2</c:v>
                </c:pt>
                <c:pt idx="34">
                  <c:v>5.6406065552118925E-2</c:v>
                </c:pt>
                <c:pt idx="35">
                  <c:v>0.12562257040583413</c:v>
                </c:pt>
                <c:pt idx="36">
                  <c:v>1.8512537978063726E-2</c:v>
                </c:pt>
                <c:pt idx="37">
                  <c:v>4.2190167111752976E-2</c:v>
                </c:pt>
                <c:pt idx="38">
                  <c:v>7.6558567765870777E-2</c:v>
                </c:pt>
                <c:pt idx="39">
                  <c:v>0.13747664010699337</c:v>
                </c:pt>
                <c:pt idx="40">
                  <c:v>0.22642461038295852</c:v>
                </c:pt>
                <c:pt idx="41">
                  <c:v>-2.5731571553894547E-2</c:v>
                </c:pt>
              </c:numCache>
            </c:numRef>
          </c:val>
          <c:extLst>
            <c:ext xmlns:c16="http://schemas.microsoft.com/office/drawing/2014/chart" uri="{C3380CC4-5D6E-409C-BE32-E72D297353CC}">
              <c16:uniqueId val="{00000002-CB01-484F-87B7-9B522F8DEAE5}"/>
            </c:ext>
          </c:extLst>
        </c:ser>
        <c:ser>
          <c:idx val="3"/>
          <c:order val="3"/>
          <c:tx>
            <c:strRef>
              <c:f>'Trh práce 1'!$AF$7</c:f>
              <c:strCache>
                <c:ptCount val="1"/>
                <c:pt idx="0">
                  <c:v>Trade, transport., accommod., restaurants</c:v>
                </c:pt>
              </c:strCache>
            </c:strRef>
          </c:tx>
          <c:spPr>
            <a:solidFill>
              <a:srgbClr val="FDDEB3"/>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1'!$AF$8:$AF$49</c:f>
              <c:numCache>
                <c:formatCode>#\ ##0.0</c:formatCode>
                <c:ptCount val="42"/>
                <c:pt idx="0">
                  <c:v>-0.31619307858448276</c:v>
                </c:pt>
                <c:pt idx="1">
                  <c:v>-0.1306857129789131</c:v>
                </c:pt>
                <c:pt idx="2">
                  <c:v>0.14611397677970747</c:v>
                </c:pt>
                <c:pt idx="3">
                  <c:v>0.25532529555591477</c:v>
                </c:pt>
                <c:pt idx="4">
                  <c:v>-0.40311491753542605</c:v>
                </c:pt>
                <c:pt idx="5">
                  <c:v>-0.45802533064755391</c:v>
                </c:pt>
                <c:pt idx="6">
                  <c:v>-0.44468044313400357</c:v>
                </c:pt>
                <c:pt idx="7">
                  <c:v>-0.54392827711216207</c:v>
                </c:pt>
                <c:pt idx="8">
                  <c:v>0.10002538816118248</c:v>
                </c:pt>
                <c:pt idx="9">
                  <c:v>0.11522479922771424</c:v>
                </c:pt>
                <c:pt idx="10">
                  <c:v>0.11795260424692905</c:v>
                </c:pt>
                <c:pt idx="11">
                  <c:v>3.775533035715315E-3</c:v>
                </c:pt>
                <c:pt idx="12">
                  <c:v>2.9664010927468173E-2</c:v>
                </c:pt>
                <c:pt idx="13">
                  <c:v>-2.2474957323278432E-2</c:v>
                </c:pt>
                <c:pt idx="14">
                  <c:v>-0.17169184256144429</c:v>
                </c:pt>
                <c:pt idx="15">
                  <c:v>-0.14889790735522657</c:v>
                </c:pt>
                <c:pt idx="16">
                  <c:v>-0.11142582981126935</c:v>
                </c:pt>
                <c:pt idx="17">
                  <c:v>-0.2949357356960805</c:v>
                </c:pt>
                <c:pt idx="18">
                  <c:v>-0.15399073657460882</c:v>
                </c:pt>
                <c:pt idx="19">
                  <c:v>8.6379154696624452E-2</c:v>
                </c:pt>
                <c:pt idx="20">
                  <c:v>0.22879550024382489</c:v>
                </c:pt>
                <c:pt idx="21">
                  <c:v>0.47330112084625897</c:v>
                </c:pt>
                <c:pt idx="22">
                  <c:v>0.33213712914903176</c:v>
                </c:pt>
                <c:pt idx="23">
                  <c:v>0.17959968299057444</c:v>
                </c:pt>
                <c:pt idx="24">
                  <c:v>8.0583366917820948E-2</c:v>
                </c:pt>
                <c:pt idx="25">
                  <c:v>0.20992754897152985</c:v>
                </c:pt>
                <c:pt idx="26">
                  <c:v>-8.6158327395090793E-3</c:v>
                </c:pt>
                <c:pt idx="27">
                  <c:v>9.5260739725036819E-2</c:v>
                </c:pt>
                <c:pt idx="28">
                  <c:v>0.16015880233389024</c:v>
                </c:pt>
                <c:pt idx="29">
                  <c:v>-9.025834979993895E-3</c:v>
                </c:pt>
                <c:pt idx="30">
                  <c:v>0.34149737055569235</c:v>
                </c:pt>
                <c:pt idx="31">
                  <c:v>0.22106834398785968</c:v>
                </c:pt>
                <c:pt idx="32">
                  <c:v>0.14724354251393632</c:v>
                </c:pt>
                <c:pt idx="33">
                  <c:v>0.38773017907246493</c:v>
                </c:pt>
                <c:pt idx="34">
                  <c:v>0.20751769162833716</c:v>
                </c:pt>
                <c:pt idx="35">
                  <c:v>0.25882757980843152</c:v>
                </c:pt>
                <c:pt idx="36">
                  <c:v>0.37837550067789966</c:v>
                </c:pt>
                <c:pt idx="37">
                  <c:v>3.0454299666256623E-2</c:v>
                </c:pt>
                <c:pt idx="38">
                  <c:v>-8.7506055271335301E-2</c:v>
                </c:pt>
                <c:pt idx="39">
                  <c:v>-0.13427394424695629</c:v>
                </c:pt>
                <c:pt idx="40">
                  <c:v>-0.2600418368128985</c:v>
                </c:pt>
                <c:pt idx="41">
                  <c:v>-0.73794471277776152</c:v>
                </c:pt>
              </c:numCache>
            </c:numRef>
          </c:val>
          <c:extLst>
            <c:ext xmlns:c16="http://schemas.microsoft.com/office/drawing/2014/chart" uri="{C3380CC4-5D6E-409C-BE32-E72D297353CC}">
              <c16:uniqueId val="{00000003-CB01-484F-87B7-9B522F8DEAE5}"/>
            </c:ext>
          </c:extLst>
        </c:ser>
        <c:ser>
          <c:idx val="4"/>
          <c:order val="4"/>
          <c:tx>
            <c:strRef>
              <c:f>'Trh práce 1'!$AG$7</c:f>
              <c:strCache>
                <c:ptCount val="1"/>
                <c:pt idx="0">
                  <c:v>Information and communication</c:v>
                </c:pt>
              </c:strCache>
            </c:strRef>
          </c:tx>
          <c:spPr>
            <a:solidFill>
              <a:srgbClr val="F8A124"/>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1'!$AG$8:$AG$49</c:f>
              <c:numCache>
                <c:formatCode>#\ ##0.0</c:formatCode>
                <c:ptCount val="42"/>
                <c:pt idx="0">
                  <c:v>-5.9257239751818361E-2</c:v>
                </c:pt>
                <c:pt idx="1">
                  <c:v>-6.9818930116763017E-2</c:v>
                </c:pt>
                <c:pt idx="2">
                  <c:v>-6.0678954368281267E-2</c:v>
                </c:pt>
                <c:pt idx="3">
                  <c:v>-7.6031251547796566E-2</c:v>
                </c:pt>
                <c:pt idx="4">
                  <c:v>-2.5614138686863345E-3</c:v>
                </c:pt>
                <c:pt idx="5">
                  <c:v>-4.3706293706288056E-2</c:v>
                </c:pt>
                <c:pt idx="6">
                  <c:v>-8.6612483401411006E-2</c:v>
                </c:pt>
                <c:pt idx="7">
                  <c:v>-0.1156757159678042</c:v>
                </c:pt>
                <c:pt idx="8">
                  <c:v>-1.3626302134985595E-2</c:v>
                </c:pt>
                <c:pt idx="9">
                  <c:v>1.3462691318702005E-3</c:v>
                </c:pt>
                <c:pt idx="10">
                  <c:v>2.4699730897719655E-2</c:v>
                </c:pt>
                <c:pt idx="11">
                  <c:v>4.4948714351516011E-2</c:v>
                </c:pt>
                <c:pt idx="12">
                  <c:v>4.4644832499534035E-2</c:v>
                </c:pt>
                <c:pt idx="13">
                  <c:v>7.0548041061372663E-2</c:v>
                </c:pt>
                <c:pt idx="14">
                  <c:v>2.9163015550264803E-2</c:v>
                </c:pt>
                <c:pt idx="15">
                  <c:v>2.985441443599041E-2</c:v>
                </c:pt>
                <c:pt idx="16">
                  <c:v>0.10899579841644913</c:v>
                </c:pt>
                <c:pt idx="17">
                  <c:v>7.2835757134557588E-2</c:v>
                </c:pt>
                <c:pt idx="18">
                  <c:v>9.0086743135235167E-2</c:v>
                </c:pt>
                <c:pt idx="19">
                  <c:v>9.0807341027620239E-2</c:v>
                </c:pt>
                <c:pt idx="20">
                  <c:v>7.3874717124669956E-3</c:v>
                </c:pt>
                <c:pt idx="21">
                  <c:v>5.6060947547706408E-2</c:v>
                </c:pt>
                <c:pt idx="22">
                  <c:v>7.3237389552977303E-2</c:v>
                </c:pt>
                <c:pt idx="23">
                  <c:v>0.10393464068853153</c:v>
                </c:pt>
                <c:pt idx="24">
                  <c:v>0.12034144994565989</c:v>
                </c:pt>
                <c:pt idx="25">
                  <c:v>0.11313726215922026</c:v>
                </c:pt>
                <c:pt idx="26">
                  <c:v>0.12927604067983756</c:v>
                </c:pt>
                <c:pt idx="27">
                  <c:v>0.16693713637598337</c:v>
                </c:pt>
                <c:pt idx="28">
                  <c:v>0.13971624972775135</c:v>
                </c:pt>
                <c:pt idx="29">
                  <c:v>0.13821878661994863</c:v>
                </c:pt>
                <c:pt idx="30">
                  <c:v>0.13496598887461</c:v>
                </c:pt>
                <c:pt idx="31">
                  <c:v>0.11698506830016364</c:v>
                </c:pt>
                <c:pt idx="32">
                  <c:v>0.11067743515305851</c:v>
                </c:pt>
                <c:pt idx="33">
                  <c:v>0.13553972187091679</c:v>
                </c:pt>
                <c:pt idx="34">
                  <c:v>0.13024808795918613</c:v>
                </c:pt>
                <c:pt idx="35">
                  <c:v>0.15340000663230582</c:v>
                </c:pt>
                <c:pt idx="36">
                  <c:v>0.13609868852209775</c:v>
                </c:pt>
                <c:pt idx="37">
                  <c:v>7.0525746595541644E-2</c:v>
                </c:pt>
                <c:pt idx="38">
                  <c:v>0.12343153703463035</c:v>
                </c:pt>
                <c:pt idx="39">
                  <c:v>0.13834173611516429</c:v>
                </c:pt>
                <c:pt idx="40">
                  <c:v>0.13924773506463947</c:v>
                </c:pt>
                <c:pt idx="41">
                  <c:v>0.10053692599985942</c:v>
                </c:pt>
              </c:numCache>
            </c:numRef>
          </c:val>
          <c:extLst>
            <c:ext xmlns:c16="http://schemas.microsoft.com/office/drawing/2014/chart" uri="{C3380CC4-5D6E-409C-BE32-E72D297353CC}">
              <c16:uniqueId val="{00000004-CB01-484F-87B7-9B522F8DEAE5}"/>
            </c:ext>
          </c:extLst>
        </c:ser>
        <c:ser>
          <c:idx val="5"/>
          <c:order val="5"/>
          <c:tx>
            <c:strRef>
              <c:f>'Trh práce 1'!$AH$7</c:f>
              <c:strCache>
                <c:ptCount val="1"/>
                <c:pt idx="0">
                  <c:v>Professional, scientific, technic., admin. act.</c:v>
                </c:pt>
              </c:strCache>
            </c:strRef>
          </c:tx>
          <c:spPr>
            <a:solidFill>
              <a:srgbClr val="E8C0BE"/>
            </a:solidFill>
            <a:ln w="19050">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1'!$AH$8:$AH$49</c:f>
              <c:numCache>
                <c:formatCode>#\ ##0.0</c:formatCode>
                <c:ptCount val="42"/>
                <c:pt idx="0">
                  <c:v>-5.3348893266299824E-2</c:v>
                </c:pt>
                <c:pt idx="1">
                  <c:v>4.8161770382895881E-2</c:v>
                </c:pt>
                <c:pt idx="2">
                  <c:v>0.12299255762087521</c:v>
                </c:pt>
                <c:pt idx="3">
                  <c:v>8.7653988937272845E-2</c:v>
                </c:pt>
                <c:pt idx="4">
                  <c:v>-0.16428789418225373</c:v>
                </c:pt>
                <c:pt idx="5">
                  <c:v>-0.19127441851624158</c:v>
                </c:pt>
                <c:pt idx="6">
                  <c:v>-0.34396458336456504</c:v>
                </c:pt>
                <c:pt idx="7">
                  <c:v>-0.24367623972283606</c:v>
                </c:pt>
                <c:pt idx="8">
                  <c:v>5.6746507144386886E-2</c:v>
                </c:pt>
                <c:pt idx="9">
                  <c:v>6.6996687386011153E-2</c:v>
                </c:pt>
                <c:pt idx="10">
                  <c:v>0.1296587317213094</c:v>
                </c:pt>
                <c:pt idx="11">
                  <c:v>0.17425078521151366</c:v>
                </c:pt>
                <c:pt idx="12">
                  <c:v>7.8059009356963069E-2</c:v>
                </c:pt>
                <c:pt idx="13">
                  <c:v>0.19094818622943679</c:v>
                </c:pt>
                <c:pt idx="14">
                  <c:v>0.25310034143556409</c:v>
                </c:pt>
                <c:pt idx="15">
                  <c:v>0.24529458193581563</c:v>
                </c:pt>
                <c:pt idx="16">
                  <c:v>0.33538384519079939</c:v>
                </c:pt>
                <c:pt idx="17">
                  <c:v>0.24925142118068547</c:v>
                </c:pt>
                <c:pt idx="18">
                  <c:v>0.14463413833494659</c:v>
                </c:pt>
                <c:pt idx="19">
                  <c:v>0.11174774216619586</c:v>
                </c:pt>
                <c:pt idx="20">
                  <c:v>0.11379850042183202</c:v>
                </c:pt>
                <c:pt idx="21">
                  <c:v>0.11820268366776726</c:v>
                </c:pt>
                <c:pt idx="22">
                  <c:v>0.23129653035669548</c:v>
                </c:pt>
                <c:pt idx="23">
                  <c:v>0.37241784026117603</c:v>
                </c:pt>
                <c:pt idx="24">
                  <c:v>0.26699425205615607</c:v>
                </c:pt>
                <c:pt idx="25">
                  <c:v>0.23716608218519117</c:v>
                </c:pt>
                <c:pt idx="26">
                  <c:v>0.24081927124703897</c:v>
                </c:pt>
                <c:pt idx="27">
                  <c:v>0.25506101535021469</c:v>
                </c:pt>
                <c:pt idx="28">
                  <c:v>0.4253197253437988</c:v>
                </c:pt>
                <c:pt idx="29">
                  <c:v>0.3617364642403027</c:v>
                </c:pt>
                <c:pt idx="30">
                  <c:v>0.29161615885428543</c:v>
                </c:pt>
                <c:pt idx="31">
                  <c:v>0.14112634349596684</c:v>
                </c:pt>
                <c:pt idx="32">
                  <c:v>0.15174369681839037</c:v>
                </c:pt>
                <c:pt idx="33">
                  <c:v>0.15585287803130304</c:v>
                </c:pt>
                <c:pt idx="34">
                  <c:v>7.8312780575002641E-2</c:v>
                </c:pt>
                <c:pt idx="35">
                  <c:v>0.22050552325722272</c:v>
                </c:pt>
                <c:pt idx="36">
                  <c:v>0.21302403420850086</c:v>
                </c:pt>
                <c:pt idx="37">
                  <c:v>0.16787633306650354</c:v>
                </c:pt>
                <c:pt idx="38">
                  <c:v>0.15865549346030708</c:v>
                </c:pt>
                <c:pt idx="39">
                  <c:v>9.7553379644807186E-3</c:v>
                </c:pt>
                <c:pt idx="40">
                  <c:v>-0.2382797831808324</c:v>
                </c:pt>
                <c:pt idx="41">
                  <c:v>-0.39393198079615843</c:v>
                </c:pt>
              </c:numCache>
            </c:numRef>
          </c:val>
          <c:extLst>
            <c:ext xmlns:c16="http://schemas.microsoft.com/office/drawing/2014/chart" uri="{C3380CC4-5D6E-409C-BE32-E72D297353CC}">
              <c16:uniqueId val="{00000005-CB01-484F-87B7-9B522F8DEAE5}"/>
            </c:ext>
          </c:extLst>
        </c:ser>
        <c:ser>
          <c:idx val="6"/>
          <c:order val="6"/>
          <c:tx>
            <c:strRef>
              <c:f>'Trh práce 1'!$AI$7</c:f>
              <c:strCache>
                <c:ptCount val="1"/>
                <c:pt idx="0">
                  <c:v>Public admin, education, health, soc. work</c:v>
                </c:pt>
              </c:strCache>
            </c:strRef>
          </c:tx>
          <c:spPr>
            <a:solidFill>
              <a:srgbClr val="D58D8B"/>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1'!$AI$8:$AI$49</c:f>
              <c:numCache>
                <c:formatCode>#\ ##0.0</c:formatCode>
                <c:ptCount val="42"/>
                <c:pt idx="0">
                  <c:v>-1.982964653799852E-2</c:v>
                </c:pt>
                <c:pt idx="1">
                  <c:v>-5.674254034965371E-2</c:v>
                </c:pt>
                <c:pt idx="2">
                  <c:v>-5.7882326156565612E-2</c:v>
                </c:pt>
                <c:pt idx="3">
                  <c:v>-4.8365584620723941E-2</c:v>
                </c:pt>
                <c:pt idx="4">
                  <c:v>0.13327294485754013</c:v>
                </c:pt>
                <c:pt idx="5">
                  <c:v>8.2721286865297894E-2</c:v>
                </c:pt>
                <c:pt idx="6">
                  <c:v>4.487437935281486E-2</c:v>
                </c:pt>
                <c:pt idx="7">
                  <c:v>9.5956023508239882E-2</c:v>
                </c:pt>
                <c:pt idx="8">
                  <c:v>-0.4542299056671108</c:v>
                </c:pt>
                <c:pt idx="9">
                  <c:v>-0.3389628500992603</c:v>
                </c:pt>
                <c:pt idx="10">
                  <c:v>-6.0135030477527558E-2</c:v>
                </c:pt>
                <c:pt idx="11">
                  <c:v>5.663299553572973E-2</c:v>
                </c:pt>
                <c:pt idx="12">
                  <c:v>0.16798362308491338</c:v>
                </c:pt>
                <c:pt idx="13">
                  <c:v>0.39138448109139218</c:v>
                </c:pt>
                <c:pt idx="14">
                  <c:v>0.2150034466276608</c:v>
                </c:pt>
                <c:pt idx="15">
                  <c:v>0.18322260680241081</c:v>
                </c:pt>
                <c:pt idx="16">
                  <c:v>0.26639466120126881</c:v>
                </c:pt>
                <c:pt idx="17">
                  <c:v>0.16025829797557781</c:v>
                </c:pt>
                <c:pt idx="18">
                  <c:v>0.35511828528936468</c:v>
                </c:pt>
                <c:pt idx="19">
                  <c:v>0.35974585753009758</c:v>
                </c:pt>
                <c:pt idx="20">
                  <c:v>0.25561438026381811</c:v>
                </c:pt>
                <c:pt idx="21">
                  <c:v>0.23618959741845097</c:v>
                </c:pt>
                <c:pt idx="22">
                  <c:v>0.10591974557381781</c:v>
                </c:pt>
                <c:pt idx="23">
                  <c:v>9.8709639055718459E-2</c:v>
                </c:pt>
                <c:pt idx="24">
                  <c:v>0.36242141278378515</c:v>
                </c:pt>
                <c:pt idx="25">
                  <c:v>0.34758527415111612</c:v>
                </c:pt>
                <c:pt idx="26">
                  <c:v>0.42951950059780825</c:v>
                </c:pt>
                <c:pt idx="27">
                  <c:v>0.52568461923790011</c:v>
                </c:pt>
                <c:pt idx="28">
                  <c:v>0.43143338593628888</c:v>
                </c:pt>
                <c:pt idx="29">
                  <c:v>0.47637406936515148</c:v>
                </c:pt>
                <c:pt idx="30">
                  <c:v>0.54554133741649136</c:v>
                </c:pt>
                <c:pt idx="31">
                  <c:v>0.54623885355011015</c:v>
                </c:pt>
                <c:pt idx="32">
                  <c:v>0.39719981193497272</c:v>
                </c:pt>
                <c:pt idx="33">
                  <c:v>0.45187402919885078</c:v>
                </c:pt>
                <c:pt idx="34">
                  <c:v>0.32168967834198869</c:v>
                </c:pt>
                <c:pt idx="35">
                  <c:v>0.29320006125567516</c:v>
                </c:pt>
                <c:pt idx="36">
                  <c:v>0.3051229831675053</c:v>
                </c:pt>
                <c:pt idx="37">
                  <c:v>0.2171411832223234</c:v>
                </c:pt>
                <c:pt idx="38">
                  <c:v>0.30064052955563197</c:v>
                </c:pt>
                <c:pt idx="39">
                  <c:v>0.30635442468078694</c:v>
                </c:pt>
                <c:pt idx="40">
                  <c:v>0.39070605916962003</c:v>
                </c:pt>
                <c:pt idx="41">
                  <c:v>0.30232758606429394</c:v>
                </c:pt>
              </c:numCache>
            </c:numRef>
          </c:val>
          <c:extLst>
            <c:ext xmlns:c16="http://schemas.microsoft.com/office/drawing/2014/chart" uri="{C3380CC4-5D6E-409C-BE32-E72D297353CC}">
              <c16:uniqueId val="{00000006-CB01-484F-87B7-9B522F8DEAE5}"/>
            </c:ext>
          </c:extLst>
        </c:ser>
        <c:ser>
          <c:idx val="7"/>
          <c:order val="7"/>
          <c:tx>
            <c:strRef>
              <c:f>'Trh práce 1'!$AJ$7</c:f>
              <c:strCache>
                <c:ptCount val="1"/>
                <c:pt idx="0">
                  <c:v>Other branches*</c:v>
                </c:pt>
              </c:strCache>
            </c:strRef>
          </c:tx>
          <c:spPr>
            <a:solidFill>
              <a:schemeClr val="bg1">
                <a:lumMod val="85000"/>
              </a:schemeClr>
            </a:solidFill>
            <a:ln>
              <a:noFill/>
            </a:ln>
          </c:spPr>
          <c:invertIfNegative val="0"/>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1'!$AJ$8:$AJ$49</c:f>
              <c:numCache>
                <c:formatCode>#\ ##0.0</c:formatCode>
                <c:ptCount val="42"/>
                <c:pt idx="0">
                  <c:v>-0.18883538767441632</c:v>
                </c:pt>
                <c:pt idx="1">
                  <c:v>-3.7782752495997468E-2</c:v>
                </c:pt>
                <c:pt idx="2">
                  <c:v>5.9635142430105703E-2</c:v>
                </c:pt>
                <c:pt idx="3">
                  <c:v>4.8622113629320202E-2</c:v>
                </c:pt>
                <c:pt idx="4">
                  <c:v>-0.11317875233730314</c:v>
                </c:pt>
                <c:pt idx="5">
                  <c:v>-0.13381093544135292</c:v>
                </c:pt>
                <c:pt idx="6">
                  <c:v>-0.13233503783649886</c:v>
                </c:pt>
                <c:pt idx="7">
                  <c:v>-0.12971613699901402</c:v>
                </c:pt>
                <c:pt idx="8">
                  <c:v>0.24731639202494232</c:v>
                </c:pt>
                <c:pt idx="9">
                  <c:v>0.29651577629441173</c:v>
                </c:pt>
                <c:pt idx="10">
                  <c:v>0.30620139530701529</c:v>
                </c:pt>
                <c:pt idx="11">
                  <c:v>0.37522837007059107</c:v>
                </c:pt>
                <c:pt idx="12">
                  <c:v>0.16941225772489849</c:v>
                </c:pt>
                <c:pt idx="13">
                  <c:v>7.8138527967387544E-2</c:v>
                </c:pt>
                <c:pt idx="14">
                  <c:v>-0.13991163330795056</c:v>
                </c:pt>
                <c:pt idx="15">
                  <c:v>-0.302561493004325</c:v>
                </c:pt>
                <c:pt idx="16">
                  <c:v>0.16156745322634058</c:v>
                </c:pt>
                <c:pt idx="17">
                  <c:v>3.677125959919849E-2</c:v>
                </c:pt>
                <c:pt idx="18">
                  <c:v>0.16053642399857421</c:v>
                </c:pt>
                <c:pt idx="19">
                  <c:v>0.21505240906129308</c:v>
                </c:pt>
                <c:pt idx="20">
                  <c:v>-4.1849241349879523E-2</c:v>
                </c:pt>
                <c:pt idx="21">
                  <c:v>9.7841849673883693E-2</c:v>
                </c:pt>
                <c:pt idx="22">
                  <c:v>4.8115148164572706E-2</c:v>
                </c:pt>
                <c:pt idx="23">
                  <c:v>-4.5211861143632459E-2</c:v>
                </c:pt>
                <c:pt idx="24">
                  <c:v>0.13066419283038919</c:v>
                </c:pt>
                <c:pt idx="25">
                  <c:v>8.2910779442291055E-2</c:v>
                </c:pt>
                <c:pt idx="26">
                  <c:v>0.10551022017018501</c:v>
                </c:pt>
                <c:pt idx="27">
                  <c:v>0.16861073984045796</c:v>
                </c:pt>
                <c:pt idx="28">
                  <c:v>-5.0552331024152887E-2</c:v>
                </c:pt>
                <c:pt idx="29">
                  <c:v>1.1401054711571157E-3</c:v>
                </c:pt>
                <c:pt idx="30">
                  <c:v>3.7899847185385707E-2</c:v>
                </c:pt>
                <c:pt idx="31">
                  <c:v>4.0443247413313482E-2</c:v>
                </c:pt>
                <c:pt idx="32">
                  <c:v>0.19188733270582164</c:v>
                </c:pt>
                <c:pt idx="33">
                  <c:v>0.19975852829309734</c:v>
                </c:pt>
                <c:pt idx="34">
                  <c:v>-8.9415163358709041E-3</c:v>
                </c:pt>
                <c:pt idx="35">
                  <c:v>5.0301192361819347E-4</c:v>
                </c:pt>
                <c:pt idx="36">
                  <c:v>-0.10500949648679234</c:v>
                </c:pt>
                <c:pt idx="37">
                  <c:v>-4.3608788451318478E-2</c:v>
                </c:pt>
                <c:pt idx="38">
                  <c:v>4.676220211018825E-2</c:v>
                </c:pt>
                <c:pt idx="39">
                  <c:v>5.3562327314412982E-2</c:v>
                </c:pt>
                <c:pt idx="40">
                  <c:v>9.8186562924406556E-2</c:v>
                </c:pt>
                <c:pt idx="41">
                  <c:v>-0.10793217966444846</c:v>
                </c:pt>
              </c:numCache>
            </c:numRef>
          </c:val>
          <c:extLst>
            <c:ext xmlns:c16="http://schemas.microsoft.com/office/drawing/2014/chart" uri="{C3380CC4-5D6E-409C-BE32-E72D297353CC}">
              <c16:uniqueId val="{00000007-CB01-484F-87B7-9B522F8DEAE5}"/>
            </c:ext>
          </c:extLst>
        </c:ser>
        <c:dLbls>
          <c:showLegendKey val="0"/>
          <c:showVal val="0"/>
          <c:showCatName val="0"/>
          <c:showSerName val="0"/>
          <c:showPercent val="0"/>
          <c:showBubbleSize val="0"/>
        </c:dLbls>
        <c:gapWidth val="47"/>
        <c:overlap val="100"/>
        <c:axId val="101898496"/>
        <c:axId val="101781504"/>
      </c:barChart>
      <c:lineChart>
        <c:grouping val="standard"/>
        <c:varyColors val="0"/>
        <c:ser>
          <c:idx val="8"/>
          <c:order val="8"/>
          <c:tx>
            <c:strRef>
              <c:f>'Trh práce 1'!$AK$7</c:f>
              <c:strCache>
                <c:ptCount val="1"/>
                <c:pt idx="0">
                  <c:v>Total employment</c:v>
                </c:pt>
              </c:strCache>
            </c:strRef>
          </c:tx>
          <c:spPr>
            <a:ln w="19050">
              <a:solidFill>
                <a:schemeClr val="tx1">
                  <a:lumMod val="95000"/>
                  <a:lumOff val="5000"/>
                </a:schemeClr>
              </a:solidFill>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1'!$AK$8:$AK$49</c:f>
              <c:numCache>
                <c:formatCode>#\ ##0.0</c:formatCode>
                <c:ptCount val="42"/>
                <c:pt idx="0">
                  <c:v>-2.7578655345296426</c:v>
                </c:pt>
                <c:pt idx="1">
                  <c:v>-1.2546102092398286</c:v>
                </c:pt>
                <c:pt idx="2">
                  <c:v>-0.15430691576614208</c:v>
                </c:pt>
                <c:pt idx="3">
                  <c:v>6.7486862261475267E-2</c:v>
                </c:pt>
                <c:pt idx="4">
                  <c:v>0.10799635683554243</c:v>
                </c:pt>
                <c:pt idx="5">
                  <c:v>-1.7973421506027876E-2</c:v>
                </c:pt>
                <c:pt idx="6">
                  <c:v>-0.41560579031376221</c:v>
                </c:pt>
                <c:pt idx="7">
                  <c:v>-0.76258022710381113</c:v>
                </c:pt>
                <c:pt idx="8">
                  <c:v>-3.8538435295890849E-2</c:v>
                </c:pt>
                <c:pt idx="9">
                  <c:v>0.15775106533443761</c:v>
                </c:pt>
                <c:pt idx="10">
                  <c:v>0.65643446806842576</c:v>
                </c:pt>
                <c:pt idx="11">
                  <c:v>0.90561127668257768</c:v>
                </c:pt>
                <c:pt idx="12">
                  <c:v>0.43426524625991192</c:v>
                </c:pt>
                <c:pt idx="13">
                  <c:v>0.6856739838433441</c:v>
                </c:pt>
                <c:pt idx="14">
                  <c:v>0.10901694072096291</c:v>
                </c:pt>
                <c:pt idx="15">
                  <c:v>6.1264566827418321E-2</c:v>
                </c:pt>
                <c:pt idx="16">
                  <c:v>0.55386935084378308</c:v>
                </c:pt>
                <c:pt idx="17">
                  <c:v>8.5812693917830529E-2</c:v>
                </c:pt>
                <c:pt idx="18">
                  <c:v>0.62215481278056473</c:v>
                </c:pt>
                <c:pt idx="19">
                  <c:v>0.94660847176993457</c:v>
                </c:pt>
                <c:pt idx="20">
                  <c:v>1.2568722152080483</c:v>
                </c:pt>
                <c:pt idx="21">
                  <c:v>1.755209813686605</c:v>
                </c:pt>
                <c:pt idx="22">
                  <c:v>1.3509162976145745</c:v>
                </c:pt>
                <c:pt idx="23">
                  <c:v>1.3487327908819964</c:v>
                </c:pt>
                <c:pt idx="24">
                  <c:v>1.5622074293090975</c:v>
                </c:pt>
                <c:pt idx="25">
                  <c:v>1.4490012923363622</c:v>
                </c:pt>
                <c:pt idx="26">
                  <c:v>1.510931795564602</c:v>
                </c:pt>
                <c:pt idx="27">
                  <c:v>1.8366162892787088</c:v>
                </c:pt>
                <c:pt idx="28">
                  <c:v>1.4663041775407066</c:v>
                </c:pt>
                <c:pt idx="29">
                  <c:v>1.4017976803033889</c:v>
                </c:pt>
                <c:pt idx="30">
                  <c:v>1.9311643076100466</c:v>
                </c:pt>
                <c:pt idx="31">
                  <c:v>1.3946025548949592</c:v>
                </c:pt>
                <c:pt idx="32">
                  <c:v>1.5065537498241781</c:v>
                </c:pt>
                <c:pt idx="33">
                  <c:v>1.7120392741007464</c:v>
                </c:pt>
                <c:pt idx="34">
                  <c:v>0.90441574921430856</c:v>
                </c:pt>
                <c:pt idx="35">
                  <c:v>1.2157425592426989</c:v>
                </c:pt>
                <c:pt idx="36">
                  <c:v>0.92232506347222909</c:v>
                </c:pt>
                <c:pt idx="37">
                  <c:v>0.23917587311999</c:v>
                </c:pt>
                <c:pt idx="38">
                  <c:v>0.17637823883171677</c:v>
                </c:pt>
                <c:pt idx="39">
                  <c:v>-0.33427677881685725</c:v>
                </c:pt>
                <c:pt idx="40">
                  <c:v>-0.46409784983924851</c:v>
                </c:pt>
                <c:pt idx="41">
                  <c:v>-1.860362480648476</c:v>
                </c:pt>
              </c:numCache>
            </c:numRef>
          </c:val>
          <c:smooth val="0"/>
          <c:extLst>
            <c:ext xmlns:c16="http://schemas.microsoft.com/office/drawing/2014/chart" uri="{C3380CC4-5D6E-409C-BE32-E72D297353CC}">
              <c16:uniqueId val="{00000008-CB01-484F-87B7-9B522F8DEAE5}"/>
            </c:ext>
          </c:extLst>
        </c:ser>
        <c:dLbls>
          <c:showLegendKey val="0"/>
          <c:showVal val="0"/>
          <c:showCatName val="0"/>
          <c:showSerName val="0"/>
          <c:showPercent val="0"/>
          <c:showBubbleSize val="0"/>
        </c:dLbls>
        <c:marker val="1"/>
        <c:smooth val="0"/>
        <c:axId val="101898496"/>
        <c:axId val="101781504"/>
      </c:lineChart>
      <c:lineChart>
        <c:grouping val="standard"/>
        <c:varyColors val="0"/>
        <c:ser>
          <c:idx val="9"/>
          <c:order val="9"/>
          <c:tx>
            <c:strRef>
              <c:f>'Trh práce 1'!$AL$7</c:f>
              <c:strCache>
                <c:ptCount val="1"/>
              </c:strCache>
            </c:strRef>
          </c:tx>
          <c:spPr>
            <a:ln>
              <a:noFill/>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1'!$AL$8:$AL$49</c:f>
              <c:numCache>
                <c:formatCode>General</c:formatCode>
                <c:ptCount val="42"/>
              </c:numCache>
            </c:numRef>
          </c:val>
          <c:smooth val="0"/>
          <c:extLst>
            <c:ext xmlns:c16="http://schemas.microsoft.com/office/drawing/2014/chart" uri="{C3380CC4-5D6E-409C-BE32-E72D297353CC}">
              <c16:uniqueId val="{00000009-CB01-484F-87B7-9B522F8DEAE5}"/>
            </c:ext>
          </c:extLst>
        </c:ser>
        <c:ser>
          <c:idx val="10"/>
          <c:order val="10"/>
          <c:tx>
            <c:strRef>
              <c:f>'Trh práce 1'!$AM$7</c:f>
              <c:strCache>
                <c:ptCount val="1"/>
                <c:pt idx="0">
                  <c:v>Employment expectations (industry)</c:v>
                </c:pt>
              </c:strCache>
            </c:strRef>
          </c:tx>
          <c:spPr>
            <a:ln w="15875">
              <a:solidFill>
                <a:schemeClr val="tx1">
                  <a:lumMod val="95000"/>
                  <a:lumOff val="5000"/>
                </a:schemeClr>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1'!$AM$8:$AM$49</c:f>
              <c:numCache>
                <c:formatCode>General</c:formatCode>
                <c:ptCount val="42"/>
                <c:pt idx="0">
                  <c:v>-10.9</c:v>
                </c:pt>
                <c:pt idx="1">
                  <c:v>-1.8</c:v>
                </c:pt>
                <c:pt idx="2">
                  <c:v>3.1</c:v>
                </c:pt>
                <c:pt idx="3">
                  <c:v>9.1999999999999993</c:v>
                </c:pt>
                <c:pt idx="4">
                  <c:v>12.4</c:v>
                </c:pt>
                <c:pt idx="5">
                  <c:v>1.9</c:v>
                </c:pt>
                <c:pt idx="6">
                  <c:v>3.2</c:v>
                </c:pt>
                <c:pt idx="7">
                  <c:v>-3.7</c:v>
                </c:pt>
                <c:pt idx="8">
                  <c:v>0.6</c:v>
                </c:pt>
                <c:pt idx="9">
                  <c:v>-11.6</c:v>
                </c:pt>
                <c:pt idx="10">
                  <c:v>-16.100000000000001</c:v>
                </c:pt>
                <c:pt idx="11">
                  <c:v>-12.9</c:v>
                </c:pt>
                <c:pt idx="12">
                  <c:v>-11.6</c:v>
                </c:pt>
                <c:pt idx="13">
                  <c:v>-10.9</c:v>
                </c:pt>
                <c:pt idx="14">
                  <c:v>-8</c:v>
                </c:pt>
                <c:pt idx="15">
                  <c:v>2.6</c:v>
                </c:pt>
                <c:pt idx="16">
                  <c:v>-4.8</c:v>
                </c:pt>
                <c:pt idx="17">
                  <c:v>5.3</c:v>
                </c:pt>
                <c:pt idx="18">
                  <c:v>0.6</c:v>
                </c:pt>
                <c:pt idx="19">
                  <c:v>8.1</c:v>
                </c:pt>
                <c:pt idx="20">
                  <c:v>3.3</c:v>
                </c:pt>
                <c:pt idx="21">
                  <c:v>6.6</c:v>
                </c:pt>
                <c:pt idx="22">
                  <c:v>6.4</c:v>
                </c:pt>
                <c:pt idx="23">
                  <c:v>11.1</c:v>
                </c:pt>
                <c:pt idx="24">
                  <c:v>11.1</c:v>
                </c:pt>
                <c:pt idx="25">
                  <c:v>6.1</c:v>
                </c:pt>
                <c:pt idx="26">
                  <c:v>5.3</c:v>
                </c:pt>
                <c:pt idx="27">
                  <c:v>9.1</c:v>
                </c:pt>
                <c:pt idx="28">
                  <c:v>9.6</c:v>
                </c:pt>
                <c:pt idx="29">
                  <c:v>6.7</c:v>
                </c:pt>
                <c:pt idx="30">
                  <c:v>8.6999999999999993</c:v>
                </c:pt>
                <c:pt idx="31">
                  <c:v>8.5</c:v>
                </c:pt>
                <c:pt idx="32">
                  <c:v>12.9</c:v>
                </c:pt>
                <c:pt idx="33">
                  <c:v>7.3</c:v>
                </c:pt>
                <c:pt idx="34">
                  <c:v>5.9</c:v>
                </c:pt>
                <c:pt idx="35">
                  <c:v>5.6</c:v>
                </c:pt>
                <c:pt idx="36">
                  <c:v>0.7</c:v>
                </c:pt>
                <c:pt idx="37">
                  <c:v>-2.2999999999999998</c:v>
                </c:pt>
                <c:pt idx="38">
                  <c:v>0</c:v>
                </c:pt>
                <c:pt idx="39">
                  <c:v>-6.5</c:v>
                </c:pt>
                <c:pt idx="40">
                  <c:v>-0.8</c:v>
                </c:pt>
                <c:pt idx="41">
                  <c:v>-17.7</c:v>
                </c:pt>
              </c:numCache>
            </c:numRef>
          </c:val>
          <c:smooth val="0"/>
          <c:extLst>
            <c:ext xmlns:c16="http://schemas.microsoft.com/office/drawing/2014/chart" uri="{C3380CC4-5D6E-409C-BE32-E72D297353CC}">
              <c16:uniqueId val="{0000000A-CB01-484F-87B7-9B522F8DEAE5}"/>
            </c:ext>
          </c:extLst>
        </c:ser>
        <c:ser>
          <c:idx val="11"/>
          <c:order val="11"/>
          <c:tx>
            <c:strRef>
              <c:f>'Trh práce 1'!$AN$7</c:f>
              <c:strCache>
                <c:ptCount val="1"/>
                <c:pt idx="0">
                  <c:v>Employment expectations (construction)</c:v>
                </c:pt>
              </c:strCache>
            </c:strRef>
          </c:tx>
          <c:spPr>
            <a:ln w="15875">
              <a:solidFill>
                <a:srgbClr val="00B0F0"/>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1'!$AN$8:$AN$49</c:f>
              <c:numCache>
                <c:formatCode>General</c:formatCode>
                <c:ptCount val="42"/>
                <c:pt idx="0">
                  <c:v>-21.6</c:v>
                </c:pt>
                <c:pt idx="1">
                  <c:v>-25.3</c:v>
                </c:pt>
                <c:pt idx="2">
                  <c:v>-34.5</c:v>
                </c:pt>
                <c:pt idx="3">
                  <c:v>-32.1</c:v>
                </c:pt>
                <c:pt idx="4">
                  <c:v>-29.6</c:v>
                </c:pt>
                <c:pt idx="5">
                  <c:v>-29.5</c:v>
                </c:pt>
                <c:pt idx="6">
                  <c:v>-23.6</c:v>
                </c:pt>
                <c:pt idx="7">
                  <c:v>-28.1</c:v>
                </c:pt>
                <c:pt idx="8">
                  <c:v>-31.1</c:v>
                </c:pt>
                <c:pt idx="9">
                  <c:v>-28.4</c:v>
                </c:pt>
                <c:pt idx="10">
                  <c:v>-27</c:v>
                </c:pt>
                <c:pt idx="11">
                  <c:v>-28.6</c:v>
                </c:pt>
                <c:pt idx="12">
                  <c:v>-38.9</c:v>
                </c:pt>
                <c:pt idx="13">
                  <c:v>-41.9</c:v>
                </c:pt>
                <c:pt idx="14">
                  <c:v>-32.799999999999997</c:v>
                </c:pt>
                <c:pt idx="15">
                  <c:v>-28.6</c:v>
                </c:pt>
                <c:pt idx="16">
                  <c:v>-21.8</c:v>
                </c:pt>
                <c:pt idx="17">
                  <c:v>-17.7</c:v>
                </c:pt>
                <c:pt idx="18">
                  <c:v>-8.9</c:v>
                </c:pt>
                <c:pt idx="19">
                  <c:v>-6.2</c:v>
                </c:pt>
                <c:pt idx="20">
                  <c:v>1.2</c:v>
                </c:pt>
                <c:pt idx="21">
                  <c:v>3.6</c:v>
                </c:pt>
                <c:pt idx="22">
                  <c:v>6.9</c:v>
                </c:pt>
                <c:pt idx="23">
                  <c:v>0.3</c:v>
                </c:pt>
                <c:pt idx="24">
                  <c:v>-0.6</c:v>
                </c:pt>
                <c:pt idx="25">
                  <c:v>-7.6</c:v>
                </c:pt>
                <c:pt idx="26">
                  <c:v>-14.3</c:v>
                </c:pt>
                <c:pt idx="27">
                  <c:v>-11.9</c:v>
                </c:pt>
                <c:pt idx="28">
                  <c:v>-7.6</c:v>
                </c:pt>
                <c:pt idx="29">
                  <c:v>-8.1</c:v>
                </c:pt>
                <c:pt idx="30">
                  <c:v>-9.4</c:v>
                </c:pt>
                <c:pt idx="31">
                  <c:v>0.7</c:v>
                </c:pt>
                <c:pt idx="32">
                  <c:v>6.1</c:v>
                </c:pt>
                <c:pt idx="33">
                  <c:v>3.9</c:v>
                </c:pt>
                <c:pt idx="34">
                  <c:v>9.6</c:v>
                </c:pt>
                <c:pt idx="35">
                  <c:v>15.3</c:v>
                </c:pt>
                <c:pt idx="36">
                  <c:v>10.8</c:v>
                </c:pt>
                <c:pt idx="37">
                  <c:v>14.6</c:v>
                </c:pt>
                <c:pt idx="38">
                  <c:v>6.7</c:v>
                </c:pt>
                <c:pt idx="39">
                  <c:v>15.4</c:v>
                </c:pt>
                <c:pt idx="40">
                  <c:v>6.4</c:v>
                </c:pt>
                <c:pt idx="41">
                  <c:v>-5.8</c:v>
                </c:pt>
              </c:numCache>
            </c:numRef>
          </c:val>
          <c:smooth val="0"/>
          <c:extLst>
            <c:ext xmlns:c16="http://schemas.microsoft.com/office/drawing/2014/chart" uri="{C3380CC4-5D6E-409C-BE32-E72D297353CC}">
              <c16:uniqueId val="{0000000B-CB01-484F-87B7-9B522F8DEAE5}"/>
            </c:ext>
          </c:extLst>
        </c:ser>
        <c:ser>
          <c:idx val="12"/>
          <c:order val="12"/>
          <c:tx>
            <c:strRef>
              <c:f>'Trh práce 1'!$AO$7</c:f>
              <c:strCache>
                <c:ptCount val="1"/>
                <c:pt idx="0">
                  <c:v>Employment expectations (trade)</c:v>
                </c:pt>
              </c:strCache>
            </c:strRef>
          </c:tx>
          <c:spPr>
            <a:ln w="15875">
              <a:solidFill>
                <a:schemeClr val="accent6">
                  <a:lumMod val="75000"/>
                </a:schemeClr>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1'!$AO$8:$AO$49</c:f>
              <c:numCache>
                <c:formatCode>General</c:formatCode>
                <c:ptCount val="42"/>
                <c:pt idx="0">
                  <c:v>4.2</c:v>
                </c:pt>
                <c:pt idx="1">
                  <c:v>4.7</c:v>
                </c:pt>
                <c:pt idx="2">
                  <c:v>7.7</c:v>
                </c:pt>
                <c:pt idx="3">
                  <c:v>12.5</c:v>
                </c:pt>
                <c:pt idx="4">
                  <c:v>11.6</c:v>
                </c:pt>
                <c:pt idx="5">
                  <c:v>7.3</c:v>
                </c:pt>
                <c:pt idx="6">
                  <c:v>0.8</c:v>
                </c:pt>
                <c:pt idx="7">
                  <c:v>12</c:v>
                </c:pt>
                <c:pt idx="8">
                  <c:v>9.8000000000000007</c:v>
                </c:pt>
                <c:pt idx="9">
                  <c:v>7</c:v>
                </c:pt>
                <c:pt idx="10">
                  <c:v>4.2</c:v>
                </c:pt>
                <c:pt idx="11">
                  <c:v>10.8</c:v>
                </c:pt>
                <c:pt idx="12">
                  <c:v>-2.8</c:v>
                </c:pt>
                <c:pt idx="13">
                  <c:v>10.5</c:v>
                </c:pt>
                <c:pt idx="14">
                  <c:v>1.1000000000000001</c:v>
                </c:pt>
                <c:pt idx="15">
                  <c:v>-3.4</c:v>
                </c:pt>
                <c:pt idx="16">
                  <c:v>7.4</c:v>
                </c:pt>
                <c:pt idx="17">
                  <c:v>-8.5</c:v>
                </c:pt>
                <c:pt idx="18">
                  <c:v>2.6</c:v>
                </c:pt>
                <c:pt idx="19">
                  <c:v>11.6</c:v>
                </c:pt>
                <c:pt idx="20">
                  <c:v>6</c:v>
                </c:pt>
                <c:pt idx="21">
                  <c:v>9.3000000000000007</c:v>
                </c:pt>
                <c:pt idx="22">
                  <c:v>7.9</c:v>
                </c:pt>
                <c:pt idx="23">
                  <c:v>10.199999999999999</c:v>
                </c:pt>
                <c:pt idx="24">
                  <c:v>16.5</c:v>
                </c:pt>
                <c:pt idx="25">
                  <c:v>21.3</c:v>
                </c:pt>
                <c:pt idx="26">
                  <c:v>21.6</c:v>
                </c:pt>
                <c:pt idx="27">
                  <c:v>15.3</c:v>
                </c:pt>
                <c:pt idx="28">
                  <c:v>14</c:v>
                </c:pt>
                <c:pt idx="29">
                  <c:v>17</c:v>
                </c:pt>
                <c:pt idx="30">
                  <c:v>18</c:v>
                </c:pt>
                <c:pt idx="31">
                  <c:v>11.6</c:v>
                </c:pt>
                <c:pt idx="32">
                  <c:v>29.9</c:v>
                </c:pt>
                <c:pt idx="33">
                  <c:v>29.3</c:v>
                </c:pt>
                <c:pt idx="34">
                  <c:v>18.3</c:v>
                </c:pt>
                <c:pt idx="35">
                  <c:v>18.100000000000001</c:v>
                </c:pt>
                <c:pt idx="36">
                  <c:v>16.600000000000001</c:v>
                </c:pt>
                <c:pt idx="37">
                  <c:v>14.9</c:v>
                </c:pt>
                <c:pt idx="38">
                  <c:v>17.100000000000001</c:v>
                </c:pt>
                <c:pt idx="39">
                  <c:v>15.1</c:v>
                </c:pt>
                <c:pt idx="40">
                  <c:v>9.6999999999999993</c:v>
                </c:pt>
                <c:pt idx="41">
                  <c:v>-0.8</c:v>
                </c:pt>
              </c:numCache>
            </c:numRef>
          </c:val>
          <c:smooth val="0"/>
          <c:extLst>
            <c:ext xmlns:c16="http://schemas.microsoft.com/office/drawing/2014/chart" uri="{C3380CC4-5D6E-409C-BE32-E72D297353CC}">
              <c16:uniqueId val="{0000000C-CB01-484F-87B7-9B522F8DEAE5}"/>
            </c:ext>
          </c:extLst>
        </c:ser>
        <c:ser>
          <c:idx val="13"/>
          <c:order val="13"/>
          <c:tx>
            <c:strRef>
              <c:f>'Trh práce 1'!$AP$7</c:f>
              <c:strCache>
                <c:ptCount val="1"/>
                <c:pt idx="0">
                  <c:v>Employment expectations (selected services)</c:v>
                </c:pt>
              </c:strCache>
            </c:strRef>
          </c:tx>
          <c:spPr>
            <a:ln w="15875">
              <a:solidFill>
                <a:srgbClr val="C00000"/>
              </a:solidFill>
              <a:prstDash val="sysDot"/>
            </a:ln>
          </c:spPr>
          <c:marker>
            <c:symbol val="none"/>
          </c:marker>
          <c:cat>
            <c:multiLvlStrRef>
              <c:f>'Trh práce 1'!$AA$8:$AB$49</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 1'!$AP$8:$AP$49</c:f>
              <c:numCache>
                <c:formatCode>General</c:formatCode>
                <c:ptCount val="42"/>
                <c:pt idx="0">
                  <c:v>-8.6999999999999993</c:v>
                </c:pt>
                <c:pt idx="1">
                  <c:v>-3.9</c:v>
                </c:pt>
                <c:pt idx="2">
                  <c:v>-3.5</c:v>
                </c:pt>
                <c:pt idx="3">
                  <c:v>-9.9</c:v>
                </c:pt>
                <c:pt idx="4">
                  <c:v>-25</c:v>
                </c:pt>
                <c:pt idx="5">
                  <c:v>-9.9</c:v>
                </c:pt>
                <c:pt idx="6">
                  <c:v>-7.8</c:v>
                </c:pt>
                <c:pt idx="7">
                  <c:v>-0.4</c:v>
                </c:pt>
                <c:pt idx="8">
                  <c:v>-3.6</c:v>
                </c:pt>
                <c:pt idx="9">
                  <c:v>-11.9</c:v>
                </c:pt>
                <c:pt idx="10">
                  <c:v>-13.6</c:v>
                </c:pt>
                <c:pt idx="11">
                  <c:v>-8.4</c:v>
                </c:pt>
                <c:pt idx="12">
                  <c:v>-12.7</c:v>
                </c:pt>
                <c:pt idx="13">
                  <c:v>-33.5</c:v>
                </c:pt>
                <c:pt idx="14">
                  <c:v>-22.9</c:v>
                </c:pt>
                <c:pt idx="15">
                  <c:v>-15.8</c:v>
                </c:pt>
                <c:pt idx="16">
                  <c:v>-11.2</c:v>
                </c:pt>
                <c:pt idx="17">
                  <c:v>-10.4</c:v>
                </c:pt>
                <c:pt idx="18">
                  <c:v>-11.6</c:v>
                </c:pt>
                <c:pt idx="19">
                  <c:v>-10.9</c:v>
                </c:pt>
                <c:pt idx="20">
                  <c:v>-14.5</c:v>
                </c:pt>
                <c:pt idx="21">
                  <c:v>-11.6</c:v>
                </c:pt>
                <c:pt idx="22">
                  <c:v>3.4</c:v>
                </c:pt>
                <c:pt idx="23">
                  <c:v>-0.6</c:v>
                </c:pt>
                <c:pt idx="24">
                  <c:v>6.1</c:v>
                </c:pt>
                <c:pt idx="25">
                  <c:v>20</c:v>
                </c:pt>
                <c:pt idx="26">
                  <c:v>-1</c:v>
                </c:pt>
                <c:pt idx="27">
                  <c:v>12.3</c:v>
                </c:pt>
                <c:pt idx="28">
                  <c:v>13.4</c:v>
                </c:pt>
                <c:pt idx="29">
                  <c:v>8.6999999999999993</c:v>
                </c:pt>
                <c:pt idx="30">
                  <c:v>16.399999999999999</c:v>
                </c:pt>
                <c:pt idx="31">
                  <c:v>6.3</c:v>
                </c:pt>
                <c:pt idx="32">
                  <c:v>9.1</c:v>
                </c:pt>
                <c:pt idx="33">
                  <c:v>9.6</c:v>
                </c:pt>
                <c:pt idx="34">
                  <c:v>2.5</c:v>
                </c:pt>
                <c:pt idx="35">
                  <c:v>-11.2</c:v>
                </c:pt>
                <c:pt idx="36">
                  <c:v>-13.2</c:v>
                </c:pt>
                <c:pt idx="37">
                  <c:v>-1.8</c:v>
                </c:pt>
                <c:pt idx="38">
                  <c:v>-2.6</c:v>
                </c:pt>
                <c:pt idx="39">
                  <c:v>-12</c:v>
                </c:pt>
                <c:pt idx="40">
                  <c:v>-20.9</c:v>
                </c:pt>
                <c:pt idx="41">
                  <c:v>-34.9</c:v>
                </c:pt>
              </c:numCache>
            </c:numRef>
          </c:val>
          <c:smooth val="0"/>
          <c:extLst>
            <c:ext xmlns:c16="http://schemas.microsoft.com/office/drawing/2014/chart" uri="{C3380CC4-5D6E-409C-BE32-E72D297353CC}">
              <c16:uniqueId val="{0000000D-CB01-484F-87B7-9B522F8DEAE5}"/>
            </c:ext>
          </c:extLst>
        </c:ser>
        <c:dLbls>
          <c:showLegendKey val="0"/>
          <c:showVal val="0"/>
          <c:showCatName val="0"/>
          <c:showSerName val="0"/>
          <c:showPercent val="0"/>
          <c:showBubbleSize val="0"/>
        </c:dLbls>
        <c:marker val="1"/>
        <c:smooth val="0"/>
        <c:axId val="332941824"/>
        <c:axId val="332936832"/>
      </c:lineChart>
      <c:catAx>
        <c:axId val="101898496"/>
        <c:scaling>
          <c:orientation val="minMax"/>
        </c:scaling>
        <c:delete val="0"/>
        <c:axPos val="b"/>
        <c:numFmt formatCode="General" sourceLinked="1"/>
        <c:majorTickMark val="out"/>
        <c:minorTickMark val="none"/>
        <c:tickLblPos val="low"/>
        <c:spPr>
          <a:ln>
            <a:solidFill>
              <a:schemeClr val="tx1"/>
            </a:solidFill>
          </a:ln>
        </c:spPr>
        <c:crossAx val="101781504"/>
        <c:crosses val="autoZero"/>
        <c:auto val="1"/>
        <c:lblAlgn val="ctr"/>
        <c:lblOffset val="10"/>
        <c:noMultiLvlLbl val="0"/>
      </c:catAx>
      <c:valAx>
        <c:axId val="101781504"/>
        <c:scaling>
          <c:orientation val="minMax"/>
          <c:max val="2"/>
          <c:min val="-5"/>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Contribution to the employment change, number of econ. inactive</a:t>
                </a:r>
                <a:endParaRPr lang="cs-CZ" sz="700">
                  <a:effectLst/>
                </a:endParaRPr>
              </a:p>
            </c:rich>
          </c:tx>
          <c:layout>
            <c:manualLayout>
              <c:xMode val="edge"/>
              <c:yMode val="edge"/>
              <c:x val="0"/>
              <c:y val="1.3859527635509062E-2"/>
            </c:manualLayout>
          </c:layout>
          <c:overlay val="0"/>
        </c:title>
        <c:numFmt formatCode="0.0" sourceLinked="0"/>
        <c:majorTickMark val="out"/>
        <c:minorTickMark val="none"/>
        <c:tickLblPos val="nextTo"/>
        <c:spPr>
          <a:ln>
            <a:solidFill>
              <a:schemeClr val="tx1"/>
            </a:solidFill>
          </a:ln>
        </c:spPr>
        <c:crossAx val="101898496"/>
        <c:crosses val="autoZero"/>
        <c:crossBetween val="between"/>
        <c:majorUnit val="0.5"/>
      </c:valAx>
      <c:valAx>
        <c:axId val="332936832"/>
        <c:scaling>
          <c:orientation val="minMax"/>
          <c:max val="100"/>
          <c:min val="-4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Expectations of the employment</a:t>
                </a:r>
                <a:endParaRPr lang="cs-CZ" sz="700">
                  <a:effectLst/>
                </a:endParaRPr>
              </a:p>
            </c:rich>
          </c:tx>
          <c:layout>
            <c:manualLayout>
              <c:xMode val="edge"/>
              <c:yMode val="edge"/>
              <c:x val="0.97040343782834393"/>
              <c:y val="0.19420735772001382"/>
            </c:manualLayout>
          </c:layout>
          <c:overlay val="0"/>
        </c:title>
        <c:numFmt formatCode="#,##0" sourceLinked="0"/>
        <c:majorTickMark val="out"/>
        <c:minorTickMark val="none"/>
        <c:tickLblPos val="nextTo"/>
        <c:crossAx val="332941824"/>
        <c:crosses val="max"/>
        <c:crossBetween val="between"/>
        <c:majorUnit val="10"/>
      </c:valAx>
      <c:catAx>
        <c:axId val="332941824"/>
        <c:scaling>
          <c:orientation val="minMax"/>
        </c:scaling>
        <c:delete val="1"/>
        <c:axPos val="b"/>
        <c:numFmt formatCode="General" sourceLinked="1"/>
        <c:majorTickMark val="out"/>
        <c:minorTickMark val="none"/>
        <c:tickLblPos val="nextTo"/>
        <c:crossAx val="332936832"/>
        <c:crosses val="autoZero"/>
        <c:auto val="1"/>
        <c:lblAlgn val="ctr"/>
        <c:lblOffset val="100"/>
        <c:noMultiLvlLbl val="0"/>
      </c:catAx>
      <c:spPr>
        <a:ln>
          <a:solidFill>
            <a:schemeClr val="tx1"/>
          </a:solidFill>
        </a:ln>
      </c:spPr>
    </c:plotArea>
    <c:legend>
      <c:legendPos val="b"/>
      <c:layout>
        <c:manualLayout>
          <c:xMode val="edge"/>
          <c:yMode val="edge"/>
          <c:x val="4.692510837063792E-3"/>
          <c:y val="0.7737351285059999"/>
          <c:w val="0.98684114511605581"/>
          <c:h val="0.21194618315349945"/>
        </c:manualLayout>
      </c:layout>
      <c:overlay val="0"/>
      <c:spPr>
        <a:ln w="6350">
          <a:solidFill>
            <a:schemeClr val="tx1"/>
          </a:solidFill>
        </a:ln>
      </c:spPr>
      <c:txPr>
        <a:bodyPr/>
        <a:lstStyle/>
        <a:p>
          <a:pPr>
            <a:defRPr sz="750"/>
          </a:pPr>
          <a:endParaRPr lang="cs-CZ"/>
        </a:p>
      </c:tx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2697263565753378E-2"/>
          <c:y val="1.643251153889452E-2"/>
          <c:w val="0.85454194986526066"/>
          <c:h val="0.71056751873612889"/>
        </c:manualLayout>
      </c:layout>
      <c:barChart>
        <c:barDir val="col"/>
        <c:grouping val="clustered"/>
        <c:varyColors val="0"/>
        <c:ser>
          <c:idx val="0"/>
          <c:order val="0"/>
          <c:tx>
            <c:strRef>
              <c:f>'Trh práce-2b'!$A$31</c:f>
              <c:strCache>
                <c:ptCount val="1"/>
                <c:pt idx="0">
                  <c:v>Male unemployment rate (left axis)</c:v>
                </c:pt>
              </c:strCache>
            </c:strRef>
          </c:tx>
          <c:spPr>
            <a:solidFill>
              <a:srgbClr val="BCBCBC"/>
            </a:solidFill>
          </c:spPr>
          <c:invertIfNegative val="0"/>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práce-2b'!$B$31:$AQ$31</c:f>
              <c:numCache>
                <c:formatCode>0.0</c:formatCode>
                <c:ptCount val="42"/>
                <c:pt idx="0">
                  <c:v>7.1604523424740121</c:v>
                </c:pt>
                <c:pt idx="1">
                  <c:v>6.4121281921519087</c:v>
                </c:pt>
                <c:pt idx="2">
                  <c:v>6.1709609297865953</c:v>
                </c:pt>
                <c:pt idx="3">
                  <c:v>6.1131978148148862</c:v>
                </c:pt>
                <c:pt idx="4">
                  <c:v>6.1002560146375542</c:v>
                </c:pt>
                <c:pt idx="5">
                  <c:v>5.9756597559482572</c:v>
                </c:pt>
                <c:pt idx="6">
                  <c:v>5.7159156023412754</c:v>
                </c:pt>
                <c:pt idx="7">
                  <c:v>5.7087133678667357</c:v>
                </c:pt>
                <c:pt idx="8">
                  <c:v>6.0583134966740291</c:v>
                </c:pt>
                <c:pt idx="9">
                  <c:v>5.9076668314324969</c:v>
                </c:pt>
                <c:pt idx="10">
                  <c:v>6.0369877832219485</c:v>
                </c:pt>
                <c:pt idx="11">
                  <c:v>6.2934312325361077</c:v>
                </c:pt>
                <c:pt idx="12">
                  <c:v>6.339947701148259</c:v>
                </c:pt>
                <c:pt idx="13">
                  <c:v>5.8433685002783831</c:v>
                </c:pt>
                <c:pt idx="14">
                  <c:v>5.950995992187015</c:v>
                </c:pt>
                <c:pt idx="15">
                  <c:v>5.8003662111322711</c:v>
                </c:pt>
                <c:pt idx="16">
                  <c:v>5.5825662119501507</c:v>
                </c:pt>
                <c:pt idx="17">
                  <c:v>5.1855428921860183</c:v>
                </c:pt>
                <c:pt idx="18">
                  <c:v>4.9090276875315224</c:v>
                </c:pt>
                <c:pt idx="19">
                  <c:v>5.01427710395091</c:v>
                </c:pt>
                <c:pt idx="20">
                  <c:v>5.0330762578903592</c:v>
                </c:pt>
                <c:pt idx="21">
                  <c:v>4.3060346271489651</c:v>
                </c:pt>
                <c:pt idx="22">
                  <c:v>4.0523390052961128</c:v>
                </c:pt>
                <c:pt idx="23">
                  <c:v>3.7950726270580621</c:v>
                </c:pt>
                <c:pt idx="24">
                  <c:v>3.6601535610942104</c:v>
                </c:pt>
                <c:pt idx="25">
                  <c:v>3.5567858585943148</c:v>
                </c:pt>
                <c:pt idx="26">
                  <c:v>3.3839743172069432</c:v>
                </c:pt>
                <c:pt idx="27">
                  <c:v>3.1605576804507014</c:v>
                </c:pt>
                <c:pt idx="28">
                  <c:v>2.701002398194706</c:v>
                </c:pt>
                <c:pt idx="29">
                  <c:v>2.4790867169033795</c:v>
                </c:pt>
                <c:pt idx="30">
                  <c:v>2.2470636598397857</c:v>
                </c:pt>
                <c:pt idx="31">
                  <c:v>2.0873237649062149</c:v>
                </c:pt>
                <c:pt idx="32">
                  <c:v>1.8992751907258054</c:v>
                </c:pt>
                <c:pt idx="33">
                  <c:v>1.819406765814735</c:v>
                </c:pt>
                <c:pt idx="34">
                  <c:v>1.8867419084423347</c:v>
                </c:pt>
                <c:pt idx="35">
                  <c:v>1.6871547982289037</c:v>
                </c:pt>
                <c:pt idx="36">
                  <c:v>1.8069218975596295</c:v>
                </c:pt>
                <c:pt idx="37">
                  <c:v>1.6642655006825746</c:v>
                </c:pt>
                <c:pt idx="38">
                  <c:v>1.7647900079859269</c:v>
                </c:pt>
                <c:pt idx="39">
                  <c:v>1.8646873027168176</c:v>
                </c:pt>
                <c:pt idx="40">
                  <c:v>1.847584661918835</c:v>
                </c:pt>
                <c:pt idx="41">
                  <c:v>2.2641497037862206</c:v>
                </c:pt>
              </c:numCache>
            </c:numRef>
          </c:val>
          <c:extLst>
            <c:ext xmlns:c16="http://schemas.microsoft.com/office/drawing/2014/chart" uri="{C3380CC4-5D6E-409C-BE32-E72D297353CC}">
              <c16:uniqueId val="{00000000-F8DF-437E-9347-E9819B5B9105}"/>
            </c:ext>
          </c:extLst>
        </c:ser>
        <c:ser>
          <c:idx val="1"/>
          <c:order val="1"/>
          <c:tx>
            <c:strRef>
              <c:f>'Trh práce-2b'!$A$32</c:f>
              <c:strCache>
                <c:ptCount val="1"/>
                <c:pt idx="0">
                  <c:v>Female unemployment rate (left axis)</c:v>
                </c:pt>
              </c:strCache>
            </c:strRef>
          </c:tx>
          <c:spPr>
            <a:solidFill>
              <a:srgbClr val="DBDBDB"/>
            </a:solidFill>
          </c:spPr>
          <c:invertIfNegative val="0"/>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práce-2b'!$B$32:$AQ$32</c:f>
              <c:numCache>
                <c:formatCode>0.0</c:formatCode>
                <c:ptCount val="42"/>
                <c:pt idx="0">
                  <c:v>8.787375444491941</c:v>
                </c:pt>
                <c:pt idx="1">
                  <c:v>8.5493867745332306</c:v>
                </c:pt>
                <c:pt idx="2">
                  <c:v>8.4851706560801059</c:v>
                </c:pt>
                <c:pt idx="3">
                  <c:v>8.3316826167265656</c:v>
                </c:pt>
                <c:pt idx="4">
                  <c:v>8.1886034834779746</c:v>
                </c:pt>
                <c:pt idx="5">
                  <c:v>8.0979101002516849</c:v>
                </c:pt>
                <c:pt idx="6">
                  <c:v>7.8320022168199896</c:v>
                </c:pt>
                <c:pt idx="7">
                  <c:v>7.7524354005664939</c:v>
                </c:pt>
                <c:pt idx="8">
                  <c:v>8.0738066673159938</c:v>
                </c:pt>
                <c:pt idx="9">
                  <c:v>8.1711410197693812</c:v>
                </c:pt>
                <c:pt idx="10">
                  <c:v>8.2963303124937013</c:v>
                </c:pt>
                <c:pt idx="11">
                  <c:v>8.5183736871594675</c:v>
                </c:pt>
                <c:pt idx="12">
                  <c:v>8.5065056824537137</c:v>
                </c:pt>
                <c:pt idx="13">
                  <c:v>8.4153419080279672</c:v>
                </c:pt>
                <c:pt idx="14">
                  <c:v>8.3799582003740412</c:v>
                </c:pt>
                <c:pt idx="15">
                  <c:v>8.2020121513754454</c:v>
                </c:pt>
                <c:pt idx="16">
                  <c:v>7.992304444813314</c:v>
                </c:pt>
                <c:pt idx="17">
                  <c:v>7.7067021117074717</c:v>
                </c:pt>
                <c:pt idx="18">
                  <c:v>7.3530522730084833</c:v>
                </c:pt>
                <c:pt idx="19">
                  <c:v>6.9713852345370251</c:v>
                </c:pt>
                <c:pt idx="20">
                  <c:v>6.806233418877973</c:v>
                </c:pt>
                <c:pt idx="21">
                  <c:v>6.2592777875158978</c:v>
                </c:pt>
                <c:pt idx="22">
                  <c:v>5.9742610021571307</c:v>
                </c:pt>
                <c:pt idx="23">
                  <c:v>5.6260945601636445</c:v>
                </c:pt>
                <c:pt idx="24">
                  <c:v>5.1207660814356979</c:v>
                </c:pt>
                <c:pt idx="25">
                  <c:v>4.8399895375634827</c:v>
                </c:pt>
                <c:pt idx="26">
                  <c:v>4.769536500403329</c:v>
                </c:pt>
                <c:pt idx="27">
                  <c:v>4.3664894782953736</c:v>
                </c:pt>
                <c:pt idx="28">
                  <c:v>4.2621638864718649</c:v>
                </c:pt>
                <c:pt idx="29">
                  <c:v>3.8834986595447045</c:v>
                </c:pt>
                <c:pt idx="30">
                  <c:v>3.3826881858082167</c:v>
                </c:pt>
                <c:pt idx="31">
                  <c:v>3.0327195730384719</c:v>
                </c:pt>
                <c:pt idx="32">
                  <c:v>3.0339448138877629</c:v>
                </c:pt>
                <c:pt idx="33">
                  <c:v>2.9074650812819249</c:v>
                </c:pt>
                <c:pt idx="34">
                  <c:v>2.6981069151197463</c:v>
                </c:pt>
                <c:pt idx="35">
                  <c:v>2.5781736488946954</c:v>
                </c:pt>
                <c:pt idx="36">
                  <c:v>2.4970362507687027</c:v>
                </c:pt>
                <c:pt idx="37">
                  <c:v>2.4564558844213482</c:v>
                </c:pt>
                <c:pt idx="38">
                  <c:v>2.4108125319601847</c:v>
                </c:pt>
                <c:pt idx="39">
                  <c:v>2.3486141561978333</c:v>
                </c:pt>
                <c:pt idx="40">
                  <c:v>2.3454577464264221</c:v>
                </c:pt>
                <c:pt idx="41">
                  <c:v>2.6669240565652168</c:v>
                </c:pt>
              </c:numCache>
            </c:numRef>
          </c:val>
          <c:extLst>
            <c:ext xmlns:c16="http://schemas.microsoft.com/office/drawing/2014/chart" uri="{C3380CC4-5D6E-409C-BE32-E72D297353CC}">
              <c16:uniqueId val="{00000001-F8DF-437E-9347-E9819B5B9105}"/>
            </c:ext>
          </c:extLst>
        </c:ser>
        <c:dLbls>
          <c:showLegendKey val="0"/>
          <c:showVal val="0"/>
          <c:showCatName val="0"/>
          <c:showSerName val="0"/>
          <c:showPercent val="0"/>
          <c:showBubbleSize val="0"/>
        </c:dLbls>
        <c:gapWidth val="68"/>
        <c:axId val="100654464"/>
        <c:axId val="101647488"/>
      </c:barChart>
      <c:lineChart>
        <c:grouping val="standard"/>
        <c:varyColors val="0"/>
        <c:ser>
          <c:idx val="2"/>
          <c:order val="2"/>
          <c:tx>
            <c:strRef>
              <c:f>'Trh práce-2b'!$A$33</c:f>
              <c:strCache>
                <c:ptCount val="1"/>
                <c:pt idx="0">
                  <c:v>Ratio of unemployed more than 1 year (in %, right axis)</c:v>
                </c:pt>
              </c:strCache>
            </c:strRef>
          </c:tx>
          <c:spPr>
            <a:ln w="19050">
              <a:solidFill>
                <a:srgbClr val="00B050"/>
              </a:solidFill>
              <a:prstDash val="sysDash"/>
            </a:ln>
          </c:spPr>
          <c:marker>
            <c:symbol val="none"/>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práce-2b'!$B$33:$AQ$33</c:f>
              <c:numCache>
                <c:formatCode>0.0</c:formatCode>
                <c:ptCount val="42"/>
                <c:pt idx="0">
                  <c:v>35.786982248520715</c:v>
                </c:pt>
                <c:pt idx="1">
                  <c:v>41.548731642189587</c:v>
                </c:pt>
                <c:pt idx="2">
                  <c:v>43.063352044907781</c:v>
                </c:pt>
                <c:pt idx="3">
                  <c:v>44.061724993111056</c:v>
                </c:pt>
                <c:pt idx="4">
                  <c:v>40.032197477864237</c:v>
                </c:pt>
                <c:pt idx="5">
                  <c:v>39.10073989755265</c:v>
                </c:pt>
                <c:pt idx="6">
                  <c:v>40.443536620951271</c:v>
                </c:pt>
                <c:pt idx="7">
                  <c:v>42.797494780793315</c:v>
                </c:pt>
                <c:pt idx="8">
                  <c:v>43.093174431202605</c:v>
                </c:pt>
                <c:pt idx="9">
                  <c:v>44.343117697349683</c:v>
                </c:pt>
                <c:pt idx="10">
                  <c:v>43.272628431639035</c:v>
                </c:pt>
                <c:pt idx="11">
                  <c:v>42.710255734247298</c:v>
                </c:pt>
                <c:pt idx="12">
                  <c:v>43.264578558696208</c:v>
                </c:pt>
                <c:pt idx="13">
                  <c:v>44.41340782122905</c:v>
                </c:pt>
                <c:pt idx="14">
                  <c:v>43.695887445887443</c:v>
                </c:pt>
                <c:pt idx="15">
                  <c:v>42.290377039954983</c:v>
                </c:pt>
                <c:pt idx="16">
                  <c:v>41.140301844605929</c:v>
                </c:pt>
                <c:pt idx="17">
                  <c:v>43.188951663527931</c:v>
                </c:pt>
                <c:pt idx="18">
                  <c:v>43.811960345378957</c:v>
                </c:pt>
                <c:pt idx="19">
                  <c:v>46.249590566655755</c:v>
                </c:pt>
                <c:pt idx="20">
                  <c:v>45.762175838077162</c:v>
                </c:pt>
                <c:pt idx="21">
                  <c:v>46.715049656226128</c:v>
                </c:pt>
                <c:pt idx="22">
                  <c:v>48.521400778210108</c:v>
                </c:pt>
                <c:pt idx="23">
                  <c:v>48.542458808618512</c:v>
                </c:pt>
                <c:pt idx="24">
                  <c:v>45.847750865051907</c:v>
                </c:pt>
                <c:pt idx="25">
                  <c:v>43.490701001430608</c:v>
                </c:pt>
                <c:pt idx="26">
                  <c:v>39.295774647887328</c:v>
                </c:pt>
                <c:pt idx="27">
                  <c:v>39.196242171189979</c:v>
                </c:pt>
                <c:pt idx="28">
                  <c:v>37.093275488069416</c:v>
                </c:pt>
                <c:pt idx="29">
                  <c:v>37.366099558916197</c:v>
                </c:pt>
                <c:pt idx="30">
                  <c:v>32.798931195724784</c:v>
                </c:pt>
                <c:pt idx="31">
                  <c:v>31.546231546231553</c:v>
                </c:pt>
                <c:pt idx="32">
                  <c:v>31.741140215716484</c:v>
                </c:pt>
                <c:pt idx="33">
                  <c:v>30.28764805414551</c:v>
                </c:pt>
                <c:pt idx="34">
                  <c:v>28.796223446105422</c:v>
                </c:pt>
                <c:pt idx="35">
                  <c:v>31.317689530685922</c:v>
                </c:pt>
                <c:pt idx="36">
                  <c:v>32.360984503190522</c:v>
                </c:pt>
                <c:pt idx="37">
                  <c:v>32.2265625</c:v>
                </c:pt>
                <c:pt idx="38">
                  <c:v>26.979982593559615</c:v>
                </c:pt>
                <c:pt idx="39">
                  <c:v>28.623853211009177</c:v>
                </c:pt>
                <c:pt idx="40">
                  <c:v>27.049952874646561</c:v>
                </c:pt>
                <c:pt idx="41">
                  <c:v>20.823436262866192</c:v>
                </c:pt>
              </c:numCache>
            </c:numRef>
          </c:val>
          <c:smooth val="0"/>
          <c:extLst>
            <c:ext xmlns:c16="http://schemas.microsoft.com/office/drawing/2014/chart" uri="{C3380CC4-5D6E-409C-BE32-E72D297353CC}">
              <c16:uniqueId val="{00000002-F8DF-437E-9347-E9819B5B9105}"/>
            </c:ext>
          </c:extLst>
        </c:ser>
        <c:ser>
          <c:idx val="3"/>
          <c:order val="3"/>
          <c:tx>
            <c:strRef>
              <c:f>'Trh práce-2b'!$A$34</c:f>
              <c:strCache>
                <c:ptCount val="1"/>
                <c:pt idx="0">
                  <c:v>Ratio of unemployed aged 50+ (right axis)</c:v>
                </c:pt>
              </c:strCache>
            </c:strRef>
          </c:tx>
          <c:spPr>
            <a:ln w="19050">
              <a:prstDash val="sysDash"/>
            </a:ln>
          </c:spPr>
          <c:marker>
            <c:symbol val="none"/>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práce-2b'!$B$34:$AQ$34</c:f>
              <c:numCache>
                <c:formatCode>0.0</c:formatCode>
                <c:ptCount val="42"/>
                <c:pt idx="0">
                  <c:v>22.485207100591715</c:v>
                </c:pt>
                <c:pt idx="1">
                  <c:v>23.791722296395193</c:v>
                </c:pt>
                <c:pt idx="2">
                  <c:v>23.656776263031272</c:v>
                </c:pt>
                <c:pt idx="3">
                  <c:v>24.221548635987876</c:v>
                </c:pt>
                <c:pt idx="4">
                  <c:v>24.577408103031928</c:v>
                </c:pt>
                <c:pt idx="5">
                  <c:v>23.107569721115539</c:v>
                </c:pt>
                <c:pt idx="6">
                  <c:v>22.935512109716953</c:v>
                </c:pt>
                <c:pt idx="7">
                  <c:v>22.875037280047721</c:v>
                </c:pt>
                <c:pt idx="8">
                  <c:v>22.914409534127845</c:v>
                </c:pt>
                <c:pt idx="9">
                  <c:v>22.969506982046166</c:v>
                </c:pt>
                <c:pt idx="10">
                  <c:v>20.76651263930416</c:v>
                </c:pt>
                <c:pt idx="11">
                  <c:v>23.912470340100185</c:v>
                </c:pt>
                <c:pt idx="12">
                  <c:v>22.969187675070028</c:v>
                </c:pt>
                <c:pt idx="13">
                  <c:v>22.793296089385471</c:v>
                </c:pt>
                <c:pt idx="14">
                  <c:v>21.13095238095238</c:v>
                </c:pt>
                <c:pt idx="15">
                  <c:v>22.059651097355097</c:v>
                </c:pt>
                <c:pt idx="16">
                  <c:v>23.141419787590831</c:v>
                </c:pt>
                <c:pt idx="17">
                  <c:v>21.720025109855616</c:v>
                </c:pt>
                <c:pt idx="18">
                  <c:v>22.161816437480013</c:v>
                </c:pt>
                <c:pt idx="19">
                  <c:v>20.962987225679658</c:v>
                </c:pt>
                <c:pt idx="20">
                  <c:v>23.213156230234031</c:v>
                </c:pt>
                <c:pt idx="21">
                  <c:v>24.140565317035907</c:v>
                </c:pt>
                <c:pt idx="22">
                  <c:v>22.451361867704282</c:v>
                </c:pt>
                <c:pt idx="23">
                  <c:v>23.954372623574148</c:v>
                </c:pt>
                <c:pt idx="24">
                  <c:v>28.157439446366784</c:v>
                </c:pt>
                <c:pt idx="25">
                  <c:v>26.180257510729614</c:v>
                </c:pt>
                <c:pt idx="26">
                  <c:v>22.86384976525822</c:v>
                </c:pt>
                <c:pt idx="27">
                  <c:v>24.947807933194156</c:v>
                </c:pt>
                <c:pt idx="28">
                  <c:v>26.138828633405641</c:v>
                </c:pt>
                <c:pt idx="29">
                  <c:v>24.763705103969755</c:v>
                </c:pt>
                <c:pt idx="30">
                  <c:v>23.380093520374086</c:v>
                </c:pt>
                <c:pt idx="31">
                  <c:v>23.931623931623935</c:v>
                </c:pt>
                <c:pt idx="32">
                  <c:v>25.808936825885976</c:v>
                </c:pt>
                <c:pt idx="33">
                  <c:v>24.957698815566832</c:v>
                </c:pt>
                <c:pt idx="34">
                  <c:v>24.311565696302122</c:v>
                </c:pt>
                <c:pt idx="35">
                  <c:v>23.285198555956679</c:v>
                </c:pt>
                <c:pt idx="36">
                  <c:v>26.253418413855972</c:v>
                </c:pt>
                <c:pt idx="37">
                  <c:v>24.609374999999996</c:v>
                </c:pt>
                <c:pt idx="38">
                  <c:v>26.02262837249782</c:v>
                </c:pt>
                <c:pt idx="39">
                  <c:v>25.596330275229356</c:v>
                </c:pt>
                <c:pt idx="40">
                  <c:v>24.976437323279928</c:v>
                </c:pt>
              </c:numCache>
            </c:numRef>
          </c:val>
          <c:smooth val="0"/>
          <c:extLst>
            <c:ext xmlns:c16="http://schemas.microsoft.com/office/drawing/2014/chart" uri="{C3380CC4-5D6E-409C-BE32-E72D297353CC}">
              <c16:uniqueId val="{00000003-F8DF-437E-9347-E9819B5B9105}"/>
            </c:ext>
          </c:extLst>
        </c:ser>
        <c:ser>
          <c:idx val="6"/>
          <c:order val="4"/>
          <c:tx>
            <c:strRef>
              <c:f>'Trh práce-2b'!$A$35</c:f>
              <c:strCache>
                <c:ptCount val="1"/>
                <c:pt idx="0">
                  <c:v>Economically inactive seeking empl. (right axis)</c:v>
                </c:pt>
              </c:strCache>
            </c:strRef>
          </c:tx>
          <c:spPr>
            <a:ln w="19050">
              <a:solidFill>
                <a:srgbClr val="00B0F0"/>
              </a:solidFill>
              <a:prstDash val="solid"/>
            </a:ln>
          </c:spPr>
          <c:marker>
            <c:symbol val="none"/>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práce-2b'!$B$35:$AQ$35</c:f>
              <c:numCache>
                <c:formatCode>0.0</c:formatCode>
                <c:ptCount val="42"/>
                <c:pt idx="0">
                  <c:v>183.00000000000003</c:v>
                </c:pt>
                <c:pt idx="1">
                  <c:v>183.20000000000002</c:v>
                </c:pt>
                <c:pt idx="2">
                  <c:v>172.5</c:v>
                </c:pt>
                <c:pt idx="3">
                  <c:v>172.00000000000003</c:v>
                </c:pt>
                <c:pt idx="4">
                  <c:v>193.70000000000002</c:v>
                </c:pt>
                <c:pt idx="5">
                  <c:v>184.4</c:v>
                </c:pt>
                <c:pt idx="6">
                  <c:v>188.9</c:v>
                </c:pt>
                <c:pt idx="7">
                  <c:v>183.20000000000002</c:v>
                </c:pt>
                <c:pt idx="8">
                  <c:v>196.60000000000002</c:v>
                </c:pt>
                <c:pt idx="9">
                  <c:v>176.5</c:v>
                </c:pt>
                <c:pt idx="10">
                  <c:v>166.9</c:v>
                </c:pt>
                <c:pt idx="11">
                  <c:v>154.60000000000002</c:v>
                </c:pt>
                <c:pt idx="12">
                  <c:v>167.8</c:v>
                </c:pt>
                <c:pt idx="13">
                  <c:v>147.19999999999999</c:v>
                </c:pt>
                <c:pt idx="14">
                  <c:v>138.80000000000001</c:v>
                </c:pt>
                <c:pt idx="15">
                  <c:v>139.30000000000001</c:v>
                </c:pt>
                <c:pt idx="16">
                  <c:v>145.4</c:v>
                </c:pt>
                <c:pt idx="17">
                  <c:v>137.1</c:v>
                </c:pt>
                <c:pt idx="18">
                  <c:v>129</c:v>
                </c:pt>
                <c:pt idx="19">
                  <c:v>127.10000000000001</c:v>
                </c:pt>
                <c:pt idx="20" formatCode="General">
                  <c:v>138.5</c:v>
                </c:pt>
                <c:pt idx="21" formatCode="General">
                  <c:v>141.4</c:v>
                </c:pt>
                <c:pt idx="22" formatCode="General">
                  <c:v>137.1</c:v>
                </c:pt>
                <c:pt idx="23" formatCode="General">
                  <c:v>130.4</c:v>
                </c:pt>
                <c:pt idx="24" formatCode="General">
                  <c:v>141</c:v>
                </c:pt>
                <c:pt idx="25" formatCode="General">
                  <c:v>126.4</c:v>
                </c:pt>
                <c:pt idx="26" formatCode="General">
                  <c:v>129.69999999999999</c:v>
                </c:pt>
                <c:pt idx="27" formatCode="General">
                  <c:v>127.1</c:v>
                </c:pt>
                <c:pt idx="28">
                  <c:v>133.1</c:v>
                </c:pt>
                <c:pt idx="29">
                  <c:v>120.1</c:v>
                </c:pt>
                <c:pt idx="30">
                  <c:v>121.3</c:v>
                </c:pt>
                <c:pt idx="31">
                  <c:v>119.1</c:v>
                </c:pt>
                <c:pt idx="32">
                  <c:v>113.5</c:v>
                </c:pt>
                <c:pt idx="33">
                  <c:v>108.4</c:v>
                </c:pt>
                <c:pt idx="34">
                  <c:v>110.3</c:v>
                </c:pt>
                <c:pt idx="35">
                  <c:v>101.7</c:v>
                </c:pt>
                <c:pt idx="36">
                  <c:v>104.6</c:v>
                </c:pt>
                <c:pt idx="37">
                  <c:v>104.6</c:v>
                </c:pt>
                <c:pt idx="38">
                  <c:v>98</c:v>
                </c:pt>
                <c:pt idx="39">
                  <c:v>99.9</c:v>
                </c:pt>
                <c:pt idx="40">
                  <c:v>93.4</c:v>
                </c:pt>
                <c:pt idx="41">
                  <c:v>109.3</c:v>
                </c:pt>
              </c:numCache>
            </c:numRef>
          </c:val>
          <c:smooth val="0"/>
          <c:extLst>
            <c:ext xmlns:c16="http://schemas.microsoft.com/office/drawing/2014/chart" uri="{C3380CC4-5D6E-409C-BE32-E72D297353CC}">
              <c16:uniqueId val="{00000004-F8DF-437E-9347-E9819B5B9105}"/>
            </c:ext>
          </c:extLst>
        </c:ser>
        <c:ser>
          <c:idx val="7"/>
          <c:order val="5"/>
          <c:tx>
            <c:strRef>
              <c:f>'Trh práce-2b'!$A$36</c:f>
              <c:strCache>
                <c:ptCount val="1"/>
                <c:pt idx="0">
                  <c:v>Balance of unemployment development expectations (right axis)</c:v>
                </c:pt>
              </c:strCache>
            </c:strRef>
          </c:tx>
          <c:spPr>
            <a:ln w="6350">
              <a:solidFill>
                <a:schemeClr val="accent6">
                  <a:lumMod val="75000"/>
                </a:schemeClr>
              </a:solidFill>
              <a:prstDash val="sysDot"/>
            </a:ln>
          </c:spPr>
          <c:marker>
            <c:symbol val="circle"/>
            <c:size val="4"/>
            <c:spPr>
              <a:solidFill>
                <a:schemeClr val="accent6">
                  <a:lumMod val="75000"/>
                </a:schemeClr>
              </a:solidFill>
              <a:ln>
                <a:solidFill>
                  <a:schemeClr val="accent6">
                    <a:lumMod val="75000"/>
                  </a:schemeClr>
                </a:solidFill>
              </a:ln>
            </c:spPr>
          </c:marker>
          <c:cat>
            <c:multiLvlStrRef>
              <c:f>'Trh práce-2b'!$B$29:$AQ$30</c:f>
              <c:multiLvlStrCache>
                <c:ptCount val="42"/>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pt idx="34">
                    <c:v>3</c:v>
                  </c:pt>
                  <c:pt idx="35">
                    <c:v>4</c:v>
                  </c:pt>
                  <c:pt idx="36">
                    <c:v>1</c:v>
                  </c:pt>
                  <c:pt idx="37">
                    <c:v>2</c:v>
                  </c:pt>
                  <c:pt idx="38">
                    <c:v>3</c:v>
                  </c:pt>
                  <c:pt idx="39">
                    <c:v>4</c:v>
                  </c:pt>
                  <c:pt idx="40">
                    <c:v>1</c:v>
                  </c:pt>
                  <c:pt idx="41">
                    <c:v>2</c:v>
                  </c:pt>
                </c:lvl>
                <c:lvl>
                  <c:pt idx="0">
                    <c:v>2010</c:v>
                  </c:pt>
                  <c:pt idx="4">
                    <c:v>2011</c:v>
                  </c:pt>
                  <c:pt idx="8">
                    <c:v>2012</c:v>
                  </c:pt>
                  <c:pt idx="12">
                    <c:v>2013</c:v>
                  </c:pt>
                  <c:pt idx="16">
                    <c:v>2014</c:v>
                  </c:pt>
                  <c:pt idx="20">
                    <c:v>2015</c:v>
                  </c:pt>
                  <c:pt idx="24">
                    <c:v>2016</c:v>
                  </c:pt>
                  <c:pt idx="28">
                    <c:v>2017</c:v>
                  </c:pt>
                  <c:pt idx="32">
                    <c:v>2018</c:v>
                  </c:pt>
                  <c:pt idx="36">
                    <c:v>2019</c:v>
                  </c:pt>
                  <c:pt idx="40">
                    <c:v>2020</c:v>
                  </c:pt>
                </c:lvl>
              </c:multiLvlStrCache>
            </c:multiLvlStrRef>
          </c:cat>
          <c:val>
            <c:numRef>
              <c:f>'Trh práce-2b'!$B$36:$AQ$36</c:f>
              <c:numCache>
                <c:formatCode>#\ ##0.0</c:formatCode>
                <c:ptCount val="42"/>
                <c:pt idx="0">
                  <c:v>27.5</c:v>
                </c:pt>
                <c:pt idx="1">
                  <c:v>12.9</c:v>
                </c:pt>
                <c:pt idx="2">
                  <c:v>32.299999999999997</c:v>
                </c:pt>
                <c:pt idx="3">
                  <c:v>26.7</c:v>
                </c:pt>
                <c:pt idx="4">
                  <c:v>24.4</c:v>
                </c:pt>
                <c:pt idx="5">
                  <c:v>20.5</c:v>
                </c:pt>
                <c:pt idx="6">
                  <c:v>30.9</c:v>
                </c:pt>
                <c:pt idx="7">
                  <c:v>48.3</c:v>
                </c:pt>
                <c:pt idx="8">
                  <c:v>42.5</c:v>
                </c:pt>
                <c:pt idx="9">
                  <c:v>36</c:v>
                </c:pt>
                <c:pt idx="10">
                  <c:v>42.2</c:v>
                </c:pt>
                <c:pt idx="11">
                  <c:v>44.4</c:v>
                </c:pt>
                <c:pt idx="12">
                  <c:v>37</c:v>
                </c:pt>
                <c:pt idx="13">
                  <c:v>30.8</c:v>
                </c:pt>
                <c:pt idx="14">
                  <c:v>28.3</c:v>
                </c:pt>
                <c:pt idx="15">
                  <c:v>30.2</c:v>
                </c:pt>
                <c:pt idx="16">
                  <c:v>17.3</c:v>
                </c:pt>
                <c:pt idx="17">
                  <c:v>14.3</c:v>
                </c:pt>
                <c:pt idx="18">
                  <c:v>24.7</c:v>
                </c:pt>
                <c:pt idx="19">
                  <c:v>12.9</c:v>
                </c:pt>
                <c:pt idx="20">
                  <c:v>11.6</c:v>
                </c:pt>
                <c:pt idx="21">
                  <c:v>4.2</c:v>
                </c:pt>
                <c:pt idx="22">
                  <c:v>10.1</c:v>
                </c:pt>
                <c:pt idx="23">
                  <c:v>2.1</c:v>
                </c:pt>
                <c:pt idx="24">
                  <c:v>2.1</c:v>
                </c:pt>
                <c:pt idx="25">
                  <c:v>3.7</c:v>
                </c:pt>
                <c:pt idx="26">
                  <c:v>7.1</c:v>
                </c:pt>
                <c:pt idx="27">
                  <c:v>4.5999999999999996</c:v>
                </c:pt>
                <c:pt idx="28">
                  <c:v>-3.6</c:v>
                </c:pt>
                <c:pt idx="29">
                  <c:v>0</c:v>
                </c:pt>
                <c:pt idx="30">
                  <c:v>0.4</c:v>
                </c:pt>
                <c:pt idx="31">
                  <c:v>1</c:v>
                </c:pt>
                <c:pt idx="32">
                  <c:v>-0.6</c:v>
                </c:pt>
                <c:pt idx="33">
                  <c:v>-1.6</c:v>
                </c:pt>
                <c:pt idx="34">
                  <c:v>2.2999999999999998</c:v>
                </c:pt>
                <c:pt idx="35">
                  <c:v>3.3</c:v>
                </c:pt>
                <c:pt idx="36">
                  <c:v>8.5</c:v>
                </c:pt>
                <c:pt idx="37">
                  <c:v>6.1</c:v>
                </c:pt>
                <c:pt idx="38">
                  <c:v>14.4</c:v>
                </c:pt>
                <c:pt idx="39">
                  <c:v>17.5</c:v>
                </c:pt>
                <c:pt idx="40">
                  <c:v>16.899999999999999</c:v>
                </c:pt>
                <c:pt idx="41">
                  <c:v>45.1</c:v>
                </c:pt>
              </c:numCache>
            </c:numRef>
          </c:val>
          <c:smooth val="0"/>
          <c:extLst>
            <c:ext xmlns:c16="http://schemas.microsoft.com/office/drawing/2014/chart" uri="{C3380CC4-5D6E-409C-BE32-E72D297353CC}">
              <c16:uniqueId val="{00000005-F8DF-437E-9347-E9819B5B9105}"/>
            </c:ext>
          </c:extLst>
        </c:ser>
        <c:dLbls>
          <c:showLegendKey val="0"/>
          <c:showVal val="0"/>
          <c:showCatName val="0"/>
          <c:showSerName val="0"/>
          <c:showPercent val="0"/>
          <c:showBubbleSize val="0"/>
        </c:dLbls>
        <c:marker val="1"/>
        <c:smooth val="0"/>
        <c:axId val="331670576"/>
        <c:axId val="323971328"/>
      </c:lineChart>
      <c:catAx>
        <c:axId val="100654464"/>
        <c:scaling>
          <c:orientation val="minMax"/>
        </c:scaling>
        <c:delete val="0"/>
        <c:axPos val="b"/>
        <c:numFmt formatCode="General" sourceLinked="0"/>
        <c:majorTickMark val="out"/>
        <c:minorTickMark val="none"/>
        <c:tickLblPos val="low"/>
        <c:spPr>
          <a:ln>
            <a:solidFill>
              <a:schemeClr val="tx1"/>
            </a:solidFill>
          </a:ln>
        </c:spPr>
        <c:crossAx val="101647488"/>
        <c:crossesAt val="-50"/>
        <c:auto val="1"/>
        <c:lblAlgn val="ctr"/>
        <c:lblOffset val="0"/>
        <c:noMultiLvlLbl val="0"/>
      </c:catAx>
      <c:valAx>
        <c:axId val="101647488"/>
        <c:scaling>
          <c:orientation val="minMax"/>
          <c:max val="11"/>
        </c:scaling>
        <c:delete val="0"/>
        <c:axPos val="l"/>
        <c:majorGridlines>
          <c:spPr>
            <a:ln w="6350">
              <a:solidFill>
                <a:schemeClr val="bg1">
                  <a:lumMod val="75000"/>
                </a:schemeClr>
              </a:solidFill>
            </a:ln>
          </c:spPr>
        </c:majorGridlines>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Unemployment rate</a:t>
                </a:r>
                <a:endParaRPr lang="cs-CZ" sz="700">
                  <a:effectLst/>
                </a:endParaRPr>
              </a:p>
            </c:rich>
          </c:tx>
          <c:overlay val="0"/>
        </c:title>
        <c:numFmt formatCode="0" sourceLinked="0"/>
        <c:majorTickMark val="out"/>
        <c:minorTickMark val="none"/>
        <c:tickLblPos val="nextTo"/>
        <c:spPr>
          <a:ln>
            <a:solidFill>
              <a:schemeClr val="tx1"/>
            </a:solidFill>
          </a:ln>
        </c:spPr>
        <c:txPr>
          <a:bodyPr/>
          <a:lstStyle/>
          <a:p>
            <a:pPr>
              <a:defRPr sz="700"/>
            </a:pPr>
            <a:endParaRPr lang="cs-CZ"/>
          </a:p>
        </c:txPr>
        <c:crossAx val="100654464"/>
        <c:crosses val="autoZero"/>
        <c:crossBetween val="between"/>
        <c:majorUnit val="1"/>
      </c:valAx>
      <c:valAx>
        <c:axId val="323971328"/>
        <c:scaling>
          <c:orientation val="minMax"/>
          <c:max val="200"/>
          <c:min val="-20"/>
        </c:scaling>
        <c:delete val="0"/>
        <c:axPos val="r"/>
        <c:title>
          <c:tx>
            <c:rich>
              <a:bodyPr/>
              <a:lstStyle/>
              <a:p>
                <a:pPr marL="0" marR="0" lvl="0" indent="0" algn="ctr" defTabSz="914400" rtl="0" eaLnBrk="1" fontAlgn="auto" latinLnBrk="0" hangingPunct="1">
                  <a:lnSpc>
                    <a:spcPct val="100000"/>
                  </a:lnSpc>
                  <a:spcBef>
                    <a:spcPts val="0"/>
                  </a:spcBef>
                  <a:spcAft>
                    <a:spcPts val="0"/>
                  </a:spcAft>
                  <a:buClrTx/>
                  <a:buSzTx/>
                  <a:buFontTx/>
                  <a:buNone/>
                  <a:tabLst/>
                  <a:defRPr sz="700" b="0" i="1"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GB" sz="700" i="1">
                    <a:effectLst/>
                  </a:rPr>
                  <a:t>Number of ec</a:t>
                </a:r>
                <a:r>
                  <a:rPr lang="cs-CZ" sz="700" i="1">
                    <a:effectLst/>
                  </a:rPr>
                  <a:t>onomically</a:t>
                </a:r>
                <a:r>
                  <a:rPr lang="en-GB" sz="700" i="1">
                    <a:effectLst/>
                  </a:rPr>
                  <a:t> inactive, Unemployment expectations</a:t>
                </a:r>
                <a:endParaRPr lang="cs-CZ" sz="700">
                  <a:effectLst/>
                </a:endParaRPr>
              </a:p>
            </c:rich>
          </c:tx>
          <c:layout>
            <c:manualLayout>
              <c:xMode val="edge"/>
              <c:yMode val="edge"/>
              <c:x val="0.97024135178715176"/>
              <c:y val="6.2217010033898533E-2"/>
            </c:manualLayout>
          </c:layout>
          <c:overlay val="0"/>
        </c:title>
        <c:numFmt formatCode="#,##0" sourceLinked="0"/>
        <c:majorTickMark val="out"/>
        <c:minorTickMark val="none"/>
        <c:tickLblPos val="nextTo"/>
        <c:crossAx val="331670576"/>
        <c:crosses val="max"/>
        <c:crossBetween val="between"/>
        <c:majorUnit val="20"/>
      </c:valAx>
      <c:catAx>
        <c:axId val="331670576"/>
        <c:scaling>
          <c:orientation val="minMax"/>
        </c:scaling>
        <c:delete val="1"/>
        <c:axPos val="b"/>
        <c:numFmt formatCode="General" sourceLinked="1"/>
        <c:majorTickMark val="out"/>
        <c:minorTickMark val="none"/>
        <c:tickLblPos val="nextTo"/>
        <c:crossAx val="323971328"/>
        <c:crosses val="autoZero"/>
        <c:auto val="1"/>
        <c:lblAlgn val="ctr"/>
        <c:lblOffset val="100"/>
        <c:noMultiLvlLbl val="0"/>
      </c:catAx>
      <c:spPr>
        <a:ln>
          <a:solidFill>
            <a:schemeClr val="tx1"/>
          </a:solidFill>
        </a:ln>
      </c:spPr>
    </c:plotArea>
    <c:legend>
      <c:legendPos val="b"/>
      <c:layout>
        <c:manualLayout>
          <c:xMode val="edge"/>
          <c:yMode val="edge"/>
          <c:x val="6.0808071297764187E-2"/>
          <c:y val="0.81669649909493669"/>
          <c:w val="0.85505660579010168"/>
          <c:h val="0.1760458961584839"/>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0091348527306885E-2"/>
          <c:y val="1.6549886621315273E-2"/>
          <c:w val="0.94100987714831696"/>
          <c:h val="0.76395209750566906"/>
        </c:manualLayout>
      </c:layout>
      <c:barChart>
        <c:barDir val="col"/>
        <c:grouping val="clustered"/>
        <c:varyColors val="0"/>
        <c:ser>
          <c:idx val="4"/>
          <c:order val="1"/>
          <c:tx>
            <c:strRef>
              <c:f>'Trh práce 3'!$D$8</c:f>
              <c:strCache>
                <c:ptCount val="1"/>
                <c:pt idx="0">
                  <c:v>Total average wage (real)</c:v>
                </c:pt>
              </c:strCache>
            </c:strRef>
          </c:tx>
          <c:spPr>
            <a:solidFill>
              <a:srgbClr val="DBDBDB"/>
            </a:solidFill>
            <a:ln w="19050">
              <a:noFill/>
            </a:ln>
          </c:spPr>
          <c:invertIfNegative val="0"/>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3'!$D$17:$D$50</c:f>
              <c:numCache>
                <c:formatCode>#\ ##0.0</c:formatCode>
                <c:ptCount val="34"/>
                <c:pt idx="0">
                  <c:v>-0.5</c:v>
                </c:pt>
                <c:pt idx="1">
                  <c:v>-1.2999999999999972</c:v>
                </c:pt>
                <c:pt idx="2">
                  <c:v>-1.7999999999999972</c:v>
                </c:pt>
                <c:pt idx="3">
                  <c:v>0.40000000000000568</c:v>
                </c:pt>
                <c:pt idx="4">
                  <c:v>-2.4000000000000057</c:v>
                </c:pt>
                <c:pt idx="5">
                  <c:v>-0.5</c:v>
                </c:pt>
                <c:pt idx="6">
                  <c:v>0</c:v>
                </c:pt>
                <c:pt idx="7">
                  <c:v>-3.0999999999999943</c:v>
                </c:pt>
                <c:pt idx="8">
                  <c:v>3.7000000000000028</c:v>
                </c:pt>
                <c:pt idx="9">
                  <c:v>2.5999999999999943</c:v>
                </c:pt>
                <c:pt idx="10">
                  <c:v>1.5999999999999943</c:v>
                </c:pt>
                <c:pt idx="11">
                  <c:v>2.2999999999999972</c:v>
                </c:pt>
                <c:pt idx="12">
                  <c:v>2.2000000000000028</c:v>
                </c:pt>
                <c:pt idx="13">
                  <c:v>2.5999999999999943</c:v>
                </c:pt>
                <c:pt idx="14">
                  <c:v>3.0999999999999943</c:v>
                </c:pt>
                <c:pt idx="15">
                  <c:v>3.5999999999999943</c:v>
                </c:pt>
                <c:pt idx="16">
                  <c:v>4.2000000000000028</c:v>
                </c:pt>
                <c:pt idx="17">
                  <c:v>3.7999999999999972</c:v>
                </c:pt>
                <c:pt idx="18">
                  <c:v>4.2000000000000028</c:v>
                </c:pt>
                <c:pt idx="19">
                  <c:v>3</c:v>
                </c:pt>
                <c:pt idx="20">
                  <c:v>2.5999999999999943</c:v>
                </c:pt>
                <c:pt idx="21">
                  <c:v>4.9000000000000057</c:v>
                </c:pt>
                <c:pt idx="22">
                  <c:v>4.0999999999999943</c:v>
                </c:pt>
                <c:pt idx="23">
                  <c:v>5.0999999999999943</c:v>
                </c:pt>
                <c:pt idx="24">
                  <c:v>6.5</c:v>
                </c:pt>
                <c:pt idx="25">
                  <c:v>6.2999999999999972</c:v>
                </c:pt>
                <c:pt idx="26">
                  <c:v>5.9000000000000057</c:v>
                </c:pt>
                <c:pt idx="27">
                  <c:v>4.9000000000000057</c:v>
                </c:pt>
                <c:pt idx="28">
                  <c:v>3.9000000000000057</c:v>
                </c:pt>
                <c:pt idx="29">
                  <c:v>3.7000000000000028</c:v>
                </c:pt>
                <c:pt idx="30">
                  <c:v>3.4000000000000057</c:v>
                </c:pt>
                <c:pt idx="31">
                  <c:v>3.0999999999999943</c:v>
                </c:pt>
                <c:pt idx="32">
                  <c:v>1.4000000000000057</c:v>
                </c:pt>
                <c:pt idx="33">
                  <c:v>-2.5</c:v>
                </c:pt>
              </c:numCache>
            </c:numRef>
          </c:val>
          <c:extLst>
            <c:ext xmlns:c16="http://schemas.microsoft.com/office/drawing/2014/chart" uri="{C3380CC4-5D6E-409C-BE32-E72D297353CC}">
              <c16:uniqueId val="{00000000-F149-44E3-9EDF-735D1EBF364E}"/>
            </c:ext>
          </c:extLst>
        </c:ser>
        <c:dLbls>
          <c:showLegendKey val="0"/>
          <c:showVal val="0"/>
          <c:showCatName val="0"/>
          <c:showSerName val="0"/>
          <c:showPercent val="0"/>
          <c:showBubbleSize val="0"/>
        </c:dLbls>
        <c:gapWidth val="37"/>
        <c:axId val="100688640"/>
        <c:axId val="100690560"/>
      </c:barChart>
      <c:lineChart>
        <c:grouping val="standard"/>
        <c:varyColors val="0"/>
        <c:ser>
          <c:idx val="0"/>
          <c:order val="0"/>
          <c:tx>
            <c:strRef>
              <c:f>'Trh práce 3'!$C$8</c:f>
              <c:strCache>
                <c:ptCount val="1"/>
                <c:pt idx="0">
                  <c:v>Total average wage (nominal)</c:v>
                </c:pt>
              </c:strCache>
            </c:strRef>
          </c:tx>
          <c:spPr>
            <a:ln w="19050">
              <a:solidFill>
                <a:schemeClr val="tx1">
                  <a:lumMod val="95000"/>
                  <a:lumOff val="5000"/>
                </a:schemeClr>
              </a:solidFill>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3'!$C$17:$C$50</c:f>
              <c:numCache>
                <c:formatCode>0.0</c:formatCode>
                <c:ptCount val="34"/>
                <c:pt idx="0">
                  <c:v>3.2000000000000028</c:v>
                </c:pt>
                <c:pt idx="1">
                  <c:v>2.0999999999999943</c:v>
                </c:pt>
                <c:pt idx="2">
                  <c:v>1.4000000000000057</c:v>
                </c:pt>
                <c:pt idx="3">
                  <c:v>3.2000000000000028</c:v>
                </c:pt>
                <c:pt idx="4">
                  <c:v>-0.59999999999999432</c:v>
                </c:pt>
                <c:pt idx="5">
                  <c:v>1</c:v>
                </c:pt>
                <c:pt idx="6">
                  <c:v>1.2000000000000028</c:v>
                </c:pt>
                <c:pt idx="7">
                  <c:v>-2</c:v>
                </c:pt>
                <c:pt idx="8">
                  <c:v>3.9000000000000057</c:v>
                </c:pt>
                <c:pt idx="9">
                  <c:v>2.7999999999999972</c:v>
                </c:pt>
                <c:pt idx="10">
                  <c:v>2.2000000000000028</c:v>
                </c:pt>
                <c:pt idx="11">
                  <c:v>2.7999999999999972</c:v>
                </c:pt>
                <c:pt idx="12">
                  <c:v>2.2999999999999972</c:v>
                </c:pt>
                <c:pt idx="13">
                  <c:v>3.2999999999999972</c:v>
                </c:pt>
                <c:pt idx="14">
                  <c:v>3.5</c:v>
                </c:pt>
                <c:pt idx="15">
                  <c:v>3.7000000000000028</c:v>
                </c:pt>
                <c:pt idx="16">
                  <c:v>4.7000000000000028</c:v>
                </c:pt>
                <c:pt idx="17">
                  <c:v>4</c:v>
                </c:pt>
                <c:pt idx="18">
                  <c:v>4.7000000000000028</c:v>
                </c:pt>
                <c:pt idx="19">
                  <c:v>4.4000000000000057</c:v>
                </c:pt>
                <c:pt idx="20">
                  <c:v>5.0999999999999943</c:v>
                </c:pt>
                <c:pt idx="21">
                  <c:v>7.2000000000000028</c:v>
                </c:pt>
                <c:pt idx="22">
                  <c:v>6.7000000000000028</c:v>
                </c:pt>
                <c:pt idx="23">
                  <c:v>7.7999999999999972</c:v>
                </c:pt>
                <c:pt idx="24">
                  <c:v>8.5</c:v>
                </c:pt>
                <c:pt idx="25">
                  <c:v>8.7000000000000028</c:v>
                </c:pt>
                <c:pt idx="26">
                  <c:v>8.4000000000000057</c:v>
                </c:pt>
                <c:pt idx="27">
                  <c:v>7.0999999999999943</c:v>
                </c:pt>
                <c:pt idx="28">
                  <c:v>6.7000000000000028</c:v>
                </c:pt>
                <c:pt idx="29">
                  <c:v>6.5999999999999943</c:v>
                </c:pt>
                <c:pt idx="30">
                  <c:v>6.2999999999999972</c:v>
                </c:pt>
                <c:pt idx="31">
                  <c:v>6.2000000000000028</c:v>
                </c:pt>
                <c:pt idx="32">
                  <c:v>5.0999999999999943</c:v>
                </c:pt>
                <c:pt idx="33">
                  <c:v>0.5</c:v>
                </c:pt>
              </c:numCache>
            </c:numRef>
          </c:val>
          <c:smooth val="0"/>
          <c:extLst>
            <c:ext xmlns:c16="http://schemas.microsoft.com/office/drawing/2014/chart" uri="{C3380CC4-5D6E-409C-BE32-E72D297353CC}">
              <c16:uniqueId val="{00000001-F149-44E3-9EDF-735D1EBF364E}"/>
            </c:ext>
          </c:extLst>
        </c:ser>
        <c:ser>
          <c:idx val="5"/>
          <c:order val="2"/>
          <c:tx>
            <c:strRef>
              <c:f>'Trh práce 3'!$E$8</c:f>
              <c:strCache>
                <c:ptCount val="1"/>
                <c:pt idx="0">
                  <c:v>Average wage in industry (nominal)</c:v>
                </c:pt>
              </c:strCache>
            </c:strRef>
          </c:tx>
          <c:spPr>
            <a:ln w="9525">
              <a:solidFill>
                <a:srgbClr val="C00000"/>
              </a:solidFill>
              <a:prstDash val="solid"/>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3'!$E$17:$E$50</c:f>
              <c:numCache>
                <c:formatCode>0.0</c:formatCode>
                <c:ptCount val="34"/>
                <c:pt idx="0">
                  <c:v>3.7769088643492523</c:v>
                </c:pt>
                <c:pt idx="1">
                  <c:v>2.921477585569292</c:v>
                </c:pt>
                <c:pt idx="2">
                  <c:v>1.9451664291104294</c:v>
                </c:pt>
                <c:pt idx="3">
                  <c:v>3.5035265256056363</c:v>
                </c:pt>
                <c:pt idx="4">
                  <c:v>0.11593242795626679</c:v>
                </c:pt>
                <c:pt idx="5">
                  <c:v>1.5370488661769315</c:v>
                </c:pt>
                <c:pt idx="6">
                  <c:v>2.0725388601036343</c:v>
                </c:pt>
                <c:pt idx="7">
                  <c:v>-0.40737723131620385</c:v>
                </c:pt>
                <c:pt idx="8">
                  <c:v>4.5202646815549912</c:v>
                </c:pt>
                <c:pt idx="9">
                  <c:v>3.1140644045138259</c:v>
                </c:pt>
                <c:pt idx="10">
                  <c:v>2.521956329062931</c:v>
                </c:pt>
                <c:pt idx="11">
                  <c:v>3.1124497991967814</c:v>
                </c:pt>
                <c:pt idx="12">
                  <c:v>1.6381118189372046</c:v>
                </c:pt>
                <c:pt idx="13">
                  <c:v>2.6920877025738719</c:v>
                </c:pt>
                <c:pt idx="14">
                  <c:v>3.010059729644766</c:v>
                </c:pt>
                <c:pt idx="15">
                  <c:v>2.9788308269320822</c:v>
                </c:pt>
                <c:pt idx="16">
                  <c:v>4.6482656596722052</c:v>
                </c:pt>
                <c:pt idx="17">
                  <c:v>3.9508373250157831</c:v>
                </c:pt>
                <c:pt idx="18">
                  <c:v>4.6540016784924205</c:v>
                </c:pt>
                <c:pt idx="19">
                  <c:v>3.8977412011906836</c:v>
                </c:pt>
                <c:pt idx="20">
                  <c:v>5.1746586808526445</c:v>
                </c:pt>
                <c:pt idx="21">
                  <c:v>8.0728701553848907</c:v>
                </c:pt>
                <c:pt idx="22">
                  <c:v>6.8272945979441602</c:v>
                </c:pt>
                <c:pt idx="23">
                  <c:v>7.0884454631252538</c:v>
                </c:pt>
                <c:pt idx="24">
                  <c:v>7.9018109790605564</c:v>
                </c:pt>
                <c:pt idx="25">
                  <c:v>8.1936869938853221</c:v>
                </c:pt>
                <c:pt idx="26">
                  <c:v>7.3566042242467802</c:v>
                </c:pt>
                <c:pt idx="27">
                  <c:v>7.6170092222467076</c:v>
                </c:pt>
                <c:pt idx="28">
                  <c:v>5.8906444633842483</c:v>
                </c:pt>
                <c:pt idx="29">
                  <c:v>5.883790554163852</c:v>
                </c:pt>
                <c:pt idx="30">
                  <c:v>5.5271271016749779</c:v>
                </c:pt>
                <c:pt idx="31">
                  <c:v>4.4163668801731433</c:v>
                </c:pt>
                <c:pt idx="32">
                  <c:v>4.4918428628919855</c:v>
                </c:pt>
                <c:pt idx="33">
                  <c:v>-4.2094633583381409</c:v>
                </c:pt>
              </c:numCache>
            </c:numRef>
          </c:val>
          <c:smooth val="0"/>
          <c:extLst>
            <c:ext xmlns:c16="http://schemas.microsoft.com/office/drawing/2014/chart" uri="{C3380CC4-5D6E-409C-BE32-E72D297353CC}">
              <c16:uniqueId val="{00000002-F149-44E3-9EDF-735D1EBF364E}"/>
            </c:ext>
          </c:extLst>
        </c:ser>
        <c:ser>
          <c:idx val="1"/>
          <c:order val="3"/>
          <c:tx>
            <c:strRef>
              <c:f>'Trh práce 3'!$F$8</c:f>
              <c:strCache>
                <c:ptCount val="1"/>
                <c:pt idx="0">
                  <c:v>Wage in trade (nominal)</c:v>
                </c:pt>
              </c:strCache>
            </c:strRef>
          </c:tx>
          <c:spPr>
            <a:ln w="9525">
              <a:solidFill>
                <a:srgbClr val="0070C0"/>
              </a:solidFill>
              <a:prstDash val="solid"/>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3'!$F$17:$F$50</c:f>
              <c:numCache>
                <c:formatCode>0.0</c:formatCode>
                <c:ptCount val="34"/>
                <c:pt idx="0">
                  <c:v>4.0793724042454897</c:v>
                </c:pt>
                <c:pt idx="1">
                  <c:v>0.74380901478710371</c:v>
                </c:pt>
                <c:pt idx="2">
                  <c:v>0.80315938942136711</c:v>
                </c:pt>
                <c:pt idx="3">
                  <c:v>3.3521825800414859</c:v>
                </c:pt>
                <c:pt idx="4">
                  <c:v>-0.36357187195176266</c:v>
                </c:pt>
                <c:pt idx="5">
                  <c:v>0.83115964454663072</c:v>
                </c:pt>
                <c:pt idx="6">
                  <c:v>1.2941849716071658</c:v>
                </c:pt>
                <c:pt idx="7">
                  <c:v>-4.6290100373942096</c:v>
                </c:pt>
                <c:pt idx="8">
                  <c:v>3.4576361694553128</c:v>
                </c:pt>
                <c:pt idx="9">
                  <c:v>4.1785416758012985</c:v>
                </c:pt>
                <c:pt idx="10">
                  <c:v>2.8899222111164136</c:v>
                </c:pt>
                <c:pt idx="11">
                  <c:v>2.761153989021409</c:v>
                </c:pt>
                <c:pt idx="12">
                  <c:v>3.1055099144049194</c:v>
                </c:pt>
                <c:pt idx="13">
                  <c:v>3.9141414141414117</c:v>
                </c:pt>
                <c:pt idx="14">
                  <c:v>3.949146815340427</c:v>
                </c:pt>
                <c:pt idx="15">
                  <c:v>5.7916298497871423</c:v>
                </c:pt>
                <c:pt idx="16">
                  <c:v>5.6443202202661524</c:v>
                </c:pt>
                <c:pt idx="17">
                  <c:v>3.9570676387201189</c:v>
                </c:pt>
                <c:pt idx="18">
                  <c:v>4.9977652269310511</c:v>
                </c:pt>
                <c:pt idx="19">
                  <c:v>4.4950645406226215</c:v>
                </c:pt>
                <c:pt idx="20">
                  <c:v>5.6231243089559229</c:v>
                </c:pt>
                <c:pt idx="21">
                  <c:v>7.9284684614485457</c:v>
                </c:pt>
                <c:pt idx="22">
                  <c:v>7.693200727526019</c:v>
                </c:pt>
                <c:pt idx="23">
                  <c:v>8.3926754832146457</c:v>
                </c:pt>
                <c:pt idx="24">
                  <c:v>7.2416629280693883</c:v>
                </c:pt>
                <c:pt idx="25">
                  <c:v>7.0392029456356937</c:v>
                </c:pt>
                <c:pt idx="26">
                  <c:v>6.8381903769449082</c:v>
                </c:pt>
                <c:pt idx="27">
                  <c:v>6.6970570490044992</c:v>
                </c:pt>
                <c:pt idx="28">
                  <c:v>7.819417814188597</c:v>
                </c:pt>
                <c:pt idx="29">
                  <c:v>5.5341966815054491</c:v>
                </c:pt>
                <c:pt idx="30">
                  <c:v>6.4442351674963021</c:v>
                </c:pt>
                <c:pt idx="31">
                  <c:v>4.3541090726313172</c:v>
                </c:pt>
                <c:pt idx="32">
                  <c:v>4.3261769270563946</c:v>
                </c:pt>
                <c:pt idx="33">
                  <c:v>-0.71901064135748527</c:v>
                </c:pt>
              </c:numCache>
            </c:numRef>
          </c:val>
          <c:smooth val="0"/>
          <c:extLst>
            <c:ext xmlns:c16="http://schemas.microsoft.com/office/drawing/2014/chart" uri="{C3380CC4-5D6E-409C-BE32-E72D297353CC}">
              <c16:uniqueId val="{00000003-F149-44E3-9EDF-735D1EBF364E}"/>
            </c:ext>
          </c:extLst>
        </c:ser>
        <c:ser>
          <c:idx val="2"/>
          <c:order val="4"/>
          <c:tx>
            <c:strRef>
              <c:f>'Trh práce 3'!$G$8</c:f>
              <c:strCache>
                <c:ptCount val="1"/>
                <c:pt idx="0">
                  <c:v>Average wage in public services (nominal)*</c:v>
                </c:pt>
              </c:strCache>
            </c:strRef>
          </c:tx>
          <c:spPr>
            <a:ln w="9525">
              <a:solidFill>
                <a:srgbClr val="00B050"/>
              </a:solidFill>
              <a:prstDash val="solid"/>
            </a:ln>
          </c:spPr>
          <c:marker>
            <c:symbol val="none"/>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3'!$G$17:$G$50</c:f>
              <c:numCache>
                <c:formatCode>0.0</c:formatCode>
                <c:ptCount val="34"/>
                <c:pt idx="0">
                  <c:v>3.2279568792092874</c:v>
                </c:pt>
                <c:pt idx="1">
                  <c:v>1.7574406830760552</c:v>
                </c:pt>
                <c:pt idx="2">
                  <c:v>1.8920783570674899</c:v>
                </c:pt>
                <c:pt idx="3">
                  <c:v>1.0598177996607347</c:v>
                </c:pt>
                <c:pt idx="4">
                  <c:v>2.4966291616919989E-2</c:v>
                </c:pt>
                <c:pt idx="5">
                  <c:v>1.6016040487051129</c:v>
                </c:pt>
                <c:pt idx="6">
                  <c:v>0.63880459502811959</c:v>
                </c:pt>
                <c:pt idx="7">
                  <c:v>0.17964165062383586</c:v>
                </c:pt>
                <c:pt idx="8">
                  <c:v>2.2807600057714694</c:v>
                </c:pt>
                <c:pt idx="9">
                  <c:v>1.7741806147294028</c:v>
                </c:pt>
                <c:pt idx="10">
                  <c:v>2.0112509376191809</c:v>
                </c:pt>
                <c:pt idx="11">
                  <c:v>4.0222566728863143</c:v>
                </c:pt>
                <c:pt idx="12">
                  <c:v>3.2925091204842687</c:v>
                </c:pt>
                <c:pt idx="13">
                  <c:v>4.3135889286729565</c:v>
                </c:pt>
                <c:pt idx="14">
                  <c:v>3.8145419077079765</c:v>
                </c:pt>
                <c:pt idx="15">
                  <c:v>3.6381766938736746</c:v>
                </c:pt>
                <c:pt idx="16">
                  <c:v>4.64178325585614</c:v>
                </c:pt>
                <c:pt idx="17">
                  <c:v>3.8061258933532116</c:v>
                </c:pt>
                <c:pt idx="18">
                  <c:v>4.8526374704253925</c:v>
                </c:pt>
                <c:pt idx="19">
                  <c:v>6.1351981806606233</c:v>
                </c:pt>
                <c:pt idx="20">
                  <c:v>5.4566112929362163</c:v>
                </c:pt>
                <c:pt idx="21">
                  <c:v>7.3192456135909225</c:v>
                </c:pt>
                <c:pt idx="22">
                  <c:v>7.9981713137873953</c:v>
                </c:pt>
                <c:pt idx="23">
                  <c:v>10.484072576559427</c:v>
                </c:pt>
                <c:pt idx="24">
                  <c:v>12.179699393983398</c:v>
                </c:pt>
                <c:pt idx="25">
                  <c:v>11.89217733254111</c:v>
                </c:pt>
                <c:pt idx="26">
                  <c:v>11.361326321628667</c:v>
                </c:pt>
                <c:pt idx="27">
                  <c:v>6.1282038917470629</c:v>
                </c:pt>
                <c:pt idx="28">
                  <c:v>8.2546748266468626</c:v>
                </c:pt>
                <c:pt idx="29">
                  <c:v>8.1369829157287512</c:v>
                </c:pt>
                <c:pt idx="30">
                  <c:v>7.2135483258725941</c:v>
                </c:pt>
                <c:pt idx="31">
                  <c:v>10.00176307206651</c:v>
                </c:pt>
                <c:pt idx="32">
                  <c:v>5.052780952700985</c:v>
                </c:pt>
                <c:pt idx="33">
                  <c:v>5.0731796240498568</c:v>
                </c:pt>
              </c:numCache>
            </c:numRef>
          </c:val>
          <c:smooth val="0"/>
          <c:extLst>
            <c:ext xmlns:c16="http://schemas.microsoft.com/office/drawing/2014/chart" uri="{C3380CC4-5D6E-409C-BE32-E72D297353CC}">
              <c16:uniqueId val="{00000004-F149-44E3-9EDF-735D1EBF364E}"/>
            </c:ext>
          </c:extLst>
        </c:ser>
        <c:ser>
          <c:idx val="3"/>
          <c:order val="5"/>
          <c:tx>
            <c:strRef>
              <c:f>'Trh práce 3'!$H$8</c:f>
              <c:strCache>
                <c:ptCount val="1"/>
                <c:pt idx="0">
                  <c:v>Total median wage (nominal) </c:v>
                </c:pt>
              </c:strCache>
            </c:strRef>
          </c:tx>
          <c:spPr>
            <a:ln w="19050">
              <a:noFill/>
            </a:ln>
          </c:spPr>
          <c:marker>
            <c:symbol val="circle"/>
            <c:size val="5"/>
            <c:spPr>
              <a:solidFill>
                <a:srgbClr val="FFFF00"/>
              </a:solidFill>
              <a:ln w="6350">
                <a:solidFill>
                  <a:schemeClr val="bg1">
                    <a:lumMod val="50000"/>
                  </a:schemeClr>
                </a:solidFill>
              </a:ln>
            </c:spPr>
          </c:marker>
          <c:cat>
            <c:multiLvlStrRef>
              <c:f>'Trh práce 3'!$A$17:$B$50</c:f>
              <c:multiLvlStrCache>
                <c:ptCount val="34"/>
                <c:lvl>
                  <c:pt idx="0">
                    <c:v>1</c:v>
                  </c:pt>
                  <c:pt idx="1">
                    <c:v>2</c:v>
                  </c:pt>
                  <c:pt idx="2">
                    <c:v>3</c:v>
                  </c:pt>
                  <c:pt idx="3">
                    <c:v>4</c:v>
                  </c:pt>
                  <c:pt idx="4">
                    <c:v>1</c:v>
                  </c:pt>
                  <c:pt idx="5">
                    <c:v>2</c:v>
                  </c:pt>
                  <c:pt idx="6">
                    <c:v>3</c:v>
                  </c:pt>
                  <c:pt idx="7">
                    <c:v>4</c:v>
                  </c:pt>
                  <c:pt idx="8">
                    <c:v>1</c:v>
                  </c:pt>
                  <c:pt idx="9">
                    <c:v>2</c:v>
                  </c:pt>
                  <c:pt idx="10">
                    <c:v>3</c:v>
                  </c:pt>
                  <c:pt idx="11">
                    <c:v>4</c:v>
                  </c:pt>
                  <c:pt idx="12">
                    <c:v>1</c:v>
                  </c:pt>
                  <c:pt idx="13">
                    <c:v>2</c:v>
                  </c:pt>
                  <c:pt idx="14">
                    <c:v>3</c:v>
                  </c:pt>
                  <c:pt idx="15">
                    <c:v>4</c:v>
                  </c:pt>
                  <c:pt idx="16">
                    <c:v>1</c:v>
                  </c:pt>
                  <c:pt idx="17">
                    <c:v>2</c:v>
                  </c:pt>
                  <c:pt idx="18">
                    <c:v>3</c:v>
                  </c:pt>
                  <c:pt idx="19">
                    <c:v>4</c:v>
                  </c:pt>
                  <c:pt idx="20">
                    <c:v>1</c:v>
                  </c:pt>
                  <c:pt idx="21">
                    <c:v>2</c:v>
                  </c:pt>
                  <c:pt idx="22">
                    <c:v>3</c:v>
                  </c:pt>
                  <c:pt idx="23">
                    <c:v>4</c:v>
                  </c:pt>
                  <c:pt idx="24">
                    <c:v>1</c:v>
                  </c:pt>
                  <c:pt idx="25">
                    <c:v>2</c:v>
                  </c:pt>
                  <c:pt idx="26">
                    <c:v>3</c:v>
                  </c:pt>
                  <c:pt idx="27">
                    <c:v>4</c:v>
                  </c:pt>
                  <c:pt idx="28">
                    <c:v>1</c:v>
                  </c:pt>
                  <c:pt idx="29">
                    <c:v>2</c:v>
                  </c:pt>
                  <c:pt idx="30">
                    <c:v>3</c:v>
                  </c:pt>
                  <c:pt idx="31">
                    <c:v>4</c:v>
                  </c:pt>
                  <c:pt idx="32">
                    <c:v>1</c:v>
                  </c:pt>
                  <c:pt idx="33">
                    <c:v>2</c:v>
                  </c:pt>
                </c:lvl>
                <c:lvl>
                  <c:pt idx="0">
                    <c:v>2012</c:v>
                  </c:pt>
                  <c:pt idx="4">
                    <c:v>2013</c:v>
                  </c:pt>
                  <c:pt idx="8">
                    <c:v>2014</c:v>
                  </c:pt>
                  <c:pt idx="12">
                    <c:v>2015</c:v>
                  </c:pt>
                  <c:pt idx="16">
                    <c:v>2016</c:v>
                  </c:pt>
                  <c:pt idx="20">
                    <c:v>2017</c:v>
                  </c:pt>
                  <c:pt idx="24">
                    <c:v>2018</c:v>
                  </c:pt>
                  <c:pt idx="28">
                    <c:v>2019</c:v>
                  </c:pt>
                  <c:pt idx="32">
                    <c:v>2020</c:v>
                  </c:pt>
                </c:lvl>
              </c:multiLvlStrCache>
            </c:multiLvlStrRef>
          </c:cat>
          <c:val>
            <c:numRef>
              <c:f>'Trh práce 3'!$H$17:$H$50</c:f>
              <c:numCache>
                <c:formatCode>0.0</c:formatCode>
                <c:ptCount val="34"/>
                <c:pt idx="0">
                  <c:v>1.4000000000000057</c:v>
                </c:pt>
                <c:pt idx="1">
                  <c:v>1.2999999999999972</c:v>
                </c:pt>
                <c:pt idx="2">
                  <c:v>-0.40000000000000568</c:v>
                </c:pt>
                <c:pt idx="3">
                  <c:v>-0.59999999999999432</c:v>
                </c:pt>
                <c:pt idx="4">
                  <c:v>0.59999999999999432</c:v>
                </c:pt>
                <c:pt idx="5">
                  <c:v>1.4000000000000057</c:v>
                </c:pt>
                <c:pt idx="6">
                  <c:v>2.2999999999999972</c:v>
                </c:pt>
                <c:pt idx="7">
                  <c:v>1.2000000000000028</c:v>
                </c:pt>
                <c:pt idx="8">
                  <c:v>4.7000000000000028</c:v>
                </c:pt>
                <c:pt idx="9">
                  <c:v>3.2999999999999972</c:v>
                </c:pt>
                <c:pt idx="10">
                  <c:v>2.5999999999999943</c:v>
                </c:pt>
                <c:pt idx="11">
                  <c:v>2.2999999999999972</c:v>
                </c:pt>
                <c:pt idx="12">
                  <c:v>0.70000000000000284</c:v>
                </c:pt>
                <c:pt idx="13">
                  <c:v>2.2999999999999972</c:v>
                </c:pt>
                <c:pt idx="14">
                  <c:v>3.7999999999999972</c:v>
                </c:pt>
                <c:pt idx="15">
                  <c:v>4.7000000000000028</c:v>
                </c:pt>
                <c:pt idx="16">
                  <c:v>6.7000000000000028</c:v>
                </c:pt>
                <c:pt idx="17">
                  <c:v>4.5999999999999943</c:v>
                </c:pt>
                <c:pt idx="18">
                  <c:v>5.2999999999999972</c:v>
                </c:pt>
                <c:pt idx="19">
                  <c:v>6.2000000000000028</c:v>
                </c:pt>
                <c:pt idx="20">
                  <c:v>4.9000000000000057</c:v>
                </c:pt>
                <c:pt idx="21">
                  <c:v>7.7000000000000028</c:v>
                </c:pt>
                <c:pt idx="22">
                  <c:v>7</c:v>
                </c:pt>
                <c:pt idx="23">
                  <c:v>8.9000000000000057</c:v>
                </c:pt>
                <c:pt idx="24">
                  <c:v>8.2999999999999972</c:v>
                </c:pt>
                <c:pt idx="25">
                  <c:v>9.5999999999999943</c:v>
                </c:pt>
                <c:pt idx="26">
                  <c:v>10</c:v>
                </c:pt>
                <c:pt idx="27">
                  <c:v>7.2000000000000028</c:v>
                </c:pt>
                <c:pt idx="28">
                  <c:v>7.4000000000000057</c:v>
                </c:pt>
                <c:pt idx="29">
                  <c:v>6.5999999999999943</c:v>
                </c:pt>
                <c:pt idx="30">
                  <c:v>6</c:v>
                </c:pt>
                <c:pt idx="31">
                  <c:v>6.0999999999999943</c:v>
                </c:pt>
                <c:pt idx="32">
                  <c:v>6</c:v>
                </c:pt>
                <c:pt idx="33">
                  <c:v>-0.20000000000000284</c:v>
                </c:pt>
              </c:numCache>
            </c:numRef>
          </c:val>
          <c:smooth val="0"/>
          <c:extLst>
            <c:ext xmlns:c16="http://schemas.microsoft.com/office/drawing/2014/chart" uri="{C3380CC4-5D6E-409C-BE32-E72D297353CC}">
              <c16:uniqueId val="{00000005-F149-44E3-9EDF-735D1EBF364E}"/>
            </c:ext>
          </c:extLst>
        </c:ser>
        <c:dLbls>
          <c:showLegendKey val="0"/>
          <c:showVal val="0"/>
          <c:showCatName val="0"/>
          <c:showSerName val="0"/>
          <c:showPercent val="0"/>
          <c:showBubbleSize val="0"/>
        </c:dLbls>
        <c:marker val="1"/>
        <c:smooth val="0"/>
        <c:axId val="100688640"/>
        <c:axId val="100690560"/>
      </c:lineChart>
      <c:catAx>
        <c:axId val="100688640"/>
        <c:scaling>
          <c:orientation val="minMax"/>
        </c:scaling>
        <c:delete val="0"/>
        <c:axPos val="b"/>
        <c:numFmt formatCode="General" sourceLinked="1"/>
        <c:majorTickMark val="out"/>
        <c:minorTickMark val="none"/>
        <c:tickLblPos val="low"/>
        <c:spPr>
          <a:ln>
            <a:solidFill>
              <a:schemeClr val="tx1"/>
            </a:solidFill>
          </a:ln>
        </c:spPr>
        <c:txPr>
          <a:bodyPr rot="0" vert="horz"/>
          <a:lstStyle/>
          <a:p>
            <a:pPr>
              <a:defRPr/>
            </a:pPr>
            <a:endParaRPr lang="cs-CZ"/>
          </a:p>
        </c:txPr>
        <c:crossAx val="100690560"/>
        <c:crosses val="autoZero"/>
        <c:auto val="1"/>
        <c:lblAlgn val="ctr"/>
        <c:lblOffset val="0"/>
        <c:tickMarkSkip val="4"/>
        <c:noMultiLvlLbl val="0"/>
      </c:catAx>
      <c:valAx>
        <c:axId val="100690560"/>
        <c:scaling>
          <c:orientation val="minMax"/>
          <c:max val="12.2"/>
          <c:min val="-5"/>
        </c:scaling>
        <c:delete val="0"/>
        <c:axPos val="l"/>
        <c:majorGridlines>
          <c:spPr>
            <a:ln>
              <a:solidFill>
                <a:schemeClr val="bg1">
                  <a:lumMod val="75000"/>
                </a:schemeClr>
              </a:solidFill>
            </a:ln>
          </c:spPr>
        </c:majorGridlines>
        <c:numFmt formatCode="0" sourceLinked="0"/>
        <c:majorTickMark val="out"/>
        <c:minorTickMark val="none"/>
        <c:tickLblPos val="nextTo"/>
        <c:spPr>
          <a:ln>
            <a:solidFill>
              <a:schemeClr val="tx1"/>
            </a:solidFill>
          </a:ln>
        </c:spPr>
        <c:crossAx val="100688640"/>
        <c:crosses val="autoZero"/>
        <c:crossBetween val="between"/>
        <c:majorUnit val="1"/>
      </c:valAx>
      <c:spPr>
        <a:ln>
          <a:solidFill>
            <a:schemeClr val="tx1"/>
          </a:solidFill>
        </a:ln>
      </c:spPr>
    </c:plotArea>
    <c:legend>
      <c:legendPos val="b"/>
      <c:layout>
        <c:manualLayout>
          <c:xMode val="edge"/>
          <c:yMode val="edge"/>
          <c:x val="2.8578402807508143E-2"/>
          <c:y val="0.87578174603174608"/>
          <c:w val="0.95799535246990908"/>
          <c:h val="0.11341893424036281"/>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EF99E-E8F9-43EE-A701-5238D4939E88}">
  <ds:schemaRefs>
    <ds:schemaRef ds:uri="http://schemas.openxmlformats.org/officeDocument/2006/bibliography"/>
  </ds:schemaRefs>
</ds:datastoreItem>
</file>

<file path=customXml/itemProps2.xml><?xml version="1.0" encoding="utf-8"?>
<ds:datastoreItem xmlns:ds="http://schemas.openxmlformats.org/officeDocument/2006/customXml" ds:itemID="{FB588658-8F72-44F7-AEF5-F7095978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1</TotalTime>
  <Pages>6</Pages>
  <Words>2665</Words>
  <Characters>15725</Characters>
  <Application>Microsoft Office Word</Application>
  <DocSecurity>0</DocSecurity>
  <Lines>131</Lines>
  <Paragraphs>36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18354</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Karolína Súkupová</dc:creator>
  <cp:keywords/>
  <dc:description/>
  <cp:lastModifiedBy>Mgr. Karolína Zábojníková</cp:lastModifiedBy>
  <cp:revision>3</cp:revision>
  <cp:lastPrinted>2019-04-08T10:52:00Z</cp:lastPrinted>
  <dcterms:created xsi:type="dcterms:W3CDTF">2020-10-13T05:41:00Z</dcterms:created>
  <dcterms:modified xsi:type="dcterms:W3CDTF">2020-10-13T05:53:00Z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92781-1fcb-4da3-a1a2-e534c28a25f3_Enabled">
    <vt:lpwstr>true</vt:lpwstr>
  </property>
  <property fmtid="{D5CDD505-2E9C-101B-9397-08002B2CF9AE}" pid="3" name="MSIP_Label_faa92781-1fcb-4da3-a1a2-e534c28a25f3_SetDate">
    <vt:lpwstr>2020-09-18T12:31:27Z</vt:lpwstr>
  </property>
  <property fmtid="{D5CDD505-2E9C-101B-9397-08002B2CF9AE}" pid="4" name="MSIP_Label_faa92781-1fcb-4da3-a1a2-e534c28a25f3_Method">
    <vt:lpwstr>Standard</vt:lpwstr>
  </property>
  <property fmtid="{D5CDD505-2E9C-101B-9397-08002B2CF9AE}" pid="5" name="MSIP_Label_faa92781-1fcb-4da3-a1a2-e534c28a25f3_Name">
    <vt:lpwstr>in UniCredit Group - no visual markings2</vt:lpwstr>
  </property>
  <property fmtid="{D5CDD505-2E9C-101B-9397-08002B2CF9AE}" pid="6" name="MSIP_Label_faa92781-1fcb-4da3-a1a2-e534c28a25f3_SiteId">
    <vt:lpwstr>2cc49ce9-66a1-41ac-a96b-bdc54247696a</vt:lpwstr>
  </property>
  <property fmtid="{D5CDD505-2E9C-101B-9397-08002B2CF9AE}" pid="7" name="MSIP_Label_faa92781-1fcb-4da3-a1a2-e534c28a25f3_ActionId">
    <vt:lpwstr>54eb53c3-c85e-4f75-ab17-f26ab2ee0a14</vt:lpwstr>
  </property>
  <property fmtid="{D5CDD505-2E9C-101B-9397-08002B2CF9AE}" pid="8" name="MSIP_Label_faa92781-1fcb-4da3-a1a2-e534c28a25f3_ContentBits">
    <vt:lpwstr>0</vt:lpwstr>
  </property>
</Properties>
</file>