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drawings/drawing1.xml" ContentType="application/vnd.openxmlformats-officedocument.drawingml.chartshapes+xml"/>
  <Override PartName="/word/charts/chart1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D59B4" w14:textId="77777777" w:rsidR="00A75E40" w:rsidRPr="00D970F7" w:rsidRDefault="00BF4329" w:rsidP="00E67696">
      <w:pPr>
        <w:rPr>
          <w:lang w:val="en-GB" w:eastAsia="ar-SA"/>
        </w:rPr>
        <w:sectPr w:rsidR="00A75E40" w:rsidRPr="00D970F7" w:rsidSect="0085114D">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418" w:left="1134" w:header="709" w:footer="709" w:gutter="0"/>
          <w:pgNumType w:start="1"/>
          <w:cols w:space="708"/>
          <w:docGrid w:linePitch="360"/>
        </w:sectPr>
      </w:pPr>
      <w:r w:rsidRPr="00D970F7">
        <w:rPr>
          <w:noProof/>
        </w:rPr>
        <mc:AlternateContent>
          <mc:Choice Requires="wpg">
            <w:drawing>
              <wp:anchor distT="0" distB="0" distL="114300" distR="114300" simplePos="0" relativeHeight="251657728" behindDoc="0" locked="1" layoutInCell="1" allowOverlap="1" wp14:anchorId="153790F7" wp14:editId="0FC115F8">
                <wp:simplePos x="0" y="0"/>
                <wp:positionH relativeFrom="page">
                  <wp:posOffset>571500</wp:posOffset>
                </wp:positionH>
                <wp:positionV relativeFrom="page">
                  <wp:posOffset>466725</wp:posOffset>
                </wp:positionV>
                <wp:extent cx="2249805" cy="554355"/>
                <wp:effectExtent l="0" t="0" r="0" b="0"/>
                <wp:wrapSquare wrapText="bothSides"/>
                <wp:docPr id="31" name="Group 2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49805" cy="554355"/>
                          <a:chOff x="567" y="851"/>
                          <a:chExt cx="2714" cy="667"/>
                        </a:xfrm>
                      </wpg:grpSpPr>
                      <wps:wsp>
                        <wps:cNvPr id="32" name="Rectangle 9"/>
                        <wps:cNvSpPr>
                          <a:spLocks noChangeAspect="1" noChangeArrowheads="1"/>
                        </wps:cNvSpPr>
                        <wps:spPr bwMode="auto">
                          <a:xfrm>
                            <a:off x="1215" y="901"/>
                            <a:ext cx="676" cy="154"/>
                          </a:xfrm>
                          <a:prstGeom prst="rect">
                            <a:avLst/>
                          </a:prstGeom>
                          <a:solidFill>
                            <a:srgbClr val="0071BC"/>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10"/>
                        <wps:cNvSpPr>
                          <a:spLocks noChangeAspect="1" noChangeArrowheads="1"/>
                        </wps:cNvSpPr>
                        <wps:spPr bwMode="auto">
                          <a:xfrm>
                            <a:off x="567" y="1131"/>
                            <a:ext cx="1324" cy="154"/>
                          </a:xfrm>
                          <a:prstGeom prst="rect">
                            <a:avLst/>
                          </a:prstGeom>
                          <a:solidFill>
                            <a:srgbClr val="0071BC"/>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11"/>
                        <wps:cNvSpPr>
                          <a:spLocks noChangeAspect="1" noChangeArrowheads="1"/>
                        </wps:cNvSpPr>
                        <wps:spPr bwMode="auto">
                          <a:xfrm>
                            <a:off x="1288" y="1361"/>
                            <a:ext cx="603" cy="153"/>
                          </a:xfrm>
                          <a:prstGeom prst="rect">
                            <a:avLst/>
                          </a:prstGeom>
                          <a:solidFill>
                            <a:srgbClr val="0071BC"/>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bodyPr rot="0" vert="horz" wrap="square" lIns="91440" tIns="45720" rIns="91440" bIns="45720" anchor="t" anchorCtr="0" upright="1">
                          <a:noAutofit/>
                        </wps:bodyPr>
                      </wps:wsp>
                      <wps:wsp>
                        <wps:cNvPr id="39" name="Freeform 12"/>
                        <wps:cNvSpPr>
                          <a:spLocks noChangeAspect="1" noEditPoints="1"/>
                        </wps:cNvSpPr>
                        <wps:spPr bwMode="auto">
                          <a:xfrm>
                            <a:off x="1969" y="1311"/>
                            <a:ext cx="600" cy="207"/>
                          </a:xfrm>
                          <a:custGeom>
                            <a:avLst/>
                            <a:gdLst>
                              <a:gd name="T0" fmla="*/ 520 w 1200"/>
                              <a:gd name="T1" fmla="*/ 84 h 415"/>
                              <a:gd name="T2" fmla="*/ 537 w 1200"/>
                              <a:gd name="T3" fmla="*/ 88 h 415"/>
                              <a:gd name="T4" fmla="*/ 550 w 1200"/>
                              <a:gd name="T5" fmla="*/ 100 h 415"/>
                              <a:gd name="T6" fmla="*/ 557 w 1200"/>
                              <a:gd name="T7" fmla="*/ 114 h 415"/>
                              <a:gd name="T8" fmla="*/ 559 w 1200"/>
                              <a:gd name="T9" fmla="*/ 131 h 415"/>
                              <a:gd name="T10" fmla="*/ 554 w 1200"/>
                              <a:gd name="T11" fmla="*/ 147 h 415"/>
                              <a:gd name="T12" fmla="*/ 544 w 1200"/>
                              <a:gd name="T13" fmla="*/ 160 h 415"/>
                              <a:gd name="T14" fmla="*/ 530 w 1200"/>
                              <a:gd name="T15" fmla="*/ 168 h 415"/>
                              <a:gd name="T16" fmla="*/ 506 w 1200"/>
                              <a:gd name="T17" fmla="*/ 170 h 415"/>
                              <a:gd name="T18" fmla="*/ 540 w 1200"/>
                              <a:gd name="T19" fmla="*/ 202 h 415"/>
                              <a:gd name="T20" fmla="*/ 567 w 1200"/>
                              <a:gd name="T21" fmla="*/ 190 h 415"/>
                              <a:gd name="T22" fmla="*/ 587 w 1200"/>
                              <a:gd name="T23" fmla="*/ 169 h 415"/>
                              <a:gd name="T24" fmla="*/ 599 w 1200"/>
                              <a:gd name="T25" fmla="*/ 142 h 415"/>
                              <a:gd name="T26" fmla="*/ 599 w 1200"/>
                              <a:gd name="T27" fmla="*/ 111 h 415"/>
                              <a:gd name="T28" fmla="*/ 587 w 1200"/>
                              <a:gd name="T29" fmla="*/ 84 h 415"/>
                              <a:gd name="T30" fmla="*/ 567 w 1200"/>
                              <a:gd name="T31" fmla="*/ 63 h 415"/>
                              <a:gd name="T32" fmla="*/ 540 w 1200"/>
                              <a:gd name="T33" fmla="*/ 51 h 415"/>
                              <a:gd name="T34" fmla="*/ 466 w 1200"/>
                              <a:gd name="T35" fmla="*/ 204 h 415"/>
                              <a:gd name="T36" fmla="*/ 388 w 1200"/>
                              <a:gd name="T37" fmla="*/ 146 h 415"/>
                              <a:gd name="T38" fmla="*/ 393 w 1200"/>
                              <a:gd name="T39" fmla="*/ 50 h 415"/>
                              <a:gd name="T40" fmla="*/ 343 w 1200"/>
                              <a:gd name="T41" fmla="*/ 177 h 415"/>
                              <a:gd name="T42" fmla="*/ 257 w 1200"/>
                              <a:gd name="T43" fmla="*/ 18 h 415"/>
                              <a:gd name="T44" fmla="*/ 174 w 1200"/>
                              <a:gd name="T45" fmla="*/ 18 h 415"/>
                              <a:gd name="T46" fmla="*/ 216 w 1200"/>
                              <a:gd name="T47" fmla="*/ 81 h 415"/>
                              <a:gd name="T48" fmla="*/ 231 w 1200"/>
                              <a:gd name="T49" fmla="*/ 88 h 415"/>
                              <a:gd name="T50" fmla="*/ 235 w 1200"/>
                              <a:gd name="T51" fmla="*/ 104 h 415"/>
                              <a:gd name="T52" fmla="*/ 225 w 1200"/>
                              <a:gd name="T53" fmla="*/ 116 h 415"/>
                              <a:gd name="T54" fmla="*/ 204 w 1200"/>
                              <a:gd name="T55" fmla="*/ 119 h 415"/>
                              <a:gd name="T56" fmla="*/ 258 w 1200"/>
                              <a:gd name="T57" fmla="*/ 135 h 415"/>
                              <a:gd name="T58" fmla="*/ 271 w 1200"/>
                              <a:gd name="T59" fmla="*/ 121 h 415"/>
                              <a:gd name="T60" fmla="*/ 276 w 1200"/>
                              <a:gd name="T61" fmla="*/ 102 h 415"/>
                              <a:gd name="T62" fmla="*/ 275 w 1200"/>
                              <a:gd name="T63" fmla="*/ 83 h 415"/>
                              <a:gd name="T64" fmla="*/ 266 w 1200"/>
                              <a:gd name="T65" fmla="*/ 67 h 415"/>
                              <a:gd name="T66" fmla="*/ 252 w 1200"/>
                              <a:gd name="T67" fmla="*/ 55 h 415"/>
                              <a:gd name="T68" fmla="*/ 232 w 1200"/>
                              <a:gd name="T69" fmla="*/ 50 h 415"/>
                              <a:gd name="T70" fmla="*/ 204 w 1200"/>
                              <a:gd name="T71" fmla="*/ 204 h 415"/>
                              <a:gd name="T72" fmla="*/ 243 w 1200"/>
                              <a:gd name="T73" fmla="*/ 141 h 415"/>
                              <a:gd name="T74" fmla="*/ 67 w 1200"/>
                              <a:gd name="T75" fmla="*/ 42 h 415"/>
                              <a:gd name="T76" fmla="*/ 0 w 1200"/>
                              <a:gd name="T77" fmla="*/ 139 h 415"/>
                              <a:gd name="T78" fmla="*/ 3 w 1200"/>
                              <a:gd name="T79" fmla="*/ 166 h 415"/>
                              <a:gd name="T80" fmla="*/ 12 w 1200"/>
                              <a:gd name="T81" fmla="*/ 184 h 415"/>
                              <a:gd name="T82" fmla="*/ 34 w 1200"/>
                              <a:gd name="T83" fmla="*/ 201 h 415"/>
                              <a:gd name="T84" fmla="*/ 67 w 1200"/>
                              <a:gd name="T85" fmla="*/ 207 h 415"/>
                              <a:gd name="T86" fmla="*/ 96 w 1200"/>
                              <a:gd name="T87" fmla="*/ 202 h 415"/>
                              <a:gd name="T88" fmla="*/ 119 w 1200"/>
                              <a:gd name="T89" fmla="*/ 186 h 415"/>
                              <a:gd name="T90" fmla="*/ 131 w 1200"/>
                              <a:gd name="T91" fmla="*/ 166 h 415"/>
                              <a:gd name="T92" fmla="*/ 134 w 1200"/>
                              <a:gd name="T93" fmla="*/ 139 h 415"/>
                              <a:gd name="T94" fmla="*/ 95 w 1200"/>
                              <a:gd name="T95" fmla="*/ 143 h 415"/>
                              <a:gd name="T96" fmla="*/ 89 w 1200"/>
                              <a:gd name="T97" fmla="*/ 163 h 415"/>
                              <a:gd name="T98" fmla="*/ 78 w 1200"/>
                              <a:gd name="T99" fmla="*/ 170 h 415"/>
                              <a:gd name="T100" fmla="*/ 63 w 1200"/>
                              <a:gd name="T101" fmla="*/ 172 h 415"/>
                              <a:gd name="T102" fmla="*/ 52 w 1200"/>
                              <a:gd name="T103" fmla="*/ 168 h 415"/>
                              <a:gd name="T104" fmla="*/ 42 w 1200"/>
                              <a:gd name="T105" fmla="*/ 156 h 415"/>
                              <a:gd name="T106" fmla="*/ 40 w 1200"/>
                              <a:gd name="T107" fmla="*/ 50 h 41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200" h="415">
                                <a:moveTo>
                                  <a:pt x="1011" y="341"/>
                                </a:moveTo>
                                <a:lnTo>
                                  <a:pt x="1011" y="167"/>
                                </a:lnTo>
                                <a:lnTo>
                                  <a:pt x="1030" y="167"/>
                                </a:lnTo>
                                <a:lnTo>
                                  <a:pt x="1040" y="169"/>
                                </a:lnTo>
                                <a:lnTo>
                                  <a:pt x="1049" y="170"/>
                                </a:lnTo>
                                <a:lnTo>
                                  <a:pt x="1059" y="171"/>
                                </a:lnTo>
                                <a:lnTo>
                                  <a:pt x="1067" y="174"/>
                                </a:lnTo>
                                <a:lnTo>
                                  <a:pt x="1074" y="177"/>
                                </a:lnTo>
                                <a:lnTo>
                                  <a:pt x="1082" y="182"/>
                                </a:lnTo>
                                <a:lnTo>
                                  <a:pt x="1088" y="187"/>
                                </a:lnTo>
                                <a:lnTo>
                                  <a:pt x="1094" y="194"/>
                                </a:lnTo>
                                <a:lnTo>
                                  <a:pt x="1099" y="200"/>
                                </a:lnTo>
                                <a:lnTo>
                                  <a:pt x="1104" y="206"/>
                                </a:lnTo>
                                <a:lnTo>
                                  <a:pt x="1108" y="213"/>
                                </a:lnTo>
                                <a:lnTo>
                                  <a:pt x="1112" y="221"/>
                                </a:lnTo>
                                <a:lnTo>
                                  <a:pt x="1114" y="228"/>
                                </a:lnTo>
                                <a:lnTo>
                                  <a:pt x="1116" y="237"/>
                                </a:lnTo>
                                <a:lnTo>
                                  <a:pt x="1117" y="245"/>
                                </a:lnTo>
                                <a:lnTo>
                                  <a:pt x="1117" y="253"/>
                                </a:lnTo>
                                <a:lnTo>
                                  <a:pt x="1117" y="262"/>
                                </a:lnTo>
                                <a:lnTo>
                                  <a:pt x="1116" y="271"/>
                                </a:lnTo>
                                <a:lnTo>
                                  <a:pt x="1114" y="278"/>
                                </a:lnTo>
                                <a:lnTo>
                                  <a:pt x="1112" y="287"/>
                                </a:lnTo>
                                <a:lnTo>
                                  <a:pt x="1108" y="294"/>
                                </a:lnTo>
                                <a:lnTo>
                                  <a:pt x="1104" y="301"/>
                                </a:lnTo>
                                <a:lnTo>
                                  <a:pt x="1099" y="308"/>
                                </a:lnTo>
                                <a:lnTo>
                                  <a:pt x="1094" y="314"/>
                                </a:lnTo>
                                <a:lnTo>
                                  <a:pt x="1088" y="321"/>
                                </a:lnTo>
                                <a:lnTo>
                                  <a:pt x="1082" y="326"/>
                                </a:lnTo>
                                <a:lnTo>
                                  <a:pt x="1074" y="331"/>
                                </a:lnTo>
                                <a:lnTo>
                                  <a:pt x="1067" y="334"/>
                                </a:lnTo>
                                <a:lnTo>
                                  <a:pt x="1059" y="337"/>
                                </a:lnTo>
                                <a:lnTo>
                                  <a:pt x="1049" y="338"/>
                                </a:lnTo>
                                <a:lnTo>
                                  <a:pt x="1040" y="339"/>
                                </a:lnTo>
                                <a:lnTo>
                                  <a:pt x="1030" y="341"/>
                                </a:lnTo>
                                <a:lnTo>
                                  <a:pt x="1011" y="341"/>
                                </a:lnTo>
                                <a:close/>
                                <a:moveTo>
                                  <a:pt x="931" y="408"/>
                                </a:moveTo>
                                <a:lnTo>
                                  <a:pt x="1049" y="408"/>
                                </a:lnTo>
                                <a:lnTo>
                                  <a:pt x="1064" y="407"/>
                                </a:lnTo>
                                <a:lnTo>
                                  <a:pt x="1079" y="404"/>
                                </a:lnTo>
                                <a:lnTo>
                                  <a:pt x="1093" y="400"/>
                                </a:lnTo>
                                <a:lnTo>
                                  <a:pt x="1107" y="395"/>
                                </a:lnTo>
                                <a:lnTo>
                                  <a:pt x="1121" y="389"/>
                                </a:lnTo>
                                <a:lnTo>
                                  <a:pt x="1133" y="380"/>
                                </a:lnTo>
                                <a:lnTo>
                                  <a:pt x="1144" y="372"/>
                                </a:lnTo>
                                <a:lnTo>
                                  <a:pt x="1155" y="362"/>
                                </a:lnTo>
                                <a:lnTo>
                                  <a:pt x="1165" y="351"/>
                                </a:lnTo>
                                <a:lnTo>
                                  <a:pt x="1174" y="339"/>
                                </a:lnTo>
                                <a:lnTo>
                                  <a:pt x="1182" y="326"/>
                                </a:lnTo>
                                <a:lnTo>
                                  <a:pt x="1188" y="313"/>
                                </a:lnTo>
                                <a:lnTo>
                                  <a:pt x="1194" y="298"/>
                                </a:lnTo>
                                <a:lnTo>
                                  <a:pt x="1198" y="284"/>
                                </a:lnTo>
                                <a:lnTo>
                                  <a:pt x="1200" y="270"/>
                                </a:lnTo>
                                <a:lnTo>
                                  <a:pt x="1200" y="253"/>
                                </a:lnTo>
                                <a:lnTo>
                                  <a:pt x="1200" y="238"/>
                                </a:lnTo>
                                <a:lnTo>
                                  <a:pt x="1198" y="223"/>
                                </a:lnTo>
                                <a:lnTo>
                                  <a:pt x="1194" y="208"/>
                                </a:lnTo>
                                <a:lnTo>
                                  <a:pt x="1188" y="195"/>
                                </a:lnTo>
                                <a:lnTo>
                                  <a:pt x="1182" y="181"/>
                                </a:lnTo>
                                <a:lnTo>
                                  <a:pt x="1174" y="169"/>
                                </a:lnTo>
                                <a:lnTo>
                                  <a:pt x="1165" y="157"/>
                                </a:lnTo>
                                <a:lnTo>
                                  <a:pt x="1155" y="146"/>
                                </a:lnTo>
                                <a:lnTo>
                                  <a:pt x="1144" y="136"/>
                                </a:lnTo>
                                <a:lnTo>
                                  <a:pt x="1133" y="126"/>
                                </a:lnTo>
                                <a:lnTo>
                                  <a:pt x="1121" y="119"/>
                                </a:lnTo>
                                <a:lnTo>
                                  <a:pt x="1107" y="113"/>
                                </a:lnTo>
                                <a:lnTo>
                                  <a:pt x="1093" y="108"/>
                                </a:lnTo>
                                <a:lnTo>
                                  <a:pt x="1079" y="103"/>
                                </a:lnTo>
                                <a:lnTo>
                                  <a:pt x="1064" y="101"/>
                                </a:lnTo>
                                <a:lnTo>
                                  <a:pt x="1049" y="100"/>
                                </a:lnTo>
                                <a:lnTo>
                                  <a:pt x="931" y="100"/>
                                </a:lnTo>
                                <a:lnTo>
                                  <a:pt x="931" y="408"/>
                                </a:lnTo>
                                <a:close/>
                                <a:moveTo>
                                  <a:pt x="775" y="293"/>
                                </a:moveTo>
                                <a:lnTo>
                                  <a:pt x="708" y="293"/>
                                </a:lnTo>
                                <a:lnTo>
                                  <a:pt x="742" y="195"/>
                                </a:lnTo>
                                <a:lnTo>
                                  <a:pt x="775" y="293"/>
                                </a:lnTo>
                                <a:close/>
                                <a:moveTo>
                                  <a:pt x="797" y="354"/>
                                </a:moveTo>
                                <a:lnTo>
                                  <a:pt x="817" y="408"/>
                                </a:lnTo>
                                <a:lnTo>
                                  <a:pt x="901" y="408"/>
                                </a:lnTo>
                                <a:lnTo>
                                  <a:pt x="785" y="100"/>
                                </a:lnTo>
                                <a:lnTo>
                                  <a:pt x="698" y="100"/>
                                </a:lnTo>
                                <a:lnTo>
                                  <a:pt x="581" y="408"/>
                                </a:lnTo>
                                <a:lnTo>
                                  <a:pt x="665" y="408"/>
                                </a:lnTo>
                                <a:lnTo>
                                  <a:pt x="686" y="354"/>
                                </a:lnTo>
                                <a:lnTo>
                                  <a:pt x="797" y="354"/>
                                </a:lnTo>
                                <a:close/>
                                <a:moveTo>
                                  <a:pt x="347" y="37"/>
                                </a:moveTo>
                                <a:lnTo>
                                  <a:pt x="430" y="83"/>
                                </a:lnTo>
                                <a:lnTo>
                                  <a:pt x="513" y="37"/>
                                </a:lnTo>
                                <a:lnTo>
                                  <a:pt x="491" y="3"/>
                                </a:lnTo>
                                <a:lnTo>
                                  <a:pt x="430" y="34"/>
                                </a:lnTo>
                                <a:lnTo>
                                  <a:pt x="369" y="3"/>
                                </a:lnTo>
                                <a:lnTo>
                                  <a:pt x="347" y="37"/>
                                </a:lnTo>
                                <a:close/>
                                <a:moveTo>
                                  <a:pt x="407" y="238"/>
                                </a:moveTo>
                                <a:lnTo>
                                  <a:pt x="407" y="161"/>
                                </a:lnTo>
                                <a:lnTo>
                                  <a:pt x="422" y="161"/>
                                </a:lnTo>
                                <a:lnTo>
                                  <a:pt x="432" y="162"/>
                                </a:lnTo>
                                <a:lnTo>
                                  <a:pt x="442" y="164"/>
                                </a:lnTo>
                                <a:lnTo>
                                  <a:pt x="449" y="166"/>
                                </a:lnTo>
                                <a:lnTo>
                                  <a:pt x="455" y="170"/>
                                </a:lnTo>
                                <a:lnTo>
                                  <a:pt x="461" y="176"/>
                                </a:lnTo>
                                <a:lnTo>
                                  <a:pt x="466" y="182"/>
                                </a:lnTo>
                                <a:lnTo>
                                  <a:pt x="469" y="191"/>
                                </a:lnTo>
                                <a:lnTo>
                                  <a:pt x="470" y="200"/>
                                </a:lnTo>
                                <a:lnTo>
                                  <a:pt x="469" y="208"/>
                                </a:lnTo>
                                <a:lnTo>
                                  <a:pt x="466" y="216"/>
                                </a:lnTo>
                                <a:lnTo>
                                  <a:pt x="461" y="223"/>
                                </a:lnTo>
                                <a:lnTo>
                                  <a:pt x="455" y="230"/>
                                </a:lnTo>
                                <a:lnTo>
                                  <a:pt x="449" y="233"/>
                                </a:lnTo>
                                <a:lnTo>
                                  <a:pt x="442" y="236"/>
                                </a:lnTo>
                                <a:lnTo>
                                  <a:pt x="432" y="237"/>
                                </a:lnTo>
                                <a:lnTo>
                                  <a:pt x="422" y="238"/>
                                </a:lnTo>
                                <a:lnTo>
                                  <a:pt x="407" y="238"/>
                                </a:lnTo>
                                <a:close/>
                                <a:moveTo>
                                  <a:pt x="485" y="282"/>
                                </a:moveTo>
                                <a:lnTo>
                                  <a:pt x="498" y="278"/>
                                </a:lnTo>
                                <a:lnTo>
                                  <a:pt x="508" y="275"/>
                                </a:lnTo>
                                <a:lnTo>
                                  <a:pt x="516" y="270"/>
                                </a:lnTo>
                                <a:lnTo>
                                  <a:pt x="525" y="263"/>
                                </a:lnTo>
                                <a:lnTo>
                                  <a:pt x="531" y="257"/>
                                </a:lnTo>
                                <a:lnTo>
                                  <a:pt x="536" y="250"/>
                                </a:lnTo>
                                <a:lnTo>
                                  <a:pt x="541" y="242"/>
                                </a:lnTo>
                                <a:lnTo>
                                  <a:pt x="545" y="233"/>
                                </a:lnTo>
                                <a:lnTo>
                                  <a:pt x="549" y="225"/>
                                </a:lnTo>
                                <a:lnTo>
                                  <a:pt x="551" y="215"/>
                                </a:lnTo>
                                <a:lnTo>
                                  <a:pt x="552" y="205"/>
                                </a:lnTo>
                                <a:lnTo>
                                  <a:pt x="552" y="195"/>
                                </a:lnTo>
                                <a:lnTo>
                                  <a:pt x="552" y="186"/>
                                </a:lnTo>
                                <a:lnTo>
                                  <a:pt x="551" y="176"/>
                                </a:lnTo>
                                <a:lnTo>
                                  <a:pt x="549" y="167"/>
                                </a:lnTo>
                                <a:lnTo>
                                  <a:pt x="546" y="159"/>
                                </a:lnTo>
                                <a:lnTo>
                                  <a:pt x="542" y="150"/>
                                </a:lnTo>
                                <a:lnTo>
                                  <a:pt x="537" y="141"/>
                                </a:lnTo>
                                <a:lnTo>
                                  <a:pt x="532" y="134"/>
                                </a:lnTo>
                                <a:lnTo>
                                  <a:pt x="526" y="128"/>
                                </a:lnTo>
                                <a:lnTo>
                                  <a:pt x="519" y="120"/>
                                </a:lnTo>
                                <a:lnTo>
                                  <a:pt x="511" y="115"/>
                                </a:lnTo>
                                <a:lnTo>
                                  <a:pt x="504" y="110"/>
                                </a:lnTo>
                                <a:lnTo>
                                  <a:pt x="495" y="106"/>
                                </a:lnTo>
                                <a:lnTo>
                                  <a:pt x="485" y="104"/>
                                </a:lnTo>
                                <a:lnTo>
                                  <a:pt x="475" y="101"/>
                                </a:lnTo>
                                <a:lnTo>
                                  <a:pt x="463" y="100"/>
                                </a:lnTo>
                                <a:lnTo>
                                  <a:pt x="450" y="100"/>
                                </a:lnTo>
                                <a:lnTo>
                                  <a:pt x="327" y="100"/>
                                </a:lnTo>
                                <a:lnTo>
                                  <a:pt x="327" y="408"/>
                                </a:lnTo>
                                <a:lnTo>
                                  <a:pt x="407" y="408"/>
                                </a:lnTo>
                                <a:lnTo>
                                  <a:pt x="407" y="289"/>
                                </a:lnTo>
                                <a:lnTo>
                                  <a:pt x="483" y="408"/>
                                </a:lnTo>
                                <a:lnTo>
                                  <a:pt x="582" y="408"/>
                                </a:lnTo>
                                <a:lnTo>
                                  <a:pt x="485" y="282"/>
                                </a:lnTo>
                                <a:close/>
                                <a:moveTo>
                                  <a:pt x="210" y="35"/>
                                </a:moveTo>
                                <a:lnTo>
                                  <a:pt x="171" y="0"/>
                                </a:lnTo>
                                <a:lnTo>
                                  <a:pt x="105" y="56"/>
                                </a:lnTo>
                                <a:lnTo>
                                  <a:pt x="133" y="85"/>
                                </a:lnTo>
                                <a:lnTo>
                                  <a:pt x="210" y="35"/>
                                </a:lnTo>
                                <a:close/>
                                <a:moveTo>
                                  <a:pt x="80" y="100"/>
                                </a:moveTo>
                                <a:lnTo>
                                  <a:pt x="0" y="100"/>
                                </a:lnTo>
                                <a:lnTo>
                                  <a:pt x="0" y="278"/>
                                </a:lnTo>
                                <a:lnTo>
                                  <a:pt x="0" y="293"/>
                                </a:lnTo>
                                <a:lnTo>
                                  <a:pt x="2" y="308"/>
                                </a:lnTo>
                                <a:lnTo>
                                  <a:pt x="3" y="321"/>
                                </a:lnTo>
                                <a:lnTo>
                                  <a:pt x="5" y="333"/>
                                </a:lnTo>
                                <a:lnTo>
                                  <a:pt x="9" y="343"/>
                                </a:lnTo>
                                <a:lnTo>
                                  <a:pt x="13" y="353"/>
                                </a:lnTo>
                                <a:lnTo>
                                  <a:pt x="17" y="362"/>
                                </a:lnTo>
                                <a:lnTo>
                                  <a:pt x="23" y="369"/>
                                </a:lnTo>
                                <a:lnTo>
                                  <a:pt x="32" y="379"/>
                                </a:lnTo>
                                <a:lnTo>
                                  <a:pt x="43" y="389"/>
                                </a:lnTo>
                                <a:lnTo>
                                  <a:pt x="54" y="397"/>
                                </a:lnTo>
                                <a:lnTo>
                                  <a:pt x="68" y="403"/>
                                </a:lnTo>
                                <a:lnTo>
                                  <a:pt x="83" y="409"/>
                                </a:lnTo>
                                <a:lnTo>
                                  <a:pt x="99" y="413"/>
                                </a:lnTo>
                                <a:lnTo>
                                  <a:pt x="115" y="415"/>
                                </a:lnTo>
                                <a:lnTo>
                                  <a:pt x="133" y="415"/>
                                </a:lnTo>
                                <a:lnTo>
                                  <a:pt x="149" y="415"/>
                                </a:lnTo>
                                <a:lnTo>
                                  <a:pt x="165" y="413"/>
                                </a:lnTo>
                                <a:lnTo>
                                  <a:pt x="179" y="409"/>
                                </a:lnTo>
                                <a:lnTo>
                                  <a:pt x="192" y="404"/>
                                </a:lnTo>
                                <a:lnTo>
                                  <a:pt x="206" y="399"/>
                                </a:lnTo>
                                <a:lnTo>
                                  <a:pt x="217" y="392"/>
                                </a:lnTo>
                                <a:lnTo>
                                  <a:pt x="228" y="383"/>
                                </a:lnTo>
                                <a:lnTo>
                                  <a:pt x="238" y="372"/>
                                </a:lnTo>
                                <a:lnTo>
                                  <a:pt x="246" y="363"/>
                                </a:lnTo>
                                <a:lnTo>
                                  <a:pt x="253" y="353"/>
                                </a:lnTo>
                                <a:lnTo>
                                  <a:pt x="258" y="343"/>
                                </a:lnTo>
                                <a:lnTo>
                                  <a:pt x="262" y="333"/>
                                </a:lnTo>
                                <a:lnTo>
                                  <a:pt x="265" y="321"/>
                                </a:lnTo>
                                <a:lnTo>
                                  <a:pt x="267" y="308"/>
                                </a:lnTo>
                                <a:lnTo>
                                  <a:pt x="268" y="293"/>
                                </a:lnTo>
                                <a:lnTo>
                                  <a:pt x="268" y="278"/>
                                </a:lnTo>
                                <a:lnTo>
                                  <a:pt x="268" y="100"/>
                                </a:lnTo>
                                <a:lnTo>
                                  <a:pt x="189" y="100"/>
                                </a:lnTo>
                                <a:lnTo>
                                  <a:pt x="189" y="267"/>
                                </a:lnTo>
                                <a:lnTo>
                                  <a:pt x="189" y="287"/>
                                </a:lnTo>
                                <a:lnTo>
                                  <a:pt x="187" y="301"/>
                                </a:lnTo>
                                <a:lnTo>
                                  <a:pt x="185" y="311"/>
                                </a:lnTo>
                                <a:lnTo>
                                  <a:pt x="181" y="321"/>
                                </a:lnTo>
                                <a:lnTo>
                                  <a:pt x="177" y="326"/>
                                </a:lnTo>
                                <a:lnTo>
                                  <a:pt x="172" y="331"/>
                                </a:lnTo>
                                <a:lnTo>
                                  <a:pt x="167" y="334"/>
                                </a:lnTo>
                                <a:lnTo>
                                  <a:pt x="161" y="338"/>
                                </a:lnTo>
                                <a:lnTo>
                                  <a:pt x="155" y="341"/>
                                </a:lnTo>
                                <a:lnTo>
                                  <a:pt x="149" y="343"/>
                                </a:lnTo>
                                <a:lnTo>
                                  <a:pt x="141" y="344"/>
                                </a:lnTo>
                                <a:lnTo>
                                  <a:pt x="134" y="346"/>
                                </a:lnTo>
                                <a:lnTo>
                                  <a:pt x="126" y="344"/>
                                </a:lnTo>
                                <a:lnTo>
                                  <a:pt x="120" y="343"/>
                                </a:lnTo>
                                <a:lnTo>
                                  <a:pt x="114" y="342"/>
                                </a:lnTo>
                                <a:lnTo>
                                  <a:pt x="108" y="339"/>
                                </a:lnTo>
                                <a:lnTo>
                                  <a:pt x="103" y="336"/>
                                </a:lnTo>
                                <a:lnTo>
                                  <a:pt x="98" y="332"/>
                                </a:lnTo>
                                <a:lnTo>
                                  <a:pt x="93" y="327"/>
                                </a:lnTo>
                                <a:lnTo>
                                  <a:pt x="89" y="322"/>
                                </a:lnTo>
                                <a:lnTo>
                                  <a:pt x="84" y="312"/>
                                </a:lnTo>
                                <a:lnTo>
                                  <a:pt x="81" y="302"/>
                                </a:lnTo>
                                <a:lnTo>
                                  <a:pt x="80" y="288"/>
                                </a:lnTo>
                                <a:lnTo>
                                  <a:pt x="80" y="267"/>
                                </a:lnTo>
                                <a:lnTo>
                                  <a:pt x="80" y="100"/>
                                </a:lnTo>
                                <a:close/>
                              </a:path>
                            </a:pathLst>
                          </a:custGeom>
                          <a:solidFill>
                            <a:srgbClr val="BD1B21"/>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noChangeAspect="1" noEditPoints="1"/>
                        </wps:cNvSpPr>
                        <wps:spPr bwMode="auto">
                          <a:xfrm>
                            <a:off x="1962" y="1081"/>
                            <a:ext cx="1319" cy="208"/>
                          </a:xfrm>
                          <a:custGeom>
                            <a:avLst/>
                            <a:gdLst>
                              <a:gd name="T0" fmla="*/ 1221 w 2637"/>
                              <a:gd name="T1" fmla="*/ 204 h 416"/>
                              <a:gd name="T2" fmla="*/ 1166 w 2637"/>
                              <a:gd name="T3" fmla="*/ 50 h 416"/>
                              <a:gd name="T4" fmla="*/ 1072 w 2637"/>
                              <a:gd name="T5" fmla="*/ 137 h 416"/>
                              <a:gd name="T6" fmla="*/ 1004 w 2637"/>
                              <a:gd name="T7" fmla="*/ 54 h 416"/>
                              <a:gd name="T8" fmla="*/ 943 w 2637"/>
                              <a:gd name="T9" fmla="*/ 51 h 416"/>
                              <a:gd name="T10" fmla="*/ 900 w 2637"/>
                              <a:gd name="T11" fmla="*/ 82 h 416"/>
                              <a:gd name="T12" fmla="*/ 887 w 2637"/>
                              <a:gd name="T13" fmla="*/ 136 h 416"/>
                              <a:gd name="T14" fmla="*/ 907 w 2637"/>
                              <a:gd name="T15" fmla="*/ 181 h 416"/>
                              <a:gd name="T16" fmla="*/ 959 w 2637"/>
                              <a:gd name="T17" fmla="*/ 208 h 416"/>
                              <a:gd name="T18" fmla="*/ 1000 w 2637"/>
                              <a:gd name="T19" fmla="*/ 157 h 416"/>
                              <a:gd name="T20" fmla="*/ 969 w 2637"/>
                              <a:gd name="T21" fmla="*/ 169 h 416"/>
                              <a:gd name="T22" fmla="*/ 945 w 2637"/>
                              <a:gd name="T23" fmla="*/ 161 h 416"/>
                              <a:gd name="T24" fmla="*/ 929 w 2637"/>
                              <a:gd name="T25" fmla="*/ 137 h 416"/>
                              <a:gd name="T26" fmla="*/ 933 w 2637"/>
                              <a:gd name="T27" fmla="*/ 107 h 416"/>
                              <a:gd name="T28" fmla="*/ 953 w 2637"/>
                              <a:gd name="T29" fmla="*/ 89 h 416"/>
                              <a:gd name="T30" fmla="*/ 984 w 2637"/>
                              <a:gd name="T31" fmla="*/ 88 h 416"/>
                              <a:gd name="T32" fmla="*/ 864 w 2637"/>
                              <a:gd name="T33" fmla="*/ 50 h 416"/>
                              <a:gd name="T34" fmla="*/ 802 w 2637"/>
                              <a:gd name="T35" fmla="*/ 50 h 416"/>
                              <a:gd name="T36" fmla="*/ 680 w 2637"/>
                              <a:gd name="T37" fmla="*/ 59 h 416"/>
                              <a:gd name="T38" fmla="*/ 638 w 2637"/>
                              <a:gd name="T39" fmla="*/ 46 h 416"/>
                              <a:gd name="T40" fmla="*/ 602 w 2637"/>
                              <a:gd name="T41" fmla="*/ 54 h 416"/>
                              <a:gd name="T42" fmla="*/ 581 w 2637"/>
                              <a:gd name="T43" fmla="*/ 82 h 416"/>
                              <a:gd name="T44" fmla="*/ 583 w 2637"/>
                              <a:gd name="T45" fmla="*/ 116 h 416"/>
                              <a:gd name="T46" fmla="*/ 610 w 2637"/>
                              <a:gd name="T47" fmla="*/ 138 h 416"/>
                              <a:gd name="T48" fmla="*/ 644 w 2637"/>
                              <a:gd name="T49" fmla="*/ 153 h 416"/>
                              <a:gd name="T50" fmla="*/ 637 w 2637"/>
                              <a:gd name="T51" fmla="*/ 171 h 416"/>
                              <a:gd name="T52" fmla="*/ 608 w 2637"/>
                              <a:gd name="T53" fmla="*/ 170 h 416"/>
                              <a:gd name="T54" fmla="*/ 586 w 2637"/>
                              <a:gd name="T55" fmla="*/ 198 h 416"/>
                              <a:gd name="T56" fmla="*/ 633 w 2637"/>
                              <a:gd name="T57" fmla="*/ 208 h 416"/>
                              <a:gd name="T58" fmla="*/ 671 w 2637"/>
                              <a:gd name="T59" fmla="*/ 193 h 416"/>
                              <a:gd name="T60" fmla="*/ 687 w 2637"/>
                              <a:gd name="T61" fmla="*/ 160 h 416"/>
                              <a:gd name="T62" fmla="*/ 678 w 2637"/>
                              <a:gd name="T63" fmla="*/ 126 h 416"/>
                              <a:gd name="T64" fmla="*/ 638 w 2637"/>
                              <a:gd name="T65" fmla="*/ 107 h 416"/>
                              <a:gd name="T66" fmla="*/ 621 w 2637"/>
                              <a:gd name="T67" fmla="*/ 93 h 416"/>
                              <a:gd name="T68" fmla="*/ 635 w 2637"/>
                              <a:gd name="T69" fmla="*/ 80 h 416"/>
                              <a:gd name="T70" fmla="*/ 665 w 2637"/>
                              <a:gd name="T71" fmla="*/ 90 h 416"/>
                              <a:gd name="T72" fmla="*/ 452 w 2637"/>
                              <a:gd name="T73" fmla="*/ 84 h 416"/>
                              <a:gd name="T74" fmla="*/ 452 w 2637"/>
                              <a:gd name="T75" fmla="*/ 204 h 416"/>
                              <a:gd name="T76" fmla="*/ 343 w 2637"/>
                              <a:gd name="T77" fmla="*/ 204 h 416"/>
                              <a:gd name="T78" fmla="*/ 333 w 2637"/>
                              <a:gd name="T79" fmla="*/ 177 h 416"/>
                              <a:gd name="T80" fmla="*/ 158 w 2637"/>
                              <a:gd name="T81" fmla="*/ 204 h 416"/>
                              <a:gd name="T82" fmla="*/ 84 w 2637"/>
                              <a:gd name="T83" fmla="*/ 49 h 416"/>
                              <a:gd name="T84" fmla="*/ 42 w 2637"/>
                              <a:gd name="T85" fmla="*/ 48 h 416"/>
                              <a:gd name="T86" fmla="*/ 14 w 2637"/>
                              <a:gd name="T87" fmla="*/ 68 h 416"/>
                              <a:gd name="T88" fmla="*/ 6 w 2637"/>
                              <a:gd name="T89" fmla="*/ 103 h 416"/>
                              <a:gd name="T90" fmla="*/ 19 w 2637"/>
                              <a:gd name="T91" fmla="*/ 128 h 416"/>
                              <a:gd name="T92" fmla="*/ 64 w 2637"/>
                              <a:gd name="T93" fmla="*/ 147 h 416"/>
                              <a:gd name="T94" fmla="*/ 71 w 2637"/>
                              <a:gd name="T95" fmla="*/ 165 h 416"/>
                              <a:gd name="T96" fmla="*/ 48 w 2637"/>
                              <a:gd name="T97" fmla="*/ 174 h 416"/>
                              <a:gd name="T98" fmla="*/ 17 w 2637"/>
                              <a:gd name="T99" fmla="*/ 158 h 416"/>
                              <a:gd name="T100" fmla="*/ 40 w 2637"/>
                              <a:gd name="T101" fmla="*/ 207 h 416"/>
                              <a:gd name="T102" fmla="*/ 84 w 2637"/>
                              <a:gd name="T103" fmla="*/ 202 h 416"/>
                              <a:gd name="T104" fmla="*/ 110 w 2637"/>
                              <a:gd name="T105" fmla="*/ 176 h 416"/>
                              <a:gd name="T106" fmla="*/ 110 w 2637"/>
                              <a:gd name="T107" fmla="*/ 135 h 416"/>
                              <a:gd name="T108" fmla="*/ 93 w 2637"/>
                              <a:gd name="T109" fmla="*/ 117 h 416"/>
                              <a:gd name="T110" fmla="*/ 50 w 2637"/>
                              <a:gd name="T111" fmla="*/ 99 h 416"/>
                              <a:gd name="T112" fmla="*/ 53 w 2637"/>
                              <a:gd name="T113" fmla="*/ 84 h 416"/>
                              <a:gd name="T114" fmla="*/ 76 w 2637"/>
                              <a:gd name="T115" fmla="*/ 81 h 41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2637" h="416">
                                <a:moveTo>
                                  <a:pt x="2561" y="35"/>
                                </a:moveTo>
                                <a:lnTo>
                                  <a:pt x="2524" y="0"/>
                                </a:lnTo>
                                <a:lnTo>
                                  <a:pt x="2458" y="56"/>
                                </a:lnTo>
                                <a:lnTo>
                                  <a:pt x="2485" y="84"/>
                                </a:lnTo>
                                <a:lnTo>
                                  <a:pt x="2561" y="35"/>
                                </a:lnTo>
                                <a:close/>
                                <a:moveTo>
                                  <a:pt x="2442" y="260"/>
                                </a:moveTo>
                                <a:lnTo>
                                  <a:pt x="2442" y="407"/>
                                </a:lnTo>
                                <a:lnTo>
                                  <a:pt x="2521" y="407"/>
                                </a:lnTo>
                                <a:lnTo>
                                  <a:pt x="2521" y="260"/>
                                </a:lnTo>
                                <a:lnTo>
                                  <a:pt x="2637" y="99"/>
                                </a:lnTo>
                                <a:lnTo>
                                  <a:pt x="2540" y="99"/>
                                </a:lnTo>
                                <a:lnTo>
                                  <a:pt x="2484" y="183"/>
                                </a:lnTo>
                                <a:lnTo>
                                  <a:pt x="2427" y="99"/>
                                </a:lnTo>
                                <a:lnTo>
                                  <a:pt x="2331" y="99"/>
                                </a:lnTo>
                                <a:lnTo>
                                  <a:pt x="2442" y="260"/>
                                </a:lnTo>
                                <a:close/>
                                <a:moveTo>
                                  <a:pt x="2143" y="226"/>
                                </a:moveTo>
                                <a:lnTo>
                                  <a:pt x="2143" y="99"/>
                                </a:lnTo>
                                <a:lnTo>
                                  <a:pt x="2063" y="99"/>
                                </a:lnTo>
                                <a:lnTo>
                                  <a:pt x="2063" y="407"/>
                                </a:lnTo>
                                <a:lnTo>
                                  <a:pt x="2143" y="407"/>
                                </a:lnTo>
                                <a:lnTo>
                                  <a:pt x="2143" y="274"/>
                                </a:lnTo>
                                <a:lnTo>
                                  <a:pt x="2247" y="407"/>
                                </a:lnTo>
                                <a:lnTo>
                                  <a:pt x="2351" y="407"/>
                                </a:lnTo>
                                <a:lnTo>
                                  <a:pt x="2217" y="245"/>
                                </a:lnTo>
                                <a:lnTo>
                                  <a:pt x="2340" y="99"/>
                                </a:lnTo>
                                <a:lnTo>
                                  <a:pt x="2240" y="99"/>
                                </a:lnTo>
                                <a:lnTo>
                                  <a:pt x="2143" y="226"/>
                                </a:lnTo>
                                <a:close/>
                                <a:moveTo>
                                  <a:pt x="2008" y="108"/>
                                </a:moveTo>
                                <a:lnTo>
                                  <a:pt x="1987" y="102"/>
                                </a:lnTo>
                                <a:lnTo>
                                  <a:pt x="1969" y="97"/>
                                </a:lnTo>
                                <a:lnTo>
                                  <a:pt x="1952" y="93"/>
                                </a:lnTo>
                                <a:lnTo>
                                  <a:pt x="1936" y="93"/>
                                </a:lnTo>
                                <a:lnTo>
                                  <a:pt x="1918" y="93"/>
                                </a:lnTo>
                                <a:lnTo>
                                  <a:pt x="1902" y="96"/>
                                </a:lnTo>
                                <a:lnTo>
                                  <a:pt x="1886" y="101"/>
                                </a:lnTo>
                                <a:lnTo>
                                  <a:pt x="1871" y="106"/>
                                </a:lnTo>
                                <a:lnTo>
                                  <a:pt x="1857" y="112"/>
                                </a:lnTo>
                                <a:lnTo>
                                  <a:pt x="1844" y="121"/>
                                </a:lnTo>
                                <a:lnTo>
                                  <a:pt x="1831" y="129"/>
                                </a:lnTo>
                                <a:lnTo>
                                  <a:pt x="1820" y="140"/>
                                </a:lnTo>
                                <a:lnTo>
                                  <a:pt x="1809" y="152"/>
                                </a:lnTo>
                                <a:lnTo>
                                  <a:pt x="1800" y="164"/>
                                </a:lnTo>
                                <a:lnTo>
                                  <a:pt x="1791" y="178"/>
                                </a:lnTo>
                                <a:lnTo>
                                  <a:pt x="1785" y="192"/>
                                </a:lnTo>
                                <a:lnTo>
                                  <a:pt x="1780" y="207"/>
                                </a:lnTo>
                                <a:lnTo>
                                  <a:pt x="1775" y="223"/>
                                </a:lnTo>
                                <a:lnTo>
                                  <a:pt x="1773" y="239"/>
                                </a:lnTo>
                                <a:lnTo>
                                  <a:pt x="1773" y="256"/>
                                </a:lnTo>
                                <a:lnTo>
                                  <a:pt x="1773" y="271"/>
                                </a:lnTo>
                                <a:lnTo>
                                  <a:pt x="1775" y="286"/>
                                </a:lnTo>
                                <a:lnTo>
                                  <a:pt x="1778" y="300"/>
                                </a:lnTo>
                                <a:lnTo>
                                  <a:pt x="1783" y="314"/>
                                </a:lnTo>
                                <a:lnTo>
                                  <a:pt x="1789" y="327"/>
                                </a:lnTo>
                                <a:lnTo>
                                  <a:pt x="1795" y="340"/>
                                </a:lnTo>
                                <a:lnTo>
                                  <a:pt x="1804" y="351"/>
                                </a:lnTo>
                                <a:lnTo>
                                  <a:pt x="1813" y="362"/>
                                </a:lnTo>
                                <a:lnTo>
                                  <a:pt x="1825" y="373"/>
                                </a:lnTo>
                                <a:lnTo>
                                  <a:pt x="1839" y="385"/>
                                </a:lnTo>
                                <a:lnTo>
                                  <a:pt x="1854" y="393"/>
                                </a:lnTo>
                                <a:lnTo>
                                  <a:pt x="1869" y="401"/>
                                </a:lnTo>
                                <a:lnTo>
                                  <a:pt x="1885" y="407"/>
                                </a:lnTo>
                                <a:lnTo>
                                  <a:pt x="1902" y="412"/>
                                </a:lnTo>
                                <a:lnTo>
                                  <a:pt x="1918" y="415"/>
                                </a:lnTo>
                                <a:lnTo>
                                  <a:pt x="1936" y="416"/>
                                </a:lnTo>
                                <a:lnTo>
                                  <a:pt x="1951" y="415"/>
                                </a:lnTo>
                                <a:lnTo>
                                  <a:pt x="1966" y="413"/>
                                </a:lnTo>
                                <a:lnTo>
                                  <a:pt x="1983" y="408"/>
                                </a:lnTo>
                                <a:lnTo>
                                  <a:pt x="2008" y="401"/>
                                </a:lnTo>
                                <a:lnTo>
                                  <a:pt x="2008" y="306"/>
                                </a:lnTo>
                                <a:lnTo>
                                  <a:pt x="1999" y="314"/>
                                </a:lnTo>
                                <a:lnTo>
                                  <a:pt x="1992" y="320"/>
                                </a:lnTo>
                                <a:lnTo>
                                  <a:pt x="1983" y="326"/>
                                </a:lnTo>
                                <a:lnTo>
                                  <a:pt x="1976" y="330"/>
                                </a:lnTo>
                                <a:lnTo>
                                  <a:pt x="1967" y="334"/>
                                </a:lnTo>
                                <a:lnTo>
                                  <a:pt x="1957" y="336"/>
                                </a:lnTo>
                                <a:lnTo>
                                  <a:pt x="1948" y="337"/>
                                </a:lnTo>
                                <a:lnTo>
                                  <a:pt x="1938" y="337"/>
                                </a:lnTo>
                                <a:lnTo>
                                  <a:pt x="1931" y="337"/>
                                </a:lnTo>
                                <a:lnTo>
                                  <a:pt x="1923" y="336"/>
                                </a:lnTo>
                                <a:lnTo>
                                  <a:pt x="1916" y="335"/>
                                </a:lnTo>
                                <a:lnTo>
                                  <a:pt x="1908" y="332"/>
                                </a:lnTo>
                                <a:lnTo>
                                  <a:pt x="1902" y="330"/>
                                </a:lnTo>
                                <a:lnTo>
                                  <a:pt x="1896" y="326"/>
                                </a:lnTo>
                                <a:lnTo>
                                  <a:pt x="1889" y="322"/>
                                </a:lnTo>
                                <a:lnTo>
                                  <a:pt x="1884" y="317"/>
                                </a:lnTo>
                                <a:lnTo>
                                  <a:pt x="1876" y="311"/>
                                </a:lnTo>
                                <a:lnTo>
                                  <a:pt x="1871" y="305"/>
                                </a:lnTo>
                                <a:lnTo>
                                  <a:pt x="1866" y="299"/>
                                </a:lnTo>
                                <a:lnTo>
                                  <a:pt x="1862" y="291"/>
                                </a:lnTo>
                                <a:lnTo>
                                  <a:pt x="1860" y="283"/>
                                </a:lnTo>
                                <a:lnTo>
                                  <a:pt x="1857" y="274"/>
                                </a:lnTo>
                                <a:lnTo>
                                  <a:pt x="1856" y="265"/>
                                </a:lnTo>
                                <a:lnTo>
                                  <a:pt x="1856" y="255"/>
                                </a:lnTo>
                                <a:lnTo>
                                  <a:pt x="1856" y="246"/>
                                </a:lnTo>
                                <a:lnTo>
                                  <a:pt x="1857" y="238"/>
                                </a:lnTo>
                                <a:lnTo>
                                  <a:pt x="1860" y="229"/>
                                </a:lnTo>
                                <a:lnTo>
                                  <a:pt x="1862" y="221"/>
                                </a:lnTo>
                                <a:lnTo>
                                  <a:pt x="1865" y="214"/>
                                </a:lnTo>
                                <a:lnTo>
                                  <a:pt x="1870" y="207"/>
                                </a:lnTo>
                                <a:lnTo>
                                  <a:pt x="1874" y="200"/>
                                </a:lnTo>
                                <a:lnTo>
                                  <a:pt x="1879" y="194"/>
                                </a:lnTo>
                                <a:lnTo>
                                  <a:pt x="1885" y="189"/>
                                </a:lnTo>
                                <a:lnTo>
                                  <a:pt x="1891" y="184"/>
                                </a:lnTo>
                                <a:lnTo>
                                  <a:pt x="1898" y="180"/>
                                </a:lnTo>
                                <a:lnTo>
                                  <a:pt x="1905" y="177"/>
                                </a:lnTo>
                                <a:lnTo>
                                  <a:pt x="1913" y="174"/>
                                </a:lnTo>
                                <a:lnTo>
                                  <a:pt x="1921" y="172"/>
                                </a:lnTo>
                                <a:lnTo>
                                  <a:pt x="1930" y="170"/>
                                </a:lnTo>
                                <a:lnTo>
                                  <a:pt x="1938" y="170"/>
                                </a:lnTo>
                                <a:lnTo>
                                  <a:pt x="1948" y="170"/>
                                </a:lnTo>
                                <a:lnTo>
                                  <a:pt x="1958" y="173"/>
                                </a:lnTo>
                                <a:lnTo>
                                  <a:pt x="1967" y="175"/>
                                </a:lnTo>
                                <a:lnTo>
                                  <a:pt x="1977" y="179"/>
                                </a:lnTo>
                                <a:lnTo>
                                  <a:pt x="1984" y="184"/>
                                </a:lnTo>
                                <a:lnTo>
                                  <a:pt x="1993" y="189"/>
                                </a:lnTo>
                                <a:lnTo>
                                  <a:pt x="2001" y="197"/>
                                </a:lnTo>
                                <a:lnTo>
                                  <a:pt x="2008" y="204"/>
                                </a:lnTo>
                                <a:lnTo>
                                  <a:pt x="2008" y="108"/>
                                </a:lnTo>
                                <a:close/>
                                <a:moveTo>
                                  <a:pt x="1727" y="99"/>
                                </a:moveTo>
                                <a:lnTo>
                                  <a:pt x="1647" y="99"/>
                                </a:lnTo>
                                <a:lnTo>
                                  <a:pt x="1647" y="407"/>
                                </a:lnTo>
                                <a:lnTo>
                                  <a:pt x="1727" y="407"/>
                                </a:lnTo>
                                <a:lnTo>
                                  <a:pt x="1727" y="99"/>
                                </a:lnTo>
                                <a:close/>
                                <a:moveTo>
                                  <a:pt x="1538" y="167"/>
                                </a:moveTo>
                                <a:lnTo>
                                  <a:pt x="1604" y="167"/>
                                </a:lnTo>
                                <a:lnTo>
                                  <a:pt x="1604" y="99"/>
                                </a:lnTo>
                                <a:lnTo>
                                  <a:pt x="1394" y="99"/>
                                </a:lnTo>
                                <a:lnTo>
                                  <a:pt x="1394" y="167"/>
                                </a:lnTo>
                                <a:lnTo>
                                  <a:pt x="1459" y="167"/>
                                </a:lnTo>
                                <a:lnTo>
                                  <a:pt x="1459" y="407"/>
                                </a:lnTo>
                                <a:lnTo>
                                  <a:pt x="1538" y="407"/>
                                </a:lnTo>
                                <a:lnTo>
                                  <a:pt x="1538" y="167"/>
                                </a:lnTo>
                                <a:close/>
                                <a:moveTo>
                                  <a:pt x="1360" y="117"/>
                                </a:moveTo>
                                <a:lnTo>
                                  <a:pt x="1349" y="111"/>
                                </a:lnTo>
                                <a:lnTo>
                                  <a:pt x="1337" y="106"/>
                                </a:lnTo>
                                <a:lnTo>
                                  <a:pt x="1324" y="102"/>
                                </a:lnTo>
                                <a:lnTo>
                                  <a:pt x="1313" y="98"/>
                                </a:lnTo>
                                <a:lnTo>
                                  <a:pt x="1300" y="96"/>
                                </a:lnTo>
                                <a:lnTo>
                                  <a:pt x="1288" y="93"/>
                                </a:lnTo>
                                <a:lnTo>
                                  <a:pt x="1276" y="92"/>
                                </a:lnTo>
                                <a:lnTo>
                                  <a:pt x="1263" y="92"/>
                                </a:lnTo>
                                <a:lnTo>
                                  <a:pt x="1252" y="92"/>
                                </a:lnTo>
                                <a:lnTo>
                                  <a:pt x="1241" y="94"/>
                                </a:lnTo>
                                <a:lnTo>
                                  <a:pt x="1231" y="96"/>
                                </a:lnTo>
                                <a:lnTo>
                                  <a:pt x="1221" y="99"/>
                                </a:lnTo>
                                <a:lnTo>
                                  <a:pt x="1211" y="103"/>
                                </a:lnTo>
                                <a:lnTo>
                                  <a:pt x="1203" y="108"/>
                                </a:lnTo>
                                <a:lnTo>
                                  <a:pt x="1195" y="114"/>
                                </a:lnTo>
                                <a:lnTo>
                                  <a:pt x="1187" y="121"/>
                                </a:lnTo>
                                <a:lnTo>
                                  <a:pt x="1181" y="128"/>
                                </a:lnTo>
                                <a:lnTo>
                                  <a:pt x="1175" y="136"/>
                                </a:lnTo>
                                <a:lnTo>
                                  <a:pt x="1170" y="144"/>
                                </a:lnTo>
                                <a:lnTo>
                                  <a:pt x="1166" y="153"/>
                                </a:lnTo>
                                <a:lnTo>
                                  <a:pt x="1162" y="163"/>
                                </a:lnTo>
                                <a:lnTo>
                                  <a:pt x="1161" y="174"/>
                                </a:lnTo>
                                <a:lnTo>
                                  <a:pt x="1158" y="184"/>
                                </a:lnTo>
                                <a:lnTo>
                                  <a:pt x="1158" y="195"/>
                                </a:lnTo>
                                <a:lnTo>
                                  <a:pt x="1158" y="205"/>
                                </a:lnTo>
                                <a:lnTo>
                                  <a:pt x="1160" y="215"/>
                                </a:lnTo>
                                <a:lnTo>
                                  <a:pt x="1162" y="224"/>
                                </a:lnTo>
                                <a:lnTo>
                                  <a:pt x="1165" y="231"/>
                                </a:lnTo>
                                <a:lnTo>
                                  <a:pt x="1168" y="239"/>
                                </a:lnTo>
                                <a:lnTo>
                                  <a:pt x="1172" y="245"/>
                                </a:lnTo>
                                <a:lnTo>
                                  <a:pt x="1177" y="251"/>
                                </a:lnTo>
                                <a:lnTo>
                                  <a:pt x="1183" y="256"/>
                                </a:lnTo>
                                <a:lnTo>
                                  <a:pt x="1192" y="263"/>
                                </a:lnTo>
                                <a:lnTo>
                                  <a:pt x="1203" y="269"/>
                                </a:lnTo>
                                <a:lnTo>
                                  <a:pt x="1219" y="275"/>
                                </a:lnTo>
                                <a:lnTo>
                                  <a:pt x="1242" y="281"/>
                                </a:lnTo>
                                <a:lnTo>
                                  <a:pt x="1254" y="286"/>
                                </a:lnTo>
                                <a:lnTo>
                                  <a:pt x="1264" y="290"/>
                                </a:lnTo>
                                <a:lnTo>
                                  <a:pt x="1273" y="294"/>
                                </a:lnTo>
                                <a:lnTo>
                                  <a:pt x="1279" y="297"/>
                                </a:lnTo>
                                <a:lnTo>
                                  <a:pt x="1284" y="301"/>
                                </a:lnTo>
                                <a:lnTo>
                                  <a:pt x="1287" y="306"/>
                                </a:lnTo>
                                <a:lnTo>
                                  <a:pt x="1289" y="311"/>
                                </a:lnTo>
                                <a:lnTo>
                                  <a:pt x="1289" y="317"/>
                                </a:lnTo>
                                <a:lnTo>
                                  <a:pt x="1289" y="324"/>
                                </a:lnTo>
                                <a:lnTo>
                                  <a:pt x="1287" y="330"/>
                                </a:lnTo>
                                <a:lnTo>
                                  <a:pt x="1283" y="335"/>
                                </a:lnTo>
                                <a:lnTo>
                                  <a:pt x="1279" y="339"/>
                                </a:lnTo>
                                <a:lnTo>
                                  <a:pt x="1273" y="342"/>
                                </a:lnTo>
                                <a:lnTo>
                                  <a:pt x="1267" y="345"/>
                                </a:lnTo>
                                <a:lnTo>
                                  <a:pt x="1259" y="346"/>
                                </a:lnTo>
                                <a:lnTo>
                                  <a:pt x="1251" y="347"/>
                                </a:lnTo>
                                <a:lnTo>
                                  <a:pt x="1242" y="347"/>
                                </a:lnTo>
                                <a:lnTo>
                                  <a:pt x="1233" y="345"/>
                                </a:lnTo>
                                <a:lnTo>
                                  <a:pt x="1224" y="344"/>
                                </a:lnTo>
                                <a:lnTo>
                                  <a:pt x="1216" y="340"/>
                                </a:lnTo>
                                <a:lnTo>
                                  <a:pt x="1207" y="335"/>
                                </a:lnTo>
                                <a:lnTo>
                                  <a:pt x="1198" y="330"/>
                                </a:lnTo>
                                <a:lnTo>
                                  <a:pt x="1190" y="324"/>
                                </a:lnTo>
                                <a:lnTo>
                                  <a:pt x="1180" y="316"/>
                                </a:lnTo>
                                <a:lnTo>
                                  <a:pt x="1146" y="381"/>
                                </a:lnTo>
                                <a:lnTo>
                                  <a:pt x="1158" y="388"/>
                                </a:lnTo>
                                <a:lnTo>
                                  <a:pt x="1171" y="396"/>
                                </a:lnTo>
                                <a:lnTo>
                                  <a:pt x="1185" y="401"/>
                                </a:lnTo>
                                <a:lnTo>
                                  <a:pt x="1198" y="406"/>
                                </a:lnTo>
                                <a:lnTo>
                                  <a:pt x="1212" y="410"/>
                                </a:lnTo>
                                <a:lnTo>
                                  <a:pt x="1226" y="413"/>
                                </a:lnTo>
                                <a:lnTo>
                                  <a:pt x="1239" y="415"/>
                                </a:lnTo>
                                <a:lnTo>
                                  <a:pt x="1253" y="415"/>
                                </a:lnTo>
                                <a:lnTo>
                                  <a:pt x="1266" y="415"/>
                                </a:lnTo>
                                <a:lnTo>
                                  <a:pt x="1278" y="413"/>
                                </a:lnTo>
                                <a:lnTo>
                                  <a:pt x="1290" y="411"/>
                                </a:lnTo>
                                <a:lnTo>
                                  <a:pt x="1302" y="407"/>
                                </a:lnTo>
                                <a:lnTo>
                                  <a:pt x="1313" y="403"/>
                                </a:lnTo>
                                <a:lnTo>
                                  <a:pt x="1323" y="398"/>
                                </a:lnTo>
                                <a:lnTo>
                                  <a:pt x="1333" y="392"/>
                                </a:lnTo>
                                <a:lnTo>
                                  <a:pt x="1342" y="386"/>
                                </a:lnTo>
                                <a:lnTo>
                                  <a:pt x="1349" y="378"/>
                                </a:lnTo>
                                <a:lnTo>
                                  <a:pt x="1355" y="371"/>
                                </a:lnTo>
                                <a:lnTo>
                                  <a:pt x="1360" y="362"/>
                                </a:lnTo>
                                <a:lnTo>
                                  <a:pt x="1365" y="352"/>
                                </a:lnTo>
                                <a:lnTo>
                                  <a:pt x="1369" y="342"/>
                                </a:lnTo>
                                <a:lnTo>
                                  <a:pt x="1371" y="331"/>
                                </a:lnTo>
                                <a:lnTo>
                                  <a:pt x="1373" y="319"/>
                                </a:lnTo>
                                <a:lnTo>
                                  <a:pt x="1373" y="306"/>
                                </a:lnTo>
                                <a:lnTo>
                                  <a:pt x="1371" y="290"/>
                                </a:lnTo>
                                <a:lnTo>
                                  <a:pt x="1369" y="275"/>
                                </a:lnTo>
                                <a:lnTo>
                                  <a:pt x="1366" y="269"/>
                                </a:lnTo>
                                <a:lnTo>
                                  <a:pt x="1363" y="263"/>
                                </a:lnTo>
                                <a:lnTo>
                                  <a:pt x="1359" y="258"/>
                                </a:lnTo>
                                <a:lnTo>
                                  <a:pt x="1355" y="251"/>
                                </a:lnTo>
                                <a:lnTo>
                                  <a:pt x="1350" y="246"/>
                                </a:lnTo>
                                <a:lnTo>
                                  <a:pt x="1345" y="241"/>
                                </a:lnTo>
                                <a:lnTo>
                                  <a:pt x="1339" y="238"/>
                                </a:lnTo>
                                <a:lnTo>
                                  <a:pt x="1332" y="234"/>
                                </a:lnTo>
                                <a:lnTo>
                                  <a:pt x="1315" y="226"/>
                                </a:lnTo>
                                <a:lnTo>
                                  <a:pt x="1298" y="220"/>
                                </a:lnTo>
                                <a:lnTo>
                                  <a:pt x="1276" y="213"/>
                                </a:lnTo>
                                <a:lnTo>
                                  <a:pt x="1263" y="209"/>
                                </a:lnTo>
                                <a:lnTo>
                                  <a:pt x="1256" y="205"/>
                                </a:lnTo>
                                <a:lnTo>
                                  <a:pt x="1249" y="200"/>
                                </a:lnTo>
                                <a:lnTo>
                                  <a:pt x="1247" y="198"/>
                                </a:lnTo>
                                <a:lnTo>
                                  <a:pt x="1244" y="194"/>
                                </a:lnTo>
                                <a:lnTo>
                                  <a:pt x="1242" y="189"/>
                                </a:lnTo>
                                <a:lnTo>
                                  <a:pt x="1242" y="185"/>
                                </a:lnTo>
                                <a:lnTo>
                                  <a:pt x="1243" y="179"/>
                                </a:lnTo>
                                <a:lnTo>
                                  <a:pt x="1244" y="174"/>
                                </a:lnTo>
                                <a:lnTo>
                                  <a:pt x="1248" y="170"/>
                                </a:lnTo>
                                <a:lnTo>
                                  <a:pt x="1252" y="167"/>
                                </a:lnTo>
                                <a:lnTo>
                                  <a:pt x="1257" y="163"/>
                                </a:lnTo>
                                <a:lnTo>
                                  <a:pt x="1263" y="160"/>
                                </a:lnTo>
                                <a:lnTo>
                                  <a:pt x="1269" y="159"/>
                                </a:lnTo>
                                <a:lnTo>
                                  <a:pt x="1277" y="158"/>
                                </a:lnTo>
                                <a:lnTo>
                                  <a:pt x="1283" y="159"/>
                                </a:lnTo>
                                <a:lnTo>
                                  <a:pt x="1289" y="159"/>
                                </a:lnTo>
                                <a:lnTo>
                                  <a:pt x="1297" y="162"/>
                                </a:lnTo>
                                <a:lnTo>
                                  <a:pt x="1303" y="163"/>
                                </a:lnTo>
                                <a:lnTo>
                                  <a:pt x="1315" y="170"/>
                                </a:lnTo>
                                <a:lnTo>
                                  <a:pt x="1329" y="179"/>
                                </a:lnTo>
                                <a:lnTo>
                                  <a:pt x="1360" y="117"/>
                                </a:lnTo>
                                <a:close/>
                                <a:moveTo>
                                  <a:pt x="1091" y="99"/>
                                </a:moveTo>
                                <a:lnTo>
                                  <a:pt x="1011" y="99"/>
                                </a:lnTo>
                                <a:lnTo>
                                  <a:pt x="1011" y="407"/>
                                </a:lnTo>
                                <a:lnTo>
                                  <a:pt x="1091" y="407"/>
                                </a:lnTo>
                                <a:lnTo>
                                  <a:pt x="1091" y="99"/>
                                </a:lnTo>
                                <a:close/>
                                <a:moveTo>
                                  <a:pt x="904" y="167"/>
                                </a:moveTo>
                                <a:lnTo>
                                  <a:pt x="970" y="167"/>
                                </a:lnTo>
                                <a:lnTo>
                                  <a:pt x="970" y="99"/>
                                </a:lnTo>
                                <a:lnTo>
                                  <a:pt x="758" y="99"/>
                                </a:lnTo>
                                <a:lnTo>
                                  <a:pt x="758" y="167"/>
                                </a:lnTo>
                                <a:lnTo>
                                  <a:pt x="825" y="167"/>
                                </a:lnTo>
                                <a:lnTo>
                                  <a:pt x="825" y="407"/>
                                </a:lnTo>
                                <a:lnTo>
                                  <a:pt x="904" y="407"/>
                                </a:lnTo>
                                <a:lnTo>
                                  <a:pt x="904" y="167"/>
                                </a:lnTo>
                                <a:close/>
                                <a:moveTo>
                                  <a:pt x="644" y="292"/>
                                </a:moveTo>
                                <a:lnTo>
                                  <a:pt x="578" y="292"/>
                                </a:lnTo>
                                <a:lnTo>
                                  <a:pt x="611" y="194"/>
                                </a:lnTo>
                                <a:lnTo>
                                  <a:pt x="644" y="292"/>
                                </a:lnTo>
                                <a:close/>
                                <a:moveTo>
                                  <a:pt x="666" y="354"/>
                                </a:moveTo>
                                <a:lnTo>
                                  <a:pt x="686" y="407"/>
                                </a:lnTo>
                                <a:lnTo>
                                  <a:pt x="771" y="407"/>
                                </a:lnTo>
                                <a:lnTo>
                                  <a:pt x="655" y="99"/>
                                </a:lnTo>
                                <a:lnTo>
                                  <a:pt x="568" y="99"/>
                                </a:lnTo>
                                <a:lnTo>
                                  <a:pt x="450" y="407"/>
                                </a:lnTo>
                                <a:lnTo>
                                  <a:pt x="534" y="407"/>
                                </a:lnTo>
                                <a:lnTo>
                                  <a:pt x="555" y="354"/>
                                </a:lnTo>
                                <a:lnTo>
                                  <a:pt x="666" y="354"/>
                                </a:lnTo>
                                <a:close/>
                                <a:moveTo>
                                  <a:pt x="395" y="167"/>
                                </a:moveTo>
                                <a:lnTo>
                                  <a:pt x="461" y="167"/>
                                </a:lnTo>
                                <a:lnTo>
                                  <a:pt x="461" y="99"/>
                                </a:lnTo>
                                <a:lnTo>
                                  <a:pt x="249" y="99"/>
                                </a:lnTo>
                                <a:lnTo>
                                  <a:pt x="249" y="167"/>
                                </a:lnTo>
                                <a:lnTo>
                                  <a:pt x="315" y="167"/>
                                </a:lnTo>
                                <a:lnTo>
                                  <a:pt x="315" y="407"/>
                                </a:lnTo>
                                <a:lnTo>
                                  <a:pt x="395" y="407"/>
                                </a:lnTo>
                                <a:lnTo>
                                  <a:pt x="395" y="167"/>
                                </a:lnTo>
                                <a:close/>
                                <a:moveTo>
                                  <a:pt x="214" y="117"/>
                                </a:moveTo>
                                <a:lnTo>
                                  <a:pt x="203" y="111"/>
                                </a:lnTo>
                                <a:lnTo>
                                  <a:pt x="190" y="106"/>
                                </a:lnTo>
                                <a:lnTo>
                                  <a:pt x="178" y="102"/>
                                </a:lnTo>
                                <a:lnTo>
                                  <a:pt x="167" y="98"/>
                                </a:lnTo>
                                <a:lnTo>
                                  <a:pt x="154" y="96"/>
                                </a:lnTo>
                                <a:lnTo>
                                  <a:pt x="142" y="93"/>
                                </a:lnTo>
                                <a:lnTo>
                                  <a:pt x="129" y="92"/>
                                </a:lnTo>
                                <a:lnTo>
                                  <a:pt x="117" y="92"/>
                                </a:lnTo>
                                <a:lnTo>
                                  <a:pt x="106" y="92"/>
                                </a:lnTo>
                                <a:lnTo>
                                  <a:pt x="94" y="94"/>
                                </a:lnTo>
                                <a:lnTo>
                                  <a:pt x="84" y="96"/>
                                </a:lnTo>
                                <a:lnTo>
                                  <a:pt x="75" y="99"/>
                                </a:lnTo>
                                <a:lnTo>
                                  <a:pt x="65" y="103"/>
                                </a:lnTo>
                                <a:lnTo>
                                  <a:pt x="56" y="108"/>
                                </a:lnTo>
                                <a:lnTo>
                                  <a:pt x="48" y="114"/>
                                </a:lnTo>
                                <a:lnTo>
                                  <a:pt x="41" y="121"/>
                                </a:lnTo>
                                <a:lnTo>
                                  <a:pt x="35" y="128"/>
                                </a:lnTo>
                                <a:lnTo>
                                  <a:pt x="28" y="136"/>
                                </a:lnTo>
                                <a:lnTo>
                                  <a:pt x="23" y="144"/>
                                </a:lnTo>
                                <a:lnTo>
                                  <a:pt x="20" y="153"/>
                                </a:lnTo>
                                <a:lnTo>
                                  <a:pt x="16" y="163"/>
                                </a:lnTo>
                                <a:lnTo>
                                  <a:pt x="15" y="174"/>
                                </a:lnTo>
                                <a:lnTo>
                                  <a:pt x="12" y="184"/>
                                </a:lnTo>
                                <a:lnTo>
                                  <a:pt x="12" y="195"/>
                                </a:lnTo>
                                <a:lnTo>
                                  <a:pt x="12" y="205"/>
                                </a:lnTo>
                                <a:lnTo>
                                  <a:pt x="13" y="215"/>
                                </a:lnTo>
                                <a:lnTo>
                                  <a:pt x="16" y="224"/>
                                </a:lnTo>
                                <a:lnTo>
                                  <a:pt x="18" y="231"/>
                                </a:lnTo>
                                <a:lnTo>
                                  <a:pt x="22" y="239"/>
                                </a:lnTo>
                                <a:lnTo>
                                  <a:pt x="26" y="245"/>
                                </a:lnTo>
                                <a:lnTo>
                                  <a:pt x="31" y="251"/>
                                </a:lnTo>
                                <a:lnTo>
                                  <a:pt x="37" y="256"/>
                                </a:lnTo>
                                <a:lnTo>
                                  <a:pt x="46" y="263"/>
                                </a:lnTo>
                                <a:lnTo>
                                  <a:pt x="57" y="269"/>
                                </a:lnTo>
                                <a:lnTo>
                                  <a:pt x="73" y="275"/>
                                </a:lnTo>
                                <a:lnTo>
                                  <a:pt x="96" y="281"/>
                                </a:lnTo>
                                <a:lnTo>
                                  <a:pt x="108" y="286"/>
                                </a:lnTo>
                                <a:lnTo>
                                  <a:pt x="118" y="290"/>
                                </a:lnTo>
                                <a:lnTo>
                                  <a:pt x="127" y="294"/>
                                </a:lnTo>
                                <a:lnTo>
                                  <a:pt x="133" y="297"/>
                                </a:lnTo>
                                <a:lnTo>
                                  <a:pt x="138" y="301"/>
                                </a:lnTo>
                                <a:lnTo>
                                  <a:pt x="141" y="306"/>
                                </a:lnTo>
                                <a:lnTo>
                                  <a:pt x="143" y="311"/>
                                </a:lnTo>
                                <a:lnTo>
                                  <a:pt x="143" y="317"/>
                                </a:lnTo>
                                <a:lnTo>
                                  <a:pt x="143" y="324"/>
                                </a:lnTo>
                                <a:lnTo>
                                  <a:pt x="141" y="330"/>
                                </a:lnTo>
                                <a:lnTo>
                                  <a:pt x="137" y="335"/>
                                </a:lnTo>
                                <a:lnTo>
                                  <a:pt x="133" y="339"/>
                                </a:lnTo>
                                <a:lnTo>
                                  <a:pt x="127" y="342"/>
                                </a:lnTo>
                                <a:lnTo>
                                  <a:pt x="121" y="345"/>
                                </a:lnTo>
                                <a:lnTo>
                                  <a:pt x="113" y="346"/>
                                </a:lnTo>
                                <a:lnTo>
                                  <a:pt x="104" y="347"/>
                                </a:lnTo>
                                <a:lnTo>
                                  <a:pt x="96" y="347"/>
                                </a:lnTo>
                                <a:lnTo>
                                  <a:pt x="87" y="345"/>
                                </a:lnTo>
                                <a:lnTo>
                                  <a:pt x="78" y="344"/>
                                </a:lnTo>
                                <a:lnTo>
                                  <a:pt x="70" y="340"/>
                                </a:lnTo>
                                <a:lnTo>
                                  <a:pt x="61" y="335"/>
                                </a:lnTo>
                                <a:lnTo>
                                  <a:pt x="52" y="330"/>
                                </a:lnTo>
                                <a:lnTo>
                                  <a:pt x="43" y="324"/>
                                </a:lnTo>
                                <a:lnTo>
                                  <a:pt x="33" y="316"/>
                                </a:lnTo>
                                <a:lnTo>
                                  <a:pt x="0" y="381"/>
                                </a:lnTo>
                                <a:lnTo>
                                  <a:pt x="12" y="388"/>
                                </a:lnTo>
                                <a:lnTo>
                                  <a:pt x="25" y="396"/>
                                </a:lnTo>
                                <a:lnTo>
                                  <a:pt x="38" y="401"/>
                                </a:lnTo>
                                <a:lnTo>
                                  <a:pt x="52" y="406"/>
                                </a:lnTo>
                                <a:lnTo>
                                  <a:pt x="66" y="410"/>
                                </a:lnTo>
                                <a:lnTo>
                                  <a:pt x="79" y="413"/>
                                </a:lnTo>
                                <a:lnTo>
                                  <a:pt x="93" y="415"/>
                                </a:lnTo>
                                <a:lnTo>
                                  <a:pt x="107" y="415"/>
                                </a:lnTo>
                                <a:lnTo>
                                  <a:pt x="119" y="415"/>
                                </a:lnTo>
                                <a:lnTo>
                                  <a:pt x="132" y="413"/>
                                </a:lnTo>
                                <a:lnTo>
                                  <a:pt x="144" y="411"/>
                                </a:lnTo>
                                <a:lnTo>
                                  <a:pt x="155" y="407"/>
                                </a:lnTo>
                                <a:lnTo>
                                  <a:pt x="167" y="403"/>
                                </a:lnTo>
                                <a:lnTo>
                                  <a:pt x="177" y="398"/>
                                </a:lnTo>
                                <a:lnTo>
                                  <a:pt x="187" y="392"/>
                                </a:lnTo>
                                <a:lnTo>
                                  <a:pt x="195" y="386"/>
                                </a:lnTo>
                                <a:lnTo>
                                  <a:pt x="203" y="378"/>
                                </a:lnTo>
                                <a:lnTo>
                                  <a:pt x="209" y="371"/>
                                </a:lnTo>
                                <a:lnTo>
                                  <a:pt x="214" y="362"/>
                                </a:lnTo>
                                <a:lnTo>
                                  <a:pt x="219" y="352"/>
                                </a:lnTo>
                                <a:lnTo>
                                  <a:pt x="223" y="342"/>
                                </a:lnTo>
                                <a:lnTo>
                                  <a:pt x="225" y="331"/>
                                </a:lnTo>
                                <a:lnTo>
                                  <a:pt x="227" y="319"/>
                                </a:lnTo>
                                <a:lnTo>
                                  <a:pt x="227" y="306"/>
                                </a:lnTo>
                                <a:lnTo>
                                  <a:pt x="225" y="290"/>
                                </a:lnTo>
                                <a:lnTo>
                                  <a:pt x="223" y="275"/>
                                </a:lnTo>
                                <a:lnTo>
                                  <a:pt x="220" y="269"/>
                                </a:lnTo>
                                <a:lnTo>
                                  <a:pt x="217" y="263"/>
                                </a:lnTo>
                                <a:lnTo>
                                  <a:pt x="213" y="258"/>
                                </a:lnTo>
                                <a:lnTo>
                                  <a:pt x="209" y="251"/>
                                </a:lnTo>
                                <a:lnTo>
                                  <a:pt x="204" y="246"/>
                                </a:lnTo>
                                <a:lnTo>
                                  <a:pt x="199" y="241"/>
                                </a:lnTo>
                                <a:lnTo>
                                  <a:pt x="193" y="238"/>
                                </a:lnTo>
                                <a:lnTo>
                                  <a:pt x="185" y="234"/>
                                </a:lnTo>
                                <a:lnTo>
                                  <a:pt x="169" y="226"/>
                                </a:lnTo>
                                <a:lnTo>
                                  <a:pt x="151" y="220"/>
                                </a:lnTo>
                                <a:lnTo>
                                  <a:pt x="129" y="213"/>
                                </a:lnTo>
                                <a:lnTo>
                                  <a:pt x="117" y="209"/>
                                </a:lnTo>
                                <a:lnTo>
                                  <a:pt x="109" y="205"/>
                                </a:lnTo>
                                <a:lnTo>
                                  <a:pt x="103" y="200"/>
                                </a:lnTo>
                                <a:lnTo>
                                  <a:pt x="99" y="198"/>
                                </a:lnTo>
                                <a:lnTo>
                                  <a:pt x="98" y="194"/>
                                </a:lnTo>
                                <a:lnTo>
                                  <a:pt x="96" y="189"/>
                                </a:lnTo>
                                <a:lnTo>
                                  <a:pt x="96" y="185"/>
                                </a:lnTo>
                                <a:lnTo>
                                  <a:pt x="97" y="179"/>
                                </a:lnTo>
                                <a:lnTo>
                                  <a:pt x="98" y="174"/>
                                </a:lnTo>
                                <a:lnTo>
                                  <a:pt x="102" y="170"/>
                                </a:lnTo>
                                <a:lnTo>
                                  <a:pt x="106" y="167"/>
                                </a:lnTo>
                                <a:lnTo>
                                  <a:pt x="111" y="163"/>
                                </a:lnTo>
                                <a:lnTo>
                                  <a:pt x="117" y="160"/>
                                </a:lnTo>
                                <a:lnTo>
                                  <a:pt x="123" y="159"/>
                                </a:lnTo>
                                <a:lnTo>
                                  <a:pt x="129" y="158"/>
                                </a:lnTo>
                                <a:lnTo>
                                  <a:pt x="137" y="159"/>
                                </a:lnTo>
                                <a:lnTo>
                                  <a:pt x="143" y="159"/>
                                </a:lnTo>
                                <a:lnTo>
                                  <a:pt x="151" y="162"/>
                                </a:lnTo>
                                <a:lnTo>
                                  <a:pt x="157" y="163"/>
                                </a:lnTo>
                                <a:lnTo>
                                  <a:pt x="169" y="170"/>
                                </a:lnTo>
                                <a:lnTo>
                                  <a:pt x="183" y="179"/>
                                </a:lnTo>
                                <a:lnTo>
                                  <a:pt x="214" y="117"/>
                                </a:lnTo>
                                <a:close/>
                              </a:path>
                            </a:pathLst>
                          </a:custGeom>
                          <a:solidFill>
                            <a:srgbClr val="BD1B21"/>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noChangeAspect="1" noEditPoints="1"/>
                        </wps:cNvSpPr>
                        <wps:spPr bwMode="auto">
                          <a:xfrm>
                            <a:off x="1962" y="851"/>
                            <a:ext cx="679" cy="208"/>
                          </a:xfrm>
                          <a:custGeom>
                            <a:avLst/>
                            <a:gdLst>
                              <a:gd name="T0" fmla="*/ 641 w 1358"/>
                              <a:gd name="T1" fmla="*/ 18 h 416"/>
                              <a:gd name="T2" fmla="*/ 679 w 1358"/>
                              <a:gd name="T3" fmla="*/ 50 h 416"/>
                              <a:gd name="T4" fmla="*/ 581 w 1358"/>
                              <a:gd name="T5" fmla="*/ 130 h 416"/>
                              <a:gd name="T6" fmla="*/ 432 w 1358"/>
                              <a:gd name="T7" fmla="*/ 204 h 416"/>
                              <a:gd name="T8" fmla="*/ 530 w 1358"/>
                              <a:gd name="T9" fmla="*/ 50 h 416"/>
                              <a:gd name="T10" fmla="*/ 349 w 1358"/>
                              <a:gd name="T11" fmla="*/ 54 h 416"/>
                              <a:gd name="T12" fmla="*/ 318 w 1358"/>
                              <a:gd name="T13" fmla="*/ 46 h 416"/>
                              <a:gd name="T14" fmla="*/ 290 w 1358"/>
                              <a:gd name="T15" fmla="*/ 50 h 416"/>
                              <a:gd name="T16" fmla="*/ 271 w 1358"/>
                              <a:gd name="T17" fmla="*/ 64 h 416"/>
                              <a:gd name="T18" fmla="*/ 261 w 1358"/>
                              <a:gd name="T19" fmla="*/ 87 h 416"/>
                              <a:gd name="T20" fmla="*/ 261 w 1358"/>
                              <a:gd name="T21" fmla="*/ 112 h 416"/>
                              <a:gd name="T22" fmla="*/ 272 w 1358"/>
                              <a:gd name="T23" fmla="*/ 129 h 416"/>
                              <a:gd name="T24" fmla="*/ 307 w 1358"/>
                              <a:gd name="T25" fmla="*/ 144 h 416"/>
                              <a:gd name="T26" fmla="*/ 324 w 1358"/>
                              <a:gd name="T27" fmla="*/ 153 h 416"/>
                              <a:gd name="T28" fmla="*/ 322 w 1358"/>
                              <a:gd name="T29" fmla="*/ 168 h 416"/>
                              <a:gd name="T30" fmla="*/ 306 w 1358"/>
                              <a:gd name="T31" fmla="*/ 174 h 416"/>
                              <a:gd name="T32" fmla="*/ 284 w 1358"/>
                              <a:gd name="T33" fmla="*/ 168 h 416"/>
                              <a:gd name="T34" fmla="*/ 260 w 1358"/>
                              <a:gd name="T35" fmla="*/ 195 h 416"/>
                              <a:gd name="T36" fmla="*/ 293 w 1358"/>
                              <a:gd name="T37" fmla="*/ 207 h 416"/>
                              <a:gd name="T38" fmla="*/ 326 w 1358"/>
                              <a:gd name="T39" fmla="*/ 206 h 416"/>
                              <a:gd name="T40" fmla="*/ 351 w 1358"/>
                              <a:gd name="T41" fmla="*/ 193 h 416"/>
                              <a:gd name="T42" fmla="*/ 365 w 1358"/>
                              <a:gd name="T43" fmla="*/ 172 h 416"/>
                              <a:gd name="T44" fmla="*/ 365 w 1358"/>
                              <a:gd name="T45" fmla="*/ 138 h 416"/>
                              <a:gd name="T46" fmla="*/ 356 w 1358"/>
                              <a:gd name="T47" fmla="*/ 124 h 416"/>
                              <a:gd name="T48" fmla="*/ 329 w 1358"/>
                              <a:gd name="T49" fmla="*/ 111 h 416"/>
                              <a:gd name="T50" fmla="*/ 304 w 1358"/>
                              <a:gd name="T51" fmla="*/ 99 h 416"/>
                              <a:gd name="T52" fmla="*/ 303 w 1358"/>
                              <a:gd name="T53" fmla="*/ 87 h 416"/>
                              <a:gd name="T54" fmla="*/ 315 w 1358"/>
                              <a:gd name="T55" fmla="*/ 80 h 416"/>
                              <a:gd name="T56" fmla="*/ 332 w 1358"/>
                              <a:gd name="T57" fmla="*/ 82 h 416"/>
                              <a:gd name="T58" fmla="*/ 232 w 1358"/>
                              <a:gd name="T59" fmla="*/ 50 h 416"/>
                              <a:gd name="T60" fmla="*/ 185 w 1358"/>
                              <a:gd name="T61" fmla="*/ 170 h 416"/>
                              <a:gd name="T62" fmla="*/ 185 w 1358"/>
                              <a:gd name="T63" fmla="*/ 84 h 416"/>
                              <a:gd name="T64" fmla="*/ 105 w 1358"/>
                              <a:gd name="T65" fmla="*/ 1 h 416"/>
                              <a:gd name="T66" fmla="*/ 108 w 1358"/>
                              <a:gd name="T67" fmla="*/ 51 h 416"/>
                              <a:gd name="T68" fmla="*/ 65 w 1358"/>
                              <a:gd name="T69" fmla="*/ 48 h 416"/>
                              <a:gd name="T70" fmla="*/ 29 w 1358"/>
                              <a:gd name="T71" fmla="*/ 65 h 416"/>
                              <a:gd name="T72" fmla="*/ 6 w 1358"/>
                              <a:gd name="T73" fmla="*/ 96 h 416"/>
                              <a:gd name="T74" fmla="*/ 0 w 1358"/>
                              <a:gd name="T75" fmla="*/ 136 h 416"/>
                              <a:gd name="T76" fmla="*/ 11 w 1358"/>
                              <a:gd name="T77" fmla="*/ 170 h 416"/>
                              <a:gd name="T78" fmla="*/ 41 w 1358"/>
                              <a:gd name="T79" fmla="*/ 197 h 416"/>
                              <a:gd name="T80" fmla="*/ 82 w 1358"/>
                              <a:gd name="T81" fmla="*/ 208 h 416"/>
                              <a:gd name="T82" fmla="*/ 118 w 1358"/>
                              <a:gd name="T83" fmla="*/ 153 h 416"/>
                              <a:gd name="T84" fmla="*/ 97 w 1358"/>
                              <a:gd name="T85" fmla="*/ 167 h 416"/>
                              <a:gd name="T86" fmla="*/ 76 w 1358"/>
                              <a:gd name="T87" fmla="*/ 168 h 416"/>
                              <a:gd name="T88" fmla="*/ 59 w 1358"/>
                              <a:gd name="T89" fmla="*/ 162 h 416"/>
                              <a:gd name="T90" fmla="*/ 45 w 1358"/>
                              <a:gd name="T91" fmla="*/ 146 h 416"/>
                              <a:gd name="T92" fmla="*/ 42 w 1358"/>
                              <a:gd name="T93" fmla="*/ 124 h 416"/>
                              <a:gd name="T94" fmla="*/ 49 w 1358"/>
                              <a:gd name="T95" fmla="*/ 104 h 416"/>
                              <a:gd name="T96" fmla="*/ 63 w 1358"/>
                              <a:gd name="T97" fmla="*/ 91 h 416"/>
                              <a:gd name="T98" fmla="*/ 83 w 1358"/>
                              <a:gd name="T99" fmla="*/ 86 h 416"/>
                              <a:gd name="T100" fmla="*/ 107 w 1358"/>
                              <a:gd name="T101" fmla="*/ 92 h 41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58" h="416">
                                <a:moveTo>
                                  <a:pt x="1282" y="36"/>
                                </a:moveTo>
                                <a:lnTo>
                                  <a:pt x="1243" y="0"/>
                                </a:lnTo>
                                <a:lnTo>
                                  <a:pt x="1178" y="56"/>
                                </a:lnTo>
                                <a:lnTo>
                                  <a:pt x="1205" y="85"/>
                                </a:lnTo>
                                <a:lnTo>
                                  <a:pt x="1282" y="36"/>
                                </a:lnTo>
                                <a:close/>
                                <a:moveTo>
                                  <a:pt x="1162" y="260"/>
                                </a:moveTo>
                                <a:lnTo>
                                  <a:pt x="1162" y="407"/>
                                </a:lnTo>
                                <a:lnTo>
                                  <a:pt x="1242" y="407"/>
                                </a:lnTo>
                                <a:lnTo>
                                  <a:pt x="1242" y="260"/>
                                </a:lnTo>
                                <a:lnTo>
                                  <a:pt x="1358" y="100"/>
                                </a:lnTo>
                                <a:lnTo>
                                  <a:pt x="1261" y="100"/>
                                </a:lnTo>
                                <a:lnTo>
                                  <a:pt x="1205" y="183"/>
                                </a:lnTo>
                                <a:lnTo>
                                  <a:pt x="1146" y="100"/>
                                </a:lnTo>
                                <a:lnTo>
                                  <a:pt x="1051" y="100"/>
                                </a:lnTo>
                                <a:lnTo>
                                  <a:pt x="1162" y="260"/>
                                </a:lnTo>
                                <a:close/>
                                <a:moveTo>
                                  <a:pt x="863" y="227"/>
                                </a:moveTo>
                                <a:lnTo>
                                  <a:pt x="863" y="100"/>
                                </a:lnTo>
                                <a:lnTo>
                                  <a:pt x="783" y="100"/>
                                </a:lnTo>
                                <a:lnTo>
                                  <a:pt x="783" y="407"/>
                                </a:lnTo>
                                <a:lnTo>
                                  <a:pt x="863" y="407"/>
                                </a:lnTo>
                                <a:lnTo>
                                  <a:pt x="863" y="274"/>
                                </a:lnTo>
                                <a:lnTo>
                                  <a:pt x="967" y="407"/>
                                </a:lnTo>
                                <a:lnTo>
                                  <a:pt x="1071" y="407"/>
                                </a:lnTo>
                                <a:lnTo>
                                  <a:pt x="938" y="245"/>
                                </a:lnTo>
                                <a:lnTo>
                                  <a:pt x="1059" y="100"/>
                                </a:lnTo>
                                <a:lnTo>
                                  <a:pt x="960" y="100"/>
                                </a:lnTo>
                                <a:lnTo>
                                  <a:pt x="863" y="227"/>
                                </a:lnTo>
                                <a:close/>
                                <a:moveTo>
                                  <a:pt x="721" y="117"/>
                                </a:moveTo>
                                <a:lnTo>
                                  <a:pt x="709" y="112"/>
                                </a:lnTo>
                                <a:lnTo>
                                  <a:pt x="697" y="107"/>
                                </a:lnTo>
                                <a:lnTo>
                                  <a:pt x="685" y="102"/>
                                </a:lnTo>
                                <a:lnTo>
                                  <a:pt x="673" y="98"/>
                                </a:lnTo>
                                <a:lnTo>
                                  <a:pt x="660" y="96"/>
                                </a:lnTo>
                                <a:lnTo>
                                  <a:pt x="648" y="93"/>
                                </a:lnTo>
                                <a:lnTo>
                                  <a:pt x="635" y="92"/>
                                </a:lnTo>
                                <a:lnTo>
                                  <a:pt x="624" y="92"/>
                                </a:lnTo>
                                <a:lnTo>
                                  <a:pt x="611" y="92"/>
                                </a:lnTo>
                                <a:lnTo>
                                  <a:pt x="602" y="95"/>
                                </a:lnTo>
                                <a:lnTo>
                                  <a:pt x="590" y="97"/>
                                </a:lnTo>
                                <a:lnTo>
                                  <a:pt x="580" y="100"/>
                                </a:lnTo>
                                <a:lnTo>
                                  <a:pt x="572" y="103"/>
                                </a:lnTo>
                                <a:lnTo>
                                  <a:pt x="563" y="108"/>
                                </a:lnTo>
                                <a:lnTo>
                                  <a:pt x="555" y="115"/>
                                </a:lnTo>
                                <a:lnTo>
                                  <a:pt x="548" y="121"/>
                                </a:lnTo>
                                <a:lnTo>
                                  <a:pt x="542" y="128"/>
                                </a:lnTo>
                                <a:lnTo>
                                  <a:pt x="535" y="136"/>
                                </a:lnTo>
                                <a:lnTo>
                                  <a:pt x="531" y="145"/>
                                </a:lnTo>
                                <a:lnTo>
                                  <a:pt x="527" y="153"/>
                                </a:lnTo>
                                <a:lnTo>
                                  <a:pt x="523" y="163"/>
                                </a:lnTo>
                                <a:lnTo>
                                  <a:pt x="521" y="174"/>
                                </a:lnTo>
                                <a:lnTo>
                                  <a:pt x="519" y="184"/>
                                </a:lnTo>
                                <a:lnTo>
                                  <a:pt x="519" y="196"/>
                                </a:lnTo>
                                <a:lnTo>
                                  <a:pt x="519" y="206"/>
                                </a:lnTo>
                                <a:lnTo>
                                  <a:pt x="521" y="216"/>
                                </a:lnTo>
                                <a:lnTo>
                                  <a:pt x="522" y="224"/>
                                </a:lnTo>
                                <a:lnTo>
                                  <a:pt x="524" y="232"/>
                                </a:lnTo>
                                <a:lnTo>
                                  <a:pt x="528" y="239"/>
                                </a:lnTo>
                                <a:lnTo>
                                  <a:pt x="533" y="245"/>
                                </a:lnTo>
                                <a:lnTo>
                                  <a:pt x="538" y="252"/>
                                </a:lnTo>
                                <a:lnTo>
                                  <a:pt x="543" y="257"/>
                                </a:lnTo>
                                <a:lnTo>
                                  <a:pt x="552" y="263"/>
                                </a:lnTo>
                                <a:lnTo>
                                  <a:pt x="564" y="269"/>
                                </a:lnTo>
                                <a:lnTo>
                                  <a:pt x="580" y="275"/>
                                </a:lnTo>
                                <a:lnTo>
                                  <a:pt x="602" y="282"/>
                                </a:lnTo>
                                <a:lnTo>
                                  <a:pt x="614" y="287"/>
                                </a:lnTo>
                                <a:lnTo>
                                  <a:pt x="625" y="290"/>
                                </a:lnTo>
                                <a:lnTo>
                                  <a:pt x="634" y="294"/>
                                </a:lnTo>
                                <a:lnTo>
                                  <a:pt x="640" y="298"/>
                                </a:lnTo>
                                <a:lnTo>
                                  <a:pt x="644" y="301"/>
                                </a:lnTo>
                                <a:lnTo>
                                  <a:pt x="648" y="306"/>
                                </a:lnTo>
                                <a:lnTo>
                                  <a:pt x="649" y="311"/>
                                </a:lnTo>
                                <a:lnTo>
                                  <a:pt x="650" y="318"/>
                                </a:lnTo>
                                <a:lnTo>
                                  <a:pt x="649" y="324"/>
                                </a:lnTo>
                                <a:lnTo>
                                  <a:pt x="648" y="330"/>
                                </a:lnTo>
                                <a:lnTo>
                                  <a:pt x="644" y="335"/>
                                </a:lnTo>
                                <a:lnTo>
                                  <a:pt x="639" y="339"/>
                                </a:lnTo>
                                <a:lnTo>
                                  <a:pt x="634" y="343"/>
                                </a:lnTo>
                                <a:lnTo>
                                  <a:pt x="626" y="345"/>
                                </a:lnTo>
                                <a:lnTo>
                                  <a:pt x="619" y="348"/>
                                </a:lnTo>
                                <a:lnTo>
                                  <a:pt x="611" y="348"/>
                                </a:lnTo>
                                <a:lnTo>
                                  <a:pt x="603" y="348"/>
                                </a:lnTo>
                                <a:lnTo>
                                  <a:pt x="594" y="345"/>
                                </a:lnTo>
                                <a:lnTo>
                                  <a:pt x="585" y="344"/>
                                </a:lnTo>
                                <a:lnTo>
                                  <a:pt x="577" y="340"/>
                                </a:lnTo>
                                <a:lnTo>
                                  <a:pt x="568" y="335"/>
                                </a:lnTo>
                                <a:lnTo>
                                  <a:pt x="559" y="330"/>
                                </a:lnTo>
                                <a:lnTo>
                                  <a:pt x="549" y="324"/>
                                </a:lnTo>
                                <a:lnTo>
                                  <a:pt x="540" y="316"/>
                                </a:lnTo>
                                <a:lnTo>
                                  <a:pt x="507" y="381"/>
                                </a:lnTo>
                                <a:lnTo>
                                  <a:pt x="519" y="389"/>
                                </a:lnTo>
                                <a:lnTo>
                                  <a:pt x="532" y="396"/>
                                </a:lnTo>
                                <a:lnTo>
                                  <a:pt x="544" y="401"/>
                                </a:lnTo>
                                <a:lnTo>
                                  <a:pt x="558" y="406"/>
                                </a:lnTo>
                                <a:lnTo>
                                  <a:pt x="572" y="410"/>
                                </a:lnTo>
                                <a:lnTo>
                                  <a:pt x="585" y="414"/>
                                </a:lnTo>
                                <a:lnTo>
                                  <a:pt x="599" y="415"/>
                                </a:lnTo>
                                <a:lnTo>
                                  <a:pt x="613" y="415"/>
                                </a:lnTo>
                                <a:lnTo>
                                  <a:pt x="626" y="415"/>
                                </a:lnTo>
                                <a:lnTo>
                                  <a:pt x="639" y="414"/>
                                </a:lnTo>
                                <a:lnTo>
                                  <a:pt x="651" y="411"/>
                                </a:lnTo>
                                <a:lnTo>
                                  <a:pt x="663" y="407"/>
                                </a:lnTo>
                                <a:lnTo>
                                  <a:pt x="674" y="404"/>
                                </a:lnTo>
                                <a:lnTo>
                                  <a:pt x="684" y="399"/>
                                </a:lnTo>
                                <a:lnTo>
                                  <a:pt x="694" y="392"/>
                                </a:lnTo>
                                <a:lnTo>
                                  <a:pt x="702" y="386"/>
                                </a:lnTo>
                                <a:lnTo>
                                  <a:pt x="709" y="379"/>
                                </a:lnTo>
                                <a:lnTo>
                                  <a:pt x="716" y="371"/>
                                </a:lnTo>
                                <a:lnTo>
                                  <a:pt x="721" y="363"/>
                                </a:lnTo>
                                <a:lnTo>
                                  <a:pt x="725" y="353"/>
                                </a:lnTo>
                                <a:lnTo>
                                  <a:pt x="729" y="343"/>
                                </a:lnTo>
                                <a:lnTo>
                                  <a:pt x="731" y="331"/>
                                </a:lnTo>
                                <a:lnTo>
                                  <a:pt x="732" y="319"/>
                                </a:lnTo>
                                <a:lnTo>
                                  <a:pt x="734" y="306"/>
                                </a:lnTo>
                                <a:lnTo>
                                  <a:pt x="732" y="290"/>
                                </a:lnTo>
                                <a:lnTo>
                                  <a:pt x="729" y="275"/>
                                </a:lnTo>
                                <a:lnTo>
                                  <a:pt x="726" y="269"/>
                                </a:lnTo>
                                <a:lnTo>
                                  <a:pt x="724" y="263"/>
                                </a:lnTo>
                                <a:lnTo>
                                  <a:pt x="720" y="258"/>
                                </a:lnTo>
                                <a:lnTo>
                                  <a:pt x="716" y="252"/>
                                </a:lnTo>
                                <a:lnTo>
                                  <a:pt x="711" y="247"/>
                                </a:lnTo>
                                <a:lnTo>
                                  <a:pt x="705" y="243"/>
                                </a:lnTo>
                                <a:lnTo>
                                  <a:pt x="699" y="238"/>
                                </a:lnTo>
                                <a:lnTo>
                                  <a:pt x="692" y="234"/>
                                </a:lnTo>
                                <a:lnTo>
                                  <a:pt x="676" y="227"/>
                                </a:lnTo>
                                <a:lnTo>
                                  <a:pt x="658" y="221"/>
                                </a:lnTo>
                                <a:lnTo>
                                  <a:pt x="636" y="214"/>
                                </a:lnTo>
                                <a:lnTo>
                                  <a:pt x="624" y="209"/>
                                </a:lnTo>
                                <a:lnTo>
                                  <a:pt x="615" y="206"/>
                                </a:lnTo>
                                <a:lnTo>
                                  <a:pt x="610" y="201"/>
                                </a:lnTo>
                                <a:lnTo>
                                  <a:pt x="607" y="198"/>
                                </a:lnTo>
                                <a:lnTo>
                                  <a:pt x="604" y="194"/>
                                </a:lnTo>
                                <a:lnTo>
                                  <a:pt x="603" y="189"/>
                                </a:lnTo>
                                <a:lnTo>
                                  <a:pt x="603" y="186"/>
                                </a:lnTo>
                                <a:lnTo>
                                  <a:pt x="603" y="181"/>
                                </a:lnTo>
                                <a:lnTo>
                                  <a:pt x="605" y="174"/>
                                </a:lnTo>
                                <a:lnTo>
                                  <a:pt x="608" y="171"/>
                                </a:lnTo>
                                <a:lnTo>
                                  <a:pt x="611" y="167"/>
                                </a:lnTo>
                                <a:lnTo>
                                  <a:pt x="618" y="163"/>
                                </a:lnTo>
                                <a:lnTo>
                                  <a:pt x="623" y="161"/>
                                </a:lnTo>
                                <a:lnTo>
                                  <a:pt x="629" y="159"/>
                                </a:lnTo>
                                <a:lnTo>
                                  <a:pt x="636" y="158"/>
                                </a:lnTo>
                                <a:lnTo>
                                  <a:pt x="643" y="159"/>
                                </a:lnTo>
                                <a:lnTo>
                                  <a:pt x="650" y="159"/>
                                </a:lnTo>
                                <a:lnTo>
                                  <a:pt x="656" y="162"/>
                                </a:lnTo>
                                <a:lnTo>
                                  <a:pt x="663" y="163"/>
                                </a:lnTo>
                                <a:lnTo>
                                  <a:pt x="676" y="171"/>
                                </a:lnTo>
                                <a:lnTo>
                                  <a:pt x="689" y="179"/>
                                </a:lnTo>
                                <a:lnTo>
                                  <a:pt x="721" y="117"/>
                                </a:lnTo>
                                <a:close/>
                                <a:moveTo>
                                  <a:pt x="463" y="167"/>
                                </a:moveTo>
                                <a:lnTo>
                                  <a:pt x="463" y="100"/>
                                </a:lnTo>
                                <a:lnTo>
                                  <a:pt x="289" y="100"/>
                                </a:lnTo>
                                <a:lnTo>
                                  <a:pt x="289" y="407"/>
                                </a:lnTo>
                                <a:lnTo>
                                  <a:pt x="463" y="407"/>
                                </a:lnTo>
                                <a:lnTo>
                                  <a:pt x="463" y="340"/>
                                </a:lnTo>
                                <a:lnTo>
                                  <a:pt x="369" y="340"/>
                                </a:lnTo>
                                <a:lnTo>
                                  <a:pt x="369" y="287"/>
                                </a:lnTo>
                                <a:lnTo>
                                  <a:pt x="458" y="287"/>
                                </a:lnTo>
                                <a:lnTo>
                                  <a:pt x="458" y="219"/>
                                </a:lnTo>
                                <a:lnTo>
                                  <a:pt x="369" y="219"/>
                                </a:lnTo>
                                <a:lnTo>
                                  <a:pt x="369" y="167"/>
                                </a:lnTo>
                                <a:lnTo>
                                  <a:pt x="463" y="167"/>
                                </a:lnTo>
                                <a:close/>
                                <a:moveTo>
                                  <a:pt x="66" y="36"/>
                                </a:moveTo>
                                <a:lnTo>
                                  <a:pt x="148" y="82"/>
                                </a:lnTo>
                                <a:lnTo>
                                  <a:pt x="231" y="36"/>
                                </a:lnTo>
                                <a:lnTo>
                                  <a:pt x="210" y="2"/>
                                </a:lnTo>
                                <a:lnTo>
                                  <a:pt x="148" y="34"/>
                                </a:lnTo>
                                <a:lnTo>
                                  <a:pt x="87" y="2"/>
                                </a:lnTo>
                                <a:lnTo>
                                  <a:pt x="66" y="36"/>
                                </a:lnTo>
                                <a:close/>
                                <a:moveTo>
                                  <a:pt x="235" y="108"/>
                                </a:moveTo>
                                <a:lnTo>
                                  <a:pt x="215" y="102"/>
                                </a:lnTo>
                                <a:lnTo>
                                  <a:pt x="197" y="97"/>
                                </a:lnTo>
                                <a:lnTo>
                                  <a:pt x="180" y="95"/>
                                </a:lnTo>
                                <a:lnTo>
                                  <a:pt x="163" y="93"/>
                                </a:lnTo>
                                <a:lnTo>
                                  <a:pt x="146" y="95"/>
                                </a:lnTo>
                                <a:lnTo>
                                  <a:pt x="129" y="96"/>
                                </a:lnTo>
                                <a:lnTo>
                                  <a:pt x="114" y="101"/>
                                </a:lnTo>
                                <a:lnTo>
                                  <a:pt x="99" y="106"/>
                                </a:lnTo>
                                <a:lnTo>
                                  <a:pt x="84" y="112"/>
                                </a:lnTo>
                                <a:lnTo>
                                  <a:pt x="71" y="121"/>
                                </a:lnTo>
                                <a:lnTo>
                                  <a:pt x="58" y="130"/>
                                </a:lnTo>
                                <a:lnTo>
                                  <a:pt x="47" y="141"/>
                                </a:lnTo>
                                <a:lnTo>
                                  <a:pt x="37" y="152"/>
                                </a:lnTo>
                                <a:lnTo>
                                  <a:pt x="27" y="164"/>
                                </a:lnTo>
                                <a:lnTo>
                                  <a:pt x="20" y="178"/>
                                </a:lnTo>
                                <a:lnTo>
                                  <a:pt x="12" y="192"/>
                                </a:lnTo>
                                <a:lnTo>
                                  <a:pt x="7" y="207"/>
                                </a:lnTo>
                                <a:lnTo>
                                  <a:pt x="3" y="223"/>
                                </a:lnTo>
                                <a:lnTo>
                                  <a:pt x="1" y="239"/>
                                </a:lnTo>
                                <a:lnTo>
                                  <a:pt x="0" y="257"/>
                                </a:lnTo>
                                <a:lnTo>
                                  <a:pt x="0" y="272"/>
                                </a:lnTo>
                                <a:lnTo>
                                  <a:pt x="2" y="287"/>
                                </a:lnTo>
                                <a:lnTo>
                                  <a:pt x="6" y="300"/>
                                </a:lnTo>
                                <a:lnTo>
                                  <a:pt x="10" y="314"/>
                                </a:lnTo>
                                <a:lnTo>
                                  <a:pt x="16" y="328"/>
                                </a:lnTo>
                                <a:lnTo>
                                  <a:pt x="22" y="340"/>
                                </a:lnTo>
                                <a:lnTo>
                                  <a:pt x="31" y="351"/>
                                </a:lnTo>
                                <a:lnTo>
                                  <a:pt x="41" y="363"/>
                                </a:lnTo>
                                <a:lnTo>
                                  <a:pt x="53" y="374"/>
                                </a:lnTo>
                                <a:lnTo>
                                  <a:pt x="66" y="385"/>
                                </a:lnTo>
                                <a:lnTo>
                                  <a:pt x="81" y="394"/>
                                </a:lnTo>
                                <a:lnTo>
                                  <a:pt x="97" y="401"/>
                                </a:lnTo>
                                <a:lnTo>
                                  <a:pt x="113" y="407"/>
                                </a:lnTo>
                                <a:lnTo>
                                  <a:pt x="129" y="412"/>
                                </a:lnTo>
                                <a:lnTo>
                                  <a:pt x="147" y="415"/>
                                </a:lnTo>
                                <a:lnTo>
                                  <a:pt x="163" y="416"/>
                                </a:lnTo>
                                <a:lnTo>
                                  <a:pt x="179" y="415"/>
                                </a:lnTo>
                                <a:lnTo>
                                  <a:pt x="193" y="414"/>
                                </a:lnTo>
                                <a:lnTo>
                                  <a:pt x="212" y="409"/>
                                </a:lnTo>
                                <a:lnTo>
                                  <a:pt x="235" y="401"/>
                                </a:lnTo>
                                <a:lnTo>
                                  <a:pt x="235" y="306"/>
                                </a:lnTo>
                                <a:lnTo>
                                  <a:pt x="228" y="314"/>
                                </a:lnTo>
                                <a:lnTo>
                                  <a:pt x="219" y="320"/>
                                </a:lnTo>
                                <a:lnTo>
                                  <a:pt x="212" y="326"/>
                                </a:lnTo>
                                <a:lnTo>
                                  <a:pt x="203" y="330"/>
                                </a:lnTo>
                                <a:lnTo>
                                  <a:pt x="194" y="334"/>
                                </a:lnTo>
                                <a:lnTo>
                                  <a:pt x="185" y="336"/>
                                </a:lnTo>
                                <a:lnTo>
                                  <a:pt x="175" y="338"/>
                                </a:lnTo>
                                <a:lnTo>
                                  <a:pt x="165" y="339"/>
                                </a:lnTo>
                                <a:lnTo>
                                  <a:pt x="158" y="338"/>
                                </a:lnTo>
                                <a:lnTo>
                                  <a:pt x="151" y="336"/>
                                </a:lnTo>
                                <a:lnTo>
                                  <a:pt x="143" y="335"/>
                                </a:lnTo>
                                <a:lnTo>
                                  <a:pt x="137" y="333"/>
                                </a:lnTo>
                                <a:lnTo>
                                  <a:pt x="129" y="330"/>
                                </a:lnTo>
                                <a:lnTo>
                                  <a:pt x="123" y="326"/>
                                </a:lnTo>
                                <a:lnTo>
                                  <a:pt x="117" y="323"/>
                                </a:lnTo>
                                <a:lnTo>
                                  <a:pt x="111" y="318"/>
                                </a:lnTo>
                                <a:lnTo>
                                  <a:pt x="104" y="311"/>
                                </a:lnTo>
                                <a:lnTo>
                                  <a:pt x="98" y="305"/>
                                </a:lnTo>
                                <a:lnTo>
                                  <a:pt x="93" y="299"/>
                                </a:lnTo>
                                <a:lnTo>
                                  <a:pt x="89" y="292"/>
                                </a:lnTo>
                                <a:lnTo>
                                  <a:pt x="87" y="283"/>
                                </a:lnTo>
                                <a:lnTo>
                                  <a:pt x="84" y="274"/>
                                </a:lnTo>
                                <a:lnTo>
                                  <a:pt x="83" y="265"/>
                                </a:lnTo>
                                <a:lnTo>
                                  <a:pt x="83" y="255"/>
                                </a:lnTo>
                                <a:lnTo>
                                  <a:pt x="83" y="247"/>
                                </a:lnTo>
                                <a:lnTo>
                                  <a:pt x="84" y="238"/>
                                </a:lnTo>
                                <a:lnTo>
                                  <a:pt x="87" y="229"/>
                                </a:lnTo>
                                <a:lnTo>
                                  <a:pt x="89" y="222"/>
                                </a:lnTo>
                                <a:lnTo>
                                  <a:pt x="93" y="214"/>
                                </a:lnTo>
                                <a:lnTo>
                                  <a:pt x="97" y="207"/>
                                </a:lnTo>
                                <a:lnTo>
                                  <a:pt x="102" y="201"/>
                                </a:lnTo>
                                <a:lnTo>
                                  <a:pt x="107" y="194"/>
                                </a:lnTo>
                                <a:lnTo>
                                  <a:pt x="112" y="189"/>
                                </a:lnTo>
                                <a:lnTo>
                                  <a:pt x="118" y="184"/>
                                </a:lnTo>
                                <a:lnTo>
                                  <a:pt x="126" y="181"/>
                                </a:lnTo>
                                <a:lnTo>
                                  <a:pt x="133" y="177"/>
                                </a:lnTo>
                                <a:lnTo>
                                  <a:pt x="141" y="174"/>
                                </a:lnTo>
                                <a:lnTo>
                                  <a:pt x="148" y="172"/>
                                </a:lnTo>
                                <a:lnTo>
                                  <a:pt x="157" y="171"/>
                                </a:lnTo>
                                <a:lnTo>
                                  <a:pt x="165" y="171"/>
                                </a:lnTo>
                                <a:lnTo>
                                  <a:pt x="175" y="171"/>
                                </a:lnTo>
                                <a:lnTo>
                                  <a:pt x="185" y="173"/>
                                </a:lnTo>
                                <a:lnTo>
                                  <a:pt x="195" y="176"/>
                                </a:lnTo>
                                <a:lnTo>
                                  <a:pt x="204" y="179"/>
                                </a:lnTo>
                                <a:lnTo>
                                  <a:pt x="213" y="184"/>
                                </a:lnTo>
                                <a:lnTo>
                                  <a:pt x="220" y="189"/>
                                </a:lnTo>
                                <a:lnTo>
                                  <a:pt x="228" y="197"/>
                                </a:lnTo>
                                <a:lnTo>
                                  <a:pt x="235" y="204"/>
                                </a:lnTo>
                                <a:lnTo>
                                  <a:pt x="235" y="108"/>
                                </a:lnTo>
                                <a:close/>
                              </a:path>
                            </a:pathLst>
                          </a:custGeom>
                          <a:solidFill>
                            <a:srgbClr val="BD1B21"/>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27D9B51" id="Group 24" o:spid="_x0000_s1026" style="position:absolute;margin-left:45pt;margin-top:36.75pt;width:177.15pt;height:43.65pt;z-index:251657728;mso-position-horizontal-relative:page;mso-position-vertical-relative:page" coordorigin="567,851" coordsize="2714,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">
                <o:lock v:ext="edit" aspectratio="t"/>
                <v:rect id="Rectangle 9" o:spid="_x0000_s1027" style="position:absolute;left:1215;top:901;width:676;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" fillcolor="#0071bc" stroked="f">
                  <o:lock v:ext="edit" aspectratio="t"/>
                </v:rect>
                <v:rect id="Rectangle 10" o:spid="_x0000_s1028" style="position:absolute;left:567;top:1131;width:1324;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" fillcolor="#0071bc" stroked="f">
                  <o:lock v:ext="edit" aspectratio="t"/>
                </v:rect>
                <v:rect id="Rectangle 11" o:spid="_x0000_s1029" style="position:absolute;left:1288;top:1361;width:60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" fillcolor="#0071bc" stroked="f">
                  <o:lock v:ext="edit" aspectratio="t"/>
                </v:rect>
                <v:shape id="Freeform 12" o:spid="_x0000_s1030" style="position:absolute;left:1969;top:1311;width:600;height:207;visibility:visible;mso-wrap-style:square;v-text-anchor:top" coordsize="1200,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" path="m1011,341r,-174l1030,167r10,2l1049,170r10,1l1067,174r7,3l1082,182r6,5l1094,194r5,6l1104,206r4,7l1112,221r2,7l1116,237r1,8l1117,253r,9l1116,271r-2,7l1112,287r-4,7l1104,301r-5,7l1094,314r-6,7l1082,326r-8,5l1067,334r-8,3l1049,338r-9,1l1030,341r-19,xm931,408r118,l1064,407r15,-3l1093,400r14,-5l1121,389r12,-9l1144,372r11,-10l1165,351r9,-12l1182,326r6,-13l1194,298r4,-14l1200,270r,-17l1200,238r-2,-15l1194,208r-6,-13l1182,181r-8,-12l1165,157r-10,-11l1144,136r-11,-10l1121,119r-14,-6l1093,108r-14,-5l1064,101r-15,-1l931,100r,308xm775,293r-67,l742,195r33,98xm797,354r20,54l901,408,785,100r-87,l581,408r84,l686,354r111,xm347,37r83,46l513,37,491,3,430,34,369,3,347,37xm407,238r,-77l422,161r10,1l442,164r7,2l455,170r6,6l466,182r3,9l470,200r-1,8l466,216r-5,7l455,230r-6,3l442,236r-10,1l422,238r-15,xm485,282r13,-4l508,275r8,-5l525,263r6,-6l536,250r5,-8l545,233r4,-8l551,215r1,-10l552,195r,-9l551,176r-2,-9l546,159r-4,-9l537,141r-5,-7l526,128r-7,-8l511,115r-7,-5l495,106r-10,-2l475,101r-12,-1l450,100r-123,l327,408r80,l407,289r76,119l582,408,485,282xm210,35l171,,105,56r28,29l210,35xm80,100l,100,,278r,15l2,308r1,13l5,333r4,10l13,353r4,9l23,369r9,10l43,389r11,8l68,403r15,6l99,413r16,2l133,415r16,l165,413r14,-4l192,404r14,-5l217,392r11,-9l238,372r8,-9l253,353r5,-10l262,333r3,-12l267,308r1,-15l268,278r,-178l189,100r,167l189,287r-2,14l185,311r-4,10l177,326r-5,5l167,334r-6,4l155,341r-6,2l141,344r-7,2l126,344r-6,-1l114,342r-6,-3l103,336r-5,-4l93,327r-4,-5l84,312,81,302,80,288r,-21l80,100xe" fillcolor="#bd1b21" stroked="f">
                  <v:path arrowok="t" o:connecttype="custom" o:connectlocs="260,42;269,44;275,50;279,57;280,65;277,73;272,80;265,84;253,85;270,101;284,95;294,84;300,71;300,55;294,42;284,31;270,25;233,102;194,73;197,25;172,88;129,9;87,9;108,40;116,44;118,52;113,58;102,59;129,67;136,60;138,51;138,41;133,33;126,27;116,25;102,102;122,70;34,21;0,69;2,83;6,92;17,100;34,103;48,101;60,93;66,83;67,69;48,71;45,81;39,85;32,86;26,84;21,78;20,25" o:connectangles="0,0,0,0,0,0,0,0,0,0,0,0,0,0,0,0,0,0,0,0,0,0,0,0,0,0,0,0,0,0,0,0,0,0,0,0,0,0,0,0,0,0,0,0,0,0,0,0,0,0,0,0,0,0"/>
                  <o:lock v:ext="edit" aspectratio="t" verticies="t"/>
                </v:shape>
                <v:shape id="Freeform 13" o:spid="_x0000_s1031" style="position:absolute;left:1962;top:1081;width:1319;height:208;visibility:visible;mso-wrap-style:square;v-text-anchor:top" coordsize="263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" path="m2561,35l2524,r-66,56l2485,84r76,-49xm2442,260r,147l2521,407r,-147l2637,99r-97,l2484,183,2427,99r-96,l2442,260xm2143,226r,-127l2063,99r,308l2143,407r,-133l2247,407r104,l2217,245,2340,99r-100,l2143,226xm2008,108r-21,-6l1969,97r-17,-4l1936,93r-18,l1902,96r-16,5l1871,106r-14,6l1844,121r-13,8l1820,140r-11,12l1800,164r-9,14l1785,192r-5,15l1775,223r-2,16l1773,256r,15l1775,286r3,14l1783,314r6,13l1795,340r9,11l1813,362r12,11l1839,385r15,8l1869,401r16,6l1902,412r16,3l1936,416r15,-1l1966,413r17,-5l2008,401r,-95l1999,314r-7,6l1983,326r-7,4l1967,334r-10,2l1948,337r-10,l1931,337r-8,-1l1916,335r-8,-3l1902,330r-6,-4l1889,322r-5,-5l1876,311r-5,-6l1866,299r-4,-8l1860,283r-3,-9l1856,265r,-10l1856,246r1,-8l1860,229r2,-8l1865,214r5,-7l1874,200r5,-6l1885,189r6,-5l1898,180r7,-3l1913,174r8,-2l1930,170r8,l1948,170r10,3l1967,175r10,4l1984,184r9,5l2001,197r7,7l2008,108xm1727,99r-80,l1647,407r80,l1727,99xm1538,167r66,l1604,99r-210,l1394,167r65,l1459,407r79,l1538,167xm1360,117r-11,-6l1337,106r-13,-4l1313,98r-13,-2l1288,93r-12,-1l1263,92r-11,l1241,94r-10,2l1221,99r-10,4l1203,108r-8,6l1187,121r-6,7l1175,136r-5,8l1166,153r-4,10l1161,174r-3,10l1158,195r,10l1160,215r2,9l1165,231r3,8l1172,245r5,6l1183,256r9,7l1203,269r16,6l1242,281r12,5l1264,290r9,4l1279,297r5,4l1287,306r2,5l1289,317r,7l1287,330r-4,5l1279,339r-6,3l1267,345r-8,1l1251,347r-9,l1233,345r-9,-1l1216,340r-9,-5l1198,330r-8,-6l1180,316r-34,65l1158,388r13,8l1185,401r13,5l1212,410r14,3l1239,415r14,l1266,415r12,-2l1290,411r12,-4l1313,403r10,-5l1333,392r9,-6l1349,378r6,-7l1360,362r5,-10l1369,342r2,-11l1373,319r,-13l1371,290r-2,-15l1366,269r-3,-6l1359,258r-4,-7l1350,246r-5,-5l1339,238r-7,-4l1315,226r-17,-6l1276,213r-13,-4l1256,205r-7,-5l1247,198r-3,-4l1242,189r,-4l1243,179r1,-5l1248,170r4,-3l1257,163r6,-3l1269,159r8,-1l1283,159r6,l1297,162r6,1l1315,170r14,9l1360,117xm1091,99r-80,l1011,407r80,l1091,99xm904,167r66,l970,99r-212,l758,167r67,l825,407r79,l904,167xm644,292r-66,l611,194r33,98xm666,354r20,53l771,407,655,99r-87,l450,407r84,l555,354r111,xm395,167r66,l461,99r-212,l249,167r66,l315,407r80,l395,167xm214,117r-11,-6l190,106r-12,-4l167,98,154,96,142,93,129,92r-12,l106,92,94,94,84,96r-9,3l65,103r-9,5l48,114r-7,7l35,128r-7,8l23,144r-3,9l16,163r-1,11l12,184r,11l12,205r1,10l16,224r2,7l22,239r4,6l31,251r6,5l46,263r11,6l73,275r23,6l108,286r10,4l127,294r6,3l138,301r3,5l143,311r,6l143,324r-2,6l137,335r-4,4l127,342r-6,3l113,346r-9,1l96,347r-9,-2l78,344r-8,-4l61,335r-9,-5l43,324,33,316,,381r12,7l25,396r13,5l52,406r14,4l79,413r14,2l107,415r12,l132,413r12,-2l155,407r12,-4l177,398r10,-6l195,386r8,-8l209,371r5,-9l219,352r4,-10l225,331r2,-12l227,306r-2,-16l223,275r-3,-6l217,263r-4,-5l209,251r-5,-5l199,241r-6,-3l185,234r-16,-8l151,220r-22,-7l117,209r-8,-4l103,200r-4,-2l98,194r-2,-5l96,185r1,-6l98,174r4,-4l106,167r5,-4l117,160r6,-1l129,158r8,1l143,159r8,3l157,163r12,7l183,179r31,-62xe" fillcolor="#bd1b21" stroked="f">
                  <v:path arrowok="t" o:connecttype="custom" o:connectlocs="611,102;583,25;536,69;502,27;472,26;450,41;444,68;454,91;480,104;500,79;485,85;473,81;465,69;467,54;477,45;492,44;432,25;401,25;340,30;319,23;301,27;291,41;292,58;305,69;322,77;319,86;304,85;293,99;317,104;336,97;344,80;339,63;319,54;311,47;318,40;333,45;226,42;226,102;172,102;167,89;79,102;42,25;21,24;7,34;3,52;10,64;32,74;36,83;24,87;9,79;20,104;42,101;55,88;55,68;47,59;25,50;27,42;38,41" o:connectangles="0,0,0,0,0,0,0,0,0,0,0,0,0,0,0,0,0,0,0,0,0,0,0,0,0,0,0,0,0,0,0,0,0,0,0,0,0,0,0,0,0,0,0,0,0,0,0,0,0,0,0,0,0,0,0,0,0,0"/>
                  <o:lock v:ext="edit" aspectratio="t" verticies="t"/>
                </v:shape>
                <v:shape id="Freeform 14" o:spid="_x0000_s1032" style="position:absolute;left:1962;top:851;width:679;height:208;visibility:visible;mso-wrap-style:square;v-text-anchor:top" coordsize="135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" path="m1282,36l1243,r-65,56l1205,85r77,-49xm1162,260r,147l1242,407r,-147l1358,100r-97,l1205,183r-59,-83l1051,100r111,160xm863,227r,-127l783,100r,307l863,407r,-133l967,407r104,l938,245,1059,100r-99,l863,227xm721,117r-12,-5l697,107r-12,-5l673,98,660,96,648,93,635,92r-11,l611,92r-9,3l590,97r-10,3l572,103r-9,5l555,115r-7,6l542,128r-7,8l531,145r-4,8l523,163r-2,11l519,184r,12l519,206r2,10l522,224r2,8l528,239r5,6l538,252r5,5l552,263r12,6l580,275r22,7l614,287r11,3l634,294r6,4l644,301r4,5l649,311r1,7l649,324r-1,6l644,335r-5,4l634,343r-8,2l619,348r-8,l603,348r-9,-3l585,344r-8,-4l568,335r-9,-5l549,324r-9,-8l507,381r12,8l532,396r12,5l558,406r14,4l585,414r14,1l613,415r13,l639,414r12,-3l663,407r11,-3l684,399r10,-7l702,386r7,-7l716,371r5,-8l725,353r4,-10l731,331r1,-12l734,306r-2,-16l729,275r-3,-6l724,263r-4,-5l716,252r-5,-5l705,243r-6,-5l692,234r-16,-7l658,221r-22,-7l624,209r-9,-3l610,201r-3,-3l604,194r-1,-5l603,186r,-5l605,174r3,-3l611,167r7,-4l623,161r6,-2l636,158r7,1l650,159r6,3l663,163r13,8l689,179r32,-62xm463,167r,-67l289,100r,307l463,407r,-67l369,340r,-53l458,287r,-68l369,219r,-52l463,167xm66,36r82,46l231,36,210,2,148,34,87,2,66,36xm235,108r-20,-6l197,97,180,95,163,93r-17,2l129,96r-15,5l99,106r-15,6l71,121r-13,9l47,141,37,152,27,164r-7,14l12,192,7,207,3,223,1,239,,257r,15l2,287r4,13l10,314r6,14l22,340r9,11l41,363r12,11l66,385r15,9l97,401r16,6l129,412r18,3l163,416r16,-1l193,414r19,-5l235,401r,-95l228,314r-9,6l212,326r-9,4l194,334r-9,2l175,338r-10,1l158,338r-7,-2l143,335r-6,-2l129,330r-6,-4l117,323r-6,-5l104,311r-6,-6l93,299r-4,-7l87,283r-3,-9l83,265r,-10l83,247r1,-9l87,229r2,-7l93,214r4,-7l102,201r5,-7l112,189r6,-5l126,181r7,-4l141,174r7,-2l157,171r8,l175,171r10,2l195,176r9,3l213,184r7,5l228,197r7,7l235,108xe" fillcolor="#bd1b21" stroked="f">
                  <v:path arrowok="t" o:connecttype="custom" o:connectlocs="321,9;340,25;291,65;216,102;265,25;175,27;159,23;145,25;136,32;131,44;131,56;136,65;154,72;162,77;161,84;153,87;142,84;130,98;147,104;163,103;176,97;183,86;183,69;178,62;165,56;152,50;152,44;158,40;166,41;116,25;93,85;93,42;53,1;54,26;33,24;15,33;3,48;0,68;6,85;21,99;41,104;59,77;49,84;38,84;30,81;23,73;21,62;25,52;32,46;42,43;54,46" o:connectangles="0,0,0,0,0,0,0,0,0,0,0,0,0,0,0,0,0,0,0,0,0,0,0,0,0,0,0,0,0,0,0,0,0,0,0,0,0,0,0,0,0,0,0,0,0,0,0,0,0,0,0"/>
                  <o:lock v:ext="edit" aspectratio="t" verticies="t"/>
                </v:shape>
                <w10:wrap type="square" anchorx="page" anchory="page"/>
                <w10:anchorlock/>
              </v:group>
            </w:pict>
          </mc:Fallback>
        </mc:AlternateContent>
      </w:r>
      <w:r w:rsidRPr="00D970F7">
        <w:rPr>
          <w:noProof/>
        </w:rPr>
        <mc:AlternateContent>
          <mc:Choice Requires="wps">
            <w:drawing>
              <wp:anchor distT="0" distB="0" distL="114300" distR="114300" simplePos="0" relativeHeight="251656704" behindDoc="0" locked="1" layoutInCell="1" allowOverlap="1" wp14:anchorId="7D749472" wp14:editId="7C6FD2F2">
                <wp:simplePos x="0" y="0"/>
                <wp:positionH relativeFrom="page">
                  <wp:posOffset>1705610</wp:posOffset>
                </wp:positionH>
                <wp:positionV relativeFrom="page">
                  <wp:posOffset>8173085</wp:posOffset>
                </wp:positionV>
                <wp:extent cx="5130165" cy="925195"/>
                <wp:effectExtent l="0" t="0" r="0" b="0"/>
                <wp:wrapNone/>
                <wp:docPr id="2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925195"/>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6CA43B68" w14:textId="77777777" w:rsidR="00C2211E" w:rsidRPr="00352854" w:rsidRDefault="00C2211E" w:rsidP="004924DC">
                            <w:pPr>
                              <w:rPr>
                                <w:lang w:val="en-GB"/>
                              </w:rPr>
                            </w:pPr>
                            <w:r w:rsidRPr="00352854">
                              <w:rPr>
                                <w:lang w:val="en-GB"/>
                              </w:rPr>
                              <w:t xml:space="preserve">Prepared by: Office of the President of the CZSO </w:t>
                            </w:r>
                          </w:p>
                          <w:p w14:paraId="132AD0FF" w14:textId="30C51C40" w:rsidR="00C2211E" w:rsidRPr="00352854" w:rsidRDefault="00C2211E" w:rsidP="004924DC">
                            <w:pPr>
                              <w:rPr>
                                <w:lang w:val="en-GB"/>
                              </w:rPr>
                            </w:pPr>
                            <w:r w:rsidRPr="00352854">
                              <w:rPr>
                                <w:lang w:val="en-GB"/>
                              </w:rPr>
                              <w:t>Director: Egor Sidorov, Ph.D.</w:t>
                            </w:r>
                          </w:p>
                          <w:p w14:paraId="6CA077B6" w14:textId="72FA7F30" w:rsidR="00C2211E" w:rsidRPr="006C5577" w:rsidRDefault="00C2211E" w:rsidP="004924DC">
                            <w:r w:rsidRPr="00352854">
                              <w:rPr>
                                <w:lang w:val="en-GB"/>
                              </w:rPr>
                              <w:t>Contact person: Karolína Zábojníková</w:t>
                            </w:r>
                            <w:r w:rsidRPr="006C5577">
                              <w:t>,</w:t>
                            </w:r>
                            <w:r>
                              <w:t xml:space="preserve"> e-mail: karolina.zabojnikova@czso.cz</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749472" id="_x0000_t202" coordsize="21600,21600" o:spt="202" path="m,l,21600r21600,l21600,xe">
                <v:stroke joinstyle="miter"/>
                <v:path gradientshapeok="t" o:connecttype="rect"/>
              </v:shapetype>
              <v:shape id="Textové pole 2" o:spid="_x0000_s1026" type="#_x0000_t202" style="position:absolute;left:0;text-align:left;margin-left:134.3pt;margin-top:643.55pt;width:403.95pt;height:72.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" filled="f" stroked="f">
                <v:textbox inset="0,0,0,0">
                  <w:txbxContent>
                    <w:p w14:paraId="6CA43B68" w14:textId="77777777" w:rsidR="00C2211E" w:rsidRPr="00352854" w:rsidRDefault="00C2211E" w:rsidP="004924DC">
                      <w:pPr>
                        <w:rPr>
                          <w:lang w:val="en-GB"/>
                        </w:rPr>
                      </w:pPr>
                      <w:r w:rsidRPr="00352854">
                        <w:rPr>
                          <w:lang w:val="en-GB"/>
                        </w:rPr>
                        <w:t xml:space="preserve">Prepared by: Office of the President of the CZSO </w:t>
                      </w:r>
                    </w:p>
                    <w:p w14:paraId="132AD0FF" w14:textId="30C51C40" w:rsidR="00C2211E" w:rsidRPr="00352854" w:rsidRDefault="00C2211E" w:rsidP="004924DC">
                      <w:pPr>
                        <w:rPr>
                          <w:lang w:val="en-GB"/>
                        </w:rPr>
                      </w:pPr>
                      <w:r w:rsidRPr="00352854">
                        <w:rPr>
                          <w:lang w:val="en-GB"/>
                        </w:rPr>
                        <w:t>Director: Egor Sidorov, Ph.D.</w:t>
                      </w:r>
                    </w:p>
                    <w:p w14:paraId="6CA077B6" w14:textId="72FA7F30" w:rsidR="00C2211E" w:rsidRPr="006C5577" w:rsidRDefault="00C2211E" w:rsidP="004924DC">
                      <w:r w:rsidRPr="00352854">
                        <w:rPr>
                          <w:lang w:val="en-GB"/>
                        </w:rPr>
                        <w:t>Contact person: Karolína Zábojníková</w:t>
                      </w:r>
                      <w:r w:rsidRPr="006C5577">
                        <w:t>,</w:t>
                      </w:r>
                      <w:r>
                        <w:t xml:space="preserve"> e-mail: karolina.zabojnikova@czso.cz</w:t>
                      </w:r>
                    </w:p>
                  </w:txbxContent>
                </v:textbox>
                <w10:wrap anchorx="page" anchory="page"/>
                <w10:anchorlock/>
              </v:shape>
            </w:pict>
          </mc:Fallback>
        </mc:AlternateContent>
      </w:r>
      <w:r w:rsidRPr="00D970F7">
        <w:rPr>
          <w:noProof/>
        </w:rPr>
        <mc:AlternateContent>
          <mc:Choice Requires="wps">
            <w:drawing>
              <wp:anchor distT="0" distB="0" distL="114300" distR="114300" simplePos="0" relativeHeight="251655680" behindDoc="0" locked="1" layoutInCell="1" allowOverlap="1" wp14:anchorId="68FC7FBA" wp14:editId="39BCFF7A">
                <wp:simplePos x="0" y="0"/>
                <wp:positionH relativeFrom="page">
                  <wp:posOffset>1710055</wp:posOffset>
                </wp:positionH>
                <wp:positionV relativeFrom="page">
                  <wp:posOffset>4680585</wp:posOffset>
                </wp:positionV>
                <wp:extent cx="5129530" cy="1686560"/>
                <wp:effectExtent l="0" t="0" r="0" b="0"/>
                <wp:wrapNone/>
                <wp:docPr id="30"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686560"/>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0DA2A072" w14:textId="77777777" w:rsidR="00C2211E" w:rsidRPr="00352854" w:rsidRDefault="00C2211E" w:rsidP="00352854">
                            <w:pPr>
                              <w:pStyle w:val="TLIdentifikace-sted"/>
                              <w:rPr>
                                <w:lang w:val="en-GB"/>
                              </w:rPr>
                            </w:pPr>
                            <w:r w:rsidRPr="00352854">
                              <w:rPr>
                                <w:lang w:val="en-GB"/>
                              </w:rPr>
                              <w:t>Summary Data on the Czech Republic</w:t>
                            </w:r>
                          </w:p>
                          <w:p w14:paraId="6D18FF6B" w14:textId="45C20517" w:rsidR="00C2211E" w:rsidRPr="00352854" w:rsidRDefault="00C2211E" w:rsidP="004924DC">
                            <w:pPr>
                              <w:pStyle w:val="TLIdentifikace-sted"/>
                              <w:rPr>
                                <w:lang w:val="en-GB"/>
                              </w:rPr>
                            </w:pPr>
                            <w:r w:rsidRPr="00352854">
                              <w:rPr>
                                <w:lang w:val="en-GB"/>
                              </w:rPr>
                              <w:t xml:space="preserve">Prague, 14th </w:t>
                            </w:r>
                            <w:r>
                              <w:rPr>
                                <w:lang w:val="en-GB"/>
                              </w:rPr>
                              <w:t>October</w:t>
                            </w:r>
                            <w:r w:rsidRPr="00352854">
                              <w:rPr>
                                <w:lang w:val="en-GB"/>
                              </w:rPr>
                              <w:t xml:space="preserve"> 2020</w:t>
                            </w:r>
                          </w:p>
                          <w:p w14:paraId="730B937E" w14:textId="12720128" w:rsidR="00C2211E" w:rsidRPr="00352854" w:rsidRDefault="00C2211E" w:rsidP="004924DC">
                            <w:pPr>
                              <w:pStyle w:val="TLIdentifikace-sted"/>
                              <w:rPr>
                                <w:lang w:val="en-GB"/>
                              </w:rPr>
                            </w:pPr>
                            <w:r w:rsidRPr="00352854">
                              <w:rPr>
                                <w:lang w:val="en-GB"/>
                              </w:rPr>
                              <w:t>Publication Code: 32019</w:t>
                            </w:r>
                            <w:r>
                              <w:rPr>
                                <w:lang w:val="en-GB"/>
                              </w:rPr>
                              <w:t>4</w:t>
                            </w:r>
                            <w:r w:rsidRPr="00352854">
                              <w:rPr>
                                <w:lang w:val="en-GB"/>
                              </w:rPr>
                              <w:t>-20</w:t>
                            </w:r>
                          </w:p>
                          <w:p w14:paraId="1E265112" w14:textId="75E4B9B2" w:rsidR="00C2211E" w:rsidRPr="00352854" w:rsidRDefault="00C2211E" w:rsidP="004924DC">
                            <w:pPr>
                              <w:pStyle w:val="TLIdentifikace-sted"/>
                              <w:rPr>
                                <w:lang w:val="en-GB"/>
                              </w:rPr>
                            </w:pPr>
                            <w:r w:rsidRPr="00352854">
                              <w:rPr>
                                <w:lang w:val="en-GB"/>
                              </w:rPr>
                              <w:t>Reference No.:</w:t>
                            </w:r>
                            <w:r w:rsidRPr="00352854">
                              <w:rPr>
                                <w:rFonts w:cs="Arial"/>
                                <w:lang w:val="en-GB"/>
                              </w:rPr>
                              <w:t xml:space="preserve"> </w:t>
                            </w:r>
                            <w:r w:rsidRPr="00352854">
                              <w:rPr>
                                <w:rFonts w:eastAsia="Calibri" w:cs="Arial"/>
                                <w:lang w:val="en-GB" w:eastAsia="en-US"/>
                              </w:rPr>
                              <w:t>CSU-012128/2020</w:t>
                            </w:r>
                          </w:p>
                          <w:p w14:paraId="3F00E29A" w14:textId="1D47D7BD" w:rsidR="00C2211E" w:rsidRPr="00352854" w:rsidRDefault="00C2211E" w:rsidP="004924DC">
                            <w:pPr>
                              <w:pStyle w:val="TLIdentifikace-sted"/>
                              <w:rPr>
                                <w:lang w:val="en-GB"/>
                              </w:rPr>
                            </w:pPr>
                            <w:r>
                              <w:rPr>
                                <w:lang w:val="en-GB"/>
                              </w:rPr>
                              <w:t>Yearly Publication Code: 1</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8FC7FBA" id="_x0000_s1027" type="#_x0000_t202" style="position:absolute;left:0;text-align:left;margin-left:134.65pt;margin-top:368.55pt;width:403.9pt;height:132.8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" filled="f" stroked="f">
                <v:textbox style="mso-fit-shape-to-text:t" inset="0,0,0,0">
                  <w:txbxContent>
                    <w:p w14:paraId="0DA2A072" w14:textId="77777777" w:rsidR="00C2211E" w:rsidRPr="00352854" w:rsidRDefault="00C2211E" w:rsidP="00352854">
                      <w:pPr>
                        <w:pStyle w:val="TLIdentifikace-sted"/>
                        <w:rPr>
                          <w:lang w:val="en-GB"/>
                        </w:rPr>
                      </w:pPr>
                      <w:r w:rsidRPr="00352854">
                        <w:rPr>
                          <w:lang w:val="en-GB"/>
                        </w:rPr>
                        <w:t>Summary Data on the Czech Republic</w:t>
                      </w:r>
                    </w:p>
                    <w:p w14:paraId="6D18FF6B" w14:textId="45C20517" w:rsidR="00C2211E" w:rsidRPr="00352854" w:rsidRDefault="00C2211E" w:rsidP="004924DC">
                      <w:pPr>
                        <w:pStyle w:val="TLIdentifikace-sted"/>
                        <w:rPr>
                          <w:lang w:val="en-GB"/>
                        </w:rPr>
                      </w:pPr>
                      <w:r w:rsidRPr="00352854">
                        <w:rPr>
                          <w:lang w:val="en-GB"/>
                        </w:rPr>
                        <w:t xml:space="preserve">Prague, 14th </w:t>
                      </w:r>
                      <w:r>
                        <w:rPr>
                          <w:lang w:val="en-GB"/>
                        </w:rPr>
                        <w:t>October</w:t>
                      </w:r>
                      <w:r w:rsidRPr="00352854">
                        <w:rPr>
                          <w:lang w:val="en-GB"/>
                        </w:rPr>
                        <w:t xml:space="preserve"> 2020</w:t>
                      </w:r>
                    </w:p>
                    <w:p w14:paraId="730B937E" w14:textId="12720128" w:rsidR="00C2211E" w:rsidRPr="00352854" w:rsidRDefault="00C2211E" w:rsidP="004924DC">
                      <w:pPr>
                        <w:pStyle w:val="TLIdentifikace-sted"/>
                        <w:rPr>
                          <w:lang w:val="en-GB"/>
                        </w:rPr>
                      </w:pPr>
                      <w:r w:rsidRPr="00352854">
                        <w:rPr>
                          <w:lang w:val="en-GB"/>
                        </w:rPr>
                        <w:t>Publication Code: 32019</w:t>
                      </w:r>
                      <w:r>
                        <w:rPr>
                          <w:lang w:val="en-GB"/>
                        </w:rPr>
                        <w:t>4</w:t>
                      </w:r>
                      <w:r w:rsidRPr="00352854">
                        <w:rPr>
                          <w:lang w:val="en-GB"/>
                        </w:rPr>
                        <w:t>-20</w:t>
                      </w:r>
                    </w:p>
                    <w:p w14:paraId="1E265112" w14:textId="75E4B9B2" w:rsidR="00C2211E" w:rsidRPr="00352854" w:rsidRDefault="00C2211E" w:rsidP="004924DC">
                      <w:pPr>
                        <w:pStyle w:val="TLIdentifikace-sted"/>
                        <w:rPr>
                          <w:lang w:val="en-GB"/>
                        </w:rPr>
                      </w:pPr>
                      <w:r w:rsidRPr="00352854">
                        <w:rPr>
                          <w:lang w:val="en-GB"/>
                        </w:rPr>
                        <w:t>Reference No.:</w:t>
                      </w:r>
                      <w:r w:rsidRPr="00352854">
                        <w:rPr>
                          <w:rFonts w:cs="Arial"/>
                          <w:lang w:val="en-GB"/>
                        </w:rPr>
                        <w:t xml:space="preserve"> </w:t>
                      </w:r>
                      <w:r w:rsidRPr="00352854">
                        <w:rPr>
                          <w:rFonts w:eastAsia="Calibri" w:cs="Arial"/>
                          <w:lang w:val="en-GB" w:eastAsia="en-US"/>
                        </w:rPr>
                        <w:t>CSU-012128/2020</w:t>
                      </w:r>
                    </w:p>
                    <w:p w14:paraId="3F00E29A" w14:textId="1D47D7BD" w:rsidR="00C2211E" w:rsidRPr="00352854" w:rsidRDefault="00C2211E" w:rsidP="004924DC">
                      <w:pPr>
                        <w:pStyle w:val="TLIdentifikace-sted"/>
                        <w:rPr>
                          <w:lang w:val="en-GB"/>
                        </w:rPr>
                      </w:pPr>
                      <w:r>
                        <w:rPr>
                          <w:lang w:val="en-GB"/>
                        </w:rPr>
                        <w:t>Yearly Publication Code: 1</w:t>
                      </w:r>
                    </w:p>
                  </w:txbxContent>
                </v:textbox>
                <w10:wrap anchorx="page" anchory="page"/>
                <w10:anchorlock/>
              </v:shape>
            </w:pict>
          </mc:Fallback>
        </mc:AlternateContent>
      </w:r>
      <w:r w:rsidRPr="00D970F7">
        <w:rPr>
          <w:noProof/>
        </w:rPr>
        <mc:AlternateContent>
          <mc:Choice Requires="wps">
            <w:drawing>
              <wp:anchor distT="0" distB="0" distL="114300" distR="114300" simplePos="0" relativeHeight="251654656" behindDoc="0" locked="1" layoutInCell="1" allowOverlap="1" wp14:anchorId="22A1BD4B" wp14:editId="31E7B526">
                <wp:simplePos x="0" y="0"/>
                <wp:positionH relativeFrom="page">
                  <wp:posOffset>1710055</wp:posOffset>
                </wp:positionH>
                <wp:positionV relativeFrom="page">
                  <wp:posOffset>1476375</wp:posOffset>
                </wp:positionV>
                <wp:extent cx="5129530" cy="1471930"/>
                <wp:effectExtent l="0" t="0" r="0" b="0"/>
                <wp:wrapNone/>
                <wp:docPr id="1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471930"/>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06763847" w14:textId="0A309F4D" w:rsidR="00C2211E" w:rsidRPr="000E6FBD" w:rsidRDefault="00C2211E" w:rsidP="000E6FBD">
                            <w:pPr>
                              <w:pStyle w:val="Nzev"/>
                            </w:pPr>
                            <w:r>
                              <w:t>THE CZECH ECONOMY DEVELOPMENT</w:t>
                            </w:r>
                          </w:p>
                          <w:p w14:paraId="0059A4DC" w14:textId="77777777" w:rsidR="00C2211E" w:rsidRPr="0012192F" w:rsidRDefault="00C2211E" w:rsidP="0012192F">
                            <w:pPr>
                              <w:pStyle w:val="Podnadpis"/>
                            </w:pPr>
                          </w:p>
                          <w:p w14:paraId="0A162DB8" w14:textId="6CCF25E1" w:rsidR="00C2211E" w:rsidRPr="00352854" w:rsidRDefault="00C2211E" w:rsidP="000F090B">
                            <w:pPr>
                              <w:pStyle w:val="Podnadpis"/>
                              <w:rPr>
                                <w:lang w:val="en-GB"/>
                              </w:rPr>
                            </w:pPr>
                            <w:r w:rsidRPr="00352854">
                              <w:rPr>
                                <w:lang w:val="en-GB"/>
                              </w:rPr>
                              <w:t>First half of 2020</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2A1BD4B" id="_x0000_s1028" type="#_x0000_t202" style="position:absolute;left:0;text-align:left;margin-left:134.65pt;margin-top:116.25pt;width:403.9pt;height:115.9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" filled="f" stroked="f">
                <v:textbox style="mso-fit-shape-to-text:t" inset="0,0,0,0">
                  <w:txbxContent>
                    <w:p w14:paraId="06763847" w14:textId="0A309F4D" w:rsidR="00C2211E" w:rsidRPr="000E6FBD" w:rsidRDefault="00C2211E" w:rsidP="000E6FBD">
                      <w:pPr>
                        <w:pStyle w:val="Nzev"/>
                      </w:pPr>
                      <w:r>
                        <w:t>THE CZECH ECONOMY DEVELOPMENT</w:t>
                      </w:r>
                    </w:p>
                    <w:p w14:paraId="0059A4DC" w14:textId="77777777" w:rsidR="00C2211E" w:rsidRPr="0012192F" w:rsidRDefault="00C2211E" w:rsidP="0012192F">
                      <w:pPr>
                        <w:pStyle w:val="Podnadpis"/>
                      </w:pPr>
                    </w:p>
                    <w:p w14:paraId="0A162DB8" w14:textId="6CCF25E1" w:rsidR="00C2211E" w:rsidRPr="00352854" w:rsidRDefault="00C2211E" w:rsidP="000F090B">
                      <w:pPr>
                        <w:pStyle w:val="Podnadpis"/>
                        <w:rPr>
                          <w:lang w:val="en-GB"/>
                        </w:rPr>
                      </w:pPr>
                      <w:r w:rsidRPr="00352854">
                        <w:rPr>
                          <w:lang w:val="en-GB"/>
                        </w:rPr>
                        <w:t>First half of 2020</w:t>
                      </w:r>
                    </w:p>
                  </w:txbxContent>
                </v:textbox>
                <w10:wrap anchorx="page" anchory="page"/>
                <w10:anchorlock/>
              </v:shape>
            </w:pict>
          </mc:Fallback>
        </mc:AlternateContent>
      </w:r>
      <w:r w:rsidRPr="00D970F7">
        <w:rPr>
          <w:noProof/>
        </w:rPr>
        <mc:AlternateContent>
          <mc:Choice Requires="wps">
            <w:drawing>
              <wp:anchor distT="0" distB="0" distL="114300" distR="114300" simplePos="0" relativeHeight="251658752" behindDoc="0" locked="1" layoutInCell="1" allowOverlap="1" wp14:anchorId="211D308C" wp14:editId="77DC381B">
                <wp:simplePos x="0" y="0"/>
                <wp:positionH relativeFrom="page">
                  <wp:posOffset>1710055</wp:posOffset>
                </wp:positionH>
                <wp:positionV relativeFrom="page">
                  <wp:posOffset>9649460</wp:posOffset>
                </wp:positionV>
                <wp:extent cx="5130165" cy="179705"/>
                <wp:effectExtent l="0" t="0" r="0" b="0"/>
                <wp:wrapNone/>
                <wp:docPr id="1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179705"/>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504B1224" w14:textId="4D97D0AB" w:rsidR="00C2211E" w:rsidRPr="004924DC" w:rsidRDefault="00C2211E" w:rsidP="004924DC">
                            <w:r w:rsidRPr="004924DC">
                              <w:t xml:space="preserve">© </w:t>
                            </w:r>
                            <w:r w:rsidRPr="00352854">
                              <w:rPr>
                                <w:lang w:val="en-GB"/>
                              </w:rPr>
                              <w:t>Czech Statistical Office</w:t>
                            </w:r>
                            <w:r>
                              <w:t>, Prague, 2020</w:t>
                            </w:r>
                          </w:p>
                          <w:p w14:paraId="6B03C3EF" w14:textId="77777777" w:rsidR="00C2211E" w:rsidRPr="005251DD" w:rsidRDefault="00C2211E" w:rsidP="00665BA4"/>
                          <w:p w14:paraId="0A8089AF" w14:textId="77777777" w:rsidR="00C2211E" w:rsidRPr="005251DD" w:rsidRDefault="00C2211E" w:rsidP="00FC684B"/>
                          <w:p w14:paraId="002EBABF" w14:textId="77777777" w:rsidR="00C2211E" w:rsidRDefault="00C2211E"/>
                          <w:p w14:paraId="1BBEDF65" w14:textId="77777777" w:rsidR="00C2211E" w:rsidRPr="00097407" w:rsidRDefault="00C2211E" w:rsidP="00665BA4">
                            <w:r w:rsidRPr="00097407">
                              <w:t xml:space="preserve">© </w:t>
                            </w:r>
                            <w:r w:rsidRPr="005251DD">
                              <w:t>Český statistický úřad</w:t>
                            </w:r>
                            <w:r>
                              <w:t xml:space="preserve"> / </w:t>
                            </w:r>
                            <w:r w:rsidRPr="009A1902">
                              <w:rPr>
                                <w:i/>
                              </w:rPr>
                              <w:t xml:space="preserve">Czech </w:t>
                            </w:r>
                            <w:r w:rsidRPr="009A1902">
                              <w:rPr>
                                <w:rFonts w:cs="Arial"/>
                                <w:i/>
                                <w:szCs w:val="20"/>
                              </w:rPr>
                              <w:t>Statistical Office</w:t>
                            </w:r>
                            <w:r w:rsidRPr="00097407">
                              <w:t>, místo, rok vydání</w:t>
                            </w:r>
                          </w:p>
                          <w:p w14:paraId="048CED67" w14:textId="77777777" w:rsidR="00C2211E" w:rsidRPr="005251DD" w:rsidRDefault="00C2211E" w:rsidP="00665BA4"/>
                          <w:p w14:paraId="2D7C43C3" w14:textId="77777777" w:rsidR="00C2211E" w:rsidRPr="005251DD" w:rsidRDefault="00C2211E" w:rsidP="00FC684B"/>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1D308C" id="_x0000_s1029" type="#_x0000_t202" style="position:absolute;left:0;text-align:left;margin-left:134.65pt;margin-top:759.8pt;width:403.95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" filled="f" stroked="f">
                <v:textbox inset="0,0,0,0">
                  <w:txbxContent>
                    <w:p w14:paraId="504B1224" w14:textId="4D97D0AB" w:rsidR="00C2211E" w:rsidRPr="004924DC" w:rsidRDefault="00C2211E" w:rsidP="004924DC">
                      <w:r w:rsidRPr="004924DC">
                        <w:t xml:space="preserve">© </w:t>
                      </w:r>
                      <w:r w:rsidRPr="00352854">
                        <w:rPr>
                          <w:lang w:val="en-GB"/>
                        </w:rPr>
                        <w:t>Czech Statistical Office</w:t>
                      </w:r>
                      <w:r>
                        <w:t>, Prague, 2020</w:t>
                      </w:r>
                    </w:p>
                    <w:p w14:paraId="6B03C3EF" w14:textId="77777777" w:rsidR="00C2211E" w:rsidRPr="005251DD" w:rsidRDefault="00C2211E" w:rsidP="00665BA4"/>
                    <w:p w14:paraId="0A8089AF" w14:textId="77777777" w:rsidR="00C2211E" w:rsidRPr="005251DD" w:rsidRDefault="00C2211E" w:rsidP="00FC684B"/>
                    <w:p w14:paraId="002EBABF" w14:textId="77777777" w:rsidR="00C2211E" w:rsidRDefault="00C2211E"/>
                    <w:p w14:paraId="1BBEDF65" w14:textId="77777777" w:rsidR="00C2211E" w:rsidRPr="00097407" w:rsidRDefault="00C2211E" w:rsidP="00665BA4">
                      <w:r w:rsidRPr="00097407">
                        <w:t xml:space="preserve">© </w:t>
                      </w:r>
                      <w:r w:rsidRPr="005251DD">
                        <w:t>Český statistický úřad</w:t>
                      </w:r>
                      <w:r>
                        <w:t xml:space="preserve"> / </w:t>
                      </w:r>
                      <w:r w:rsidRPr="009A1902">
                        <w:rPr>
                          <w:i/>
                        </w:rPr>
                        <w:t xml:space="preserve">Czech </w:t>
                      </w:r>
                      <w:r w:rsidRPr="009A1902">
                        <w:rPr>
                          <w:rFonts w:cs="Arial"/>
                          <w:i/>
                          <w:szCs w:val="20"/>
                        </w:rPr>
                        <w:t>Statistical Office</w:t>
                      </w:r>
                      <w:r w:rsidRPr="00097407">
                        <w:t>, místo, rok vydání</w:t>
                      </w:r>
                    </w:p>
                    <w:p w14:paraId="048CED67" w14:textId="77777777" w:rsidR="00C2211E" w:rsidRPr="005251DD" w:rsidRDefault="00C2211E" w:rsidP="00665BA4"/>
                    <w:p w14:paraId="2D7C43C3" w14:textId="77777777" w:rsidR="00C2211E" w:rsidRPr="005251DD" w:rsidRDefault="00C2211E" w:rsidP="00FC684B"/>
                  </w:txbxContent>
                </v:textbox>
                <w10:wrap anchorx="page" anchory="page"/>
                <w10:anchorlock/>
              </v:shape>
            </w:pict>
          </mc:Fallback>
        </mc:AlternateContent>
      </w:r>
      <w:r w:rsidRPr="00D970F7">
        <w:rPr>
          <w:noProof/>
        </w:rPr>
        <mc:AlternateContent>
          <mc:Choice Requires="wps">
            <w:drawing>
              <wp:anchor distT="4294967293" distB="4294967293" distL="114300" distR="114300" simplePos="0" relativeHeight="251653632" behindDoc="0" locked="1" layoutInCell="0" allowOverlap="1" wp14:anchorId="56616E6D" wp14:editId="72D626EF">
                <wp:simplePos x="0" y="0"/>
                <wp:positionH relativeFrom="page">
                  <wp:posOffset>1710055</wp:posOffset>
                </wp:positionH>
                <wp:positionV relativeFrom="page">
                  <wp:posOffset>9361169</wp:posOffset>
                </wp:positionV>
                <wp:extent cx="5130165" cy="0"/>
                <wp:effectExtent l="0" t="0" r="13335" b="0"/>
                <wp:wrapNone/>
                <wp:docPr id="17" name="Přímá spojnic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30165" cy="0"/>
                        </a:xfrm>
                        <a:prstGeom prst="line">
                          <a:avLst/>
                        </a:prstGeom>
                        <a:noFill/>
                        <a:ln w="127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F4486DA" id="Přímá spojnice 33" o:spid="_x0000_s1026" style="position:absolute;z-index:25165363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margin;mso-height-relative:margin" from="134.65pt,737.1pt" to="538.6pt,7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" o:allowincell="f" strokecolor="windowText" strokeweight="1pt">
                <o:lock v:ext="edit" shapetype="f"/>
                <w10:wrap anchorx="page" anchory="page"/>
                <w10:anchorlock/>
              </v:line>
            </w:pict>
          </mc:Fallback>
        </mc:AlternateContent>
      </w:r>
      <w:r w:rsidR="00F63FB7" w:rsidRPr="00D970F7">
        <w:rPr>
          <w:lang w:val="en-GB"/>
        </w:rPr>
        <w:br w:type="page"/>
      </w:r>
      <w:r w:rsidR="00D57677" w:rsidRPr="00D970F7">
        <w:rPr>
          <w:lang w:val="en-GB"/>
        </w:rPr>
        <w:lastRenderedPageBreak/>
        <w:br w:type="page"/>
      </w:r>
      <w:r w:rsidRPr="00D970F7">
        <w:rPr>
          <w:noProof/>
        </w:rPr>
        <mc:AlternateContent>
          <mc:Choice Requires="wps">
            <w:drawing>
              <wp:anchor distT="0" distB="0" distL="114300" distR="114300" simplePos="0" relativeHeight="251659776" behindDoc="0" locked="1" layoutInCell="1" allowOverlap="1" wp14:anchorId="1CA088C6" wp14:editId="054DEB49">
                <wp:simplePos x="0" y="0"/>
                <wp:positionH relativeFrom="page">
                  <wp:posOffset>723900</wp:posOffset>
                </wp:positionH>
                <wp:positionV relativeFrom="page">
                  <wp:posOffset>1440180</wp:posOffset>
                </wp:positionV>
                <wp:extent cx="6119495" cy="7673340"/>
                <wp:effectExtent l="0" t="0" r="0" b="0"/>
                <wp:wrapNone/>
                <wp:docPr id="1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7673340"/>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3E43BB1A" w14:textId="77777777" w:rsidR="00C2211E" w:rsidRPr="006557C0" w:rsidRDefault="00C2211E" w:rsidP="00957525">
                            <w:pPr>
                              <w:pStyle w:val="TLKontaktyerven"/>
                              <w:rPr>
                                <w:lang w:val="en-GB"/>
                              </w:rPr>
                            </w:pPr>
                            <w:r w:rsidRPr="006557C0">
                              <w:rPr>
                                <w:lang w:val="en-GB"/>
                              </w:rPr>
                              <w:t>CONTACTS IN THE HEADQUARTERS</w:t>
                            </w:r>
                          </w:p>
                          <w:p w14:paraId="3C71345D" w14:textId="190DED3C" w:rsidR="00C2211E" w:rsidRPr="00957525" w:rsidRDefault="00C2211E" w:rsidP="00825C4D">
                            <w:pPr>
                              <w:pStyle w:val="TLKontakty"/>
                              <w:spacing w:after="80" w:line="240" w:lineRule="auto"/>
                              <w:contextualSpacing w:val="0"/>
                              <w:rPr>
                                <w:b w:val="0"/>
                                <w:color w:val="auto"/>
                                <w:lang w:val="en-GB"/>
                              </w:rPr>
                            </w:pPr>
                            <w:r>
                              <w:t xml:space="preserve">Czech </w:t>
                            </w:r>
                            <w:r w:rsidRPr="00957525">
                              <w:rPr>
                                <w:lang w:val="en-GB"/>
                              </w:rPr>
                              <w:t>Statistical Office</w:t>
                            </w:r>
                            <w:r w:rsidRPr="00957525">
                              <w:rPr>
                                <w:b w:val="0"/>
                                <w:color w:val="auto"/>
                                <w:lang w:val="en-GB"/>
                              </w:rPr>
                              <w:t xml:space="preserve"> | Na padesátém 81, 100 82 Praha 10, </w:t>
                            </w:r>
                            <w:r>
                              <w:rPr>
                                <w:b w:val="0"/>
                                <w:color w:val="auto"/>
                                <w:lang w:val="en-GB"/>
                              </w:rPr>
                              <w:t>ph</w:t>
                            </w:r>
                            <w:r w:rsidRPr="00957525">
                              <w:rPr>
                                <w:b w:val="0"/>
                                <w:color w:val="auto"/>
                                <w:lang w:val="en-GB"/>
                              </w:rPr>
                              <w:t xml:space="preserve">.: 274 051 111 | </w:t>
                            </w:r>
                            <w:r w:rsidRPr="00957525">
                              <w:rPr>
                                <w:color w:val="auto"/>
                                <w:lang w:val="en-GB"/>
                              </w:rPr>
                              <w:t>www.czso.cz</w:t>
                            </w:r>
                          </w:p>
                          <w:p w14:paraId="5DF2AD66" w14:textId="05C7DCDF"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Information Services</w:t>
                            </w:r>
                            <w:r w:rsidRPr="00957525">
                              <w:rPr>
                                <w:b w:val="0"/>
                                <w:color w:val="auto"/>
                                <w:lang w:val="en-GB"/>
                              </w:rPr>
                              <w:t xml:space="preserve"> | ph.: 274 052 304, 274 052 451 | e-mail: infoservis@czso.cz</w:t>
                            </w:r>
                          </w:p>
                          <w:p w14:paraId="41F3052F" w14:textId="427B046E"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CZSO Publication Shop</w:t>
                            </w:r>
                            <w:r w:rsidRPr="00957525">
                              <w:rPr>
                                <w:b w:val="0"/>
                                <w:color w:val="auto"/>
                                <w:lang w:val="en-GB"/>
                              </w:rPr>
                              <w:t xml:space="preserve"> | ph.: 274 052 361 | e-mail: prodejna@czso.cz</w:t>
                            </w:r>
                          </w:p>
                          <w:p w14:paraId="231AC1D4" w14:textId="6B6BC440"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European Data (ESDS), international comparison</w:t>
                            </w:r>
                            <w:r w:rsidRPr="00957525">
                              <w:rPr>
                                <w:b w:val="0"/>
                                <w:color w:val="auto"/>
                                <w:lang w:val="en-GB"/>
                              </w:rPr>
                              <w:t xml:space="preserve"> | ph.: 274 052 347 | e-mail: esds@czso.cz</w:t>
                            </w:r>
                          </w:p>
                          <w:p w14:paraId="548AAF1E" w14:textId="6AB9B1FD"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Central Statistical Library</w:t>
                            </w:r>
                            <w:r w:rsidRPr="00957525">
                              <w:rPr>
                                <w:b w:val="0"/>
                                <w:color w:val="auto"/>
                                <w:lang w:val="en-GB"/>
                              </w:rPr>
                              <w:t xml:space="preserve"> | ph.: 274 052 361 | e-mail: knihovna@czso.cz</w:t>
                            </w:r>
                          </w:p>
                          <w:p w14:paraId="676CE837" w14:textId="77777777" w:rsidR="00C2211E" w:rsidRPr="00957525" w:rsidRDefault="00C2211E" w:rsidP="00825C4D">
                            <w:pPr>
                              <w:pStyle w:val="TLKontakty"/>
                              <w:spacing w:after="80" w:line="240" w:lineRule="auto"/>
                              <w:contextualSpacing w:val="0"/>
                              <w:rPr>
                                <w:color w:val="auto"/>
                                <w:lang w:val="en-GB"/>
                              </w:rPr>
                            </w:pPr>
                          </w:p>
                          <w:p w14:paraId="58156969" w14:textId="3A802F43" w:rsidR="00C2211E" w:rsidRPr="00D66223" w:rsidRDefault="00C2211E" w:rsidP="00D66223">
                            <w:pPr>
                              <w:pStyle w:val="TLKontaktyerven"/>
                            </w:pPr>
                            <w:r w:rsidRPr="00D66223">
                              <w:t>INFORMA</w:t>
                            </w:r>
                            <w:r>
                              <w:t>tion services in the regions</w:t>
                            </w:r>
                          </w:p>
                          <w:p w14:paraId="4879BC68" w14:textId="6C39F31F" w:rsidR="00C2211E" w:rsidRPr="00992CF3" w:rsidRDefault="00C2211E" w:rsidP="00825C4D">
                            <w:pPr>
                              <w:pStyle w:val="TLKontakty"/>
                              <w:spacing w:after="80" w:line="240" w:lineRule="auto"/>
                              <w:rPr>
                                <w:b w:val="0"/>
                                <w:color w:val="auto"/>
                              </w:rPr>
                            </w:pPr>
                            <w:r>
                              <w:t>Capital City Prague</w:t>
                            </w:r>
                            <w:r w:rsidRPr="00992CF3">
                              <w:rPr>
                                <w:b w:val="0"/>
                                <w:color w:val="auto"/>
                              </w:rPr>
                              <w:t xml:space="preserve"> | Na</w:t>
                            </w:r>
                            <w:r>
                              <w:rPr>
                                <w:b w:val="0"/>
                                <w:color w:val="auto"/>
                              </w:rPr>
                              <w:t xml:space="preserve"> padesátém 81, 100 82 Praha 10, ph</w:t>
                            </w:r>
                            <w:r w:rsidRPr="00992CF3">
                              <w:rPr>
                                <w:b w:val="0"/>
                                <w:color w:val="auto"/>
                              </w:rPr>
                              <w:t>.</w:t>
                            </w:r>
                            <w:r w:rsidRPr="007D40DF">
                              <w:rPr>
                                <w:b w:val="0"/>
                                <w:color w:val="auto"/>
                              </w:rPr>
                              <w:t>:</w:t>
                            </w:r>
                            <w:r>
                              <w:rPr>
                                <w:b w:val="0"/>
                                <w:color w:val="auto"/>
                              </w:rPr>
                              <w:t xml:space="preserve"> 274 052 673,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14:paraId="013DC4C4" w14:textId="77777777" w:rsidR="00C2211E" w:rsidRPr="00992CF3" w:rsidRDefault="00C2211E"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14:paraId="39B244A8" w14:textId="77777777" w:rsidR="00C2211E" w:rsidRPr="004A61C5" w:rsidRDefault="00C2211E" w:rsidP="00825C4D">
                            <w:pPr>
                              <w:pStyle w:val="TLKontakty"/>
                              <w:spacing w:after="80" w:line="240" w:lineRule="auto"/>
                              <w:rPr>
                                <w:color w:val="auto"/>
                              </w:rPr>
                            </w:pPr>
                          </w:p>
                          <w:p w14:paraId="0700B661" w14:textId="249A2E8C" w:rsidR="00C2211E" w:rsidRPr="00992CF3" w:rsidRDefault="00C2211E" w:rsidP="00825C4D">
                            <w:pPr>
                              <w:pStyle w:val="TLKontakty"/>
                              <w:spacing w:after="80" w:line="240" w:lineRule="auto"/>
                              <w:rPr>
                                <w:b w:val="0"/>
                                <w:color w:val="auto"/>
                              </w:rPr>
                            </w:pPr>
                            <w:r>
                              <w:t>Central Bohemia</w:t>
                            </w:r>
                            <w:r w:rsidRPr="00992CF3">
                              <w:rPr>
                                <w:b w:val="0"/>
                                <w:color w:val="auto"/>
                              </w:rPr>
                              <w:t xml:space="preserve"> |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w:t>
                            </w:r>
                            <w:r w:rsidRPr="00992CF3">
                              <w:rPr>
                                <w:b w:val="0"/>
                                <w:color w:val="auto"/>
                              </w:rPr>
                              <w:t xml:space="preserve">10, </w:t>
                            </w:r>
                            <w:r>
                              <w:rPr>
                                <w:b w:val="0"/>
                                <w:color w:val="auto"/>
                              </w:rPr>
                              <w:t>ph</w:t>
                            </w:r>
                            <w:r w:rsidRPr="00992CF3">
                              <w:rPr>
                                <w:b w:val="0"/>
                                <w:color w:val="auto"/>
                              </w:rPr>
                              <w:t>.</w:t>
                            </w:r>
                            <w:r>
                              <w:rPr>
                                <w:b w:val="0"/>
                                <w:color w:val="auto"/>
                              </w:rPr>
                              <w:t xml:space="preserve">: </w:t>
                            </w:r>
                            <w:r w:rsidRPr="00992CF3">
                              <w:rPr>
                                <w:b w:val="0"/>
                                <w:color w:val="auto"/>
                              </w:rPr>
                              <w:t>274</w:t>
                            </w:r>
                            <w:r>
                              <w:rPr>
                                <w:b w:val="0"/>
                                <w:color w:val="auto"/>
                              </w:rPr>
                              <w:t> </w:t>
                            </w:r>
                            <w:r w:rsidRPr="00992CF3">
                              <w:rPr>
                                <w:b w:val="0"/>
                                <w:color w:val="auto"/>
                              </w:rPr>
                              <w:t>054 175</w:t>
                            </w:r>
                          </w:p>
                          <w:p w14:paraId="416161E8" w14:textId="77777777" w:rsidR="00C2211E" w:rsidRPr="00992CF3" w:rsidRDefault="00C2211E"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14:paraId="4FF5E3BD" w14:textId="77777777" w:rsidR="00C2211E" w:rsidRPr="004A61C5" w:rsidRDefault="00C2211E" w:rsidP="00825C4D">
                            <w:pPr>
                              <w:pStyle w:val="TLKontakty"/>
                              <w:spacing w:after="80" w:line="240" w:lineRule="auto"/>
                              <w:rPr>
                                <w:color w:val="auto"/>
                              </w:rPr>
                            </w:pPr>
                          </w:p>
                          <w:p w14:paraId="272E9710" w14:textId="30817F63" w:rsidR="00C2211E" w:rsidRPr="00992CF3" w:rsidRDefault="00C2211E"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ph</w:t>
                            </w:r>
                            <w:r w:rsidRPr="00992CF3">
                              <w:rPr>
                                <w:b w:val="0"/>
                                <w:color w:val="auto"/>
                              </w:rPr>
                              <w:t>.</w:t>
                            </w:r>
                            <w:r>
                              <w:rPr>
                                <w:b w:val="0"/>
                                <w:color w:val="auto"/>
                              </w:rPr>
                              <w:t xml:space="preserve">: </w:t>
                            </w:r>
                            <w:r w:rsidRPr="00992CF3">
                              <w:rPr>
                                <w:b w:val="0"/>
                                <w:color w:val="auto"/>
                              </w:rPr>
                              <w:t>386</w:t>
                            </w:r>
                            <w:r>
                              <w:rPr>
                                <w:b w:val="0"/>
                                <w:color w:val="auto"/>
                              </w:rPr>
                              <w:t> </w:t>
                            </w:r>
                            <w:r w:rsidRPr="00992CF3">
                              <w:rPr>
                                <w:b w:val="0"/>
                                <w:color w:val="auto"/>
                              </w:rPr>
                              <w:t>718 440</w:t>
                            </w:r>
                          </w:p>
                          <w:p w14:paraId="41660CA4" w14:textId="77777777" w:rsidR="00C2211E" w:rsidRPr="00992CF3" w:rsidRDefault="00C2211E"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14:paraId="02FFC287" w14:textId="77777777" w:rsidR="00C2211E" w:rsidRPr="004A61C5" w:rsidRDefault="00C2211E" w:rsidP="00825C4D">
                            <w:pPr>
                              <w:pStyle w:val="TLKontakty"/>
                              <w:spacing w:after="80" w:line="240" w:lineRule="auto"/>
                              <w:rPr>
                                <w:color w:val="auto"/>
                              </w:rPr>
                            </w:pPr>
                          </w:p>
                          <w:p w14:paraId="28D66B71" w14:textId="2320B025" w:rsidR="00C2211E" w:rsidRPr="00BC731E" w:rsidRDefault="00C2211E"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ph</w:t>
                            </w:r>
                            <w:r w:rsidRPr="004A61C5">
                              <w:rPr>
                                <w:b w:val="0"/>
                                <w:color w:val="auto"/>
                              </w:rPr>
                              <w:t>.</w:t>
                            </w:r>
                            <w:r>
                              <w:rPr>
                                <w:b w:val="0"/>
                                <w:color w:val="auto"/>
                              </w:rPr>
                              <w:t xml:space="preserve">: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377 612 145</w:t>
                            </w:r>
                          </w:p>
                          <w:p w14:paraId="44E4A2F2"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14:paraId="124C070B" w14:textId="77777777" w:rsidR="00C2211E" w:rsidRPr="004A61C5" w:rsidRDefault="00C2211E" w:rsidP="00825C4D">
                            <w:pPr>
                              <w:pStyle w:val="TLKontakty"/>
                              <w:spacing w:after="80" w:line="240" w:lineRule="auto"/>
                              <w:rPr>
                                <w:color w:val="auto"/>
                              </w:rPr>
                            </w:pPr>
                          </w:p>
                          <w:p w14:paraId="09B6DE68" w14:textId="2134641E" w:rsidR="00C2211E" w:rsidRPr="004A61C5" w:rsidRDefault="00C2211E"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sidRPr="004A61C5">
                              <w:rPr>
                                <w:b w:val="0"/>
                                <w:color w:val="auto"/>
                              </w:rPr>
                              <w:t xml:space="preserve">, </w:t>
                            </w:r>
                            <w:r>
                              <w:rPr>
                                <w:b w:val="0"/>
                                <w:color w:val="auto"/>
                              </w:rPr>
                              <w:t>ph</w:t>
                            </w:r>
                            <w:r w:rsidRPr="004A61C5">
                              <w:rPr>
                                <w:b w:val="0"/>
                                <w:color w:val="auto"/>
                              </w:rPr>
                              <w:t>.</w:t>
                            </w:r>
                            <w:r>
                              <w:rPr>
                                <w:b w:val="0"/>
                                <w:color w:val="auto"/>
                              </w:rPr>
                              <w:t xml:space="preserve">: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529, 353</w:t>
                            </w:r>
                            <w:r>
                              <w:rPr>
                                <w:b w:val="0"/>
                                <w:color w:val="auto"/>
                              </w:rPr>
                              <w:t> </w:t>
                            </w:r>
                            <w:r w:rsidRPr="004A61C5">
                              <w:rPr>
                                <w:b w:val="0"/>
                                <w:color w:val="auto"/>
                              </w:rPr>
                              <w:t>114 525</w:t>
                            </w:r>
                          </w:p>
                          <w:p w14:paraId="477EF21B"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14:paraId="6C1AC3BB" w14:textId="77777777" w:rsidR="00C2211E" w:rsidRPr="004A61C5" w:rsidRDefault="00C2211E" w:rsidP="00825C4D">
                            <w:pPr>
                              <w:pStyle w:val="TLKontakty"/>
                              <w:spacing w:after="80" w:line="240" w:lineRule="auto"/>
                              <w:rPr>
                                <w:color w:val="auto"/>
                              </w:rPr>
                            </w:pPr>
                          </w:p>
                          <w:p w14:paraId="59D3D98A" w14:textId="31D1D46C" w:rsidR="00C2211E" w:rsidRPr="004A61C5" w:rsidRDefault="00C2211E"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ph</w:t>
                            </w:r>
                            <w:r w:rsidRPr="004A61C5">
                              <w:rPr>
                                <w:b w:val="0"/>
                                <w:color w:val="auto"/>
                              </w:rPr>
                              <w:t>.</w:t>
                            </w:r>
                            <w:r>
                              <w:rPr>
                                <w:b w:val="0"/>
                                <w:color w:val="auto"/>
                              </w:rPr>
                              <w:t xml:space="preserve">: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Pr="004A61C5">
                              <w:rPr>
                                <w:b w:val="0"/>
                                <w:color w:val="auto"/>
                              </w:rPr>
                              <w:t>472</w:t>
                            </w:r>
                            <w:r>
                              <w:rPr>
                                <w:b w:val="0"/>
                                <w:color w:val="auto"/>
                              </w:rPr>
                              <w:t> </w:t>
                            </w:r>
                            <w:r w:rsidRPr="004A61C5">
                              <w:rPr>
                                <w:b w:val="0"/>
                                <w:color w:val="auto"/>
                              </w:rPr>
                              <w:t>706 121</w:t>
                            </w:r>
                          </w:p>
                          <w:p w14:paraId="2F4D5FAC"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14:paraId="465C0979" w14:textId="77777777" w:rsidR="00C2211E" w:rsidRPr="004A61C5" w:rsidRDefault="00C2211E" w:rsidP="00825C4D">
                            <w:pPr>
                              <w:pStyle w:val="TLKontakty"/>
                              <w:spacing w:after="80" w:line="240" w:lineRule="auto"/>
                              <w:rPr>
                                <w:color w:val="auto"/>
                              </w:rPr>
                            </w:pPr>
                          </w:p>
                          <w:p w14:paraId="53E44571" w14:textId="3063781A" w:rsidR="00C2211E" w:rsidRPr="004A61C5" w:rsidRDefault="00C2211E"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w:t>
                            </w:r>
                            <w:r w:rsidRPr="004A61C5">
                              <w:rPr>
                                <w:b w:val="0"/>
                                <w:color w:val="auto"/>
                              </w:rPr>
                              <w:t xml:space="preserve">1, </w:t>
                            </w:r>
                            <w:r>
                              <w:rPr>
                                <w:b w:val="0"/>
                                <w:color w:val="auto"/>
                              </w:rPr>
                              <w:t>ph</w:t>
                            </w:r>
                            <w:r w:rsidRPr="004A61C5">
                              <w:rPr>
                                <w:b w:val="0"/>
                                <w:color w:val="auto"/>
                              </w:rPr>
                              <w:t>.</w:t>
                            </w:r>
                            <w:r>
                              <w:rPr>
                                <w:b w:val="0"/>
                                <w:color w:val="auto"/>
                              </w:rPr>
                              <w:t xml:space="preserve">: </w:t>
                            </w:r>
                            <w:r w:rsidRPr="004A61C5">
                              <w:rPr>
                                <w:b w:val="0"/>
                                <w:color w:val="auto"/>
                              </w:rPr>
                              <w:t>485</w:t>
                            </w:r>
                            <w:r>
                              <w:rPr>
                                <w:b w:val="0"/>
                                <w:color w:val="auto"/>
                              </w:rPr>
                              <w:t> </w:t>
                            </w:r>
                            <w:r w:rsidRPr="004A61C5">
                              <w:rPr>
                                <w:b w:val="0"/>
                                <w:color w:val="auto"/>
                              </w:rPr>
                              <w:t>238 811</w:t>
                            </w:r>
                          </w:p>
                          <w:p w14:paraId="7748DBC3"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14:paraId="4123AE44" w14:textId="77777777" w:rsidR="00C2211E" w:rsidRPr="004A61C5" w:rsidRDefault="00C2211E" w:rsidP="00825C4D">
                            <w:pPr>
                              <w:pStyle w:val="TLKontakty"/>
                              <w:spacing w:after="80" w:line="240" w:lineRule="auto"/>
                              <w:rPr>
                                <w:b w:val="0"/>
                                <w:color w:val="auto"/>
                              </w:rPr>
                            </w:pPr>
                          </w:p>
                          <w:p w14:paraId="10E14C3C" w14:textId="5026653E" w:rsidR="00C2211E" w:rsidRPr="004A61C5" w:rsidRDefault="00C2211E" w:rsidP="00825C4D">
                            <w:pPr>
                              <w:pStyle w:val="TLKontakty"/>
                              <w:spacing w:after="80" w:line="240" w:lineRule="auto"/>
                              <w:rPr>
                                <w:b w:val="0"/>
                                <w:color w:val="auto"/>
                              </w:rPr>
                            </w:pPr>
                            <w:r w:rsidRPr="00D66223">
                              <w:t>Hradec Králové</w:t>
                            </w:r>
                            <w:r w:rsidRPr="004A61C5">
                              <w:rPr>
                                <w:b w:val="0"/>
                                <w:color w:val="auto"/>
                              </w:rPr>
                              <w:t xml:space="preserve"> | Myslivečkova</w:t>
                            </w:r>
                            <w:r>
                              <w:rPr>
                                <w:b w:val="0"/>
                                <w:color w:val="auto"/>
                              </w:rPr>
                              <w:t> </w:t>
                            </w:r>
                            <w:r w:rsidRPr="004A61C5">
                              <w:rPr>
                                <w:b w:val="0"/>
                                <w:color w:val="auto"/>
                              </w:rPr>
                              <w:t>914, 500</w:t>
                            </w:r>
                            <w:r>
                              <w:rPr>
                                <w:b w:val="0"/>
                                <w:color w:val="auto"/>
                              </w:rPr>
                              <w:t> </w:t>
                            </w:r>
                            <w:r w:rsidRPr="004A61C5">
                              <w:rPr>
                                <w:b w:val="0"/>
                                <w:color w:val="auto"/>
                              </w:rPr>
                              <w:t>03 Hradec Králové</w:t>
                            </w:r>
                            <w:r>
                              <w:rPr>
                                <w:b w:val="0"/>
                                <w:color w:val="auto"/>
                              </w:rPr>
                              <w:t> </w:t>
                            </w:r>
                            <w:r w:rsidRPr="004A61C5">
                              <w:rPr>
                                <w:b w:val="0"/>
                                <w:color w:val="auto"/>
                              </w:rPr>
                              <w:t xml:space="preserve">3, </w:t>
                            </w:r>
                            <w:r>
                              <w:rPr>
                                <w:b w:val="0"/>
                                <w:color w:val="auto"/>
                              </w:rPr>
                              <w:t>ph.</w:t>
                            </w:r>
                            <w:r w:rsidRPr="007D40DF">
                              <w:rPr>
                                <w:b w:val="0"/>
                                <w:color w:val="auto"/>
                              </w:rPr>
                              <w:t>:</w:t>
                            </w:r>
                            <w:r>
                              <w:rPr>
                                <w:b w:val="0"/>
                                <w:color w:val="auto"/>
                              </w:rPr>
                              <w:t xml:space="preserve"> </w:t>
                            </w:r>
                            <w:r w:rsidRPr="004A61C5">
                              <w:rPr>
                                <w:b w:val="0"/>
                                <w:color w:val="auto"/>
                              </w:rPr>
                              <w:t>495</w:t>
                            </w:r>
                            <w:r>
                              <w:rPr>
                                <w:b w:val="0"/>
                                <w:color w:val="auto"/>
                              </w:rPr>
                              <w:t> </w:t>
                            </w:r>
                            <w:r w:rsidRPr="004A61C5">
                              <w:rPr>
                                <w:b w:val="0"/>
                                <w:color w:val="auto"/>
                              </w:rPr>
                              <w:t>762</w:t>
                            </w:r>
                            <w:r>
                              <w:rPr>
                                <w:b w:val="0"/>
                                <w:color w:val="auto"/>
                              </w:rPr>
                              <w:t> </w:t>
                            </w:r>
                            <w:r w:rsidRPr="004A61C5">
                              <w:rPr>
                                <w:b w:val="0"/>
                                <w:color w:val="auto"/>
                              </w:rPr>
                              <w:t>322,</w:t>
                            </w:r>
                            <w:r>
                              <w:rPr>
                                <w:b w:val="0"/>
                                <w:color w:val="auto"/>
                              </w:rPr>
                              <w:t xml:space="preserve"> </w:t>
                            </w:r>
                            <w:r w:rsidRPr="004A61C5">
                              <w:rPr>
                                <w:b w:val="0"/>
                                <w:color w:val="auto"/>
                              </w:rPr>
                              <w:t>495</w:t>
                            </w:r>
                            <w:r>
                              <w:rPr>
                                <w:b w:val="0"/>
                                <w:color w:val="auto"/>
                              </w:rPr>
                              <w:t> </w:t>
                            </w:r>
                            <w:r w:rsidRPr="004A61C5">
                              <w:rPr>
                                <w:b w:val="0"/>
                                <w:color w:val="auto"/>
                              </w:rPr>
                              <w:t>762 317</w:t>
                            </w:r>
                          </w:p>
                          <w:p w14:paraId="2E3651FF"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14:paraId="74F45FF3" w14:textId="77777777" w:rsidR="00C2211E" w:rsidRPr="004A61C5" w:rsidRDefault="00C2211E" w:rsidP="00825C4D">
                            <w:pPr>
                              <w:pStyle w:val="TLKontakty"/>
                              <w:spacing w:after="80" w:line="240" w:lineRule="auto"/>
                              <w:rPr>
                                <w:color w:val="auto"/>
                              </w:rPr>
                            </w:pPr>
                          </w:p>
                          <w:p w14:paraId="5E11F5F2" w14:textId="018E4899" w:rsidR="00C2211E" w:rsidRPr="004A61C5" w:rsidRDefault="00C2211E"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ph</w:t>
                            </w:r>
                            <w:r w:rsidRPr="004A61C5">
                              <w:rPr>
                                <w:b w:val="0"/>
                                <w:color w:val="auto"/>
                              </w:rPr>
                              <w:t>.</w:t>
                            </w:r>
                            <w:r>
                              <w:rPr>
                                <w:b w:val="0"/>
                                <w:color w:val="auto"/>
                              </w:rPr>
                              <w:t>:</w:t>
                            </w:r>
                            <w:r w:rsidRPr="004A61C5">
                              <w:rPr>
                                <w:b w:val="0"/>
                                <w:color w:val="auto"/>
                              </w:rPr>
                              <w:t xml:space="preserve"> 466</w:t>
                            </w:r>
                            <w:r>
                              <w:rPr>
                                <w:b w:val="0"/>
                                <w:color w:val="auto"/>
                              </w:rPr>
                              <w:t> </w:t>
                            </w:r>
                            <w:r w:rsidRPr="004A61C5">
                              <w:rPr>
                                <w:b w:val="0"/>
                                <w:color w:val="auto"/>
                              </w:rPr>
                              <w:t>743</w:t>
                            </w:r>
                            <w:r>
                              <w:rPr>
                                <w:b w:val="0"/>
                                <w:color w:val="auto"/>
                              </w:rPr>
                              <w:t> </w:t>
                            </w:r>
                            <w:r w:rsidRPr="004A61C5">
                              <w:rPr>
                                <w:b w:val="0"/>
                                <w:color w:val="auto"/>
                              </w:rPr>
                              <w:t>480, 466</w:t>
                            </w:r>
                            <w:r>
                              <w:rPr>
                                <w:b w:val="0"/>
                                <w:color w:val="auto"/>
                              </w:rPr>
                              <w:t> </w:t>
                            </w:r>
                            <w:r w:rsidRPr="004A61C5">
                              <w:rPr>
                                <w:b w:val="0"/>
                                <w:color w:val="auto"/>
                              </w:rPr>
                              <w:t>743 418</w:t>
                            </w:r>
                          </w:p>
                          <w:p w14:paraId="72152ABD"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14:paraId="31158F18" w14:textId="77777777" w:rsidR="00C2211E" w:rsidRPr="004A61C5" w:rsidRDefault="00C2211E" w:rsidP="00825C4D">
                            <w:pPr>
                              <w:pStyle w:val="TLKontakty"/>
                              <w:spacing w:after="80" w:line="240" w:lineRule="auto"/>
                              <w:rPr>
                                <w:b w:val="0"/>
                                <w:color w:val="auto"/>
                              </w:rPr>
                            </w:pPr>
                          </w:p>
                          <w:p w14:paraId="231F5E11" w14:textId="7F95DA28" w:rsidR="00C2211E" w:rsidRPr="004A61C5" w:rsidRDefault="00C2211E" w:rsidP="00825C4D">
                            <w:pPr>
                              <w:pStyle w:val="TLKontakty"/>
                              <w:spacing w:after="80" w:line="240" w:lineRule="auto"/>
                              <w:rPr>
                                <w:b w:val="0"/>
                                <w:color w:val="auto"/>
                              </w:rPr>
                            </w:pPr>
                            <w:r w:rsidRPr="00D66223">
                              <w:t>Jihlava</w:t>
                            </w:r>
                            <w:r w:rsidRPr="004A61C5">
                              <w:rPr>
                                <w:b w:val="0"/>
                                <w:color w:val="auto"/>
                              </w:rPr>
                              <w:t xml:space="preserve"> | Ke</w:t>
                            </w:r>
                            <w:r>
                              <w:rPr>
                                <w:b w:val="0"/>
                                <w:color w:val="auto"/>
                              </w:rPr>
                              <w:t> </w:t>
                            </w:r>
                            <w:r w:rsidRPr="004A61C5">
                              <w:rPr>
                                <w:b w:val="0"/>
                                <w:color w:val="auto"/>
                              </w:rPr>
                              <w:t>Skalce</w:t>
                            </w:r>
                            <w:r>
                              <w:rPr>
                                <w:b w:val="0"/>
                                <w:color w:val="auto"/>
                              </w:rPr>
                              <w:t> </w:t>
                            </w:r>
                            <w:r w:rsidRPr="004A61C5">
                              <w:rPr>
                                <w:b w:val="0"/>
                                <w:color w:val="auto"/>
                              </w:rPr>
                              <w:t>30,</w:t>
                            </w:r>
                            <w:r>
                              <w:rPr>
                                <w:b w:val="0"/>
                                <w:color w:val="auto"/>
                              </w:rPr>
                              <w:t xml:space="preserve"> 586 01 Jihlava, ph.: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062, 567</w:t>
                            </w:r>
                            <w:r>
                              <w:rPr>
                                <w:b w:val="0"/>
                                <w:color w:val="auto"/>
                              </w:rPr>
                              <w:t> </w:t>
                            </w:r>
                            <w:r w:rsidRPr="00BC731E">
                              <w:rPr>
                                <w:b w:val="0"/>
                                <w:color w:val="auto"/>
                              </w:rPr>
                              <w:t>109 073</w:t>
                            </w:r>
                          </w:p>
                          <w:p w14:paraId="05687D8F"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14:paraId="14A58016" w14:textId="77777777" w:rsidR="00C2211E" w:rsidRDefault="00C2211E" w:rsidP="00825C4D">
                            <w:pPr>
                              <w:pStyle w:val="TLKontakty"/>
                              <w:spacing w:after="80" w:line="240" w:lineRule="auto"/>
                            </w:pPr>
                          </w:p>
                          <w:p w14:paraId="2C2F9B1E" w14:textId="2D7808A5" w:rsidR="00C2211E" w:rsidRPr="00BC731E" w:rsidRDefault="00C2211E"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r>
                              <w:rPr>
                                <w:b w:val="0"/>
                                <w:color w:val="auto"/>
                              </w:rPr>
                              <w:t xml:space="preserve">ph.: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115, 542</w:t>
                            </w:r>
                            <w:r>
                              <w:rPr>
                                <w:b w:val="0"/>
                                <w:color w:val="auto"/>
                              </w:rPr>
                              <w:t> </w:t>
                            </w:r>
                            <w:r w:rsidRPr="00BC731E">
                              <w:rPr>
                                <w:b w:val="0"/>
                                <w:color w:val="auto"/>
                              </w:rPr>
                              <w:t>528 200</w:t>
                            </w:r>
                          </w:p>
                          <w:p w14:paraId="395EA08C" w14:textId="77777777" w:rsidR="00C2211E" w:rsidRPr="004A61C5" w:rsidRDefault="00C2211E"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14:paraId="7E41DBBE" w14:textId="77777777" w:rsidR="00C2211E" w:rsidRPr="004A61C5" w:rsidRDefault="00C2211E" w:rsidP="00825C4D">
                            <w:pPr>
                              <w:pStyle w:val="TLKontakty"/>
                              <w:spacing w:after="80" w:line="240" w:lineRule="auto"/>
                              <w:rPr>
                                <w:b w:val="0"/>
                                <w:color w:val="auto"/>
                              </w:rPr>
                            </w:pPr>
                          </w:p>
                          <w:p w14:paraId="3F9813C4" w14:textId="1FE12542" w:rsidR="00C2211E" w:rsidRPr="005E7C78" w:rsidRDefault="00C2211E"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r>
                              <w:rPr>
                                <w:b w:val="0"/>
                                <w:color w:val="auto"/>
                              </w:rPr>
                              <w:t xml:space="preserve">ph.: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516, 585</w:t>
                            </w:r>
                            <w:r>
                              <w:rPr>
                                <w:b w:val="0"/>
                                <w:color w:val="auto"/>
                              </w:rPr>
                              <w:t> </w:t>
                            </w:r>
                            <w:r w:rsidRPr="00BC731E">
                              <w:rPr>
                                <w:b w:val="0"/>
                                <w:color w:val="auto"/>
                              </w:rPr>
                              <w:t>731 511</w:t>
                            </w:r>
                          </w:p>
                          <w:p w14:paraId="483B16E7" w14:textId="77777777" w:rsidR="00C2211E" w:rsidRPr="005E7C78" w:rsidRDefault="00C2211E"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14:paraId="1DEA6773" w14:textId="77777777" w:rsidR="00C2211E" w:rsidRPr="005E7C78" w:rsidRDefault="00C2211E" w:rsidP="00825C4D">
                            <w:pPr>
                              <w:pStyle w:val="TLKontakty"/>
                              <w:spacing w:after="80" w:line="240" w:lineRule="auto"/>
                              <w:rPr>
                                <w:b w:val="0"/>
                                <w:color w:val="auto"/>
                              </w:rPr>
                            </w:pPr>
                          </w:p>
                          <w:p w14:paraId="448F5DDA" w14:textId="388CA494" w:rsidR="00C2211E" w:rsidRPr="005E7C78" w:rsidRDefault="00C2211E"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r>
                              <w:rPr>
                                <w:b w:val="0"/>
                                <w:color w:val="auto"/>
                              </w:rPr>
                              <w:t>ph</w:t>
                            </w:r>
                            <w:r w:rsidRPr="00BC731E">
                              <w:rPr>
                                <w:b w:val="0"/>
                                <w:color w:val="auto"/>
                              </w:rPr>
                              <w:t>.: 577</w:t>
                            </w:r>
                            <w:r>
                              <w:rPr>
                                <w:b w:val="0"/>
                                <w:color w:val="auto"/>
                              </w:rPr>
                              <w:t> </w:t>
                            </w:r>
                            <w:r w:rsidRPr="00BC731E">
                              <w:rPr>
                                <w:b w:val="0"/>
                                <w:color w:val="auto"/>
                              </w:rPr>
                              <w:t>004 932, 5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14:paraId="4B103B14" w14:textId="77777777" w:rsidR="00C2211E" w:rsidRDefault="00C2211E"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14:paraId="48B741A9" w14:textId="77777777" w:rsidR="00C2211E" w:rsidRPr="005E7C78" w:rsidRDefault="00C2211E" w:rsidP="00095135">
                            <w:pPr>
                              <w:pStyle w:val="TLKontakty"/>
                              <w:spacing w:after="80" w:line="240" w:lineRule="auto"/>
                              <w:rPr>
                                <w:b w:val="0"/>
                                <w:color w:val="auto"/>
                              </w:rPr>
                            </w:pPr>
                          </w:p>
                          <w:p w14:paraId="395ED09A" w14:textId="228B0375" w:rsidR="00C2211E" w:rsidRPr="005E7C78" w:rsidRDefault="00C2211E"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ph.: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230, 595</w:t>
                            </w:r>
                            <w:r>
                              <w:rPr>
                                <w:b w:val="0"/>
                                <w:color w:val="auto"/>
                              </w:rPr>
                              <w:t> </w:t>
                            </w:r>
                            <w:r w:rsidRPr="005E7C78">
                              <w:rPr>
                                <w:b w:val="0"/>
                                <w:color w:val="auto"/>
                              </w:rPr>
                              <w:t>131</w:t>
                            </w:r>
                            <w:r>
                              <w:rPr>
                                <w:b w:val="0"/>
                                <w:color w:val="auto"/>
                              </w:rPr>
                              <w:t> </w:t>
                            </w:r>
                            <w:r w:rsidRPr="005E7C78">
                              <w:rPr>
                                <w:b w:val="0"/>
                                <w:color w:val="auto"/>
                              </w:rPr>
                              <w:t>232</w:t>
                            </w:r>
                          </w:p>
                          <w:p w14:paraId="0575867B" w14:textId="77777777" w:rsidR="00C2211E" w:rsidRPr="00095135" w:rsidRDefault="00C2211E"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CA088C6" id="_x0000_s1030" type="#_x0000_t202" style="position:absolute;left:0;text-align:left;margin-left:57pt;margin-top:113.4pt;width:481.85pt;height:604.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" filled="f" stroked="f">
                <v:textbox style="mso-fit-shape-to-text:t" inset="0,0,0,0">
                  <w:txbxContent>
                    <w:p w14:paraId="3E43BB1A" w14:textId="77777777" w:rsidR="00C2211E" w:rsidRPr="006557C0" w:rsidRDefault="00C2211E" w:rsidP="00957525">
                      <w:pPr>
                        <w:pStyle w:val="TLKontaktyerven"/>
                        <w:rPr>
                          <w:lang w:val="en-GB"/>
                        </w:rPr>
                      </w:pPr>
                      <w:r w:rsidRPr="006557C0">
                        <w:rPr>
                          <w:lang w:val="en-GB"/>
                        </w:rPr>
                        <w:t>CONTACTS IN THE HEADQUARTERS</w:t>
                      </w:r>
                    </w:p>
                    <w:p w14:paraId="3C71345D" w14:textId="190DED3C" w:rsidR="00C2211E" w:rsidRPr="00957525" w:rsidRDefault="00C2211E" w:rsidP="00825C4D">
                      <w:pPr>
                        <w:pStyle w:val="TLKontakty"/>
                        <w:spacing w:after="80" w:line="240" w:lineRule="auto"/>
                        <w:contextualSpacing w:val="0"/>
                        <w:rPr>
                          <w:b w:val="0"/>
                          <w:color w:val="auto"/>
                          <w:lang w:val="en-GB"/>
                        </w:rPr>
                      </w:pPr>
                      <w:r>
                        <w:t xml:space="preserve">Czech </w:t>
                      </w:r>
                      <w:r w:rsidRPr="00957525">
                        <w:rPr>
                          <w:lang w:val="en-GB"/>
                        </w:rPr>
                        <w:t>Statistical Office</w:t>
                      </w:r>
                      <w:r w:rsidRPr="00957525">
                        <w:rPr>
                          <w:b w:val="0"/>
                          <w:color w:val="auto"/>
                          <w:lang w:val="en-GB"/>
                        </w:rPr>
                        <w:t xml:space="preserve"> | Na padesátém 81, 100 82 Praha 10, </w:t>
                      </w:r>
                      <w:r>
                        <w:rPr>
                          <w:b w:val="0"/>
                          <w:color w:val="auto"/>
                          <w:lang w:val="en-GB"/>
                        </w:rPr>
                        <w:t>ph</w:t>
                      </w:r>
                      <w:r w:rsidRPr="00957525">
                        <w:rPr>
                          <w:b w:val="0"/>
                          <w:color w:val="auto"/>
                          <w:lang w:val="en-GB"/>
                        </w:rPr>
                        <w:t xml:space="preserve">.: 274 051 111 | </w:t>
                      </w:r>
                      <w:r w:rsidRPr="00957525">
                        <w:rPr>
                          <w:color w:val="auto"/>
                          <w:lang w:val="en-GB"/>
                        </w:rPr>
                        <w:t>www.czso.cz</w:t>
                      </w:r>
                    </w:p>
                    <w:p w14:paraId="5DF2AD66" w14:textId="05C7DCDF"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Information Services</w:t>
                      </w:r>
                      <w:r w:rsidRPr="00957525">
                        <w:rPr>
                          <w:b w:val="0"/>
                          <w:color w:val="auto"/>
                          <w:lang w:val="en-GB"/>
                        </w:rPr>
                        <w:t xml:space="preserve"> | ph.: 274 052 304, 274 052 451 | e-mail: infoservis@czso.cz</w:t>
                      </w:r>
                    </w:p>
                    <w:p w14:paraId="41F3052F" w14:textId="427B046E"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CZSO Publication Shop</w:t>
                      </w:r>
                      <w:r w:rsidRPr="00957525">
                        <w:rPr>
                          <w:b w:val="0"/>
                          <w:color w:val="auto"/>
                          <w:lang w:val="en-GB"/>
                        </w:rPr>
                        <w:t xml:space="preserve"> | ph.: 274 052 361 | e-mail: prodejna@czso.cz</w:t>
                      </w:r>
                    </w:p>
                    <w:p w14:paraId="231AC1D4" w14:textId="6B6BC440"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European Data (ESDS), international comparison</w:t>
                      </w:r>
                      <w:r w:rsidRPr="00957525">
                        <w:rPr>
                          <w:b w:val="0"/>
                          <w:color w:val="auto"/>
                          <w:lang w:val="en-GB"/>
                        </w:rPr>
                        <w:t xml:space="preserve"> | ph.: 274 052 347 | e-mail: esds@czso.cz</w:t>
                      </w:r>
                    </w:p>
                    <w:p w14:paraId="548AAF1E" w14:textId="6AB9B1FD" w:rsidR="00C2211E" w:rsidRPr="00957525" w:rsidRDefault="00C2211E" w:rsidP="00825C4D">
                      <w:pPr>
                        <w:pStyle w:val="TLKontakty"/>
                        <w:spacing w:after="80" w:line="240" w:lineRule="auto"/>
                        <w:contextualSpacing w:val="0"/>
                        <w:rPr>
                          <w:b w:val="0"/>
                          <w:color w:val="auto"/>
                          <w:lang w:val="en-GB"/>
                        </w:rPr>
                      </w:pPr>
                      <w:r w:rsidRPr="00957525">
                        <w:rPr>
                          <w:color w:val="auto"/>
                          <w:lang w:val="en-GB"/>
                        </w:rPr>
                        <w:t>Central Statistical Library</w:t>
                      </w:r>
                      <w:r w:rsidRPr="00957525">
                        <w:rPr>
                          <w:b w:val="0"/>
                          <w:color w:val="auto"/>
                          <w:lang w:val="en-GB"/>
                        </w:rPr>
                        <w:t xml:space="preserve"> | ph.: 274 052 361 | e-mail: knihovna@czso.cz</w:t>
                      </w:r>
                    </w:p>
                    <w:p w14:paraId="676CE837" w14:textId="77777777" w:rsidR="00C2211E" w:rsidRPr="00957525" w:rsidRDefault="00C2211E" w:rsidP="00825C4D">
                      <w:pPr>
                        <w:pStyle w:val="TLKontakty"/>
                        <w:spacing w:after="80" w:line="240" w:lineRule="auto"/>
                        <w:contextualSpacing w:val="0"/>
                        <w:rPr>
                          <w:color w:val="auto"/>
                          <w:lang w:val="en-GB"/>
                        </w:rPr>
                      </w:pPr>
                    </w:p>
                    <w:p w14:paraId="58156969" w14:textId="3A802F43" w:rsidR="00C2211E" w:rsidRPr="00D66223" w:rsidRDefault="00C2211E" w:rsidP="00D66223">
                      <w:pPr>
                        <w:pStyle w:val="TLKontaktyerven"/>
                      </w:pPr>
                      <w:r w:rsidRPr="00D66223">
                        <w:t>INFORMA</w:t>
                      </w:r>
                      <w:r>
                        <w:t>tion services in the regions</w:t>
                      </w:r>
                    </w:p>
                    <w:p w14:paraId="4879BC68" w14:textId="6C39F31F" w:rsidR="00C2211E" w:rsidRPr="00992CF3" w:rsidRDefault="00C2211E" w:rsidP="00825C4D">
                      <w:pPr>
                        <w:pStyle w:val="TLKontakty"/>
                        <w:spacing w:after="80" w:line="240" w:lineRule="auto"/>
                        <w:rPr>
                          <w:b w:val="0"/>
                          <w:color w:val="auto"/>
                        </w:rPr>
                      </w:pPr>
                      <w:r>
                        <w:t>Capital City Prague</w:t>
                      </w:r>
                      <w:r w:rsidRPr="00992CF3">
                        <w:rPr>
                          <w:b w:val="0"/>
                          <w:color w:val="auto"/>
                        </w:rPr>
                        <w:t xml:space="preserve"> | Na</w:t>
                      </w:r>
                      <w:r>
                        <w:rPr>
                          <w:b w:val="0"/>
                          <w:color w:val="auto"/>
                        </w:rPr>
                        <w:t xml:space="preserve"> padesátém 81, 100 82 Praha 10, ph</w:t>
                      </w:r>
                      <w:r w:rsidRPr="00992CF3">
                        <w:rPr>
                          <w:b w:val="0"/>
                          <w:color w:val="auto"/>
                        </w:rPr>
                        <w:t>.</w:t>
                      </w:r>
                      <w:r w:rsidRPr="007D40DF">
                        <w:rPr>
                          <w:b w:val="0"/>
                          <w:color w:val="auto"/>
                        </w:rPr>
                        <w:t>:</w:t>
                      </w:r>
                      <w:r>
                        <w:rPr>
                          <w:b w:val="0"/>
                          <w:color w:val="auto"/>
                        </w:rPr>
                        <w:t xml:space="preserve"> 274 052 673,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14:paraId="013DC4C4" w14:textId="77777777" w:rsidR="00C2211E" w:rsidRPr="00992CF3" w:rsidRDefault="00C2211E"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14:paraId="39B244A8" w14:textId="77777777" w:rsidR="00C2211E" w:rsidRPr="004A61C5" w:rsidRDefault="00C2211E" w:rsidP="00825C4D">
                      <w:pPr>
                        <w:pStyle w:val="TLKontakty"/>
                        <w:spacing w:after="80" w:line="240" w:lineRule="auto"/>
                        <w:rPr>
                          <w:color w:val="auto"/>
                        </w:rPr>
                      </w:pPr>
                    </w:p>
                    <w:p w14:paraId="0700B661" w14:textId="249A2E8C" w:rsidR="00C2211E" w:rsidRPr="00992CF3" w:rsidRDefault="00C2211E" w:rsidP="00825C4D">
                      <w:pPr>
                        <w:pStyle w:val="TLKontakty"/>
                        <w:spacing w:after="80" w:line="240" w:lineRule="auto"/>
                        <w:rPr>
                          <w:b w:val="0"/>
                          <w:color w:val="auto"/>
                        </w:rPr>
                      </w:pPr>
                      <w:r>
                        <w:t>Central Bohemia</w:t>
                      </w:r>
                      <w:r w:rsidRPr="00992CF3">
                        <w:rPr>
                          <w:b w:val="0"/>
                          <w:color w:val="auto"/>
                        </w:rPr>
                        <w:t xml:space="preserve"> |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w:t>
                      </w:r>
                      <w:r w:rsidRPr="00992CF3">
                        <w:rPr>
                          <w:b w:val="0"/>
                          <w:color w:val="auto"/>
                        </w:rPr>
                        <w:t xml:space="preserve">10, </w:t>
                      </w:r>
                      <w:r>
                        <w:rPr>
                          <w:b w:val="0"/>
                          <w:color w:val="auto"/>
                        </w:rPr>
                        <w:t>ph</w:t>
                      </w:r>
                      <w:r w:rsidRPr="00992CF3">
                        <w:rPr>
                          <w:b w:val="0"/>
                          <w:color w:val="auto"/>
                        </w:rPr>
                        <w:t>.</w:t>
                      </w:r>
                      <w:r>
                        <w:rPr>
                          <w:b w:val="0"/>
                          <w:color w:val="auto"/>
                        </w:rPr>
                        <w:t xml:space="preserve">: </w:t>
                      </w:r>
                      <w:r w:rsidRPr="00992CF3">
                        <w:rPr>
                          <w:b w:val="0"/>
                          <w:color w:val="auto"/>
                        </w:rPr>
                        <w:t>274</w:t>
                      </w:r>
                      <w:r>
                        <w:rPr>
                          <w:b w:val="0"/>
                          <w:color w:val="auto"/>
                        </w:rPr>
                        <w:t> </w:t>
                      </w:r>
                      <w:r w:rsidRPr="00992CF3">
                        <w:rPr>
                          <w:b w:val="0"/>
                          <w:color w:val="auto"/>
                        </w:rPr>
                        <w:t>054 175</w:t>
                      </w:r>
                    </w:p>
                    <w:p w14:paraId="416161E8" w14:textId="77777777" w:rsidR="00C2211E" w:rsidRPr="00992CF3" w:rsidRDefault="00C2211E"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14:paraId="4FF5E3BD" w14:textId="77777777" w:rsidR="00C2211E" w:rsidRPr="004A61C5" w:rsidRDefault="00C2211E" w:rsidP="00825C4D">
                      <w:pPr>
                        <w:pStyle w:val="TLKontakty"/>
                        <w:spacing w:after="80" w:line="240" w:lineRule="auto"/>
                        <w:rPr>
                          <w:color w:val="auto"/>
                        </w:rPr>
                      </w:pPr>
                    </w:p>
                    <w:p w14:paraId="272E9710" w14:textId="30817F63" w:rsidR="00C2211E" w:rsidRPr="00992CF3" w:rsidRDefault="00C2211E"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ph</w:t>
                      </w:r>
                      <w:r w:rsidRPr="00992CF3">
                        <w:rPr>
                          <w:b w:val="0"/>
                          <w:color w:val="auto"/>
                        </w:rPr>
                        <w:t>.</w:t>
                      </w:r>
                      <w:r>
                        <w:rPr>
                          <w:b w:val="0"/>
                          <w:color w:val="auto"/>
                        </w:rPr>
                        <w:t xml:space="preserve">: </w:t>
                      </w:r>
                      <w:r w:rsidRPr="00992CF3">
                        <w:rPr>
                          <w:b w:val="0"/>
                          <w:color w:val="auto"/>
                        </w:rPr>
                        <w:t>386</w:t>
                      </w:r>
                      <w:r>
                        <w:rPr>
                          <w:b w:val="0"/>
                          <w:color w:val="auto"/>
                        </w:rPr>
                        <w:t> </w:t>
                      </w:r>
                      <w:r w:rsidRPr="00992CF3">
                        <w:rPr>
                          <w:b w:val="0"/>
                          <w:color w:val="auto"/>
                        </w:rPr>
                        <w:t>718 440</w:t>
                      </w:r>
                    </w:p>
                    <w:p w14:paraId="41660CA4" w14:textId="77777777" w:rsidR="00C2211E" w:rsidRPr="00992CF3" w:rsidRDefault="00C2211E"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14:paraId="02FFC287" w14:textId="77777777" w:rsidR="00C2211E" w:rsidRPr="004A61C5" w:rsidRDefault="00C2211E" w:rsidP="00825C4D">
                      <w:pPr>
                        <w:pStyle w:val="TLKontakty"/>
                        <w:spacing w:after="80" w:line="240" w:lineRule="auto"/>
                        <w:rPr>
                          <w:color w:val="auto"/>
                        </w:rPr>
                      </w:pPr>
                    </w:p>
                    <w:p w14:paraId="28D66B71" w14:textId="2320B025" w:rsidR="00C2211E" w:rsidRPr="00BC731E" w:rsidRDefault="00C2211E"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ph</w:t>
                      </w:r>
                      <w:r w:rsidRPr="004A61C5">
                        <w:rPr>
                          <w:b w:val="0"/>
                          <w:color w:val="auto"/>
                        </w:rPr>
                        <w:t>.</w:t>
                      </w:r>
                      <w:r>
                        <w:rPr>
                          <w:b w:val="0"/>
                          <w:color w:val="auto"/>
                        </w:rPr>
                        <w:t xml:space="preserve">: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377 612 145</w:t>
                      </w:r>
                    </w:p>
                    <w:p w14:paraId="44E4A2F2"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14:paraId="124C070B" w14:textId="77777777" w:rsidR="00C2211E" w:rsidRPr="004A61C5" w:rsidRDefault="00C2211E" w:rsidP="00825C4D">
                      <w:pPr>
                        <w:pStyle w:val="TLKontakty"/>
                        <w:spacing w:after="80" w:line="240" w:lineRule="auto"/>
                        <w:rPr>
                          <w:color w:val="auto"/>
                        </w:rPr>
                      </w:pPr>
                    </w:p>
                    <w:p w14:paraId="09B6DE68" w14:textId="2134641E" w:rsidR="00C2211E" w:rsidRPr="004A61C5" w:rsidRDefault="00C2211E"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sidRPr="004A61C5">
                        <w:rPr>
                          <w:b w:val="0"/>
                          <w:color w:val="auto"/>
                        </w:rPr>
                        <w:t xml:space="preserve">, </w:t>
                      </w:r>
                      <w:r>
                        <w:rPr>
                          <w:b w:val="0"/>
                          <w:color w:val="auto"/>
                        </w:rPr>
                        <w:t>ph</w:t>
                      </w:r>
                      <w:r w:rsidRPr="004A61C5">
                        <w:rPr>
                          <w:b w:val="0"/>
                          <w:color w:val="auto"/>
                        </w:rPr>
                        <w:t>.</w:t>
                      </w:r>
                      <w:r>
                        <w:rPr>
                          <w:b w:val="0"/>
                          <w:color w:val="auto"/>
                        </w:rPr>
                        <w:t xml:space="preserve">: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529, 353</w:t>
                      </w:r>
                      <w:r>
                        <w:rPr>
                          <w:b w:val="0"/>
                          <w:color w:val="auto"/>
                        </w:rPr>
                        <w:t> </w:t>
                      </w:r>
                      <w:r w:rsidRPr="004A61C5">
                        <w:rPr>
                          <w:b w:val="0"/>
                          <w:color w:val="auto"/>
                        </w:rPr>
                        <w:t>114 525</w:t>
                      </w:r>
                    </w:p>
                    <w:p w14:paraId="477EF21B"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14:paraId="6C1AC3BB" w14:textId="77777777" w:rsidR="00C2211E" w:rsidRPr="004A61C5" w:rsidRDefault="00C2211E" w:rsidP="00825C4D">
                      <w:pPr>
                        <w:pStyle w:val="TLKontakty"/>
                        <w:spacing w:after="80" w:line="240" w:lineRule="auto"/>
                        <w:rPr>
                          <w:color w:val="auto"/>
                        </w:rPr>
                      </w:pPr>
                    </w:p>
                    <w:p w14:paraId="59D3D98A" w14:textId="31D1D46C" w:rsidR="00C2211E" w:rsidRPr="004A61C5" w:rsidRDefault="00C2211E"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ph</w:t>
                      </w:r>
                      <w:r w:rsidRPr="004A61C5">
                        <w:rPr>
                          <w:b w:val="0"/>
                          <w:color w:val="auto"/>
                        </w:rPr>
                        <w:t>.</w:t>
                      </w:r>
                      <w:r>
                        <w:rPr>
                          <w:b w:val="0"/>
                          <w:color w:val="auto"/>
                        </w:rPr>
                        <w:t xml:space="preserve">: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Pr="004A61C5">
                        <w:rPr>
                          <w:b w:val="0"/>
                          <w:color w:val="auto"/>
                        </w:rPr>
                        <w:t>472</w:t>
                      </w:r>
                      <w:r>
                        <w:rPr>
                          <w:b w:val="0"/>
                          <w:color w:val="auto"/>
                        </w:rPr>
                        <w:t> </w:t>
                      </w:r>
                      <w:r w:rsidRPr="004A61C5">
                        <w:rPr>
                          <w:b w:val="0"/>
                          <w:color w:val="auto"/>
                        </w:rPr>
                        <w:t>706 121</w:t>
                      </w:r>
                    </w:p>
                    <w:p w14:paraId="2F4D5FAC"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14:paraId="465C0979" w14:textId="77777777" w:rsidR="00C2211E" w:rsidRPr="004A61C5" w:rsidRDefault="00C2211E" w:rsidP="00825C4D">
                      <w:pPr>
                        <w:pStyle w:val="TLKontakty"/>
                        <w:spacing w:after="80" w:line="240" w:lineRule="auto"/>
                        <w:rPr>
                          <w:color w:val="auto"/>
                        </w:rPr>
                      </w:pPr>
                    </w:p>
                    <w:p w14:paraId="53E44571" w14:textId="3063781A" w:rsidR="00C2211E" w:rsidRPr="004A61C5" w:rsidRDefault="00C2211E"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w:t>
                      </w:r>
                      <w:r w:rsidRPr="004A61C5">
                        <w:rPr>
                          <w:b w:val="0"/>
                          <w:color w:val="auto"/>
                        </w:rPr>
                        <w:t xml:space="preserve">1, </w:t>
                      </w:r>
                      <w:r>
                        <w:rPr>
                          <w:b w:val="0"/>
                          <w:color w:val="auto"/>
                        </w:rPr>
                        <w:t>ph</w:t>
                      </w:r>
                      <w:r w:rsidRPr="004A61C5">
                        <w:rPr>
                          <w:b w:val="0"/>
                          <w:color w:val="auto"/>
                        </w:rPr>
                        <w:t>.</w:t>
                      </w:r>
                      <w:r>
                        <w:rPr>
                          <w:b w:val="0"/>
                          <w:color w:val="auto"/>
                        </w:rPr>
                        <w:t xml:space="preserve">: </w:t>
                      </w:r>
                      <w:r w:rsidRPr="004A61C5">
                        <w:rPr>
                          <w:b w:val="0"/>
                          <w:color w:val="auto"/>
                        </w:rPr>
                        <w:t>485</w:t>
                      </w:r>
                      <w:r>
                        <w:rPr>
                          <w:b w:val="0"/>
                          <w:color w:val="auto"/>
                        </w:rPr>
                        <w:t> </w:t>
                      </w:r>
                      <w:r w:rsidRPr="004A61C5">
                        <w:rPr>
                          <w:b w:val="0"/>
                          <w:color w:val="auto"/>
                        </w:rPr>
                        <w:t>238 811</w:t>
                      </w:r>
                    </w:p>
                    <w:p w14:paraId="7748DBC3"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14:paraId="4123AE44" w14:textId="77777777" w:rsidR="00C2211E" w:rsidRPr="004A61C5" w:rsidRDefault="00C2211E" w:rsidP="00825C4D">
                      <w:pPr>
                        <w:pStyle w:val="TLKontakty"/>
                        <w:spacing w:after="80" w:line="240" w:lineRule="auto"/>
                        <w:rPr>
                          <w:b w:val="0"/>
                          <w:color w:val="auto"/>
                        </w:rPr>
                      </w:pPr>
                    </w:p>
                    <w:p w14:paraId="10E14C3C" w14:textId="5026653E" w:rsidR="00C2211E" w:rsidRPr="004A61C5" w:rsidRDefault="00C2211E" w:rsidP="00825C4D">
                      <w:pPr>
                        <w:pStyle w:val="TLKontakty"/>
                        <w:spacing w:after="80" w:line="240" w:lineRule="auto"/>
                        <w:rPr>
                          <w:b w:val="0"/>
                          <w:color w:val="auto"/>
                        </w:rPr>
                      </w:pPr>
                      <w:r w:rsidRPr="00D66223">
                        <w:t>Hradec Králové</w:t>
                      </w:r>
                      <w:r w:rsidRPr="004A61C5">
                        <w:rPr>
                          <w:b w:val="0"/>
                          <w:color w:val="auto"/>
                        </w:rPr>
                        <w:t xml:space="preserve"> | Myslivečkova</w:t>
                      </w:r>
                      <w:r>
                        <w:rPr>
                          <w:b w:val="0"/>
                          <w:color w:val="auto"/>
                        </w:rPr>
                        <w:t> </w:t>
                      </w:r>
                      <w:r w:rsidRPr="004A61C5">
                        <w:rPr>
                          <w:b w:val="0"/>
                          <w:color w:val="auto"/>
                        </w:rPr>
                        <w:t>914, 500</w:t>
                      </w:r>
                      <w:r>
                        <w:rPr>
                          <w:b w:val="0"/>
                          <w:color w:val="auto"/>
                        </w:rPr>
                        <w:t> </w:t>
                      </w:r>
                      <w:r w:rsidRPr="004A61C5">
                        <w:rPr>
                          <w:b w:val="0"/>
                          <w:color w:val="auto"/>
                        </w:rPr>
                        <w:t>03 Hradec Králové</w:t>
                      </w:r>
                      <w:r>
                        <w:rPr>
                          <w:b w:val="0"/>
                          <w:color w:val="auto"/>
                        </w:rPr>
                        <w:t> </w:t>
                      </w:r>
                      <w:r w:rsidRPr="004A61C5">
                        <w:rPr>
                          <w:b w:val="0"/>
                          <w:color w:val="auto"/>
                        </w:rPr>
                        <w:t xml:space="preserve">3, </w:t>
                      </w:r>
                      <w:r>
                        <w:rPr>
                          <w:b w:val="0"/>
                          <w:color w:val="auto"/>
                        </w:rPr>
                        <w:t>ph.</w:t>
                      </w:r>
                      <w:r w:rsidRPr="007D40DF">
                        <w:rPr>
                          <w:b w:val="0"/>
                          <w:color w:val="auto"/>
                        </w:rPr>
                        <w:t>:</w:t>
                      </w:r>
                      <w:r>
                        <w:rPr>
                          <w:b w:val="0"/>
                          <w:color w:val="auto"/>
                        </w:rPr>
                        <w:t xml:space="preserve"> </w:t>
                      </w:r>
                      <w:r w:rsidRPr="004A61C5">
                        <w:rPr>
                          <w:b w:val="0"/>
                          <w:color w:val="auto"/>
                        </w:rPr>
                        <w:t>495</w:t>
                      </w:r>
                      <w:r>
                        <w:rPr>
                          <w:b w:val="0"/>
                          <w:color w:val="auto"/>
                        </w:rPr>
                        <w:t> </w:t>
                      </w:r>
                      <w:r w:rsidRPr="004A61C5">
                        <w:rPr>
                          <w:b w:val="0"/>
                          <w:color w:val="auto"/>
                        </w:rPr>
                        <w:t>762</w:t>
                      </w:r>
                      <w:r>
                        <w:rPr>
                          <w:b w:val="0"/>
                          <w:color w:val="auto"/>
                        </w:rPr>
                        <w:t> </w:t>
                      </w:r>
                      <w:r w:rsidRPr="004A61C5">
                        <w:rPr>
                          <w:b w:val="0"/>
                          <w:color w:val="auto"/>
                        </w:rPr>
                        <w:t>322,</w:t>
                      </w:r>
                      <w:r>
                        <w:rPr>
                          <w:b w:val="0"/>
                          <w:color w:val="auto"/>
                        </w:rPr>
                        <w:t xml:space="preserve"> </w:t>
                      </w:r>
                      <w:r w:rsidRPr="004A61C5">
                        <w:rPr>
                          <w:b w:val="0"/>
                          <w:color w:val="auto"/>
                        </w:rPr>
                        <w:t>495</w:t>
                      </w:r>
                      <w:r>
                        <w:rPr>
                          <w:b w:val="0"/>
                          <w:color w:val="auto"/>
                        </w:rPr>
                        <w:t> </w:t>
                      </w:r>
                      <w:r w:rsidRPr="004A61C5">
                        <w:rPr>
                          <w:b w:val="0"/>
                          <w:color w:val="auto"/>
                        </w:rPr>
                        <w:t>762 317</w:t>
                      </w:r>
                    </w:p>
                    <w:p w14:paraId="2E3651FF"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14:paraId="74F45FF3" w14:textId="77777777" w:rsidR="00C2211E" w:rsidRPr="004A61C5" w:rsidRDefault="00C2211E" w:rsidP="00825C4D">
                      <w:pPr>
                        <w:pStyle w:val="TLKontakty"/>
                        <w:spacing w:after="80" w:line="240" w:lineRule="auto"/>
                        <w:rPr>
                          <w:color w:val="auto"/>
                        </w:rPr>
                      </w:pPr>
                    </w:p>
                    <w:p w14:paraId="5E11F5F2" w14:textId="018E4899" w:rsidR="00C2211E" w:rsidRPr="004A61C5" w:rsidRDefault="00C2211E"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ph</w:t>
                      </w:r>
                      <w:r w:rsidRPr="004A61C5">
                        <w:rPr>
                          <w:b w:val="0"/>
                          <w:color w:val="auto"/>
                        </w:rPr>
                        <w:t>.</w:t>
                      </w:r>
                      <w:r>
                        <w:rPr>
                          <w:b w:val="0"/>
                          <w:color w:val="auto"/>
                        </w:rPr>
                        <w:t>:</w:t>
                      </w:r>
                      <w:r w:rsidRPr="004A61C5">
                        <w:rPr>
                          <w:b w:val="0"/>
                          <w:color w:val="auto"/>
                        </w:rPr>
                        <w:t xml:space="preserve"> 466</w:t>
                      </w:r>
                      <w:r>
                        <w:rPr>
                          <w:b w:val="0"/>
                          <w:color w:val="auto"/>
                        </w:rPr>
                        <w:t> </w:t>
                      </w:r>
                      <w:r w:rsidRPr="004A61C5">
                        <w:rPr>
                          <w:b w:val="0"/>
                          <w:color w:val="auto"/>
                        </w:rPr>
                        <w:t>743</w:t>
                      </w:r>
                      <w:r>
                        <w:rPr>
                          <w:b w:val="0"/>
                          <w:color w:val="auto"/>
                        </w:rPr>
                        <w:t> </w:t>
                      </w:r>
                      <w:r w:rsidRPr="004A61C5">
                        <w:rPr>
                          <w:b w:val="0"/>
                          <w:color w:val="auto"/>
                        </w:rPr>
                        <w:t>480, 466</w:t>
                      </w:r>
                      <w:r>
                        <w:rPr>
                          <w:b w:val="0"/>
                          <w:color w:val="auto"/>
                        </w:rPr>
                        <w:t> </w:t>
                      </w:r>
                      <w:r w:rsidRPr="004A61C5">
                        <w:rPr>
                          <w:b w:val="0"/>
                          <w:color w:val="auto"/>
                        </w:rPr>
                        <w:t>743 418</w:t>
                      </w:r>
                    </w:p>
                    <w:p w14:paraId="72152ABD"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14:paraId="31158F18" w14:textId="77777777" w:rsidR="00C2211E" w:rsidRPr="004A61C5" w:rsidRDefault="00C2211E" w:rsidP="00825C4D">
                      <w:pPr>
                        <w:pStyle w:val="TLKontakty"/>
                        <w:spacing w:after="80" w:line="240" w:lineRule="auto"/>
                        <w:rPr>
                          <w:b w:val="0"/>
                          <w:color w:val="auto"/>
                        </w:rPr>
                      </w:pPr>
                    </w:p>
                    <w:p w14:paraId="231F5E11" w14:textId="7F95DA28" w:rsidR="00C2211E" w:rsidRPr="004A61C5" w:rsidRDefault="00C2211E" w:rsidP="00825C4D">
                      <w:pPr>
                        <w:pStyle w:val="TLKontakty"/>
                        <w:spacing w:after="80" w:line="240" w:lineRule="auto"/>
                        <w:rPr>
                          <w:b w:val="0"/>
                          <w:color w:val="auto"/>
                        </w:rPr>
                      </w:pPr>
                      <w:r w:rsidRPr="00D66223">
                        <w:t>Jihlava</w:t>
                      </w:r>
                      <w:r w:rsidRPr="004A61C5">
                        <w:rPr>
                          <w:b w:val="0"/>
                          <w:color w:val="auto"/>
                        </w:rPr>
                        <w:t xml:space="preserve"> | Ke</w:t>
                      </w:r>
                      <w:r>
                        <w:rPr>
                          <w:b w:val="0"/>
                          <w:color w:val="auto"/>
                        </w:rPr>
                        <w:t> </w:t>
                      </w:r>
                      <w:r w:rsidRPr="004A61C5">
                        <w:rPr>
                          <w:b w:val="0"/>
                          <w:color w:val="auto"/>
                        </w:rPr>
                        <w:t>Skalce</w:t>
                      </w:r>
                      <w:r>
                        <w:rPr>
                          <w:b w:val="0"/>
                          <w:color w:val="auto"/>
                        </w:rPr>
                        <w:t> </w:t>
                      </w:r>
                      <w:r w:rsidRPr="004A61C5">
                        <w:rPr>
                          <w:b w:val="0"/>
                          <w:color w:val="auto"/>
                        </w:rPr>
                        <w:t>30,</w:t>
                      </w:r>
                      <w:r>
                        <w:rPr>
                          <w:b w:val="0"/>
                          <w:color w:val="auto"/>
                        </w:rPr>
                        <w:t xml:space="preserve"> 586 01 Jihlava, ph.: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062, 567</w:t>
                      </w:r>
                      <w:r>
                        <w:rPr>
                          <w:b w:val="0"/>
                          <w:color w:val="auto"/>
                        </w:rPr>
                        <w:t> </w:t>
                      </w:r>
                      <w:r w:rsidRPr="00BC731E">
                        <w:rPr>
                          <w:b w:val="0"/>
                          <w:color w:val="auto"/>
                        </w:rPr>
                        <w:t>109 073</w:t>
                      </w:r>
                    </w:p>
                    <w:p w14:paraId="05687D8F" w14:textId="77777777" w:rsidR="00C2211E" w:rsidRPr="004A61C5" w:rsidRDefault="00C2211E"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14:paraId="14A58016" w14:textId="77777777" w:rsidR="00C2211E" w:rsidRDefault="00C2211E" w:rsidP="00825C4D">
                      <w:pPr>
                        <w:pStyle w:val="TLKontakty"/>
                        <w:spacing w:after="80" w:line="240" w:lineRule="auto"/>
                      </w:pPr>
                    </w:p>
                    <w:p w14:paraId="2C2F9B1E" w14:textId="2D7808A5" w:rsidR="00C2211E" w:rsidRPr="00BC731E" w:rsidRDefault="00C2211E"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r>
                        <w:rPr>
                          <w:b w:val="0"/>
                          <w:color w:val="auto"/>
                        </w:rPr>
                        <w:t xml:space="preserve">ph.: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115, 542</w:t>
                      </w:r>
                      <w:r>
                        <w:rPr>
                          <w:b w:val="0"/>
                          <w:color w:val="auto"/>
                        </w:rPr>
                        <w:t> </w:t>
                      </w:r>
                      <w:r w:rsidRPr="00BC731E">
                        <w:rPr>
                          <w:b w:val="0"/>
                          <w:color w:val="auto"/>
                        </w:rPr>
                        <w:t>528 200</w:t>
                      </w:r>
                    </w:p>
                    <w:p w14:paraId="395EA08C" w14:textId="77777777" w:rsidR="00C2211E" w:rsidRPr="004A61C5" w:rsidRDefault="00C2211E"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14:paraId="7E41DBBE" w14:textId="77777777" w:rsidR="00C2211E" w:rsidRPr="004A61C5" w:rsidRDefault="00C2211E" w:rsidP="00825C4D">
                      <w:pPr>
                        <w:pStyle w:val="TLKontakty"/>
                        <w:spacing w:after="80" w:line="240" w:lineRule="auto"/>
                        <w:rPr>
                          <w:b w:val="0"/>
                          <w:color w:val="auto"/>
                        </w:rPr>
                      </w:pPr>
                    </w:p>
                    <w:p w14:paraId="3F9813C4" w14:textId="1FE12542" w:rsidR="00C2211E" w:rsidRPr="005E7C78" w:rsidRDefault="00C2211E"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r>
                        <w:rPr>
                          <w:b w:val="0"/>
                          <w:color w:val="auto"/>
                        </w:rPr>
                        <w:t xml:space="preserve">ph.: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516, 585</w:t>
                      </w:r>
                      <w:r>
                        <w:rPr>
                          <w:b w:val="0"/>
                          <w:color w:val="auto"/>
                        </w:rPr>
                        <w:t> </w:t>
                      </w:r>
                      <w:r w:rsidRPr="00BC731E">
                        <w:rPr>
                          <w:b w:val="0"/>
                          <w:color w:val="auto"/>
                        </w:rPr>
                        <w:t>731 511</w:t>
                      </w:r>
                    </w:p>
                    <w:p w14:paraId="483B16E7" w14:textId="77777777" w:rsidR="00C2211E" w:rsidRPr="005E7C78" w:rsidRDefault="00C2211E"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14:paraId="1DEA6773" w14:textId="77777777" w:rsidR="00C2211E" w:rsidRPr="005E7C78" w:rsidRDefault="00C2211E" w:rsidP="00825C4D">
                      <w:pPr>
                        <w:pStyle w:val="TLKontakty"/>
                        <w:spacing w:after="80" w:line="240" w:lineRule="auto"/>
                        <w:rPr>
                          <w:b w:val="0"/>
                          <w:color w:val="auto"/>
                        </w:rPr>
                      </w:pPr>
                    </w:p>
                    <w:p w14:paraId="448F5DDA" w14:textId="388CA494" w:rsidR="00C2211E" w:rsidRPr="005E7C78" w:rsidRDefault="00C2211E"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r>
                        <w:rPr>
                          <w:b w:val="0"/>
                          <w:color w:val="auto"/>
                        </w:rPr>
                        <w:t>ph</w:t>
                      </w:r>
                      <w:r w:rsidRPr="00BC731E">
                        <w:rPr>
                          <w:b w:val="0"/>
                          <w:color w:val="auto"/>
                        </w:rPr>
                        <w:t>.: 577</w:t>
                      </w:r>
                      <w:r>
                        <w:rPr>
                          <w:b w:val="0"/>
                          <w:color w:val="auto"/>
                        </w:rPr>
                        <w:t> </w:t>
                      </w:r>
                      <w:r w:rsidRPr="00BC731E">
                        <w:rPr>
                          <w:b w:val="0"/>
                          <w:color w:val="auto"/>
                        </w:rPr>
                        <w:t>004 932, 5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14:paraId="4B103B14" w14:textId="77777777" w:rsidR="00C2211E" w:rsidRDefault="00C2211E"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14:paraId="48B741A9" w14:textId="77777777" w:rsidR="00C2211E" w:rsidRPr="005E7C78" w:rsidRDefault="00C2211E" w:rsidP="00095135">
                      <w:pPr>
                        <w:pStyle w:val="TLKontakty"/>
                        <w:spacing w:after="80" w:line="240" w:lineRule="auto"/>
                        <w:rPr>
                          <w:b w:val="0"/>
                          <w:color w:val="auto"/>
                        </w:rPr>
                      </w:pPr>
                    </w:p>
                    <w:p w14:paraId="395ED09A" w14:textId="228B0375" w:rsidR="00C2211E" w:rsidRPr="005E7C78" w:rsidRDefault="00C2211E"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ph.: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230, 595</w:t>
                      </w:r>
                      <w:r>
                        <w:rPr>
                          <w:b w:val="0"/>
                          <w:color w:val="auto"/>
                        </w:rPr>
                        <w:t> </w:t>
                      </w:r>
                      <w:r w:rsidRPr="005E7C78">
                        <w:rPr>
                          <w:b w:val="0"/>
                          <w:color w:val="auto"/>
                        </w:rPr>
                        <w:t>131</w:t>
                      </w:r>
                      <w:r>
                        <w:rPr>
                          <w:b w:val="0"/>
                          <w:color w:val="auto"/>
                        </w:rPr>
                        <w:t> </w:t>
                      </w:r>
                      <w:r w:rsidRPr="005E7C78">
                        <w:rPr>
                          <w:b w:val="0"/>
                          <w:color w:val="auto"/>
                        </w:rPr>
                        <w:t>232</w:t>
                      </w:r>
                    </w:p>
                    <w:p w14:paraId="0575867B" w14:textId="77777777" w:rsidR="00C2211E" w:rsidRPr="00095135" w:rsidRDefault="00C2211E"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txbxContent>
                </v:textbox>
                <w10:wrap anchorx="page" anchory="page"/>
                <w10:anchorlock/>
              </v:shape>
            </w:pict>
          </mc:Fallback>
        </mc:AlternateContent>
      </w:r>
      <w:r w:rsidRPr="00D970F7">
        <w:rPr>
          <w:noProof/>
        </w:rPr>
        <mc:AlternateContent>
          <mc:Choice Requires="wps">
            <w:drawing>
              <wp:anchor distT="0" distB="0" distL="114300" distR="114300" simplePos="0" relativeHeight="251661824" behindDoc="0" locked="1" layoutInCell="1" allowOverlap="1" wp14:anchorId="3EE77A96" wp14:editId="5156964C">
                <wp:simplePos x="0" y="0"/>
                <wp:positionH relativeFrom="page">
                  <wp:posOffset>720090</wp:posOffset>
                </wp:positionH>
                <wp:positionV relativeFrom="page">
                  <wp:posOffset>9486900</wp:posOffset>
                </wp:positionV>
                <wp:extent cx="6120130" cy="360045"/>
                <wp:effectExtent l="0" t="0" r="0" b="0"/>
                <wp:wrapNone/>
                <wp:docPr id="1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1AD0B002" w14:textId="7A9DBE5B" w:rsidR="00C2211E" w:rsidRPr="00321924" w:rsidRDefault="00C2211E" w:rsidP="00A16E1D">
                            <w:pPr>
                              <w:jc w:val="left"/>
                            </w:pPr>
                            <w:r w:rsidRPr="00321924">
                              <w:br/>
                              <w:t xml:space="preserve">© </w:t>
                            </w:r>
                            <w:r w:rsidRPr="00C61D09">
                              <w:rPr>
                                <w:lang w:val="en-GB"/>
                              </w:rPr>
                              <w:t>Czech Statistical Office, Prague, 2020</w:t>
                            </w:r>
                          </w:p>
                          <w:p w14:paraId="52FD100C" w14:textId="77777777" w:rsidR="00C2211E" w:rsidRDefault="00C2211E"/>
                          <w:p w14:paraId="515D7599" w14:textId="0789EE63" w:rsidR="00C2211E" w:rsidRPr="00841D9F" w:rsidRDefault="00C2211E" w:rsidP="000A3A2C">
                            <w:r w:rsidRPr="00841D9F">
                              <w:rPr>
                                <w:szCs w:val="26"/>
                              </w:rPr>
                              <w:t>ISBN XX-XXXX-XXX-X</w:t>
                            </w:r>
                            <w:r>
                              <w:rPr>
                                <w:szCs w:val="26"/>
                              </w:rPr>
                              <w:t> </w:t>
                            </w:r>
                            <w:r w:rsidRPr="00841D9F">
                              <w:rPr>
                                <w:szCs w:val="26"/>
                              </w:rPr>
                              <w:t xml:space="preserve"> </w:t>
                            </w:r>
                            <w:r w:rsidRPr="00841D9F">
                              <w:t>(pouze u</w:t>
                            </w:r>
                            <w:r>
                              <w:t> </w:t>
                            </w:r>
                            <w:r w:rsidRPr="00841D9F">
                              <w:t>nepravidelných a</w:t>
                            </w:r>
                            <w:r>
                              <w:t> </w:t>
                            </w:r>
                            <w:r w:rsidRPr="00841D9F">
                              <w:t>ročních publikací)</w:t>
                            </w:r>
                          </w:p>
                          <w:p w14:paraId="0975553D" w14:textId="77777777" w:rsidR="00C2211E" w:rsidRPr="00AF2852" w:rsidRDefault="00C2211E" w:rsidP="000A3A2C">
                            <w:r w:rsidRPr="00841D9F">
                              <w:t>© Český sta</w:t>
                            </w:r>
                            <w:r>
                              <w:t xml:space="preserve">tistický úřad / </w:t>
                            </w:r>
                            <w:r w:rsidRPr="009A1902">
                              <w:rPr>
                                <w:i/>
                              </w:rPr>
                              <w:t xml:space="preserve">Czech </w:t>
                            </w:r>
                            <w:r w:rsidRPr="009A1902">
                              <w:rPr>
                                <w:rFonts w:cs="Arial"/>
                                <w:i/>
                                <w:szCs w:val="20"/>
                              </w:rPr>
                              <w:t>Statistical Office</w:t>
                            </w:r>
                            <w:r>
                              <w:t>, místo, rok vydání</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E77A96" id="_x0000_s1031" type="#_x0000_t202" style="position:absolute;left:0;text-align:left;margin-left:56.7pt;margin-top:747pt;width:481.9pt;height:28.3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" filled="f" stroked="f">
                <v:textbox inset="0,0,0,0">
                  <w:txbxContent>
                    <w:p w14:paraId="1AD0B002" w14:textId="7A9DBE5B" w:rsidR="00C2211E" w:rsidRPr="00321924" w:rsidRDefault="00C2211E" w:rsidP="00A16E1D">
                      <w:pPr>
                        <w:jc w:val="left"/>
                      </w:pPr>
                      <w:r w:rsidRPr="00321924">
                        <w:br/>
                        <w:t xml:space="preserve">© </w:t>
                      </w:r>
                      <w:r w:rsidRPr="00C61D09">
                        <w:rPr>
                          <w:lang w:val="en-GB"/>
                        </w:rPr>
                        <w:t>Czech Statistical Office, Prague, 2020</w:t>
                      </w:r>
                    </w:p>
                    <w:p w14:paraId="52FD100C" w14:textId="77777777" w:rsidR="00C2211E" w:rsidRDefault="00C2211E"/>
                    <w:p w14:paraId="515D7599" w14:textId="0789EE63" w:rsidR="00C2211E" w:rsidRPr="00841D9F" w:rsidRDefault="00C2211E" w:rsidP="000A3A2C">
                      <w:r w:rsidRPr="00841D9F">
                        <w:rPr>
                          <w:szCs w:val="26"/>
                        </w:rPr>
                        <w:t>ISBN XX-XXXX-XXX-X</w:t>
                      </w:r>
                      <w:r>
                        <w:rPr>
                          <w:szCs w:val="26"/>
                        </w:rPr>
                        <w:t> </w:t>
                      </w:r>
                      <w:r w:rsidRPr="00841D9F">
                        <w:rPr>
                          <w:szCs w:val="26"/>
                        </w:rPr>
                        <w:t xml:space="preserve"> </w:t>
                      </w:r>
                      <w:r w:rsidRPr="00841D9F">
                        <w:t>(pouze u</w:t>
                      </w:r>
                      <w:r>
                        <w:t> </w:t>
                      </w:r>
                      <w:r w:rsidRPr="00841D9F">
                        <w:t>nepravidelných a</w:t>
                      </w:r>
                      <w:r>
                        <w:t> </w:t>
                      </w:r>
                      <w:r w:rsidRPr="00841D9F">
                        <w:t>ročních publikací)</w:t>
                      </w:r>
                    </w:p>
                    <w:p w14:paraId="0975553D" w14:textId="77777777" w:rsidR="00C2211E" w:rsidRPr="00AF2852" w:rsidRDefault="00C2211E" w:rsidP="000A3A2C">
                      <w:r w:rsidRPr="00841D9F">
                        <w:t>© Český sta</w:t>
                      </w:r>
                      <w:r>
                        <w:t xml:space="preserve">tistický úřad / </w:t>
                      </w:r>
                      <w:r w:rsidRPr="009A1902">
                        <w:rPr>
                          <w:i/>
                        </w:rPr>
                        <w:t xml:space="preserve">Czech </w:t>
                      </w:r>
                      <w:r w:rsidRPr="009A1902">
                        <w:rPr>
                          <w:rFonts w:cs="Arial"/>
                          <w:i/>
                          <w:szCs w:val="20"/>
                        </w:rPr>
                        <w:t>Statistical Office</w:t>
                      </w:r>
                      <w:r>
                        <w:t>, místo, rok vydání</w:t>
                      </w:r>
                    </w:p>
                  </w:txbxContent>
                </v:textbox>
                <w10:wrap anchorx="page" anchory="page"/>
                <w10:anchorlock/>
              </v:shape>
            </w:pict>
          </mc:Fallback>
        </mc:AlternateContent>
      </w:r>
      <w:r w:rsidRPr="00D970F7">
        <w:rPr>
          <w:noProof/>
        </w:rPr>
        <mc:AlternateContent>
          <mc:Choice Requires="wps">
            <w:drawing>
              <wp:anchor distT="0" distB="0" distL="114300" distR="114300" simplePos="0" relativeHeight="251660800" behindDoc="0" locked="1" layoutInCell="1" allowOverlap="1" wp14:anchorId="01D0B83B" wp14:editId="3F386203">
                <wp:simplePos x="0" y="0"/>
                <wp:positionH relativeFrom="page">
                  <wp:posOffset>723265</wp:posOffset>
                </wp:positionH>
                <wp:positionV relativeFrom="page">
                  <wp:posOffset>723265</wp:posOffset>
                </wp:positionV>
                <wp:extent cx="6119495" cy="555625"/>
                <wp:effectExtent l="0" t="0" r="0" b="0"/>
                <wp:wrapNone/>
                <wp:docPr id="11"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555625"/>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2425E701" w14:textId="77777777" w:rsidR="00C2211E" w:rsidRPr="006557C0" w:rsidRDefault="00C2211E" w:rsidP="00957525">
                            <w:pPr>
                              <w:rPr>
                                <w:b/>
                                <w:bCs/>
                                <w:i/>
                                <w:sz w:val="24"/>
                                <w:lang w:val="en-GB"/>
                              </w:rPr>
                            </w:pPr>
                            <w:r w:rsidRPr="006557C0">
                              <w:rPr>
                                <w:b/>
                                <w:color w:val="0071BC"/>
                                <w:sz w:val="24"/>
                                <w:lang w:val="en-GB"/>
                              </w:rPr>
                              <w:t xml:space="preserve">Are you interested in the latest data connected with inflation, GDP, population, average wages and much more? You can find them on the CZSO web page: </w:t>
                            </w:r>
                            <w:r w:rsidRPr="006557C0">
                              <w:rPr>
                                <w:b/>
                                <w:sz w:val="24"/>
                                <w:lang w:val="en-GB"/>
                              </w:rPr>
                              <w:t>www.czso.cz</w:t>
                            </w:r>
                          </w:p>
                          <w:p w14:paraId="26FEE0FA" w14:textId="13A10ABE" w:rsidR="00C2211E" w:rsidRPr="009A1902" w:rsidRDefault="00C2211E" w:rsidP="000A3A2C">
                            <w:pPr>
                              <w:rPr>
                                <w:b/>
                                <w:bCs/>
                                <w:i/>
                                <w:sz w:val="24"/>
                              </w:rPr>
                            </w:pP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1D0B83B" id="_x0000_s1032" type="#_x0000_t202" style="position:absolute;left:0;text-align:left;margin-left:56.95pt;margin-top:56.95pt;width:481.85pt;height:43.7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" filled="f" stroked="f">
                <v:textbox style="mso-fit-shape-to-text:t" inset="0,0,0,0">
                  <w:txbxContent>
                    <w:p w14:paraId="2425E701" w14:textId="77777777" w:rsidR="00C2211E" w:rsidRPr="006557C0" w:rsidRDefault="00C2211E" w:rsidP="00957525">
                      <w:pPr>
                        <w:rPr>
                          <w:b/>
                          <w:bCs/>
                          <w:i/>
                          <w:sz w:val="24"/>
                          <w:lang w:val="en-GB"/>
                        </w:rPr>
                      </w:pPr>
                      <w:r w:rsidRPr="006557C0">
                        <w:rPr>
                          <w:b/>
                          <w:color w:val="0071BC"/>
                          <w:sz w:val="24"/>
                          <w:lang w:val="en-GB"/>
                        </w:rPr>
                        <w:t xml:space="preserve">Are you interested in the latest data connected with inflation, GDP, population, average wages and much more? You can find them on the CZSO web page: </w:t>
                      </w:r>
                      <w:r w:rsidRPr="006557C0">
                        <w:rPr>
                          <w:b/>
                          <w:sz w:val="24"/>
                          <w:lang w:val="en-GB"/>
                        </w:rPr>
                        <w:t>www.czso.cz</w:t>
                      </w:r>
                    </w:p>
                    <w:p w14:paraId="26FEE0FA" w14:textId="13A10ABE" w:rsidR="00C2211E" w:rsidRPr="009A1902" w:rsidRDefault="00C2211E" w:rsidP="000A3A2C">
                      <w:pPr>
                        <w:rPr>
                          <w:b/>
                          <w:bCs/>
                          <w:i/>
                          <w:sz w:val="24"/>
                        </w:rPr>
                      </w:pPr>
                    </w:p>
                  </w:txbxContent>
                </v:textbox>
                <w10:wrap anchorx="page" anchory="page"/>
                <w10:anchorlock/>
              </v:shape>
            </w:pict>
          </mc:Fallback>
        </mc:AlternateContent>
      </w:r>
    </w:p>
    <w:sdt>
      <w:sdtPr>
        <w:rPr>
          <w:b w:val="0"/>
          <w:color w:val="auto"/>
          <w:sz w:val="20"/>
          <w:lang w:val="en-GB"/>
        </w:rPr>
        <w:id w:val="5357999"/>
        <w:docPartObj>
          <w:docPartGallery w:val="Table of Contents"/>
          <w:docPartUnique/>
        </w:docPartObj>
      </w:sdtPr>
      <w:sdtEndPr/>
      <w:sdtContent>
        <w:p w14:paraId="74D73AA9" w14:textId="5025485D" w:rsidR="00867DAB" w:rsidRPr="00D970F7" w:rsidRDefault="00BB50E6" w:rsidP="00867DAB">
          <w:pPr>
            <w:pStyle w:val="Obsah"/>
            <w:rPr>
              <w:lang w:val="en-GB"/>
            </w:rPr>
          </w:pPr>
          <w:r w:rsidRPr="00D970F7">
            <w:rPr>
              <w:lang w:val="en-GB"/>
            </w:rPr>
            <w:t>Contents</w:t>
          </w:r>
        </w:p>
        <w:bookmarkStart w:id="0" w:name="_GoBack"/>
        <w:bookmarkEnd w:id="0"/>
        <w:p w14:paraId="5BD02C4F" w14:textId="4EECBAB2" w:rsidR="00E7438F" w:rsidRDefault="007D42E5">
          <w:pPr>
            <w:pStyle w:val="Obsah1"/>
            <w:rPr>
              <w:rFonts w:asciiTheme="minorHAnsi" w:eastAsiaTheme="minorEastAsia" w:hAnsiTheme="minorHAnsi" w:cstheme="minorBidi"/>
              <w:noProof/>
              <w:sz w:val="22"/>
              <w:szCs w:val="22"/>
            </w:rPr>
          </w:pPr>
          <w:r w:rsidRPr="00D970F7">
            <w:rPr>
              <w:lang w:val="en-GB"/>
            </w:rPr>
            <w:fldChar w:fldCharType="begin"/>
          </w:r>
          <w:r w:rsidR="00867DAB" w:rsidRPr="00D970F7">
            <w:rPr>
              <w:lang w:val="en-GB"/>
            </w:rPr>
            <w:instrText xml:space="preserve"> TOC \o "1-3" \h \z \u </w:instrText>
          </w:r>
          <w:r w:rsidRPr="00D970F7">
            <w:rPr>
              <w:lang w:val="en-GB"/>
            </w:rPr>
            <w:fldChar w:fldCharType="separate"/>
          </w:r>
          <w:hyperlink w:anchor="_Toc53468172" w:history="1">
            <w:r w:rsidR="00E7438F" w:rsidRPr="008B2CB9">
              <w:rPr>
                <w:rStyle w:val="Hypertextovodkaz"/>
                <w:noProof/>
                <w:lang w:val="en-GB"/>
              </w:rPr>
              <w:t>1. Summary</w:t>
            </w:r>
            <w:r w:rsidR="00E7438F">
              <w:rPr>
                <w:noProof/>
                <w:webHidden/>
              </w:rPr>
              <w:tab/>
            </w:r>
            <w:r w:rsidR="00E7438F">
              <w:rPr>
                <w:noProof/>
                <w:webHidden/>
              </w:rPr>
              <w:fldChar w:fldCharType="begin"/>
            </w:r>
            <w:r w:rsidR="00E7438F">
              <w:rPr>
                <w:noProof/>
                <w:webHidden/>
              </w:rPr>
              <w:instrText xml:space="preserve"> PAGEREF _Toc53468172 \h </w:instrText>
            </w:r>
            <w:r w:rsidR="00E7438F">
              <w:rPr>
                <w:noProof/>
                <w:webHidden/>
              </w:rPr>
            </w:r>
            <w:r w:rsidR="00E7438F">
              <w:rPr>
                <w:noProof/>
                <w:webHidden/>
              </w:rPr>
              <w:fldChar w:fldCharType="separate"/>
            </w:r>
            <w:r w:rsidR="00E7438F">
              <w:rPr>
                <w:noProof/>
                <w:webHidden/>
              </w:rPr>
              <w:t>4</w:t>
            </w:r>
            <w:r w:rsidR="00E7438F">
              <w:rPr>
                <w:noProof/>
                <w:webHidden/>
              </w:rPr>
              <w:fldChar w:fldCharType="end"/>
            </w:r>
          </w:hyperlink>
        </w:p>
        <w:p w14:paraId="5C40AF76" w14:textId="08E15F67" w:rsidR="00E7438F" w:rsidRDefault="00E7438F">
          <w:pPr>
            <w:pStyle w:val="Obsah1"/>
            <w:rPr>
              <w:rFonts w:asciiTheme="minorHAnsi" w:eastAsiaTheme="minorEastAsia" w:hAnsiTheme="minorHAnsi" w:cstheme="minorBidi"/>
              <w:noProof/>
              <w:sz w:val="22"/>
              <w:szCs w:val="22"/>
            </w:rPr>
          </w:pPr>
          <w:hyperlink w:anchor="_Toc53468173" w:history="1">
            <w:r w:rsidRPr="008B2CB9">
              <w:rPr>
                <w:rStyle w:val="Hypertextovodkaz"/>
                <w:noProof/>
                <w:lang w:val="en-GB"/>
              </w:rPr>
              <w:t>2. Overall Economic Performance</w:t>
            </w:r>
            <w:r>
              <w:rPr>
                <w:noProof/>
                <w:webHidden/>
              </w:rPr>
              <w:tab/>
            </w:r>
            <w:r>
              <w:rPr>
                <w:noProof/>
                <w:webHidden/>
              </w:rPr>
              <w:fldChar w:fldCharType="begin"/>
            </w:r>
            <w:r>
              <w:rPr>
                <w:noProof/>
                <w:webHidden/>
              </w:rPr>
              <w:instrText xml:space="preserve"> PAGEREF _Toc53468173 \h </w:instrText>
            </w:r>
            <w:r>
              <w:rPr>
                <w:noProof/>
                <w:webHidden/>
              </w:rPr>
            </w:r>
            <w:r>
              <w:rPr>
                <w:noProof/>
                <w:webHidden/>
              </w:rPr>
              <w:fldChar w:fldCharType="separate"/>
            </w:r>
            <w:r>
              <w:rPr>
                <w:noProof/>
                <w:webHidden/>
              </w:rPr>
              <w:t>6</w:t>
            </w:r>
            <w:r>
              <w:rPr>
                <w:noProof/>
                <w:webHidden/>
              </w:rPr>
              <w:fldChar w:fldCharType="end"/>
            </w:r>
          </w:hyperlink>
        </w:p>
        <w:p w14:paraId="389816C3" w14:textId="5645C550" w:rsidR="00E7438F" w:rsidRDefault="00E7438F">
          <w:pPr>
            <w:pStyle w:val="Obsah1"/>
            <w:rPr>
              <w:rFonts w:asciiTheme="minorHAnsi" w:eastAsiaTheme="minorEastAsia" w:hAnsiTheme="minorHAnsi" w:cstheme="minorBidi"/>
              <w:noProof/>
              <w:sz w:val="22"/>
              <w:szCs w:val="22"/>
            </w:rPr>
          </w:pPr>
          <w:hyperlink w:anchor="_Toc53468174" w:history="1">
            <w:r w:rsidRPr="008B2CB9">
              <w:rPr>
                <w:rStyle w:val="Hypertextovodkaz"/>
                <w:noProof/>
                <w:lang w:val="en-GB"/>
              </w:rPr>
              <w:t>3. Branches Performance</w:t>
            </w:r>
            <w:r>
              <w:rPr>
                <w:noProof/>
                <w:webHidden/>
              </w:rPr>
              <w:tab/>
            </w:r>
            <w:r>
              <w:rPr>
                <w:noProof/>
                <w:webHidden/>
              </w:rPr>
              <w:fldChar w:fldCharType="begin"/>
            </w:r>
            <w:r>
              <w:rPr>
                <w:noProof/>
                <w:webHidden/>
              </w:rPr>
              <w:instrText xml:space="preserve"> PAGEREF _Toc53468174 \h </w:instrText>
            </w:r>
            <w:r>
              <w:rPr>
                <w:noProof/>
                <w:webHidden/>
              </w:rPr>
            </w:r>
            <w:r>
              <w:rPr>
                <w:noProof/>
                <w:webHidden/>
              </w:rPr>
              <w:fldChar w:fldCharType="separate"/>
            </w:r>
            <w:r>
              <w:rPr>
                <w:noProof/>
                <w:webHidden/>
              </w:rPr>
              <w:t>10</w:t>
            </w:r>
            <w:r>
              <w:rPr>
                <w:noProof/>
                <w:webHidden/>
              </w:rPr>
              <w:fldChar w:fldCharType="end"/>
            </w:r>
          </w:hyperlink>
        </w:p>
        <w:p w14:paraId="3DAE08F6" w14:textId="053027BB" w:rsidR="00E7438F" w:rsidRDefault="00E7438F">
          <w:pPr>
            <w:pStyle w:val="Obsah1"/>
            <w:rPr>
              <w:rFonts w:asciiTheme="minorHAnsi" w:eastAsiaTheme="minorEastAsia" w:hAnsiTheme="minorHAnsi" w:cstheme="minorBidi"/>
              <w:noProof/>
              <w:sz w:val="22"/>
              <w:szCs w:val="22"/>
            </w:rPr>
          </w:pPr>
          <w:hyperlink w:anchor="_Toc53468175" w:history="1">
            <w:r w:rsidRPr="008B2CB9">
              <w:rPr>
                <w:rStyle w:val="Hypertextovodkaz"/>
                <w:noProof/>
                <w:lang w:val="en-GB"/>
              </w:rPr>
              <w:t>4. External Relations</w:t>
            </w:r>
            <w:r>
              <w:rPr>
                <w:noProof/>
                <w:webHidden/>
              </w:rPr>
              <w:tab/>
            </w:r>
            <w:r>
              <w:rPr>
                <w:noProof/>
                <w:webHidden/>
              </w:rPr>
              <w:fldChar w:fldCharType="begin"/>
            </w:r>
            <w:r>
              <w:rPr>
                <w:noProof/>
                <w:webHidden/>
              </w:rPr>
              <w:instrText xml:space="preserve"> PAGEREF _Toc53468175 \h </w:instrText>
            </w:r>
            <w:r>
              <w:rPr>
                <w:noProof/>
                <w:webHidden/>
              </w:rPr>
            </w:r>
            <w:r>
              <w:rPr>
                <w:noProof/>
                <w:webHidden/>
              </w:rPr>
              <w:fldChar w:fldCharType="separate"/>
            </w:r>
            <w:r>
              <w:rPr>
                <w:noProof/>
                <w:webHidden/>
              </w:rPr>
              <w:t>18</w:t>
            </w:r>
            <w:r>
              <w:rPr>
                <w:noProof/>
                <w:webHidden/>
              </w:rPr>
              <w:fldChar w:fldCharType="end"/>
            </w:r>
          </w:hyperlink>
        </w:p>
        <w:p w14:paraId="589AA234" w14:textId="6D3FFB34" w:rsidR="00E7438F" w:rsidRDefault="00E7438F">
          <w:pPr>
            <w:pStyle w:val="Obsah1"/>
            <w:rPr>
              <w:rFonts w:asciiTheme="minorHAnsi" w:eastAsiaTheme="minorEastAsia" w:hAnsiTheme="minorHAnsi" w:cstheme="minorBidi"/>
              <w:noProof/>
              <w:sz w:val="22"/>
              <w:szCs w:val="22"/>
            </w:rPr>
          </w:pPr>
          <w:hyperlink w:anchor="_Toc53468176" w:history="1">
            <w:r w:rsidRPr="008B2CB9">
              <w:rPr>
                <w:rStyle w:val="Hypertextovodkaz"/>
                <w:noProof/>
                <w:lang w:val="en-GB"/>
              </w:rPr>
              <w:t>5. Prices</w:t>
            </w:r>
            <w:r>
              <w:rPr>
                <w:noProof/>
                <w:webHidden/>
              </w:rPr>
              <w:tab/>
            </w:r>
            <w:r>
              <w:rPr>
                <w:noProof/>
                <w:webHidden/>
              </w:rPr>
              <w:fldChar w:fldCharType="begin"/>
            </w:r>
            <w:r>
              <w:rPr>
                <w:noProof/>
                <w:webHidden/>
              </w:rPr>
              <w:instrText xml:space="preserve"> PAGEREF _Toc53468176 \h </w:instrText>
            </w:r>
            <w:r>
              <w:rPr>
                <w:noProof/>
                <w:webHidden/>
              </w:rPr>
            </w:r>
            <w:r>
              <w:rPr>
                <w:noProof/>
                <w:webHidden/>
              </w:rPr>
              <w:fldChar w:fldCharType="separate"/>
            </w:r>
            <w:r>
              <w:rPr>
                <w:noProof/>
                <w:webHidden/>
              </w:rPr>
              <w:t>20</w:t>
            </w:r>
            <w:r>
              <w:rPr>
                <w:noProof/>
                <w:webHidden/>
              </w:rPr>
              <w:fldChar w:fldCharType="end"/>
            </w:r>
          </w:hyperlink>
        </w:p>
        <w:p w14:paraId="3F4D80C1" w14:textId="2CF86918" w:rsidR="00E7438F" w:rsidRDefault="00E7438F">
          <w:pPr>
            <w:pStyle w:val="Obsah1"/>
            <w:rPr>
              <w:rFonts w:asciiTheme="minorHAnsi" w:eastAsiaTheme="minorEastAsia" w:hAnsiTheme="minorHAnsi" w:cstheme="minorBidi"/>
              <w:noProof/>
              <w:sz w:val="22"/>
              <w:szCs w:val="22"/>
            </w:rPr>
          </w:pPr>
          <w:hyperlink w:anchor="_Toc53468177" w:history="1">
            <w:r w:rsidRPr="008B2CB9">
              <w:rPr>
                <w:rStyle w:val="Hypertextovodkaz"/>
                <w:noProof/>
                <w:lang w:val="en-GB"/>
              </w:rPr>
              <w:t>6. Labour Market</w:t>
            </w:r>
            <w:r>
              <w:rPr>
                <w:noProof/>
                <w:webHidden/>
              </w:rPr>
              <w:tab/>
            </w:r>
            <w:r>
              <w:rPr>
                <w:noProof/>
                <w:webHidden/>
              </w:rPr>
              <w:fldChar w:fldCharType="begin"/>
            </w:r>
            <w:r>
              <w:rPr>
                <w:noProof/>
                <w:webHidden/>
              </w:rPr>
              <w:instrText xml:space="preserve"> PAGEREF _Toc53468177 \h </w:instrText>
            </w:r>
            <w:r>
              <w:rPr>
                <w:noProof/>
                <w:webHidden/>
              </w:rPr>
            </w:r>
            <w:r>
              <w:rPr>
                <w:noProof/>
                <w:webHidden/>
              </w:rPr>
              <w:fldChar w:fldCharType="separate"/>
            </w:r>
            <w:r>
              <w:rPr>
                <w:noProof/>
                <w:webHidden/>
              </w:rPr>
              <w:t>25</w:t>
            </w:r>
            <w:r>
              <w:rPr>
                <w:noProof/>
                <w:webHidden/>
              </w:rPr>
              <w:fldChar w:fldCharType="end"/>
            </w:r>
          </w:hyperlink>
        </w:p>
        <w:p w14:paraId="1B513A1E" w14:textId="446FDC83" w:rsidR="00E7438F" w:rsidRDefault="00E7438F">
          <w:pPr>
            <w:pStyle w:val="Obsah1"/>
            <w:rPr>
              <w:rFonts w:asciiTheme="minorHAnsi" w:eastAsiaTheme="minorEastAsia" w:hAnsiTheme="minorHAnsi" w:cstheme="minorBidi"/>
              <w:noProof/>
              <w:sz w:val="22"/>
              <w:szCs w:val="22"/>
            </w:rPr>
          </w:pPr>
          <w:hyperlink w:anchor="_Toc53468178" w:history="1">
            <w:r w:rsidRPr="008B2CB9">
              <w:rPr>
                <w:rStyle w:val="Hypertextovodkaz"/>
                <w:noProof/>
                <w:lang w:val="en-GB"/>
              </w:rPr>
              <w:t>7. Monetary Conditions</w:t>
            </w:r>
            <w:r>
              <w:rPr>
                <w:noProof/>
                <w:webHidden/>
              </w:rPr>
              <w:tab/>
            </w:r>
            <w:r>
              <w:rPr>
                <w:noProof/>
                <w:webHidden/>
              </w:rPr>
              <w:fldChar w:fldCharType="begin"/>
            </w:r>
            <w:r>
              <w:rPr>
                <w:noProof/>
                <w:webHidden/>
              </w:rPr>
              <w:instrText xml:space="preserve"> PAGEREF _Toc53468178 \h </w:instrText>
            </w:r>
            <w:r>
              <w:rPr>
                <w:noProof/>
                <w:webHidden/>
              </w:rPr>
            </w:r>
            <w:r>
              <w:rPr>
                <w:noProof/>
                <w:webHidden/>
              </w:rPr>
              <w:fldChar w:fldCharType="separate"/>
            </w:r>
            <w:r>
              <w:rPr>
                <w:noProof/>
                <w:webHidden/>
              </w:rPr>
              <w:t>31</w:t>
            </w:r>
            <w:r>
              <w:rPr>
                <w:noProof/>
                <w:webHidden/>
              </w:rPr>
              <w:fldChar w:fldCharType="end"/>
            </w:r>
          </w:hyperlink>
        </w:p>
        <w:p w14:paraId="162F47C0" w14:textId="289A5682" w:rsidR="00E7438F" w:rsidRDefault="00E7438F">
          <w:pPr>
            <w:pStyle w:val="Obsah1"/>
            <w:rPr>
              <w:rFonts w:asciiTheme="minorHAnsi" w:eastAsiaTheme="minorEastAsia" w:hAnsiTheme="minorHAnsi" w:cstheme="minorBidi"/>
              <w:noProof/>
              <w:sz w:val="22"/>
              <w:szCs w:val="22"/>
            </w:rPr>
          </w:pPr>
          <w:hyperlink w:anchor="_Toc53468179" w:history="1">
            <w:r w:rsidRPr="008B2CB9">
              <w:rPr>
                <w:rStyle w:val="Hypertextovodkaz"/>
                <w:noProof/>
                <w:lang w:val="en-GB"/>
              </w:rPr>
              <w:t>8. State Budget</w:t>
            </w:r>
            <w:r>
              <w:rPr>
                <w:noProof/>
                <w:webHidden/>
              </w:rPr>
              <w:tab/>
            </w:r>
            <w:r>
              <w:rPr>
                <w:noProof/>
                <w:webHidden/>
              </w:rPr>
              <w:fldChar w:fldCharType="begin"/>
            </w:r>
            <w:r>
              <w:rPr>
                <w:noProof/>
                <w:webHidden/>
              </w:rPr>
              <w:instrText xml:space="preserve"> PAGEREF _Toc53468179 \h </w:instrText>
            </w:r>
            <w:r>
              <w:rPr>
                <w:noProof/>
                <w:webHidden/>
              </w:rPr>
            </w:r>
            <w:r>
              <w:rPr>
                <w:noProof/>
                <w:webHidden/>
              </w:rPr>
              <w:fldChar w:fldCharType="separate"/>
            </w:r>
            <w:r>
              <w:rPr>
                <w:noProof/>
                <w:webHidden/>
              </w:rPr>
              <w:t>33</w:t>
            </w:r>
            <w:r>
              <w:rPr>
                <w:noProof/>
                <w:webHidden/>
              </w:rPr>
              <w:fldChar w:fldCharType="end"/>
            </w:r>
          </w:hyperlink>
        </w:p>
        <w:p w14:paraId="75243E96" w14:textId="50D6CF01" w:rsidR="00867DAB" w:rsidRPr="00D970F7" w:rsidRDefault="007D42E5">
          <w:pPr>
            <w:rPr>
              <w:lang w:val="en-GB"/>
            </w:rPr>
          </w:pPr>
          <w:r w:rsidRPr="00D970F7">
            <w:rPr>
              <w:lang w:val="en-GB"/>
            </w:rPr>
            <w:fldChar w:fldCharType="end"/>
          </w:r>
        </w:p>
      </w:sdtContent>
    </w:sdt>
    <w:p w14:paraId="0A820079" w14:textId="77777777" w:rsidR="00003F5C" w:rsidRPr="00D970F7" w:rsidRDefault="00003F5C" w:rsidP="00003F5C">
      <w:pPr>
        <w:pStyle w:val="Textpoznpodarou"/>
        <w:jc w:val="both"/>
        <w:rPr>
          <w:rFonts w:cs="Arial"/>
          <w:color w:val="000000"/>
          <w:lang w:val="en-GB"/>
        </w:rPr>
      </w:pPr>
    </w:p>
    <w:p w14:paraId="3858DEBA" w14:textId="77777777" w:rsidR="00003F5C" w:rsidRPr="00D970F7" w:rsidRDefault="00003F5C" w:rsidP="00003F5C">
      <w:pPr>
        <w:pStyle w:val="Textpoznpodarou"/>
        <w:jc w:val="both"/>
        <w:rPr>
          <w:rFonts w:cs="Arial"/>
          <w:color w:val="000000"/>
          <w:lang w:val="en-GB"/>
        </w:rPr>
      </w:pPr>
    </w:p>
    <w:p w14:paraId="446544F6" w14:textId="77777777" w:rsidR="00003F5C" w:rsidRPr="00D970F7" w:rsidRDefault="00003F5C" w:rsidP="00003F5C">
      <w:pPr>
        <w:pStyle w:val="Textpoznpodarou"/>
        <w:jc w:val="both"/>
        <w:rPr>
          <w:rFonts w:cs="Arial"/>
          <w:color w:val="000000"/>
          <w:lang w:val="en-GB"/>
        </w:rPr>
      </w:pPr>
    </w:p>
    <w:p w14:paraId="7C135E77" w14:textId="77777777" w:rsidR="00003F5C" w:rsidRPr="00D970F7" w:rsidRDefault="00003F5C" w:rsidP="00003F5C">
      <w:pPr>
        <w:pStyle w:val="Textpoznpodarou"/>
        <w:jc w:val="both"/>
        <w:rPr>
          <w:rFonts w:cs="Arial"/>
          <w:color w:val="000000"/>
          <w:lang w:val="en-GB"/>
        </w:rPr>
      </w:pPr>
    </w:p>
    <w:p w14:paraId="0E1BF7EA" w14:textId="77777777" w:rsidR="00003F5C" w:rsidRPr="00D970F7" w:rsidRDefault="00003F5C" w:rsidP="00003F5C">
      <w:pPr>
        <w:pStyle w:val="Textpoznpodarou"/>
        <w:jc w:val="both"/>
        <w:rPr>
          <w:rFonts w:cs="Arial"/>
          <w:color w:val="000000"/>
          <w:lang w:val="en-GB"/>
        </w:rPr>
      </w:pPr>
    </w:p>
    <w:p w14:paraId="62028913" w14:textId="77777777" w:rsidR="00003F5C" w:rsidRPr="00D970F7" w:rsidRDefault="00003F5C" w:rsidP="00003F5C">
      <w:pPr>
        <w:pStyle w:val="Textpoznpodarou"/>
        <w:jc w:val="both"/>
        <w:rPr>
          <w:rFonts w:cs="Arial"/>
          <w:color w:val="000000"/>
          <w:lang w:val="en-GB"/>
        </w:rPr>
      </w:pPr>
    </w:p>
    <w:p w14:paraId="5B135E92" w14:textId="2388CEA4" w:rsidR="00BB50E6" w:rsidRPr="00D970F7" w:rsidRDefault="00BB50E6" w:rsidP="00BB50E6">
      <w:pPr>
        <w:pStyle w:val="Textpoznpodarou"/>
        <w:jc w:val="both"/>
        <w:rPr>
          <w:rFonts w:cs="Arial"/>
          <w:color w:val="000000"/>
          <w:lang w:val="en-GB"/>
        </w:rPr>
      </w:pPr>
      <w:r w:rsidRPr="00D970F7">
        <w:rPr>
          <w:rFonts w:cs="Arial"/>
          <w:color w:val="000000"/>
          <w:lang w:val="en-GB"/>
        </w:rPr>
        <w:t>Source of data in the whole analysis: Czech Statistical Office (CZSO), Ministry of Finance (MF CR), Czech National Bank (CNB), Ministry of Labour and Social Affairs (MLSA), Czech Social Security Administration (CSSA), Eurostat, CZSO calculations.</w:t>
      </w:r>
    </w:p>
    <w:p w14:paraId="111FF9D5" w14:textId="3B16D93C" w:rsidR="00BB50E6" w:rsidRPr="00D970F7" w:rsidRDefault="00BB50E6" w:rsidP="00BB50E6">
      <w:pPr>
        <w:pStyle w:val="Textpoznpodarou"/>
        <w:jc w:val="both"/>
        <w:rPr>
          <w:rFonts w:cs="Arial"/>
          <w:color w:val="000000"/>
          <w:lang w:val="en-GB"/>
        </w:rPr>
      </w:pPr>
      <w:r w:rsidRPr="00D970F7">
        <w:rPr>
          <w:rFonts w:cs="Arial"/>
          <w:color w:val="000000"/>
          <w:lang w:val="en-GB"/>
        </w:rPr>
        <w:t>Latest information provided in this report has been dated the 7</w:t>
      </w:r>
      <w:r w:rsidRPr="00D970F7">
        <w:rPr>
          <w:rFonts w:cs="Arial"/>
          <w:color w:val="000000"/>
          <w:vertAlign w:val="superscript"/>
          <w:lang w:val="en-GB"/>
        </w:rPr>
        <w:t>th</w:t>
      </w:r>
      <w:r w:rsidRPr="00D970F7">
        <w:rPr>
          <w:rFonts w:cs="Arial"/>
          <w:color w:val="000000"/>
          <w:lang w:val="en-GB"/>
        </w:rPr>
        <w:t xml:space="preserve"> September 2020.</w:t>
      </w:r>
    </w:p>
    <w:p w14:paraId="4EA2233D" w14:textId="7698A0DF" w:rsidR="00003F5C" w:rsidRPr="00D970F7" w:rsidRDefault="00003F5C" w:rsidP="00BB50E6">
      <w:pPr>
        <w:pStyle w:val="Textpoznpodarou"/>
        <w:jc w:val="both"/>
        <w:rPr>
          <w:rFonts w:cs="Arial"/>
          <w:color w:val="000000"/>
          <w:lang w:val="en-GB"/>
        </w:rPr>
      </w:pPr>
      <w:r w:rsidRPr="00D970F7">
        <w:rPr>
          <w:rFonts w:cs="Arial"/>
          <w:color w:val="000000"/>
          <w:lang w:val="en-GB"/>
        </w:rPr>
        <w:t xml:space="preserve"> </w:t>
      </w:r>
    </w:p>
    <w:p w14:paraId="56EC82D9" w14:textId="0A5866B3" w:rsidR="002F1D56" w:rsidRPr="00D970F7" w:rsidRDefault="002F1D56" w:rsidP="00003F5C">
      <w:pPr>
        <w:pStyle w:val="Textpoznpodarou"/>
        <w:jc w:val="both"/>
        <w:rPr>
          <w:rFonts w:cs="Arial"/>
          <w:color w:val="000000"/>
          <w:lang w:val="en-GB"/>
        </w:rPr>
      </w:pPr>
    </w:p>
    <w:p w14:paraId="7C689972" w14:textId="443C9781" w:rsidR="002F1D56" w:rsidRPr="00D970F7" w:rsidRDefault="002F1D56" w:rsidP="00003F5C">
      <w:pPr>
        <w:pStyle w:val="Textpoznpodarou"/>
        <w:jc w:val="both"/>
        <w:rPr>
          <w:rFonts w:cs="Arial"/>
          <w:lang w:val="en-GB"/>
        </w:rPr>
      </w:pPr>
    </w:p>
    <w:p w14:paraId="1C43E9FD" w14:textId="39B9A9B6" w:rsidR="00BB50E6" w:rsidRPr="00D970F7" w:rsidRDefault="00BB50E6" w:rsidP="00BB50E6">
      <w:pPr>
        <w:pStyle w:val="Textpoznpodarou"/>
        <w:jc w:val="both"/>
        <w:rPr>
          <w:rFonts w:cs="Arial"/>
          <w:lang w:val="en-GB"/>
        </w:rPr>
      </w:pPr>
      <w:r w:rsidRPr="00D970F7">
        <w:rPr>
          <w:rStyle w:val="Zdraznn"/>
          <w:rFonts w:cs="Arial"/>
          <w:i w:val="0"/>
          <w:lang w:val="en-GB"/>
        </w:rPr>
        <w:t xml:space="preserve">Aggregated data for the EU used in this text contain all 27 Union states except for Great Britain. </w:t>
      </w:r>
    </w:p>
    <w:p w14:paraId="0293E382" w14:textId="5207D583" w:rsidR="008462F1" w:rsidRPr="00D970F7" w:rsidRDefault="00087F2B" w:rsidP="008462F1">
      <w:pPr>
        <w:pStyle w:val="Nadpis1"/>
        <w:rPr>
          <w:lang w:val="en-GB"/>
        </w:rPr>
      </w:pPr>
      <w:r w:rsidRPr="00D970F7">
        <w:rPr>
          <w:color w:val="auto"/>
          <w:lang w:val="en-GB"/>
        </w:rPr>
        <w:br w:type="page"/>
      </w:r>
      <w:bookmarkStart w:id="1" w:name="_Toc444112494"/>
      <w:bookmarkStart w:id="2" w:name="_Toc511215208"/>
      <w:bookmarkStart w:id="3" w:name="_Toc26865017"/>
      <w:bookmarkStart w:id="4" w:name="_Toc19090676"/>
      <w:bookmarkStart w:id="5" w:name="_Toc53468172"/>
      <w:r w:rsidR="008462F1" w:rsidRPr="00D970F7">
        <w:rPr>
          <w:lang w:val="en-GB"/>
        </w:rPr>
        <w:lastRenderedPageBreak/>
        <w:t>1. S</w:t>
      </w:r>
      <w:r w:rsidR="00B936FD" w:rsidRPr="00D970F7">
        <w:rPr>
          <w:lang w:val="en-GB"/>
        </w:rPr>
        <w:t>ummary</w:t>
      </w:r>
      <w:bookmarkEnd w:id="5"/>
    </w:p>
    <w:bookmarkEnd w:id="1"/>
    <w:bookmarkEnd w:id="2"/>
    <w:p w14:paraId="7E8BB0CA" w14:textId="77F8913B" w:rsidR="008462F1" w:rsidRPr="00D970F7" w:rsidRDefault="002F468F" w:rsidP="008462F1">
      <w:pPr>
        <w:pStyle w:val="Normalodrka"/>
        <w:spacing w:after="100"/>
        <w:rPr>
          <w:spacing w:val="-4"/>
          <w:lang w:val="en-GB"/>
        </w:rPr>
      </w:pPr>
      <w:r w:rsidRPr="00D970F7">
        <w:rPr>
          <w:spacing w:val="-4"/>
          <w:lang w:val="en-GB"/>
        </w:rPr>
        <w:t xml:space="preserve">The Czech economy experienced the deepest </w:t>
      </w:r>
      <w:r w:rsidR="00E37460" w:rsidRPr="00D970F7">
        <w:rPr>
          <w:spacing w:val="-4"/>
          <w:lang w:val="en-GB"/>
        </w:rPr>
        <w:t>downturn</w:t>
      </w:r>
      <w:r w:rsidRPr="00D970F7">
        <w:rPr>
          <w:spacing w:val="-4"/>
          <w:lang w:val="en-GB"/>
        </w:rPr>
        <w:t xml:space="preserve"> in Q</w:t>
      </w:r>
      <w:r w:rsidR="008462F1" w:rsidRPr="00D970F7">
        <w:rPr>
          <w:spacing w:val="-4"/>
          <w:lang w:val="en-GB"/>
        </w:rPr>
        <w:t>2</w:t>
      </w:r>
      <w:r w:rsidRPr="00D970F7">
        <w:rPr>
          <w:spacing w:val="-4"/>
          <w:lang w:val="en-GB"/>
        </w:rPr>
        <w:t xml:space="preserve"> </w:t>
      </w:r>
      <w:r w:rsidR="008462F1" w:rsidRPr="00D970F7">
        <w:rPr>
          <w:spacing w:val="-4"/>
          <w:lang w:val="en-GB"/>
        </w:rPr>
        <w:t>2020</w:t>
      </w:r>
      <w:r w:rsidRPr="00D970F7">
        <w:rPr>
          <w:spacing w:val="-4"/>
          <w:lang w:val="en-GB"/>
        </w:rPr>
        <w:t xml:space="preserve"> in its history. Gross domestic product </w:t>
      </w:r>
      <w:r w:rsidR="008462F1" w:rsidRPr="00D970F7">
        <w:rPr>
          <w:spacing w:val="-4"/>
          <w:lang w:val="en-GB"/>
        </w:rPr>
        <w:t>(</w:t>
      </w:r>
      <w:r w:rsidRPr="00D970F7">
        <w:rPr>
          <w:spacing w:val="-4"/>
          <w:lang w:val="en-GB"/>
        </w:rPr>
        <w:t>GDP</w:t>
      </w:r>
      <w:r w:rsidR="008462F1" w:rsidRPr="00D970F7">
        <w:rPr>
          <w:spacing w:val="-4"/>
          <w:lang w:val="en-GB"/>
        </w:rPr>
        <w:t>)</w:t>
      </w:r>
      <w:r w:rsidRPr="00D970F7">
        <w:rPr>
          <w:spacing w:val="-4"/>
          <w:lang w:val="en-GB"/>
        </w:rPr>
        <w:t xml:space="preserve"> decreased by </w:t>
      </w:r>
      <w:r w:rsidR="008462F1" w:rsidRPr="00D970F7">
        <w:rPr>
          <w:spacing w:val="-4"/>
          <w:lang w:val="en-GB"/>
        </w:rPr>
        <w:t>11</w:t>
      </w:r>
      <w:r w:rsidRPr="00D970F7">
        <w:rPr>
          <w:spacing w:val="-4"/>
          <w:lang w:val="en-GB"/>
        </w:rPr>
        <w:t>.</w:t>
      </w:r>
      <w:r w:rsidR="008462F1" w:rsidRPr="00D970F7">
        <w:rPr>
          <w:spacing w:val="-4"/>
          <w:lang w:val="en-GB"/>
        </w:rPr>
        <w:t>0%</w:t>
      </w:r>
      <w:r w:rsidRPr="00D970F7">
        <w:rPr>
          <w:spacing w:val="-4"/>
          <w:lang w:val="en-GB"/>
        </w:rPr>
        <w:t xml:space="preserve"> in real terms year-on-year</w:t>
      </w:r>
      <w:r w:rsidR="008462F1" w:rsidRPr="00D970F7">
        <w:rPr>
          <w:rStyle w:val="Znakapoznpodarou"/>
          <w:spacing w:val="-4"/>
          <w:szCs w:val="20"/>
          <w:lang w:val="en-GB"/>
        </w:rPr>
        <w:footnoteReference w:id="1"/>
      </w:r>
      <w:r w:rsidR="008462F1" w:rsidRPr="00D970F7">
        <w:rPr>
          <w:spacing w:val="-4"/>
          <w:lang w:val="en-GB"/>
        </w:rPr>
        <w:t xml:space="preserve"> a</w:t>
      </w:r>
      <w:r w:rsidRPr="00D970F7">
        <w:rPr>
          <w:spacing w:val="-4"/>
          <w:lang w:val="en-GB"/>
        </w:rPr>
        <w:t xml:space="preserve">nd by </w:t>
      </w:r>
      <w:r w:rsidR="008462F1" w:rsidRPr="00D970F7">
        <w:rPr>
          <w:spacing w:val="-4"/>
          <w:lang w:val="en-GB"/>
        </w:rPr>
        <w:t>8</w:t>
      </w:r>
      <w:r w:rsidRPr="00D970F7">
        <w:rPr>
          <w:spacing w:val="-4"/>
          <w:lang w:val="en-GB"/>
        </w:rPr>
        <w:t>.</w:t>
      </w:r>
      <w:r w:rsidR="008462F1" w:rsidRPr="00D970F7">
        <w:rPr>
          <w:spacing w:val="-4"/>
          <w:lang w:val="en-GB"/>
        </w:rPr>
        <w:t>7%</w:t>
      </w:r>
      <w:r w:rsidRPr="00D970F7">
        <w:rPr>
          <w:spacing w:val="-4"/>
          <w:lang w:val="en-GB"/>
        </w:rPr>
        <w:t xml:space="preserve"> quarter-on-quarter</w:t>
      </w:r>
      <w:r w:rsidR="008462F1" w:rsidRPr="00D970F7">
        <w:rPr>
          <w:spacing w:val="-4"/>
          <w:lang w:val="en-GB"/>
        </w:rPr>
        <w:t xml:space="preserve">. </w:t>
      </w:r>
      <w:r w:rsidR="002765C1" w:rsidRPr="00D970F7">
        <w:rPr>
          <w:spacing w:val="-4"/>
          <w:lang w:val="en-GB"/>
        </w:rPr>
        <w:t>Lowering of the foreign trade with goods and services balance surplus mainly contributed to the very deep economic slump. T</w:t>
      </w:r>
      <w:r w:rsidR="00FB1E86" w:rsidRPr="00D970F7">
        <w:rPr>
          <w:spacing w:val="-4"/>
          <w:lang w:val="en-GB"/>
        </w:rPr>
        <w:t>h</w:t>
      </w:r>
      <w:r w:rsidR="002765C1" w:rsidRPr="00D970F7">
        <w:rPr>
          <w:spacing w:val="-4"/>
          <w:lang w:val="en-GB"/>
        </w:rPr>
        <w:t xml:space="preserve">is was linked to </w:t>
      </w:r>
      <w:r w:rsidR="00FB1E86" w:rsidRPr="00D970F7">
        <w:rPr>
          <w:spacing w:val="-4"/>
          <w:lang w:val="en-GB"/>
        </w:rPr>
        <w:t xml:space="preserve">the suspension of </w:t>
      </w:r>
      <w:r w:rsidR="002765C1" w:rsidRPr="00D970F7">
        <w:rPr>
          <w:spacing w:val="-4"/>
          <w:lang w:val="en-GB"/>
        </w:rPr>
        <w:t xml:space="preserve">operations in some </w:t>
      </w:r>
      <w:r w:rsidR="00FB1E86" w:rsidRPr="00D970F7">
        <w:rPr>
          <w:spacing w:val="-4"/>
          <w:lang w:val="en-GB"/>
        </w:rPr>
        <w:t xml:space="preserve">domestic </w:t>
      </w:r>
      <w:r w:rsidR="002765C1" w:rsidRPr="00D970F7">
        <w:rPr>
          <w:spacing w:val="-4"/>
          <w:lang w:val="en-GB"/>
        </w:rPr>
        <w:t xml:space="preserve">as well as foreign businesses. Apart from the </w:t>
      </w:r>
      <w:r w:rsidR="00FB1E86" w:rsidRPr="00D970F7">
        <w:rPr>
          <w:spacing w:val="-4"/>
          <w:lang w:val="en-GB"/>
        </w:rPr>
        <w:t xml:space="preserve">halt of export, </w:t>
      </w:r>
      <w:r w:rsidR="002765C1" w:rsidRPr="00D970F7">
        <w:rPr>
          <w:spacing w:val="-4"/>
          <w:lang w:val="en-GB"/>
        </w:rPr>
        <w:t xml:space="preserve">demand on the part of </w:t>
      </w:r>
      <w:r w:rsidR="00FB1E86" w:rsidRPr="00D970F7">
        <w:rPr>
          <w:spacing w:val="-4"/>
          <w:lang w:val="en-GB"/>
        </w:rPr>
        <w:t xml:space="preserve">buyers </w:t>
      </w:r>
      <w:r w:rsidR="002765C1" w:rsidRPr="00D970F7">
        <w:rPr>
          <w:spacing w:val="-4"/>
          <w:lang w:val="en-GB"/>
        </w:rPr>
        <w:t>abroad also decreased</w:t>
      </w:r>
      <w:r w:rsidR="00FB1E86" w:rsidRPr="00D970F7">
        <w:rPr>
          <w:spacing w:val="-4"/>
          <w:lang w:val="en-GB"/>
        </w:rPr>
        <w:t xml:space="preserve">. </w:t>
      </w:r>
      <w:r w:rsidR="004A7447" w:rsidRPr="00D970F7">
        <w:rPr>
          <w:spacing w:val="-4"/>
          <w:lang w:val="en-GB"/>
        </w:rPr>
        <w:t xml:space="preserve">Expenditure on gross capital formation also had an adverse effect on the GDP growth. The investment activity itself fell by </w:t>
      </w:r>
      <w:r w:rsidR="008462F1" w:rsidRPr="00D970F7">
        <w:rPr>
          <w:spacing w:val="-4"/>
          <w:lang w:val="en-GB"/>
        </w:rPr>
        <w:t>4</w:t>
      </w:r>
      <w:r w:rsidR="004A7447" w:rsidRPr="00D970F7">
        <w:rPr>
          <w:spacing w:val="-4"/>
          <w:lang w:val="en-GB"/>
        </w:rPr>
        <w:t>.</w:t>
      </w:r>
      <w:r w:rsidR="008462F1" w:rsidRPr="00D970F7">
        <w:rPr>
          <w:spacing w:val="-4"/>
          <w:lang w:val="en-GB"/>
        </w:rPr>
        <w:t>8%</w:t>
      </w:r>
      <w:r w:rsidR="004A7447" w:rsidRPr="00D970F7">
        <w:rPr>
          <w:spacing w:val="-4"/>
          <w:lang w:val="en-GB"/>
        </w:rPr>
        <w:t xml:space="preserve"> in Q2 year-on-year</w:t>
      </w:r>
      <w:r w:rsidR="008462F1" w:rsidRPr="00D970F7">
        <w:rPr>
          <w:spacing w:val="-4"/>
          <w:lang w:val="en-GB"/>
        </w:rPr>
        <w:t xml:space="preserve">. </w:t>
      </w:r>
      <w:r w:rsidR="007E3D86" w:rsidRPr="00D970F7">
        <w:rPr>
          <w:spacing w:val="-4"/>
          <w:lang w:val="en-GB"/>
        </w:rPr>
        <w:t>The domestic consumption, especially the household consumption, which decreased by 7.6% year-on-year also shared in the GDP decrease</w:t>
      </w:r>
      <w:r w:rsidR="008462F1" w:rsidRPr="00D970F7">
        <w:rPr>
          <w:spacing w:val="-4"/>
          <w:lang w:val="en-GB"/>
        </w:rPr>
        <w:t xml:space="preserve">. </w:t>
      </w:r>
      <w:r w:rsidR="00616F73" w:rsidRPr="00D970F7">
        <w:rPr>
          <w:spacing w:val="-4"/>
          <w:lang w:val="en-GB"/>
        </w:rPr>
        <w:t>The economic downturn was also very substantial in the European Union</w:t>
      </w:r>
      <w:r w:rsidR="008462F1" w:rsidRPr="00D970F7">
        <w:rPr>
          <w:spacing w:val="-4"/>
          <w:lang w:val="en-GB"/>
        </w:rPr>
        <w:t xml:space="preserve">. </w:t>
      </w:r>
      <w:r w:rsidR="007E3D86" w:rsidRPr="00D970F7">
        <w:rPr>
          <w:spacing w:val="-4"/>
          <w:lang w:val="en-GB"/>
        </w:rPr>
        <w:t xml:space="preserve">Year-on-year decline amounted to </w:t>
      </w:r>
      <w:r w:rsidR="008462F1" w:rsidRPr="00D970F7">
        <w:rPr>
          <w:spacing w:val="-4"/>
          <w:lang w:val="en-GB"/>
        </w:rPr>
        <w:t>1</w:t>
      </w:r>
      <w:r w:rsidR="009461B1">
        <w:rPr>
          <w:spacing w:val="-4"/>
          <w:lang w:val="en-GB"/>
        </w:rPr>
        <w:t>3</w:t>
      </w:r>
      <w:r w:rsidR="007E3D86" w:rsidRPr="00D970F7">
        <w:rPr>
          <w:spacing w:val="-4"/>
          <w:lang w:val="en-GB"/>
        </w:rPr>
        <w:t>.</w:t>
      </w:r>
      <w:r w:rsidR="009461B1">
        <w:rPr>
          <w:spacing w:val="-4"/>
          <w:lang w:val="en-GB"/>
        </w:rPr>
        <w:t>9</w:t>
      </w:r>
      <w:r w:rsidR="008462F1" w:rsidRPr="00D970F7">
        <w:rPr>
          <w:spacing w:val="-4"/>
          <w:lang w:val="en-GB"/>
        </w:rPr>
        <w:t xml:space="preserve">%, </w:t>
      </w:r>
      <w:r w:rsidR="00616F73" w:rsidRPr="00D970F7">
        <w:rPr>
          <w:spacing w:val="-4"/>
          <w:lang w:val="en-GB"/>
        </w:rPr>
        <w:t>the GDP fell by 11.</w:t>
      </w:r>
      <w:r w:rsidR="009461B1">
        <w:rPr>
          <w:spacing w:val="-4"/>
          <w:lang w:val="en-GB"/>
        </w:rPr>
        <w:t>4</w:t>
      </w:r>
      <w:r w:rsidR="00616F73" w:rsidRPr="00D970F7">
        <w:rPr>
          <w:spacing w:val="-4"/>
          <w:lang w:val="en-GB"/>
        </w:rPr>
        <w:t xml:space="preserve">% quarter-on-quarter. </w:t>
      </w:r>
    </w:p>
    <w:p w14:paraId="500A28ED" w14:textId="5B1CEEB7" w:rsidR="008462F1" w:rsidRPr="00D970F7" w:rsidRDefault="004A7447" w:rsidP="008462F1">
      <w:pPr>
        <w:pStyle w:val="Normalodrka"/>
        <w:spacing w:after="100"/>
        <w:rPr>
          <w:spacing w:val="-4"/>
          <w:lang w:val="en-GB"/>
        </w:rPr>
      </w:pPr>
      <w:r w:rsidRPr="00D970F7">
        <w:rPr>
          <w:spacing w:val="-4"/>
          <w:lang w:val="en-GB"/>
        </w:rPr>
        <w:t xml:space="preserve">Gross value added </w:t>
      </w:r>
      <w:r w:rsidR="008462F1" w:rsidRPr="00D970F7">
        <w:rPr>
          <w:spacing w:val="-4"/>
          <w:lang w:val="en-GB"/>
        </w:rPr>
        <w:t>(</w:t>
      </w:r>
      <w:r w:rsidRPr="00D970F7">
        <w:rPr>
          <w:spacing w:val="-4"/>
          <w:lang w:val="en-GB"/>
        </w:rPr>
        <w:t>GVA</w:t>
      </w:r>
      <w:r w:rsidR="008462F1" w:rsidRPr="00D970F7">
        <w:rPr>
          <w:spacing w:val="-4"/>
          <w:lang w:val="en-GB"/>
        </w:rPr>
        <w:t>)</w:t>
      </w:r>
      <w:r w:rsidRPr="00D970F7">
        <w:rPr>
          <w:spacing w:val="-4"/>
          <w:lang w:val="en-GB"/>
        </w:rPr>
        <w:t xml:space="preserve"> </w:t>
      </w:r>
      <w:r w:rsidR="00675B3D" w:rsidRPr="00D970F7">
        <w:rPr>
          <w:spacing w:val="-4"/>
          <w:lang w:val="en-GB"/>
        </w:rPr>
        <w:t xml:space="preserve">plunged by </w:t>
      </w:r>
      <w:r w:rsidR="008462F1" w:rsidRPr="00D970F7">
        <w:rPr>
          <w:spacing w:val="-4"/>
          <w:lang w:val="en-GB"/>
        </w:rPr>
        <w:t>10</w:t>
      </w:r>
      <w:r w:rsidR="00675B3D" w:rsidRPr="00D970F7">
        <w:rPr>
          <w:spacing w:val="-4"/>
          <w:lang w:val="en-GB"/>
        </w:rPr>
        <w:t>.</w:t>
      </w:r>
      <w:r w:rsidR="008462F1" w:rsidRPr="00D970F7">
        <w:rPr>
          <w:spacing w:val="-4"/>
          <w:lang w:val="en-GB"/>
        </w:rPr>
        <w:t>9%</w:t>
      </w:r>
      <w:r w:rsidR="00675B3D" w:rsidRPr="00D970F7">
        <w:rPr>
          <w:spacing w:val="-4"/>
          <w:lang w:val="en-GB"/>
        </w:rPr>
        <w:t xml:space="preserve"> year-on-year and by 9.4% quarter-on-quarter. Given the broad impact of the measures, the GVA fell in majority of branches. The year-on-year slump was very strong in manufacturing. Especially the manufacturing of motor vehicles as well as its associated branches were hit hard. Activity in some branches of services was often </w:t>
      </w:r>
      <w:r w:rsidR="00816BCA" w:rsidRPr="00D970F7">
        <w:rPr>
          <w:spacing w:val="-4"/>
          <w:lang w:val="en-GB"/>
        </w:rPr>
        <w:t>directly</w:t>
      </w:r>
      <w:r w:rsidR="00675B3D" w:rsidRPr="00D970F7">
        <w:rPr>
          <w:spacing w:val="-4"/>
          <w:lang w:val="en-GB"/>
        </w:rPr>
        <w:t xml:space="preserve"> restricted, which was mostly apparent in the grouping</w:t>
      </w:r>
      <w:r w:rsidR="00887780" w:rsidRPr="00D970F7">
        <w:rPr>
          <w:spacing w:val="-4"/>
          <w:lang w:val="en-GB"/>
        </w:rPr>
        <w:t xml:space="preserve"> </w:t>
      </w:r>
      <w:r w:rsidR="00816BCA" w:rsidRPr="00D970F7">
        <w:rPr>
          <w:lang w:val="en-GB"/>
        </w:rPr>
        <w:t>trade, transportation, accommodation and food service</w:t>
      </w:r>
      <w:r w:rsidR="008462F1" w:rsidRPr="00D970F7">
        <w:rPr>
          <w:spacing w:val="-4"/>
          <w:lang w:val="en-GB"/>
        </w:rPr>
        <w:t xml:space="preserve"> (</w:t>
      </w:r>
      <w:r w:rsidR="00AA5D84" w:rsidRPr="00D970F7">
        <w:rPr>
          <w:spacing w:val="-4"/>
          <w:lang w:val="en-GB"/>
        </w:rPr>
        <w:t xml:space="preserve">GVA decreased by </w:t>
      </w:r>
      <w:r w:rsidR="008462F1" w:rsidRPr="00D970F7">
        <w:rPr>
          <w:spacing w:val="-4"/>
          <w:lang w:val="en-GB"/>
        </w:rPr>
        <w:t>20</w:t>
      </w:r>
      <w:r w:rsidR="00AA5D84" w:rsidRPr="00D970F7">
        <w:rPr>
          <w:spacing w:val="-4"/>
          <w:lang w:val="en-GB"/>
        </w:rPr>
        <w:t>.</w:t>
      </w:r>
      <w:r w:rsidR="008462F1" w:rsidRPr="00D970F7">
        <w:rPr>
          <w:spacing w:val="-4"/>
          <w:lang w:val="en-GB"/>
        </w:rPr>
        <w:t xml:space="preserve">5%). </w:t>
      </w:r>
      <w:r w:rsidR="00AA5D84" w:rsidRPr="00D970F7">
        <w:rPr>
          <w:spacing w:val="-4"/>
          <w:lang w:val="en-GB"/>
        </w:rPr>
        <w:t xml:space="preserve">Despite universal decline, information and communication </w:t>
      </w:r>
      <w:r w:rsidR="00196A04" w:rsidRPr="00D970F7">
        <w:rPr>
          <w:spacing w:val="-4"/>
          <w:lang w:val="en-GB"/>
        </w:rPr>
        <w:t xml:space="preserve">managed to maintain </w:t>
      </w:r>
      <w:r w:rsidR="00AA5D84" w:rsidRPr="00D970F7">
        <w:rPr>
          <w:spacing w:val="-4"/>
          <w:lang w:val="en-GB"/>
        </w:rPr>
        <w:t xml:space="preserve">mild year-on-year rise </w:t>
      </w:r>
      <w:r w:rsidR="008462F1" w:rsidRPr="00D970F7">
        <w:rPr>
          <w:spacing w:val="-4"/>
          <w:lang w:val="en-GB"/>
        </w:rPr>
        <w:t>(1</w:t>
      </w:r>
      <w:r w:rsidR="00AA5D84" w:rsidRPr="00D970F7">
        <w:rPr>
          <w:spacing w:val="-4"/>
          <w:lang w:val="en-GB"/>
        </w:rPr>
        <w:t>.</w:t>
      </w:r>
      <w:r w:rsidR="008462F1" w:rsidRPr="00D970F7">
        <w:rPr>
          <w:spacing w:val="-4"/>
          <w:lang w:val="en-GB"/>
        </w:rPr>
        <w:t xml:space="preserve">1%). </w:t>
      </w:r>
      <w:r w:rsidR="007B3172" w:rsidRPr="00D970F7">
        <w:rPr>
          <w:spacing w:val="-4"/>
          <w:lang w:val="en-GB"/>
        </w:rPr>
        <w:t>GVA</w:t>
      </w:r>
      <w:r w:rsidR="00196A04" w:rsidRPr="00D970F7">
        <w:rPr>
          <w:spacing w:val="-4"/>
          <w:lang w:val="en-GB"/>
        </w:rPr>
        <w:t xml:space="preserve"> decrease did not spare construction </w:t>
      </w:r>
      <w:r w:rsidR="008462F1" w:rsidRPr="00D970F7">
        <w:rPr>
          <w:spacing w:val="-4"/>
          <w:lang w:val="en-GB"/>
        </w:rPr>
        <w:t>(–6</w:t>
      </w:r>
      <w:r w:rsidR="00196A04" w:rsidRPr="00D970F7">
        <w:rPr>
          <w:spacing w:val="-4"/>
          <w:lang w:val="en-GB"/>
        </w:rPr>
        <w:t>.</w:t>
      </w:r>
      <w:r w:rsidR="008462F1" w:rsidRPr="00D970F7">
        <w:rPr>
          <w:spacing w:val="-4"/>
          <w:lang w:val="en-GB"/>
        </w:rPr>
        <w:t>2%).</w:t>
      </w:r>
    </w:p>
    <w:p w14:paraId="30D0DA19" w14:textId="4F32A53B" w:rsidR="008462F1" w:rsidRPr="00D970F7" w:rsidRDefault="002E3834" w:rsidP="008462F1">
      <w:pPr>
        <w:pStyle w:val="Normalodrka"/>
        <w:spacing w:after="100"/>
        <w:rPr>
          <w:spacing w:val="-4"/>
          <w:lang w:val="en-GB"/>
        </w:rPr>
      </w:pPr>
      <w:r w:rsidRPr="00D970F7">
        <w:rPr>
          <w:spacing w:val="-4"/>
          <w:lang w:val="en-GB"/>
        </w:rPr>
        <w:t xml:space="preserve">The value of </w:t>
      </w:r>
      <w:r w:rsidR="00887780" w:rsidRPr="00D970F7">
        <w:rPr>
          <w:spacing w:val="-4"/>
          <w:lang w:val="en-GB"/>
        </w:rPr>
        <w:t xml:space="preserve">export </w:t>
      </w:r>
      <w:r w:rsidRPr="00D970F7">
        <w:rPr>
          <w:spacing w:val="-4"/>
          <w:lang w:val="en-GB"/>
        </w:rPr>
        <w:t>of goods slumped by 215.1 CZK bn year-on-year in Q</w:t>
      </w:r>
      <w:r w:rsidR="008462F1" w:rsidRPr="00D970F7">
        <w:rPr>
          <w:spacing w:val="-4"/>
          <w:lang w:val="en-GB"/>
        </w:rPr>
        <w:t>2.</w:t>
      </w:r>
      <w:r w:rsidRPr="00D970F7">
        <w:rPr>
          <w:spacing w:val="-4"/>
          <w:lang w:val="en-GB"/>
        </w:rPr>
        <w:t xml:space="preserve"> </w:t>
      </w:r>
      <w:r w:rsidR="00196A04" w:rsidRPr="00D970F7">
        <w:rPr>
          <w:spacing w:val="-4"/>
          <w:lang w:val="en-GB"/>
        </w:rPr>
        <w:t xml:space="preserve">Value of imported goods fell by 169.5 CZK bn </w:t>
      </w:r>
      <w:r w:rsidR="008462F1" w:rsidRPr="00D970F7">
        <w:rPr>
          <w:spacing w:val="-4"/>
          <w:lang w:val="en-GB"/>
        </w:rPr>
        <w:t>(19</w:t>
      </w:r>
      <w:r w:rsidR="00196A04" w:rsidRPr="00D970F7">
        <w:rPr>
          <w:spacing w:val="-4"/>
          <w:lang w:val="en-GB"/>
        </w:rPr>
        <w:t>.</w:t>
      </w:r>
      <w:r w:rsidR="008462F1" w:rsidRPr="00D970F7">
        <w:rPr>
          <w:spacing w:val="-4"/>
          <w:lang w:val="en-GB"/>
        </w:rPr>
        <w:t xml:space="preserve">0%). </w:t>
      </w:r>
      <w:r w:rsidR="006D5925" w:rsidRPr="00D970F7">
        <w:rPr>
          <w:spacing w:val="-4"/>
          <w:lang w:val="en-GB"/>
        </w:rPr>
        <w:t xml:space="preserve">Resulting balance achieved surplus of </w:t>
      </w:r>
      <w:r w:rsidR="008462F1" w:rsidRPr="00D970F7">
        <w:rPr>
          <w:spacing w:val="-4"/>
          <w:lang w:val="en-GB"/>
        </w:rPr>
        <w:t>11</w:t>
      </w:r>
      <w:r w:rsidR="006D5925" w:rsidRPr="00D970F7">
        <w:rPr>
          <w:spacing w:val="-4"/>
          <w:lang w:val="en-GB"/>
        </w:rPr>
        <w:t>.</w:t>
      </w:r>
      <w:r w:rsidR="008462F1" w:rsidRPr="00D970F7">
        <w:rPr>
          <w:spacing w:val="-4"/>
          <w:lang w:val="en-GB"/>
        </w:rPr>
        <w:t>4 </w:t>
      </w:r>
      <w:r w:rsidR="006D5925" w:rsidRPr="00D970F7">
        <w:rPr>
          <w:spacing w:val="-4"/>
          <w:lang w:val="en-GB"/>
        </w:rPr>
        <w:t>CZK bn</w:t>
      </w:r>
      <w:r w:rsidR="008462F1" w:rsidRPr="00D970F7">
        <w:rPr>
          <w:spacing w:val="-4"/>
          <w:lang w:val="en-GB"/>
        </w:rPr>
        <w:t xml:space="preserve">, </w:t>
      </w:r>
      <w:r w:rsidR="006D5925" w:rsidRPr="00D970F7">
        <w:rPr>
          <w:spacing w:val="-4"/>
          <w:lang w:val="en-GB"/>
        </w:rPr>
        <w:t xml:space="preserve">it however worsened by </w:t>
      </w:r>
      <w:r w:rsidR="008462F1" w:rsidRPr="00D970F7">
        <w:rPr>
          <w:spacing w:val="-4"/>
          <w:lang w:val="en-GB"/>
        </w:rPr>
        <w:t>45</w:t>
      </w:r>
      <w:r w:rsidR="006D5925" w:rsidRPr="00D970F7">
        <w:rPr>
          <w:spacing w:val="-4"/>
          <w:lang w:val="en-GB"/>
        </w:rPr>
        <w:t>.</w:t>
      </w:r>
      <w:r w:rsidR="008462F1" w:rsidRPr="00D970F7">
        <w:rPr>
          <w:spacing w:val="-4"/>
          <w:lang w:val="en-GB"/>
        </w:rPr>
        <w:t>6 </w:t>
      </w:r>
      <w:r w:rsidR="006D5925" w:rsidRPr="00D970F7">
        <w:rPr>
          <w:spacing w:val="-4"/>
          <w:lang w:val="en-GB"/>
        </w:rPr>
        <w:t>bn year-on-year</w:t>
      </w:r>
      <w:r w:rsidR="008462F1" w:rsidRPr="00D970F7">
        <w:rPr>
          <w:spacing w:val="-4"/>
          <w:lang w:val="en-GB"/>
        </w:rPr>
        <w:t xml:space="preserve">. </w:t>
      </w:r>
      <w:r w:rsidR="00196A04" w:rsidRPr="00D970F7">
        <w:rPr>
          <w:spacing w:val="-4"/>
          <w:lang w:val="en-GB"/>
        </w:rPr>
        <w:t>Sale of motor vehicles, which was the main reason of the surplus growth in the recent years, affected the worsened balance the most. The balance worsened by 49.6 CZK bn in Q</w:t>
      </w:r>
      <w:r w:rsidR="008462F1" w:rsidRPr="00D970F7">
        <w:rPr>
          <w:spacing w:val="-4"/>
          <w:lang w:val="en-GB"/>
        </w:rPr>
        <w:t>2</w:t>
      </w:r>
      <w:r w:rsidR="00196A04" w:rsidRPr="00D970F7">
        <w:rPr>
          <w:spacing w:val="-4"/>
          <w:lang w:val="en-GB"/>
        </w:rPr>
        <w:t xml:space="preserve"> here</w:t>
      </w:r>
      <w:r w:rsidR="008462F1" w:rsidRPr="00D970F7">
        <w:rPr>
          <w:spacing w:val="-4"/>
          <w:lang w:val="en-GB"/>
        </w:rPr>
        <w:t>.</w:t>
      </w:r>
      <w:r w:rsidR="00196A04" w:rsidRPr="00D970F7">
        <w:rPr>
          <w:spacing w:val="-4"/>
          <w:lang w:val="en-GB"/>
        </w:rPr>
        <w:t xml:space="preserve"> </w:t>
      </w:r>
      <w:r w:rsidR="00AB5DBC" w:rsidRPr="00D970F7">
        <w:rPr>
          <w:spacing w:val="-4"/>
          <w:lang w:val="en-GB"/>
        </w:rPr>
        <w:t xml:space="preserve">The usual deficit of trade with oil and natural gas on the contrary eased by 19.8 CZK bn in connection with the slump of their prices. </w:t>
      </w:r>
    </w:p>
    <w:p w14:paraId="574BCE4B" w14:textId="44F1AA9C" w:rsidR="008462F1" w:rsidRPr="00D970F7" w:rsidRDefault="00423EAD" w:rsidP="008462F1">
      <w:pPr>
        <w:pStyle w:val="Normalodrka"/>
        <w:spacing w:after="100"/>
        <w:rPr>
          <w:spacing w:val="-4"/>
          <w:lang w:val="en-GB"/>
        </w:rPr>
      </w:pPr>
      <w:r w:rsidRPr="00D970F7">
        <w:rPr>
          <w:spacing w:val="-4"/>
          <w:lang w:val="en-GB"/>
        </w:rPr>
        <w:t xml:space="preserve">Year-on-year dynamics of the consumer prices reached </w:t>
      </w:r>
      <w:r w:rsidR="008462F1" w:rsidRPr="00D970F7">
        <w:rPr>
          <w:spacing w:val="-4"/>
          <w:lang w:val="en-GB"/>
        </w:rPr>
        <w:t>3</w:t>
      </w:r>
      <w:r w:rsidRPr="00D970F7">
        <w:rPr>
          <w:spacing w:val="-4"/>
          <w:lang w:val="en-GB"/>
        </w:rPr>
        <w:t>.</w:t>
      </w:r>
      <w:r w:rsidR="008462F1" w:rsidRPr="00D970F7">
        <w:rPr>
          <w:spacing w:val="-4"/>
          <w:lang w:val="en-GB"/>
        </w:rPr>
        <w:t>1%</w:t>
      </w:r>
      <w:r w:rsidRPr="00D970F7">
        <w:rPr>
          <w:spacing w:val="-4"/>
          <w:lang w:val="en-GB"/>
        </w:rPr>
        <w:t xml:space="preserve"> in Q2 and slowed down slightly compared to Q</w:t>
      </w:r>
      <w:r w:rsidR="008462F1" w:rsidRPr="00D970F7">
        <w:rPr>
          <w:spacing w:val="-4"/>
          <w:lang w:val="en-GB"/>
        </w:rPr>
        <w:t>1.</w:t>
      </w:r>
      <w:r w:rsidRPr="00D970F7">
        <w:rPr>
          <w:spacing w:val="-4"/>
          <w:lang w:val="en-GB"/>
        </w:rPr>
        <w:t xml:space="preserve"> Food and non-alcoholic beverages, whose year-on-year additions </w:t>
      </w:r>
      <w:r w:rsidR="00905B4D" w:rsidRPr="00D970F7">
        <w:rPr>
          <w:spacing w:val="-4"/>
          <w:lang w:val="en-GB"/>
        </w:rPr>
        <w:t xml:space="preserve">accelerated to 6.5% contributed the most to the growth of the consumer prices. </w:t>
      </w:r>
      <w:r w:rsidR="00A20127" w:rsidRPr="00D970F7">
        <w:rPr>
          <w:spacing w:val="-4"/>
          <w:lang w:val="en-GB"/>
        </w:rPr>
        <w:t>In contrast, the growth of prices of housing and energies slowed down to 3.2% in Q</w:t>
      </w:r>
      <w:r w:rsidR="008462F1" w:rsidRPr="00D970F7">
        <w:rPr>
          <w:spacing w:val="-4"/>
          <w:lang w:val="en-GB"/>
        </w:rPr>
        <w:t>2.</w:t>
      </w:r>
      <w:r w:rsidR="00A20127" w:rsidRPr="00D970F7">
        <w:rPr>
          <w:spacing w:val="-4"/>
          <w:lang w:val="en-GB"/>
        </w:rPr>
        <w:t xml:space="preserve"> </w:t>
      </w:r>
      <w:r w:rsidR="00D37149" w:rsidRPr="00D970F7">
        <w:rPr>
          <w:spacing w:val="-4"/>
          <w:lang w:val="en-GB"/>
        </w:rPr>
        <w:t xml:space="preserve">Impact of </w:t>
      </w:r>
      <w:r w:rsidR="00DB0B87" w:rsidRPr="00D970F7">
        <w:rPr>
          <w:spacing w:val="-4"/>
          <w:lang w:val="en-GB"/>
        </w:rPr>
        <w:t xml:space="preserve">increased consumption tax </w:t>
      </w:r>
      <w:r w:rsidR="00D37149" w:rsidRPr="00D970F7">
        <w:rPr>
          <w:spacing w:val="-4"/>
          <w:lang w:val="en-GB"/>
        </w:rPr>
        <w:t>only took full effect in Q</w:t>
      </w:r>
      <w:r w:rsidR="008462F1" w:rsidRPr="00D970F7">
        <w:rPr>
          <w:spacing w:val="-4"/>
          <w:lang w:val="en-GB"/>
        </w:rPr>
        <w:t>2</w:t>
      </w:r>
      <w:r w:rsidR="00DB0B87" w:rsidRPr="00D970F7">
        <w:rPr>
          <w:spacing w:val="-4"/>
          <w:lang w:val="en-GB"/>
        </w:rPr>
        <w:t xml:space="preserve"> and the prices of alcoholic beverages and tobacco were raised by </w:t>
      </w:r>
      <w:r w:rsidR="008462F1" w:rsidRPr="00D970F7">
        <w:rPr>
          <w:spacing w:val="-4"/>
          <w:lang w:val="en-GB"/>
        </w:rPr>
        <w:t>6</w:t>
      </w:r>
      <w:r w:rsidR="00DB0B87" w:rsidRPr="00D970F7">
        <w:rPr>
          <w:spacing w:val="-4"/>
          <w:lang w:val="en-GB"/>
        </w:rPr>
        <w:t>.</w:t>
      </w:r>
      <w:r w:rsidR="008462F1" w:rsidRPr="00D970F7">
        <w:rPr>
          <w:spacing w:val="-4"/>
          <w:lang w:val="en-GB"/>
        </w:rPr>
        <w:t xml:space="preserve">6%. </w:t>
      </w:r>
      <w:r w:rsidR="009B47AC" w:rsidRPr="00D970F7">
        <w:rPr>
          <w:spacing w:val="-4"/>
          <w:lang w:val="en-GB"/>
        </w:rPr>
        <w:t>Prices of accommodation and food service al</w:t>
      </w:r>
      <w:r w:rsidR="00D12949" w:rsidRPr="00D970F7">
        <w:rPr>
          <w:spacing w:val="-4"/>
          <w:lang w:val="en-GB"/>
        </w:rPr>
        <w:t>so</w:t>
      </w:r>
      <w:r w:rsidR="009B47AC" w:rsidRPr="00D970F7">
        <w:rPr>
          <w:spacing w:val="-4"/>
          <w:lang w:val="en-GB"/>
        </w:rPr>
        <w:t xml:space="preserve"> kept notable dynamics </w:t>
      </w:r>
      <w:r w:rsidR="008462F1" w:rsidRPr="00D970F7">
        <w:rPr>
          <w:spacing w:val="-4"/>
          <w:lang w:val="en-GB"/>
        </w:rPr>
        <w:t>(5</w:t>
      </w:r>
      <w:r w:rsidR="009B47AC" w:rsidRPr="00D970F7">
        <w:rPr>
          <w:spacing w:val="-4"/>
          <w:lang w:val="en-GB"/>
        </w:rPr>
        <w:t>.</w:t>
      </w:r>
      <w:r w:rsidR="008462F1" w:rsidRPr="00D970F7">
        <w:rPr>
          <w:spacing w:val="-4"/>
          <w:lang w:val="en-GB"/>
        </w:rPr>
        <w:t xml:space="preserve">1%). </w:t>
      </w:r>
      <w:r w:rsidR="009B47AC" w:rsidRPr="00D970F7">
        <w:rPr>
          <w:spacing w:val="-4"/>
          <w:lang w:val="en-GB"/>
        </w:rPr>
        <w:t xml:space="preserve">While prices of food service rose by </w:t>
      </w:r>
      <w:r w:rsidR="008462F1" w:rsidRPr="00D970F7">
        <w:rPr>
          <w:spacing w:val="-4"/>
          <w:lang w:val="en-GB"/>
        </w:rPr>
        <w:t>5</w:t>
      </w:r>
      <w:r w:rsidR="009B47AC" w:rsidRPr="00D970F7">
        <w:rPr>
          <w:spacing w:val="-4"/>
          <w:lang w:val="en-GB"/>
        </w:rPr>
        <w:t>.</w:t>
      </w:r>
      <w:r w:rsidR="008462F1" w:rsidRPr="00D970F7">
        <w:rPr>
          <w:spacing w:val="-4"/>
          <w:lang w:val="en-GB"/>
        </w:rPr>
        <w:t xml:space="preserve">5%, </w:t>
      </w:r>
      <w:r w:rsidR="009B47AC" w:rsidRPr="00D970F7">
        <w:rPr>
          <w:spacing w:val="-4"/>
          <w:lang w:val="en-GB"/>
        </w:rPr>
        <w:t xml:space="preserve">addition to prices of accommodation slowed sharply down in Q2 </w:t>
      </w:r>
      <w:r w:rsidR="008462F1" w:rsidRPr="00D970F7">
        <w:rPr>
          <w:spacing w:val="-4"/>
          <w:lang w:val="en-GB"/>
        </w:rPr>
        <w:t>(2</w:t>
      </w:r>
      <w:r w:rsidR="009B47AC" w:rsidRPr="00D970F7">
        <w:rPr>
          <w:spacing w:val="-4"/>
          <w:lang w:val="en-GB"/>
        </w:rPr>
        <w:t>.</w:t>
      </w:r>
      <w:r w:rsidR="008462F1" w:rsidRPr="00D970F7">
        <w:rPr>
          <w:spacing w:val="-4"/>
          <w:lang w:val="en-GB"/>
        </w:rPr>
        <w:t xml:space="preserve">5%). </w:t>
      </w:r>
      <w:r w:rsidR="006C46F7" w:rsidRPr="00D970F7">
        <w:rPr>
          <w:spacing w:val="-4"/>
          <w:lang w:val="en-GB"/>
        </w:rPr>
        <w:t xml:space="preserve">Only prices of transportation reduced the total growth of consumer prices </w:t>
      </w:r>
      <w:r w:rsidR="008462F1" w:rsidRPr="00D970F7">
        <w:rPr>
          <w:spacing w:val="-4"/>
          <w:lang w:val="en-GB"/>
        </w:rPr>
        <w:t>(–3</w:t>
      </w:r>
      <w:r w:rsidR="006C46F7" w:rsidRPr="00D970F7">
        <w:rPr>
          <w:spacing w:val="-4"/>
          <w:lang w:val="en-GB"/>
        </w:rPr>
        <w:t>.</w:t>
      </w:r>
      <w:r w:rsidR="008462F1" w:rsidRPr="00D970F7">
        <w:rPr>
          <w:spacing w:val="-4"/>
          <w:lang w:val="en-GB"/>
        </w:rPr>
        <w:t>4%).</w:t>
      </w:r>
    </w:p>
    <w:p w14:paraId="1235EB97" w14:textId="5574D68E" w:rsidR="008462F1" w:rsidRPr="00D970F7" w:rsidRDefault="002429C8" w:rsidP="008462F1">
      <w:pPr>
        <w:pStyle w:val="Normalodrka"/>
        <w:spacing w:after="100"/>
        <w:rPr>
          <w:spacing w:val="-4"/>
          <w:lang w:val="en-GB"/>
        </w:rPr>
      </w:pPr>
      <w:r w:rsidRPr="00D970F7">
        <w:rPr>
          <w:spacing w:val="-4"/>
          <w:lang w:val="en-GB"/>
        </w:rPr>
        <w:t xml:space="preserve">Setting of </w:t>
      </w:r>
      <w:r w:rsidRPr="00D970F7">
        <w:rPr>
          <w:lang w:val="en-GB"/>
        </w:rPr>
        <w:t xml:space="preserve">basic </w:t>
      </w:r>
      <w:r w:rsidRPr="00D970F7">
        <w:rPr>
          <w:spacing w:val="-2"/>
          <w:lang w:val="en-GB"/>
        </w:rPr>
        <w:t>monetary policy-relevant rates changed downwards during Q</w:t>
      </w:r>
      <w:r w:rsidR="008462F1" w:rsidRPr="00D970F7">
        <w:rPr>
          <w:spacing w:val="-4"/>
          <w:lang w:val="en-GB"/>
        </w:rPr>
        <w:t>2.</w:t>
      </w:r>
      <w:r w:rsidRPr="00D970F7">
        <w:rPr>
          <w:spacing w:val="-4"/>
          <w:lang w:val="en-GB"/>
        </w:rPr>
        <w:t xml:space="preserve"> </w:t>
      </w:r>
      <w:r w:rsidR="00E6130F" w:rsidRPr="00D970F7">
        <w:rPr>
          <w:spacing w:val="-4"/>
          <w:lang w:val="en-GB"/>
        </w:rPr>
        <w:t>Rates on client deposits also reacted relatively fast to this development</w:t>
      </w:r>
      <w:r w:rsidR="008462F1" w:rsidRPr="00D970F7">
        <w:rPr>
          <w:spacing w:val="-4"/>
          <w:lang w:val="en-GB"/>
        </w:rPr>
        <w:t xml:space="preserve">, </w:t>
      </w:r>
      <w:r w:rsidR="00E6130F" w:rsidRPr="00D970F7">
        <w:rPr>
          <w:spacing w:val="-4"/>
          <w:lang w:val="en-GB"/>
        </w:rPr>
        <w:t>especially rates on deposits with agreed maturity</w:t>
      </w:r>
      <w:r w:rsidR="008462F1" w:rsidRPr="00D970F7">
        <w:rPr>
          <w:spacing w:val="-4"/>
          <w:lang w:val="en-GB"/>
        </w:rPr>
        <w:t xml:space="preserve">. </w:t>
      </w:r>
      <w:r w:rsidR="00C3526D" w:rsidRPr="00D970F7">
        <w:rPr>
          <w:spacing w:val="-4"/>
          <w:lang w:val="en-GB"/>
        </w:rPr>
        <w:t>Interest rates on credit for households as well as businesses were also cut. However,</w:t>
      </w:r>
      <w:r w:rsidR="00E6130F" w:rsidRPr="00D970F7">
        <w:rPr>
          <w:spacing w:val="-4"/>
          <w:lang w:val="en-GB"/>
        </w:rPr>
        <w:t xml:space="preserve"> in the uncertain economic environment, both households and businesses were more restrained in utilising credit financing. </w:t>
      </w:r>
    </w:p>
    <w:p w14:paraId="399BB940" w14:textId="0E336D6A" w:rsidR="008462F1" w:rsidRPr="00D970F7" w:rsidRDefault="00077DEE" w:rsidP="008462F1">
      <w:pPr>
        <w:pStyle w:val="Normalodrka"/>
        <w:spacing w:after="100"/>
        <w:rPr>
          <w:spacing w:val="-4"/>
          <w:lang w:val="en-GB"/>
        </w:rPr>
      </w:pPr>
      <w:r>
        <w:rPr>
          <w:rFonts w:cs="Arial"/>
          <w:bCs/>
          <w:color w:val="000000"/>
          <w:spacing w:val="-4"/>
          <w:szCs w:val="20"/>
          <w:lang w:val="en-GB"/>
        </w:rPr>
        <w:t>The mea</w:t>
      </w:r>
      <w:r w:rsidR="009B47AC" w:rsidRPr="00D970F7">
        <w:rPr>
          <w:rFonts w:cs="Arial"/>
          <w:bCs/>
          <w:color w:val="000000"/>
          <w:spacing w:val="-4"/>
          <w:szCs w:val="20"/>
          <w:lang w:val="en-GB"/>
        </w:rPr>
        <w:t>sures</w:t>
      </w:r>
      <w:r w:rsidR="00141ACD" w:rsidRPr="00D970F7">
        <w:rPr>
          <w:rFonts w:cs="Arial"/>
          <w:bCs/>
          <w:color w:val="000000"/>
          <w:spacing w:val="-4"/>
          <w:szCs w:val="20"/>
          <w:lang w:val="en-GB"/>
        </w:rPr>
        <w:t xml:space="preserve"> </w:t>
      </w:r>
      <w:r>
        <w:rPr>
          <w:rFonts w:cs="Arial"/>
          <w:bCs/>
          <w:color w:val="000000"/>
          <w:spacing w:val="-4"/>
          <w:szCs w:val="20"/>
          <w:lang w:val="en-GB"/>
        </w:rPr>
        <w:t xml:space="preserve">associated with pandemic </w:t>
      </w:r>
      <w:r w:rsidRPr="00D970F7">
        <w:rPr>
          <w:rFonts w:cs="Arial"/>
          <w:bCs/>
          <w:color w:val="000000"/>
          <w:spacing w:val="-4"/>
          <w:szCs w:val="20"/>
          <w:lang w:val="en-GB"/>
        </w:rPr>
        <w:t xml:space="preserve">manifested </w:t>
      </w:r>
      <w:r w:rsidR="00141ACD" w:rsidRPr="00D970F7">
        <w:rPr>
          <w:rFonts w:cs="Arial"/>
          <w:bCs/>
          <w:color w:val="000000"/>
          <w:spacing w:val="-4"/>
          <w:szCs w:val="20"/>
          <w:lang w:val="en-GB"/>
        </w:rPr>
        <w:t xml:space="preserve">on the labour market mainly as the downturn of economic activity in Q2. Total employment dropped by </w:t>
      </w:r>
      <w:r w:rsidR="008462F1" w:rsidRPr="00D970F7">
        <w:rPr>
          <w:rFonts w:cs="Arial"/>
          <w:bCs/>
          <w:color w:val="000000"/>
          <w:spacing w:val="-4"/>
          <w:szCs w:val="20"/>
          <w:lang w:val="en-GB"/>
        </w:rPr>
        <w:t>1</w:t>
      </w:r>
      <w:r w:rsidR="00141ACD" w:rsidRPr="00D970F7">
        <w:rPr>
          <w:rFonts w:cs="Arial"/>
          <w:bCs/>
          <w:color w:val="000000"/>
          <w:spacing w:val="-4"/>
          <w:szCs w:val="20"/>
          <w:lang w:val="en-GB"/>
        </w:rPr>
        <w:t>.</w:t>
      </w:r>
      <w:r w:rsidR="008462F1" w:rsidRPr="00D970F7">
        <w:rPr>
          <w:rFonts w:cs="Arial"/>
          <w:bCs/>
          <w:color w:val="000000"/>
          <w:spacing w:val="-4"/>
          <w:szCs w:val="20"/>
          <w:lang w:val="en-GB"/>
        </w:rPr>
        <w:t>4%</w:t>
      </w:r>
      <w:r w:rsidR="008462F1" w:rsidRPr="00D970F7">
        <w:rPr>
          <w:rStyle w:val="Znakapoznpodarou"/>
          <w:spacing w:val="-4"/>
          <w:lang w:val="en-GB"/>
        </w:rPr>
        <w:footnoteReference w:id="2"/>
      </w:r>
      <w:r w:rsidR="00141ACD" w:rsidRPr="00D970F7">
        <w:rPr>
          <w:rFonts w:cs="Arial"/>
          <w:bCs/>
          <w:color w:val="000000"/>
          <w:spacing w:val="-4"/>
          <w:szCs w:val="20"/>
          <w:lang w:val="en-GB"/>
        </w:rPr>
        <w:t xml:space="preserve"> quarter-on-quarter and </w:t>
      </w:r>
      <w:r w:rsidR="00ED142F" w:rsidRPr="00D970F7">
        <w:rPr>
          <w:rFonts w:cs="Arial"/>
          <w:bCs/>
          <w:color w:val="000000"/>
          <w:spacing w:val="-4"/>
          <w:szCs w:val="20"/>
          <w:lang w:val="en-GB"/>
        </w:rPr>
        <w:t xml:space="preserve">it was decreasing especially in manufacturing and in part of services. General unemployment rate however went up only slightly </w:t>
      </w:r>
      <w:r w:rsidR="008462F1" w:rsidRPr="00D970F7">
        <w:rPr>
          <w:rFonts w:cs="Arial"/>
          <w:bCs/>
          <w:color w:val="000000"/>
          <w:spacing w:val="-4"/>
          <w:szCs w:val="20"/>
          <w:lang w:val="en-GB"/>
        </w:rPr>
        <w:t>(</w:t>
      </w:r>
      <w:r w:rsidR="00ED142F" w:rsidRPr="00D970F7">
        <w:rPr>
          <w:rFonts w:cs="Arial"/>
          <w:bCs/>
          <w:color w:val="000000"/>
          <w:spacing w:val="-4"/>
          <w:szCs w:val="20"/>
          <w:lang w:val="en-GB"/>
        </w:rPr>
        <w:t xml:space="preserve">it was </w:t>
      </w:r>
      <w:r w:rsidR="008462F1" w:rsidRPr="00D970F7">
        <w:rPr>
          <w:rFonts w:cs="Arial"/>
          <w:bCs/>
          <w:color w:val="000000"/>
          <w:spacing w:val="-4"/>
          <w:szCs w:val="20"/>
          <w:lang w:val="en-GB"/>
        </w:rPr>
        <w:t>2</w:t>
      </w:r>
      <w:r w:rsidR="00ED142F" w:rsidRPr="00D970F7">
        <w:rPr>
          <w:rFonts w:cs="Arial"/>
          <w:bCs/>
          <w:color w:val="000000"/>
          <w:spacing w:val="-4"/>
          <w:szCs w:val="20"/>
          <w:lang w:val="en-GB"/>
        </w:rPr>
        <w:t>.</w:t>
      </w:r>
      <w:r w:rsidR="008462F1" w:rsidRPr="00D970F7">
        <w:rPr>
          <w:rFonts w:cs="Arial"/>
          <w:bCs/>
          <w:color w:val="000000"/>
          <w:spacing w:val="-4"/>
          <w:szCs w:val="20"/>
          <w:lang w:val="en-GB"/>
        </w:rPr>
        <w:t>7%</w:t>
      </w:r>
      <w:r w:rsidR="00ED142F" w:rsidRPr="00D970F7">
        <w:rPr>
          <w:rFonts w:cs="Arial"/>
          <w:bCs/>
          <w:color w:val="000000"/>
          <w:spacing w:val="-4"/>
          <w:szCs w:val="20"/>
          <w:lang w:val="en-GB"/>
        </w:rPr>
        <w:t xml:space="preserve"> in June</w:t>
      </w:r>
      <w:r w:rsidR="008462F1" w:rsidRPr="00D970F7">
        <w:rPr>
          <w:rFonts w:cs="Arial"/>
          <w:bCs/>
          <w:color w:val="000000"/>
          <w:spacing w:val="-4"/>
          <w:szCs w:val="20"/>
          <w:lang w:val="en-GB"/>
        </w:rPr>
        <w:t xml:space="preserve">), </w:t>
      </w:r>
      <w:r w:rsidR="00ED142F" w:rsidRPr="00D970F7">
        <w:rPr>
          <w:rFonts w:cs="Arial"/>
          <w:bCs/>
          <w:color w:val="000000"/>
          <w:spacing w:val="-4"/>
          <w:szCs w:val="20"/>
          <w:lang w:val="en-GB"/>
        </w:rPr>
        <w:t xml:space="preserve">among other things due to large share of persons, who left the labour market in the crisis </w:t>
      </w:r>
      <w:r w:rsidR="008462F1" w:rsidRPr="00D970F7">
        <w:rPr>
          <w:rFonts w:cs="Arial"/>
          <w:bCs/>
          <w:color w:val="000000"/>
          <w:spacing w:val="-4"/>
          <w:szCs w:val="20"/>
          <w:lang w:val="en-GB"/>
        </w:rPr>
        <w:t>(</w:t>
      </w:r>
      <w:r w:rsidR="00ED142F" w:rsidRPr="00D970F7">
        <w:rPr>
          <w:rFonts w:cs="Arial"/>
          <w:bCs/>
          <w:color w:val="000000"/>
          <w:spacing w:val="-4"/>
          <w:szCs w:val="20"/>
          <w:lang w:val="en-GB"/>
        </w:rPr>
        <w:t>foreigners, working seniors</w:t>
      </w:r>
      <w:r w:rsidR="008462F1" w:rsidRPr="00D970F7">
        <w:rPr>
          <w:rFonts w:cs="Arial"/>
          <w:bCs/>
          <w:color w:val="000000"/>
          <w:spacing w:val="-4"/>
          <w:szCs w:val="20"/>
          <w:lang w:val="en-GB"/>
        </w:rPr>
        <w:t xml:space="preserve">). </w:t>
      </w:r>
      <w:r w:rsidR="00ED142F" w:rsidRPr="00D970F7">
        <w:rPr>
          <w:rFonts w:cs="Arial"/>
          <w:bCs/>
          <w:color w:val="000000"/>
          <w:spacing w:val="-4"/>
          <w:szCs w:val="20"/>
          <w:lang w:val="en-GB"/>
        </w:rPr>
        <w:t xml:space="preserve">The average wage </w:t>
      </w:r>
      <w:r w:rsidR="00D32377" w:rsidRPr="00D970F7">
        <w:rPr>
          <w:rFonts w:cs="Arial"/>
          <w:bCs/>
          <w:color w:val="000000"/>
          <w:spacing w:val="-4"/>
          <w:szCs w:val="20"/>
          <w:lang w:val="en-GB"/>
        </w:rPr>
        <w:t xml:space="preserve">grew only by </w:t>
      </w:r>
      <w:r w:rsidR="008462F1" w:rsidRPr="00D970F7">
        <w:rPr>
          <w:rFonts w:cs="Arial"/>
          <w:bCs/>
          <w:color w:val="000000"/>
          <w:spacing w:val="-4"/>
          <w:szCs w:val="20"/>
          <w:lang w:val="en-GB"/>
        </w:rPr>
        <w:t>0</w:t>
      </w:r>
      <w:r w:rsidR="00D32377" w:rsidRPr="00D970F7">
        <w:rPr>
          <w:rFonts w:cs="Arial"/>
          <w:bCs/>
          <w:color w:val="000000"/>
          <w:spacing w:val="-4"/>
          <w:szCs w:val="20"/>
          <w:lang w:val="en-GB"/>
        </w:rPr>
        <w:t>.</w:t>
      </w:r>
      <w:r w:rsidR="008462F1" w:rsidRPr="00D970F7">
        <w:rPr>
          <w:rFonts w:cs="Arial"/>
          <w:bCs/>
          <w:color w:val="000000"/>
          <w:spacing w:val="-4"/>
          <w:szCs w:val="20"/>
          <w:lang w:val="en-GB"/>
        </w:rPr>
        <w:t>5%</w:t>
      </w:r>
      <w:r w:rsidR="00D32377" w:rsidRPr="00D970F7">
        <w:rPr>
          <w:rFonts w:cs="Arial"/>
          <w:bCs/>
          <w:color w:val="000000"/>
          <w:spacing w:val="-4"/>
          <w:szCs w:val="20"/>
          <w:lang w:val="en-GB"/>
        </w:rPr>
        <w:t xml:space="preserve"> year-on-year in Q2</w:t>
      </w:r>
      <w:r w:rsidR="008462F1" w:rsidRPr="00D970F7">
        <w:rPr>
          <w:rFonts w:cs="Arial"/>
          <w:bCs/>
          <w:color w:val="000000"/>
          <w:spacing w:val="-4"/>
          <w:szCs w:val="20"/>
          <w:lang w:val="en-GB"/>
        </w:rPr>
        <w:t xml:space="preserve">. </w:t>
      </w:r>
      <w:r w:rsidR="00D32377" w:rsidRPr="00D970F7">
        <w:rPr>
          <w:rFonts w:cs="Arial"/>
          <w:bCs/>
          <w:color w:val="000000"/>
          <w:spacing w:val="-4"/>
          <w:szCs w:val="20"/>
          <w:lang w:val="en-GB"/>
        </w:rPr>
        <w:t xml:space="preserve">The development was also considerably </w:t>
      </w:r>
      <w:r w:rsidR="00DC690D" w:rsidRPr="00D970F7">
        <w:rPr>
          <w:rFonts w:cs="Arial"/>
          <w:bCs/>
          <w:color w:val="000000"/>
          <w:spacing w:val="-4"/>
          <w:szCs w:val="20"/>
          <w:lang w:val="en-GB"/>
        </w:rPr>
        <w:t xml:space="preserve">diversified. </w:t>
      </w:r>
      <w:r w:rsidR="00EF406A" w:rsidRPr="00D970F7">
        <w:rPr>
          <w:rFonts w:cs="Arial"/>
          <w:bCs/>
          <w:color w:val="000000"/>
          <w:spacing w:val="-4"/>
          <w:szCs w:val="20"/>
          <w:lang w:val="en-GB"/>
        </w:rPr>
        <w:t xml:space="preserve">The average wage fell the most in the strongly hit branch of accommodation, food service and restaurants, wages were nevertheless falling also in other services. </w:t>
      </w:r>
      <w:r w:rsidR="004C2189" w:rsidRPr="00D970F7">
        <w:rPr>
          <w:rFonts w:cs="Arial"/>
          <w:bCs/>
          <w:color w:val="000000"/>
          <w:spacing w:val="-4"/>
          <w:szCs w:val="20"/>
          <w:lang w:val="en-GB"/>
        </w:rPr>
        <w:t>Wages also plunged in manufacturing. In contrast, the aver</w:t>
      </w:r>
      <w:r w:rsidR="002238F3">
        <w:rPr>
          <w:rFonts w:cs="Arial"/>
          <w:bCs/>
          <w:color w:val="000000"/>
          <w:spacing w:val="-4"/>
          <w:szCs w:val="20"/>
          <w:lang w:val="en-GB"/>
        </w:rPr>
        <w:t>age wage rose in information,</w:t>
      </w:r>
      <w:r w:rsidR="004C2189" w:rsidRPr="00D970F7">
        <w:rPr>
          <w:rFonts w:cs="Arial"/>
          <w:bCs/>
          <w:color w:val="000000"/>
          <w:spacing w:val="-4"/>
          <w:szCs w:val="20"/>
          <w:lang w:val="en-GB"/>
        </w:rPr>
        <w:t xml:space="preserve"> communication</w:t>
      </w:r>
      <w:r w:rsidR="00EF406A" w:rsidRPr="00D970F7">
        <w:rPr>
          <w:rFonts w:cs="Arial"/>
          <w:bCs/>
          <w:color w:val="000000"/>
          <w:spacing w:val="-4"/>
          <w:szCs w:val="20"/>
          <w:lang w:val="en-GB"/>
        </w:rPr>
        <w:t xml:space="preserve"> and in </w:t>
      </w:r>
      <w:r>
        <w:rPr>
          <w:rFonts w:cs="Arial"/>
          <w:bCs/>
          <w:color w:val="000000"/>
          <w:spacing w:val="-4"/>
          <w:szCs w:val="20"/>
          <w:lang w:val="en-GB"/>
        </w:rPr>
        <w:t xml:space="preserve">energy as well as in </w:t>
      </w:r>
      <w:r w:rsidR="00EF406A" w:rsidRPr="00D970F7">
        <w:rPr>
          <w:rFonts w:cs="Arial"/>
          <w:bCs/>
          <w:color w:val="000000"/>
          <w:spacing w:val="-4"/>
          <w:szCs w:val="20"/>
          <w:lang w:val="en-GB"/>
        </w:rPr>
        <w:t>services with predominan</w:t>
      </w:r>
      <w:r>
        <w:rPr>
          <w:rFonts w:cs="Arial"/>
          <w:bCs/>
          <w:color w:val="000000"/>
          <w:spacing w:val="-4"/>
          <w:szCs w:val="20"/>
          <w:lang w:val="en-GB"/>
        </w:rPr>
        <w:t>ce of the public sector</w:t>
      </w:r>
      <w:r w:rsidR="00EF406A" w:rsidRPr="00D970F7">
        <w:rPr>
          <w:rFonts w:cs="Arial"/>
          <w:bCs/>
          <w:color w:val="000000"/>
          <w:spacing w:val="-4"/>
          <w:szCs w:val="20"/>
          <w:lang w:val="en-GB"/>
        </w:rPr>
        <w:t xml:space="preserve">. </w:t>
      </w:r>
      <w:r w:rsidR="00FD6B56">
        <w:rPr>
          <w:rFonts w:cs="Arial"/>
          <w:bCs/>
          <w:color w:val="000000"/>
          <w:spacing w:val="-4"/>
          <w:szCs w:val="20"/>
          <w:lang w:val="en-GB"/>
        </w:rPr>
        <w:t>Given the strong</w:t>
      </w:r>
      <w:r w:rsidR="004C2189" w:rsidRPr="00D970F7">
        <w:rPr>
          <w:rFonts w:cs="Arial"/>
          <w:bCs/>
          <w:color w:val="000000"/>
          <w:spacing w:val="-4"/>
          <w:szCs w:val="20"/>
          <w:lang w:val="en-GB"/>
        </w:rPr>
        <w:t xml:space="preserve"> growth </w:t>
      </w:r>
      <w:r w:rsidR="00FD6B56">
        <w:rPr>
          <w:rFonts w:cs="Arial"/>
          <w:bCs/>
          <w:color w:val="000000"/>
          <w:spacing w:val="-4"/>
          <w:szCs w:val="20"/>
          <w:lang w:val="en-GB"/>
        </w:rPr>
        <w:t xml:space="preserve">of consumer prices </w:t>
      </w:r>
      <w:r w:rsidR="004C2189" w:rsidRPr="00D970F7">
        <w:rPr>
          <w:rFonts w:cs="Arial"/>
          <w:bCs/>
          <w:color w:val="000000"/>
          <w:spacing w:val="-4"/>
          <w:szCs w:val="20"/>
          <w:lang w:val="en-GB"/>
        </w:rPr>
        <w:t xml:space="preserve">however, the average wage in the economy fell by 2.5% in real terms. </w:t>
      </w:r>
    </w:p>
    <w:p w14:paraId="0ABB408E" w14:textId="57D02840" w:rsidR="00E25124" w:rsidRDefault="008462F1" w:rsidP="008462F1">
      <w:pPr>
        <w:pStyle w:val="Normalodrka"/>
        <w:spacing w:after="100"/>
        <w:rPr>
          <w:spacing w:val="-4"/>
          <w:lang w:val="en-GB"/>
        </w:rPr>
      </w:pPr>
      <w:r w:rsidRPr="00D970F7">
        <w:rPr>
          <w:spacing w:val="-4"/>
          <w:lang w:val="en-GB"/>
        </w:rPr>
        <w:t>S</w:t>
      </w:r>
      <w:r w:rsidR="000A517B" w:rsidRPr="00D970F7">
        <w:rPr>
          <w:spacing w:val="-4"/>
          <w:lang w:val="en-GB"/>
        </w:rPr>
        <w:t xml:space="preserve">tate budget shortfall reached </w:t>
      </w:r>
      <w:r w:rsidRPr="00D970F7">
        <w:rPr>
          <w:spacing w:val="-4"/>
          <w:lang w:val="en-GB"/>
        </w:rPr>
        <w:t>195</w:t>
      </w:r>
      <w:r w:rsidR="000A517B" w:rsidRPr="00D970F7">
        <w:rPr>
          <w:spacing w:val="-4"/>
          <w:lang w:val="en-GB"/>
        </w:rPr>
        <w:t>.</w:t>
      </w:r>
      <w:r w:rsidRPr="00D970F7">
        <w:rPr>
          <w:spacing w:val="-4"/>
          <w:lang w:val="en-GB"/>
        </w:rPr>
        <w:t>2</w:t>
      </w:r>
      <w:r w:rsidR="000A517B" w:rsidRPr="00D970F7">
        <w:rPr>
          <w:spacing w:val="-4"/>
          <w:lang w:val="en-GB"/>
        </w:rPr>
        <w:t xml:space="preserve"> CZK bn in H1. Impacts of the pandemic measures were apparent on both revenue and cost side of the budget especially in Q2. Total revenues dropped by </w:t>
      </w:r>
      <w:r w:rsidR="00603F18" w:rsidRPr="00D970F7">
        <w:rPr>
          <w:spacing w:val="-4"/>
          <w:lang w:val="en-GB"/>
        </w:rPr>
        <w:t>5.9% year-on-year in H</w:t>
      </w:r>
      <w:r w:rsidRPr="00D970F7">
        <w:rPr>
          <w:spacing w:val="-4"/>
          <w:lang w:val="en-GB"/>
        </w:rPr>
        <w:t>1.</w:t>
      </w:r>
      <w:r w:rsidR="00603F18" w:rsidRPr="00D970F7">
        <w:rPr>
          <w:spacing w:val="-4"/>
          <w:lang w:val="en-GB"/>
        </w:rPr>
        <w:t xml:space="preserve"> </w:t>
      </w:r>
      <w:r w:rsidR="00227C96" w:rsidRPr="00D970F7">
        <w:rPr>
          <w:spacing w:val="-4"/>
          <w:lang w:val="en-GB"/>
        </w:rPr>
        <w:t xml:space="preserve">On </w:t>
      </w:r>
      <w:r w:rsidR="00227C96" w:rsidRPr="00D970F7">
        <w:rPr>
          <w:spacing w:val="-4"/>
          <w:lang w:val="en-GB"/>
        </w:rPr>
        <w:lastRenderedPageBreak/>
        <w:t xml:space="preserve">the revenue side, the main occurrence was the evaporation of tax collections resulting from the hampered economic activity as well as measures to strengthen the liquidity of businesses affected by downswing in sales. </w:t>
      </w:r>
      <w:r w:rsidR="001F0AE4" w:rsidRPr="00D970F7">
        <w:rPr>
          <w:spacing w:val="-4"/>
          <w:lang w:val="en-GB"/>
        </w:rPr>
        <w:t>Cost</w:t>
      </w:r>
      <w:r w:rsidR="006479A4" w:rsidRPr="00D970F7">
        <w:rPr>
          <w:spacing w:val="-4"/>
          <w:lang w:val="en-GB"/>
        </w:rPr>
        <w:t>s</w:t>
      </w:r>
      <w:r w:rsidR="001F0AE4" w:rsidRPr="00D970F7">
        <w:rPr>
          <w:spacing w:val="-4"/>
          <w:lang w:val="en-GB"/>
        </w:rPr>
        <w:t xml:space="preserve"> on the contrary increased by </w:t>
      </w:r>
      <w:r w:rsidRPr="00D970F7">
        <w:rPr>
          <w:spacing w:val="-4"/>
          <w:lang w:val="en-GB"/>
        </w:rPr>
        <w:t>17</w:t>
      </w:r>
      <w:r w:rsidR="001F0AE4" w:rsidRPr="00D970F7">
        <w:rPr>
          <w:spacing w:val="-4"/>
          <w:lang w:val="en-GB"/>
        </w:rPr>
        <w:t>.</w:t>
      </w:r>
      <w:r w:rsidRPr="00D970F7">
        <w:rPr>
          <w:spacing w:val="-4"/>
          <w:lang w:val="en-GB"/>
        </w:rPr>
        <w:t>0%.</w:t>
      </w:r>
      <w:r w:rsidR="001F0AE4" w:rsidRPr="00D970F7">
        <w:rPr>
          <w:spacing w:val="-4"/>
          <w:lang w:val="en-GB"/>
        </w:rPr>
        <w:t xml:space="preserve"> More than one third of </w:t>
      </w:r>
      <w:r w:rsidR="003C38C4" w:rsidRPr="00D970F7">
        <w:rPr>
          <w:spacing w:val="-4"/>
          <w:lang w:val="en-GB"/>
        </w:rPr>
        <w:t xml:space="preserve">current </w:t>
      </w:r>
      <w:r w:rsidR="006479A4" w:rsidRPr="00D970F7">
        <w:rPr>
          <w:spacing w:val="-4"/>
          <w:lang w:val="en-GB"/>
        </w:rPr>
        <w:t xml:space="preserve">expenditures </w:t>
      </w:r>
      <w:r w:rsidR="003C38C4" w:rsidRPr="00D970F7">
        <w:rPr>
          <w:spacing w:val="-4"/>
          <w:lang w:val="en-GB"/>
        </w:rPr>
        <w:t>increase was connected to the counter pandemic measures, higher drawing on social benefits however also contributed by similar rate.</w:t>
      </w:r>
    </w:p>
    <w:p w14:paraId="261EAB56" w14:textId="7194F417" w:rsidR="008462F1" w:rsidRPr="00D970F7" w:rsidRDefault="00E25124" w:rsidP="00E25124">
      <w:pPr>
        <w:spacing w:after="0" w:line="240" w:lineRule="auto"/>
        <w:jc w:val="left"/>
        <w:rPr>
          <w:spacing w:val="-4"/>
          <w:lang w:val="en-GB"/>
        </w:rPr>
      </w:pPr>
      <w:r>
        <w:rPr>
          <w:spacing w:val="-4"/>
          <w:lang w:val="en-GB"/>
        </w:rPr>
        <w:br w:type="page"/>
      </w:r>
    </w:p>
    <w:p w14:paraId="4A717878" w14:textId="27D8A62A" w:rsidR="00640E6B" w:rsidRPr="00D970F7" w:rsidRDefault="00640E6B" w:rsidP="008462F1">
      <w:pPr>
        <w:pStyle w:val="Nadpis1"/>
        <w:rPr>
          <w:lang w:val="en-GB"/>
        </w:rPr>
      </w:pPr>
      <w:bookmarkStart w:id="6" w:name="_Toc53468173"/>
      <w:bookmarkEnd w:id="3"/>
      <w:r w:rsidRPr="00D970F7">
        <w:rPr>
          <w:lang w:val="en-GB"/>
        </w:rPr>
        <w:lastRenderedPageBreak/>
        <w:t>2. </w:t>
      </w:r>
      <w:r w:rsidR="004C2189" w:rsidRPr="00D970F7">
        <w:rPr>
          <w:lang w:val="en-GB"/>
        </w:rPr>
        <w:t>Overall Economic Performance</w:t>
      </w:r>
      <w:bookmarkEnd w:id="6"/>
    </w:p>
    <w:tbl>
      <w:tblPr>
        <w:tblW w:w="9639" w:type="dxa"/>
        <w:tblInd w:w="-20" w:type="dxa"/>
        <w:tblCellMar>
          <w:left w:w="0" w:type="dxa"/>
          <w:right w:w="0" w:type="dxa"/>
        </w:tblCellMar>
        <w:tblLook w:val="00A0" w:firstRow="1" w:lastRow="0" w:firstColumn="1" w:lastColumn="0" w:noHBand="0" w:noVBand="0"/>
      </w:tblPr>
      <w:tblGrid>
        <w:gridCol w:w="1806"/>
        <w:gridCol w:w="223"/>
        <w:gridCol w:w="7610"/>
      </w:tblGrid>
      <w:tr w:rsidR="00640E6B" w:rsidRPr="00D970F7" w14:paraId="29F3416C" w14:textId="77777777" w:rsidTr="00E1168B">
        <w:trPr>
          <w:trHeight w:val="145"/>
        </w:trPr>
        <w:tc>
          <w:tcPr>
            <w:tcW w:w="1806" w:type="dxa"/>
            <w:shd w:val="clear" w:color="auto" w:fill="auto"/>
            <w:tcMar>
              <w:left w:w="0" w:type="dxa"/>
            </w:tcMar>
          </w:tcPr>
          <w:p w14:paraId="7E2765A3" w14:textId="33D20A8C" w:rsidR="00640E6B" w:rsidRPr="00D970F7" w:rsidRDefault="001127EE" w:rsidP="00E1168B">
            <w:pPr>
              <w:pStyle w:val="Marginlie"/>
              <w:rPr>
                <w:lang w:val="en-GB"/>
              </w:rPr>
            </w:pPr>
            <w:r w:rsidRPr="00D970F7">
              <w:rPr>
                <w:lang w:val="en-GB"/>
              </w:rPr>
              <w:t xml:space="preserve">In relation to </w:t>
            </w:r>
            <w:r w:rsidR="00640E6B" w:rsidRPr="00D970F7">
              <w:rPr>
                <w:lang w:val="en-GB"/>
              </w:rPr>
              <w:t>covid-19</w:t>
            </w:r>
            <w:r w:rsidRPr="00D970F7">
              <w:rPr>
                <w:lang w:val="en-GB"/>
              </w:rPr>
              <w:t>, the Czech economy recorded the deepest downturn in its history</w:t>
            </w:r>
            <w:r w:rsidR="00640E6B" w:rsidRPr="00D970F7">
              <w:rPr>
                <w:lang w:val="en-GB"/>
              </w:rPr>
              <w:t>.</w:t>
            </w:r>
          </w:p>
        </w:tc>
        <w:tc>
          <w:tcPr>
            <w:tcW w:w="223" w:type="dxa"/>
            <w:shd w:val="clear" w:color="auto" w:fill="auto"/>
            <w:tcMar>
              <w:left w:w="0" w:type="dxa"/>
            </w:tcMar>
          </w:tcPr>
          <w:p w14:paraId="48731A72"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2CA678D" w14:textId="61D5FE09" w:rsidR="00640E6B" w:rsidRPr="00D970F7" w:rsidRDefault="006542AF" w:rsidP="00E1168B">
            <w:pPr>
              <w:spacing w:after="220"/>
              <w:rPr>
                <w:spacing w:val="-2"/>
                <w:lang w:val="en-GB"/>
              </w:rPr>
            </w:pPr>
            <w:r w:rsidRPr="00D970F7">
              <w:rPr>
                <w:spacing w:val="-2"/>
                <w:lang w:val="en-GB"/>
              </w:rPr>
              <w:t>The Czech economy underwent the worst econom</w:t>
            </w:r>
            <w:r w:rsidR="00D063BE" w:rsidRPr="00D970F7">
              <w:rPr>
                <w:spacing w:val="-2"/>
                <w:lang w:val="en-GB"/>
              </w:rPr>
              <w:t>ic</w:t>
            </w:r>
            <w:r w:rsidRPr="00D970F7">
              <w:rPr>
                <w:spacing w:val="-2"/>
                <w:lang w:val="en-GB"/>
              </w:rPr>
              <w:t xml:space="preserve"> downturn in its history in Q2 </w:t>
            </w:r>
            <w:r w:rsidR="00640E6B" w:rsidRPr="00D970F7">
              <w:rPr>
                <w:spacing w:val="-2"/>
                <w:lang w:val="en-GB"/>
              </w:rPr>
              <w:t>2020</w:t>
            </w:r>
            <w:r w:rsidRPr="00D970F7">
              <w:rPr>
                <w:spacing w:val="-2"/>
                <w:lang w:val="en-GB"/>
              </w:rPr>
              <w:t xml:space="preserve">. The Gross domestic product (GDP) sunk by </w:t>
            </w:r>
            <w:r w:rsidR="00640E6B" w:rsidRPr="00D970F7">
              <w:rPr>
                <w:spacing w:val="-2"/>
                <w:lang w:val="en-GB"/>
              </w:rPr>
              <w:t>11</w:t>
            </w:r>
            <w:r w:rsidRPr="00D970F7">
              <w:rPr>
                <w:spacing w:val="-2"/>
                <w:lang w:val="en-GB"/>
              </w:rPr>
              <w:t>.</w:t>
            </w:r>
            <w:r w:rsidR="00640E6B" w:rsidRPr="00D970F7">
              <w:rPr>
                <w:spacing w:val="-2"/>
                <w:lang w:val="en-GB"/>
              </w:rPr>
              <w:t>0%</w:t>
            </w:r>
            <w:r w:rsidR="00640E6B" w:rsidRPr="00D970F7">
              <w:rPr>
                <w:rStyle w:val="Znakapoznpodarou"/>
                <w:rFonts w:cs="Arial"/>
                <w:spacing w:val="-2"/>
                <w:lang w:val="en-GB"/>
              </w:rPr>
              <w:footnoteReference w:id="3"/>
            </w:r>
            <w:r w:rsidRPr="00D970F7">
              <w:rPr>
                <w:spacing w:val="-2"/>
                <w:lang w:val="en-GB"/>
              </w:rPr>
              <w:t xml:space="preserve"> year-on-year</w:t>
            </w:r>
            <w:r w:rsidR="00640E6B" w:rsidRPr="00D970F7">
              <w:rPr>
                <w:spacing w:val="-2"/>
                <w:lang w:val="en-GB"/>
              </w:rPr>
              <w:t xml:space="preserve"> (</w:t>
            </w:r>
            <w:r w:rsidRPr="00D970F7">
              <w:rPr>
                <w:spacing w:val="-2"/>
                <w:lang w:val="en-GB"/>
              </w:rPr>
              <w:t>the previous deepest fall from Q</w:t>
            </w:r>
            <w:r w:rsidR="00640E6B" w:rsidRPr="00D970F7">
              <w:rPr>
                <w:spacing w:val="-2"/>
                <w:lang w:val="en-GB"/>
              </w:rPr>
              <w:t>2</w:t>
            </w:r>
            <w:r w:rsidRPr="00D970F7">
              <w:rPr>
                <w:spacing w:val="-2"/>
                <w:lang w:val="en-GB"/>
              </w:rPr>
              <w:t xml:space="preserve"> </w:t>
            </w:r>
            <w:r w:rsidR="00640E6B" w:rsidRPr="00D970F7">
              <w:rPr>
                <w:spacing w:val="-2"/>
                <w:lang w:val="en-GB"/>
              </w:rPr>
              <w:t>2009</w:t>
            </w:r>
            <w:r w:rsidRPr="00D970F7">
              <w:rPr>
                <w:spacing w:val="-2"/>
                <w:lang w:val="en-GB"/>
              </w:rPr>
              <w:t xml:space="preserve"> was </w:t>
            </w:r>
            <w:r w:rsidR="00640E6B" w:rsidRPr="00D970F7">
              <w:rPr>
                <w:spacing w:val="-2"/>
                <w:lang w:val="en-GB"/>
              </w:rPr>
              <w:t>5</w:t>
            </w:r>
            <w:r w:rsidRPr="00D970F7">
              <w:rPr>
                <w:spacing w:val="-2"/>
                <w:lang w:val="en-GB"/>
              </w:rPr>
              <w:t>.</w:t>
            </w:r>
            <w:r w:rsidR="00640E6B" w:rsidRPr="00D970F7">
              <w:rPr>
                <w:spacing w:val="-2"/>
                <w:lang w:val="en-GB"/>
              </w:rPr>
              <w:t xml:space="preserve">4%). </w:t>
            </w:r>
            <w:r w:rsidR="009C175C" w:rsidRPr="00D970F7">
              <w:rPr>
                <w:spacing w:val="-2"/>
                <w:lang w:val="en-GB"/>
              </w:rPr>
              <w:t>It was the consequence of the extraordinary situation of the counter pandemic measures, when the operation</w:t>
            </w:r>
            <w:r w:rsidR="00F3729C" w:rsidRPr="00D970F7">
              <w:rPr>
                <w:spacing w:val="-2"/>
                <w:lang w:val="en-GB"/>
              </w:rPr>
              <w:t>s</w:t>
            </w:r>
            <w:r w:rsidR="009C175C" w:rsidRPr="00D970F7">
              <w:rPr>
                <w:spacing w:val="-2"/>
                <w:lang w:val="en-GB"/>
              </w:rPr>
              <w:t xml:space="preserve"> in large part of the economy, especially services, retail trade as well as some important industrial branches w</w:t>
            </w:r>
            <w:r w:rsidR="00F3729C" w:rsidRPr="00D970F7">
              <w:rPr>
                <w:spacing w:val="-2"/>
                <w:lang w:val="en-GB"/>
              </w:rPr>
              <w:t>ere</w:t>
            </w:r>
            <w:r w:rsidR="009C175C" w:rsidRPr="00D970F7">
              <w:rPr>
                <w:spacing w:val="-2"/>
                <w:lang w:val="en-GB"/>
              </w:rPr>
              <w:t xml:space="preserve"> halted or restricted</w:t>
            </w:r>
            <w:r w:rsidR="00640E6B" w:rsidRPr="00D970F7">
              <w:rPr>
                <w:spacing w:val="-2"/>
                <w:lang w:val="en-GB"/>
              </w:rPr>
              <w:t xml:space="preserve">. </w:t>
            </w:r>
            <w:r w:rsidR="009407C6" w:rsidRPr="00D970F7">
              <w:rPr>
                <w:spacing w:val="-2"/>
                <w:lang w:val="en-GB"/>
              </w:rPr>
              <w:t>The development commencing already during March, affecting also the results of Q</w:t>
            </w:r>
            <w:r w:rsidR="00640E6B" w:rsidRPr="00D970F7">
              <w:rPr>
                <w:spacing w:val="-2"/>
                <w:lang w:val="en-GB"/>
              </w:rPr>
              <w:t>1</w:t>
            </w:r>
            <w:r w:rsidR="009407C6" w:rsidRPr="00D970F7">
              <w:rPr>
                <w:spacing w:val="-2"/>
                <w:lang w:val="en-GB"/>
              </w:rPr>
              <w:t xml:space="preserve"> </w:t>
            </w:r>
            <w:r w:rsidR="00640E6B" w:rsidRPr="00D970F7">
              <w:rPr>
                <w:spacing w:val="-2"/>
                <w:lang w:val="en-GB"/>
              </w:rPr>
              <w:t>(</w:t>
            </w:r>
            <w:r w:rsidR="009407C6" w:rsidRPr="00D970F7">
              <w:rPr>
                <w:spacing w:val="-2"/>
                <w:lang w:val="en-GB"/>
              </w:rPr>
              <w:t xml:space="preserve">GDP decrease of </w:t>
            </w:r>
            <w:r w:rsidR="00640E6B" w:rsidRPr="00D970F7">
              <w:rPr>
                <w:spacing w:val="-2"/>
                <w:lang w:val="en-GB"/>
              </w:rPr>
              <w:t>1</w:t>
            </w:r>
            <w:r w:rsidR="009407C6" w:rsidRPr="00D970F7">
              <w:rPr>
                <w:spacing w:val="-2"/>
                <w:lang w:val="en-GB"/>
              </w:rPr>
              <w:t>.</w:t>
            </w:r>
            <w:r w:rsidR="00640E6B" w:rsidRPr="00D970F7">
              <w:rPr>
                <w:spacing w:val="-2"/>
                <w:lang w:val="en-GB"/>
              </w:rPr>
              <w:t>9%)</w:t>
            </w:r>
            <w:r w:rsidR="009407C6" w:rsidRPr="00D970F7">
              <w:rPr>
                <w:spacing w:val="-2"/>
                <w:lang w:val="en-GB"/>
              </w:rPr>
              <w:t xml:space="preserve"> thus continued</w:t>
            </w:r>
            <w:r w:rsidR="00640E6B" w:rsidRPr="00D970F7">
              <w:rPr>
                <w:spacing w:val="-2"/>
                <w:lang w:val="en-GB"/>
              </w:rPr>
              <w:t xml:space="preserve">. </w:t>
            </w:r>
            <w:r w:rsidR="006C69D4" w:rsidRPr="00D970F7">
              <w:rPr>
                <w:spacing w:val="-2"/>
                <w:lang w:val="en-GB"/>
              </w:rPr>
              <w:t xml:space="preserve">All its components </w:t>
            </w:r>
            <w:r w:rsidR="00842D20" w:rsidRPr="00D970F7">
              <w:rPr>
                <w:spacing w:val="-2"/>
                <w:lang w:val="en-GB"/>
              </w:rPr>
              <w:t>exerted influence upon the GDP in the direction of its downturn in Q</w:t>
            </w:r>
            <w:r w:rsidR="00640E6B" w:rsidRPr="00D970F7">
              <w:rPr>
                <w:spacing w:val="-2"/>
                <w:lang w:val="en-GB"/>
              </w:rPr>
              <w:t>2.</w:t>
            </w:r>
            <w:r w:rsidR="00842D20" w:rsidRPr="00D970F7">
              <w:rPr>
                <w:spacing w:val="-2"/>
                <w:lang w:val="en-GB"/>
              </w:rPr>
              <w:t xml:space="preserve"> The strongest was the slump of foreign trade balance </w:t>
            </w:r>
            <w:r w:rsidR="00640E6B" w:rsidRPr="00D970F7">
              <w:rPr>
                <w:spacing w:val="-2"/>
                <w:lang w:val="en-GB"/>
              </w:rPr>
              <w:t>(–7</w:t>
            </w:r>
            <w:r w:rsidR="00842D20" w:rsidRPr="00D970F7">
              <w:rPr>
                <w:spacing w:val="-2"/>
                <w:lang w:val="en-GB"/>
              </w:rPr>
              <w:t>.</w:t>
            </w:r>
            <w:r w:rsidR="00640E6B" w:rsidRPr="00D970F7">
              <w:rPr>
                <w:spacing w:val="-2"/>
                <w:lang w:val="en-GB"/>
              </w:rPr>
              <w:t>9 p.</w:t>
            </w:r>
            <w:r w:rsidR="00842D20" w:rsidRPr="00D970F7">
              <w:rPr>
                <w:spacing w:val="-2"/>
                <w:lang w:val="en-GB"/>
              </w:rPr>
              <w:t>p</w:t>
            </w:r>
            <w:r w:rsidR="00640E6B" w:rsidRPr="00D970F7">
              <w:rPr>
                <w:spacing w:val="-2"/>
                <w:lang w:val="en-GB"/>
              </w:rPr>
              <w:t>.)</w:t>
            </w:r>
            <w:r w:rsidR="00640E6B" w:rsidRPr="00D970F7">
              <w:rPr>
                <w:rStyle w:val="Znakapoznpodarou"/>
                <w:spacing w:val="-2"/>
                <w:lang w:val="en-GB"/>
              </w:rPr>
              <w:footnoteReference w:id="4"/>
            </w:r>
            <w:r w:rsidR="00640E6B" w:rsidRPr="00D970F7">
              <w:rPr>
                <w:spacing w:val="-2"/>
                <w:lang w:val="en-GB"/>
              </w:rPr>
              <w:t xml:space="preserve">. </w:t>
            </w:r>
            <w:r w:rsidR="006C69D4" w:rsidRPr="00D970F7">
              <w:rPr>
                <w:spacing w:val="-2"/>
                <w:lang w:val="en-GB"/>
              </w:rPr>
              <w:t xml:space="preserve">It was partly caused by the suspension of production in some domestic </w:t>
            </w:r>
            <w:r w:rsidR="00842D20" w:rsidRPr="00D970F7">
              <w:rPr>
                <w:spacing w:val="-2"/>
                <w:lang w:val="en-GB"/>
              </w:rPr>
              <w:t>export-oriented</w:t>
            </w:r>
            <w:r w:rsidR="006C69D4" w:rsidRPr="00D970F7">
              <w:rPr>
                <w:spacing w:val="-2"/>
                <w:lang w:val="en-GB"/>
              </w:rPr>
              <w:t xml:space="preserve"> businesses, partly also by the</w:t>
            </w:r>
            <w:r w:rsidR="00842D20" w:rsidRPr="00D970F7">
              <w:rPr>
                <w:spacing w:val="-2"/>
                <w:lang w:val="en-GB"/>
              </w:rPr>
              <w:t xml:space="preserve"> </w:t>
            </w:r>
            <w:r w:rsidR="00503784" w:rsidRPr="00D970F7">
              <w:rPr>
                <w:spacing w:val="-2"/>
                <w:lang w:val="en-GB"/>
              </w:rPr>
              <w:t xml:space="preserve">decrease of demand </w:t>
            </w:r>
            <w:r w:rsidR="000A54B8" w:rsidRPr="00D970F7">
              <w:rPr>
                <w:spacing w:val="-2"/>
                <w:lang w:val="en-GB"/>
              </w:rPr>
              <w:t xml:space="preserve">on the part of foreign producers employing domestic suppliers. </w:t>
            </w:r>
            <w:r w:rsidR="006C69D4" w:rsidRPr="00D970F7">
              <w:rPr>
                <w:spacing w:val="-2"/>
                <w:lang w:val="en-GB"/>
              </w:rPr>
              <w:t>Domestic consum</w:t>
            </w:r>
            <w:r w:rsidR="000A54B8" w:rsidRPr="00D970F7">
              <w:rPr>
                <w:spacing w:val="-2"/>
                <w:lang w:val="en-GB"/>
              </w:rPr>
              <w:t>p</w:t>
            </w:r>
            <w:r w:rsidR="006C69D4" w:rsidRPr="00D970F7">
              <w:rPr>
                <w:spacing w:val="-2"/>
                <w:lang w:val="en-GB"/>
              </w:rPr>
              <w:t xml:space="preserve">tion and investment however went also down. </w:t>
            </w:r>
            <w:r w:rsidR="000A54B8" w:rsidRPr="00D970F7">
              <w:rPr>
                <w:spacing w:val="-2"/>
                <w:lang w:val="en-GB"/>
              </w:rPr>
              <w:t>In comparison to Q</w:t>
            </w:r>
            <w:r w:rsidR="00640E6B" w:rsidRPr="00D970F7">
              <w:rPr>
                <w:spacing w:val="-2"/>
                <w:lang w:val="en-GB"/>
              </w:rPr>
              <w:t>1</w:t>
            </w:r>
            <w:r w:rsidR="000A54B8" w:rsidRPr="00D970F7">
              <w:rPr>
                <w:spacing w:val="-2"/>
                <w:lang w:val="en-GB"/>
              </w:rPr>
              <w:t xml:space="preserve">, the GDP declined by </w:t>
            </w:r>
            <w:r w:rsidR="00640E6B" w:rsidRPr="00D970F7">
              <w:rPr>
                <w:spacing w:val="-2"/>
                <w:lang w:val="en-GB"/>
              </w:rPr>
              <w:t>8</w:t>
            </w:r>
            <w:r w:rsidR="000A54B8" w:rsidRPr="00D970F7">
              <w:rPr>
                <w:spacing w:val="-2"/>
                <w:lang w:val="en-GB"/>
              </w:rPr>
              <w:t>.</w:t>
            </w:r>
            <w:r w:rsidR="00640E6B" w:rsidRPr="00D970F7">
              <w:rPr>
                <w:spacing w:val="-2"/>
                <w:lang w:val="en-GB"/>
              </w:rPr>
              <w:t>7% a</w:t>
            </w:r>
            <w:r w:rsidR="004A7447" w:rsidRPr="00D970F7">
              <w:rPr>
                <w:spacing w:val="-2"/>
                <w:lang w:val="en-GB"/>
              </w:rPr>
              <w:t xml:space="preserve">nd it also represented the deepest recorded fall </w:t>
            </w:r>
            <w:r w:rsidR="00640E6B" w:rsidRPr="00D970F7">
              <w:rPr>
                <w:spacing w:val="-2"/>
                <w:lang w:val="en-GB"/>
              </w:rPr>
              <w:t>(</w:t>
            </w:r>
            <w:r w:rsidR="004A7447" w:rsidRPr="00D970F7">
              <w:rPr>
                <w:spacing w:val="-2"/>
                <w:lang w:val="en-GB"/>
              </w:rPr>
              <w:t xml:space="preserve">previous largest decrease was </w:t>
            </w:r>
            <w:r w:rsidR="00640E6B" w:rsidRPr="00D970F7">
              <w:rPr>
                <w:spacing w:val="-2"/>
                <w:lang w:val="en-GB"/>
              </w:rPr>
              <w:t>3</w:t>
            </w:r>
            <w:r w:rsidR="004A7447" w:rsidRPr="00D970F7">
              <w:rPr>
                <w:spacing w:val="-2"/>
                <w:lang w:val="en-GB"/>
              </w:rPr>
              <w:t>.</w:t>
            </w:r>
            <w:r w:rsidR="00640E6B" w:rsidRPr="00D970F7">
              <w:rPr>
                <w:spacing w:val="-2"/>
                <w:lang w:val="en-GB"/>
              </w:rPr>
              <w:t>4% a</w:t>
            </w:r>
            <w:r w:rsidR="004A7447" w:rsidRPr="00D970F7">
              <w:rPr>
                <w:spacing w:val="-2"/>
                <w:lang w:val="en-GB"/>
              </w:rPr>
              <w:t>nd occurred in Q</w:t>
            </w:r>
            <w:r w:rsidR="00640E6B" w:rsidRPr="00D970F7">
              <w:rPr>
                <w:spacing w:val="-2"/>
                <w:lang w:val="en-GB"/>
              </w:rPr>
              <w:t>1</w:t>
            </w:r>
            <w:r w:rsidR="004A7447" w:rsidRPr="00D970F7">
              <w:rPr>
                <w:spacing w:val="-2"/>
                <w:lang w:val="en-GB"/>
              </w:rPr>
              <w:t xml:space="preserve"> </w:t>
            </w:r>
            <w:r w:rsidR="00640E6B" w:rsidRPr="00D970F7">
              <w:rPr>
                <w:spacing w:val="-2"/>
                <w:lang w:val="en-GB"/>
              </w:rPr>
              <w:t xml:space="preserve">2009). </w:t>
            </w:r>
            <w:r w:rsidR="006C69D4" w:rsidRPr="00D970F7">
              <w:rPr>
                <w:spacing w:val="-2"/>
                <w:lang w:val="en-GB"/>
              </w:rPr>
              <w:t xml:space="preserve">Compared to Q1, the quarter-on-quarter downturn deepened for all GDP components. </w:t>
            </w:r>
          </w:p>
        </w:tc>
      </w:tr>
      <w:tr w:rsidR="00640E6B" w:rsidRPr="00D970F7" w14:paraId="2D538AA1" w14:textId="77777777" w:rsidTr="00E1168B">
        <w:trPr>
          <w:trHeight w:val="170"/>
        </w:trPr>
        <w:tc>
          <w:tcPr>
            <w:tcW w:w="1806" w:type="dxa"/>
            <w:vMerge w:val="restart"/>
            <w:shd w:val="clear" w:color="auto" w:fill="auto"/>
            <w:tcMar>
              <w:left w:w="0" w:type="dxa"/>
            </w:tcMar>
          </w:tcPr>
          <w:p w14:paraId="7421A4B9"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49B951E8"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587FF21" w14:textId="57F42F8D" w:rsidR="00640E6B" w:rsidRPr="00D970F7" w:rsidRDefault="002828EE" w:rsidP="00E1168B">
            <w:pPr>
              <w:spacing w:after="0"/>
              <w:rPr>
                <w:b/>
                <w:szCs w:val="20"/>
                <w:lang w:val="en-GB"/>
              </w:rPr>
            </w:pPr>
            <w:r w:rsidRPr="00D970F7">
              <w:rPr>
                <w:rFonts w:cs="Arial"/>
                <w:b/>
                <w:bCs/>
                <w:color w:val="000000"/>
                <w:sz w:val="18"/>
                <w:szCs w:val="18"/>
                <w:lang w:val="en-GB"/>
              </w:rPr>
              <w:t>Chart</w:t>
            </w:r>
            <w:r w:rsidR="00640E6B" w:rsidRPr="00D970F7">
              <w:rPr>
                <w:rFonts w:cs="Arial"/>
                <w:b/>
                <w:bCs/>
                <w:color w:val="000000"/>
                <w:sz w:val="18"/>
                <w:szCs w:val="18"/>
                <w:lang w:val="en-GB"/>
              </w:rPr>
              <w:t> 1</w:t>
            </w:r>
            <w:r w:rsidR="00D970F7">
              <w:rPr>
                <w:rFonts w:cs="Arial"/>
                <w:b/>
                <w:bCs/>
                <w:color w:val="000000"/>
                <w:sz w:val="18"/>
                <w:szCs w:val="18"/>
                <w:lang w:val="en-GB"/>
              </w:rPr>
              <w:t xml:space="preserve"> </w:t>
            </w:r>
            <w:r w:rsidR="00640E6B" w:rsidRPr="00D970F7">
              <w:rPr>
                <w:rFonts w:cs="Arial"/>
                <w:b/>
                <w:bCs/>
                <w:color w:val="000000"/>
                <w:sz w:val="18"/>
                <w:szCs w:val="18"/>
                <w:lang w:val="en-GB"/>
              </w:rPr>
              <w:t xml:space="preserve"> </w:t>
            </w:r>
            <w:r w:rsidR="00F3729C" w:rsidRPr="00D970F7">
              <w:rPr>
                <w:rFonts w:cs="Arial"/>
                <w:b/>
                <w:bCs/>
                <w:color w:val="000000"/>
                <w:sz w:val="18"/>
                <w:szCs w:val="18"/>
                <w:lang w:val="en-GB"/>
              </w:rPr>
              <w:t>GDP</w:t>
            </w:r>
            <w:r w:rsidR="00640E6B" w:rsidRPr="00D970F7">
              <w:rPr>
                <w:rFonts w:cs="Arial"/>
                <w:b/>
                <w:sz w:val="18"/>
                <w:szCs w:val="18"/>
                <w:lang w:val="en-GB" w:eastAsia="en-US"/>
              </w:rPr>
              <w:t xml:space="preserve"> (</w:t>
            </w:r>
            <w:r w:rsidR="00F3729C" w:rsidRPr="00D970F7">
              <w:rPr>
                <w:rFonts w:cs="Arial"/>
                <w:b/>
                <w:sz w:val="18"/>
                <w:szCs w:val="18"/>
                <w:lang w:val="en-GB" w:eastAsia="en-US"/>
              </w:rPr>
              <w:t>volume indices, adjusted for seasonal and calendar effects, in %)</w:t>
            </w:r>
          </w:p>
        </w:tc>
      </w:tr>
      <w:tr w:rsidR="00640E6B" w:rsidRPr="00D970F7" w14:paraId="72A133AC" w14:textId="77777777" w:rsidTr="002B43B3">
        <w:tblPrEx>
          <w:tblCellMar>
            <w:left w:w="70" w:type="dxa"/>
            <w:right w:w="70" w:type="dxa"/>
          </w:tblCellMar>
        </w:tblPrEx>
        <w:trPr>
          <w:trHeight w:val="170"/>
        </w:trPr>
        <w:tc>
          <w:tcPr>
            <w:tcW w:w="1806" w:type="dxa"/>
            <w:vMerge/>
            <w:shd w:val="clear" w:color="auto" w:fill="auto"/>
          </w:tcPr>
          <w:p w14:paraId="78F9FCB4" w14:textId="77777777" w:rsidR="00640E6B" w:rsidRPr="00D970F7" w:rsidRDefault="00640E6B" w:rsidP="00E1168B">
            <w:pPr>
              <w:pStyle w:val="Marginlie"/>
              <w:rPr>
                <w:lang w:val="en-GB"/>
              </w:rPr>
            </w:pPr>
          </w:p>
        </w:tc>
        <w:tc>
          <w:tcPr>
            <w:tcW w:w="223" w:type="dxa"/>
            <w:vMerge/>
            <w:shd w:val="clear" w:color="auto" w:fill="auto"/>
          </w:tcPr>
          <w:p w14:paraId="29608AC4" w14:textId="77777777" w:rsidR="00640E6B" w:rsidRPr="00D970F7" w:rsidRDefault="00640E6B" w:rsidP="00E1168B">
            <w:pPr>
              <w:pStyle w:val="Textpoznpodarou"/>
              <w:jc w:val="both"/>
              <w:rPr>
                <w:spacing w:val="-4"/>
                <w:lang w:val="en-GB"/>
              </w:rPr>
            </w:pPr>
          </w:p>
        </w:tc>
        <w:tc>
          <w:tcPr>
            <w:tcW w:w="7610" w:type="dxa"/>
            <w:shd w:val="clear" w:color="auto" w:fill="auto"/>
          </w:tcPr>
          <w:p w14:paraId="77B840F7" w14:textId="7E1BE854" w:rsidR="00640E6B" w:rsidRPr="00D970F7" w:rsidRDefault="002B43B3" w:rsidP="00E1168B">
            <w:pPr>
              <w:spacing w:after="0"/>
              <w:rPr>
                <w:lang w:val="en-GB"/>
              </w:rPr>
            </w:pPr>
            <w:r>
              <w:rPr>
                <w:noProof/>
              </w:rPr>
              <w:drawing>
                <wp:inline distT="0" distB="0" distL="0" distR="0" wp14:anchorId="0FACDA73" wp14:editId="1A4B367A">
                  <wp:extent cx="4737600" cy="3553200"/>
                  <wp:effectExtent l="0" t="0" r="6350" b="0"/>
                  <wp:docPr id="5" name="Graf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640E6B" w:rsidRPr="00D970F7" w14:paraId="4C3A690B" w14:textId="77777777" w:rsidTr="00E1168B">
        <w:trPr>
          <w:trHeight w:val="170"/>
        </w:trPr>
        <w:tc>
          <w:tcPr>
            <w:tcW w:w="1806" w:type="dxa"/>
            <w:vMerge/>
            <w:shd w:val="clear" w:color="auto" w:fill="auto"/>
            <w:tcMar>
              <w:left w:w="0" w:type="dxa"/>
            </w:tcMar>
          </w:tcPr>
          <w:p w14:paraId="2D4835B6" w14:textId="77777777" w:rsidR="00640E6B" w:rsidRPr="00D970F7" w:rsidRDefault="00640E6B" w:rsidP="00E1168B">
            <w:pPr>
              <w:pStyle w:val="Marginlie"/>
              <w:rPr>
                <w:lang w:val="en-GB"/>
              </w:rPr>
            </w:pPr>
          </w:p>
        </w:tc>
        <w:tc>
          <w:tcPr>
            <w:tcW w:w="223" w:type="dxa"/>
            <w:vMerge/>
            <w:shd w:val="clear" w:color="auto" w:fill="auto"/>
            <w:tcMar>
              <w:left w:w="0" w:type="dxa"/>
            </w:tcMar>
          </w:tcPr>
          <w:p w14:paraId="46415412"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5342FEEB" w14:textId="34ED5050" w:rsidR="002828EE" w:rsidRPr="00D970F7" w:rsidRDefault="001F0AE4" w:rsidP="002B43B3">
            <w:pPr>
              <w:spacing w:after="220"/>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r w:rsidR="00640E6B" w:rsidRPr="00D970F7">
              <w:rPr>
                <w:sz w:val="14"/>
                <w:szCs w:val="14"/>
                <w:lang w:val="en-GB"/>
              </w:rPr>
              <w:t>, Eurostat</w:t>
            </w:r>
          </w:p>
        </w:tc>
      </w:tr>
      <w:tr w:rsidR="00640E6B" w:rsidRPr="00D970F7" w14:paraId="1057557B" w14:textId="77777777" w:rsidTr="00E1168B">
        <w:trPr>
          <w:trHeight w:val="145"/>
        </w:trPr>
        <w:tc>
          <w:tcPr>
            <w:tcW w:w="1806" w:type="dxa"/>
            <w:shd w:val="clear" w:color="auto" w:fill="auto"/>
            <w:tcMar>
              <w:left w:w="0" w:type="dxa"/>
            </w:tcMar>
          </w:tcPr>
          <w:p w14:paraId="77DCA582" w14:textId="2A1CAB0F" w:rsidR="00640E6B" w:rsidRPr="00D970F7" w:rsidRDefault="001F0AE4" w:rsidP="00E1168B">
            <w:pPr>
              <w:pStyle w:val="Marginlie"/>
              <w:rPr>
                <w:lang w:val="en-GB"/>
              </w:rPr>
            </w:pPr>
            <w:r w:rsidRPr="00D970F7">
              <w:rPr>
                <w:lang w:val="en-GB"/>
              </w:rPr>
              <w:t xml:space="preserve">The whole EU experienced deep economic </w:t>
            </w:r>
            <w:r w:rsidR="00660B4C" w:rsidRPr="00D970F7">
              <w:rPr>
                <w:lang w:val="en-GB"/>
              </w:rPr>
              <w:t>downturn</w:t>
            </w:r>
            <w:r w:rsidRPr="00D970F7">
              <w:rPr>
                <w:lang w:val="en-GB"/>
              </w:rPr>
              <w:t xml:space="preserve">. </w:t>
            </w:r>
          </w:p>
        </w:tc>
        <w:tc>
          <w:tcPr>
            <w:tcW w:w="223" w:type="dxa"/>
            <w:shd w:val="clear" w:color="auto" w:fill="auto"/>
            <w:tcMar>
              <w:left w:w="0" w:type="dxa"/>
            </w:tcMar>
          </w:tcPr>
          <w:p w14:paraId="66C65640"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1E7AFFD" w14:textId="3AD7AF86" w:rsidR="00640E6B" w:rsidRPr="00D970F7" w:rsidRDefault="004068D9" w:rsidP="00F00EC8">
            <w:pPr>
              <w:rPr>
                <w:lang w:val="en-GB"/>
              </w:rPr>
            </w:pPr>
            <w:r w:rsidRPr="00D970F7">
              <w:rPr>
                <w:lang w:val="en-GB"/>
              </w:rPr>
              <w:t xml:space="preserve">Year-on-year decline of GDP attained </w:t>
            </w:r>
            <w:r w:rsidR="00F00EC8" w:rsidRPr="00D970F7">
              <w:rPr>
                <w:lang w:val="en-GB"/>
              </w:rPr>
              <w:t>13</w:t>
            </w:r>
            <w:r w:rsidRPr="00D970F7">
              <w:rPr>
                <w:lang w:val="en-GB"/>
              </w:rPr>
              <w:t>.</w:t>
            </w:r>
            <w:r w:rsidR="00F00EC8" w:rsidRPr="00D970F7">
              <w:rPr>
                <w:lang w:val="en-GB"/>
              </w:rPr>
              <w:t>9</w:t>
            </w:r>
            <w:r w:rsidR="00640E6B" w:rsidRPr="00D970F7">
              <w:rPr>
                <w:lang w:val="en-GB"/>
              </w:rPr>
              <w:t>%</w:t>
            </w:r>
            <w:r w:rsidR="00640E6B" w:rsidRPr="00D970F7">
              <w:rPr>
                <w:rStyle w:val="Znakapoznpodarou"/>
                <w:spacing w:val="-2"/>
                <w:lang w:val="en-GB"/>
              </w:rPr>
              <w:footnoteReference w:id="5"/>
            </w:r>
            <w:r w:rsidRPr="00D970F7">
              <w:rPr>
                <w:lang w:val="en-GB"/>
              </w:rPr>
              <w:t xml:space="preserve"> in the European Union in Q2</w:t>
            </w:r>
            <w:r w:rsidR="00640E6B" w:rsidRPr="00D970F7">
              <w:rPr>
                <w:lang w:val="en-GB"/>
              </w:rPr>
              <w:t xml:space="preserve">. </w:t>
            </w:r>
            <w:r w:rsidRPr="00D970F7">
              <w:rPr>
                <w:lang w:val="en-GB"/>
              </w:rPr>
              <w:t xml:space="preserve">In accordance to expectations, it represented the worst recorded result in history. Since practically the whole Union was tackling more or less strict restrictions related to the coronavirus for the most part of the quarter. </w:t>
            </w:r>
            <w:r w:rsidR="00A61806" w:rsidRPr="00D970F7">
              <w:rPr>
                <w:lang w:val="en-GB"/>
              </w:rPr>
              <w:t xml:space="preserve">View of the individual GDP components shows </w:t>
            </w:r>
            <w:r w:rsidR="00B77EE9" w:rsidRPr="00D970F7">
              <w:rPr>
                <w:lang w:val="en-GB"/>
              </w:rPr>
              <w:t xml:space="preserve">a sharp decline of both consumption and investment activity. Disturbance of the foreign trade and subsequent balance worsening however also had large effect. </w:t>
            </w:r>
            <w:r w:rsidR="00A61806" w:rsidRPr="00D970F7">
              <w:rPr>
                <w:lang w:val="en-GB"/>
              </w:rPr>
              <w:t xml:space="preserve">The GDP fell by </w:t>
            </w:r>
            <w:r w:rsidR="00640E6B" w:rsidRPr="00D970F7">
              <w:rPr>
                <w:lang w:val="en-GB"/>
              </w:rPr>
              <w:t>11</w:t>
            </w:r>
            <w:r w:rsidR="00A61806" w:rsidRPr="00D970F7">
              <w:rPr>
                <w:lang w:val="en-GB"/>
              </w:rPr>
              <w:t>.</w:t>
            </w:r>
            <w:r w:rsidR="00F00EC8" w:rsidRPr="00D970F7">
              <w:rPr>
                <w:lang w:val="en-GB"/>
              </w:rPr>
              <w:t>4</w:t>
            </w:r>
            <w:r w:rsidR="00640E6B" w:rsidRPr="00D970F7">
              <w:rPr>
                <w:lang w:val="en-GB"/>
              </w:rPr>
              <w:t>%</w:t>
            </w:r>
            <w:r w:rsidR="00A61806" w:rsidRPr="00D970F7">
              <w:rPr>
                <w:lang w:val="en-GB"/>
              </w:rPr>
              <w:t xml:space="preserve"> in the Union compared to Q1</w:t>
            </w:r>
            <w:r w:rsidR="00640E6B" w:rsidRPr="00D970F7">
              <w:rPr>
                <w:lang w:val="en-GB"/>
              </w:rPr>
              <w:t xml:space="preserve">. </w:t>
            </w:r>
            <w:r w:rsidR="004B7121" w:rsidRPr="00D970F7">
              <w:rPr>
                <w:lang w:val="en-GB"/>
              </w:rPr>
              <w:t>While several economies managed to maintain year-on-year growth still in Q</w:t>
            </w:r>
            <w:r w:rsidR="00640E6B" w:rsidRPr="00D970F7">
              <w:rPr>
                <w:lang w:val="en-GB"/>
              </w:rPr>
              <w:t>1</w:t>
            </w:r>
            <w:r w:rsidR="004B7121" w:rsidRPr="00D970F7">
              <w:rPr>
                <w:lang w:val="en-GB"/>
              </w:rPr>
              <w:t xml:space="preserve">, the downturn already struck all EU countries </w:t>
            </w:r>
            <w:r w:rsidR="004B7121" w:rsidRPr="00D970F7">
              <w:rPr>
                <w:lang w:val="en-GB"/>
              </w:rPr>
              <w:lastRenderedPageBreak/>
              <w:t>according to the available data in Q</w:t>
            </w:r>
            <w:r w:rsidR="00640E6B" w:rsidRPr="00D970F7">
              <w:rPr>
                <w:lang w:val="en-GB"/>
              </w:rPr>
              <w:t>2.</w:t>
            </w:r>
            <w:r w:rsidR="004B7121" w:rsidRPr="00D970F7">
              <w:rPr>
                <w:lang w:val="en-GB"/>
              </w:rPr>
              <w:t xml:space="preserve"> The largest year-on-year decline occurred in Spain </w:t>
            </w:r>
            <w:r w:rsidR="00640E6B" w:rsidRPr="00D970F7">
              <w:rPr>
                <w:lang w:val="en-GB"/>
              </w:rPr>
              <w:t>(–22</w:t>
            </w:r>
            <w:r w:rsidR="004B7121" w:rsidRPr="00D970F7">
              <w:rPr>
                <w:lang w:val="en-GB"/>
              </w:rPr>
              <w:t>.</w:t>
            </w:r>
            <w:r w:rsidR="00640E6B" w:rsidRPr="00D970F7">
              <w:rPr>
                <w:lang w:val="en-GB"/>
              </w:rPr>
              <w:t>1%), Fran</w:t>
            </w:r>
            <w:r w:rsidR="004B7121" w:rsidRPr="00D970F7">
              <w:rPr>
                <w:lang w:val="en-GB"/>
              </w:rPr>
              <w:t>ce</w:t>
            </w:r>
            <w:r w:rsidR="00640E6B" w:rsidRPr="00D970F7">
              <w:rPr>
                <w:lang w:val="en-GB"/>
              </w:rPr>
              <w:t xml:space="preserve"> (–18</w:t>
            </w:r>
            <w:r w:rsidR="004B7121" w:rsidRPr="00D970F7">
              <w:rPr>
                <w:lang w:val="en-GB"/>
              </w:rPr>
              <w:t>.</w:t>
            </w:r>
            <w:r w:rsidR="00640E6B" w:rsidRPr="00D970F7">
              <w:rPr>
                <w:lang w:val="en-GB"/>
              </w:rPr>
              <w:t>9%) a</w:t>
            </w:r>
            <w:r w:rsidR="004B7121" w:rsidRPr="00D970F7">
              <w:rPr>
                <w:lang w:val="en-GB"/>
              </w:rPr>
              <w:t xml:space="preserve">nd Italy </w:t>
            </w:r>
            <w:r w:rsidR="00640E6B" w:rsidRPr="00D970F7">
              <w:rPr>
                <w:lang w:val="en-GB"/>
              </w:rPr>
              <w:t>(–17</w:t>
            </w:r>
            <w:r w:rsidR="004B7121" w:rsidRPr="00D970F7">
              <w:rPr>
                <w:lang w:val="en-GB"/>
              </w:rPr>
              <w:t>.</w:t>
            </w:r>
            <w:r w:rsidR="00640E6B" w:rsidRPr="00D970F7">
              <w:rPr>
                <w:lang w:val="en-GB"/>
              </w:rPr>
              <w:t xml:space="preserve">7%). </w:t>
            </w:r>
            <w:r w:rsidR="00660B4C" w:rsidRPr="00D970F7">
              <w:rPr>
                <w:lang w:val="en-GB"/>
              </w:rPr>
              <w:t xml:space="preserve">The GDP decrease was the most moderate in Ireland </w:t>
            </w:r>
            <w:r w:rsidR="00F00EC8" w:rsidRPr="00D970F7">
              <w:rPr>
                <w:lang w:val="en-GB"/>
              </w:rPr>
              <w:t>(–3</w:t>
            </w:r>
            <w:r w:rsidR="00660B4C" w:rsidRPr="00D970F7">
              <w:rPr>
                <w:lang w:val="en-GB"/>
              </w:rPr>
              <w:t>.</w:t>
            </w:r>
            <w:r w:rsidR="00F00EC8" w:rsidRPr="00D970F7">
              <w:rPr>
                <w:lang w:val="en-GB"/>
              </w:rPr>
              <w:t xml:space="preserve">7%), </w:t>
            </w:r>
            <w:r w:rsidR="00640E6B" w:rsidRPr="00D970F7">
              <w:rPr>
                <w:lang w:val="en-GB"/>
              </w:rPr>
              <w:t>L</w:t>
            </w:r>
            <w:r w:rsidR="00660B4C" w:rsidRPr="00D970F7">
              <w:rPr>
                <w:lang w:val="en-GB"/>
              </w:rPr>
              <w:t xml:space="preserve">ithuania </w:t>
            </w:r>
            <w:r w:rsidR="00640E6B" w:rsidRPr="00D970F7">
              <w:rPr>
                <w:lang w:val="en-GB"/>
              </w:rPr>
              <w:t>(–4</w:t>
            </w:r>
            <w:r w:rsidR="00660B4C" w:rsidRPr="00D970F7">
              <w:rPr>
                <w:lang w:val="en-GB"/>
              </w:rPr>
              <w:t>.</w:t>
            </w:r>
            <w:r w:rsidR="00640E6B" w:rsidRPr="00D970F7">
              <w:rPr>
                <w:lang w:val="en-GB"/>
              </w:rPr>
              <w:t>0%)</w:t>
            </w:r>
            <w:r w:rsidR="00F00EC8" w:rsidRPr="00D970F7">
              <w:rPr>
                <w:lang w:val="en-GB"/>
              </w:rPr>
              <w:t xml:space="preserve"> a</w:t>
            </w:r>
            <w:r w:rsidR="00660B4C" w:rsidRPr="00D970F7">
              <w:rPr>
                <w:lang w:val="en-GB"/>
              </w:rPr>
              <w:t xml:space="preserve">nd in Finland </w:t>
            </w:r>
            <w:r w:rsidR="00640E6B" w:rsidRPr="00D970F7">
              <w:rPr>
                <w:lang w:val="en-GB"/>
              </w:rPr>
              <w:t>(–6</w:t>
            </w:r>
            <w:r w:rsidR="00660B4C" w:rsidRPr="00D970F7">
              <w:rPr>
                <w:lang w:val="en-GB"/>
              </w:rPr>
              <w:t>.</w:t>
            </w:r>
            <w:r w:rsidR="00640E6B" w:rsidRPr="00D970F7">
              <w:rPr>
                <w:lang w:val="en-GB"/>
              </w:rPr>
              <w:t>3%).</w:t>
            </w:r>
          </w:p>
        </w:tc>
      </w:tr>
      <w:tr w:rsidR="00640E6B" w:rsidRPr="00D970F7" w14:paraId="62DB1FA3" w14:textId="77777777" w:rsidTr="00E1168B">
        <w:trPr>
          <w:trHeight w:val="145"/>
        </w:trPr>
        <w:tc>
          <w:tcPr>
            <w:tcW w:w="1806" w:type="dxa"/>
            <w:shd w:val="clear" w:color="auto" w:fill="auto"/>
            <w:tcMar>
              <w:left w:w="0" w:type="dxa"/>
            </w:tcMar>
          </w:tcPr>
          <w:p w14:paraId="0176F7A0" w14:textId="5F1C3A27" w:rsidR="00640E6B" w:rsidRPr="00D970F7" w:rsidRDefault="00054F86" w:rsidP="00E1168B">
            <w:pPr>
              <w:pStyle w:val="Marginlie"/>
              <w:rPr>
                <w:lang w:val="en-GB"/>
              </w:rPr>
            </w:pPr>
            <w:r w:rsidRPr="00D970F7">
              <w:rPr>
                <w:lang w:val="en-GB"/>
              </w:rPr>
              <w:lastRenderedPageBreak/>
              <w:t xml:space="preserve">Turning point was apparent in the development of both employment and wage dynamics on the labour market in Q2. </w:t>
            </w:r>
          </w:p>
        </w:tc>
        <w:tc>
          <w:tcPr>
            <w:tcW w:w="223" w:type="dxa"/>
            <w:shd w:val="clear" w:color="auto" w:fill="auto"/>
            <w:tcMar>
              <w:left w:w="0" w:type="dxa"/>
            </w:tcMar>
          </w:tcPr>
          <w:p w14:paraId="4C06617B"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2BD699E8" w14:textId="0F41AABA" w:rsidR="00640E6B" w:rsidRPr="00D970F7" w:rsidRDefault="00C24348" w:rsidP="00E1168B">
            <w:pPr>
              <w:rPr>
                <w:spacing w:val="-2"/>
                <w:lang w:val="en-GB"/>
              </w:rPr>
            </w:pPr>
            <w:r w:rsidRPr="00D970F7">
              <w:rPr>
                <w:spacing w:val="-2"/>
                <w:lang w:val="en-GB" w:bidi="ar-DZ"/>
              </w:rPr>
              <w:t>The economic downturn also hit the volume of paid out wages and salaries</w:t>
            </w:r>
            <w:r w:rsidR="00640E6B" w:rsidRPr="00D970F7">
              <w:rPr>
                <w:spacing w:val="-2"/>
                <w:lang w:val="en-GB" w:bidi="ar-DZ"/>
              </w:rPr>
              <w:t xml:space="preserve">, </w:t>
            </w:r>
            <w:r w:rsidRPr="00D970F7">
              <w:rPr>
                <w:spacing w:val="-2"/>
                <w:lang w:val="en-GB" w:bidi="ar-DZ"/>
              </w:rPr>
              <w:t>which went down by 5.3% year-on-year in Q</w:t>
            </w:r>
            <w:r w:rsidR="00640E6B" w:rsidRPr="00D970F7">
              <w:rPr>
                <w:spacing w:val="-2"/>
                <w:lang w:val="en-GB" w:bidi="ar-DZ"/>
              </w:rPr>
              <w:t>2.</w:t>
            </w:r>
            <w:r w:rsidRPr="00D970F7">
              <w:rPr>
                <w:spacing w:val="-2"/>
                <w:lang w:val="en-GB" w:bidi="ar-DZ"/>
              </w:rPr>
              <w:t xml:space="preserve"> It presented the first fall since the end of year </w:t>
            </w:r>
            <w:r w:rsidR="00640E6B" w:rsidRPr="00D970F7">
              <w:rPr>
                <w:spacing w:val="-2"/>
                <w:lang w:val="en-GB" w:bidi="ar-DZ"/>
              </w:rPr>
              <w:t>2013.</w:t>
            </w:r>
            <w:r w:rsidRPr="00D970F7">
              <w:rPr>
                <w:spacing w:val="-2"/>
                <w:lang w:val="en-GB" w:bidi="ar-DZ"/>
              </w:rPr>
              <w:t xml:space="preserve"> At the same time, the notable price growth continued in the economy, which impinged upon the development of the household purchasing power. </w:t>
            </w:r>
            <w:r w:rsidR="00640E6B" w:rsidRPr="00D970F7">
              <w:rPr>
                <w:spacing w:val="-2"/>
                <w:lang w:val="en-GB" w:bidi="ar-DZ"/>
              </w:rPr>
              <w:t>R</w:t>
            </w:r>
            <w:r w:rsidR="000727C7" w:rsidRPr="00D970F7">
              <w:rPr>
                <w:spacing w:val="-2"/>
                <w:lang w:val="en-GB" w:bidi="ar-DZ"/>
              </w:rPr>
              <w:t xml:space="preserve">eal decrease amounted to </w:t>
            </w:r>
            <w:r w:rsidR="00640E6B" w:rsidRPr="00D970F7">
              <w:rPr>
                <w:spacing w:val="-2"/>
                <w:lang w:val="en-GB" w:bidi="ar-DZ"/>
              </w:rPr>
              <w:t>8</w:t>
            </w:r>
            <w:r w:rsidR="000727C7" w:rsidRPr="00D970F7">
              <w:rPr>
                <w:spacing w:val="-2"/>
                <w:lang w:val="en-GB" w:bidi="ar-DZ"/>
              </w:rPr>
              <w:t>.</w:t>
            </w:r>
            <w:r w:rsidR="00640E6B" w:rsidRPr="00D970F7">
              <w:rPr>
                <w:spacing w:val="-2"/>
                <w:lang w:val="en-GB" w:bidi="ar-DZ"/>
              </w:rPr>
              <w:t>3%</w:t>
            </w:r>
            <w:r w:rsidR="00640E6B" w:rsidRPr="00D970F7">
              <w:rPr>
                <w:rStyle w:val="Znakapoznpodarou"/>
                <w:spacing w:val="-2"/>
                <w:lang w:val="en-GB" w:bidi="ar-DZ"/>
              </w:rPr>
              <w:footnoteReference w:id="6"/>
            </w:r>
            <w:r w:rsidR="00640E6B" w:rsidRPr="00D970F7">
              <w:rPr>
                <w:spacing w:val="-2"/>
                <w:lang w:val="en-GB" w:bidi="ar-DZ"/>
              </w:rPr>
              <w:t xml:space="preserve">. </w:t>
            </w:r>
            <w:r w:rsidR="000727C7" w:rsidRPr="00D970F7">
              <w:rPr>
                <w:spacing w:val="-2"/>
                <w:lang w:val="en-GB" w:bidi="ar-DZ"/>
              </w:rPr>
              <w:t>Reversal occurred</w:t>
            </w:r>
            <w:r w:rsidR="000727C7" w:rsidRPr="00D970F7">
              <w:rPr>
                <w:spacing w:val="-2"/>
                <w:lang w:val="en-GB"/>
              </w:rPr>
              <w:t xml:space="preserve"> also in the development of total employment </w:t>
            </w:r>
            <w:r w:rsidR="00640E6B" w:rsidRPr="00D970F7">
              <w:rPr>
                <w:spacing w:val="-2"/>
                <w:lang w:val="en-GB"/>
              </w:rPr>
              <w:t>(</w:t>
            </w:r>
            <w:r w:rsidR="000727C7" w:rsidRPr="00D970F7">
              <w:rPr>
                <w:spacing w:val="-2"/>
                <w:lang w:val="en-GB"/>
              </w:rPr>
              <w:t>expressed in persons</w:t>
            </w:r>
            <w:r w:rsidR="00640E6B" w:rsidRPr="00D970F7">
              <w:rPr>
                <w:spacing w:val="-2"/>
                <w:lang w:val="en-GB"/>
              </w:rPr>
              <w:t>),</w:t>
            </w:r>
            <w:r w:rsidR="000727C7" w:rsidRPr="00D970F7">
              <w:rPr>
                <w:spacing w:val="-2"/>
                <w:lang w:val="en-GB"/>
              </w:rPr>
              <w:t xml:space="preserve"> whose year-on-year decrease accelerated to </w:t>
            </w:r>
            <w:r w:rsidR="00640E6B" w:rsidRPr="00D970F7">
              <w:rPr>
                <w:spacing w:val="-2"/>
                <w:lang w:val="en-GB"/>
              </w:rPr>
              <w:t>1</w:t>
            </w:r>
            <w:r w:rsidR="000727C7" w:rsidRPr="00D970F7">
              <w:rPr>
                <w:spacing w:val="-2"/>
                <w:lang w:val="en-GB"/>
              </w:rPr>
              <w:t>.</w:t>
            </w:r>
            <w:r w:rsidR="00640E6B" w:rsidRPr="00D970F7">
              <w:rPr>
                <w:spacing w:val="-2"/>
                <w:lang w:val="en-GB"/>
              </w:rPr>
              <w:t>9%</w:t>
            </w:r>
            <w:r w:rsidR="00640E6B" w:rsidRPr="00D970F7">
              <w:rPr>
                <w:rStyle w:val="Znakapoznpodarou"/>
                <w:spacing w:val="-2"/>
                <w:lang w:val="en-GB"/>
              </w:rPr>
              <w:footnoteReference w:id="7"/>
            </w:r>
            <w:r w:rsidR="00640E6B" w:rsidRPr="00D970F7">
              <w:rPr>
                <w:spacing w:val="-2"/>
                <w:lang w:val="en-GB"/>
              </w:rPr>
              <w:t xml:space="preserve">. </w:t>
            </w:r>
            <w:r w:rsidR="000727C7" w:rsidRPr="00D970F7">
              <w:rPr>
                <w:spacing w:val="-2"/>
                <w:lang w:val="en-GB"/>
              </w:rPr>
              <w:t xml:space="preserve">The total employment reduced by </w:t>
            </w:r>
            <w:r w:rsidR="00640E6B" w:rsidRPr="00D970F7">
              <w:rPr>
                <w:spacing w:val="-2"/>
                <w:lang w:val="en-GB"/>
              </w:rPr>
              <w:t>1</w:t>
            </w:r>
            <w:r w:rsidR="000727C7" w:rsidRPr="00D970F7">
              <w:rPr>
                <w:spacing w:val="-2"/>
                <w:lang w:val="en-GB"/>
              </w:rPr>
              <w:t>.</w:t>
            </w:r>
            <w:r w:rsidR="00640E6B" w:rsidRPr="00D970F7">
              <w:rPr>
                <w:spacing w:val="-2"/>
                <w:lang w:val="en-GB"/>
              </w:rPr>
              <w:t>4%</w:t>
            </w:r>
            <w:r w:rsidR="000727C7" w:rsidRPr="00D970F7">
              <w:rPr>
                <w:spacing w:val="-2"/>
                <w:lang w:val="en-GB"/>
              </w:rPr>
              <w:t xml:space="preserve"> compared to Q1</w:t>
            </w:r>
            <w:r w:rsidR="00640E6B" w:rsidRPr="00D970F7">
              <w:rPr>
                <w:spacing w:val="-2"/>
                <w:lang w:val="en-GB"/>
              </w:rPr>
              <w:t xml:space="preserve">. </w:t>
            </w:r>
            <w:r w:rsidR="000B4994" w:rsidRPr="00D970F7">
              <w:rPr>
                <w:spacing w:val="-2"/>
                <w:lang w:val="en-GB"/>
              </w:rPr>
              <w:t xml:space="preserve">The fall of the number of hours worked was even more pronounced </w:t>
            </w:r>
            <w:r w:rsidR="00640E6B" w:rsidRPr="00D970F7">
              <w:rPr>
                <w:spacing w:val="-2"/>
                <w:lang w:val="en-GB"/>
              </w:rPr>
              <w:t>(</w:t>
            </w:r>
            <w:r w:rsidR="00AF1475" w:rsidRPr="00D970F7">
              <w:rPr>
                <w:spacing w:val="-2"/>
                <w:lang w:val="en-GB"/>
              </w:rPr>
              <w:t xml:space="preserve">year-on-year </w:t>
            </w:r>
            <w:r w:rsidR="00640E6B" w:rsidRPr="00D970F7">
              <w:rPr>
                <w:spacing w:val="-2"/>
                <w:lang w:val="en-GB"/>
              </w:rPr>
              <w:t>–10</w:t>
            </w:r>
            <w:r w:rsidR="00AF1475" w:rsidRPr="00D970F7">
              <w:rPr>
                <w:spacing w:val="-2"/>
                <w:lang w:val="en-GB"/>
              </w:rPr>
              <w:t>.</w:t>
            </w:r>
            <w:r w:rsidR="00640E6B" w:rsidRPr="00D970F7">
              <w:rPr>
                <w:spacing w:val="-2"/>
                <w:lang w:val="en-GB"/>
              </w:rPr>
              <w:t xml:space="preserve">7%, </w:t>
            </w:r>
            <w:r w:rsidR="00AF1475" w:rsidRPr="00D970F7">
              <w:rPr>
                <w:spacing w:val="-2"/>
                <w:lang w:val="en-GB"/>
              </w:rPr>
              <w:t xml:space="preserve">quarter-on-quarter </w:t>
            </w:r>
            <w:r w:rsidR="00640E6B" w:rsidRPr="00D970F7">
              <w:rPr>
                <w:spacing w:val="-2"/>
                <w:lang w:val="en-GB"/>
              </w:rPr>
              <w:t>–7</w:t>
            </w:r>
            <w:r w:rsidR="00AF1475" w:rsidRPr="00D970F7">
              <w:rPr>
                <w:spacing w:val="-2"/>
                <w:lang w:val="en-GB"/>
              </w:rPr>
              <w:t>.</w:t>
            </w:r>
            <w:r w:rsidR="00640E6B" w:rsidRPr="00D970F7">
              <w:rPr>
                <w:spacing w:val="-2"/>
                <w:lang w:val="en-GB"/>
              </w:rPr>
              <w:t xml:space="preserve">8%). </w:t>
            </w:r>
            <w:r w:rsidR="00AF1475" w:rsidRPr="00D970F7">
              <w:rPr>
                <w:spacing w:val="-2"/>
                <w:lang w:val="en-GB"/>
              </w:rPr>
              <w:t xml:space="preserve">Volume of paid out wage resources was shrinking the most in manufacturing year-on-year </w:t>
            </w:r>
            <w:r w:rsidR="00640E6B" w:rsidRPr="00D970F7">
              <w:rPr>
                <w:spacing w:val="-2"/>
                <w:lang w:val="en-GB"/>
              </w:rPr>
              <w:t>(–11</w:t>
            </w:r>
            <w:r w:rsidR="00AF1475" w:rsidRPr="00D970F7">
              <w:rPr>
                <w:spacing w:val="-2"/>
                <w:lang w:val="en-GB"/>
              </w:rPr>
              <w:t>.</w:t>
            </w:r>
            <w:r w:rsidR="00640E6B" w:rsidRPr="00D970F7">
              <w:rPr>
                <w:spacing w:val="-2"/>
                <w:lang w:val="en-GB"/>
              </w:rPr>
              <w:t>5%,</w:t>
            </w:r>
            <w:r w:rsidR="00AF1475" w:rsidRPr="00D970F7">
              <w:rPr>
                <w:spacing w:val="-2"/>
                <w:lang w:val="en-GB"/>
              </w:rPr>
              <w:t xml:space="preserve"> drop of </w:t>
            </w:r>
            <w:r w:rsidR="000B4994" w:rsidRPr="00D970F7">
              <w:rPr>
                <w:spacing w:val="-2"/>
                <w:lang w:val="en-GB"/>
              </w:rPr>
              <w:t>employment</w:t>
            </w:r>
            <w:r w:rsidR="00AF1475" w:rsidRPr="00D970F7">
              <w:rPr>
                <w:spacing w:val="-2"/>
                <w:lang w:val="en-GB"/>
              </w:rPr>
              <w:t xml:space="preserve"> was </w:t>
            </w:r>
            <w:r w:rsidR="00640E6B" w:rsidRPr="00D970F7">
              <w:rPr>
                <w:spacing w:val="-2"/>
                <w:lang w:val="en-GB"/>
              </w:rPr>
              <w:t>3</w:t>
            </w:r>
            <w:r w:rsidR="00AF1475" w:rsidRPr="00D970F7">
              <w:rPr>
                <w:spacing w:val="-2"/>
                <w:lang w:val="en-GB"/>
              </w:rPr>
              <w:t>.</w:t>
            </w:r>
            <w:r w:rsidR="00640E6B" w:rsidRPr="00D970F7">
              <w:rPr>
                <w:spacing w:val="-2"/>
                <w:lang w:val="en-GB"/>
              </w:rPr>
              <w:t>5%</w:t>
            </w:r>
            <w:r w:rsidR="00AF1475" w:rsidRPr="00D970F7">
              <w:rPr>
                <w:spacing w:val="-2"/>
                <w:lang w:val="en-GB"/>
              </w:rPr>
              <w:t xml:space="preserve"> here</w:t>
            </w:r>
            <w:r w:rsidR="00640E6B" w:rsidRPr="00D970F7">
              <w:rPr>
                <w:spacing w:val="-2"/>
                <w:lang w:val="en-GB"/>
              </w:rPr>
              <w:t xml:space="preserve">). </w:t>
            </w:r>
            <w:r w:rsidR="00DF3845" w:rsidRPr="00D970F7">
              <w:rPr>
                <w:spacing w:val="-2"/>
                <w:lang w:val="en-GB"/>
              </w:rPr>
              <w:t>Similarly,</w:t>
            </w:r>
            <w:r w:rsidR="00C227D7" w:rsidRPr="00D970F7">
              <w:rPr>
                <w:spacing w:val="-2"/>
                <w:lang w:val="en-GB"/>
              </w:rPr>
              <w:t xml:space="preserve"> deep downswing also occurred in grouping trade, transportation, accommodation and restaurants </w:t>
            </w:r>
            <w:r w:rsidR="00640E6B" w:rsidRPr="00D970F7">
              <w:rPr>
                <w:spacing w:val="-2"/>
                <w:lang w:val="en-GB"/>
              </w:rPr>
              <w:t>(–11</w:t>
            </w:r>
            <w:r w:rsidR="00C227D7" w:rsidRPr="00D970F7">
              <w:rPr>
                <w:spacing w:val="-2"/>
                <w:lang w:val="en-GB"/>
              </w:rPr>
              <w:t>.</w:t>
            </w:r>
            <w:r w:rsidR="00640E6B" w:rsidRPr="00D970F7">
              <w:rPr>
                <w:spacing w:val="-2"/>
                <w:lang w:val="en-GB"/>
              </w:rPr>
              <w:t xml:space="preserve">2%, </w:t>
            </w:r>
            <w:r w:rsidR="00C227D7" w:rsidRPr="00D970F7">
              <w:rPr>
                <w:spacing w:val="-2"/>
                <w:lang w:val="en-GB"/>
              </w:rPr>
              <w:t xml:space="preserve">employment decreased by </w:t>
            </w:r>
            <w:r w:rsidR="00640E6B" w:rsidRPr="00D970F7">
              <w:rPr>
                <w:spacing w:val="-2"/>
                <w:lang w:val="en-GB"/>
              </w:rPr>
              <w:t>3</w:t>
            </w:r>
            <w:r w:rsidR="00C227D7" w:rsidRPr="00D970F7">
              <w:rPr>
                <w:spacing w:val="-2"/>
                <w:lang w:val="en-GB"/>
              </w:rPr>
              <w:t>.</w:t>
            </w:r>
            <w:r w:rsidR="00640E6B" w:rsidRPr="00D970F7">
              <w:rPr>
                <w:spacing w:val="-2"/>
                <w:lang w:val="en-GB"/>
              </w:rPr>
              <w:t xml:space="preserve">2%). </w:t>
            </w:r>
            <w:r w:rsidR="00C227D7" w:rsidRPr="00D970F7">
              <w:rPr>
                <w:spacing w:val="-2"/>
                <w:lang w:val="en-GB"/>
              </w:rPr>
              <w:t xml:space="preserve">In case of professional, scientific, technical and administrative activities, the volume of salaries and wages reduced by </w:t>
            </w:r>
            <w:r w:rsidR="00640E6B" w:rsidRPr="00D970F7">
              <w:rPr>
                <w:spacing w:val="-2"/>
                <w:lang w:val="en-GB"/>
              </w:rPr>
              <w:t>9</w:t>
            </w:r>
            <w:r w:rsidR="00C227D7" w:rsidRPr="00D970F7">
              <w:rPr>
                <w:spacing w:val="-2"/>
                <w:lang w:val="en-GB"/>
              </w:rPr>
              <w:t>.</w:t>
            </w:r>
            <w:r w:rsidR="00640E6B" w:rsidRPr="00D970F7">
              <w:rPr>
                <w:spacing w:val="-2"/>
                <w:lang w:val="en-GB"/>
              </w:rPr>
              <w:t>7%</w:t>
            </w:r>
            <w:r w:rsidR="00C227D7" w:rsidRPr="00D970F7">
              <w:rPr>
                <w:spacing w:val="-2"/>
                <w:lang w:val="en-GB"/>
              </w:rPr>
              <w:t xml:space="preserve"> in Q2 and total employment dropped by </w:t>
            </w:r>
            <w:r w:rsidR="00640E6B" w:rsidRPr="00D970F7">
              <w:rPr>
                <w:spacing w:val="-2"/>
                <w:lang w:val="en-GB"/>
              </w:rPr>
              <w:t>4</w:t>
            </w:r>
            <w:r w:rsidR="00C227D7" w:rsidRPr="00D970F7">
              <w:rPr>
                <w:spacing w:val="-2"/>
                <w:lang w:val="en-GB"/>
              </w:rPr>
              <w:t>.</w:t>
            </w:r>
            <w:r w:rsidR="00640E6B" w:rsidRPr="00D970F7">
              <w:rPr>
                <w:spacing w:val="-2"/>
                <w:lang w:val="en-GB"/>
              </w:rPr>
              <w:t>4%. O</w:t>
            </w:r>
            <w:r w:rsidR="00807104" w:rsidRPr="00D970F7">
              <w:rPr>
                <w:spacing w:val="-2"/>
                <w:lang w:val="en-GB"/>
              </w:rPr>
              <w:t>ther branches of services nevertheless maintained the year-on-year growth of wages, even if weaker compared to Q</w:t>
            </w:r>
            <w:r w:rsidR="00640E6B" w:rsidRPr="00D970F7">
              <w:rPr>
                <w:spacing w:val="-2"/>
                <w:lang w:val="en-GB"/>
              </w:rPr>
              <w:t>1.</w:t>
            </w:r>
            <w:r w:rsidR="00807104" w:rsidRPr="00D970F7">
              <w:rPr>
                <w:spacing w:val="-2"/>
                <w:lang w:val="en-GB"/>
              </w:rPr>
              <w:t xml:space="preserve"> </w:t>
            </w:r>
            <w:r w:rsidR="0039602D" w:rsidRPr="00D970F7">
              <w:rPr>
                <w:spacing w:val="-2"/>
                <w:lang w:val="en-GB"/>
              </w:rPr>
              <w:t xml:space="preserve">Real estate activities experienced an increase of </w:t>
            </w:r>
            <w:r w:rsidR="00640E6B" w:rsidRPr="00D970F7">
              <w:rPr>
                <w:spacing w:val="-2"/>
                <w:lang w:val="en-GB"/>
              </w:rPr>
              <w:t>6</w:t>
            </w:r>
            <w:r w:rsidR="0039602D" w:rsidRPr="00D970F7">
              <w:rPr>
                <w:spacing w:val="-2"/>
                <w:lang w:val="en-GB"/>
              </w:rPr>
              <w:t>.</w:t>
            </w:r>
            <w:r w:rsidR="00640E6B" w:rsidRPr="00D970F7">
              <w:rPr>
                <w:spacing w:val="-2"/>
                <w:lang w:val="en-GB"/>
              </w:rPr>
              <w:t xml:space="preserve">4%, </w:t>
            </w:r>
            <w:r w:rsidR="0039602D" w:rsidRPr="00D970F7">
              <w:rPr>
                <w:spacing w:val="-2"/>
                <w:lang w:val="en-GB"/>
              </w:rPr>
              <w:t xml:space="preserve">financial and insurance activities </w:t>
            </w:r>
            <w:r w:rsidR="00640E6B" w:rsidRPr="00D970F7">
              <w:rPr>
                <w:spacing w:val="-2"/>
                <w:lang w:val="en-GB"/>
              </w:rPr>
              <w:t>5</w:t>
            </w:r>
            <w:r w:rsidR="0039602D" w:rsidRPr="00D970F7">
              <w:rPr>
                <w:spacing w:val="-2"/>
                <w:lang w:val="en-GB"/>
              </w:rPr>
              <w:t>.</w:t>
            </w:r>
            <w:r w:rsidR="00640E6B" w:rsidRPr="00D970F7">
              <w:rPr>
                <w:spacing w:val="-2"/>
                <w:lang w:val="en-GB"/>
              </w:rPr>
              <w:t xml:space="preserve">8%, </w:t>
            </w:r>
            <w:r w:rsidR="0039602D" w:rsidRPr="00D970F7">
              <w:rPr>
                <w:spacing w:val="-2"/>
                <w:lang w:val="en-GB"/>
              </w:rPr>
              <w:t xml:space="preserve">information and communication </w:t>
            </w:r>
            <w:r w:rsidR="00640E6B" w:rsidRPr="00D970F7">
              <w:rPr>
                <w:spacing w:val="-2"/>
                <w:lang w:val="en-GB"/>
              </w:rPr>
              <w:t>4</w:t>
            </w:r>
            <w:r w:rsidR="0039602D" w:rsidRPr="00D970F7">
              <w:rPr>
                <w:spacing w:val="-2"/>
                <w:lang w:val="en-GB"/>
              </w:rPr>
              <w:t>.</w:t>
            </w:r>
            <w:r w:rsidR="00640E6B" w:rsidRPr="00D970F7">
              <w:rPr>
                <w:spacing w:val="-2"/>
                <w:lang w:val="en-GB"/>
              </w:rPr>
              <w:t>7</w:t>
            </w:r>
            <w:r w:rsidR="00DF3845" w:rsidRPr="00D970F7">
              <w:rPr>
                <w:spacing w:val="-2"/>
                <w:lang w:val="en-GB"/>
              </w:rPr>
              <w:t>% and</w:t>
            </w:r>
            <w:r w:rsidR="0039602D" w:rsidRPr="00D970F7">
              <w:rPr>
                <w:spacing w:val="-2"/>
                <w:lang w:val="en-GB"/>
              </w:rPr>
              <w:t xml:space="preserve"> activities with predominant government sector</w:t>
            </w:r>
            <w:r w:rsidR="00640E6B" w:rsidRPr="00D970F7">
              <w:rPr>
                <w:rStyle w:val="Znakapoznpodarou"/>
                <w:spacing w:val="-2"/>
                <w:lang w:val="en-GB"/>
              </w:rPr>
              <w:footnoteReference w:id="8"/>
            </w:r>
            <w:r w:rsidR="00640E6B" w:rsidRPr="00D970F7">
              <w:rPr>
                <w:spacing w:val="-2"/>
                <w:lang w:val="en-GB"/>
              </w:rPr>
              <w:t xml:space="preserve"> 4</w:t>
            </w:r>
            <w:r w:rsidR="0039602D" w:rsidRPr="00D970F7">
              <w:rPr>
                <w:spacing w:val="-2"/>
                <w:lang w:val="en-GB"/>
              </w:rPr>
              <w:t>.</w:t>
            </w:r>
            <w:r w:rsidR="00640E6B" w:rsidRPr="00D970F7">
              <w:rPr>
                <w:spacing w:val="-2"/>
                <w:lang w:val="en-GB"/>
              </w:rPr>
              <w:t xml:space="preserve">1%. </w:t>
            </w:r>
            <w:r w:rsidR="00107C96" w:rsidRPr="00D970F7">
              <w:rPr>
                <w:spacing w:val="-2"/>
                <w:lang w:val="en-GB"/>
              </w:rPr>
              <w:t xml:space="preserve">Following more than </w:t>
            </w:r>
            <w:r w:rsidR="00AF1475" w:rsidRPr="00D970F7">
              <w:rPr>
                <w:spacing w:val="-2"/>
                <w:lang w:val="en-GB"/>
              </w:rPr>
              <w:t>three-year</w:t>
            </w:r>
            <w:r w:rsidR="00107C96" w:rsidRPr="00D970F7">
              <w:rPr>
                <w:spacing w:val="-2"/>
                <w:lang w:val="en-GB"/>
              </w:rPr>
              <w:t xml:space="preserve"> period, fall of paid out wages eventuated also in construction </w:t>
            </w:r>
            <w:r w:rsidR="00640E6B" w:rsidRPr="00D970F7">
              <w:rPr>
                <w:spacing w:val="-2"/>
                <w:lang w:val="en-GB"/>
              </w:rPr>
              <w:t>(–2</w:t>
            </w:r>
            <w:r w:rsidR="00107C96" w:rsidRPr="00D970F7">
              <w:rPr>
                <w:spacing w:val="-2"/>
                <w:lang w:val="en-GB"/>
              </w:rPr>
              <w:t>.</w:t>
            </w:r>
            <w:r w:rsidR="00640E6B" w:rsidRPr="00D970F7">
              <w:rPr>
                <w:spacing w:val="-2"/>
                <w:lang w:val="en-GB"/>
              </w:rPr>
              <w:t>8%) a</w:t>
            </w:r>
            <w:r w:rsidR="00107C96" w:rsidRPr="00D970F7">
              <w:rPr>
                <w:spacing w:val="-2"/>
                <w:lang w:val="en-GB"/>
              </w:rPr>
              <w:t xml:space="preserve">nd agriculture, forestry and fishing </w:t>
            </w:r>
            <w:r w:rsidR="00640E6B" w:rsidRPr="00D970F7">
              <w:rPr>
                <w:spacing w:val="-2"/>
                <w:lang w:val="en-GB"/>
              </w:rPr>
              <w:t>(–2</w:t>
            </w:r>
            <w:r w:rsidR="00107C96" w:rsidRPr="00D970F7">
              <w:rPr>
                <w:spacing w:val="-2"/>
                <w:lang w:val="en-GB"/>
              </w:rPr>
              <w:t>.</w:t>
            </w:r>
            <w:r w:rsidR="00640E6B" w:rsidRPr="00D970F7">
              <w:rPr>
                <w:spacing w:val="-2"/>
                <w:lang w:val="en-GB"/>
              </w:rPr>
              <w:t>3%).</w:t>
            </w:r>
          </w:p>
        </w:tc>
      </w:tr>
      <w:tr w:rsidR="00640E6B" w:rsidRPr="00D970F7" w14:paraId="26DFC812" w14:textId="77777777" w:rsidTr="00E1168B">
        <w:trPr>
          <w:trHeight w:val="170"/>
        </w:trPr>
        <w:tc>
          <w:tcPr>
            <w:tcW w:w="1806" w:type="dxa"/>
            <w:vMerge w:val="restart"/>
            <w:shd w:val="clear" w:color="auto" w:fill="auto"/>
            <w:tcMar>
              <w:left w:w="0" w:type="dxa"/>
            </w:tcMar>
          </w:tcPr>
          <w:p w14:paraId="0B599F90"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084B07A5"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4170FE7D" w14:textId="4DBC914D" w:rsidR="00640E6B" w:rsidRPr="00D970F7" w:rsidRDefault="00DA74F0" w:rsidP="00E1168B">
            <w:pPr>
              <w:spacing w:after="0"/>
              <w:rPr>
                <w:b/>
                <w:sz w:val="18"/>
                <w:szCs w:val="18"/>
                <w:lang w:val="en-GB"/>
              </w:rPr>
            </w:pPr>
            <w:r w:rsidRPr="00D970F7">
              <w:rPr>
                <w:b/>
                <w:sz w:val="18"/>
                <w:szCs w:val="18"/>
                <w:lang w:val="en-GB"/>
              </w:rPr>
              <w:t xml:space="preserve">Chart </w:t>
            </w:r>
            <w:r w:rsidR="00D970F7">
              <w:rPr>
                <w:b/>
                <w:sz w:val="18"/>
                <w:szCs w:val="18"/>
                <w:lang w:val="en-GB"/>
              </w:rPr>
              <w:t xml:space="preserve">2  </w:t>
            </w:r>
            <w:r w:rsidR="0069430A" w:rsidRPr="00D970F7">
              <w:rPr>
                <w:b/>
                <w:szCs w:val="20"/>
                <w:lang w:val="en-GB"/>
              </w:rPr>
              <w:t>Contribution of expenditure items to real GDP change</w:t>
            </w:r>
            <w:r w:rsidR="0069430A" w:rsidRPr="00D970F7">
              <w:rPr>
                <w:rFonts w:cs="Arial"/>
                <w:b/>
                <w:szCs w:val="20"/>
                <w:lang w:val="en-GB" w:eastAsia="en-US"/>
              </w:rPr>
              <w:t>*</w:t>
            </w:r>
            <w:r w:rsidR="00640E6B" w:rsidRPr="00D970F7">
              <w:rPr>
                <w:rFonts w:cs="Arial"/>
                <w:b/>
                <w:sz w:val="18"/>
                <w:szCs w:val="18"/>
                <w:lang w:val="en-GB" w:eastAsia="en-US"/>
              </w:rPr>
              <w:t xml:space="preserve"> </w:t>
            </w:r>
            <w:r w:rsidR="00640E6B" w:rsidRPr="00D970F7">
              <w:rPr>
                <w:rFonts w:cs="Arial"/>
                <w:bCs/>
                <w:sz w:val="18"/>
                <w:szCs w:val="18"/>
                <w:lang w:val="en-GB" w:eastAsia="en-US"/>
              </w:rPr>
              <w:t>(</w:t>
            </w:r>
            <w:r w:rsidR="0069430A" w:rsidRPr="00D970F7">
              <w:rPr>
                <w:rFonts w:cs="Arial"/>
                <w:bCs/>
                <w:sz w:val="18"/>
                <w:szCs w:val="18"/>
                <w:lang w:val="en-GB" w:eastAsia="en-US"/>
              </w:rPr>
              <w:t>volume indices</w:t>
            </w:r>
            <w:r w:rsidR="00640E6B" w:rsidRPr="00D970F7">
              <w:rPr>
                <w:rFonts w:cs="Arial"/>
                <w:bCs/>
                <w:sz w:val="18"/>
                <w:szCs w:val="18"/>
                <w:lang w:val="en-GB" w:eastAsia="en-US"/>
              </w:rPr>
              <w:t>,</w:t>
            </w:r>
            <w:r w:rsidR="0069430A" w:rsidRPr="00D970F7">
              <w:rPr>
                <w:rFonts w:cs="Arial"/>
                <w:bCs/>
                <w:sz w:val="18"/>
                <w:szCs w:val="18"/>
                <w:lang w:val="en-GB" w:eastAsia="en-US"/>
              </w:rPr>
              <w:t xml:space="preserve"> year-on-year growth</w:t>
            </w:r>
            <w:r w:rsidR="00640E6B" w:rsidRPr="00D970F7">
              <w:rPr>
                <w:rFonts w:cs="Arial"/>
                <w:bCs/>
                <w:sz w:val="18"/>
                <w:szCs w:val="18"/>
                <w:lang w:val="en-GB" w:eastAsia="en-US"/>
              </w:rPr>
              <w:t xml:space="preserve">, </w:t>
            </w:r>
            <w:r w:rsidR="0069430A" w:rsidRPr="00D970F7">
              <w:rPr>
                <w:rFonts w:cs="Arial"/>
                <w:bCs/>
                <w:sz w:val="18"/>
                <w:szCs w:val="18"/>
                <w:lang w:val="en-GB" w:eastAsia="en-US"/>
              </w:rPr>
              <w:t>contributions in p.p.</w:t>
            </w:r>
            <w:r w:rsidR="00640E6B" w:rsidRPr="00D970F7">
              <w:rPr>
                <w:rFonts w:cs="Arial"/>
                <w:bCs/>
                <w:sz w:val="18"/>
                <w:szCs w:val="18"/>
                <w:lang w:val="en-GB" w:eastAsia="en-US"/>
              </w:rPr>
              <w:t xml:space="preserve">, </w:t>
            </w:r>
            <w:r w:rsidR="0069430A" w:rsidRPr="00D970F7">
              <w:rPr>
                <w:rFonts w:cs="Arial"/>
                <w:bCs/>
                <w:sz w:val="18"/>
                <w:szCs w:val="18"/>
                <w:lang w:val="en-GB" w:eastAsia="en-US"/>
              </w:rPr>
              <w:t>GDP in</w:t>
            </w:r>
            <w:r w:rsidR="00640E6B" w:rsidRPr="00D970F7">
              <w:rPr>
                <w:rFonts w:cs="Arial"/>
                <w:bCs/>
                <w:sz w:val="18"/>
                <w:szCs w:val="18"/>
                <w:lang w:val="en-GB" w:eastAsia="en-US"/>
              </w:rPr>
              <w:t> %)</w:t>
            </w:r>
          </w:p>
        </w:tc>
      </w:tr>
      <w:tr w:rsidR="00640E6B" w:rsidRPr="00D970F7" w14:paraId="55788F5B" w14:textId="77777777" w:rsidTr="002B43B3">
        <w:tblPrEx>
          <w:tblCellMar>
            <w:left w:w="70" w:type="dxa"/>
            <w:right w:w="70" w:type="dxa"/>
          </w:tblCellMar>
        </w:tblPrEx>
        <w:trPr>
          <w:trHeight w:val="170"/>
        </w:trPr>
        <w:tc>
          <w:tcPr>
            <w:tcW w:w="1806" w:type="dxa"/>
            <w:vMerge/>
            <w:shd w:val="clear" w:color="auto" w:fill="auto"/>
          </w:tcPr>
          <w:p w14:paraId="720B1907" w14:textId="77777777" w:rsidR="00640E6B" w:rsidRPr="00D970F7" w:rsidRDefault="00640E6B" w:rsidP="00E1168B">
            <w:pPr>
              <w:pStyle w:val="Marginlie"/>
              <w:rPr>
                <w:lang w:val="en-GB"/>
              </w:rPr>
            </w:pPr>
          </w:p>
        </w:tc>
        <w:tc>
          <w:tcPr>
            <w:tcW w:w="223" w:type="dxa"/>
            <w:vMerge/>
            <w:shd w:val="clear" w:color="auto" w:fill="auto"/>
          </w:tcPr>
          <w:p w14:paraId="2ECC0E1E" w14:textId="77777777" w:rsidR="00640E6B" w:rsidRPr="00D970F7" w:rsidRDefault="00640E6B" w:rsidP="00E1168B">
            <w:pPr>
              <w:pStyle w:val="Textpoznpodarou"/>
              <w:jc w:val="both"/>
              <w:rPr>
                <w:spacing w:val="-4"/>
                <w:lang w:val="en-GB"/>
              </w:rPr>
            </w:pPr>
          </w:p>
        </w:tc>
        <w:tc>
          <w:tcPr>
            <w:tcW w:w="7610" w:type="dxa"/>
            <w:shd w:val="clear" w:color="auto" w:fill="auto"/>
          </w:tcPr>
          <w:p w14:paraId="65465004" w14:textId="7B34584A" w:rsidR="00640E6B" w:rsidRPr="00D970F7" w:rsidRDefault="002B43B3" w:rsidP="00E1168B">
            <w:pPr>
              <w:spacing w:after="0"/>
              <w:rPr>
                <w:lang w:val="en-GB"/>
              </w:rPr>
            </w:pPr>
            <w:r>
              <w:rPr>
                <w:noProof/>
              </w:rPr>
              <w:drawing>
                <wp:inline distT="0" distB="0" distL="0" distR="0" wp14:anchorId="222BFF6D" wp14:editId="5A1F0848">
                  <wp:extent cx="4737600" cy="3553200"/>
                  <wp:effectExtent l="0" t="0" r="6350" b="0"/>
                  <wp:docPr id="7" name="Graf 7">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640E6B" w:rsidRPr="00D970F7" w14:paraId="4EA2A960" w14:textId="77777777" w:rsidTr="00E1168B">
        <w:trPr>
          <w:trHeight w:val="170"/>
        </w:trPr>
        <w:tc>
          <w:tcPr>
            <w:tcW w:w="1806" w:type="dxa"/>
            <w:vMerge/>
            <w:shd w:val="clear" w:color="auto" w:fill="auto"/>
            <w:tcMar>
              <w:left w:w="0" w:type="dxa"/>
            </w:tcMar>
          </w:tcPr>
          <w:p w14:paraId="0D20711A" w14:textId="77777777" w:rsidR="00640E6B" w:rsidRPr="00D970F7" w:rsidRDefault="00640E6B" w:rsidP="00E1168B">
            <w:pPr>
              <w:pStyle w:val="Marginlie"/>
              <w:rPr>
                <w:lang w:val="en-GB"/>
              </w:rPr>
            </w:pPr>
          </w:p>
        </w:tc>
        <w:tc>
          <w:tcPr>
            <w:tcW w:w="223" w:type="dxa"/>
            <w:vMerge/>
            <w:shd w:val="clear" w:color="auto" w:fill="auto"/>
            <w:tcMar>
              <w:left w:w="0" w:type="dxa"/>
            </w:tcMar>
          </w:tcPr>
          <w:p w14:paraId="309F9A29"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75E9D4B5" w14:textId="5FC474A7" w:rsidR="00640E6B" w:rsidRPr="00D970F7" w:rsidRDefault="0039602D" w:rsidP="00E1168B">
            <w:pPr>
              <w:spacing w:after="0"/>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p>
          <w:p w14:paraId="26921E57" w14:textId="7AC0F17A" w:rsidR="0046782D" w:rsidRPr="00D970F7" w:rsidRDefault="00640E6B" w:rsidP="002B43B3">
            <w:pPr>
              <w:rPr>
                <w:b/>
                <w:bCs/>
                <w:lang w:val="en-GB"/>
              </w:rPr>
            </w:pPr>
            <w:r w:rsidRPr="00D970F7">
              <w:rPr>
                <w:sz w:val="14"/>
                <w:szCs w:val="14"/>
                <w:lang w:val="en-GB"/>
              </w:rPr>
              <w:t>*</w:t>
            </w:r>
            <w:r w:rsidR="0039602D" w:rsidRPr="00D970F7">
              <w:rPr>
                <w:sz w:val="14"/>
                <w:szCs w:val="14"/>
                <w:lang w:val="en-GB"/>
              </w:rPr>
              <w:t>after exclusion of import for final use</w:t>
            </w:r>
          </w:p>
        </w:tc>
      </w:tr>
      <w:tr w:rsidR="00640E6B" w:rsidRPr="00D970F7" w14:paraId="549F90D6" w14:textId="77777777" w:rsidTr="00E1168B">
        <w:trPr>
          <w:trHeight w:val="145"/>
        </w:trPr>
        <w:tc>
          <w:tcPr>
            <w:tcW w:w="1806" w:type="dxa"/>
            <w:shd w:val="clear" w:color="auto" w:fill="auto"/>
            <w:tcMar>
              <w:left w:w="0" w:type="dxa"/>
            </w:tcMar>
          </w:tcPr>
          <w:p w14:paraId="5148A370" w14:textId="0A87EBC3" w:rsidR="00640E6B" w:rsidRPr="00D970F7" w:rsidRDefault="00FE1F4B" w:rsidP="00E1168B">
            <w:pPr>
              <w:pStyle w:val="Marginlie"/>
              <w:rPr>
                <w:lang w:val="en-GB"/>
              </w:rPr>
            </w:pPr>
            <w:r w:rsidRPr="00D970F7">
              <w:rPr>
                <w:lang w:val="en-GB"/>
              </w:rPr>
              <w:lastRenderedPageBreak/>
              <w:t xml:space="preserve">Household consumption diminished. Government institutions heightened their expenditure year-on-year. </w:t>
            </w:r>
          </w:p>
        </w:tc>
        <w:tc>
          <w:tcPr>
            <w:tcW w:w="223" w:type="dxa"/>
            <w:shd w:val="clear" w:color="auto" w:fill="auto"/>
            <w:tcMar>
              <w:left w:w="0" w:type="dxa"/>
            </w:tcMar>
          </w:tcPr>
          <w:p w14:paraId="6AB2D82D"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6A1C240A" w14:textId="32ADAE02" w:rsidR="00640E6B" w:rsidRPr="00D970F7" w:rsidRDefault="00FE1F4B" w:rsidP="00F64E62">
            <w:pPr>
              <w:rPr>
                <w:lang w:val="en-GB"/>
              </w:rPr>
            </w:pPr>
            <w:r w:rsidRPr="00D970F7">
              <w:rPr>
                <w:lang w:val="en-GB"/>
              </w:rPr>
              <w:t xml:space="preserve">Total year-on-year fall of domestic consumption reached </w:t>
            </w:r>
            <w:r w:rsidR="00640E6B" w:rsidRPr="00D970F7">
              <w:rPr>
                <w:lang w:val="en-GB"/>
              </w:rPr>
              <w:t>4</w:t>
            </w:r>
            <w:r w:rsidRPr="00D970F7">
              <w:rPr>
                <w:lang w:val="en-GB"/>
              </w:rPr>
              <w:t>.</w:t>
            </w:r>
            <w:r w:rsidR="00640E6B" w:rsidRPr="00D970F7">
              <w:rPr>
                <w:lang w:val="en-GB"/>
              </w:rPr>
              <w:t>8%</w:t>
            </w:r>
            <w:r w:rsidRPr="00D970F7">
              <w:rPr>
                <w:lang w:val="en-GB"/>
              </w:rPr>
              <w:t xml:space="preserve"> and its contribution in the direction of GDP fall was </w:t>
            </w:r>
            <w:r w:rsidR="00640E6B" w:rsidRPr="00D970F7">
              <w:rPr>
                <w:lang w:val="en-GB"/>
              </w:rPr>
              <w:t>1</w:t>
            </w:r>
            <w:r w:rsidRPr="00D970F7">
              <w:rPr>
                <w:lang w:val="en-GB"/>
              </w:rPr>
              <w:t>.</w:t>
            </w:r>
            <w:r w:rsidR="00640E6B" w:rsidRPr="00D970F7">
              <w:rPr>
                <w:lang w:val="en-GB"/>
              </w:rPr>
              <w:t>6 p.</w:t>
            </w:r>
            <w:r w:rsidRPr="00D970F7">
              <w:rPr>
                <w:lang w:val="en-GB"/>
              </w:rPr>
              <w:t xml:space="preserve">p. Consumption </w:t>
            </w:r>
            <w:r w:rsidR="00A3403F" w:rsidRPr="00D970F7">
              <w:rPr>
                <w:lang w:val="en-GB"/>
              </w:rPr>
              <w:t>reduced year-on-year for the first time since Q</w:t>
            </w:r>
            <w:r w:rsidR="00640E6B" w:rsidRPr="00D970F7">
              <w:rPr>
                <w:lang w:val="en-GB"/>
              </w:rPr>
              <w:t>4</w:t>
            </w:r>
            <w:r w:rsidR="00A3403F" w:rsidRPr="00D970F7">
              <w:rPr>
                <w:lang w:val="en-GB"/>
              </w:rPr>
              <w:t xml:space="preserve"> </w:t>
            </w:r>
            <w:r w:rsidR="00640E6B" w:rsidRPr="00D970F7">
              <w:rPr>
                <w:lang w:val="en-GB"/>
              </w:rPr>
              <w:t xml:space="preserve">2012. </w:t>
            </w:r>
            <w:r w:rsidR="007E1EC5" w:rsidRPr="00D970F7">
              <w:rPr>
                <w:lang w:val="en-GB"/>
              </w:rPr>
              <w:t xml:space="preserve">Household consumption was exclusively falling, </w:t>
            </w:r>
            <w:r w:rsidR="002B7366" w:rsidRPr="00D970F7">
              <w:rPr>
                <w:lang w:val="en-GB"/>
              </w:rPr>
              <w:t>households</w:t>
            </w:r>
            <w:r w:rsidR="007E1EC5" w:rsidRPr="00D970F7">
              <w:rPr>
                <w:lang w:val="en-GB"/>
              </w:rPr>
              <w:t xml:space="preserve"> had limited options, where and what to spend, given the introduced measures. Year-on-year decrease of household consumption thus arrived at </w:t>
            </w:r>
            <w:r w:rsidR="00640E6B" w:rsidRPr="00D970F7">
              <w:rPr>
                <w:lang w:val="en-GB"/>
              </w:rPr>
              <w:t>7</w:t>
            </w:r>
            <w:r w:rsidR="007E1EC5" w:rsidRPr="00D970F7">
              <w:rPr>
                <w:lang w:val="en-GB"/>
              </w:rPr>
              <w:t>.</w:t>
            </w:r>
            <w:r w:rsidR="00640E6B" w:rsidRPr="00D970F7">
              <w:rPr>
                <w:lang w:val="en-GB"/>
              </w:rPr>
              <w:t>6%</w:t>
            </w:r>
            <w:r w:rsidR="007E1EC5" w:rsidRPr="00D970F7">
              <w:rPr>
                <w:lang w:val="en-GB"/>
              </w:rPr>
              <w:t xml:space="preserve"> and it concerned the deepest</w:t>
            </w:r>
            <w:r w:rsidR="000924B7" w:rsidRPr="00D970F7">
              <w:rPr>
                <w:lang w:val="en-GB"/>
              </w:rPr>
              <w:t xml:space="preserve"> recorded slump. </w:t>
            </w:r>
            <w:r w:rsidR="008B5F78" w:rsidRPr="00D970F7">
              <w:rPr>
                <w:lang w:val="en-GB"/>
              </w:rPr>
              <w:t xml:space="preserve">Government institution consumption on the contrary went up by </w:t>
            </w:r>
            <w:r w:rsidR="00640E6B" w:rsidRPr="00D970F7">
              <w:rPr>
                <w:lang w:val="en-GB"/>
              </w:rPr>
              <w:t>1</w:t>
            </w:r>
            <w:r w:rsidR="008B5F78" w:rsidRPr="00D970F7">
              <w:rPr>
                <w:lang w:val="en-GB"/>
              </w:rPr>
              <w:t>.</w:t>
            </w:r>
            <w:r w:rsidR="00640E6B" w:rsidRPr="00D970F7">
              <w:rPr>
                <w:lang w:val="en-GB"/>
              </w:rPr>
              <w:t>8%</w:t>
            </w:r>
            <w:r w:rsidR="008B5F78" w:rsidRPr="00D970F7">
              <w:rPr>
                <w:lang w:val="en-GB"/>
              </w:rPr>
              <w:t xml:space="preserve"> year-on-year</w:t>
            </w:r>
            <w:r w:rsidR="000924B7" w:rsidRPr="00D970F7">
              <w:rPr>
                <w:lang w:val="en-GB"/>
              </w:rPr>
              <w:t>.</w:t>
            </w:r>
            <w:r w:rsidR="008B5F78" w:rsidRPr="00D970F7">
              <w:rPr>
                <w:lang w:val="en-GB"/>
              </w:rPr>
              <w:t xml:space="preserve"> Quarter-on-quarter decrease of the total consumption was </w:t>
            </w:r>
            <w:r w:rsidR="00640E6B" w:rsidRPr="00D970F7">
              <w:rPr>
                <w:lang w:val="en-GB"/>
              </w:rPr>
              <w:t>4</w:t>
            </w:r>
            <w:r w:rsidR="008B5F78" w:rsidRPr="00D970F7">
              <w:rPr>
                <w:lang w:val="en-GB"/>
              </w:rPr>
              <w:t>.</w:t>
            </w:r>
            <w:r w:rsidR="00640E6B" w:rsidRPr="00D970F7">
              <w:rPr>
                <w:lang w:val="en-GB"/>
              </w:rPr>
              <w:t>8%.</w:t>
            </w:r>
            <w:r w:rsidR="008B5F78" w:rsidRPr="00D970F7">
              <w:rPr>
                <w:lang w:val="en-GB"/>
              </w:rPr>
              <w:t xml:space="preserve"> </w:t>
            </w:r>
            <w:r w:rsidR="00640E6B" w:rsidRPr="00D970F7">
              <w:rPr>
                <w:lang w:val="en-GB"/>
              </w:rPr>
              <w:t xml:space="preserve"> </w:t>
            </w:r>
            <w:r w:rsidR="00A03545" w:rsidRPr="00D970F7">
              <w:rPr>
                <w:lang w:val="en-GB"/>
              </w:rPr>
              <w:t xml:space="preserve">Deep slump related to households </w:t>
            </w:r>
            <w:r w:rsidR="00640E6B" w:rsidRPr="00D970F7">
              <w:rPr>
                <w:lang w:val="en-GB"/>
              </w:rPr>
              <w:t>(–6</w:t>
            </w:r>
            <w:r w:rsidR="00A03545" w:rsidRPr="00D970F7">
              <w:rPr>
                <w:lang w:val="en-GB"/>
              </w:rPr>
              <w:t>.</w:t>
            </w:r>
            <w:r w:rsidR="00640E6B" w:rsidRPr="00D970F7">
              <w:rPr>
                <w:lang w:val="en-GB"/>
              </w:rPr>
              <w:t>3%),</w:t>
            </w:r>
            <w:r w:rsidR="00A03545" w:rsidRPr="00D970F7">
              <w:rPr>
                <w:lang w:val="en-GB"/>
              </w:rPr>
              <w:t xml:space="preserve"> government consumption however also decreased </w:t>
            </w:r>
            <w:r w:rsidR="00640E6B" w:rsidRPr="00D970F7">
              <w:rPr>
                <w:lang w:val="en-GB"/>
              </w:rPr>
              <w:t>(–1</w:t>
            </w:r>
            <w:r w:rsidR="00A03545" w:rsidRPr="00D970F7">
              <w:rPr>
                <w:lang w:val="en-GB"/>
              </w:rPr>
              <w:t>.</w:t>
            </w:r>
            <w:r w:rsidR="00640E6B" w:rsidRPr="00D970F7">
              <w:rPr>
                <w:lang w:val="en-GB"/>
              </w:rPr>
              <w:t xml:space="preserve">5%). </w:t>
            </w:r>
            <w:r w:rsidR="000924B7" w:rsidRPr="00D970F7">
              <w:rPr>
                <w:lang w:val="en-GB"/>
              </w:rPr>
              <w:t>Development of consumption with respect to durability</w:t>
            </w:r>
            <w:r w:rsidR="00640E6B" w:rsidRPr="00D970F7">
              <w:rPr>
                <w:rStyle w:val="Znakapoznpodarou"/>
                <w:lang w:val="en-GB"/>
              </w:rPr>
              <w:footnoteReference w:id="9"/>
            </w:r>
            <w:r w:rsidR="00640E6B" w:rsidRPr="00D970F7">
              <w:rPr>
                <w:lang w:val="en-GB"/>
              </w:rPr>
              <w:t xml:space="preserve"> </w:t>
            </w:r>
            <w:r w:rsidR="000924B7" w:rsidRPr="00D970F7">
              <w:rPr>
                <w:lang w:val="en-GB"/>
              </w:rPr>
              <w:t xml:space="preserve">completely reflected the situation in the economy. </w:t>
            </w:r>
            <w:r w:rsidR="00CE06B5" w:rsidRPr="00D970F7">
              <w:rPr>
                <w:lang w:val="en-GB"/>
              </w:rPr>
              <w:t xml:space="preserve">Expenditure on items of short-term consumption fall was relatively moderate year-on-year </w:t>
            </w:r>
            <w:r w:rsidR="00640E6B" w:rsidRPr="00D970F7">
              <w:rPr>
                <w:lang w:val="en-GB"/>
              </w:rPr>
              <w:t xml:space="preserve">– </w:t>
            </w:r>
            <w:r w:rsidR="00CE06B5" w:rsidRPr="00D970F7">
              <w:rPr>
                <w:lang w:val="en-GB"/>
              </w:rPr>
              <w:t>by</w:t>
            </w:r>
            <w:r w:rsidR="00640E6B" w:rsidRPr="00D970F7">
              <w:rPr>
                <w:lang w:val="en-GB"/>
              </w:rPr>
              <w:t> 1</w:t>
            </w:r>
            <w:r w:rsidR="00CE06B5" w:rsidRPr="00D970F7">
              <w:rPr>
                <w:lang w:val="en-GB"/>
              </w:rPr>
              <w:t>.</w:t>
            </w:r>
            <w:r w:rsidR="00640E6B" w:rsidRPr="00D970F7">
              <w:rPr>
                <w:lang w:val="en-GB"/>
              </w:rPr>
              <w:t xml:space="preserve">7%. </w:t>
            </w:r>
            <w:r w:rsidR="005B5054" w:rsidRPr="00D970F7">
              <w:rPr>
                <w:lang w:val="en-GB"/>
              </w:rPr>
              <w:t xml:space="preserve">Closure of large part of shops with non-essential goods </w:t>
            </w:r>
            <w:r w:rsidR="00CE06B5" w:rsidRPr="00D970F7">
              <w:rPr>
                <w:lang w:val="en-GB"/>
              </w:rPr>
              <w:t xml:space="preserve">then besides other things led </w:t>
            </w:r>
            <w:r w:rsidR="005B5054" w:rsidRPr="00D970F7">
              <w:rPr>
                <w:lang w:val="en-GB"/>
              </w:rPr>
              <w:t xml:space="preserve">to large fallouts of consumption of long-term consumption goods </w:t>
            </w:r>
            <w:r w:rsidR="00640E6B" w:rsidRPr="00D970F7">
              <w:rPr>
                <w:lang w:val="en-GB"/>
              </w:rPr>
              <w:t>(–12</w:t>
            </w:r>
            <w:r w:rsidR="005B5054" w:rsidRPr="00D970F7">
              <w:rPr>
                <w:lang w:val="en-GB"/>
              </w:rPr>
              <w:t>.</w:t>
            </w:r>
            <w:r w:rsidR="00640E6B" w:rsidRPr="00D970F7">
              <w:rPr>
                <w:lang w:val="en-GB"/>
              </w:rPr>
              <w:t>2%)</w:t>
            </w:r>
            <w:r w:rsidR="005B5054" w:rsidRPr="00D970F7">
              <w:rPr>
                <w:lang w:val="en-GB"/>
              </w:rPr>
              <w:t xml:space="preserve"> and medium-term consumption goods </w:t>
            </w:r>
            <w:r w:rsidR="00640E6B" w:rsidRPr="00D970F7">
              <w:rPr>
                <w:lang w:val="en-GB"/>
              </w:rPr>
              <w:t>(</w:t>
            </w:r>
            <w:r w:rsidR="00F64E62">
              <w:rPr>
                <w:lang w:val="en-GB"/>
              </w:rPr>
              <w:noBreakHyphen/>
            </w:r>
            <w:r w:rsidR="00640E6B" w:rsidRPr="00D970F7">
              <w:rPr>
                <w:lang w:val="en-GB"/>
              </w:rPr>
              <w:t>25</w:t>
            </w:r>
            <w:r w:rsidR="005B5054" w:rsidRPr="00D970F7">
              <w:rPr>
                <w:lang w:val="en-GB"/>
              </w:rPr>
              <w:t>.</w:t>
            </w:r>
            <w:r w:rsidR="00640E6B" w:rsidRPr="00D970F7">
              <w:rPr>
                <w:lang w:val="en-GB"/>
              </w:rPr>
              <w:t xml:space="preserve">0%). </w:t>
            </w:r>
            <w:r w:rsidR="008B5F78" w:rsidRPr="00D970F7">
              <w:rPr>
                <w:lang w:val="en-GB"/>
              </w:rPr>
              <w:t xml:space="preserve">Consumption of services plunged by </w:t>
            </w:r>
            <w:r w:rsidR="00640E6B" w:rsidRPr="00D970F7">
              <w:rPr>
                <w:lang w:val="en-GB"/>
              </w:rPr>
              <w:t>13</w:t>
            </w:r>
            <w:r w:rsidR="008B5F78" w:rsidRPr="00D970F7">
              <w:rPr>
                <w:lang w:val="en-GB"/>
              </w:rPr>
              <w:t>.</w:t>
            </w:r>
            <w:r w:rsidR="00640E6B" w:rsidRPr="00D970F7">
              <w:rPr>
                <w:lang w:val="en-GB"/>
              </w:rPr>
              <w:t>8%</w:t>
            </w:r>
            <w:r w:rsidR="008B5F78" w:rsidRPr="00D970F7">
              <w:rPr>
                <w:lang w:val="en-GB"/>
              </w:rPr>
              <w:t xml:space="preserve"> in Q2</w:t>
            </w:r>
            <w:r w:rsidR="00640E6B" w:rsidRPr="00D970F7">
              <w:rPr>
                <w:lang w:val="en-GB"/>
              </w:rPr>
              <w:t>.</w:t>
            </w:r>
          </w:p>
        </w:tc>
      </w:tr>
      <w:tr w:rsidR="00640E6B" w:rsidRPr="00D970F7" w14:paraId="57B573A6" w14:textId="77777777" w:rsidTr="00E1168B">
        <w:trPr>
          <w:trHeight w:val="145"/>
        </w:trPr>
        <w:tc>
          <w:tcPr>
            <w:tcW w:w="1806" w:type="dxa"/>
            <w:shd w:val="clear" w:color="auto" w:fill="auto"/>
            <w:tcMar>
              <w:left w:w="0" w:type="dxa"/>
            </w:tcMar>
          </w:tcPr>
          <w:p w14:paraId="08844F97" w14:textId="270D7785" w:rsidR="00640E6B" w:rsidRPr="00D970F7" w:rsidRDefault="00640E6B" w:rsidP="00E1168B">
            <w:pPr>
              <w:pStyle w:val="Marginlie"/>
              <w:rPr>
                <w:lang w:val="en-GB"/>
              </w:rPr>
            </w:pPr>
            <w:r w:rsidRPr="00D970F7">
              <w:rPr>
                <w:lang w:val="en-GB"/>
              </w:rPr>
              <w:t>Invest</w:t>
            </w:r>
            <w:r w:rsidR="001F0AE4" w:rsidRPr="00D970F7">
              <w:rPr>
                <w:lang w:val="en-GB"/>
              </w:rPr>
              <w:t xml:space="preserve">ment </w:t>
            </w:r>
            <w:r w:rsidR="00FE1F4B" w:rsidRPr="00D970F7">
              <w:rPr>
                <w:lang w:val="en-GB"/>
              </w:rPr>
              <w:t>activity plunged year-on-year, but mildly increased quarter-on-quarter</w:t>
            </w:r>
            <w:r w:rsidRPr="00D970F7">
              <w:rPr>
                <w:lang w:val="en-GB"/>
              </w:rPr>
              <w:t>.</w:t>
            </w:r>
          </w:p>
        </w:tc>
        <w:tc>
          <w:tcPr>
            <w:tcW w:w="223" w:type="dxa"/>
            <w:shd w:val="clear" w:color="auto" w:fill="auto"/>
            <w:tcMar>
              <w:left w:w="0" w:type="dxa"/>
            </w:tcMar>
          </w:tcPr>
          <w:p w14:paraId="56EE1245"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63FC6AC" w14:textId="6593CAE3" w:rsidR="00640E6B" w:rsidRPr="00D970F7" w:rsidRDefault="00E35EFD" w:rsidP="00E1168B">
            <w:pPr>
              <w:rPr>
                <w:lang w:val="en-GB"/>
              </w:rPr>
            </w:pPr>
            <w:r w:rsidRPr="00D970F7">
              <w:rPr>
                <w:lang w:val="en-GB"/>
              </w:rPr>
              <w:t xml:space="preserve">Expenditures on gross capital formation dropped by </w:t>
            </w:r>
            <w:r w:rsidR="00640E6B" w:rsidRPr="00D970F7">
              <w:rPr>
                <w:lang w:val="en-GB"/>
              </w:rPr>
              <w:t>10</w:t>
            </w:r>
            <w:r w:rsidRPr="00D970F7">
              <w:rPr>
                <w:lang w:val="en-GB"/>
              </w:rPr>
              <w:t>.</w:t>
            </w:r>
            <w:r w:rsidR="00640E6B" w:rsidRPr="00D970F7">
              <w:rPr>
                <w:lang w:val="en-GB"/>
              </w:rPr>
              <w:t>2%</w:t>
            </w:r>
            <w:r w:rsidRPr="00D970F7">
              <w:rPr>
                <w:lang w:val="en-GB"/>
              </w:rPr>
              <w:t xml:space="preserve"> year-on-year in Q2 and contributed </w:t>
            </w:r>
            <w:r w:rsidR="00640E6B" w:rsidRPr="00D970F7">
              <w:rPr>
                <w:lang w:val="en-GB"/>
              </w:rPr>
              <w:t>1</w:t>
            </w:r>
            <w:r w:rsidRPr="00D970F7">
              <w:rPr>
                <w:lang w:val="en-GB"/>
              </w:rPr>
              <w:t>.</w:t>
            </w:r>
            <w:r w:rsidR="00640E6B" w:rsidRPr="00D970F7">
              <w:rPr>
                <w:lang w:val="en-GB"/>
              </w:rPr>
              <w:t>5 p.</w:t>
            </w:r>
            <w:r w:rsidRPr="00D970F7">
              <w:rPr>
                <w:lang w:val="en-GB"/>
              </w:rPr>
              <w:t>p. to the total GDP decrease</w:t>
            </w:r>
            <w:r w:rsidR="00640E6B" w:rsidRPr="00D970F7">
              <w:rPr>
                <w:lang w:val="en-GB"/>
              </w:rPr>
              <w:t xml:space="preserve">. </w:t>
            </w:r>
            <w:r w:rsidR="00C0015C" w:rsidRPr="00D970F7">
              <w:rPr>
                <w:lang w:val="en-GB"/>
              </w:rPr>
              <w:t xml:space="preserve">In that expenditures on gross fixed capital formation decreased by </w:t>
            </w:r>
            <w:r w:rsidR="00640E6B" w:rsidRPr="00D970F7">
              <w:rPr>
                <w:lang w:val="en-GB"/>
              </w:rPr>
              <w:t>4</w:t>
            </w:r>
            <w:r w:rsidR="00C0015C" w:rsidRPr="00D970F7">
              <w:rPr>
                <w:lang w:val="en-GB"/>
              </w:rPr>
              <w:t>.</w:t>
            </w:r>
            <w:r w:rsidR="00640E6B" w:rsidRPr="00D970F7">
              <w:rPr>
                <w:lang w:val="en-GB"/>
              </w:rPr>
              <w:t>8%</w:t>
            </w:r>
            <w:r w:rsidR="00C0015C" w:rsidRPr="00D970F7">
              <w:rPr>
                <w:lang w:val="en-GB"/>
              </w:rPr>
              <w:t xml:space="preserve"> year-on-year</w:t>
            </w:r>
            <w:r w:rsidR="00640E6B" w:rsidRPr="00D970F7">
              <w:rPr>
                <w:lang w:val="en-GB"/>
              </w:rPr>
              <w:t xml:space="preserve">. </w:t>
            </w:r>
            <w:r w:rsidR="002A6D77" w:rsidRPr="00D970F7">
              <w:rPr>
                <w:lang w:val="en-GB"/>
              </w:rPr>
              <w:t>Inventory stock exerted a negative influence. Quarter-on-quarter development painted a more optimistic picture regarding the investment a</w:t>
            </w:r>
            <w:r w:rsidR="00D53DCB" w:rsidRPr="00D970F7">
              <w:rPr>
                <w:lang w:val="en-GB"/>
              </w:rPr>
              <w:t>c</w:t>
            </w:r>
            <w:r w:rsidR="002A6D77" w:rsidRPr="00D970F7">
              <w:rPr>
                <w:lang w:val="en-GB"/>
              </w:rPr>
              <w:t>tivity.</w:t>
            </w:r>
            <w:r w:rsidR="00D53DCB" w:rsidRPr="00D970F7">
              <w:rPr>
                <w:lang w:val="en-GB"/>
              </w:rPr>
              <w:t xml:space="preserve"> While the expenditures on gross capital went down by 8.5%</w:t>
            </w:r>
            <w:r w:rsidR="00B51E3B" w:rsidRPr="00D970F7">
              <w:rPr>
                <w:lang w:val="en-GB"/>
              </w:rPr>
              <w:t xml:space="preserve"> compared to Q</w:t>
            </w:r>
            <w:r w:rsidR="00640E6B" w:rsidRPr="00D970F7">
              <w:rPr>
                <w:lang w:val="en-GB"/>
              </w:rPr>
              <w:t>1</w:t>
            </w:r>
            <w:r w:rsidR="00B51E3B" w:rsidRPr="00D970F7">
              <w:rPr>
                <w:lang w:val="en-GB"/>
              </w:rPr>
              <w:t>,</w:t>
            </w:r>
            <w:r w:rsidR="00640E6B" w:rsidRPr="00D970F7">
              <w:rPr>
                <w:lang w:val="en-GB"/>
              </w:rPr>
              <w:t xml:space="preserve"> </w:t>
            </w:r>
            <w:r w:rsidR="00B51E3B" w:rsidRPr="00D970F7">
              <w:rPr>
                <w:lang w:val="en-GB"/>
              </w:rPr>
              <w:t>investment activity (gross fixed capital</w:t>
            </w:r>
            <w:r w:rsidR="00640E6B" w:rsidRPr="00D970F7">
              <w:rPr>
                <w:lang w:val="en-GB"/>
              </w:rPr>
              <w:t xml:space="preserve">) </w:t>
            </w:r>
            <w:r w:rsidR="00B51E3B" w:rsidRPr="00D970F7">
              <w:rPr>
                <w:lang w:val="en-GB"/>
              </w:rPr>
              <w:t xml:space="preserve">increased by </w:t>
            </w:r>
            <w:r w:rsidR="00640E6B" w:rsidRPr="00D970F7">
              <w:rPr>
                <w:lang w:val="en-GB"/>
              </w:rPr>
              <w:t>0</w:t>
            </w:r>
            <w:r w:rsidR="00B51E3B" w:rsidRPr="00D970F7">
              <w:rPr>
                <w:lang w:val="en-GB"/>
              </w:rPr>
              <w:t>.</w:t>
            </w:r>
            <w:r w:rsidR="00640E6B" w:rsidRPr="00D970F7">
              <w:rPr>
                <w:lang w:val="en-GB"/>
              </w:rPr>
              <w:t>9%. Anal</w:t>
            </w:r>
            <w:r w:rsidR="0022448C" w:rsidRPr="00D970F7">
              <w:rPr>
                <w:lang w:val="en-GB"/>
              </w:rPr>
              <w:t xml:space="preserve">ysis of the </w:t>
            </w:r>
            <w:r w:rsidR="0022448C" w:rsidRPr="00D970F7">
              <w:rPr>
                <w:rFonts w:cs="Arial"/>
                <w:szCs w:val="20"/>
                <w:lang w:val="en-GB"/>
              </w:rPr>
              <w:t>type classification of gross fixed capital formation</w:t>
            </w:r>
            <w:r w:rsidR="0022448C" w:rsidRPr="00D970F7">
              <w:rPr>
                <w:lang w:val="en-GB"/>
              </w:rPr>
              <w:t xml:space="preserve"> revealed, that </w:t>
            </w:r>
            <w:r w:rsidR="00A65A80" w:rsidRPr="00D970F7">
              <w:rPr>
                <w:lang w:val="en-GB"/>
              </w:rPr>
              <w:t xml:space="preserve">other buildings and structures were the only investment category, where the expenditures went up year-on-year </w:t>
            </w:r>
            <w:r w:rsidR="00640E6B" w:rsidRPr="00D970F7">
              <w:rPr>
                <w:lang w:val="en-GB"/>
              </w:rPr>
              <w:t>(6</w:t>
            </w:r>
            <w:r w:rsidR="00A65A80" w:rsidRPr="00D970F7">
              <w:rPr>
                <w:lang w:val="en-GB"/>
              </w:rPr>
              <w:t>.</w:t>
            </w:r>
            <w:r w:rsidR="00640E6B" w:rsidRPr="00D970F7">
              <w:rPr>
                <w:lang w:val="en-GB"/>
              </w:rPr>
              <w:t>7%)</w:t>
            </w:r>
            <w:r w:rsidR="00640E6B" w:rsidRPr="00D970F7">
              <w:rPr>
                <w:rStyle w:val="Znakapoznpodarou"/>
                <w:lang w:val="en-GB"/>
              </w:rPr>
              <w:footnoteReference w:id="10"/>
            </w:r>
            <w:r w:rsidR="00640E6B" w:rsidRPr="00D970F7">
              <w:rPr>
                <w:lang w:val="en-GB"/>
              </w:rPr>
              <w:t xml:space="preserve">. </w:t>
            </w:r>
            <w:r w:rsidR="003B0197" w:rsidRPr="00D970F7">
              <w:rPr>
                <w:lang w:val="en-GB"/>
              </w:rPr>
              <w:t xml:space="preserve">Other categories on the other hand recorded decrease. </w:t>
            </w:r>
            <w:r w:rsidR="00DD2BC9" w:rsidRPr="00D970F7">
              <w:rPr>
                <w:lang w:val="en-GB"/>
              </w:rPr>
              <w:t xml:space="preserve">Investment into </w:t>
            </w:r>
            <w:r w:rsidR="00731C73" w:rsidRPr="00D970F7">
              <w:rPr>
                <w:lang w:val="en-GB"/>
              </w:rPr>
              <w:t xml:space="preserve">the transport equipment </w:t>
            </w:r>
            <w:r w:rsidR="00640E6B" w:rsidRPr="00D970F7">
              <w:rPr>
                <w:lang w:val="en-GB"/>
              </w:rPr>
              <w:t>(–19</w:t>
            </w:r>
            <w:r w:rsidR="00DD2BC9" w:rsidRPr="00D970F7">
              <w:rPr>
                <w:lang w:val="en-GB"/>
              </w:rPr>
              <w:t>.</w:t>
            </w:r>
            <w:r w:rsidR="00640E6B" w:rsidRPr="00D970F7">
              <w:rPr>
                <w:lang w:val="en-GB"/>
              </w:rPr>
              <w:t>5%) a</w:t>
            </w:r>
            <w:r w:rsidR="00DD2BC9" w:rsidRPr="00D970F7">
              <w:rPr>
                <w:lang w:val="en-GB"/>
              </w:rPr>
              <w:t xml:space="preserve">nd </w:t>
            </w:r>
            <w:r w:rsidR="00640E6B" w:rsidRPr="00D970F7">
              <w:rPr>
                <w:lang w:val="en-GB"/>
              </w:rPr>
              <w:t>ICT a</w:t>
            </w:r>
            <w:r w:rsidR="00DD2BC9" w:rsidRPr="00D970F7">
              <w:rPr>
                <w:lang w:val="en-GB"/>
              </w:rPr>
              <w:t xml:space="preserve">nd other </w:t>
            </w:r>
            <w:r w:rsidR="004973CD" w:rsidRPr="00D970F7">
              <w:rPr>
                <w:lang w:val="en-GB"/>
              </w:rPr>
              <w:t xml:space="preserve">machinery and equipment </w:t>
            </w:r>
            <w:r w:rsidR="00640E6B" w:rsidRPr="00D970F7">
              <w:rPr>
                <w:lang w:val="en-GB"/>
              </w:rPr>
              <w:t>(–12</w:t>
            </w:r>
            <w:r w:rsidR="004973CD" w:rsidRPr="00D970F7">
              <w:rPr>
                <w:lang w:val="en-GB"/>
              </w:rPr>
              <w:t>.</w:t>
            </w:r>
            <w:r w:rsidR="00640E6B" w:rsidRPr="00D970F7">
              <w:rPr>
                <w:lang w:val="en-GB"/>
              </w:rPr>
              <w:t>3%)</w:t>
            </w:r>
            <w:r w:rsidR="00DD2BC9" w:rsidRPr="00D970F7">
              <w:rPr>
                <w:lang w:val="en-GB"/>
              </w:rPr>
              <w:t xml:space="preserve"> shrank the most</w:t>
            </w:r>
            <w:r w:rsidR="00640E6B" w:rsidRPr="00D970F7">
              <w:rPr>
                <w:lang w:val="en-GB"/>
              </w:rPr>
              <w:t>. M</w:t>
            </w:r>
            <w:r w:rsidR="00312A9B" w:rsidRPr="00D970F7">
              <w:rPr>
                <w:lang w:val="en-GB"/>
              </w:rPr>
              <w:t>oderate year-on-year decrease then affected the products of i</w:t>
            </w:r>
            <w:r w:rsidR="004973CD" w:rsidRPr="00D970F7">
              <w:rPr>
                <w:lang w:val="en-GB"/>
              </w:rPr>
              <w:t xml:space="preserve">ntellectual property </w:t>
            </w:r>
            <w:r w:rsidR="00640E6B" w:rsidRPr="00D970F7">
              <w:rPr>
                <w:lang w:val="en-GB"/>
              </w:rPr>
              <w:t>(–1</w:t>
            </w:r>
            <w:r w:rsidR="004973CD" w:rsidRPr="00D970F7">
              <w:rPr>
                <w:lang w:val="en-GB"/>
              </w:rPr>
              <w:t>.</w:t>
            </w:r>
            <w:r w:rsidR="00640E6B" w:rsidRPr="00D970F7">
              <w:rPr>
                <w:lang w:val="en-GB"/>
              </w:rPr>
              <w:t>3%)</w:t>
            </w:r>
            <w:r w:rsidR="00312A9B" w:rsidRPr="00D970F7">
              <w:rPr>
                <w:lang w:val="en-GB"/>
              </w:rPr>
              <w:t xml:space="preserve"> and housing </w:t>
            </w:r>
            <w:r w:rsidR="00640E6B" w:rsidRPr="00D970F7">
              <w:rPr>
                <w:lang w:val="en-GB"/>
              </w:rPr>
              <w:t>(–0</w:t>
            </w:r>
            <w:r w:rsidR="00312A9B" w:rsidRPr="00D970F7">
              <w:rPr>
                <w:lang w:val="en-GB"/>
              </w:rPr>
              <w:t>.</w:t>
            </w:r>
            <w:r w:rsidR="00640E6B" w:rsidRPr="00D970F7">
              <w:rPr>
                <w:lang w:val="en-GB"/>
              </w:rPr>
              <w:t xml:space="preserve">3%). </w:t>
            </w:r>
            <w:r w:rsidR="00A91B74" w:rsidRPr="00D970F7">
              <w:rPr>
                <w:lang w:val="en-GB"/>
              </w:rPr>
              <w:t xml:space="preserve">From the type classification of investment, it can be indirectly assumed, that the investment activity of government institution sector </w:t>
            </w:r>
            <w:r w:rsidR="00640E6B" w:rsidRPr="00D970F7">
              <w:rPr>
                <w:lang w:val="en-GB"/>
              </w:rPr>
              <w:t>(o</w:t>
            </w:r>
            <w:r w:rsidR="004B49CB" w:rsidRPr="00D970F7">
              <w:rPr>
                <w:lang w:val="en-GB"/>
              </w:rPr>
              <w:t>ther building and structures</w:t>
            </w:r>
            <w:r w:rsidR="00640E6B" w:rsidRPr="00D970F7">
              <w:rPr>
                <w:lang w:val="en-GB"/>
              </w:rPr>
              <w:t>)</w:t>
            </w:r>
            <w:r w:rsidR="00A91B74" w:rsidRPr="00D970F7">
              <w:rPr>
                <w:lang w:val="en-GB"/>
              </w:rPr>
              <w:t xml:space="preserve"> was the least disrupted</w:t>
            </w:r>
            <w:r w:rsidR="00640E6B" w:rsidRPr="00D970F7">
              <w:rPr>
                <w:lang w:val="en-GB"/>
              </w:rPr>
              <w:t>.</w:t>
            </w:r>
            <w:r w:rsidR="00A91B74" w:rsidRPr="00D970F7">
              <w:rPr>
                <w:lang w:val="en-GB"/>
              </w:rPr>
              <w:t xml:space="preserve"> In contrast, the non-financial businesses were, given the situation, likely more restrained in the area of investment </w:t>
            </w:r>
            <w:r w:rsidR="00640E6B" w:rsidRPr="00D970F7">
              <w:rPr>
                <w:lang w:val="en-GB"/>
              </w:rPr>
              <w:t>(</w:t>
            </w:r>
            <w:r w:rsidR="004B49CB" w:rsidRPr="00D970F7">
              <w:rPr>
                <w:lang w:val="en-GB"/>
              </w:rPr>
              <w:t>machinery, transport equipment</w:t>
            </w:r>
            <w:r w:rsidR="00640E6B" w:rsidRPr="00D970F7">
              <w:rPr>
                <w:lang w:val="en-GB"/>
              </w:rPr>
              <w:t>).</w:t>
            </w:r>
          </w:p>
        </w:tc>
      </w:tr>
      <w:tr w:rsidR="00640E6B" w:rsidRPr="00D970F7" w14:paraId="4C056619" w14:textId="77777777" w:rsidTr="00E1168B">
        <w:trPr>
          <w:trHeight w:val="145"/>
        </w:trPr>
        <w:tc>
          <w:tcPr>
            <w:tcW w:w="1806" w:type="dxa"/>
            <w:shd w:val="clear" w:color="auto" w:fill="auto"/>
            <w:tcMar>
              <w:left w:w="0" w:type="dxa"/>
            </w:tcMar>
          </w:tcPr>
          <w:p w14:paraId="672285DD" w14:textId="4BDD7F52" w:rsidR="00640E6B" w:rsidRPr="00D970F7" w:rsidRDefault="00CF6F9C" w:rsidP="00E1168B">
            <w:pPr>
              <w:pStyle w:val="Marginlie"/>
              <w:rPr>
                <w:lang w:val="en-GB"/>
              </w:rPr>
            </w:pPr>
            <w:r w:rsidRPr="00D970F7">
              <w:rPr>
                <w:lang w:val="en-GB"/>
              </w:rPr>
              <w:t xml:space="preserve">Foreign trade was hardly hit by the crisis. Trade balance with both goods and services </w:t>
            </w:r>
            <w:r w:rsidR="00886293" w:rsidRPr="00D970F7">
              <w:rPr>
                <w:lang w:val="en-GB"/>
              </w:rPr>
              <w:t xml:space="preserve">experienced record worsening. </w:t>
            </w:r>
          </w:p>
        </w:tc>
        <w:tc>
          <w:tcPr>
            <w:tcW w:w="223" w:type="dxa"/>
            <w:shd w:val="clear" w:color="auto" w:fill="auto"/>
            <w:tcMar>
              <w:left w:w="0" w:type="dxa"/>
            </w:tcMar>
          </w:tcPr>
          <w:p w14:paraId="327651F8"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0033530A" w14:textId="7F325907" w:rsidR="00640E6B" w:rsidRPr="00D970F7" w:rsidRDefault="00886293" w:rsidP="00E1168B">
            <w:pPr>
              <w:rPr>
                <w:lang w:val="en-GB"/>
              </w:rPr>
            </w:pPr>
            <w:r w:rsidRPr="00D970F7">
              <w:rPr>
                <w:lang w:val="en-GB"/>
              </w:rPr>
              <w:t xml:space="preserve">Both export and import of goods and services </w:t>
            </w:r>
            <w:r w:rsidR="003A4080" w:rsidRPr="00D970F7">
              <w:rPr>
                <w:lang w:val="en-GB"/>
              </w:rPr>
              <w:t>markedly decreased in real terms in Q</w:t>
            </w:r>
            <w:r w:rsidR="00640E6B" w:rsidRPr="00D970F7">
              <w:rPr>
                <w:lang w:val="en-GB"/>
              </w:rPr>
              <w:t>2. </w:t>
            </w:r>
            <w:r w:rsidR="003A4080" w:rsidRPr="00D970F7">
              <w:rPr>
                <w:lang w:val="en-GB"/>
              </w:rPr>
              <w:t xml:space="preserve">Year-on-year slump of export reached </w:t>
            </w:r>
            <w:r w:rsidR="00640E6B" w:rsidRPr="00D970F7">
              <w:rPr>
                <w:lang w:val="en-GB"/>
              </w:rPr>
              <w:t>23</w:t>
            </w:r>
            <w:r w:rsidR="003A4080" w:rsidRPr="00D970F7">
              <w:rPr>
                <w:lang w:val="en-GB"/>
              </w:rPr>
              <w:t>.</w:t>
            </w:r>
            <w:r w:rsidR="00640E6B" w:rsidRPr="00D970F7">
              <w:rPr>
                <w:lang w:val="en-GB"/>
              </w:rPr>
              <w:t>3%,</w:t>
            </w:r>
            <w:r w:rsidR="003A4080" w:rsidRPr="00D970F7">
              <w:rPr>
                <w:lang w:val="en-GB"/>
              </w:rPr>
              <w:t xml:space="preserve"> </w:t>
            </w:r>
            <w:r w:rsidR="0001250C" w:rsidRPr="00D970F7">
              <w:rPr>
                <w:lang w:val="en-GB"/>
              </w:rPr>
              <w:t xml:space="preserve">for </w:t>
            </w:r>
            <w:r w:rsidR="0009100B" w:rsidRPr="00D970F7">
              <w:rPr>
                <w:lang w:val="en-GB"/>
              </w:rPr>
              <w:t>import</w:t>
            </w:r>
            <w:r w:rsidR="0001250C" w:rsidRPr="00D970F7">
              <w:rPr>
                <w:lang w:val="en-GB"/>
              </w:rPr>
              <w:t xml:space="preserve"> it was </w:t>
            </w:r>
            <w:r w:rsidR="00640E6B" w:rsidRPr="00D970F7">
              <w:rPr>
                <w:lang w:val="en-GB"/>
              </w:rPr>
              <w:t>18</w:t>
            </w:r>
            <w:r w:rsidR="0001250C" w:rsidRPr="00D970F7">
              <w:rPr>
                <w:lang w:val="en-GB"/>
              </w:rPr>
              <w:t>.</w:t>
            </w:r>
            <w:r w:rsidR="00640E6B" w:rsidRPr="00D970F7">
              <w:rPr>
                <w:lang w:val="en-GB"/>
              </w:rPr>
              <w:t xml:space="preserve">2%. </w:t>
            </w:r>
            <w:r w:rsidR="0001250C" w:rsidRPr="00D970F7">
              <w:rPr>
                <w:lang w:val="en-GB"/>
              </w:rPr>
              <w:t>Although the balance of foreign trade with goods and services</w:t>
            </w:r>
            <w:r w:rsidR="00640E6B" w:rsidRPr="00D970F7">
              <w:rPr>
                <w:rStyle w:val="Znakapoznpodarou"/>
                <w:lang w:val="en-GB"/>
              </w:rPr>
              <w:footnoteReference w:id="11"/>
            </w:r>
            <w:r w:rsidR="00640E6B" w:rsidRPr="00D970F7">
              <w:rPr>
                <w:lang w:val="en-GB"/>
              </w:rPr>
              <w:t xml:space="preserve"> t</w:t>
            </w:r>
            <w:r w:rsidR="0001250C" w:rsidRPr="00D970F7">
              <w:rPr>
                <w:lang w:val="en-GB"/>
              </w:rPr>
              <w:t xml:space="preserve">hus attained a surplus of </w:t>
            </w:r>
            <w:r w:rsidR="00640E6B" w:rsidRPr="00D970F7">
              <w:rPr>
                <w:lang w:val="en-GB"/>
              </w:rPr>
              <w:t>44</w:t>
            </w:r>
            <w:r w:rsidR="0001250C" w:rsidRPr="00D970F7">
              <w:rPr>
                <w:lang w:val="en-GB"/>
              </w:rPr>
              <w:t>.</w:t>
            </w:r>
            <w:r w:rsidR="00640E6B" w:rsidRPr="00D970F7">
              <w:rPr>
                <w:lang w:val="en-GB"/>
              </w:rPr>
              <w:t>1</w:t>
            </w:r>
            <w:r w:rsidR="00831E88" w:rsidRPr="00831E88">
              <w:t> </w:t>
            </w:r>
            <w:r w:rsidR="0001250C" w:rsidRPr="00D970F7">
              <w:rPr>
                <w:lang w:val="en-GB"/>
              </w:rPr>
              <w:t>CZK bn, it presented the worst result for 2</w:t>
            </w:r>
            <w:r w:rsidR="0001250C" w:rsidRPr="00D970F7">
              <w:rPr>
                <w:vertAlign w:val="superscript"/>
                <w:lang w:val="en-GB"/>
              </w:rPr>
              <w:t>nd</w:t>
            </w:r>
            <w:r w:rsidR="0001250C" w:rsidRPr="00D970F7">
              <w:rPr>
                <w:lang w:val="en-GB"/>
              </w:rPr>
              <w:t xml:space="preserve"> quarter since year </w:t>
            </w:r>
            <w:r w:rsidR="00640E6B" w:rsidRPr="00D970F7">
              <w:rPr>
                <w:lang w:val="en-GB"/>
              </w:rPr>
              <w:t xml:space="preserve">2012. </w:t>
            </w:r>
            <w:r w:rsidR="00230F48" w:rsidRPr="00D970F7">
              <w:rPr>
                <w:lang w:val="en-GB"/>
              </w:rPr>
              <w:t xml:space="preserve">Positive balance diminished by </w:t>
            </w:r>
            <w:r w:rsidR="00640E6B" w:rsidRPr="00D970F7">
              <w:rPr>
                <w:lang w:val="en-GB"/>
              </w:rPr>
              <w:t>56</w:t>
            </w:r>
            <w:r w:rsidR="00230F48" w:rsidRPr="00D970F7">
              <w:rPr>
                <w:lang w:val="en-GB"/>
              </w:rPr>
              <w:t>.</w:t>
            </w:r>
            <w:r w:rsidR="00640E6B" w:rsidRPr="00D970F7">
              <w:rPr>
                <w:lang w:val="en-GB"/>
              </w:rPr>
              <w:t>5</w:t>
            </w:r>
            <w:r w:rsidR="00230F48" w:rsidRPr="00D970F7">
              <w:rPr>
                <w:lang w:val="en-GB"/>
              </w:rPr>
              <w:t xml:space="preserve"> CZK bn year-on-year</w:t>
            </w:r>
            <w:r w:rsidR="00640E6B" w:rsidRPr="00D970F7">
              <w:rPr>
                <w:lang w:val="en-GB"/>
              </w:rPr>
              <w:t xml:space="preserve">. </w:t>
            </w:r>
            <w:r w:rsidR="00230F48" w:rsidRPr="00D970F7">
              <w:rPr>
                <w:lang w:val="en-GB"/>
              </w:rPr>
              <w:t xml:space="preserve">Significantly negative impact of the balance development on the year-on-year growth of GDP was also heightened in comparison to the exceptionally successful Q2 2019 </w:t>
            </w:r>
            <w:r w:rsidR="00640E6B" w:rsidRPr="00D970F7">
              <w:rPr>
                <w:lang w:val="en-GB"/>
              </w:rPr>
              <w:t>(</w:t>
            </w:r>
            <w:r w:rsidR="00230F48" w:rsidRPr="00D970F7">
              <w:rPr>
                <w:lang w:val="en-GB"/>
              </w:rPr>
              <w:t xml:space="preserve">surplus reached </w:t>
            </w:r>
            <w:r w:rsidR="00640E6B" w:rsidRPr="00D970F7">
              <w:rPr>
                <w:lang w:val="en-GB"/>
              </w:rPr>
              <w:t>100</w:t>
            </w:r>
            <w:r w:rsidR="00230F48" w:rsidRPr="00D970F7">
              <w:rPr>
                <w:lang w:val="en-GB"/>
              </w:rPr>
              <w:t>.</w:t>
            </w:r>
            <w:r w:rsidR="00640E6B" w:rsidRPr="00D970F7">
              <w:rPr>
                <w:lang w:val="en-GB"/>
              </w:rPr>
              <w:t>6</w:t>
            </w:r>
            <w:r w:rsidR="00230F48" w:rsidRPr="00D970F7">
              <w:rPr>
                <w:lang w:val="en-GB"/>
              </w:rPr>
              <w:t xml:space="preserve"> bn</w:t>
            </w:r>
            <w:r w:rsidR="00640E6B" w:rsidRPr="00D970F7">
              <w:rPr>
                <w:lang w:val="en-GB"/>
              </w:rPr>
              <w:t xml:space="preserve">). </w:t>
            </w:r>
            <w:r w:rsidR="0085533F" w:rsidRPr="00D970F7">
              <w:rPr>
                <w:lang w:val="en-GB"/>
              </w:rPr>
              <w:t xml:space="preserve">Mainly the surplus of trade with goods dropped </w:t>
            </w:r>
            <w:r w:rsidR="00640E6B" w:rsidRPr="00D970F7">
              <w:rPr>
                <w:lang w:val="en-GB"/>
              </w:rPr>
              <w:t>(22</w:t>
            </w:r>
            <w:r w:rsidR="0085533F" w:rsidRPr="00D970F7">
              <w:rPr>
                <w:lang w:val="en-GB"/>
              </w:rPr>
              <w:t>.</w:t>
            </w:r>
            <w:r w:rsidR="00640E6B" w:rsidRPr="00D970F7">
              <w:rPr>
                <w:lang w:val="en-GB"/>
              </w:rPr>
              <w:t>0</w:t>
            </w:r>
            <w:r w:rsidR="0085533F" w:rsidRPr="00D970F7">
              <w:rPr>
                <w:lang w:val="en-GB"/>
              </w:rPr>
              <w:t xml:space="preserve"> CZK bn</w:t>
            </w:r>
            <w:r w:rsidR="00640E6B" w:rsidRPr="00D970F7">
              <w:rPr>
                <w:lang w:val="en-GB"/>
              </w:rPr>
              <w:t xml:space="preserve">, </w:t>
            </w:r>
            <w:r w:rsidR="0085533F" w:rsidRPr="00D970F7">
              <w:rPr>
                <w:lang w:val="en-GB"/>
              </w:rPr>
              <w:t xml:space="preserve">decrease by </w:t>
            </w:r>
            <w:r w:rsidR="00640E6B" w:rsidRPr="00D970F7">
              <w:rPr>
                <w:lang w:val="en-GB"/>
              </w:rPr>
              <w:t>47</w:t>
            </w:r>
            <w:r w:rsidR="0085533F" w:rsidRPr="00D970F7">
              <w:rPr>
                <w:lang w:val="en-GB"/>
              </w:rPr>
              <w:t>.</w:t>
            </w:r>
            <w:r w:rsidR="00640E6B" w:rsidRPr="00D970F7">
              <w:rPr>
                <w:lang w:val="en-GB"/>
              </w:rPr>
              <w:t>9</w:t>
            </w:r>
            <w:r w:rsidR="0085533F" w:rsidRPr="00D970F7">
              <w:rPr>
                <w:lang w:val="en-GB"/>
              </w:rPr>
              <w:t xml:space="preserve"> bn</w:t>
            </w:r>
            <w:r w:rsidR="00640E6B" w:rsidRPr="00D970F7">
              <w:rPr>
                <w:lang w:val="en-GB"/>
              </w:rPr>
              <w:t xml:space="preserve">), </w:t>
            </w:r>
            <w:r w:rsidR="00C62423" w:rsidRPr="00D970F7">
              <w:rPr>
                <w:lang w:val="en-GB"/>
              </w:rPr>
              <w:t xml:space="preserve">but the positive balance of trade with services was also falling </w:t>
            </w:r>
            <w:r w:rsidR="00640E6B" w:rsidRPr="00D970F7">
              <w:rPr>
                <w:lang w:val="en-GB"/>
              </w:rPr>
              <w:t>(22</w:t>
            </w:r>
            <w:r w:rsidR="00C62423" w:rsidRPr="00D970F7">
              <w:rPr>
                <w:lang w:val="en-GB"/>
              </w:rPr>
              <w:t>.</w:t>
            </w:r>
            <w:r w:rsidR="00640E6B" w:rsidRPr="00D970F7">
              <w:rPr>
                <w:lang w:val="en-GB"/>
              </w:rPr>
              <w:t>2</w:t>
            </w:r>
            <w:r w:rsidR="00C62423" w:rsidRPr="00D970F7">
              <w:rPr>
                <w:lang w:val="en-GB"/>
              </w:rPr>
              <w:t xml:space="preserve"> bn</w:t>
            </w:r>
            <w:r w:rsidR="00640E6B" w:rsidRPr="00D970F7">
              <w:rPr>
                <w:lang w:val="en-GB"/>
              </w:rPr>
              <w:t xml:space="preserve">, </w:t>
            </w:r>
            <w:r w:rsidR="00C62423" w:rsidRPr="00D970F7">
              <w:rPr>
                <w:lang w:val="en-GB"/>
              </w:rPr>
              <w:t xml:space="preserve">decrease by </w:t>
            </w:r>
            <w:r w:rsidR="00640E6B" w:rsidRPr="00D970F7">
              <w:rPr>
                <w:lang w:val="en-GB"/>
              </w:rPr>
              <w:t>8</w:t>
            </w:r>
            <w:r w:rsidR="00C62423" w:rsidRPr="00D970F7">
              <w:rPr>
                <w:lang w:val="en-GB"/>
              </w:rPr>
              <w:t>.</w:t>
            </w:r>
            <w:r w:rsidR="00640E6B" w:rsidRPr="00D970F7">
              <w:rPr>
                <w:lang w:val="en-GB"/>
              </w:rPr>
              <w:t>5</w:t>
            </w:r>
            <w:r w:rsidR="00C62423" w:rsidRPr="00D970F7">
              <w:rPr>
                <w:lang w:val="en-GB"/>
              </w:rPr>
              <w:t xml:space="preserve"> bn</w:t>
            </w:r>
            <w:r w:rsidR="00640E6B" w:rsidRPr="00D970F7">
              <w:rPr>
                <w:lang w:val="en-GB"/>
              </w:rPr>
              <w:t xml:space="preserve">). </w:t>
            </w:r>
            <w:r w:rsidR="00DB20A1" w:rsidRPr="00D970F7">
              <w:rPr>
                <w:lang w:val="en-GB"/>
              </w:rPr>
              <w:t>The services balance last overtook the goods in Q</w:t>
            </w:r>
            <w:r w:rsidR="00640E6B" w:rsidRPr="00D970F7">
              <w:rPr>
                <w:lang w:val="en-GB"/>
              </w:rPr>
              <w:t>3</w:t>
            </w:r>
            <w:r w:rsidR="00DB20A1" w:rsidRPr="00D970F7">
              <w:rPr>
                <w:lang w:val="en-GB"/>
              </w:rPr>
              <w:t xml:space="preserve"> </w:t>
            </w:r>
            <w:r w:rsidR="00640E6B" w:rsidRPr="00D970F7">
              <w:rPr>
                <w:lang w:val="en-GB"/>
              </w:rPr>
              <w:t>2011.</w:t>
            </w:r>
          </w:p>
        </w:tc>
      </w:tr>
      <w:tr w:rsidR="00640E6B" w:rsidRPr="00D970F7" w14:paraId="22CA299B" w14:textId="77777777" w:rsidTr="00E1168B">
        <w:trPr>
          <w:trHeight w:val="145"/>
        </w:trPr>
        <w:tc>
          <w:tcPr>
            <w:tcW w:w="1806" w:type="dxa"/>
            <w:shd w:val="clear" w:color="auto" w:fill="auto"/>
            <w:tcMar>
              <w:left w:w="0" w:type="dxa"/>
            </w:tcMar>
          </w:tcPr>
          <w:p w14:paraId="062AA128" w14:textId="39AD65B2" w:rsidR="00640E6B" w:rsidRPr="00D970F7" w:rsidRDefault="00FD1173" w:rsidP="00E1168B">
            <w:pPr>
              <w:pStyle w:val="Marginlie"/>
              <w:rPr>
                <w:lang w:val="en-GB"/>
              </w:rPr>
            </w:pPr>
            <w:r w:rsidRPr="00D970F7">
              <w:rPr>
                <w:lang w:val="en-GB"/>
              </w:rPr>
              <w:t>Measures were directly aimed at part of services</w:t>
            </w:r>
            <w:r w:rsidR="00640E6B" w:rsidRPr="00D970F7">
              <w:rPr>
                <w:lang w:val="en-GB"/>
              </w:rPr>
              <w:t xml:space="preserve">, </w:t>
            </w:r>
            <w:r w:rsidRPr="00D970F7">
              <w:rPr>
                <w:lang w:val="en-GB"/>
              </w:rPr>
              <w:t xml:space="preserve">which impinged upon the drastic decrease of their GVA. </w:t>
            </w:r>
          </w:p>
        </w:tc>
        <w:tc>
          <w:tcPr>
            <w:tcW w:w="223" w:type="dxa"/>
            <w:shd w:val="clear" w:color="auto" w:fill="auto"/>
            <w:tcMar>
              <w:left w:w="0" w:type="dxa"/>
            </w:tcMar>
          </w:tcPr>
          <w:p w14:paraId="2C7535C1"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279BE5C3" w14:textId="4322326E" w:rsidR="00640E6B" w:rsidRPr="00D970F7" w:rsidRDefault="002208AD" w:rsidP="00E1168B">
            <w:pPr>
              <w:rPr>
                <w:lang w:val="en-GB"/>
              </w:rPr>
            </w:pPr>
            <w:r w:rsidRPr="00D970F7">
              <w:rPr>
                <w:lang w:val="en-GB"/>
              </w:rPr>
              <w:t xml:space="preserve">Gross value added </w:t>
            </w:r>
            <w:r w:rsidR="00640E6B" w:rsidRPr="00D970F7">
              <w:rPr>
                <w:lang w:val="en-GB"/>
              </w:rPr>
              <w:t>(</w:t>
            </w:r>
            <w:r w:rsidRPr="00D970F7">
              <w:rPr>
                <w:lang w:val="en-GB"/>
              </w:rPr>
              <w:t>GVA</w:t>
            </w:r>
            <w:r w:rsidR="00640E6B" w:rsidRPr="00D970F7">
              <w:rPr>
                <w:lang w:val="en-GB"/>
              </w:rPr>
              <w:t xml:space="preserve">) </w:t>
            </w:r>
            <w:r w:rsidR="00797A76" w:rsidRPr="00D970F7">
              <w:rPr>
                <w:lang w:val="en-GB"/>
              </w:rPr>
              <w:t xml:space="preserve">descended </w:t>
            </w:r>
            <w:r w:rsidR="003E3A1D" w:rsidRPr="00D970F7">
              <w:rPr>
                <w:lang w:val="en-GB"/>
              </w:rPr>
              <w:t xml:space="preserve">by </w:t>
            </w:r>
            <w:r w:rsidR="00640E6B" w:rsidRPr="00D970F7">
              <w:rPr>
                <w:lang w:val="en-GB"/>
              </w:rPr>
              <w:t>10</w:t>
            </w:r>
            <w:r w:rsidR="003E3A1D" w:rsidRPr="00D970F7">
              <w:rPr>
                <w:lang w:val="en-GB"/>
              </w:rPr>
              <w:t>.</w:t>
            </w:r>
            <w:r w:rsidR="00640E6B" w:rsidRPr="00D970F7">
              <w:rPr>
                <w:lang w:val="en-GB"/>
              </w:rPr>
              <w:t>9%</w:t>
            </w:r>
            <w:r w:rsidR="003E3A1D" w:rsidRPr="00D970F7">
              <w:rPr>
                <w:lang w:val="en-GB"/>
              </w:rPr>
              <w:t xml:space="preserve"> year-on-year in Q2</w:t>
            </w:r>
            <w:r w:rsidR="00640E6B" w:rsidRPr="00D970F7">
              <w:rPr>
                <w:lang w:val="en-GB"/>
              </w:rPr>
              <w:t xml:space="preserve">. </w:t>
            </w:r>
            <w:r w:rsidR="001C583D" w:rsidRPr="00D970F7">
              <w:rPr>
                <w:lang w:val="en-GB"/>
              </w:rPr>
              <w:t xml:space="preserve">The decrease at the same time affected the majority of branches. In comparison to the preceding quarter, the GVA dropped by </w:t>
            </w:r>
            <w:r w:rsidR="00640E6B" w:rsidRPr="00D970F7">
              <w:rPr>
                <w:lang w:val="en-GB"/>
              </w:rPr>
              <w:t>9</w:t>
            </w:r>
            <w:r w:rsidR="001C583D" w:rsidRPr="00D970F7">
              <w:rPr>
                <w:lang w:val="en-GB"/>
              </w:rPr>
              <w:t>.</w:t>
            </w:r>
            <w:r w:rsidR="00640E6B" w:rsidRPr="00D970F7">
              <w:rPr>
                <w:lang w:val="en-GB"/>
              </w:rPr>
              <w:t xml:space="preserve">4%. </w:t>
            </w:r>
            <w:r w:rsidR="001C583D" w:rsidRPr="00D970F7">
              <w:rPr>
                <w:lang w:val="en-GB"/>
              </w:rPr>
              <w:t xml:space="preserve">Majority of both services and industry branches were afflicted. </w:t>
            </w:r>
            <w:r w:rsidR="007E7242" w:rsidRPr="00D970F7">
              <w:rPr>
                <w:lang w:val="en-GB"/>
              </w:rPr>
              <w:t xml:space="preserve">The fall of GVA was especially strong in the grouping trade, transportation, accommodation and restaurants </w:t>
            </w:r>
            <w:r w:rsidR="00640E6B" w:rsidRPr="00D970F7">
              <w:rPr>
                <w:lang w:val="en-GB"/>
              </w:rPr>
              <w:t>(–20</w:t>
            </w:r>
            <w:r w:rsidR="007E7242" w:rsidRPr="00D970F7">
              <w:rPr>
                <w:lang w:val="en-GB"/>
              </w:rPr>
              <w:t>.</w:t>
            </w:r>
            <w:r w:rsidR="00640E6B" w:rsidRPr="00D970F7">
              <w:rPr>
                <w:lang w:val="en-GB"/>
              </w:rPr>
              <w:t>5%,</w:t>
            </w:r>
            <w:r w:rsidR="007E7242" w:rsidRPr="00D970F7">
              <w:rPr>
                <w:lang w:val="en-GB"/>
              </w:rPr>
              <w:t xml:space="preserve"> contribution to the total GVA decrease was </w:t>
            </w:r>
            <w:r w:rsidR="00640E6B" w:rsidRPr="00D970F7">
              <w:rPr>
                <w:lang w:val="en-GB"/>
              </w:rPr>
              <w:t>3</w:t>
            </w:r>
            <w:r w:rsidR="007E7242" w:rsidRPr="00D970F7">
              <w:rPr>
                <w:lang w:val="en-GB"/>
              </w:rPr>
              <w:t>.</w:t>
            </w:r>
            <w:r w:rsidR="00640E6B" w:rsidRPr="00D970F7">
              <w:rPr>
                <w:lang w:val="en-GB"/>
              </w:rPr>
              <w:t>8 p.</w:t>
            </w:r>
            <w:r w:rsidR="007E7242" w:rsidRPr="00D970F7">
              <w:rPr>
                <w:lang w:val="en-GB"/>
              </w:rPr>
              <w:t>p</w:t>
            </w:r>
            <w:r w:rsidR="00640E6B" w:rsidRPr="00D970F7">
              <w:rPr>
                <w:lang w:val="en-GB"/>
              </w:rPr>
              <w:t xml:space="preserve">.). </w:t>
            </w:r>
            <w:r w:rsidR="00C41843" w:rsidRPr="00D970F7">
              <w:rPr>
                <w:lang w:val="en-GB"/>
              </w:rPr>
              <w:t xml:space="preserve">It concerned activities, which were directly impacted by the restrictions aiming at slowing down spreading of the infection. </w:t>
            </w:r>
            <w:r w:rsidR="00E60BB1" w:rsidRPr="00D970F7">
              <w:rPr>
                <w:lang w:val="en-GB"/>
              </w:rPr>
              <w:t xml:space="preserve">Manufacturing was also markedly hit </w:t>
            </w:r>
            <w:r w:rsidR="00640E6B" w:rsidRPr="00D970F7">
              <w:rPr>
                <w:lang w:val="en-GB"/>
              </w:rPr>
              <w:t>(–18</w:t>
            </w:r>
            <w:r w:rsidR="00E60BB1" w:rsidRPr="00D970F7">
              <w:rPr>
                <w:lang w:val="en-GB"/>
              </w:rPr>
              <w:t>.</w:t>
            </w:r>
            <w:r w:rsidR="00640E6B" w:rsidRPr="00D970F7">
              <w:rPr>
                <w:lang w:val="en-GB"/>
              </w:rPr>
              <w:t xml:space="preserve">2%, </w:t>
            </w:r>
            <w:r w:rsidR="00E60BB1" w:rsidRPr="00D970F7">
              <w:rPr>
                <w:lang w:val="en-GB"/>
              </w:rPr>
              <w:t xml:space="preserve">effect on the total GDP growth </w:t>
            </w:r>
            <w:r w:rsidR="00640E6B" w:rsidRPr="00D970F7">
              <w:rPr>
                <w:lang w:val="en-GB"/>
              </w:rPr>
              <w:t>–4</w:t>
            </w:r>
            <w:r w:rsidR="00E60BB1" w:rsidRPr="00D970F7">
              <w:rPr>
                <w:lang w:val="en-GB"/>
              </w:rPr>
              <w:t>.</w:t>
            </w:r>
            <w:r w:rsidR="00640E6B" w:rsidRPr="00D970F7">
              <w:rPr>
                <w:lang w:val="en-GB"/>
              </w:rPr>
              <w:t>6 p.</w:t>
            </w:r>
            <w:r w:rsidR="00E60BB1" w:rsidRPr="00D970F7">
              <w:rPr>
                <w:lang w:val="en-GB"/>
              </w:rPr>
              <w:t>p</w:t>
            </w:r>
            <w:r w:rsidR="00640E6B" w:rsidRPr="00D970F7">
              <w:rPr>
                <w:lang w:val="en-GB"/>
              </w:rPr>
              <w:t xml:space="preserve">.). </w:t>
            </w:r>
            <w:r w:rsidR="00F53ADD" w:rsidRPr="00D970F7">
              <w:rPr>
                <w:lang w:val="en-GB"/>
              </w:rPr>
              <w:t xml:space="preserve">Here, the production </w:t>
            </w:r>
            <w:r w:rsidR="00F53ADD" w:rsidRPr="00D970F7">
              <w:rPr>
                <w:lang w:val="en-GB"/>
              </w:rPr>
              <w:lastRenderedPageBreak/>
              <w:t xml:space="preserve">was restricted by the decision of the producers themselves, partially due to the easier abiding by the epidemiologic measures, limited demand on part of both domestic and foreign buyers however also played a role.  </w:t>
            </w:r>
          </w:p>
        </w:tc>
      </w:tr>
      <w:tr w:rsidR="00640E6B" w:rsidRPr="00D970F7" w14:paraId="02CBCD59" w14:textId="77777777" w:rsidTr="00E1168B">
        <w:trPr>
          <w:trHeight w:val="145"/>
        </w:trPr>
        <w:tc>
          <w:tcPr>
            <w:tcW w:w="1806" w:type="dxa"/>
            <w:shd w:val="clear" w:color="auto" w:fill="auto"/>
            <w:tcMar>
              <w:left w:w="0" w:type="dxa"/>
            </w:tcMar>
          </w:tcPr>
          <w:p w14:paraId="40AAE8E3" w14:textId="610E1316" w:rsidR="00640E6B" w:rsidRPr="00D970F7" w:rsidRDefault="00CF6F9C" w:rsidP="00E1168B">
            <w:pPr>
              <w:pStyle w:val="Marginlie"/>
              <w:rPr>
                <w:lang w:val="en-GB"/>
              </w:rPr>
            </w:pPr>
            <w:r w:rsidRPr="00D970F7">
              <w:rPr>
                <w:lang w:val="en-GB"/>
              </w:rPr>
              <w:lastRenderedPageBreak/>
              <w:t xml:space="preserve">GVA grew in information and communication year-on-year. </w:t>
            </w:r>
          </w:p>
        </w:tc>
        <w:tc>
          <w:tcPr>
            <w:tcW w:w="223" w:type="dxa"/>
            <w:shd w:val="clear" w:color="auto" w:fill="auto"/>
            <w:tcMar>
              <w:left w:w="0" w:type="dxa"/>
            </w:tcMar>
          </w:tcPr>
          <w:p w14:paraId="77B5348A"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7DAD776F" w14:textId="031DE3B9" w:rsidR="00640E6B" w:rsidRPr="00D970F7" w:rsidRDefault="00C52A14" w:rsidP="006878C6">
            <w:pPr>
              <w:rPr>
                <w:lang w:val="en-GB"/>
              </w:rPr>
            </w:pPr>
            <w:r w:rsidRPr="00D970F7">
              <w:rPr>
                <w:lang w:val="en-GB"/>
              </w:rPr>
              <w:t>Decrease of GVA in other branches was more result of both social and economic operations being brought to a standstill</w:t>
            </w:r>
            <w:r w:rsidR="00640E6B" w:rsidRPr="00D970F7">
              <w:rPr>
                <w:lang w:val="en-GB"/>
              </w:rPr>
              <w:t xml:space="preserve">. </w:t>
            </w:r>
            <w:r w:rsidR="00FE2537" w:rsidRPr="00D970F7">
              <w:rPr>
                <w:lang w:val="en-GB"/>
              </w:rPr>
              <w:t xml:space="preserve">Lowering of the GVA in professional, scientific and technical activities was </w:t>
            </w:r>
            <w:r w:rsidR="00640E6B" w:rsidRPr="00D970F7">
              <w:rPr>
                <w:lang w:val="en-GB"/>
              </w:rPr>
              <w:t>6</w:t>
            </w:r>
            <w:r w:rsidR="00FE2537" w:rsidRPr="00D970F7">
              <w:rPr>
                <w:lang w:val="en-GB"/>
              </w:rPr>
              <w:t>.</w:t>
            </w:r>
            <w:r w:rsidR="00640E6B" w:rsidRPr="00D970F7">
              <w:rPr>
                <w:lang w:val="en-GB"/>
              </w:rPr>
              <w:t>4% a</w:t>
            </w:r>
            <w:r w:rsidRPr="00D970F7">
              <w:rPr>
                <w:lang w:val="en-GB"/>
              </w:rPr>
              <w:t>nd it was the first since Q</w:t>
            </w:r>
            <w:r w:rsidR="00640E6B" w:rsidRPr="00D970F7">
              <w:rPr>
                <w:lang w:val="en-GB"/>
              </w:rPr>
              <w:t>3</w:t>
            </w:r>
            <w:r w:rsidRPr="00D970F7">
              <w:rPr>
                <w:lang w:val="en-GB"/>
              </w:rPr>
              <w:t xml:space="preserve"> </w:t>
            </w:r>
            <w:r w:rsidR="00640E6B" w:rsidRPr="00D970F7">
              <w:rPr>
                <w:lang w:val="en-GB"/>
              </w:rPr>
              <w:t>2011 (</w:t>
            </w:r>
            <w:r w:rsidRPr="00D970F7">
              <w:rPr>
                <w:lang w:val="en-GB"/>
              </w:rPr>
              <w:t xml:space="preserve">effect on GVA decrease </w:t>
            </w:r>
            <w:r w:rsidR="00640E6B" w:rsidRPr="00D970F7">
              <w:rPr>
                <w:lang w:val="en-GB"/>
              </w:rPr>
              <w:t>–0</w:t>
            </w:r>
            <w:r w:rsidRPr="00D970F7">
              <w:rPr>
                <w:lang w:val="en-GB"/>
              </w:rPr>
              <w:t>.</w:t>
            </w:r>
            <w:r w:rsidR="006878C6" w:rsidRPr="00D970F7">
              <w:rPr>
                <w:lang w:val="en-GB"/>
              </w:rPr>
              <w:t>5</w:t>
            </w:r>
            <w:r w:rsidR="00640E6B" w:rsidRPr="00D970F7">
              <w:rPr>
                <w:lang w:val="en-GB"/>
              </w:rPr>
              <w:t> p.</w:t>
            </w:r>
            <w:r w:rsidRPr="00D970F7">
              <w:rPr>
                <w:lang w:val="en-GB"/>
              </w:rPr>
              <w:t>p</w:t>
            </w:r>
            <w:r w:rsidR="00640E6B" w:rsidRPr="00D970F7">
              <w:rPr>
                <w:lang w:val="en-GB"/>
              </w:rPr>
              <w:t xml:space="preserve">.). </w:t>
            </w:r>
            <w:r w:rsidR="00FE2537" w:rsidRPr="00D970F7">
              <w:rPr>
                <w:lang w:val="en-GB"/>
              </w:rPr>
              <w:t xml:space="preserve">The gross value added in financial and insurance activities went down by </w:t>
            </w:r>
            <w:r w:rsidR="00640E6B" w:rsidRPr="00D970F7">
              <w:rPr>
                <w:lang w:val="en-GB"/>
              </w:rPr>
              <w:t>5</w:t>
            </w:r>
            <w:r w:rsidR="00FE2537" w:rsidRPr="00D970F7">
              <w:rPr>
                <w:lang w:val="en-GB"/>
              </w:rPr>
              <w:t>.</w:t>
            </w:r>
            <w:r w:rsidR="00640E6B" w:rsidRPr="00D970F7">
              <w:rPr>
                <w:lang w:val="en-GB"/>
              </w:rPr>
              <w:t>1%</w:t>
            </w:r>
            <w:r w:rsidR="00FE2537" w:rsidRPr="00D970F7">
              <w:rPr>
                <w:lang w:val="en-GB"/>
              </w:rPr>
              <w:t xml:space="preserve"> year-on-year in Q2</w:t>
            </w:r>
            <w:r w:rsidR="00640E6B" w:rsidRPr="00D970F7">
              <w:rPr>
                <w:lang w:val="en-GB"/>
              </w:rPr>
              <w:t>.</w:t>
            </w:r>
            <w:r w:rsidR="00FE2537" w:rsidRPr="00D970F7">
              <w:rPr>
                <w:lang w:val="en-GB"/>
              </w:rPr>
              <w:t xml:space="preserve"> </w:t>
            </w:r>
            <w:r w:rsidR="00640E6B" w:rsidRPr="00D970F7">
              <w:rPr>
                <w:lang w:val="en-GB"/>
              </w:rPr>
              <w:t xml:space="preserve"> </w:t>
            </w:r>
            <w:r w:rsidR="00FE2537" w:rsidRPr="00D970F7">
              <w:rPr>
                <w:lang w:val="en-GB"/>
              </w:rPr>
              <w:t xml:space="preserve">Real estate activities recorded the fourth decrease in a row </w:t>
            </w:r>
            <w:r w:rsidR="00640E6B" w:rsidRPr="00D970F7">
              <w:rPr>
                <w:lang w:val="en-GB"/>
              </w:rPr>
              <w:t>(–3</w:t>
            </w:r>
            <w:r w:rsidR="00FE2537" w:rsidRPr="00D970F7">
              <w:rPr>
                <w:lang w:val="en-GB"/>
              </w:rPr>
              <w:t>.</w:t>
            </w:r>
            <w:r w:rsidR="00640E6B" w:rsidRPr="00D970F7">
              <w:rPr>
                <w:lang w:val="en-GB"/>
              </w:rPr>
              <w:t>1%).</w:t>
            </w:r>
            <w:r w:rsidR="00FE2537" w:rsidRPr="00D970F7">
              <w:rPr>
                <w:lang w:val="en-GB"/>
              </w:rPr>
              <w:t xml:space="preserve"> Despite the total situation, information and communication on the contrary maintained the year-on-year GVA growth </w:t>
            </w:r>
            <w:r w:rsidR="00640E6B" w:rsidRPr="00D970F7">
              <w:rPr>
                <w:lang w:val="en-GB"/>
              </w:rPr>
              <w:t>(1</w:t>
            </w:r>
            <w:r w:rsidR="00FE2537" w:rsidRPr="00D970F7">
              <w:rPr>
                <w:lang w:val="en-GB"/>
              </w:rPr>
              <w:t>.</w:t>
            </w:r>
            <w:r w:rsidR="00640E6B" w:rsidRPr="00D970F7">
              <w:rPr>
                <w:lang w:val="en-GB"/>
              </w:rPr>
              <w:t>1%) a</w:t>
            </w:r>
            <w:r w:rsidR="00FE2537" w:rsidRPr="00D970F7">
              <w:rPr>
                <w:lang w:val="en-GB"/>
              </w:rPr>
              <w:t xml:space="preserve">nd partially thus assessed its indispensable role. </w:t>
            </w:r>
            <w:r w:rsidR="00DC4BE9" w:rsidRPr="00D970F7">
              <w:rPr>
                <w:lang w:val="en-GB"/>
              </w:rPr>
              <w:t xml:space="preserve">The GVA markedly fell in construction </w:t>
            </w:r>
            <w:r w:rsidR="00640E6B" w:rsidRPr="00D970F7">
              <w:rPr>
                <w:lang w:val="en-GB"/>
              </w:rPr>
              <w:t>(–6</w:t>
            </w:r>
            <w:r w:rsidR="00DC4BE9" w:rsidRPr="00D970F7">
              <w:rPr>
                <w:lang w:val="en-GB"/>
              </w:rPr>
              <w:t>.</w:t>
            </w:r>
            <w:r w:rsidR="00640E6B" w:rsidRPr="00D970F7">
              <w:rPr>
                <w:lang w:val="en-GB"/>
              </w:rPr>
              <w:t xml:space="preserve">2%), </w:t>
            </w:r>
            <w:r w:rsidR="00A34818" w:rsidRPr="00D970F7">
              <w:rPr>
                <w:lang w:val="en-GB"/>
              </w:rPr>
              <w:t xml:space="preserve">whose part was facing a lack of labour force, mainly the foreign labour force. </w:t>
            </w:r>
            <w:r w:rsidR="00136696" w:rsidRPr="00D970F7">
              <w:rPr>
                <w:lang w:val="en-GB"/>
              </w:rPr>
              <w:t>By contrast</w:t>
            </w:r>
            <w:r w:rsidR="00D970F7">
              <w:rPr>
                <w:lang w:val="en-GB"/>
              </w:rPr>
              <w:t>,</w:t>
            </w:r>
            <w:r w:rsidR="00136696" w:rsidRPr="00D970F7">
              <w:rPr>
                <w:lang w:val="en-GB"/>
              </w:rPr>
              <w:t xml:space="preserve"> the GVA grew in agriculture, forestry and fishing </w:t>
            </w:r>
            <w:r w:rsidR="00640E6B" w:rsidRPr="00D970F7">
              <w:rPr>
                <w:lang w:val="en-GB"/>
              </w:rPr>
              <w:t>(1</w:t>
            </w:r>
            <w:r w:rsidR="00136696" w:rsidRPr="00D970F7">
              <w:rPr>
                <w:lang w:val="en-GB"/>
              </w:rPr>
              <w:t>.</w:t>
            </w:r>
            <w:r w:rsidR="00640E6B" w:rsidRPr="00D970F7">
              <w:rPr>
                <w:lang w:val="en-GB"/>
              </w:rPr>
              <w:t>0%).</w:t>
            </w:r>
          </w:p>
        </w:tc>
      </w:tr>
      <w:tr w:rsidR="00640E6B" w:rsidRPr="00D970F7" w14:paraId="7A4E8BB5" w14:textId="77777777" w:rsidTr="00E1168B">
        <w:trPr>
          <w:trHeight w:val="170"/>
        </w:trPr>
        <w:tc>
          <w:tcPr>
            <w:tcW w:w="1806" w:type="dxa"/>
            <w:vMerge w:val="restart"/>
            <w:shd w:val="clear" w:color="auto" w:fill="auto"/>
            <w:tcMar>
              <w:left w:w="0" w:type="dxa"/>
            </w:tcMar>
          </w:tcPr>
          <w:p w14:paraId="5F9171B9" w14:textId="77777777" w:rsidR="00640E6B" w:rsidRPr="00D970F7" w:rsidRDefault="00640E6B" w:rsidP="00E1168B">
            <w:pPr>
              <w:pStyle w:val="Marginlie"/>
              <w:rPr>
                <w:lang w:val="en-GB"/>
              </w:rPr>
            </w:pPr>
          </w:p>
        </w:tc>
        <w:tc>
          <w:tcPr>
            <w:tcW w:w="223" w:type="dxa"/>
            <w:vMerge w:val="restart"/>
            <w:shd w:val="clear" w:color="auto" w:fill="auto"/>
            <w:tcMar>
              <w:left w:w="0" w:type="dxa"/>
            </w:tcMar>
          </w:tcPr>
          <w:p w14:paraId="69C4AE5C"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3961DC55" w14:textId="2034434D" w:rsidR="00640E6B" w:rsidRPr="00D970F7" w:rsidRDefault="00DD48CB" w:rsidP="00E1168B">
            <w:pPr>
              <w:spacing w:after="0"/>
              <w:rPr>
                <w:szCs w:val="20"/>
                <w:lang w:val="en-GB"/>
              </w:rPr>
            </w:pPr>
            <w:r w:rsidRPr="00D970F7">
              <w:rPr>
                <w:b/>
                <w:sz w:val="18"/>
                <w:szCs w:val="18"/>
                <w:lang w:val="en-GB"/>
              </w:rPr>
              <w:t xml:space="preserve">Chart </w:t>
            </w:r>
            <w:r w:rsidR="00640E6B" w:rsidRPr="00D970F7">
              <w:rPr>
                <w:b/>
                <w:sz w:val="18"/>
                <w:szCs w:val="18"/>
                <w:lang w:val="en-GB"/>
              </w:rPr>
              <w:t xml:space="preserve">3  </w:t>
            </w:r>
            <w:r w:rsidR="00EF25AD" w:rsidRPr="00D970F7">
              <w:rPr>
                <w:b/>
                <w:sz w:val="18"/>
                <w:szCs w:val="18"/>
                <w:lang w:val="en-GB"/>
              </w:rPr>
              <w:t xml:space="preserve">Contributions of branches to real change in GVA </w:t>
            </w:r>
            <w:r w:rsidR="00EF25AD" w:rsidRPr="00D970F7">
              <w:rPr>
                <w:bCs/>
                <w:sz w:val="18"/>
                <w:szCs w:val="18"/>
                <w:lang w:val="en-GB"/>
              </w:rPr>
              <w:t>(volume indices, year-on-year contributions in p.p., GVA in %)</w:t>
            </w:r>
          </w:p>
        </w:tc>
      </w:tr>
      <w:tr w:rsidR="00640E6B" w:rsidRPr="00D970F7" w14:paraId="7BF6D6F9" w14:textId="77777777" w:rsidTr="002B43B3">
        <w:tblPrEx>
          <w:tblCellMar>
            <w:left w:w="70" w:type="dxa"/>
            <w:right w:w="70" w:type="dxa"/>
          </w:tblCellMar>
        </w:tblPrEx>
        <w:trPr>
          <w:trHeight w:val="170"/>
        </w:trPr>
        <w:tc>
          <w:tcPr>
            <w:tcW w:w="1806" w:type="dxa"/>
            <w:vMerge/>
            <w:shd w:val="clear" w:color="auto" w:fill="auto"/>
          </w:tcPr>
          <w:p w14:paraId="32528EFF" w14:textId="77777777" w:rsidR="00640E6B" w:rsidRPr="00D970F7" w:rsidRDefault="00640E6B" w:rsidP="00E1168B">
            <w:pPr>
              <w:pStyle w:val="Marginlie"/>
              <w:rPr>
                <w:lang w:val="en-GB"/>
              </w:rPr>
            </w:pPr>
          </w:p>
        </w:tc>
        <w:tc>
          <w:tcPr>
            <w:tcW w:w="223" w:type="dxa"/>
            <w:vMerge/>
            <w:shd w:val="clear" w:color="auto" w:fill="auto"/>
          </w:tcPr>
          <w:p w14:paraId="2444AA60" w14:textId="77777777" w:rsidR="00640E6B" w:rsidRPr="00D970F7" w:rsidRDefault="00640E6B" w:rsidP="00E1168B">
            <w:pPr>
              <w:pStyle w:val="Textpoznpodarou"/>
              <w:jc w:val="both"/>
              <w:rPr>
                <w:spacing w:val="-4"/>
                <w:lang w:val="en-GB"/>
              </w:rPr>
            </w:pPr>
          </w:p>
        </w:tc>
        <w:tc>
          <w:tcPr>
            <w:tcW w:w="7610" w:type="dxa"/>
            <w:shd w:val="clear" w:color="auto" w:fill="auto"/>
          </w:tcPr>
          <w:p w14:paraId="7948E144" w14:textId="1A533350" w:rsidR="00640E6B" w:rsidRPr="00D970F7" w:rsidRDefault="002B43B3" w:rsidP="00E1168B">
            <w:pPr>
              <w:spacing w:after="0"/>
              <w:rPr>
                <w:lang w:val="en-GB"/>
              </w:rPr>
            </w:pPr>
            <w:r>
              <w:rPr>
                <w:noProof/>
              </w:rPr>
              <w:drawing>
                <wp:inline distT="0" distB="0" distL="0" distR="0" wp14:anchorId="04E43DE9" wp14:editId="0DB9FC2A">
                  <wp:extent cx="4737600" cy="3553200"/>
                  <wp:effectExtent l="0" t="0" r="6350" b="0"/>
                  <wp:docPr id="8" name="Graf 8">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640E6B" w:rsidRPr="00D970F7" w14:paraId="24F62C49" w14:textId="77777777" w:rsidTr="00E1168B">
        <w:trPr>
          <w:trHeight w:val="170"/>
        </w:trPr>
        <w:tc>
          <w:tcPr>
            <w:tcW w:w="1806" w:type="dxa"/>
            <w:vMerge/>
            <w:shd w:val="clear" w:color="auto" w:fill="auto"/>
            <w:tcMar>
              <w:left w:w="0" w:type="dxa"/>
            </w:tcMar>
          </w:tcPr>
          <w:p w14:paraId="47A2169A" w14:textId="77777777" w:rsidR="00640E6B" w:rsidRPr="00D970F7" w:rsidRDefault="00640E6B" w:rsidP="00E1168B">
            <w:pPr>
              <w:pStyle w:val="Marginlie"/>
              <w:rPr>
                <w:lang w:val="en-GB"/>
              </w:rPr>
            </w:pPr>
          </w:p>
        </w:tc>
        <w:tc>
          <w:tcPr>
            <w:tcW w:w="223" w:type="dxa"/>
            <w:vMerge/>
            <w:shd w:val="clear" w:color="auto" w:fill="auto"/>
            <w:tcMar>
              <w:left w:w="0" w:type="dxa"/>
            </w:tcMar>
          </w:tcPr>
          <w:p w14:paraId="3049ED6F" w14:textId="77777777" w:rsidR="00640E6B" w:rsidRPr="00D970F7" w:rsidRDefault="00640E6B" w:rsidP="00E1168B">
            <w:pPr>
              <w:pStyle w:val="Textpoznpodarou"/>
              <w:jc w:val="both"/>
              <w:rPr>
                <w:spacing w:val="-4"/>
                <w:lang w:val="en-GB"/>
              </w:rPr>
            </w:pPr>
          </w:p>
        </w:tc>
        <w:tc>
          <w:tcPr>
            <w:tcW w:w="7610" w:type="dxa"/>
            <w:shd w:val="clear" w:color="auto" w:fill="auto"/>
            <w:tcMar>
              <w:left w:w="0" w:type="dxa"/>
            </w:tcMar>
          </w:tcPr>
          <w:p w14:paraId="1F268CD9" w14:textId="29CA44BA" w:rsidR="00EF25AD" w:rsidRPr="00D970F7" w:rsidRDefault="00DD48CB" w:rsidP="002B43B3">
            <w:pPr>
              <w:rPr>
                <w:sz w:val="14"/>
                <w:szCs w:val="14"/>
                <w:lang w:val="en-GB"/>
              </w:rPr>
            </w:pPr>
            <w:r w:rsidRPr="00D970F7">
              <w:rPr>
                <w:sz w:val="14"/>
                <w:szCs w:val="14"/>
                <w:lang w:val="en-GB"/>
              </w:rPr>
              <w:t>Source</w:t>
            </w:r>
            <w:r w:rsidR="00640E6B" w:rsidRPr="00D970F7">
              <w:rPr>
                <w:sz w:val="14"/>
                <w:szCs w:val="14"/>
                <w:lang w:val="en-GB"/>
              </w:rPr>
              <w:t xml:space="preserve">: </w:t>
            </w:r>
            <w:r w:rsidRPr="00D970F7">
              <w:rPr>
                <w:sz w:val="14"/>
                <w:szCs w:val="14"/>
                <w:lang w:val="en-GB"/>
              </w:rPr>
              <w:t>CZSO</w:t>
            </w:r>
          </w:p>
        </w:tc>
      </w:tr>
    </w:tbl>
    <w:p w14:paraId="130DC2FD" w14:textId="77777777" w:rsidR="00640E6B" w:rsidRPr="00D970F7" w:rsidRDefault="00640E6B" w:rsidP="00640E6B">
      <w:pPr>
        <w:pStyle w:val="Nadpis11"/>
        <w:rPr>
          <w:b w:val="0"/>
          <w:sz w:val="2"/>
          <w:szCs w:val="2"/>
          <w:highlight w:val="yellow"/>
          <w:lang w:val="en-GB"/>
        </w:rPr>
      </w:pPr>
    </w:p>
    <w:p w14:paraId="61374777" w14:textId="378137DA" w:rsidR="0085334C" w:rsidRPr="00D970F7" w:rsidRDefault="0085334C" w:rsidP="0085334C">
      <w:pPr>
        <w:pStyle w:val="Nadpis11"/>
        <w:rPr>
          <w:b w:val="0"/>
          <w:sz w:val="2"/>
          <w:szCs w:val="2"/>
          <w:highlight w:val="yellow"/>
          <w:lang w:val="en-GB"/>
        </w:rPr>
      </w:pPr>
    </w:p>
    <w:p w14:paraId="6A57706F" w14:textId="2FBE442A" w:rsidR="0085334C" w:rsidRPr="00D970F7" w:rsidRDefault="0085334C" w:rsidP="00DA3ADF">
      <w:pPr>
        <w:spacing w:after="0" w:line="240" w:lineRule="auto"/>
        <w:jc w:val="left"/>
        <w:rPr>
          <w:rFonts w:eastAsia="MS Gothic"/>
          <w:bCs/>
          <w:color w:val="71818C"/>
          <w:sz w:val="2"/>
          <w:szCs w:val="2"/>
          <w:highlight w:val="yellow"/>
          <w:lang w:val="en-GB"/>
        </w:rPr>
      </w:pPr>
      <w:r w:rsidRPr="00D970F7">
        <w:rPr>
          <w:b/>
          <w:sz w:val="2"/>
          <w:szCs w:val="2"/>
          <w:highlight w:val="yellow"/>
          <w:lang w:val="en-GB"/>
        </w:rPr>
        <w:br w:type="page"/>
      </w:r>
    </w:p>
    <w:p w14:paraId="7C31DB51" w14:textId="77777777" w:rsidR="00C2211E" w:rsidRPr="00D970F7" w:rsidRDefault="00C2211E" w:rsidP="00C2211E">
      <w:pPr>
        <w:pStyle w:val="Nadpis11"/>
        <w:rPr>
          <w:lang w:val="en-GB"/>
        </w:rPr>
      </w:pPr>
      <w:bookmarkStart w:id="7" w:name="_Toc37403642"/>
      <w:bookmarkStart w:id="8" w:name="_Toc53468174"/>
      <w:r w:rsidRPr="00D970F7">
        <w:rPr>
          <w:lang w:val="en-GB"/>
        </w:rPr>
        <w:lastRenderedPageBreak/>
        <w:t>3. </w:t>
      </w:r>
      <w:bookmarkStart w:id="9" w:name="_Toc454185150"/>
      <w:bookmarkStart w:id="10" w:name="_Toc493683635"/>
      <w:r w:rsidRPr="00D970F7">
        <w:rPr>
          <w:lang w:val="en-GB"/>
        </w:rPr>
        <w:t>Branches Performance</w:t>
      </w:r>
      <w:bookmarkEnd w:id="7"/>
      <w:bookmarkEnd w:id="8"/>
      <w:bookmarkEnd w:id="9"/>
      <w:bookmarkEnd w:id="10"/>
    </w:p>
    <w:tbl>
      <w:tblPr>
        <w:tblW w:w="9644" w:type="dxa"/>
        <w:tblCellMar>
          <w:left w:w="0" w:type="dxa"/>
          <w:right w:w="0" w:type="dxa"/>
        </w:tblCellMar>
        <w:tblLook w:val="00A0" w:firstRow="1" w:lastRow="0" w:firstColumn="1" w:lastColumn="0" w:noHBand="0" w:noVBand="0"/>
      </w:tblPr>
      <w:tblGrid>
        <w:gridCol w:w="1723"/>
        <w:gridCol w:w="191"/>
        <w:gridCol w:w="7730"/>
      </w:tblGrid>
      <w:tr w:rsidR="00C2211E" w:rsidRPr="00D970F7" w14:paraId="6DC492CD" w14:textId="77777777" w:rsidTr="00C2211E">
        <w:trPr>
          <w:trHeight w:val="145"/>
        </w:trPr>
        <w:tc>
          <w:tcPr>
            <w:tcW w:w="1723" w:type="dxa"/>
            <w:shd w:val="clear" w:color="auto" w:fill="auto"/>
            <w:tcMar>
              <w:left w:w="0" w:type="dxa"/>
            </w:tcMar>
          </w:tcPr>
          <w:bookmarkEnd w:id="4"/>
          <w:p w14:paraId="426C367B" w14:textId="77777777" w:rsidR="00C2211E" w:rsidRPr="00D970F7" w:rsidRDefault="00C2211E" w:rsidP="00C2211E">
            <w:pPr>
              <w:pStyle w:val="Marginlie"/>
              <w:rPr>
                <w:lang w:val="en-GB"/>
              </w:rPr>
            </w:pPr>
            <w:r w:rsidRPr="00D970F7">
              <w:rPr>
                <w:lang w:val="en-GB"/>
              </w:rPr>
              <w:t>Quarter-on-quarter decrease of GVA deepened down to 9.4% in the whole economy in Q2.</w:t>
            </w:r>
          </w:p>
          <w:p w14:paraId="4C72F788" w14:textId="77777777" w:rsidR="00C2211E" w:rsidRPr="00D970F7" w:rsidRDefault="00C2211E" w:rsidP="00C2211E">
            <w:pPr>
              <w:pStyle w:val="Marginlie"/>
              <w:rPr>
                <w:lang w:val="en-GB"/>
              </w:rPr>
            </w:pPr>
          </w:p>
          <w:p w14:paraId="718EF6FE" w14:textId="77777777" w:rsidR="00C2211E" w:rsidRPr="00D970F7" w:rsidRDefault="00C2211E" w:rsidP="00C2211E">
            <w:pPr>
              <w:pStyle w:val="Marginlie"/>
              <w:rPr>
                <w:lang w:val="en-GB"/>
              </w:rPr>
            </w:pPr>
          </w:p>
          <w:p w14:paraId="14A65F45" w14:textId="77777777" w:rsidR="00C2211E" w:rsidRPr="00D970F7" w:rsidRDefault="00C2211E" w:rsidP="00C2211E">
            <w:pPr>
              <w:pStyle w:val="Marginlie"/>
              <w:rPr>
                <w:lang w:val="en-GB"/>
              </w:rPr>
            </w:pPr>
          </w:p>
          <w:p w14:paraId="4DA18A3F" w14:textId="77777777" w:rsidR="00C2211E" w:rsidRPr="00D970F7" w:rsidRDefault="00C2211E" w:rsidP="00C2211E">
            <w:pPr>
              <w:pStyle w:val="Marginlie"/>
              <w:rPr>
                <w:lang w:val="en-GB"/>
              </w:rPr>
            </w:pPr>
          </w:p>
          <w:p w14:paraId="494164DC" w14:textId="77777777" w:rsidR="00C2211E" w:rsidRPr="00D970F7" w:rsidRDefault="00C2211E" w:rsidP="00C2211E">
            <w:pPr>
              <w:pStyle w:val="Marginlie"/>
              <w:rPr>
                <w:lang w:val="en-GB"/>
              </w:rPr>
            </w:pPr>
          </w:p>
          <w:p w14:paraId="6CC71AD2" w14:textId="4E38EBAA" w:rsidR="00C2211E" w:rsidRPr="00D970F7" w:rsidRDefault="00C2211E" w:rsidP="00C2211E">
            <w:pPr>
              <w:pStyle w:val="Marginlie"/>
              <w:rPr>
                <w:lang w:val="en-GB"/>
              </w:rPr>
            </w:pPr>
            <w:r w:rsidRPr="00D970F7">
              <w:rPr>
                <w:lang w:val="en-GB"/>
              </w:rPr>
              <w:t>The highest year-on-year economic performance downturn afflicted mainly the states of the euro area southern</w:t>
            </w:r>
            <w:r w:rsidR="006C0221">
              <w:rPr>
                <w:lang w:val="en-GB"/>
              </w:rPr>
              <w:t xml:space="preserve"> wing in H1. The CR belonged</w:t>
            </w:r>
            <w:r w:rsidRPr="00D970F7">
              <w:rPr>
                <w:lang w:val="en-GB"/>
              </w:rPr>
              <w:t xml:space="preserve"> to the average. </w:t>
            </w:r>
          </w:p>
        </w:tc>
        <w:tc>
          <w:tcPr>
            <w:tcW w:w="191" w:type="dxa"/>
            <w:shd w:val="clear" w:color="auto" w:fill="auto"/>
            <w:tcMar>
              <w:left w:w="0" w:type="dxa"/>
            </w:tcMar>
          </w:tcPr>
          <w:p w14:paraId="2D5CCE65"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5C66C5F1" w14:textId="251C2CE0" w:rsidR="00C2211E" w:rsidRPr="00D970F7" w:rsidRDefault="002238F3" w:rsidP="00C2211E">
            <w:pPr>
              <w:spacing w:after="220"/>
              <w:rPr>
                <w:spacing w:val="-3"/>
                <w:lang w:val="en-GB"/>
              </w:rPr>
            </w:pPr>
            <w:r>
              <w:rPr>
                <w:spacing w:val="-3"/>
                <w:lang w:val="en-GB"/>
              </w:rPr>
              <w:t xml:space="preserve">If the restrictive </w:t>
            </w:r>
            <w:r w:rsidR="00C2211E" w:rsidRPr="00D970F7">
              <w:rPr>
                <w:spacing w:val="-3"/>
                <w:lang w:val="en-GB"/>
              </w:rPr>
              <w:t>pandemic measures severely hit primarily the branches closely tied to tourism in Q1 2020,</w:t>
            </w:r>
            <w:r>
              <w:rPr>
                <w:spacing w:val="-3"/>
                <w:lang w:val="en-GB"/>
              </w:rPr>
              <w:t xml:space="preserve"> it already managed to</w:t>
            </w:r>
            <w:r w:rsidR="00C2211E" w:rsidRPr="00D970F7">
              <w:rPr>
                <w:spacing w:val="-3"/>
                <w:lang w:val="en-GB"/>
              </w:rPr>
              <w:t xml:space="preserve"> paralyse a large part of the economy during the subsequent quarter. The gross value added (GVA)</w:t>
            </w:r>
            <w:r w:rsidR="00C2211E" w:rsidRPr="00D970F7">
              <w:rPr>
                <w:rStyle w:val="Znakapoznpodarou"/>
                <w:spacing w:val="-3"/>
                <w:lang w:val="en-GB"/>
              </w:rPr>
              <w:footnoteReference w:id="12"/>
            </w:r>
            <w:r w:rsidR="00C2211E" w:rsidRPr="00D970F7">
              <w:rPr>
                <w:spacing w:val="-3"/>
                <w:lang w:val="en-GB"/>
              </w:rPr>
              <w:t xml:space="preserve"> thus dived by record 9.4% quarter-on-quarter and markedly deepened its descend from Q1 (</w:t>
            </w:r>
            <w:r w:rsidR="00C2211E" w:rsidRPr="00D970F7">
              <w:rPr>
                <w:color w:val="000000" w:themeColor="text1"/>
                <w:spacing w:val="-3"/>
                <w:lang w:val="en-GB"/>
              </w:rPr>
              <w:t>–</w:t>
            </w:r>
            <w:r w:rsidR="00C2211E" w:rsidRPr="00D970F7">
              <w:rPr>
                <w:spacing w:val="-3"/>
                <w:lang w:val="en-GB"/>
              </w:rPr>
              <w:t>2.4%). In year-on-year expression, the GVA decreased by 6.1% in the whole H1 and slightly overtook the intensity of similar downturn from the first half of the crisis year 2009. Half-yearly performance of the Czech Republic ranked more to the average among the EU stat</w:t>
            </w:r>
            <w:r w:rsidR="00831E88">
              <w:rPr>
                <w:spacing w:val="-3"/>
                <w:lang w:val="en-GB"/>
              </w:rPr>
              <w:t>es (to the 12th place out of 23</w:t>
            </w:r>
            <w:r w:rsidR="00831E88" w:rsidRPr="00831E88">
              <w:t> </w:t>
            </w:r>
            <w:r w:rsidR="00C2211E" w:rsidRPr="00D970F7">
              <w:rPr>
                <w:spacing w:val="-3"/>
                <w:lang w:val="en-GB"/>
              </w:rPr>
              <w:t>states with available data</w:t>
            </w:r>
            <w:r w:rsidR="00C2211E" w:rsidRPr="00D970F7">
              <w:rPr>
                <w:rStyle w:val="Znakapoznpodarou"/>
                <w:spacing w:val="-3"/>
                <w:lang w:val="en-GB"/>
              </w:rPr>
              <w:footnoteReference w:id="13"/>
            </w:r>
            <w:r w:rsidR="00C2211E" w:rsidRPr="00D970F7">
              <w:rPr>
                <w:spacing w:val="-3"/>
                <w:lang w:val="en-GB"/>
              </w:rPr>
              <w:t>). Mainly the countries of the southern wing of the euro area registered the deepest downturn (for instance Spain 12.9%, Italy 11.8%, Portugal 8.7%) and also France (12.1%). By contrast, mainly the northern states and also the majority of newer EU members (with accession after year 2000) have so far enjoyed a relatively favourable position</w:t>
            </w:r>
            <w:r w:rsidR="00C2211E" w:rsidRPr="00D970F7">
              <w:rPr>
                <w:lang w:val="en-GB"/>
              </w:rPr>
              <w:t>, for example Lithuania (</w:t>
            </w:r>
            <w:r w:rsidR="00C2211E" w:rsidRPr="00D970F7">
              <w:rPr>
                <w:color w:val="000000" w:themeColor="text1"/>
                <w:lang w:val="en-GB"/>
              </w:rPr>
              <w:t>–</w:t>
            </w:r>
            <w:r w:rsidR="00C2211E" w:rsidRPr="00D970F7">
              <w:rPr>
                <w:lang w:val="en-GB"/>
              </w:rPr>
              <w:t>0.8%), Bulgaria (</w:t>
            </w:r>
            <w:r w:rsidR="00C2211E" w:rsidRPr="00D970F7">
              <w:rPr>
                <w:color w:val="000000" w:themeColor="text1"/>
                <w:lang w:val="en-GB"/>
              </w:rPr>
              <w:t>–</w:t>
            </w:r>
            <w:r w:rsidR="00C2211E" w:rsidRPr="00D970F7">
              <w:rPr>
                <w:lang w:val="en-GB"/>
              </w:rPr>
              <w:t>2.7%), Poland (</w:t>
            </w:r>
            <w:r w:rsidR="00C2211E" w:rsidRPr="00D970F7">
              <w:rPr>
                <w:color w:val="000000" w:themeColor="text1"/>
                <w:lang w:val="en-GB"/>
              </w:rPr>
              <w:t>–</w:t>
            </w:r>
            <w:r w:rsidR="00C2211E" w:rsidRPr="00D970F7">
              <w:rPr>
                <w:lang w:val="en-GB"/>
              </w:rPr>
              <w:t>3.5%).</w:t>
            </w:r>
            <w:r w:rsidR="00C2211E" w:rsidRPr="00D970F7">
              <w:rPr>
                <w:spacing w:val="-3"/>
                <w:lang w:val="en-GB"/>
              </w:rPr>
              <w:t xml:space="preserve"> Differences between the states primarily reflect the outbreak of the coronavirus infection across the EU, speed and intensity of the government measures and partially also the varying branch structure of economies (larger proportion of branches tied to tourism had an adverse effect, the role of public services </w:t>
            </w:r>
            <w:r w:rsidR="00511DFB">
              <w:rPr>
                <w:spacing w:val="-3"/>
                <w:lang w:val="en-GB"/>
              </w:rPr>
              <w:t xml:space="preserve">or agriculture </w:t>
            </w:r>
            <w:r w:rsidR="00C2211E" w:rsidRPr="00D970F7">
              <w:rPr>
                <w:spacing w:val="-3"/>
                <w:lang w:val="en-GB"/>
              </w:rPr>
              <w:t>then a positive effect).</w:t>
            </w:r>
          </w:p>
        </w:tc>
      </w:tr>
      <w:tr w:rsidR="00C2211E" w:rsidRPr="00D970F7" w14:paraId="50E38E5B" w14:textId="77777777" w:rsidTr="00C2211E">
        <w:trPr>
          <w:trHeight w:val="145"/>
        </w:trPr>
        <w:tc>
          <w:tcPr>
            <w:tcW w:w="1723" w:type="dxa"/>
            <w:shd w:val="clear" w:color="auto" w:fill="auto"/>
            <w:tcMar>
              <w:left w:w="0" w:type="dxa"/>
            </w:tcMar>
          </w:tcPr>
          <w:p w14:paraId="2940C406" w14:textId="77777777" w:rsidR="00C2211E" w:rsidRPr="00D970F7" w:rsidRDefault="00C2211E" w:rsidP="00C2211E">
            <w:pPr>
              <w:pStyle w:val="Marginlie"/>
              <w:rPr>
                <w:lang w:val="en-GB"/>
              </w:rPr>
            </w:pPr>
            <w:r w:rsidRPr="00D970F7">
              <w:rPr>
                <w:lang w:val="en-GB"/>
              </w:rPr>
              <w:t xml:space="preserve">Manufacturing dragged the economic performance down the most. </w:t>
            </w:r>
          </w:p>
          <w:p w14:paraId="34ACF644" w14:textId="77777777" w:rsidR="00C2211E" w:rsidRPr="00D970F7" w:rsidRDefault="00C2211E" w:rsidP="00C2211E">
            <w:pPr>
              <w:pStyle w:val="Marginlie"/>
              <w:rPr>
                <w:lang w:val="en-GB"/>
              </w:rPr>
            </w:pPr>
          </w:p>
          <w:p w14:paraId="6A70719B" w14:textId="77777777" w:rsidR="00C2211E" w:rsidRPr="00D970F7" w:rsidRDefault="00C2211E" w:rsidP="00C2211E">
            <w:pPr>
              <w:pStyle w:val="Marginlie"/>
              <w:rPr>
                <w:lang w:val="en-GB"/>
              </w:rPr>
            </w:pPr>
          </w:p>
          <w:p w14:paraId="76C33E84" w14:textId="77777777" w:rsidR="00C2211E" w:rsidRPr="00D970F7" w:rsidRDefault="00C2211E" w:rsidP="00C2211E">
            <w:pPr>
              <w:pStyle w:val="Marginlie"/>
              <w:rPr>
                <w:lang w:val="en-GB"/>
              </w:rPr>
            </w:pPr>
          </w:p>
          <w:p w14:paraId="3B424DC8" w14:textId="77777777" w:rsidR="00C2211E" w:rsidRPr="00D970F7" w:rsidRDefault="00C2211E" w:rsidP="00C2211E">
            <w:pPr>
              <w:pStyle w:val="Marginlie"/>
              <w:rPr>
                <w:lang w:val="en-GB"/>
              </w:rPr>
            </w:pPr>
          </w:p>
          <w:p w14:paraId="79AEC6FF" w14:textId="77777777" w:rsidR="00C2211E" w:rsidRPr="00D970F7" w:rsidRDefault="00C2211E" w:rsidP="00C2211E">
            <w:pPr>
              <w:pStyle w:val="Marginlie"/>
              <w:rPr>
                <w:lang w:val="en-GB"/>
              </w:rPr>
            </w:pPr>
            <w:r w:rsidRPr="00D970F7">
              <w:rPr>
                <w:lang w:val="en-GB"/>
              </w:rPr>
              <w:t xml:space="preserve">The negative impacts started to manifest with a slight lag in construction. </w:t>
            </w:r>
          </w:p>
          <w:p w14:paraId="41152092" w14:textId="77777777" w:rsidR="00C2211E" w:rsidRPr="00D970F7" w:rsidRDefault="00C2211E" w:rsidP="00C2211E">
            <w:pPr>
              <w:pStyle w:val="Marginlie"/>
              <w:rPr>
                <w:lang w:val="en-GB"/>
              </w:rPr>
            </w:pPr>
          </w:p>
          <w:p w14:paraId="628F454C" w14:textId="77777777" w:rsidR="00C2211E" w:rsidRPr="00D970F7" w:rsidRDefault="00C2211E" w:rsidP="00C2211E">
            <w:pPr>
              <w:pStyle w:val="Marginlie"/>
              <w:rPr>
                <w:lang w:val="en-GB"/>
              </w:rPr>
            </w:pPr>
          </w:p>
          <w:p w14:paraId="2D6260A8" w14:textId="77777777" w:rsidR="00C2211E" w:rsidRPr="00D970F7" w:rsidRDefault="00C2211E" w:rsidP="00C2211E">
            <w:pPr>
              <w:pStyle w:val="Marginlie"/>
              <w:rPr>
                <w:lang w:val="en-GB"/>
              </w:rPr>
            </w:pPr>
          </w:p>
          <w:p w14:paraId="3222E406" w14:textId="77777777" w:rsidR="00C2211E" w:rsidRPr="00D970F7" w:rsidRDefault="00C2211E" w:rsidP="00C2211E">
            <w:pPr>
              <w:pStyle w:val="Marginlie"/>
              <w:rPr>
                <w:lang w:val="en-GB"/>
              </w:rPr>
            </w:pPr>
          </w:p>
          <w:p w14:paraId="7F928F98" w14:textId="77777777" w:rsidR="00C2211E" w:rsidRPr="00D970F7" w:rsidRDefault="00C2211E" w:rsidP="00C2211E">
            <w:pPr>
              <w:pStyle w:val="Marginlie"/>
              <w:rPr>
                <w:lang w:val="en-GB"/>
              </w:rPr>
            </w:pPr>
          </w:p>
          <w:p w14:paraId="349BBD1F" w14:textId="3233462D" w:rsidR="00C2211E" w:rsidRPr="00D970F7" w:rsidRDefault="00C2211E" w:rsidP="00C2211E">
            <w:pPr>
              <w:pStyle w:val="Marginlie"/>
              <w:rPr>
                <w:lang w:val="en-GB"/>
              </w:rPr>
            </w:pPr>
            <w:r w:rsidRPr="00D970F7">
              <w:rPr>
                <w:lang w:val="en-GB"/>
              </w:rPr>
              <w:t>Both ani</w:t>
            </w:r>
            <w:r w:rsidR="001B0606">
              <w:rPr>
                <w:lang w:val="en-GB"/>
              </w:rPr>
              <w:t>mal production and forestry</w:t>
            </w:r>
            <w:r w:rsidRPr="00D970F7">
              <w:rPr>
                <w:lang w:val="en-GB"/>
              </w:rPr>
              <w:t xml:space="preserve"> assisted the output growth in the primary sector. </w:t>
            </w:r>
          </w:p>
          <w:p w14:paraId="55B30E53" w14:textId="77777777" w:rsidR="00C2211E" w:rsidRPr="00D970F7" w:rsidRDefault="00C2211E" w:rsidP="00C2211E">
            <w:pPr>
              <w:pStyle w:val="Marginlie"/>
              <w:rPr>
                <w:lang w:val="en-GB"/>
              </w:rPr>
            </w:pPr>
          </w:p>
        </w:tc>
        <w:tc>
          <w:tcPr>
            <w:tcW w:w="191" w:type="dxa"/>
            <w:shd w:val="clear" w:color="auto" w:fill="auto"/>
            <w:tcMar>
              <w:left w:w="0" w:type="dxa"/>
            </w:tcMar>
          </w:tcPr>
          <w:p w14:paraId="51396B9B"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22E1F0E7" w14:textId="77777777" w:rsidR="00C2211E" w:rsidRPr="00D970F7" w:rsidRDefault="00C2211E" w:rsidP="00C2211E">
            <w:pPr>
              <w:spacing w:after="220"/>
              <w:rPr>
                <w:spacing w:val="-4"/>
                <w:lang w:val="en-GB"/>
              </w:rPr>
            </w:pPr>
            <w:r w:rsidRPr="00D970F7">
              <w:rPr>
                <w:spacing w:val="-4"/>
                <w:lang w:val="en-GB"/>
              </w:rPr>
              <w:t>Year-on-year decline of the value added in the domestic economy was from nearly one half the result of considerable slump of manufacturing in H1 2020 (contribution 2.7 p.p., decline of the branch itself by 10.6%). This branch simultaneously due to the influence of its weight dragged down the whole economy the most both in Q1 and Q2 of this year. Non-manufacturing industrial branches also recorded weaker performance by more than one tenth in H1. The effect of several weeks’ disruption of production stemming from the sanitary measures, but also lowered demand were evident here as well</w:t>
            </w:r>
            <w:r w:rsidRPr="00D970F7">
              <w:rPr>
                <w:rStyle w:val="Znakapoznpodarou"/>
                <w:spacing w:val="-3"/>
                <w:lang w:val="en-GB"/>
              </w:rPr>
              <w:footnoteReference w:id="14"/>
            </w:r>
            <w:r w:rsidRPr="00D970F7">
              <w:rPr>
                <w:spacing w:val="-4"/>
                <w:lang w:val="en-GB"/>
              </w:rPr>
              <w:t xml:space="preserve">. Construction was progressing substantially better, the impacts of the onset of economic recession were not apparent at the beginning there. Its performance even slightly improved thanks to the large stock of orders as well as favourable weather in Q1. The GVA already decreased in Q2 (by 6.2%). The already demanding administrative process of structures preparation became complicated further due to the declared state of emergency, number of projects was suspended. The branch was limited by the lack of labour force, many workers returned only slowly after reopening of the borders to the CR. This factor was also valid for branches of the primary sector, which manifested in the reduction of the hours worked (by more than 5% in H1). Despite this development, the GVA grew here already third year in a row (+4.1%, the most out of 11 main branches). It was thanks to the stabilised situation in the agriculture primary production, which was not negatively affected by the regulatory influences except for stricter sanitary measures. Meat production stagnated in H1; the domestic producers sold naturally by 5% milk more. The continuing natural wood industry also supported the growth of the whole primary sector. </w:t>
            </w:r>
          </w:p>
        </w:tc>
      </w:tr>
      <w:tr w:rsidR="00C2211E" w:rsidRPr="00D970F7" w14:paraId="7030A7F7" w14:textId="77777777" w:rsidTr="00C2211E">
        <w:trPr>
          <w:trHeight w:val="145"/>
        </w:trPr>
        <w:tc>
          <w:tcPr>
            <w:tcW w:w="1723" w:type="dxa"/>
            <w:shd w:val="clear" w:color="auto" w:fill="auto"/>
            <w:tcMar>
              <w:left w:w="0" w:type="dxa"/>
            </w:tcMar>
          </w:tcPr>
          <w:p w14:paraId="44D91AFD" w14:textId="77777777" w:rsidR="00C2211E" w:rsidRPr="00D970F7" w:rsidRDefault="00C2211E" w:rsidP="00C2211E">
            <w:pPr>
              <w:pStyle w:val="Marginlie"/>
              <w:rPr>
                <w:spacing w:val="-4"/>
                <w:lang w:val="en-GB"/>
              </w:rPr>
            </w:pPr>
            <w:r w:rsidRPr="00D970F7">
              <w:rPr>
                <w:lang w:val="en-GB"/>
              </w:rPr>
              <w:t xml:space="preserve">Value added was decreasing the most in branch trade, transportation, accommodation and restaurants. </w:t>
            </w:r>
          </w:p>
          <w:p w14:paraId="57ED4542" w14:textId="77777777" w:rsidR="00C2211E" w:rsidRPr="00D970F7" w:rsidRDefault="00C2211E" w:rsidP="00C2211E">
            <w:pPr>
              <w:pStyle w:val="Marginlie"/>
              <w:rPr>
                <w:spacing w:val="-4"/>
                <w:lang w:val="en-GB"/>
              </w:rPr>
            </w:pPr>
          </w:p>
          <w:p w14:paraId="4486DDA7" w14:textId="77777777" w:rsidR="00C2211E" w:rsidRPr="00D970F7" w:rsidRDefault="00C2211E" w:rsidP="00C2211E">
            <w:pPr>
              <w:pStyle w:val="Marginlie"/>
              <w:rPr>
                <w:spacing w:val="-4"/>
                <w:lang w:val="en-GB"/>
              </w:rPr>
            </w:pPr>
          </w:p>
          <w:p w14:paraId="04F21FFF" w14:textId="57BBB15A" w:rsidR="00C2211E" w:rsidRPr="00D970F7" w:rsidRDefault="00F3394D" w:rsidP="00C2211E">
            <w:pPr>
              <w:pStyle w:val="Marginlie"/>
              <w:rPr>
                <w:spacing w:val="-4"/>
                <w:lang w:val="en-GB"/>
              </w:rPr>
            </w:pPr>
            <w:r>
              <w:rPr>
                <w:spacing w:val="-4"/>
                <w:lang w:val="en-GB"/>
              </w:rPr>
              <w:lastRenderedPageBreak/>
              <w:t>P</w:t>
            </w:r>
            <w:r w:rsidR="00C2211E" w:rsidRPr="00D970F7">
              <w:rPr>
                <w:spacing w:val="-4"/>
                <w:lang w:val="en-GB"/>
              </w:rPr>
              <w:t xml:space="preserve">andemic measures strengthened the role of public services and information and communication. </w:t>
            </w:r>
          </w:p>
          <w:p w14:paraId="57C22252" w14:textId="77777777" w:rsidR="00C2211E" w:rsidRPr="00D970F7" w:rsidRDefault="00C2211E" w:rsidP="00C2211E">
            <w:pPr>
              <w:pStyle w:val="Marginlie"/>
              <w:rPr>
                <w:lang w:val="en-GB"/>
              </w:rPr>
            </w:pPr>
          </w:p>
        </w:tc>
        <w:tc>
          <w:tcPr>
            <w:tcW w:w="191" w:type="dxa"/>
            <w:shd w:val="clear" w:color="auto" w:fill="auto"/>
            <w:tcMar>
              <w:left w:w="0" w:type="dxa"/>
            </w:tcMar>
          </w:tcPr>
          <w:p w14:paraId="4DAB95D4"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4A9FD163" w14:textId="77777777" w:rsidR="00C2211E" w:rsidRPr="00D970F7" w:rsidRDefault="00C2211E" w:rsidP="00C2211E">
            <w:pPr>
              <w:spacing w:after="220"/>
              <w:rPr>
                <w:lang w:val="en-GB"/>
              </w:rPr>
            </w:pPr>
            <w:r w:rsidRPr="00D970F7">
              <w:rPr>
                <w:spacing w:val="-4"/>
                <w:lang w:val="en-GB"/>
              </w:rPr>
              <w:t xml:space="preserve">The segment trade, transportation, accommodation and restaurants also experienced strong macroeconomic impact (contribution </w:t>
            </w:r>
            <w:r w:rsidRPr="00D970F7">
              <w:rPr>
                <w:color w:val="000000" w:themeColor="text1"/>
                <w:lang w:val="en-GB"/>
              </w:rPr>
              <w:t>–</w:t>
            </w:r>
            <w:r w:rsidRPr="00D970F7">
              <w:rPr>
                <w:spacing w:val="-4"/>
                <w:lang w:val="en-GB"/>
              </w:rPr>
              <w:t>2.2 p.p.). The GVA sank by one eighth among other things due to the radical restriction of the international movement of people</w:t>
            </w:r>
            <w:r w:rsidRPr="00D970F7">
              <w:rPr>
                <w:rStyle w:val="Znakapoznpodarou"/>
                <w:spacing w:val="-3"/>
                <w:lang w:val="en-GB"/>
              </w:rPr>
              <w:footnoteReference w:id="15"/>
            </w:r>
            <w:r w:rsidRPr="00D970F7">
              <w:rPr>
                <w:spacing w:val="-4"/>
                <w:lang w:val="en-GB"/>
              </w:rPr>
              <w:t xml:space="preserve"> here – that is the most among the main branches. The influence of other branches of the tertiary sphere was of a lower order. Still, some of them were hit strongly – especially so-called other services</w:t>
            </w:r>
            <w:r w:rsidRPr="00D970F7">
              <w:rPr>
                <w:rStyle w:val="Znakapoznpodarou"/>
                <w:spacing w:val="-3"/>
                <w:lang w:val="en-GB"/>
              </w:rPr>
              <w:footnoteReference w:id="16"/>
            </w:r>
            <w:r w:rsidRPr="00D970F7">
              <w:rPr>
                <w:spacing w:val="-4"/>
                <w:lang w:val="en-GB"/>
              </w:rPr>
              <w:t xml:space="preserve">, where the GVA dropped by one tenth (in that by more than one fifth in Q2). </w:t>
            </w:r>
            <w:r w:rsidRPr="00D970F7">
              <w:rPr>
                <w:spacing w:val="-4"/>
                <w:lang w:val="en-GB"/>
              </w:rPr>
              <w:lastRenderedPageBreak/>
              <w:t>Smaller decrease in the size of 2 to 3% was similarly apparent in professional, scientific and technical activities, further then in financial or real estate activities. On the contrary, the GVA stagnated in public services</w:t>
            </w:r>
            <w:r w:rsidRPr="00D970F7">
              <w:rPr>
                <w:rStyle w:val="Znakapoznpodarou"/>
                <w:spacing w:val="-3"/>
                <w:lang w:val="en-GB"/>
              </w:rPr>
              <w:footnoteReference w:id="17"/>
            </w:r>
            <w:r w:rsidRPr="00D970F7">
              <w:rPr>
                <w:spacing w:val="-4"/>
                <w:lang w:val="en-GB"/>
              </w:rPr>
              <w:t xml:space="preserve"> ensuring the basic operations of society. The role of information and communication also gained in relevance in the pandemic time period. Still the value added increased in this dynamic branch the least in the last eight years (+1.3%).</w:t>
            </w:r>
          </w:p>
        </w:tc>
      </w:tr>
      <w:tr w:rsidR="00C2211E" w:rsidRPr="00D970F7" w14:paraId="01BEDEF5" w14:textId="77777777" w:rsidTr="00C2211E">
        <w:trPr>
          <w:trHeight w:val="145"/>
        </w:trPr>
        <w:tc>
          <w:tcPr>
            <w:tcW w:w="1723" w:type="dxa"/>
            <w:shd w:val="clear" w:color="auto" w:fill="auto"/>
            <w:tcMar>
              <w:left w:w="0" w:type="dxa"/>
            </w:tcMar>
          </w:tcPr>
          <w:p w14:paraId="15A8A93E" w14:textId="77777777" w:rsidR="00C2211E" w:rsidRPr="00D970F7" w:rsidRDefault="00C2211E" w:rsidP="00C2211E">
            <w:pPr>
              <w:pStyle w:val="Marginlie"/>
              <w:rPr>
                <w:lang w:val="en-GB"/>
              </w:rPr>
            </w:pPr>
            <w:r w:rsidRPr="00D970F7">
              <w:rPr>
                <w:lang w:val="en-GB"/>
              </w:rPr>
              <w:lastRenderedPageBreak/>
              <w:t>March and April freeze of activity of key export businesses led to record slump of industrial production.</w:t>
            </w:r>
          </w:p>
          <w:p w14:paraId="02716267" w14:textId="77777777" w:rsidR="00C2211E" w:rsidRPr="00D970F7" w:rsidRDefault="00C2211E" w:rsidP="00C2211E">
            <w:pPr>
              <w:pStyle w:val="Marginlie"/>
              <w:rPr>
                <w:lang w:val="en-GB"/>
              </w:rPr>
            </w:pPr>
          </w:p>
          <w:p w14:paraId="52D8C9B5" w14:textId="77777777" w:rsidR="00C2211E" w:rsidRPr="00D970F7" w:rsidRDefault="00C2211E" w:rsidP="00C2211E">
            <w:pPr>
              <w:pStyle w:val="Marginlie"/>
              <w:rPr>
                <w:lang w:val="en-GB"/>
              </w:rPr>
            </w:pPr>
          </w:p>
          <w:p w14:paraId="61BEF8C0" w14:textId="77777777" w:rsidR="00C2211E" w:rsidRPr="00D970F7" w:rsidRDefault="00C2211E" w:rsidP="00C2211E">
            <w:pPr>
              <w:pStyle w:val="Marginlie"/>
              <w:rPr>
                <w:lang w:val="en-GB"/>
              </w:rPr>
            </w:pPr>
          </w:p>
          <w:p w14:paraId="7659BFFA" w14:textId="77777777" w:rsidR="00C2211E" w:rsidRPr="00D970F7" w:rsidRDefault="00C2211E" w:rsidP="00C2211E">
            <w:pPr>
              <w:pStyle w:val="Marginlie"/>
              <w:rPr>
                <w:lang w:val="en-GB"/>
              </w:rPr>
            </w:pPr>
          </w:p>
          <w:p w14:paraId="6C26DF0A" w14:textId="77777777" w:rsidR="00C2211E" w:rsidRPr="00D970F7" w:rsidRDefault="00C2211E" w:rsidP="00C2211E">
            <w:pPr>
              <w:pStyle w:val="Marginlie"/>
              <w:rPr>
                <w:lang w:val="en-GB"/>
              </w:rPr>
            </w:pPr>
            <w:r w:rsidRPr="00D970F7">
              <w:rPr>
                <w:spacing w:val="-4"/>
                <w:lang w:val="en-GB"/>
              </w:rPr>
              <w:t xml:space="preserve">July production still slightly lagged behind the pre-pandemic period. </w:t>
            </w:r>
          </w:p>
        </w:tc>
        <w:tc>
          <w:tcPr>
            <w:tcW w:w="191" w:type="dxa"/>
            <w:shd w:val="clear" w:color="auto" w:fill="auto"/>
            <w:tcMar>
              <w:left w:w="0" w:type="dxa"/>
            </w:tcMar>
          </w:tcPr>
          <w:p w14:paraId="2A478157"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1439A014" w14:textId="77777777" w:rsidR="00C2211E" w:rsidRPr="00D970F7" w:rsidRDefault="00C2211E" w:rsidP="00C2211E">
            <w:pPr>
              <w:spacing w:after="220"/>
              <w:rPr>
                <w:lang w:val="en-GB"/>
              </w:rPr>
            </w:pPr>
            <w:r w:rsidRPr="00D970F7">
              <w:rPr>
                <w:lang w:val="en-GB"/>
              </w:rPr>
              <w:t>More detailed data from the business statistics also prove an unparalleled strong and fast impact of counter pandemic measures on the output of domestic industry. If the industrial production</w:t>
            </w:r>
            <w:r w:rsidRPr="00D970F7">
              <w:rPr>
                <w:color w:val="000000" w:themeColor="text1"/>
                <w:vertAlign w:val="superscript"/>
                <w:lang w:val="en-GB"/>
              </w:rPr>
              <w:footnoteReference w:id="18"/>
            </w:r>
            <w:r w:rsidRPr="00D970F7">
              <w:rPr>
                <w:color w:val="000000" w:themeColor="text1"/>
                <w:lang w:val="en-GB"/>
              </w:rPr>
              <w:t xml:space="preserve"> fell quarter-on-quarter „only“ by 3.7% in the first quarter of this year, second quarter saw deepening to yet unseen 18.3%. The record this year´s downturn was fundamentally affected by the development at the turn of both quarters – the production lowered by more than one tenth in March, by nearly one quarter in April. The measures against spreading of the coronavirus gradually led to the disruption or complete breaking of supply chains. Number of businesses started to limit production </w:t>
            </w:r>
            <w:r w:rsidRPr="00D970F7">
              <w:rPr>
                <w:lang w:val="en-GB"/>
              </w:rPr>
              <w:t>during the second half of March, many practically suspended it (it concerned especially the key companies of the motor vehicle industry and their domestic subcontractors). Many suspended branches recovered relatively fast in the subsequent months, regardless of this however this year´s July output in the whole industry still slightly lagged behind the “pre-pandemic” (February) level (by 4%).</w:t>
            </w:r>
          </w:p>
        </w:tc>
      </w:tr>
      <w:tr w:rsidR="00C2211E" w:rsidRPr="00D970F7" w14:paraId="16846743" w14:textId="77777777" w:rsidTr="00C2211E">
        <w:trPr>
          <w:trHeight w:val="170"/>
        </w:trPr>
        <w:tc>
          <w:tcPr>
            <w:tcW w:w="1723" w:type="dxa"/>
            <w:vMerge w:val="restart"/>
            <w:shd w:val="clear" w:color="auto" w:fill="auto"/>
            <w:tcMar>
              <w:left w:w="0" w:type="dxa"/>
            </w:tcMar>
          </w:tcPr>
          <w:p w14:paraId="127C1F9E" w14:textId="77777777" w:rsidR="00C2211E" w:rsidRPr="00D970F7" w:rsidRDefault="00C2211E" w:rsidP="00C2211E">
            <w:pPr>
              <w:pStyle w:val="Marginlie"/>
              <w:rPr>
                <w:lang w:val="en-GB"/>
              </w:rPr>
            </w:pPr>
          </w:p>
        </w:tc>
        <w:tc>
          <w:tcPr>
            <w:tcW w:w="191" w:type="dxa"/>
            <w:vMerge w:val="restart"/>
            <w:shd w:val="clear" w:color="auto" w:fill="auto"/>
            <w:tcMar>
              <w:left w:w="0" w:type="dxa"/>
            </w:tcMar>
          </w:tcPr>
          <w:p w14:paraId="3ED5B63C"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27BCF15E" w14:textId="77777777" w:rsidR="00C2211E" w:rsidRPr="00D970F7" w:rsidRDefault="00C2211E" w:rsidP="00C2211E">
            <w:pPr>
              <w:spacing w:after="0"/>
              <w:rPr>
                <w:b/>
                <w:lang w:val="en-GB"/>
              </w:rPr>
            </w:pPr>
            <w:r w:rsidRPr="00D970F7">
              <w:rPr>
                <w:rFonts w:cs="Arial"/>
                <w:b/>
                <w:bCs/>
                <w:color w:val="000000"/>
                <w:szCs w:val="20"/>
                <w:lang w:val="en-GB"/>
              </w:rPr>
              <w:t xml:space="preserve">Chart 4  </w:t>
            </w:r>
            <w:r w:rsidRPr="00D970F7">
              <w:rPr>
                <w:b/>
                <w:spacing w:val="-2"/>
                <w:lang w:val="en-GB"/>
              </w:rPr>
              <w:t xml:space="preserve">Contributions of sub-branches to the year-on-year change of the industrial production </w:t>
            </w:r>
            <w:r w:rsidRPr="00D970F7">
              <w:rPr>
                <w:spacing w:val="-2"/>
                <w:lang w:val="en-GB"/>
              </w:rPr>
              <w:t xml:space="preserve">(in percentage points, adjusted for calendar effects), </w:t>
            </w:r>
            <w:r w:rsidRPr="00D970F7">
              <w:rPr>
                <w:b/>
                <w:lang w:val="en-GB"/>
              </w:rPr>
              <w:t xml:space="preserve">balance of confidence indicator in industry* </w:t>
            </w:r>
            <w:r w:rsidRPr="00D970F7">
              <w:rPr>
                <w:lang w:val="en-GB"/>
              </w:rPr>
              <w:t>(in p.p., right axis)</w:t>
            </w:r>
          </w:p>
        </w:tc>
      </w:tr>
      <w:tr w:rsidR="00C2211E" w:rsidRPr="00D970F7" w14:paraId="24B70B1D" w14:textId="77777777" w:rsidTr="00C2211E">
        <w:tblPrEx>
          <w:tblCellMar>
            <w:left w:w="70" w:type="dxa"/>
            <w:right w:w="70" w:type="dxa"/>
          </w:tblCellMar>
        </w:tblPrEx>
        <w:trPr>
          <w:trHeight w:val="170"/>
        </w:trPr>
        <w:tc>
          <w:tcPr>
            <w:tcW w:w="1723" w:type="dxa"/>
            <w:vMerge/>
            <w:shd w:val="clear" w:color="auto" w:fill="auto"/>
          </w:tcPr>
          <w:p w14:paraId="707A2D15" w14:textId="77777777" w:rsidR="00C2211E" w:rsidRPr="00D970F7" w:rsidRDefault="00C2211E" w:rsidP="00C2211E">
            <w:pPr>
              <w:pStyle w:val="Marginlie"/>
              <w:rPr>
                <w:lang w:val="en-GB"/>
              </w:rPr>
            </w:pPr>
          </w:p>
        </w:tc>
        <w:tc>
          <w:tcPr>
            <w:tcW w:w="191" w:type="dxa"/>
            <w:vMerge/>
            <w:shd w:val="clear" w:color="auto" w:fill="auto"/>
          </w:tcPr>
          <w:p w14:paraId="1A20843B" w14:textId="77777777" w:rsidR="00C2211E" w:rsidRPr="00D970F7" w:rsidRDefault="00C2211E" w:rsidP="00C2211E">
            <w:pPr>
              <w:pStyle w:val="Textpoznpodarou"/>
              <w:jc w:val="both"/>
              <w:rPr>
                <w:spacing w:val="-4"/>
                <w:lang w:val="en-GB"/>
              </w:rPr>
            </w:pPr>
          </w:p>
        </w:tc>
        <w:tc>
          <w:tcPr>
            <w:tcW w:w="7730" w:type="dxa"/>
            <w:shd w:val="clear" w:color="auto" w:fill="auto"/>
          </w:tcPr>
          <w:p w14:paraId="6C7D79D0" w14:textId="77777777" w:rsidR="00C2211E" w:rsidRPr="00D970F7" w:rsidRDefault="00C2211E" w:rsidP="00C2211E">
            <w:pPr>
              <w:spacing w:after="0"/>
              <w:rPr>
                <w:color w:val="000000" w:themeColor="text1"/>
                <w:lang w:val="en-GB"/>
              </w:rPr>
            </w:pPr>
            <w:r>
              <w:rPr>
                <w:noProof/>
              </w:rPr>
              <w:drawing>
                <wp:inline distT="0" distB="0" distL="0" distR="0" wp14:anchorId="64E29289" wp14:editId="04FBDF0E">
                  <wp:extent cx="4817745" cy="3364992"/>
                  <wp:effectExtent l="0" t="0" r="1905" b="6985"/>
                  <wp:docPr id="25" name="Graf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C2211E" w:rsidRPr="00AF7349" w14:paraId="31FD613C" w14:textId="77777777" w:rsidTr="00C2211E">
        <w:trPr>
          <w:trHeight w:val="170"/>
        </w:trPr>
        <w:tc>
          <w:tcPr>
            <w:tcW w:w="1723" w:type="dxa"/>
            <w:vMerge/>
            <w:shd w:val="clear" w:color="auto" w:fill="auto"/>
            <w:tcMar>
              <w:left w:w="0" w:type="dxa"/>
            </w:tcMar>
          </w:tcPr>
          <w:p w14:paraId="1D321667" w14:textId="77777777" w:rsidR="00C2211E" w:rsidRPr="00D970F7" w:rsidRDefault="00C2211E" w:rsidP="00C2211E">
            <w:pPr>
              <w:pStyle w:val="Marginlie"/>
              <w:rPr>
                <w:lang w:val="en-GB"/>
              </w:rPr>
            </w:pPr>
          </w:p>
        </w:tc>
        <w:tc>
          <w:tcPr>
            <w:tcW w:w="191" w:type="dxa"/>
            <w:vMerge/>
            <w:shd w:val="clear" w:color="auto" w:fill="auto"/>
            <w:tcMar>
              <w:left w:w="0" w:type="dxa"/>
            </w:tcMar>
          </w:tcPr>
          <w:p w14:paraId="2592301B"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744C489B" w14:textId="77777777" w:rsidR="00C2211E" w:rsidRPr="00D970F7" w:rsidRDefault="00C2211E" w:rsidP="00C2211E">
            <w:pPr>
              <w:spacing w:after="0"/>
              <w:rPr>
                <w:rFonts w:cs="Arial"/>
                <w:sz w:val="14"/>
                <w:szCs w:val="14"/>
                <w:lang w:val="en-GB"/>
              </w:rPr>
            </w:pPr>
            <w:r w:rsidRPr="00D970F7">
              <w:rPr>
                <w:rFonts w:cs="Arial"/>
                <w:sz w:val="14"/>
                <w:szCs w:val="14"/>
                <w:lang w:val="en-GB"/>
              </w:rPr>
              <w:t xml:space="preserve">*Balance of confidence is seasonally adjusted and expresses the situation in the first month of the given quarter. </w:t>
            </w:r>
          </w:p>
          <w:p w14:paraId="2D8A697B" w14:textId="77777777" w:rsidR="00C2211E" w:rsidRPr="00AF7349" w:rsidRDefault="00C2211E" w:rsidP="00C2211E">
            <w:pPr>
              <w:spacing w:after="120"/>
              <w:rPr>
                <w:rFonts w:cs="Arial"/>
                <w:sz w:val="14"/>
                <w:szCs w:val="14"/>
                <w:lang w:val="en-GB"/>
              </w:rPr>
            </w:pPr>
            <w:r w:rsidRPr="00D970F7">
              <w:rPr>
                <w:rFonts w:cs="Arial"/>
                <w:sz w:val="14"/>
                <w:szCs w:val="14"/>
                <w:lang w:val="en-GB"/>
              </w:rPr>
              <w:t>Source: CZSO</w:t>
            </w:r>
          </w:p>
        </w:tc>
      </w:tr>
      <w:tr w:rsidR="00C2211E" w:rsidRPr="00D970F7" w14:paraId="2C01AA95" w14:textId="77777777" w:rsidTr="00C2211E">
        <w:trPr>
          <w:trHeight w:val="145"/>
        </w:trPr>
        <w:tc>
          <w:tcPr>
            <w:tcW w:w="1723" w:type="dxa"/>
            <w:shd w:val="clear" w:color="auto" w:fill="auto"/>
            <w:tcMar>
              <w:left w:w="0" w:type="dxa"/>
            </w:tcMar>
          </w:tcPr>
          <w:p w14:paraId="6088148F" w14:textId="77777777" w:rsidR="00C2211E" w:rsidRPr="00D970F7" w:rsidRDefault="00C2211E" w:rsidP="00C2211E">
            <w:pPr>
              <w:pStyle w:val="Marginlie"/>
              <w:rPr>
                <w:lang w:val="en-GB"/>
              </w:rPr>
            </w:pPr>
            <w:r w:rsidRPr="00D970F7">
              <w:rPr>
                <w:lang w:val="en-GB"/>
              </w:rPr>
              <w:t xml:space="preserve">More than one half of year-on-year industry fall was attributed to manufacturing of motor vehicles and their </w:t>
            </w:r>
            <w:r w:rsidRPr="00D970F7">
              <w:rPr>
                <w:lang w:val="en-GB"/>
              </w:rPr>
              <w:lastRenderedPageBreak/>
              <w:t xml:space="preserve">closest subcontractors in H1. </w:t>
            </w:r>
          </w:p>
        </w:tc>
        <w:tc>
          <w:tcPr>
            <w:tcW w:w="191" w:type="dxa"/>
            <w:shd w:val="clear" w:color="auto" w:fill="auto"/>
            <w:tcMar>
              <w:left w:w="0" w:type="dxa"/>
            </w:tcMar>
          </w:tcPr>
          <w:p w14:paraId="5F89A304"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3E3FADF7" w14:textId="77777777" w:rsidR="00C2211E" w:rsidRPr="00D970F7" w:rsidRDefault="00C2211E" w:rsidP="00C2211E">
            <w:pPr>
              <w:spacing w:after="200"/>
              <w:rPr>
                <w:color w:val="0D0D0D" w:themeColor="text1" w:themeTint="F2"/>
                <w:spacing w:val="-4"/>
                <w:lang w:val="en-GB"/>
              </w:rPr>
            </w:pPr>
            <w:r w:rsidRPr="00D970F7">
              <w:rPr>
                <w:lang w:val="en-GB"/>
              </w:rPr>
              <w:t>Industrial production slumped by 23.6% year-on-year in Q2 2020. Apart from the pandemic supply shock the effect of the previous cyclical industry slowdown also accumulated (interconnected with the former decrease in the euro area</w:t>
            </w:r>
            <w:r w:rsidRPr="00D970F7">
              <w:rPr>
                <w:rFonts w:cstheme="minorHAnsi"/>
                <w:lang w:val="en-GB"/>
              </w:rPr>
              <w:t>)</w:t>
            </w:r>
            <w:r w:rsidRPr="00D970F7">
              <w:rPr>
                <w:lang w:val="en-GB"/>
              </w:rPr>
              <w:t>, already apparent for the most part of the last year</w:t>
            </w:r>
            <w:r w:rsidRPr="00D970F7">
              <w:rPr>
                <w:color w:val="000000" w:themeColor="text1"/>
                <w:vertAlign w:val="superscript"/>
                <w:lang w:val="en-GB"/>
              </w:rPr>
              <w:footnoteReference w:id="19"/>
            </w:r>
            <w:r w:rsidRPr="00D970F7">
              <w:rPr>
                <w:lang w:val="en-GB"/>
              </w:rPr>
              <w:t xml:space="preserve">. The downturn amounted to 14.4% for the </w:t>
            </w:r>
            <w:r w:rsidRPr="00D970F7">
              <w:rPr>
                <w:lang w:val="en-GB"/>
              </w:rPr>
              <w:lastRenderedPageBreak/>
              <w:t xml:space="preserve">whole H1. Manufacture of motor vehicles participated in it by more than one third, together with the immediate associated branches (electrical equipment, manufacture of rubber and plastic products) then by more than one half. Consequently, both machinery and metalworking industry contributed similarly by approximately one tenth. </w:t>
            </w:r>
          </w:p>
        </w:tc>
      </w:tr>
      <w:tr w:rsidR="00C2211E" w:rsidRPr="00D970F7" w14:paraId="73ECD96E" w14:textId="77777777" w:rsidTr="00C2211E">
        <w:trPr>
          <w:trHeight w:val="145"/>
        </w:trPr>
        <w:tc>
          <w:tcPr>
            <w:tcW w:w="1723" w:type="dxa"/>
            <w:shd w:val="clear" w:color="auto" w:fill="auto"/>
            <w:tcMar>
              <w:left w:w="0" w:type="dxa"/>
            </w:tcMar>
          </w:tcPr>
          <w:p w14:paraId="56F9E567" w14:textId="6C59C28C" w:rsidR="00C2211E" w:rsidRPr="00D970F7" w:rsidRDefault="00C2211E" w:rsidP="00C2211E">
            <w:pPr>
              <w:pStyle w:val="Marginlie"/>
              <w:rPr>
                <w:lang w:val="en-GB"/>
              </w:rPr>
            </w:pPr>
            <w:r w:rsidRPr="00D970F7">
              <w:rPr>
                <w:lang w:val="en-GB"/>
              </w:rPr>
              <w:lastRenderedPageBreak/>
              <w:t xml:space="preserve">Industrial production fell by more than one fifth in the motor vehicle, mining as well as leather manufacturing in H1. Slump of machinery was </w:t>
            </w:r>
            <w:r w:rsidR="00936388">
              <w:rPr>
                <w:lang w:val="en-GB"/>
              </w:rPr>
              <w:t xml:space="preserve">also </w:t>
            </w:r>
            <w:r w:rsidRPr="00D970F7">
              <w:rPr>
                <w:lang w:val="en-GB"/>
              </w:rPr>
              <w:t xml:space="preserve">significant. </w:t>
            </w:r>
          </w:p>
          <w:p w14:paraId="4BE28100" w14:textId="77777777" w:rsidR="00C2211E" w:rsidRPr="00D970F7" w:rsidRDefault="00C2211E" w:rsidP="00C2211E">
            <w:pPr>
              <w:pStyle w:val="Marginlie"/>
              <w:rPr>
                <w:lang w:val="en-GB"/>
              </w:rPr>
            </w:pPr>
          </w:p>
          <w:p w14:paraId="4B7BBC02" w14:textId="77777777" w:rsidR="00C2211E" w:rsidRPr="00D970F7" w:rsidRDefault="00C2211E" w:rsidP="00C2211E">
            <w:pPr>
              <w:pStyle w:val="Marginlie"/>
              <w:rPr>
                <w:lang w:val="en-GB"/>
              </w:rPr>
            </w:pPr>
          </w:p>
          <w:p w14:paraId="64E87EDA" w14:textId="77777777" w:rsidR="00C2211E" w:rsidRPr="00D970F7" w:rsidRDefault="00C2211E" w:rsidP="00C2211E">
            <w:pPr>
              <w:pStyle w:val="Marginlie"/>
              <w:rPr>
                <w:lang w:val="en-GB"/>
              </w:rPr>
            </w:pPr>
          </w:p>
          <w:p w14:paraId="46576123" w14:textId="77777777" w:rsidR="00C2211E" w:rsidRPr="00D970F7" w:rsidRDefault="00C2211E" w:rsidP="00C2211E">
            <w:pPr>
              <w:pStyle w:val="Marginlie"/>
              <w:rPr>
                <w:lang w:val="en-GB"/>
              </w:rPr>
            </w:pPr>
          </w:p>
          <w:p w14:paraId="213663CB" w14:textId="77777777" w:rsidR="00C2211E" w:rsidRPr="00D970F7" w:rsidRDefault="00C2211E" w:rsidP="00C2211E">
            <w:pPr>
              <w:pStyle w:val="Marginlie"/>
              <w:rPr>
                <w:lang w:val="en-GB"/>
              </w:rPr>
            </w:pPr>
          </w:p>
          <w:p w14:paraId="3E9F21B0" w14:textId="77777777" w:rsidR="00C2211E" w:rsidRPr="00D970F7" w:rsidRDefault="00C2211E" w:rsidP="00C2211E">
            <w:pPr>
              <w:pStyle w:val="Marginlie"/>
              <w:rPr>
                <w:lang w:val="en-GB"/>
              </w:rPr>
            </w:pPr>
            <w:r w:rsidRPr="00D970F7">
              <w:rPr>
                <w:color w:val="000000" w:themeColor="text1"/>
                <w:spacing w:val="-3"/>
                <w:lang w:val="en-GB"/>
              </w:rPr>
              <w:t xml:space="preserve">The specific structure of demand on the contrary aided some especially smaller fields during the coronavirus crisis. </w:t>
            </w:r>
          </w:p>
          <w:p w14:paraId="79DC2697" w14:textId="77777777" w:rsidR="00C2211E" w:rsidRPr="00D970F7" w:rsidRDefault="00C2211E" w:rsidP="00C2211E">
            <w:pPr>
              <w:pStyle w:val="Marginlie"/>
              <w:rPr>
                <w:lang w:val="en-GB"/>
              </w:rPr>
            </w:pPr>
          </w:p>
        </w:tc>
        <w:tc>
          <w:tcPr>
            <w:tcW w:w="191" w:type="dxa"/>
            <w:shd w:val="clear" w:color="auto" w:fill="auto"/>
            <w:tcMar>
              <w:left w:w="0" w:type="dxa"/>
            </w:tcMar>
          </w:tcPr>
          <w:p w14:paraId="0DC15DE7"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4E3C21E3" w14:textId="79D40DDF" w:rsidR="00C2211E" w:rsidRPr="00D970F7" w:rsidRDefault="00C2211E" w:rsidP="00C2211E">
            <w:pPr>
              <w:spacing w:after="200"/>
              <w:rPr>
                <w:color w:val="0D0D0D" w:themeColor="text1" w:themeTint="F2"/>
                <w:spacing w:val="-4"/>
                <w:lang w:val="en-GB"/>
              </w:rPr>
            </w:pPr>
            <w:r w:rsidRPr="00831E88">
              <w:rPr>
                <w:color w:val="0D0D0D" w:themeColor="text1" w:themeTint="F2"/>
                <w:lang w:val="en-GB"/>
              </w:rPr>
              <w:t>Not surprisingly, the deepest downturn affected manufacturing of motor vehicles in H1 (</w:t>
            </w:r>
            <w:r w:rsidRPr="00831E88">
              <w:rPr>
                <w:color w:val="000000" w:themeColor="text1"/>
                <w:lang w:val="en-GB"/>
              </w:rPr>
              <w:t>–</w:t>
            </w:r>
            <w:r w:rsidR="00831E88" w:rsidRPr="00831E88">
              <w:rPr>
                <w:color w:val="0D0D0D" w:themeColor="text1" w:themeTint="F2"/>
                <w:lang w:val="en-GB"/>
              </w:rPr>
              <w:t>27.8</w:t>
            </w:r>
            <w:r w:rsidR="00831E88" w:rsidRPr="00831E88">
              <w:t> </w:t>
            </w:r>
            <w:r w:rsidRPr="00831E88">
              <w:rPr>
                <w:color w:val="0D0D0D" w:themeColor="text1" w:themeTint="F2"/>
                <w:lang w:val="en-GB"/>
              </w:rPr>
              <w:t>% year-on-year),</w:t>
            </w:r>
            <w:r w:rsidRPr="00D970F7">
              <w:rPr>
                <w:color w:val="0D0D0D" w:themeColor="text1" w:themeTint="F2"/>
                <w:spacing w:val="-4"/>
                <w:lang w:val="en-GB"/>
              </w:rPr>
              <w:t xml:space="preserve"> since the utilisation of production capacities was only 50% at the beginning of Q2. The output in coal mining and leather manufacturing also dived approximately by one quarter, it however depicted a long-term trend. The fall of the machinery output by more than 17% was much more substantial, which mirrored the significant decrease of private investment in the whole economy.</w:t>
            </w:r>
            <w:r w:rsidRPr="00D970F7">
              <w:rPr>
                <w:rStyle w:val="Znakapoznpodarou"/>
                <w:spacing w:val="-4"/>
                <w:lang w:val="en-GB"/>
              </w:rPr>
              <w:footnoteReference w:id="20"/>
            </w:r>
            <w:r w:rsidRPr="00D970F7">
              <w:rPr>
                <w:color w:val="0D0D0D" w:themeColor="text1" w:themeTint="F2"/>
                <w:spacing w:val="-4"/>
                <w:lang w:val="en-GB"/>
              </w:rPr>
              <w:t xml:space="preserve"> The weight significant manufacture of metal products, metallurgy, but also for example manufacturing of beverages decreased their output by one seventh. In contrast, the food industry achieved only mild decrease (</w:t>
            </w:r>
            <w:r w:rsidRPr="00D970F7">
              <w:rPr>
                <w:color w:val="000000" w:themeColor="text1"/>
                <w:spacing w:val="-4"/>
                <w:lang w:val="en-GB"/>
              </w:rPr>
              <w:t>–2.4%), since the volume of household expenditure on items of short-term consumption was by the restrictive measures affected only marginally in H1 (–0.5%). The relatively diversified branch other manufacturing was in a similar situation supported by growing demand for medical supplies. This was partially also linked to the higher output of the pharmaceutical industry (+4.9%), where the growth of output is however a longer-term phenomenon. Wood and paper industry were also mildly growing branches this year, here it is likely the consequence of the increasing natural wood logging in the recent years. The three growing branches above however assisted the growth of the total industrial production only by 0.2 p.p. in H1.</w:t>
            </w:r>
          </w:p>
        </w:tc>
      </w:tr>
      <w:tr w:rsidR="00C2211E" w:rsidRPr="00D970F7" w14:paraId="68B4D8B0" w14:textId="77777777" w:rsidTr="00C2211E">
        <w:trPr>
          <w:trHeight w:val="145"/>
        </w:trPr>
        <w:tc>
          <w:tcPr>
            <w:tcW w:w="1723" w:type="dxa"/>
            <w:shd w:val="clear" w:color="auto" w:fill="auto"/>
            <w:tcMar>
              <w:left w:w="0" w:type="dxa"/>
            </w:tcMar>
          </w:tcPr>
          <w:p w14:paraId="605E343D" w14:textId="77777777" w:rsidR="00C2211E" w:rsidRPr="00D970F7" w:rsidRDefault="00C2211E" w:rsidP="00C2211E">
            <w:pPr>
              <w:pStyle w:val="Marginlie"/>
              <w:rPr>
                <w:lang w:val="en-GB"/>
              </w:rPr>
            </w:pPr>
            <w:r w:rsidRPr="00D970F7">
              <w:rPr>
                <w:lang w:val="en-GB"/>
              </w:rPr>
              <w:t xml:space="preserve">Sales from industrial activities strengthened year-on-year only in energetics, pharmaceutical and food industries. </w:t>
            </w:r>
          </w:p>
          <w:p w14:paraId="1906FBED" w14:textId="77777777" w:rsidR="00C2211E" w:rsidRPr="00D970F7" w:rsidRDefault="00C2211E" w:rsidP="00C2211E">
            <w:pPr>
              <w:pStyle w:val="Marginlie"/>
              <w:rPr>
                <w:lang w:val="en-GB"/>
              </w:rPr>
            </w:pPr>
          </w:p>
          <w:p w14:paraId="3BFB7EED" w14:textId="77777777" w:rsidR="00C2211E" w:rsidRPr="00D970F7" w:rsidRDefault="00C2211E" w:rsidP="00C2211E">
            <w:pPr>
              <w:pStyle w:val="Marginlie"/>
              <w:rPr>
                <w:lang w:val="en-GB"/>
              </w:rPr>
            </w:pPr>
          </w:p>
          <w:p w14:paraId="3A411D0B" w14:textId="77777777" w:rsidR="00C2211E" w:rsidRPr="00D970F7" w:rsidRDefault="00C2211E" w:rsidP="00C2211E">
            <w:pPr>
              <w:pStyle w:val="Marginlie"/>
              <w:rPr>
                <w:lang w:val="en-GB"/>
              </w:rPr>
            </w:pPr>
          </w:p>
          <w:p w14:paraId="6F040BC1" w14:textId="77777777" w:rsidR="00C2211E" w:rsidRPr="00D970F7" w:rsidRDefault="00C2211E" w:rsidP="00C2211E">
            <w:pPr>
              <w:pStyle w:val="Marginlie"/>
              <w:rPr>
                <w:lang w:val="en-GB"/>
              </w:rPr>
            </w:pPr>
          </w:p>
          <w:p w14:paraId="0943E660" w14:textId="77777777" w:rsidR="00C2211E" w:rsidRPr="00D970F7" w:rsidRDefault="00C2211E" w:rsidP="00C2211E">
            <w:pPr>
              <w:pStyle w:val="Marginlie"/>
              <w:rPr>
                <w:lang w:val="en-GB"/>
              </w:rPr>
            </w:pPr>
            <w:r w:rsidRPr="00D970F7">
              <w:rPr>
                <w:lang w:val="en-GB"/>
              </w:rPr>
              <w:t xml:space="preserve">Domestic sales still kept showing higher pace than sales from direct export. </w:t>
            </w:r>
          </w:p>
        </w:tc>
        <w:tc>
          <w:tcPr>
            <w:tcW w:w="191" w:type="dxa"/>
            <w:shd w:val="clear" w:color="auto" w:fill="auto"/>
            <w:tcMar>
              <w:left w:w="0" w:type="dxa"/>
            </w:tcMar>
          </w:tcPr>
          <w:p w14:paraId="0CE99CB6"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792DAF8E" w14:textId="77777777" w:rsidR="00C2211E" w:rsidRPr="00D970F7" w:rsidRDefault="00C2211E" w:rsidP="00C2211E">
            <w:pPr>
              <w:spacing w:after="200"/>
              <w:rPr>
                <w:color w:val="000000" w:themeColor="text1"/>
                <w:spacing w:val="-4"/>
                <w:lang w:val="en-GB"/>
              </w:rPr>
            </w:pPr>
            <w:r w:rsidRPr="00D970F7">
              <w:rPr>
                <w:spacing w:val="-4"/>
                <w:lang w:val="en-GB"/>
              </w:rPr>
              <w:t>Nominal sales of businesses from industrial activity recorded similar development as the industrial production this year. Following mild year-on-year decrease in Q1 (</w:t>
            </w:r>
            <w:r w:rsidRPr="00D970F7">
              <w:rPr>
                <w:color w:val="000000" w:themeColor="text1"/>
                <w:spacing w:val="-4"/>
                <w:lang w:val="en-GB"/>
              </w:rPr>
              <w:t>–</w:t>
            </w:r>
            <w:r w:rsidRPr="00D970F7">
              <w:rPr>
                <w:spacing w:val="-4"/>
                <w:lang w:val="en-GB"/>
              </w:rPr>
              <w:t>3.1%) they plunged in the subsequent quarter (</w:t>
            </w:r>
            <w:r w:rsidRPr="00D970F7">
              <w:rPr>
                <w:color w:val="000000" w:themeColor="text1"/>
                <w:spacing w:val="-4"/>
                <w:lang w:val="en-GB"/>
              </w:rPr>
              <w:t>–</w:t>
            </w:r>
            <w:r w:rsidRPr="00D970F7">
              <w:rPr>
                <w:spacing w:val="-4"/>
                <w:lang w:val="en-GB"/>
              </w:rPr>
              <w:t>2</w:t>
            </w:r>
            <w:r w:rsidRPr="00D970F7">
              <w:rPr>
                <w:color w:val="000000" w:themeColor="text1"/>
                <w:spacing w:val="-4"/>
                <w:lang w:val="en-GB"/>
              </w:rPr>
              <w:t>3.</w:t>
            </w:r>
            <w:r w:rsidRPr="00D970F7">
              <w:rPr>
                <w:spacing w:val="-4"/>
                <w:lang w:val="en-GB"/>
              </w:rPr>
              <w:t xml:space="preserve">8%). Only companies in energetics (+6%), pharmaceutical industry (+6%) and food industry (+2%) earned more for the whole H1. Price growth partially aided in offsetting the decrease of real production to manufacturers of wearing apparel and leathers, in contrast the mild growth of output was not a guarantee of sales strengthening in wood and paper industry. Larger plunge of prices in the chemical industry or metallurgy adversely affected the sales of businesses </w:t>
            </w:r>
            <w:r w:rsidRPr="00D970F7">
              <w:rPr>
                <w:rFonts w:cstheme="minorHAnsi"/>
                <w:spacing w:val="-3"/>
                <w:lang w:val="en-GB"/>
              </w:rPr>
              <w:t>and further amplified the adverse development of output in these branches. Total sales of industrial businesses from direct export declined by 15% compared to H1 of the last year, domestic sales only by 10%. Faster pace of domestic sales compared to foreign in essence endured also in the period 2017 to 2019.</w:t>
            </w:r>
          </w:p>
        </w:tc>
      </w:tr>
      <w:tr w:rsidR="00C2211E" w:rsidRPr="00D970F7" w14:paraId="129FBEDF" w14:textId="77777777" w:rsidTr="00C2211E">
        <w:trPr>
          <w:trHeight w:val="145"/>
        </w:trPr>
        <w:tc>
          <w:tcPr>
            <w:tcW w:w="1723" w:type="dxa"/>
            <w:shd w:val="clear" w:color="auto" w:fill="auto"/>
            <w:tcMar>
              <w:left w:w="0" w:type="dxa"/>
            </w:tcMar>
          </w:tcPr>
          <w:p w14:paraId="7CE9CCBF" w14:textId="77777777" w:rsidR="00C2211E" w:rsidRPr="00D970F7" w:rsidRDefault="00C2211E" w:rsidP="00C2211E">
            <w:pPr>
              <w:pStyle w:val="Marginlie"/>
              <w:rPr>
                <w:lang w:val="en-GB"/>
              </w:rPr>
            </w:pPr>
            <w:r w:rsidRPr="00D970F7">
              <w:rPr>
                <w:lang w:val="en-GB"/>
              </w:rPr>
              <w:t xml:space="preserve">Decrease of new orders moderated in the summer period. Utilisation of production capacities still did not reach the pre pandemics level. </w:t>
            </w:r>
          </w:p>
          <w:p w14:paraId="3060C269" w14:textId="77777777" w:rsidR="00C2211E" w:rsidRPr="00D970F7" w:rsidRDefault="00C2211E" w:rsidP="00C2211E">
            <w:pPr>
              <w:pStyle w:val="Marginlie"/>
              <w:rPr>
                <w:lang w:val="en-GB"/>
              </w:rPr>
            </w:pPr>
          </w:p>
          <w:p w14:paraId="0B0EF5E9" w14:textId="77777777" w:rsidR="00C2211E" w:rsidRPr="00D970F7" w:rsidRDefault="00C2211E" w:rsidP="00C2211E">
            <w:pPr>
              <w:pStyle w:val="Marginlie"/>
              <w:rPr>
                <w:lang w:val="en-GB"/>
              </w:rPr>
            </w:pPr>
          </w:p>
          <w:p w14:paraId="57FCB539" w14:textId="77777777" w:rsidR="00C2211E" w:rsidRPr="00D970F7" w:rsidRDefault="00C2211E" w:rsidP="00C2211E">
            <w:pPr>
              <w:pStyle w:val="Marginlie"/>
              <w:rPr>
                <w:lang w:val="en-GB"/>
              </w:rPr>
            </w:pPr>
          </w:p>
          <w:p w14:paraId="14C133C9" w14:textId="77777777" w:rsidR="00C2211E" w:rsidRPr="00D970F7" w:rsidRDefault="00C2211E" w:rsidP="00C2211E">
            <w:pPr>
              <w:pStyle w:val="Marginlie"/>
              <w:rPr>
                <w:lang w:val="en-GB"/>
              </w:rPr>
            </w:pPr>
          </w:p>
          <w:p w14:paraId="52EC64F5" w14:textId="77777777" w:rsidR="00C2211E" w:rsidRPr="00D970F7" w:rsidRDefault="00C2211E" w:rsidP="00C2211E">
            <w:pPr>
              <w:pStyle w:val="Marginlie"/>
              <w:rPr>
                <w:lang w:val="en-GB"/>
              </w:rPr>
            </w:pPr>
          </w:p>
          <w:p w14:paraId="51E9FB05" w14:textId="77777777" w:rsidR="00C2211E" w:rsidRPr="00D970F7" w:rsidRDefault="00C2211E" w:rsidP="00C2211E">
            <w:pPr>
              <w:pStyle w:val="Marginlie"/>
              <w:rPr>
                <w:lang w:val="en-GB"/>
              </w:rPr>
            </w:pPr>
            <w:r w:rsidRPr="00D970F7">
              <w:rPr>
                <w:lang w:val="en-GB"/>
              </w:rPr>
              <w:t xml:space="preserve">Inadequate demand troubled nearly two thirds of industrial businesses. </w:t>
            </w:r>
          </w:p>
          <w:p w14:paraId="184FDDDD" w14:textId="77777777" w:rsidR="00C2211E" w:rsidRPr="00D970F7" w:rsidRDefault="00C2211E" w:rsidP="00C2211E">
            <w:pPr>
              <w:pStyle w:val="Marginlie"/>
              <w:rPr>
                <w:lang w:val="en-GB"/>
              </w:rPr>
            </w:pPr>
          </w:p>
          <w:p w14:paraId="1000CD48" w14:textId="15F7EAF1" w:rsidR="00C2211E" w:rsidRPr="00D970F7" w:rsidRDefault="00C2211E" w:rsidP="00C2211E">
            <w:pPr>
              <w:pStyle w:val="Marginlie"/>
              <w:rPr>
                <w:lang w:val="en-GB"/>
              </w:rPr>
            </w:pPr>
            <w:r w:rsidRPr="00D970F7">
              <w:rPr>
                <w:lang w:val="en-GB"/>
              </w:rPr>
              <w:lastRenderedPageBreak/>
              <w:t xml:space="preserve">Markedly negative balance of confidence persisted in machinery. </w:t>
            </w:r>
          </w:p>
          <w:p w14:paraId="09D00F10" w14:textId="77777777" w:rsidR="00C2211E" w:rsidRPr="00D970F7" w:rsidRDefault="00C2211E" w:rsidP="00C2211E">
            <w:pPr>
              <w:pStyle w:val="Marginlie"/>
              <w:rPr>
                <w:lang w:val="en-GB"/>
              </w:rPr>
            </w:pPr>
          </w:p>
        </w:tc>
        <w:tc>
          <w:tcPr>
            <w:tcW w:w="191" w:type="dxa"/>
            <w:shd w:val="clear" w:color="auto" w:fill="auto"/>
            <w:tcMar>
              <w:left w:w="0" w:type="dxa"/>
            </w:tcMar>
          </w:tcPr>
          <w:p w14:paraId="0DDE8C5E"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2DBBA46D" w14:textId="77777777" w:rsidR="00C2211E" w:rsidRPr="00D970F7" w:rsidRDefault="00C2211E" w:rsidP="00C2211E">
            <w:pPr>
              <w:spacing w:after="200"/>
              <w:rPr>
                <w:color w:val="000000" w:themeColor="text1"/>
                <w:spacing w:val="-3"/>
                <w:lang w:val="en-GB"/>
              </w:rPr>
            </w:pPr>
            <w:r w:rsidRPr="00D970F7">
              <w:rPr>
                <w:color w:val="000000" w:themeColor="text1"/>
                <w:spacing w:val="-3"/>
                <w:lang w:val="en-GB"/>
              </w:rPr>
              <w:t>Short term industry outlook still remained unfavourable in the summer period. The value of industrial orders</w:t>
            </w:r>
            <w:r w:rsidRPr="00D970F7">
              <w:rPr>
                <w:rStyle w:val="Znakapoznpodarou"/>
                <w:spacing w:val="-4"/>
                <w:lang w:val="en-GB"/>
              </w:rPr>
              <w:footnoteReference w:id="21"/>
            </w:r>
            <w:r w:rsidRPr="00D970F7">
              <w:rPr>
                <w:color w:val="0D0D0D" w:themeColor="text1" w:themeTint="F2"/>
                <w:spacing w:val="-4"/>
                <w:lang w:val="en-GB"/>
              </w:rPr>
              <w:t xml:space="preserve"> was by more than one quarter lower in Q2 2020 (without substantial differences in rates of growth between domestic and foreign demand). Only small branches signalled low growth – pharmacy and also the manufacturing of other (mainly rail) transport equipment, where the development is traditionally strongly volatile. Orders in the manufacture of motor vehicles were lower by </w:t>
            </w:r>
            <w:r w:rsidRPr="00D970F7">
              <w:rPr>
                <w:color w:val="000000" w:themeColor="text1"/>
                <w:spacing w:val="-3"/>
                <w:lang w:val="en-GB"/>
              </w:rPr>
              <w:t>44%, which can be understood as a sequel of the April suspension of production. July data brought more favourable indications, when the orders grew by one tenth (in the manufacture of motor vehicles), resp. moderated the fall to 4% (in the whole industry). Still below average utilisation of production capacities (both in the whole industry and motor vehicle segment) proved, that the situation in industry was still far from stabilized after the spring shock. The large share of businesses considering the inadequate demand as a growth barrier was also unfavourable</w:t>
            </w:r>
            <w:r w:rsidRPr="00D970F7">
              <w:rPr>
                <w:rStyle w:val="Znakapoznpodarou"/>
                <w:spacing w:val="-4"/>
                <w:lang w:val="en-GB"/>
              </w:rPr>
              <w:footnoteReference w:id="22"/>
            </w:r>
            <w:r w:rsidRPr="00D970F7">
              <w:rPr>
                <w:color w:val="000000" w:themeColor="text1"/>
                <w:spacing w:val="-3"/>
                <w:lang w:val="en-GB"/>
              </w:rPr>
              <w:t xml:space="preserve"> (63% at the beginning of Q3, the most in the last seven years). Only 15% weight of the lack of workers signals considerable cooling of the labour market (the least since the end of year 2015). At the </w:t>
            </w:r>
            <w:r w:rsidRPr="00D970F7">
              <w:rPr>
                <w:color w:val="000000" w:themeColor="text1"/>
                <w:spacing w:val="-3"/>
                <w:lang w:val="en-GB"/>
              </w:rPr>
              <w:lastRenderedPageBreak/>
              <w:t xml:space="preserve">same time the expectations of businesses in the area of employment remained negative (at the level of recession – 2012). Balance of </w:t>
            </w:r>
            <w:r w:rsidRPr="00D970F7">
              <w:rPr>
                <w:rFonts w:cs="Arial"/>
                <w:color w:val="0D0D0D" w:themeColor="text1" w:themeTint="F2"/>
                <w:spacing w:val="-4"/>
                <w:lang w:val="en-GB"/>
              </w:rPr>
              <w:t xml:space="preserve">entrepreneur confidence indicator in industry improved during the summer, it ended on </w:t>
            </w:r>
            <w:r w:rsidRPr="00D970F7">
              <w:rPr>
                <w:color w:val="000000" w:themeColor="text1"/>
                <w:spacing w:val="-4"/>
                <w:lang w:val="en-GB"/>
              </w:rPr>
              <w:t>–</w:t>
            </w:r>
            <w:r w:rsidRPr="00D970F7">
              <w:rPr>
                <w:rFonts w:cs="Arial"/>
                <w:color w:val="0D0D0D" w:themeColor="text1" w:themeTint="F2"/>
                <w:spacing w:val="-4"/>
                <w:lang w:val="en-GB"/>
              </w:rPr>
              <w:t>6 points in August and thus reached the level from the beginning of this year. Among the individual branches, the largest pessimism persisted in machinery (</w:t>
            </w:r>
            <w:r w:rsidRPr="00D970F7">
              <w:rPr>
                <w:color w:val="000000" w:themeColor="text1"/>
                <w:spacing w:val="-4"/>
                <w:lang w:val="en-GB"/>
              </w:rPr>
              <w:t>–</w:t>
            </w:r>
            <w:r w:rsidRPr="00D970F7">
              <w:rPr>
                <w:rFonts w:cs="Arial"/>
                <w:color w:val="0D0D0D" w:themeColor="text1" w:themeTint="F2"/>
                <w:spacing w:val="-4"/>
                <w:lang w:val="en-GB"/>
              </w:rPr>
              <w:t>31 points), manufacture of furniture (</w:t>
            </w:r>
            <w:r w:rsidRPr="00D970F7">
              <w:rPr>
                <w:color w:val="000000" w:themeColor="text1"/>
                <w:spacing w:val="-4"/>
                <w:lang w:val="en-GB"/>
              </w:rPr>
              <w:t>–</w:t>
            </w:r>
            <w:r w:rsidRPr="00D970F7">
              <w:rPr>
                <w:rFonts w:cs="Arial"/>
                <w:color w:val="0D0D0D" w:themeColor="text1" w:themeTint="F2"/>
                <w:spacing w:val="-4"/>
                <w:lang w:val="en-GB"/>
              </w:rPr>
              <w:t>27) and manufacture of wearing apparel (</w:t>
            </w:r>
            <w:r w:rsidRPr="00D970F7">
              <w:rPr>
                <w:color w:val="000000" w:themeColor="text1"/>
                <w:spacing w:val="-4"/>
                <w:lang w:val="en-GB"/>
              </w:rPr>
              <w:t>–</w:t>
            </w:r>
            <w:r w:rsidRPr="00D970F7">
              <w:rPr>
                <w:rFonts w:cs="Arial"/>
                <w:color w:val="0D0D0D" w:themeColor="text1" w:themeTint="F2"/>
                <w:spacing w:val="-4"/>
                <w:lang w:val="en-GB"/>
              </w:rPr>
              <w:t>26). The sentiment was more favourable in the manufacture of motor vehicles and achieved the same value as at the end of last year (</w:t>
            </w:r>
            <w:r w:rsidRPr="00D970F7">
              <w:rPr>
                <w:color w:val="000000" w:themeColor="text1"/>
                <w:spacing w:val="-4"/>
                <w:lang w:val="en-GB"/>
              </w:rPr>
              <w:t>–</w:t>
            </w:r>
            <w:r w:rsidRPr="00D970F7">
              <w:rPr>
                <w:rFonts w:cs="Arial"/>
                <w:color w:val="0D0D0D" w:themeColor="text1" w:themeTint="F2"/>
                <w:spacing w:val="-4"/>
                <w:lang w:val="en-GB"/>
              </w:rPr>
              <w:t>2 points).</w:t>
            </w:r>
          </w:p>
        </w:tc>
      </w:tr>
      <w:tr w:rsidR="00C2211E" w:rsidRPr="00D970F7" w14:paraId="2E119BA1" w14:textId="77777777" w:rsidTr="00C2211E">
        <w:trPr>
          <w:trHeight w:val="145"/>
        </w:trPr>
        <w:tc>
          <w:tcPr>
            <w:tcW w:w="1723" w:type="dxa"/>
            <w:shd w:val="clear" w:color="auto" w:fill="auto"/>
            <w:tcMar>
              <w:left w:w="0" w:type="dxa"/>
            </w:tcMar>
          </w:tcPr>
          <w:p w14:paraId="156A1940" w14:textId="77777777" w:rsidR="00C2211E" w:rsidRPr="00D970F7" w:rsidRDefault="00C2211E" w:rsidP="00C2211E">
            <w:pPr>
              <w:pStyle w:val="Marginlie"/>
              <w:rPr>
                <w:lang w:val="en-GB"/>
              </w:rPr>
            </w:pPr>
            <w:r w:rsidRPr="00D970F7">
              <w:rPr>
                <w:lang w:val="en-GB"/>
              </w:rPr>
              <w:lastRenderedPageBreak/>
              <w:t>Year-on-year slump of industrial production in the CR was the eighth largest among the EU states in H1.</w:t>
            </w:r>
          </w:p>
        </w:tc>
        <w:tc>
          <w:tcPr>
            <w:tcW w:w="191" w:type="dxa"/>
            <w:shd w:val="clear" w:color="auto" w:fill="auto"/>
            <w:tcMar>
              <w:left w:w="0" w:type="dxa"/>
            </w:tcMar>
          </w:tcPr>
          <w:p w14:paraId="2257747C"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101C706C" w14:textId="77777777" w:rsidR="00C2211E" w:rsidRPr="00D970F7" w:rsidRDefault="00C2211E" w:rsidP="00C2211E">
            <w:pPr>
              <w:spacing w:after="200"/>
              <w:rPr>
                <w:spacing w:val="-4"/>
                <w:lang w:val="en-GB"/>
              </w:rPr>
            </w:pPr>
            <w:r w:rsidRPr="00D970F7">
              <w:rPr>
                <w:spacing w:val="-4"/>
                <w:lang w:val="en-GB"/>
              </w:rPr>
              <w:t>While the industrial output in the EU went down by similar pace as in the CR in H1 year-on-year (</w:t>
            </w:r>
            <w:r w:rsidRPr="00D970F7">
              <w:rPr>
                <w:color w:val="000000" w:themeColor="text1"/>
                <w:spacing w:val="-4"/>
                <w:lang w:val="en-GB"/>
              </w:rPr>
              <w:t>–</w:t>
            </w:r>
            <w:r w:rsidRPr="00D970F7">
              <w:rPr>
                <w:spacing w:val="-4"/>
                <w:lang w:val="en-GB"/>
              </w:rPr>
              <w:t>5.3%), the Union decrease was milder in Q2 (</w:t>
            </w:r>
            <w:r w:rsidRPr="00D970F7">
              <w:rPr>
                <w:color w:val="000000" w:themeColor="text1"/>
                <w:spacing w:val="-4"/>
                <w:lang w:val="en-GB"/>
              </w:rPr>
              <w:t>–</w:t>
            </w:r>
            <w:r w:rsidRPr="00D970F7">
              <w:rPr>
                <w:spacing w:val="-4"/>
                <w:lang w:val="en-GB"/>
              </w:rPr>
              <w:t xml:space="preserve">19.2%). Luxembourg and Italy registered the biggest downturn in the whole H1 (similarly </w:t>
            </w:r>
            <w:r w:rsidRPr="00D970F7">
              <w:rPr>
                <w:color w:val="000000" w:themeColor="text1"/>
                <w:spacing w:val="-4"/>
                <w:lang w:val="en-GB"/>
              </w:rPr>
              <w:t>–</w:t>
            </w:r>
            <w:r w:rsidRPr="00D970F7">
              <w:rPr>
                <w:spacing w:val="-4"/>
                <w:lang w:val="en-GB"/>
              </w:rPr>
              <w:t>18%) in the whole H1, followed by strongly industrial economies of Slovakia (–18%) and Romania (</w:t>
            </w:r>
            <w:r w:rsidRPr="00D970F7">
              <w:rPr>
                <w:color w:val="000000" w:themeColor="text1"/>
                <w:spacing w:val="-4"/>
                <w:lang w:val="en-GB"/>
              </w:rPr>
              <w:t>–</w:t>
            </w:r>
            <w:r w:rsidRPr="00D970F7">
              <w:rPr>
                <w:spacing w:val="-4"/>
                <w:lang w:val="en-GB"/>
              </w:rPr>
              <w:t>17%).  Decrease in the CR was the eight highest within the Union (</w:t>
            </w:r>
            <w:r w:rsidRPr="00D970F7">
              <w:rPr>
                <w:color w:val="000000" w:themeColor="text1"/>
                <w:spacing w:val="-4"/>
                <w:lang w:val="en-GB"/>
              </w:rPr>
              <w:t>–</w:t>
            </w:r>
            <w:r w:rsidRPr="00D970F7">
              <w:rPr>
                <w:spacing w:val="-4"/>
                <w:lang w:val="en-GB"/>
              </w:rPr>
              <w:t xml:space="preserve">14%), Hungary or Germany also recorded a similar pace. Poland, where the distinct structure of industry also had an effect (for example higher proportion of branches linked to agriculture), fared better </w:t>
            </w:r>
            <w:r w:rsidRPr="00D970F7">
              <w:rPr>
                <w:color w:val="0D0D0D" w:themeColor="text1" w:themeTint="F2"/>
                <w:spacing w:val="-4"/>
                <w:lang w:val="en-GB"/>
              </w:rPr>
              <w:t>(</w:t>
            </w:r>
            <w:r w:rsidRPr="00D970F7">
              <w:rPr>
                <w:color w:val="000000" w:themeColor="text1"/>
                <w:spacing w:val="-4"/>
                <w:lang w:val="en-GB"/>
              </w:rPr>
              <w:t>–</w:t>
            </w:r>
            <w:r w:rsidRPr="00D970F7">
              <w:rPr>
                <w:color w:val="0D0D0D" w:themeColor="text1" w:themeTint="F2"/>
                <w:spacing w:val="-4"/>
                <w:lang w:val="en-GB"/>
              </w:rPr>
              <w:t xml:space="preserve">7%). Output of industry increased only in Ireland </w:t>
            </w:r>
            <w:r w:rsidRPr="00D970F7">
              <w:rPr>
                <w:color w:val="0D0D0D" w:themeColor="text1" w:themeTint="F2"/>
                <w:spacing w:val="-2"/>
                <w:lang w:val="en-GB"/>
              </w:rPr>
              <w:t>(+3%) – due to higher share of high</w:t>
            </w:r>
            <w:r w:rsidRPr="00D970F7">
              <w:rPr>
                <w:color w:val="0D0D0D" w:themeColor="text1" w:themeTint="F2"/>
                <w:spacing w:val="-2"/>
                <w:lang w:val="en-GB"/>
              </w:rPr>
              <w:noBreakHyphen/>
              <w:t xml:space="preserve">tech branches – and also in Malta (+2%). In the CR (–20.0%) similarly to the whole EU </w:t>
            </w:r>
            <w:r w:rsidRPr="00D970F7">
              <w:rPr>
                <w:color w:val="0D0D0D" w:themeColor="text1" w:themeTint="F2"/>
                <w:spacing w:val="-4"/>
                <w:lang w:val="en-GB"/>
              </w:rPr>
              <w:t>(–18.5%), the production shrank the most in branches manufacturing products of investment nature (e.g. machines, transport equipment).</w:t>
            </w:r>
          </w:p>
        </w:tc>
      </w:tr>
      <w:tr w:rsidR="00C2211E" w:rsidRPr="00D970F7" w14:paraId="009B8984" w14:textId="77777777" w:rsidTr="00C2211E">
        <w:trPr>
          <w:trHeight w:val="170"/>
        </w:trPr>
        <w:tc>
          <w:tcPr>
            <w:tcW w:w="1723" w:type="dxa"/>
            <w:vMerge w:val="restart"/>
            <w:shd w:val="clear" w:color="auto" w:fill="auto"/>
            <w:tcMar>
              <w:left w:w="0" w:type="dxa"/>
            </w:tcMar>
          </w:tcPr>
          <w:p w14:paraId="748C3265" w14:textId="77777777" w:rsidR="00C2211E" w:rsidRPr="00D970F7" w:rsidRDefault="00C2211E" w:rsidP="00C2211E">
            <w:pPr>
              <w:pStyle w:val="Marginlie"/>
              <w:rPr>
                <w:lang w:val="en-GB"/>
              </w:rPr>
            </w:pPr>
          </w:p>
        </w:tc>
        <w:tc>
          <w:tcPr>
            <w:tcW w:w="191" w:type="dxa"/>
            <w:vMerge w:val="restart"/>
            <w:shd w:val="clear" w:color="auto" w:fill="auto"/>
            <w:tcMar>
              <w:left w:w="0" w:type="dxa"/>
            </w:tcMar>
          </w:tcPr>
          <w:p w14:paraId="417654C3"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739E9148" w14:textId="77777777" w:rsidR="00C2211E" w:rsidRPr="00973964" w:rsidRDefault="00C2211E" w:rsidP="00C2211E">
            <w:pPr>
              <w:pStyle w:val="Textpoznpodarou"/>
              <w:spacing w:line="276" w:lineRule="auto"/>
              <w:jc w:val="both"/>
              <w:rPr>
                <w:b/>
                <w:spacing w:val="-3"/>
                <w:lang w:val="en-GB"/>
              </w:rPr>
            </w:pPr>
            <w:r w:rsidRPr="00973964">
              <w:rPr>
                <w:b/>
                <w:spacing w:val="-3"/>
                <w:lang w:val="en-GB"/>
              </w:rPr>
              <w:t>Chart 5  New orders in manufacture of motor vehicles, in industry in total </w:t>
            </w:r>
          </w:p>
          <w:p w14:paraId="25386C32" w14:textId="793B739C" w:rsidR="00C2211E" w:rsidRPr="00D970F7" w:rsidRDefault="00C2211E" w:rsidP="00C2211E">
            <w:pPr>
              <w:pStyle w:val="Textpoznpodarou"/>
              <w:spacing w:line="276" w:lineRule="auto"/>
              <w:rPr>
                <w:b/>
                <w:lang w:val="en-GB"/>
              </w:rPr>
            </w:pPr>
            <w:r w:rsidRPr="00973964">
              <w:rPr>
                <w:bCs/>
                <w:spacing w:val="-3"/>
                <w:lang w:val="en-GB"/>
              </w:rPr>
              <w:t>(in current prices, year-on-year change in %)</w:t>
            </w:r>
            <w:r w:rsidRPr="00973964">
              <w:rPr>
                <w:spacing w:val="-3"/>
                <w:lang w:val="en-GB"/>
              </w:rPr>
              <w:t xml:space="preserve"> </w:t>
            </w:r>
            <w:r w:rsidRPr="00973964">
              <w:rPr>
                <w:b/>
                <w:spacing w:val="-3"/>
                <w:lang w:val="en-GB"/>
              </w:rPr>
              <w:t>and utilisation of production capacities in industry*</w:t>
            </w:r>
            <w:r w:rsidRPr="00973964">
              <w:rPr>
                <w:spacing w:val="-3"/>
                <w:lang w:val="en-GB"/>
              </w:rPr>
              <w:t xml:space="preserve"> (in %, right axis)</w:t>
            </w:r>
            <w:r w:rsidR="00973964" w:rsidRPr="00973964">
              <w:rPr>
                <w:spacing w:val="-3"/>
                <w:lang w:val="en-GB"/>
              </w:rPr>
              <w:t xml:space="preserve"> </w:t>
            </w:r>
            <w:r w:rsidR="00973964" w:rsidRPr="00973964">
              <w:rPr>
                <w:b/>
                <w:spacing w:val="-3"/>
                <w:lang w:val="en-GB"/>
              </w:rPr>
              <w:t>and selected barriers to growth</w:t>
            </w:r>
            <w:r w:rsidR="00973964" w:rsidRPr="00973964">
              <w:rPr>
                <w:spacing w:val="-3"/>
                <w:lang w:val="en-GB"/>
              </w:rPr>
              <w:t>* (in %, right axis)</w:t>
            </w:r>
          </w:p>
        </w:tc>
      </w:tr>
      <w:tr w:rsidR="00C2211E" w:rsidRPr="00D970F7" w14:paraId="32468F12" w14:textId="77777777" w:rsidTr="00C2211E">
        <w:tblPrEx>
          <w:tblCellMar>
            <w:left w:w="70" w:type="dxa"/>
            <w:right w:w="70" w:type="dxa"/>
          </w:tblCellMar>
        </w:tblPrEx>
        <w:trPr>
          <w:trHeight w:val="170"/>
        </w:trPr>
        <w:tc>
          <w:tcPr>
            <w:tcW w:w="1723" w:type="dxa"/>
            <w:vMerge/>
            <w:shd w:val="clear" w:color="auto" w:fill="auto"/>
          </w:tcPr>
          <w:p w14:paraId="69F74E23" w14:textId="77777777" w:rsidR="00C2211E" w:rsidRPr="00D970F7" w:rsidRDefault="00C2211E" w:rsidP="00C2211E">
            <w:pPr>
              <w:pStyle w:val="Marginlie"/>
              <w:rPr>
                <w:lang w:val="en-GB"/>
              </w:rPr>
            </w:pPr>
          </w:p>
        </w:tc>
        <w:tc>
          <w:tcPr>
            <w:tcW w:w="191" w:type="dxa"/>
            <w:vMerge/>
            <w:shd w:val="clear" w:color="auto" w:fill="auto"/>
          </w:tcPr>
          <w:p w14:paraId="4F7D95F7" w14:textId="77777777" w:rsidR="00C2211E" w:rsidRPr="00D970F7" w:rsidRDefault="00C2211E" w:rsidP="00C2211E">
            <w:pPr>
              <w:pStyle w:val="Textpoznpodarou"/>
              <w:jc w:val="both"/>
              <w:rPr>
                <w:spacing w:val="-4"/>
                <w:lang w:val="en-GB"/>
              </w:rPr>
            </w:pPr>
          </w:p>
        </w:tc>
        <w:tc>
          <w:tcPr>
            <w:tcW w:w="7730" w:type="dxa"/>
            <w:shd w:val="clear" w:color="auto" w:fill="auto"/>
          </w:tcPr>
          <w:p w14:paraId="1FEF16B3" w14:textId="77777777" w:rsidR="00C2211E" w:rsidRPr="00D970F7" w:rsidRDefault="00C2211E" w:rsidP="00C2211E">
            <w:pPr>
              <w:spacing w:after="0" w:line="240" w:lineRule="auto"/>
              <w:rPr>
                <w:szCs w:val="20"/>
                <w:lang w:val="en-GB"/>
              </w:rPr>
            </w:pPr>
            <w:r>
              <w:rPr>
                <w:noProof/>
              </w:rPr>
              <w:drawing>
                <wp:inline distT="0" distB="0" distL="0" distR="0" wp14:anchorId="585B432C" wp14:editId="402CE153">
                  <wp:extent cx="4726305" cy="3686861"/>
                  <wp:effectExtent l="0" t="0" r="0" b="8890"/>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C2211E" w:rsidRPr="00AF7349" w14:paraId="62F7162F" w14:textId="77777777" w:rsidTr="00C2211E">
        <w:trPr>
          <w:trHeight w:val="170"/>
        </w:trPr>
        <w:tc>
          <w:tcPr>
            <w:tcW w:w="1723" w:type="dxa"/>
            <w:vMerge/>
            <w:shd w:val="clear" w:color="auto" w:fill="auto"/>
            <w:tcMar>
              <w:left w:w="0" w:type="dxa"/>
            </w:tcMar>
          </w:tcPr>
          <w:p w14:paraId="57EB684D" w14:textId="77777777" w:rsidR="00C2211E" w:rsidRPr="00D970F7" w:rsidRDefault="00C2211E" w:rsidP="00C2211E">
            <w:pPr>
              <w:pStyle w:val="Marginlie"/>
              <w:rPr>
                <w:lang w:val="en-GB"/>
              </w:rPr>
            </w:pPr>
          </w:p>
        </w:tc>
        <w:tc>
          <w:tcPr>
            <w:tcW w:w="191" w:type="dxa"/>
            <w:vMerge/>
            <w:shd w:val="clear" w:color="auto" w:fill="auto"/>
            <w:tcMar>
              <w:left w:w="0" w:type="dxa"/>
            </w:tcMar>
          </w:tcPr>
          <w:p w14:paraId="7D0D25BD"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7C6DC6B5" w14:textId="77777777" w:rsidR="00C2211E" w:rsidRPr="00B6308A" w:rsidRDefault="00C2211E" w:rsidP="00C2211E">
            <w:pPr>
              <w:spacing w:after="0"/>
              <w:rPr>
                <w:rFonts w:cs="Arial"/>
                <w:sz w:val="14"/>
                <w:szCs w:val="14"/>
                <w:lang w:val="en-GB"/>
              </w:rPr>
            </w:pPr>
            <w:r>
              <w:rPr>
                <w:rFonts w:cs="Arial"/>
                <w:sz w:val="14"/>
                <w:szCs w:val="14"/>
              </w:rPr>
              <w:t>*</w:t>
            </w:r>
            <w:bookmarkStart w:id="11" w:name="_Hlk53044517"/>
            <w:r w:rsidRPr="00B6308A">
              <w:rPr>
                <w:rFonts w:cs="Arial"/>
                <w:sz w:val="14"/>
                <w:szCs w:val="14"/>
                <w:lang w:val="en-GB"/>
              </w:rPr>
              <w:t xml:space="preserve">Both utilisation of production capacities and growth barriers are seasonally adjusted and express the level in the first month of the given quarter. </w:t>
            </w:r>
            <w:bookmarkEnd w:id="11"/>
          </w:p>
          <w:p w14:paraId="1A6D021F" w14:textId="77777777" w:rsidR="00C2211E" w:rsidRPr="00AF7349" w:rsidRDefault="00C2211E" w:rsidP="00C2211E">
            <w:pPr>
              <w:spacing w:after="200"/>
              <w:rPr>
                <w:rFonts w:cs="Arial"/>
                <w:sz w:val="14"/>
                <w:szCs w:val="14"/>
                <w:lang w:val="en-GB"/>
              </w:rPr>
            </w:pPr>
            <w:r w:rsidRPr="00D970F7">
              <w:rPr>
                <w:rFonts w:cs="Arial"/>
                <w:sz w:val="14"/>
                <w:szCs w:val="14"/>
                <w:lang w:val="en-GB"/>
              </w:rPr>
              <w:t>Source: CZSO</w:t>
            </w:r>
          </w:p>
        </w:tc>
      </w:tr>
      <w:tr w:rsidR="00C2211E" w:rsidRPr="00D970F7" w14:paraId="739B591F" w14:textId="77777777" w:rsidTr="00C2211E">
        <w:trPr>
          <w:trHeight w:val="145"/>
        </w:trPr>
        <w:tc>
          <w:tcPr>
            <w:tcW w:w="1723" w:type="dxa"/>
            <w:shd w:val="clear" w:color="auto" w:fill="auto"/>
            <w:tcMar>
              <w:left w:w="0" w:type="dxa"/>
            </w:tcMar>
          </w:tcPr>
          <w:p w14:paraId="3C1AE862" w14:textId="77777777" w:rsidR="00C2211E" w:rsidRPr="00D970F7" w:rsidRDefault="00C2211E" w:rsidP="00C2211E">
            <w:pPr>
              <w:pStyle w:val="Marginlie"/>
              <w:rPr>
                <w:lang w:val="en-GB"/>
              </w:rPr>
            </w:pPr>
            <w:r w:rsidRPr="00D970F7">
              <w:rPr>
                <w:lang w:val="en-GB"/>
              </w:rPr>
              <w:t xml:space="preserve">Following the favourable development at the beginning of the year, construction experienced downturn in </w:t>
            </w:r>
            <w:r w:rsidRPr="00D970F7">
              <w:rPr>
                <w:lang w:val="en-GB"/>
              </w:rPr>
              <w:lastRenderedPageBreak/>
              <w:t>Q2. The downturn was evident primarily in the building construction and affected rather small and medium businesses.</w:t>
            </w:r>
          </w:p>
        </w:tc>
        <w:tc>
          <w:tcPr>
            <w:tcW w:w="191" w:type="dxa"/>
            <w:shd w:val="clear" w:color="auto" w:fill="auto"/>
            <w:tcMar>
              <w:left w:w="0" w:type="dxa"/>
            </w:tcMar>
          </w:tcPr>
          <w:p w14:paraId="6F51D33C" w14:textId="77777777" w:rsidR="00C2211E" w:rsidRPr="00D970F7" w:rsidRDefault="00C2211E" w:rsidP="00C2211E">
            <w:pPr>
              <w:pStyle w:val="Textpoznpodarou"/>
              <w:jc w:val="both"/>
              <w:rPr>
                <w:spacing w:val="-3"/>
                <w:lang w:val="en-GB"/>
              </w:rPr>
            </w:pPr>
          </w:p>
        </w:tc>
        <w:tc>
          <w:tcPr>
            <w:tcW w:w="7730" w:type="dxa"/>
            <w:shd w:val="clear" w:color="auto" w:fill="auto"/>
            <w:tcMar>
              <w:left w:w="0" w:type="dxa"/>
            </w:tcMar>
          </w:tcPr>
          <w:p w14:paraId="3121AA9F" w14:textId="0B8F68C8" w:rsidR="00C2211E" w:rsidRPr="00D970F7" w:rsidRDefault="00C2211E" w:rsidP="00C2211E">
            <w:pPr>
              <w:pStyle w:val="Textpoznpodarou"/>
              <w:spacing w:after="200" w:line="276" w:lineRule="auto"/>
              <w:jc w:val="both"/>
              <w:rPr>
                <w:color w:val="0D0D0D" w:themeColor="text1" w:themeTint="F2"/>
                <w:lang w:val="en-GB"/>
              </w:rPr>
            </w:pPr>
            <w:r w:rsidRPr="00D970F7">
              <w:rPr>
                <w:color w:val="0D0D0D" w:themeColor="text1" w:themeTint="F2"/>
                <w:lang w:val="en-GB"/>
              </w:rPr>
              <w:t>Construction entered the year 2020 resolutely. Large stock of public, but also private orders together with very favourable weather were reflected in the continuing growth of the construction output</w:t>
            </w:r>
            <w:r w:rsidRPr="00D970F7">
              <w:rPr>
                <w:rStyle w:val="Znakapoznpodarou"/>
                <w:spacing w:val="-2"/>
                <w:lang w:val="en-GB"/>
              </w:rPr>
              <w:footnoteReference w:id="23"/>
            </w:r>
            <w:r w:rsidRPr="00D970F7">
              <w:rPr>
                <w:color w:val="0D0D0D" w:themeColor="text1" w:themeTint="F2"/>
                <w:lang w:val="en-GB"/>
              </w:rPr>
              <w:t xml:space="preserve">. It increased by </w:t>
            </w:r>
            <w:r w:rsidRPr="00D970F7">
              <w:rPr>
                <w:spacing w:val="-2"/>
                <w:lang w:val="en-GB"/>
              </w:rPr>
              <w:t xml:space="preserve">1.1% quarter-on-quarter in Q1. This branch however started to gradually face difficulties in the subsequent period. The introduced </w:t>
            </w:r>
            <w:r w:rsidRPr="00D970F7">
              <w:rPr>
                <w:spacing w:val="-2"/>
                <w:lang w:val="en-GB"/>
              </w:rPr>
              <w:lastRenderedPageBreak/>
              <w:t xml:space="preserve">government restriction measures hindered the administrative process of construction preparation, various competitive tenders were interrupted, which disrupted the continuity of construction. It also further deepened the already pressing difficulty with the availability of labour force in construction. Construction output thus slumped by 7.0% quarter-on-quarter, which represented a stronger shock than a short-term fallout of public infrastructure investment at the beginning of year 2016 (due to the transition to the new EU programme period). The construction output decreased </w:t>
            </w:r>
            <w:r w:rsidR="00530BF8">
              <w:rPr>
                <w:spacing w:val="-2"/>
                <w:lang w:val="en-GB"/>
              </w:rPr>
              <w:t xml:space="preserve">year-on-year </w:t>
            </w:r>
            <w:r w:rsidRPr="00D970F7">
              <w:rPr>
                <w:spacing w:val="-2"/>
                <w:lang w:val="en-GB"/>
              </w:rPr>
              <w:t>by nearly 9% in Q2. More than three years lasting growth period thus ceased. In contrast to year 2016, when the whole branch was dragged down by the civil engineering construction, the building construction had a negative impact this year. Mostly small and medium businesses were struck by the fallout here, it can be assumed that these companies had at their disposal less sufficient reservoir of orders from the recent expansion period. In contrast the output of civil engineering construction grew also thanks to the accelerating stage of drawing on the EU funds in both this year´s quarters (+15.5 resp. +1.7%).</w:t>
            </w:r>
          </w:p>
        </w:tc>
      </w:tr>
      <w:tr w:rsidR="00C2211E" w:rsidRPr="00D970F7" w14:paraId="5471D282" w14:textId="77777777" w:rsidTr="00C2211E">
        <w:trPr>
          <w:trHeight w:val="145"/>
        </w:trPr>
        <w:tc>
          <w:tcPr>
            <w:tcW w:w="1723" w:type="dxa"/>
            <w:shd w:val="clear" w:color="auto" w:fill="auto"/>
            <w:tcMar>
              <w:left w:w="0" w:type="dxa"/>
            </w:tcMar>
          </w:tcPr>
          <w:p w14:paraId="29B6DF6B" w14:textId="77777777" w:rsidR="00C2211E" w:rsidRPr="00D970F7" w:rsidRDefault="00C2211E" w:rsidP="00C2211E">
            <w:pPr>
              <w:pStyle w:val="Marginlie"/>
              <w:rPr>
                <w:lang w:val="en-GB"/>
              </w:rPr>
            </w:pPr>
            <w:r w:rsidRPr="00D970F7">
              <w:rPr>
                <w:lang w:val="en-GB"/>
              </w:rPr>
              <w:lastRenderedPageBreak/>
              <w:t>Several years lasting growth of commenced as well as completed flats halted this year.</w:t>
            </w:r>
          </w:p>
        </w:tc>
        <w:tc>
          <w:tcPr>
            <w:tcW w:w="191" w:type="dxa"/>
            <w:shd w:val="clear" w:color="auto" w:fill="auto"/>
            <w:tcMar>
              <w:left w:w="0" w:type="dxa"/>
            </w:tcMar>
          </w:tcPr>
          <w:p w14:paraId="67A5C7BD" w14:textId="77777777" w:rsidR="00C2211E" w:rsidRPr="00D970F7" w:rsidRDefault="00C2211E" w:rsidP="00C2211E">
            <w:pPr>
              <w:pStyle w:val="Textpoznpodarou"/>
              <w:jc w:val="both"/>
              <w:rPr>
                <w:spacing w:val="-3"/>
                <w:lang w:val="en-GB"/>
              </w:rPr>
            </w:pPr>
          </w:p>
        </w:tc>
        <w:tc>
          <w:tcPr>
            <w:tcW w:w="7730" w:type="dxa"/>
            <w:shd w:val="clear" w:color="auto" w:fill="auto"/>
            <w:tcMar>
              <w:left w:w="0" w:type="dxa"/>
            </w:tcMar>
          </w:tcPr>
          <w:p w14:paraId="5DEC7C85" w14:textId="77777777" w:rsidR="00C2211E" w:rsidRPr="00D970F7" w:rsidRDefault="00C2211E" w:rsidP="00C2211E">
            <w:pPr>
              <w:pStyle w:val="Textpoznpodarou"/>
              <w:spacing w:after="200" w:line="276" w:lineRule="auto"/>
              <w:jc w:val="both"/>
              <w:rPr>
                <w:color w:val="0D0D0D" w:themeColor="text1" w:themeTint="F2"/>
                <w:spacing w:val="-3"/>
                <w:lang w:val="en-GB"/>
              </w:rPr>
            </w:pPr>
            <w:r w:rsidRPr="00D970F7">
              <w:rPr>
                <w:color w:val="0D0D0D" w:themeColor="text1" w:themeTint="F2"/>
                <w:spacing w:val="-3"/>
                <w:lang w:val="en-GB"/>
              </w:rPr>
              <w:t>Volume of residential construction mildly shrank in H1 2020. Completed flats recorded faster decrease, their number (15.3 thousand) decreased by 7% year-on-year. Less flats were built in new residential buildings (</w:t>
            </w:r>
            <w:r w:rsidRPr="00D970F7">
              <w:rPr>
                <w:color w:val="000000" w:themeColor="text1"/>
                <w:spacing w:val="-3"/>
                <w:lang w:val="en-GB"/>
              </w:rPr>
              <w:t>–</w:t>
            </w:r>
            <w:r w:rsidRPr="00D970F7">
              <w:rPr>
                <w:color w:val="0D0D0D" w:themeColor="text1" w:themeTint="F2"/>
                <w:spacing w:val="-3"/>
                <w:lang w:val="en-GB"/>
              </w:rPr>
              <w:t>1.1 thousand), number of flats in non-residential buildings or family houses went on the contrary slightly up. Number of all commenced flats lowered only negligibly (by 2.4%), again mostly due to lower construction of residential buildings. By contrast the number of flats in family houses has been expanding for already the sixth year, when it exceeded 10 thousand and its size was already approaching the highest half yearly totals from the expansion period 2006 to 2008.</w:t>
            </w:r>
          </w:p>
        </w:tc>
      </w:tr>
      <w:tr w:rsidR="00C2211E" w:rsidRPr="00D970F7" w14:paraId="44F0FE18" w14:textId="77777777" w:rsidTr="00C2211E">
        <w:trPr>
          <w:trHeight w:val="145"/>
        </w:trPr>
        <w:tc>
          <w:tcPr>
            <w:tcW w:w="1723" w:type="dxa"/>
            <w:shd w:val="clear" w:color="auto" w:fill="auto"/>
            <w:tcMar>
              <w:left w:w="0" w:type="dxa"/>
            </w:tcMar>
          </w:tcPr>
          <w:p w14:paraId="2DA5970D" w14:textId="77777777" w:rsidR="00C2211E" w:rsidRPr="00D970F7" w:rsidRDefault="00C2211E" w:rsidP="00C2211E">
            <w:pPr>
              <w:pStyle w:val="Marginlie"/>
              <w:rPr>
                <w:rFonts w:cstheme="minorHAnsi"/>
                <w:spacing w:val="-4"/>
                <w:lang w:val="en-GB"/>
              </w:rPr>
            </w:pPr>
            <w:r w:rsidRPr="00D970F7">
              <w:rPr>
                <w:rFonts w:cstheme="minorHAnsi"/>
                <w:spacing w:val="-4"/>
                <w:lang w:val="en-GB"/>
              </w:rPr>
              <w:t xml:space="preserve">Approximate value per one building permit stagnated, new orders slightly increased in Q2. </w:t>
            </w:r>
          </w:p>
          <w:p w14:paraId="44A08EAF" w14:textId="77777777" w:rsidR="00C2211E" w:rsidRPr="00D970F7" w:rsidRDefault="00C2211E" w:rsidP="00C2211E">
            <w:pPr>
              <w:pStyle w:val="Marginlie"/>
              <w:rPr>
                <w:lang w:val="en-GB"/>
              </w:rPr>
            </w:pPr>
          </w:p>
        </w:tc>
        <w:tc>
          <w:tcPr>
            <w:tcW w:w="191" w:type="dxa"/>
            <w:shd w:val="clear" w:color="auto" w:fill="auto"/>
            <w:tcMar>
              <w:left w:w="0" w:type="dxa"/>
            </w:tcMar>
          </w:tcPr>
          <w:p w14:paraId="5E8EBBEB" w14:textId="77777777" w:rsidR="00C2211E" w:rsidRPr="00D970F7" w:rsidRDefault="00C2211E" w:rsidP="00C2211E">
            <w:pPr>
              <w:pStyle w:val="Textpoznpodarou"/>
              <w:jc w:val="both"/>
              <w:rPr>
                <w:spacing w:val="-3"/>
                <w:lang w:val="en-GB"/>
              </w:rPr>
            </w:pPr>
          </w:p>
        </w:tc>
        <w:tc>
          <w:tcPr>
            <w:tcW w:w="7730" w:type="dxa"/>
            <w:shd w:val="clear" w:color="auto" w:fill="auto"/>
            <w:tcMar>
              <w:left w:w="0" w:type="dxa"/>
            </w:tcMar>
          </w:tcPr>
          <w:p w14:paraId="24CC193D" w14:textId="77777777" w:rsidR="00C2211E" w:rsidRPr="00D970F7" w:rsidRDefault="00C2211E" w:rsidP="00C2211E">
            <w:pPr>
              <w:pStyle w:val="Textpoznpodarou"/>
              <w:spacing w:after="200" w:line="276" w:lineRule="auto"/>
              <w:jc w:val="both"/>
              <w:rPr>
                <w:color w:val="0D0D0D" w:themeColor="text1" w:themeTint="F2"/>
                <w:spacing w:val="-4"/>
                <w:lang w:val="en-GB"/>
              </w:rPr>
            </w:pPr>
            <w:r w:rsidRPr="00D970F7">
              <w:rPr>
                <w:rFonts w:cstheme="minorHAnsi"/>
                <w:spacing w:val="-4"/>
                <w:lang w:val="en-GB"/>
              </w:rPr>
              <w:t>The approximate value per one building permit remained nearly the same (</w:t>
            </w:r>
            <w:r w:rsidRPr="00D970F7">
              <w:rPr>
                <w:color w:val="000000" w:themeColor="text1"/>
                <w:spacing w:val="-4"/>
                <w:lang w:val="en-GB"/>
              </w:rPr>
              <w:t>–</w:t>
            </w:r>
            <w:r w:rsidRPr="00D970F7">
              <w:rPr>
                <w:rFonts w:cstheme="minorHAnsi"/>
                <w:spacing w:val="-4"/>
                <w:lang w:val="en-GB"/>
              </w:rPr>
              <w:t>0.6%) for the first seven months of year 2020 in comparison to the last year´s value. Low growth of both residential (+4.6%) and non-residential buildings (+3.9%) was compensated by deeper decrease for civil engineering structures (</w:t>
            </w:r>
            <w:r w:rsidRPr="00D970F7">
              <w:rPr>
                <w:color w:val="000000" w:themeColor="text1"/>
                <w:spacing w:val="-4"/>
                <w:lang w:val="en-GB"/>
              </w:rPr>
              <w:t>–</w:t>
            </w:r>
            <w:r w:rsidRPr="00D970F7">
              <w:rPr>
                <w:rFonts w:cstheme="minorHAnsi"/>
                <w:spacing w:val="-4"/>
                <w:lang w:val="en-GB"/>
              </w:rPr>
              <w:t>9.1%, partially due to high last year´s basis). The approximate average value per one building permit amounted to 4.6 CZK mil in the same period and stagnated year-on-year. Favourable fact was, that the value of newly concluded domestic orders (in firms with 50 and more employees) slightly increased in Q2 (by 6.9% year-on-year), thanks to both building and civil engineering construction. The total stock of work in the form of not yet realised construction orders was also strengthening. It was by one tenth higher year-on-year at the end of Q</w:t>
            </w:r>
            <w:r w:rsidRPr="00D970F7">
              <w:rPr>
                <w:rFonts w:cstheme="minorHAnsi"/>
                <w:lang w:val="en-GB"/>
              </w:rPr>
              <w:t>2, due to both public and private orders</w:t>
            </w:r>
            <w:r w:rsidRPr="00D970F7">
              <w:rPr>
                <w:rStyle w:val="Znakapoznpodarou"/>
                <w:spacing w:val="-4"/>
                <w:lang w:val="en-GB"/>
              </w:rPr>
              <w:footnoteReference w:id="24"/>
            </w:r>
            <w:r w:rsidRPr="00D970F7">
              <w:rPr>
                <w:rFonts w:cstheme="minorHAnsi"/>
                <w:lang w:val="en-GB"/>
              </w:rPr>
              <w:t xml:space="preserve">. The peripheral segment of foreign orders also strengthened after more than five years. More than three fifths of stock of work still belonged to domestic public orders. </w:t>
            </w:r>
          </w:p>
        </w:tc>
      </w:tr>
      <w:tr w:rsidR="00C2211E" w:rsidRPr="00712577" w14:paraId="0E84D991" w14:textId="77777777" w:rsidTr="00C2211E">
        <w:trPr>
          <w:trHeight w:val="145"/>
        </w:trPr>
        <w:tc>
          <w:tcPr>
            <w:tcW w:w="1723" w:type="dxa"/>
            <w:shd w:val="clear" w:color="auto" w:fill="auto"/>
            <w:tcMar>
              <w:left w:w="0" w:type="dxa"/>
            </w:tcMar>
          </w:tcPr>
          <w:p w14:paraId="6C50BCC0" w14:textId="77777777" w:rsidR="00C2211E" w:rsidRPr="00D970F7" w:rsidRDefault="00C2211E" w:rsidP="00C2211E">
            <w:pPr>
              <w:pStyle w:val="Marginlie"/>
              <w:rPr>
                <w:rFonts w:cstheme="minorHAnsi"/>
                <w:spacing w:val="-4"/>
                <w:lang w:val="en-GB"/>
              </w:rPr>
            </w:pPr>
            <w:r w:rsidRPr="00D970F7">
              <w:rPr>
                <w:rFonts w:cstheme="minorHAnsi"/>
                <w:spacing w:val="-4"/>
                <w:lang w:val="en-GB"/>
              </w:rPr>
              <w:t>Entrepreneur confidence descended to 2.5 years minimum in construction. The main growth barrier of the branch slowly shifts from lack of human resources to lack of work contracts.</w:t>
            </w:r>
          </w:p>
        </w:tc>
        <w:tc>
          <w:tcPr>
            <w:tcW w:w="191" w:type="dxa"/>
            <w:shd w:val="clear" w:color="auto" w:fill="auto"/>
            <w:tcMar>
              <w:left w:w="0" w:type="dxa"/>
            </w:tcMar>
          </w:tcPr>
          <w:p w14:paraId="70661060" w14:textId="77777777" w:rsidR="00C2211E" w:rsidRPr="00D970F7" w:rsidRDefault="00C2211E" w:rsidP="00C2211E">
            <w:pPr>
              <w:pStyle w:val="Textpoznpodarou"/>
              <w:jc w:val="both"/>
              <w:rPr>
                <w:spacing w:val="-3"/>
                <w:lang w:val="en-GB"/>
              </w:rPr>
            </w:pPr>
          </w:p>
        </w:tc>
        <w:tc>
          <w:tcPr>
            <w:tcW w:w="7730" w:type="dxa"/>
            <w:shd w:val="clear" w:color="auto" w:fill="auto"/>
            <w:tcMar>
              <w:left w:w="0" w:type="dxa"/>
            </w:tcMar>
          </w:tcPr>
          <w:p w14:paraId="168F322E" w14:textId="77777777" w:rsidR="00C2211E" w:rsidRPr="00712577" w:rsidRDefault="00C2211E" w:rsidP="00C2211E">
            <w:pPr>
              <w:pStyle w:val="Textpoznpodarou"/>
              <w:spacing w:after="200" w:line="276" w:lineRule="auto"/>
              <w:jc w:val="both"/>
              <w:rPr>
                <w:rFonts w:cstheme="minorHAnsi"/>
                <w:lang w:val="en-GB"/>
              </w:rPr>
            </w:pPr>
            <w:r w:rsidRPr="00712577">
              <w:rPr>
                <w:rFonts w:cstheme="minorHAnsi"/>
                <w:lang w:val="en-GB"/>
              </w:rPr>
              <w:t xml:space="preserve">Balance of entrepreneur confidence indicator in construction worsened since the beginning of this year </w:t>
            </w:r>
            <w:r w:rsidRPr="00712577">
              <w:rPr>
                <w:rFonts w:cs="Arial"/>
                <w:color w:val="0D0D0D" w:themeColor="text1" w:themeTint="F2"/>
                <w:lang w:val="en-GB"/>
              </w:rPr>
              <w:t>and dropped to 2.5 years minimum (</w:t>
            </w:r>
            <w:r w:rsidRPr="00712577">
              <w:rPr>
                <w:color w:val="000000" w:themeColor="text1"/>
                <w:lang w:val="en-GB"/>
              </w:rPr>
              <w:t>–</w:t>
            </w:r>
            <w:r w:rsidRPr="00712577">
              <w:rPr>
                <w:rFonts w:cs="Arial"/>
                <w:color w:val="0D0D0D" w:themeColor="text1" w:themeTint="F2"/>
                <w:lang w:val="en-GB"/>
              </w:rPr>
              <w:t>16 points) at the beginning of summer. 38% of construction firms considered the inadequate demand a significant barrier to growth, the same proportion then also the lack of employees in August 2020. The two-year period, when construction was primarily limited by labour force likely ended. The trend of growing inadequate demand is apparent since the beginning of this year.</w:t>
            </w:r>
          </w:p>
        </w:tc>
      </w:tr>
      <w:tr w:rsidR="00C2211E" w:rsidRPr="00D970F7" w14:paraId="56DEA303" w14:textId="77777777" w:rsidTr="00C2211E">
        <w:trPr>
          <w:trHeight w:val="145"/>
        </w:trPr>
        <w:tc>
          <w:tcPr>
            <w:tcW w:w="1723" w:type="dxa"/>
            <w:shd w:val="clear" w:color="auto" w:fill="auto"/>
            <w:tcMar>
              <w:left w:w="0" w:type="dxa"/>
            </w:tcMar>
          </w:tcPr>
          <w:p w14:paraId="199B54C3" w14:textId="77777777" w:rsidR="00C2211E" w:rsidRPr="00D970F7" w:rsidRDefault="00C2211E" w:rsidP="00C2211E">
            <w:pPr>
              <w:pStyle w:val="Marginlie"/>
              <w:rPr>
                <w:rFonts w:cstheme="minorHAnsi"/>
                <w:spacing w:val="-4"/>
                <w:lang w:val="en-GB"/>
              </w:rPr>
            </w:pPr>
            <w:r w:rsidRPr="00D970F7">
              <w:rPr>
                <w:lang w:val="en-GB"/>
              </w:rPr>
              <w:t xml:space="preserve">Construction output fell in the CR less than in the EU, especially thanks to the improved output of civil engineering construction. </w:t>
            </w:r>
          </w:p>
        </w:tc>
        <w:tc>
          <w:tcPr>
            <w:tcW w:w="191" w:type="dxa"/>
            <w:shd w:val="clear" w:color="auto" w:fill="auto"/>
            <w:tcMar>
              <w:left w:w="0" w:type="dxa"/>
            </w:tcMar>
          </w:tcPr>
          <w:p w14:paraId="770F8272" w14:textId="77777777" w:rsidR="00C2211E" w:rsidRPr="00D970F7" w:rsidRDefault="00C2211E" w:rsidP="00C2211E">
            <w:pPr>
              <w:pStyle w:val="Textpoznpodarou"/>
              <w:jc w:val="both"/>
              <w:rPr>
                <w:spacing w:val="-3"/>
                <w:lang w:val="en-GB"/>
              </w:rPr>
            </w:pPr>
          </w:p>
        </w:tc>
        <w:tc>
          <w:tcPr>
            <w:tcW w:w="7730" w:type="dxa"/>
            <w:shd w:val="clear" w:color="auto" w:fill="auto"/>
            <w:tcMar>
              <w:left w:w="0" w:type="dxa"/>
            </w:tcMar>
          </w:tcPr>
          <w:p w14:paraId="290C45CD" w14:textId="77777777" w:rsidR="00C2211E" w:rsidRPr="00D970F7" w:rsidRDefault="00C2211E" w:rsidP="00C2211E">
            <w:pPr>
              <w:pStyle w:val="Textpoznpodarou"/>
              <w:spacing w:after="200" w:line="276" w:lineRule="auto"/>
              <w:jc w:val="both"/>
              <w:rPr>
                <w:rFonts w:cstheme="minorHAnsi"/>
                <w:lang w:val="en-GB"/>
              </w:rPr>
            </w:pPr>
            <w:r w:rsidRPr="005A58F7">
              <w:rPr>
                <w:color w:val="0D0D0D" w:themeColor="text1" w:themeTint="F2"/>
                <w:spacing w:val="2"/>
                <w:lang w:val="en-GB"/>
              </w:rPr>
              <w:t xml:space="preserve">Construction output decreased by 7.8% in the EU in H1 </w:t>
            </w:r>
            <w:r w:rsidRPr="005A58F7">
              <w:rPr>
                <w:color w:val="000000" w:themeColor="text1"/>
                <w:spacing w:val="2"/>
                <w:lang w:val="en-GB"/>
              </w:rPr>
              <w:t>–</w:t>
            </w:r>
            <w:r w:rsidRPr="005A58F7">
              <w:rPr>
                <w:color w:val="0D0D0D" w:themeColor="text1" w:themeTint="F2"/>
                <w:spacing w:val="2"/>
                <w:lang w:val="en-GB"/>
              </w:rPr>
              <w:t xml:space="preserve"> that is by nearly doubled pace compared to the CR. The largest fall from the monitored countries</w:t>
            </w:r>
            <w:r w:rsidRPr="005A58F7">
              <w:rPr>
                <w:color w:val="0D0D0D" w:themeColor="text1" w:themeTint="F2"/>
                <w:spacing w:val="2"/>
                <w:vertAlign w:val="superscript"/>
                <w:lang w:val="en-GB"/>
              </w:rPr>
              <w:footnoteReference w:id="25"/>
            </w:r>
            <w:r w:rsidRPr="005A58F7">
              <w:rPr>
                <w:color w:val="0D0D0D" w:themeColor="text1" w:themeTint="F2"/>
                <w:spacing w:val="2"/>
                <w:lang w:val="en-GB"/>
              </w:rPr>
              <w:t xml:space="preserve"> affected France (</w:t>
            </w:r>
            <w:r w:rsidRPr="005A58F7">
              <w:rPr>
                <w:color w:val="000000" w:themeColor="text1"/>
                <w:spacing w:val="2"/>
                <w:lang w:val="en-GB"/>
              </w:rPr>
              <w:t>–</w:t>
            </w:r>
            <w:r w:rsidRPr="005A58F7">
              <w:rPr>
                <w:color w:val="0D0D0D" w:themeColor="text1" w:themeTint="F2"/>
                <w:spacing w:val="2"/>
                <w:lang w:val="en-GB"/>
              </w:rPr>
              <w:t>23.5%) and Spain (</w:t>
            </w:r>
            <w:r w:rsidRPr="005A58F7">
              <w:rPr>
                <w:color w:val="000000" w:themeColor="text1"/>
                <w:spacing w:val="2"/>
                <w:lang w:val="en-GB"/>
              </w:rPr>
              <w:t>–16.0%).</w:t>
            </w:r>
            <w:r w:rsidRPr="00712577">
              <w:rPr>
                <w:color w:val="000000" w:themeColor="text1"/>
                <w:lang w:val="en-GB"/>
              </w:rPr>
              <w:t xml:space="preserve"> This contrasted with nearly 20% growth in Romania. Increase occurred in further eight countries, among others in Germany (+3.6%) and in Poland (+0.1%). All newer member states from central and eastern </w:t>
            </w:r>
            <w:r w:rsidRPr="00712577">
              <w:rPr>
                <w:color w:val="000000" w:themeColor="text1"/>
                <w:lang w:val="en-GB"/>
              </w:rPr>
              <w:lastRenderedPageBreak/>
              <w:t>Europe attained better result than the EU, in many places also contributed by the swift growth of the civil engineering construction</w:t>
            </w:r>
            <w:r w:rsidRPr="00D970F7">
              <w:rPr>
                <w:color w:val="000000" w:themeColor="text1"/>
                <w:spacing w:val="-4"/>
                <w:lang w:val="en-GB"/>
              </w:rPr>
              <w:t xml:space="preserve">. </w:t>
            </w:r>
          </w:p>
        </w:tc>
      </w:tr>
      <w:tr w:rsidR="00C2211E" w:rsidRPr="00D970F7" w14:paraId="1749758A" w14:textId="77777777" w:rsidTr="00C2211E">
        <w:trPr>
          <w:trHeight w:val="170"/>
        </w:trPr>
        <w:tc>
          <w:tcPr>
            <w:tcW w:w="1723" w:type="dxa"/>
            <w:vMerge w:val="restart"/>
            <w:shd w:val="clear" w:color="auto" w:fill="auto"/>
            <w:tcMar>
              <w:left w:w="0" w:type="dxa"/>
            </w:tcMar>
          </w:tcPr>
          <w:p w14:paraId="36208641" w14:textId="77777777" w:rsidR="00C2211E" w:rsidRPr="00D970F7" w:rsidRDefault="00C2211E" w:rsidP="00C2211E">
            <w:pPr>
              <w:pStyle w:val="Marginlie"/>
              <w:rPr>
                <w:lang w:val="en-GB"/>
              </w:rPr>
            </w:pPr>
          </w:p>
        </w:tc>
        <w:tc>
          <w:tcPr>
            <w:tcW w:w="191" w:type="dxa"/>
            <w:vMerge w:val="restart"/>
            <w:shd w:val="clear" w:color="auto" w:fill="auto"/>
            <w:tcMar>
              <w:left w:w="0" w:type="dxa"/>
            </w:tcMar>
          </w:tcPr>
          <w:p w14:paraId="18CB2F20"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45DBAB5A" w14:textId="77777777" w:rsidR="00C2211E" w:rsidRPr="00D970F7" w:rsidRDefault="00C2211E" w:rsidP="00C2211E">
            <w:pPr>
              <w:spacing w:after="0"/>
              <w:jc w:val="left"/>
              <w:rPr>
                <w:b/>
                <w:lang w:val="en-GB"/>
              </w:rPr>
            </w:pPr>
            <w:r w:rsidRPr="00D970F7">
              <w:rPr>
                <w:b/>
                <w:lang w:val="en-GB"/>
              </w:rPr>
              <w:t xml:space="preserve">Chart 6  Contributions of branches to year-on-year change of construction output </w:t>
            </w:r>
            <w:r w:rsidRPr="00D970F7">
              <w:rPr>
                <w:lang w:val="en-GB"/>
              </w:rPr>
              <w:t>(in p.p.)</w:t>
            </w:r>
            <w:r w:rsidRPr="00D970F7">
              <w:rPr>
                <w:b/>
                <w:bCs/>
                <w:lang w:val="en-GB"/>
              </w:rPr>
              <w:t>, new construction orders</w:t>
            </w:r>
            <w:r w:rsidRPr="00D970F7">
              <w:rPr>
                <w:b/>
                <w:lang w:val="en-GB"/>
              </w:rPr>
              <w:t xml:space="preserve"> </w:t>
            </w:r>
            <w:r w:rsidRPr="00D970F7">
              <w:rPr>
                <w:bCs/>
                <w:lang w:val="en-GB"/>
              </w:rPr>
              <w:t>(year-on-year in %</w:t>
            </w:r>
            <w:r w:rsidRPr="00D970F7">
              <w:rPr>
                <w:lang w:val="en-GB"/>
              </w:rPr>
              <w:t>, right axis</w:t>
            </w:r>
            <w:r w:rsidRPr="00D970F7">
              <w:rPr>
                <w:bCs/>
                <w:lang w:val="en-GB"/>
              </w:rPr>
              <w:t>)</w:t>
            </w:r>
            <w:r w:rsidRPr="00D970F7">
              <w:rPr>
                <w:b/>
                <w:lang w:val="en-GB"/>
              </w:rPr>
              <w:t>, balance of confidence indicator in construction*</w:t>
            </w:r>
            <w:r w:rsidRPr="00D970F7">
              <w:rPr>
                <w:lang w:val="en-GB"/>
              </w:rPr>
              <w:t xml:space="preserve"> (in p.p., right axis) </w:t>
            </w:r>
            <w:r w:rsidRPr="00D970F7">
              <w:rPr>
                <w:b/>
                <w:lang w:val="en-GB"/>
              </w:rPr>
              <w:t>and selected barriers to growth</w:t>
            </w:r>
            <w:r w:rsidRPr="00D970F7">
              <w:rPr>
                <w:lang w:val="en-GB"/>
              </w:rPr>
              <w:t>* (in %, right axis)</w:t>
            </w:r>
          </w:p>
        </w:tc>
      </w:tr>
      <w:tr w:rsidR="00C2211E" w:rsidRPr="00D970F7" w14:paraId="7F3A426A" w14:textId="77777777" w:rsidTr="00C2211E">
        <w:tblPrEx>
          <w:tblCellMar>
            <w:left w:w="70" w:type="dxa"/>
            <w:right w:w="70" w:type="dxa"/>
          </w:tblCellMar>
        </w:tblPrEx>
        <w:trPr>
          <w:trHeight w:val="170"/>
        </w:trPr>
        <w:tc>
          <w:tcPr>
            <w:tcW w:w="1723" w:type="dxa"/>
            <w:vMerge/>
            <w:shd w:val="clear" w:color="auto" w:fill="auto"/>
          </w:tcPr>
          <w:p w14:paraId="782EDA70" w14:textId="77777777" w:rsidR="00C2211E" w:rsidRPr="00D970F7" w:rsidRDefault="00C2211E" w:rsidP="00C2211E">
            <w:pPr>
              <w:pStyle w:val="Marginlie"/>
              <w:rPr>
                <w:lang w:val="en-GB"/>
              </w:rPr>
            </w:pPr>
          </w:p>
        </w:tc>
        <w:tc>
          <w:tcPr>
            <w:tcW w:w="191" w:type="dxa"/>
            <w:vMerge/>
            <w:shd w:val="clear" w:color="auto" w:fill="auto"/>
          </w:tcPr>
          <w:p w14:paraId="387EFA71" w14:textId="77777777" w:rsidR="00C2211E" w:rsidRPr="00D970F7" w:rsidRDefault="00C2211E" w:rsidP="00C2211E">
            <w:pPr>
              <w:pStyle w:val="Textpoznpodarou"/>
              <w:jc w:val="both"/>
              <w:rPr>
                <w:spacing w:val="-4"/>
                <w:lang w:val="en-GB"/>
              </w:rPr>
            </w:pPr>
          </w:p>
        </w:tc>
        <w:tc>
          <w:tcPr>
            <w:tcW w:w="7730" w:type="dxa"/>
            <w:shd w:val="clear" w:color="auto" w:fill="auto"/>
          </w:tcPr>
          <w:p w14:paraId="7A5A8F59" w14:textId="77777777" w:rsidR="00C2211E" w:rsidRPr="00D970F7" w:rsidRDefault="00C2211E" w:rsidP="00C2211E">
            <w:pPr>
              <w:spacing w:after="0"/>
              <w:rPr>
                <w:lang w:val="en-GB"/>
              </w:rPr>
            </w:pPr>
            <w:r>
              <w:rPr>
                <w:noProof/>
              </w:rPr>
              <w:drawing>
                <wp:inline distT="0" distB="0" distL="0" distR="0" wp14:anchorId="14CD0E0A" wp14:editId="19A043CB">
                  <wp:extent cx="4740519" cy="3925075"/>
                  <wp:effectExtent l="0" t="0" r="3175" b="0"/>
                  <wp:docPr id="29" name="Graf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C2211E" w:rsidRPr="00D970F7" w14:paraId="31AA5F86" w14:textId="77777777" w:rsidTr="00C2211E">
        <w:trPr>
          <w:trHeight w:val="170"/>
        </w:trPr>
        <w:tc>
          <w:tcPr>
            <w:tcW w:w="1723" w:type="dxa"/>
            <w:vMerge/>
            <w:shd w:val="clear" w:color="auto" w:fill="auto"/>
            <w:tcMar>
              <w:left w:w="0" w:type="dxa"/>
            </w:tcMar>
          </w:tcPr>
          <w:p w14:paraId="7912CAB9" w14:textId="77777777" w:rsidR="00C2211E" w:rsidRPr="00D970F7" w:rsidRDefault="00C2211E" w:rsidP="00C2211E">
            <w:pPr>
              <w:pStyle w:val="Marginlie"/>
              <w:rPr>
                <w:lang w:val="en-GB"/>
              </w:rPr>
            </w:pPr>
          </w:p>
        </w:tc>
        <w:tc>
          <w:tcPr>
            <w:tcW w:w="191" w:type="dxa"/>
            <w:vMerge/>
            <w:shd w:val="clear" w:color="auto" w:fill="auto"/>
            <w:tcMar>
              <w:left w:w="0" w:type="dxa"/>
            </w:tcMar>
          </w:tcPr>
          <w:p w14:paraId="60F822E7"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2A5FCFF6" w14:textId="77777777" w:rsidR="00C2211E" w:rsidRPr="00D970F7" w:rsidRDefault="00C2211E" w:rsidP="00C2211E">
            <w:pPr>
              <w:spacing w:after="0"/>
              <w:rPr>
                <w:rFonts w:cs="Arial"/>
                <w:sz w:val="14"/>
                <w:szCs w:val="14"/>
                <w:lang w:val="en-GB"/>
              </w:rPr>
            </w:pPr>
            <w:r w:rsidRPr="00D970F7">
              <w:rPr>
                <w:rFonts w:cs="Arial"/>
                <w:sz w:val="14"/>
                <w:szCs w:val="14"/>
                <w:lang w:val="en-GB"/>
              </w:rPr>
              <w:t xml:space="preserve">Data Related to construction output are adjusted for calendar effects. </w:t>
            </w:r>
          </w:p>
          <w:p w14:paraId="38B9D441" w14:textId="77777777" w:rsidR="00C2211E" w:rsidRPr="00101F3A" w:rsidRDefault="00C2211E" w:rsidP="00C2211E">
            <w:pPr>
              <w:spacing w:after="0"/>
              <w:rPr>
                <w:rFonts w:cs="Arial"/>
                <w:spacing w:val="-2"/>
                <w:sz w:val="14"/>
                <w:szCs w:val="14"/>
                <w:lang w:val="en-GB"/>
              </w:rPr>
            </w:pPr>
            <w:r w:rsidRPr="00101F3A">
              <w:rPr>
                <w:rFonts w:cs="Arial"/>
                <w:spacing w:val="-2"/>
                <w:sz w:val="14"/>
                <w:szCs w:val="14"/>
                <w:lang w:val="en-GB"/>
              </w:rPr>
              <w:t xml:space="preserve">*Balance of confidence and growth barriers are seasonally adjusted and express the situation in the first month of the given quarter. </w:t>
            </w:r>
          </w:p>
          <w:p w14:paraId="4C108AD1" w14:textId="77777777" w:rsidR="00C2211E" w:rsidRPr="00D970F7" w:rsidRDefault="00C2211E" w:rsidP="00C2211E">
            <w:pPr>
              <w:spacing w:after="200"/>
              <w:rPr>
                <w:rFonts w:cs="Arial"/>
                <w:sz w:val="14"/>
                <w:szCs w:val="14"/>
                <w:lang w:val="en-GB"/>
              </w:rPr>
            </w:pPr>
            <w:r w:rsidRPr="00D970F7">
              <w:rPr>
                <w:rFonts w:cs="Arial"/>
                <w:sz w:val="14"/>
                <w:szCs w:val="14"/>
                <w:lang w:val="en-GB"/>
              </w:rPr>
              <w:t>Source: CZSO</w:t>
            </w:r>
          </w:p>
        </w:tc>
      </w:tr>
      <w:tr w:rsidR="00C2211E" w:rsidRPr="00D970F7" w14:paraId="4F14C9E8" w14:textId="77777777" w:rsidTr="00C2211E">
        <w:trPr>
          <w:trHeight w:val="145"/>
        </w:trPr>
        <w:tc>
          <w:tcPr>
            <w:tcW w:w="1723" w:type="dxa"/>
            <w:shd w:val="clear" w:color="auto" w:fill="auto"/>
            <w:tcMar>
              <w:left w:w="0" w:type="dxa"/>
            </w:tcMar>
          </w:tcPr>
          <w:p w14:paraId="701F6B39" w14:textId="77777777" w:rsidR="00C2211E" w:rsidRPr="00D970F7" w:rsidRDefault="00C2211E" w:rsidP="00C2211E">
            <w:pPr>
              <w:pStyle w:val="Marginlie"/>
              <w:rPr>
                <w:lang w:val="en-GB"/>
              </w:rPr>
            </w:pPr>
            <w:r w:rsidRPr="00D970F7">
              <w:rPr>
                <w:lang w:val="en-GB"/>
              </w:rPr>
              <w:t xml:space="preserve">Sales in services dived approximately by one tenth month-on-month in March as well as April. </w:t>
            </w:r>
          </w:p>
        </w:tc>
        <w:tc>
          <w:tcPr>
            <w:tcW w:w="191" w:type="dxa"/>
            <w:shd w:val="clear" w:color="auto" w:fill="auto"/>
            <w:tcMar>
              <w:left w:w="0" w:type="dxa"/>
            </w:tcMar>
          </w:tcPr>
          <w:p w14:paraId="006157DB"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317420A3" w14:textId="77777777" w:rsidR="00C2211E" w:rsidRPr="00D970F7" w:rsidRDefault="00C2211E" w:rsidP="00C2211E">
            <w:pPr>
              <w:spacing w:after="200"/>
              <w:rPr>
                <w:spacing w:val="-2"/>
                <w:lang w:val="en-GB"/>
              </w:rPr>
            </w:pPr>
            <w:r w:rsidRPr="00D970F7">
              <w:rPr>
                <w:spacing w:val="-2"/>
                <w:lang w:val="en-GB"/>
              </w:rPr>
              <w:t>Sales in selected services</w:t>
            </w:r>
            <w:r w:rsidRPr="00D970F7">
              <w:rPr>
                <w:color w:val="0D0D0D" w:themeColor="text1" w:themeTint="F2"/>
                <w:spacing w:val="-2"/>
                <w:vertAlign w:val="superscript"/>
                <w:lang w:val="en-GB"/>
              </w:rPr>
              <w:footnoteReference w:id="26"/>
            </w:r>
            <w:r w:rsidRPr="00D970F7">
              <w:rPr>
                <w:color w:val="0D0D0D" w:themeColor="text1" w:themeTint="F2"/>
                <w:spacing w:val="-2"/>
                <w:lang w:val="en-GB"/>
              </w:rPr>
              <w:t xml:space="preserve"> were considerably hit by the restrictive measures of the government. They fell by 8.9% month-on-month already in March 2020. They nearly halved in the sub</w:t>
            </w:r>
            <w:r>
              <w:rPr>
                <w:color w:val="0D0D0D" w:themeColor="text1" w:themeTint="F2"/>
                <w:spacing w:val="-2"/>
                <w:lang w:val="en-GB"/>
              </w:rPr>
              <w:t>-</w:t>
            </w:r>
            <w:r w:rsidRPr="00D970F7">
              <w:rPr>
                <w:color w:val="0D0D0D" w:themeColor="text1" w:themeTint="F2"/>
                <w:spacing w:val="-2"/>
                <w:lang w:val="en-GB"/>
              </w:rPr>
              <w:t>branches associated with tourism, since these businesses were practically able to operate only in the first half of the month. The decrease of total sales mildly deepened in April (</w:t>
            </w:r>
            <w:r w:rsidRPr="00D970F7">
              <w:rPr>
                <w:color w:val="000000" w:themeColor="text1"/>
                <w:spacing w:val="-4"/>
                <w:lang w:val="en-GB"/>
              </w:rPr>
              <w:t>–</w:t>
            </w:r>
            <w:r w:rsidRPr="00D970F7">
              <w:rPr>
                <w:color w:val="0D0D0D" w:themeColor="text1" w:themeTint="F2"/>
                <w:spacing w:val="-2"/>
                <w:lang w:val="en-GB"/>
              </w:rPr>
              <w:t>10.4%). Gradual revival in the subsequent months in reaction to loosened restrictions took place very slowly. Quarter-on-quarter decrease thus reached deep 14.4% in Q2, which was double the so far record downturn from the beginning of year 2009.</w:t>
            </w:r>
          </w:p>
        </w:tc>
      </w:tr>
      <w:tr w:rsidR="00C2211E" w:rsidRPr="00D970F7" w14:paraId="0856467F" w14:textId="77777777" w:rsidTr="00C2211E">
        <w:trPr>
          <w:trHeight w:val="145"/>
        </w:trPr>
        <w:tc>
          <w:tcPr>
            <w:tcW w:w="1723" w:type="dxa"/>
            <w:shd w:val="clear" w:color="auto" w:fill="auto"/>
            <w:tcMar>
              <w:left w:w="0" w:type="dxa"/>
            </w:tcMar>
          </w:tcPr>
          <w:p w14:paraId="6B92B673" w14:textId="77777777" w:rsidR="00C2211E" w:rsidRPr="00D970F7" w:rsidRDefault="00C2211E" w:rsidP="00C2211E">
            <w:pPr>
              <w:pStyle w:val="Marginlie"/>
              <w:rPr>
                <w:lang w:val="en-GB"/>
              </w:rPr>
            </w:pPr>
            <w:r w:rsidRPr="00D970F7">
              <w:rPr>
                <w:lang w:val="en-GB"/>
              </w:rPr>
              <w:t xml:space="preserve">Mainly weaker output in transporting and storage, and also downturn in accommodation, food service and restaurants stood behind the decline of sales in services. </w:t>
            </w:r>
          </w:p>
          <w:p w14:paraId="766E4C91" w14:textId="77777777" w:rsidR="00C2211E" w:rsidRDefault="00C2211E" w:rsidP="00C2211E">
            <w:pPr>
              <w:pStyle w:val="Marginlie"/>
              <w:rPr>
                <w:lang w:val="en-GB"/>
              </w:rPr>
            </w:pPr>
          </w:p>
          <w:p w14:paraId="007C3B02" w14:textId="77777777" w:rsidR="00C2211E" w:rsidRPr="00D970F7" w:rsidRDefault="00C2211E" w:rsidP="00C2211E">
            <w:pPr>
              <w:pStyle w:val="Marginlie"/>
              <w:rPr>
                <w:lang w:val="en-GB"/>
              </w:rPr>
            </w:pPr>
          </w:p>
          <w:p w14:paraId="38F07798" w14:textId="77777777" w:rsidR="00C2211E" w:rsidRPr="00D970F7" w:rsidRDefault="00C2211E" w:rsidP="00C2211E">
            <w:pPr>
              <w:pStyle w:val="Marginlie"/>
              <w:rPr>
                <w:lang w:val="en-GB"/>
              </w:rPr>
            </w:pPr>
          </w:p>
          <w:p w14:paraId="10A56887" w14:textId="77777777" w:rsidR="00BA4633" w:rsidRDefault="00C2211E" w:rsidP="00C2211E">
            <w:pPr>
              <w:pStyle w:val="Marginlie"/>
              <w:rPr>
                <w:lang w:val="en-GB"/>
              </w:rPr>
            </w:pPr>
            <w:r w:rsidRPr="00D970F7">
              <w:rPr>
                <w:lang w:val="en-GB"/>
              </w:rPr>
              <w:lastRenderedPageBreak/>
              <w:t xml:space="preserve">Only telecommunications, ICT areas and postal and courier services continued to grow. </w:t>
            </w:r>
          </w:p>
          <w:p w14:paraId="6275793B" w14:textId="77777777" w:rsidR="00BA4633" w:rsidRDefault="00BA4633" w:rsidP="00C2211E">
            <w:pPr>
              <w:pStyle w:val="Marginlie"/>
              <w:rPr>
                <w:lang w:val="en-GB"/>
              </w:rPr>
            </w:pPr>
          </w:p>
          <w:p w14:paraId="20B1A07A" w14:textId="77777777" w:rsidR="00BA4633" w:rsidRDefault="00BA4633" w:rsidP="00C2211E">
            <w:pPr>
              <w:pStyle w:val="Marginlie"/>
              <w:rPr>
                <w:lang w:val="en-GB"/>
              </w:rPr>
            </w:pPr>
          </w:p>
          <w:p w14:paraId="65E16996" w14:textId="77777777" w:rsidR="00BA4633" w:rsidRDefault="00BA4633" w:rsidP="00C2211E">
            <w:pPr>
              <w:pStyle w:val="Marginlie"/>
              <w:rPr>
                <w:lang w:val="en-GB"/>
              </w:rPr>
            </w:pPr>
          </w:p>
          <w:p w14:paraId="7A39053E" w14:textId="77777777" w:rsidR="00BA4633" w:rsidRDefault="00BA4633" w:rsidP="00C2211E">
            <w:pPr>
              <w:pStyle w:val="Marginlie"/>
              <w:rPr>
                <w:lang w:val="en-GB"/>
              </w:rPr>
            </w:pPr>
          </w:p>
          <w:p w14:paraId="7C574D88" w14:textId="77777777" w:rsidR="00BA4633" w:rsidRDefault="00BA4633" w:rsidP="00C2211E">
            <w:pPr>
              <w:pStyle w:val="Marginlie"/>
              <w:rPr>
                <w:lang w:val="en-GB"/>
              </w:rPr>
            </w:pPr>
          </w:p>
          <w:p w14:paraId="2BA360CB" w14:textId="77777777" w:rsidR="00BA4633" w:rsidRDefault="00BA4633" w:rsidP="00C2211E">
            <w:pPr>
              <w:pStyle w:val="Marginlie"/>
              <w:rPr>
                <w:lang w:val="en-GB"/>
              </w:rPr>
            </w:pPr>
          </w:p>
          <w:p w14:paraId="7C28E113" w14:textId="4A61F93C" w:rsidR="00C2211E" w:rsidRPr="00D970F7" w:rsidRDefault="00C2211E" w:rsidP="00C2211E">
            <w:pPr>
              <w:pStyle w:val="Marginlie"/>
              <w:rPr>
                <w:lang w:val="en-GB"/>
              </w:rPr>
            </w:pPr>
            <w:r w:rsidRPr="00D970F7">
              <w:rPr>
                <w:lang w:val="en-GB"/>
              </w:rPr>
              <w:t xml:space="preserve">Four years lasting rise of sales for market research and public opinion polling halted. </w:t>
            </w:r>
          </w:p>
        </w:tc>
        <w:tc>
          <w:tcPr>
            <w:tcW w:w="191" w:type="dxa"/>
            <w:shd w:val="clear" w:color="auto" w:fill="auto"/>
            <w:tcMar>
              <w:left w:w="0" w:type="dxa"/>
            </w:tcMar>
          </w:tcPr>
          <w:p w14:paraId="474F9FEC"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54B6EAB0" w14:textId="77777777" w:rsidR="00C2211E" w:rsidRPr="00D970F7" w:rsidRDefault="00C2211E" w:rsidP="00C2211E">
            <w:pPr>
              <w:spacing w:after="200"/>
              <w:rPr>
                <w:spacing w:val="-2"/>
                <w:lang w:val="en-GB"/>
              </w:rPr>
            </w:pPr>
            <w:r w:rsidRPr="00D970F7">
              <w:rPr>
                <w:spacing w:val="-4"/>
                <w:lang w:val="en-GB"/>
              </w:rPr>
              <w:t xml:space="preserve">Sales in services decreased by 12.0% year-on-year in H1 2020. It was mainly result of development in transporting and storage (contribution </w:t>
            </w:r>
            <w:r w:rsidRPr="00D970F7">
              <w:rPr>
                <w:color w:val="000000" w:themeColor="text1"/>
                <w:spacing w:val="-4"/>
                <w:lang w:val="en-GB"/>
              </w:rPr>
              <w:t xml:space="preserve">– </w:t>
            </w:r>
            <w:r w:rsidRPr="00D970F7">
              <w:rPr>
                <w:spacing w:val="-4"/>
                <w:lang w:val="en-GB"/>
              </w:rPr>
              <w:t>4.5 p.p.) and branch accommodation, food service and restaurants (</w:t>
            </w:r>
            <w:r w:rsidRPr="00D970F7">
              <w:rPr>
                <w:color w:val="000000" w:themeColor="text1"/>
                <w:spacing w:val="-4"/>
                <w:lang w:val="en-GB"/>
              </w:rPr>
              <w:t>–</w:t>
            </w:r>
            <w:r w:rsidRPr="00D970F7">
              <w:rPr>
                <w:spacing w:val="-4"/>
                <w:lang w:val="en-GB"/>
              </w:rPr>
              <w:t xml:space="preserve">3.0 p.p.). Other branch sections were however hit as well – information and communication then the least (contribution +0.3 p.p., branch growth 1.7%). While some divisions of this branch benefited from the heightened demand during the corona crisis (telecommunication activities, ICT areas), others were affected to a varying degree (publishing activities, programme production and broadcasting activities and especially so called motion picture and musical industry, where the sales </w:t>
            </w:r>
            <w:r w:rsidRPr="00D970F7">
              <w:rPr>
                <w:spacing w:val="-4"/>
                <w:lang w:val="en-GB"/>
              </w:rPr>
              <w:lastRenderedPageBreak/>
              <w:t>dropped by more than one third</w:t>
            </w:r>
            <w:r w:rsidRPr="00D970F7">
              <w:rPr>
                <w:rStyle w:val="Znakapoznpodarou"/>
                <w:spacing w:val="-4"/>
                <w:lang w:val="en-GB"/>
              </w:rPr>
              <w:footnoteReference w:id="27"/>
            </w:r>
            <w:r w:rsidRPr="00D970F7">
              <w:rPr>
                <w:color w:val="0D0D0D" w:themeColor="text1" w:themeTint="F2"/>
                <w:spacing w:val="-4"/>
                <w:lang w:val="en-GB"/>
              </w:rPr>
              <w:t>). The branch transporting and storage also featured diverse development. Deep drop of the air transport (</w:t>
            </w:r>
            <w:r w:rsidRPr="00D970F7">
              <w:rPr>
                <w:color w:val="000000" w:themeColor="text1"/>
                <w:spacing w:val="-4"/>
                <w:lang w:val="en-GB"/>
              </w:rPr>
              <w:t>–</w:t>
            </w:r>
            <w:r w:rsidRPr="00D970F7">
              <w:rPr>
                <w:color w:val="0D0D0D" w:themeColor="text1" w:themeTint="F2"/>
                <w:spacing w:val="-4"/>
                <w:lang w:val="en-GB"/>
              </w:rPr>
              <w:t>63.9%) as well as significant decline in key division of land and pipe transport (</w:t>
            </w:r>
            <w:r w:rsidRPr="00D970F7">
              <w:rPr>
                <w:color w:val="000000" w:themeColor="text1"/>
                <w:spacing w:val="-4"/>
                <w:lang w:val="en-GB"/>
              </w:rPr>
              <w:t>–</w:t>
            </w:r>
            <w:r w:rsidRPr="00D970F7">
              <w:rPr>
                <w:color w:val="0D0D0D" w:themeColor="text1" w:themeTint="F2"/>
                <w:spacing w:val="-4"/>
                <w:lang w:val="en-GB"/>
              </w:rPr>
              <w:t xml:space="preserve">15.0%) contrasted with the growing demand for postal and courier services (+8.8%). The sales fell by nearly two fifths in accommodation, food service and restaurants. In accommodation itself, the slump reached </w:t>
            </w:r>
            <w:r w:rsidRPr="00D970F7">
              <w:rPr>
                <w:spacing w:val="-4"/>
                <w:lang w:val="en-GB"/>
              </w:rPr>
              <w:t>53.4%</w:t>
            </w:r>
            <w:r w:rsidRPr="00D970F7">
              <w:rPr>
                <w:color w:val="0D0D0D" w:themeColor="text1" w:themeTint="F2"/>
                <w:spacing w:val="-4"/>
                <w:vertAlign w:val="superscript"/>
                <w:lang w:val="en-GB"/>
              </w:rPr>
              <w:footnoteReference w:id="28"/>
            </w:r>
            <w:r w:rsidRPr="00D970F7">
              <w:rPr>
                <w:spacing w:val="-4"/>
                <w:lang w:val="en-GB"/>
              </w:rPr>
              <w:t>. Branch administrative and support service activities recorded nearly one quarter plunge of sales. Expected deep decrease of performance of travel agencies emerged (</w:t>
            </w:r>
            <w:r w:rsidRPr="00D970F7">
              <w:rPr>
                <w:color w:val="000000" w:themeColor="text1"/>
                <w:spacing w:val="-4"/>
                <w:lang w:val="en-GB"/>
              </w:rPr>
              <w:t>–</w:t>
            </w:r>
            <w:r w:rsidRPr="00D970F7">
              <w:rPr>
                <w:spacing w:val="-4"/>
                <w:lang w:val="en-GB"/>
              </w:rPr>
              <w:t>63.9%), sales of job agencies also lowered by nearly one quarter. Drop of nearly one tenth also affected the branch professional, scientific and technical activities. Mainly l</w:t>
            </w:r>
            <w:r w:rsidRPr="00D970F7">
              <w:rPr>
                <w:spacing w:val="-2"/>
                <w:lang w:val="en-GB"/>
              </w:rPr>
              <w:t>ower output of other processional and scientific activities had an adverse effect (</w:t>
            </w:r>
            <w:r w:rsidRPr="00D970F7">
              <w:rPr>
                <w:color w:val="000000" w:themeColor="text1"/>
                <w:spacing w:val="-2"/>
                <w:lang w:val="en-GB"/>
              </w:rPr>
              <w:t>–</w:t>
            </w:r>
            <w:r w:rsidRPr="00D970F7">
              <w:rPr>
                <w:spacing w:val="-2"/>
                <w:lang w:val="en-GB"/>
              </w:rPr>
              <w:t>13.0%) and also both architectural and engineering activities (</w:t>
            </w:r>
            <w:r w:rsidRPr="00D970F7">
              <w:rPr>
                <w:color w:val="000000" w:themeColor="text1"/>
                <w:spacing w:val="-2"/>
                <w:lang w:val="en-GB"/>
              </w:rPr>
              <w:t>–</w:t>
            </w:r>
            <w:r w:rsidRPr="00D970F7">
              <w:rPr>
                <w:spacing w:val="-2"/>
                <w:lang w:val="en-GB"/>
              </w:rPr>
              <w:t>8.1%), demand was however falling in all sub</w:t>
            </w:r>
            <w:r>
              <w:rPr>
                <w:spacing w:val="-2"/>
                <w:lang w:val="en-GB"/>
              </w:rPr>
              <w:t>-</w:t>
            </w:r>
            <w:r w:rsidRPr="00D970F7">
              <w:rPr>
                <w:spacing w:val="-2"/>
                <w:lang w:val="en-GB"/>
              </w:rPr>
              <w:t>branches, including long-term growing market research and public opinion polling. Legal and accounting activities remained affected the least. Moderate decline was also registered in the real estate activities (</w:t>
            </w:r>
            <w:r w:rsidRPr="00D970F7">
              <w:rPr>
                <w:color w:val="000000" w:themeColor="text1"/>
                <w:spacing w:val="-2"/>
                <w:lang w:val="en-GB"/>
              </w:rPr>
              <w:t>–</w:t>
            </w:r>
            <w:r w:rsidRPr="00D970F7">
              <w:rPr>
                <w:spacing w:val="-2"/>
                <w:lang w:val="en-GB"/>
              </w:rPr>
              <w:t>1.3%).</w:t>
            </w:r>
          </w:p>
        </w:tc>
      </w:tr>
      <w:tr w:rsidR="00C2211E" w:rsidRPr="00D970F7" w14:paraId="59007AEE" w14:textId="77777777" w:rsidTr="00C2211E">
        <w:trPr>
          <w:trHeight w:val="170"/>
        </w:trPr>
        <w:tc>
          <w:tcPr>
            <w:tcW w:w="1723" w:type="dxa"/>
            <w:vMerge w:val="restart"/>
            <w:shd w:val="clear" w:color="auto" w:fill="auto"/>
            <w:tcMar>
              <w:left w:w="0" w:type="dxa"/>
            </w:tcMar>
          </w:tcPr>
          <w:p w14:paraId="70DB2078" w14:textId="77777777" w:rsidR="00C2211E" w:rsidRPr="00D970F7" w:rsidRDefault="00C2211E" w:rsidP="00C2211E">
            <w:pPr>
              <w:pStyle w:val="Marginlie"/>
              <w:rPr>
                <w:lang w:val="en-GB"/>
              </w:rPr>
            </w:pPr>
          </w:p>
        </w:tc>
        <w:tc>
          <w:tcPr>
            <w:tcW w:w="191" w:type="dxa"/>
            <w:vMerge w:val="restart"/>
            <w:shd w:val="clear" w:color="auto" w:fill="auto"/>
            <w:tcMar>
              <w:left w:w="0" w:type="dxa"/>
            </w:tcMar>
          </w:tcPr>
          <w:p w14:paraId="21798D7D"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4F35AB7B" w14:textId="77777777" w:rsidR="00C2211E" w:rsidRPr="00D970F7" w:rsidRDefault="00C2211E" w:rsidP="00C2211E">
            <w:pPr>
              <w:pStyle w:val="Textpoznpodarou"/>
              <w:spacing w:line="276" w:lineRule="auto"/>
              <w:rPr>
                <w:b/>
                <w:lang w:val="en-GB"/>
              </w:rPr>
            </w:pPr>
            <w:r w:rsidRPr="00D970F7">
              <w:rPr>
                <w:b/>
                <w:lang w:val="en-GB"/>
              </w:rPr>
              <w:t xml:space="preserve">Chart 7  Contributions of branches to year-on-year change of sales in services* </w:t>
            </w:r>
            <w:r w:rsidRPr="00D970F7">
              <w:rPr>
                <w:lang w:val="en-GB"/>
              </w:rPr>
              <w:t xml:space="preserve">(in p.p., adjusted for calendar effects), </w:t>
            </w:r>
            <w:r w:rsidRPr="00D970F7">
              <w:rPr>
                <w:b/>
                <w:lang w:val="en-GB"/>
              </w:rPr>
              <w:t xml:space="preserve">balance of confidence indicator in services** </w:t>
            </w:r>
            <w:r w:rsidRPr="00D970F7">
              <w:rPr>
                <w:lang w:val="en-GB"/>
              </w:rPr>
              <w:t>(in p.p., right axis)</w:t>
            </w:r>
            <w:r w:rsidRPr="00D970F7">
              <w:rPr>
                <w:b/>
                <w:lang w:val="en-GB"/>
              </w:rPr>
              <w:t xml:space="preserve"> and selected growth barriers*</w:t>
            </w:r>
            <w:r w:rsidRPr="00D970F7">
              <w:rPr>
                <w:lang w:val="en-GB"/>
              </w:rPr>
              <w:t>* (in %, right axis)</w:t>
            </w:r>
          </w:p>
        </w:tc>
      </w:tr>
      <w:tr w:rsidR="00C2211E" w:rsidRPr="00D970F7" w14:paraId="6BC9B8AB" w14:textId="77777777" w:rsidTr="00C2211E">
        <w:tblPrEx>
          <w:tblCellMar>
            <w:left w:w="70" w:type="dxa"/>
            <w:right w:w="70" w:type="dxa"/>
          </w:tblCellMar>
        </w:tblPrEx>
        <w:trPr>
          <w:trHeight w:val="170"/>
        </w:trPr>
        <w:tc>
          <w:tcPr>
            <w:tcW w:w="1723" w:type="dxa"/>
            <w:vMerge/>
            <w:shd w:val="clear" w:color="auto" w:fill="auto"/>
          </w:tcPr>
          <w:p w14:paraId="0278CFDC" w14:textId="77777777" w:rsidR="00C2211E" w:rsidRPr="00D970F7" w:rsidRDefault="00C2211E" w:rsidP="00C2211E">
            <w:pPr>
              <w:pStyle w:val="Marginlie"/>
              <w:rPr>
                <w:lang w:val="en-GB"/>
              </w:rPr>
            </w:pPr>
          </w:p>
        </w:tc>
        <w:tc>
          <w:tcPr>
            <w:tcW w:w="191" w:type="dxa"/>
            <w:vMerge/>
            <w:shd w:val="clear" w:color="auto" w:fill="auto"/>
          </w:tcPr>
          <w:p w14:paraId="6FCAE4C4" w14:textId="77777777" w:rsidR="00C2211E" w:rsidRPr="00D970F7" w:rsidRDefault="00C2211E" w:rsidP="00C2211E">
            <w:pPr>
              <w:pStyle w:val="Textpoznpodarou"/>
              <w:jc w:val="both"/>
              <w:rPr>
                <w:spacing w:val="-4"/>
                <w:lang w:val="en-GB"/>
              </w:rPr>
            </w:pPr>
          </w:p>
        </w:tc>
        <w:tc>
          <w:tcPr>
            <w:tcW w:w="7730" w:type="dxa"/>
            <w:shd w:val="clear" w:color="auto" w:fill="auto"/>
          </w:tcPr>
          <w:p w14:paraId="55B715BC" w14:textId="77777777" w:rsidR="00C2211E" w:rsidRPr="00D970F7" w:rsidRDefault="00C2211E" w:rsidP="00C2211E">
            <w:pPr>
              <w:spacing w:after="0"/>
              <w:rPr>
                <w:rFonts w:cs="Arial"/>
                <w:sz w:val="14"/>
                <w:szCs w:val="14"/>
                <w:lang w:val="en-GB"/>
              </w:rPr>
            </w:pPr>
            <w:r>
              <w:rPr>
                <w:noProof/>
              </w:rPr>
              <w:drawing>
                <wp:inline distT="0" distB="0" distL="0" distR="0" wp14:anchorId="34557207" wp14:editId="4D04419F">
                  <wp:extent cx="4770559" cy="3590193"/>
                  <wp:effectExtent l="0" t="0" r="0"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C2211E" w:rsidRPr="00D970F7" w14:paraId="44776ECE" w14:textId="77777777" w:rsidTr="00C2211E">
        <w:trPr>
          <w:trHeight w:val="170"/>
        </w:trPr>
        <w:tc>
          <w:tcPr>
            <w:tcW w:w="1723" w:type="dxa"/>
            <w:vMerge/>
            <w:shd w:val="clear" w:color="auto" w:fill="auto"/>
            <w:tcMar>
              <w:left w:w="0" w:type="dxa"/>
            </w:tcMar>
          </w:tcPr>
          <w:p w14:paraId="34BE5D20" w14:textId="77777777" w:rsidR="00C2211E" w:rsidRPr="00D970F7" w:rsidRDefault="00C2211E" w:rsidP="00C2211E">
            <w:pPr>
              <w:pStyle w:val="Marginlie"/>
              <w:rPr>
                <w:lang w:val="en-GB"/>
              </w:rPr>
            </w:pPr>
          </w:p>
        </w:tc>
        <w:tc>
          <w:tcPr>
            <w:tcW w:w="191" w:type="dxa"/>
            <w:vMerge/>
            <w:shd w:val="clear" w:color="auto" w:fill="auto"/>
            <w:tcMar>
              <w:left w:w="0" w:type="dxa"/>
            </w:tcMar>
          </w:tcPr>
          <w:p w14:paraId="060768C6"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654B26BB" w14:textId="77777777" w:rsidR="00C2211E" w:rsidRPr="00D970F7" w:rsidRDefault="00C2211E" w:rsidP="00C2211E">
            <w:pPr>
              <w:spacing w:after="0"/>
              <w:rPr>
                <w:rFonts w:cs="Arial"/>
                <w:sz w:val="14"/>
                <w:szCs w:val="14"/>
                <w:lang w:val="en-GB"/>
              </w:rPr>
            </w:pPr>
            <w:r w:rsidRPr="00D970F7">
              <w:rPr>
                <w:rFonts w:cs="Arial"/>
                <w:sz w:val="14"/>
                <w:szCs w:val="14"/>
                <w:lang w:val="en-GB"/>
              </w:rPr>
              <w:t>*</w:t>
            </w:r>
            <w:r w:rsidRPr="00D970F7">
              <w:rPr>
                <w:color w:val="0D0D0D" w:themeColor="text1" w:themeTint="F2"/>
                <w:sz w:val="14"/>
                <w:szCs w:val="14"/>
                <w:lang w:val="en-GB"/>
              </w:rPr>
              <w:t xml:space="preserve"> Without branches trade, financial activities, insurance activities, science, research and public services. </w:t>
            </w:r>
          </w:p>
          <w:p w14:paraId="0F19B39F" w14:textId="77777777" w:rsidR="00C2211E" w:rsidRPr="00D970F7" w:rsidRDefault="00C2211E" w:rsidP="00C2211E">
            <w:pPr>
              <w:spacing w:after="0"/>
              <w:rPr>
                <w:rFonts w:cs="Arial"/>
                <w:sz w:val="14"/>
                <w:szCs w:val="14"/>
                <w:lang w:val="en-GB"/>
              </w:rPr>
            </w:pPr>
            <w:r w:rsidRPr="00D970F7">
              <w:rPr>
                <w:rFonts w:cs="Arial"/>
                <w:sz w:val="14"/>
                <w:szCs w:val="14"/>
                <w:lang w:val="en-GB"/>
              </w:rPr>
              <w:t xml:space="preserve">**Includes also the financial sector. Balance of confidence and growth barriers are seasonally adjusted and express the situation in the first month of the given quarter. </w:t>
            </w:r>
          </w:p>
          <w:p w14:paraId="680C8C83" w14:textId="77777777" w:rsidR="00C2211E" w:rsidRPr="00D970F7" w:rsidRDefault="00C2211E" w:rsidP="00C2211E">
            <w:pPr>
              <w:spacing w:after="180"/>
              <w:rPr>
                <w:rFonts w:cs="Arial"/>
                <w:sz w:val="14"/>
                <w:szCs w:val="14"/>
                <w:lang w:val="en-GB"/>
              </w:rPr>
            </w:pPr>
            <w:r w:rsidRPr="00D970F7">
              <w:rPr>
                <w:rFonts w:cs="Arial"/>
                <w:sz w:val="14"/>
                <w:szCs w:val="14"/>
                <w:lang w:val="en-GB"/>
              </w:rPr>
              <w:t>Source: CZSO</w:t>
            </w:r>
          </w:p>
        </w:tc>
      </w:tr>
      <w:tr w:rsidR="00C2211E" w:rsidRPr="00D970F7" w14:paraId="12B66CA2" w14:textId="77777777" w:rsidTr="00C2211E">
        <w:trPr>
          <w:trHeight w:val="80"/>
        </w:trPr>
        <w:tc>
          <w:tcPr>
            <w:tcW w:w="1723" w:type="dxa"/>
            <w:shd w:val="clear" w:color="auto" w:fill="auto"/>
            <w:tcMar>
              <w:left w:w="0" w:type="dxa"/>
            </w:tcMar>
          </w:tcPr>
          <w:p w14:paraId="34E2C049" w14:textId="77777777" w:rsidR="00C2211E" w:rsidRPr="00D970F7" w:rsidRDefault="00C2211E" w:rsidP="00C2211E">
            <w:pPr>
              <w:pStyle w:val="Marginlie"/>
              <w:rPr>
                <w:color w:val="0D0D0D" w:themeColor="text1" w:themeTint="F2"/>
                <w:spacing w:val="-4"/>
                <w:lang w:val="en-GB"/>
              </w:rPr>
            </w:pPr>
            <w:r w:rsidRPr="00D970F7">
              <w:rPr>
                <w:color w:val="0D0D0D" w:themeColor="text1" w:themeTint="F2"/>
                <w:spacing w:val="-4"/>
                <w:lang w:val="en-GB"/>
              </w:rPr>
              <w:t xml:space="preserve">Retail sales growth stopped due to the impact of both restrictions </w:t>
            </w:r>
            <w:r w:rsidRPr="00D970F7">
              <w:rPr>
                <w:color w:val="0D0D0D" w:themeColor="text1" w:themeTint="F2"/>
                <w:spacing w:val="-4"/>
                <w:lang w:val="en-GB"/>
              </w:rPr>
              <w:lastRenderedPageBreak/>
              <w:t xml:space="preserve">and deteriorated consumer confidence. End of Q2 however saw a mild boost. </w:t>
            </w:r>
          </w:p>
        </w:tc>
        <w:tc>
          <w:tcPr>
            <w:tcW w:w="191" w:type="dxa"/>
            <w:shd w:val="clear" w:color="auto" w:fill="auto"/>
            <w:tcMar>
              <w:left w:w="0" w:type="dxa"/>
            </w:tcMar>
          </w:tcPr>
          <w:p w14:paraId="79F77620"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257BA003" w14:textId="77777777" w:rsidR="00C2211E" w:rsidRPr="00D970F7" w:rsidRDefault="00C2211E" w:rsidP="00C2211E">
            <w:pPr>
              <w:spacing w:after="220"/>
              <w:rPr>
                <w:rFonts w:cs="Arial"/>
                <w:szCs w:val="20"/>
                <w:lang w:val="en-GB"/>
              </w:rPr>
            </w:pPr>
            <w:r w:rsidRPr="00D970F7">
              <w:rPr>
                <w:rFonts w:cs="Arial"/>
                <w:szCs w:val="20"/>
                <w:lang w:val="en-GB"/>
              </w:rPr>
              <w:t>Retail sales</w:t>
            </w:r>
            <w:r w:rsidRPr="00D970F7">
              <w:rPr>
                <w:rStyle w:val="Znakapoznpodarou"/>
                <w:lang w:val="en-GB"/>
              </w:rPr>
              <w:footnoteReference w:id="29"/>
            </w:r>
            <w:r w:rsidRPr="00D970F7">
              <w:rPr>
                <w:rFonts w:cs="Arial"/>
                <w:szCs w:val="20"/>
                <w:lang w:val="en-GB"/>
              </w:rPr>
              <w:t xml:space="preserve"> fell by 2.3% during Q1 2020 (it was the first quarter-on-quarter decrease since the end of year 2013). Similar rate of growth was also repeated in the subsequent </w:t>
            </w:r>
            <w:r w:rsidRPr="00D970F7">
              <w:rPr>
                <w:rFonts w:cs="Arial"/>
                <w:szCs w:val="20"/>
                <w:lang w:val="en-GB"/>
              </w:rPr>
              <w:lastRenderedPageBreak/>
              <w:t>period. These results were fundamentally affected by the pandemic measures, which limited the purchasing ability of the population, especially in March and April</w:t>
            </w:r>
            <w:r w:rsidRPr="00D970F7">
              <w:rPr>
                <w:rStyle w:val="Znakapoznpodarou"/>
                <w:lang w:val="en-GB"/>
              </w:rPr>
              <w:footnoteReference w:id="30"/>
            </w:r>
            <w:r w:rsidRPr="00D970F7">
              <w:rPr>
                <w:rFonts w:cs="Arial"/>
                <w:szCs w:val="20"/>
                <w:lang w:val="en-GB"/>
              </w:rPr>
              <w:t xml:space="preserve">. The whole  industry faced still weakened demand on the part of non-residents even later and purchasing appetite of domestic households was inhibited by the worsening consumer confidence, sharp lowering of nominal average wages as well as growing concerns of households regarding potentially rising both prices and unemployment. Despite this development, a still delicate growth of sales year-on-year renewed in both May (+0.7%) and July (+1.9%).  </w:t>
            </w:r>
          </w:p>
        </w:tc>
      </w:tr>
      <w:tr w:rsidR="00C2211E" w:rsidRPr="00D970F7" w14:paraId="5F84949D" w14:textId="77777777" w:rsidTr="00C2211E">
        <w:trPr>
          <w:trHeight w:val="80"/>
        </w:trPr>
        <w:tc>
          <w:tcPr>
            <w:tcW w:w="1723" w:type="dxa"/>
            <w:shd w:val="clear" w:color="auto" w:fill="auto"/>
            <w:tcMar>
              <w:left w:w="0" w:type="dxa"/>
            </w:tcMar>
          </w:tcPr>
          <w:p w14:paraId="7B7238A6" w14:textId="77777777" w:rsidR="00C2211E" w:rsidRPr="00D970F7" w:rsidRDefault="00C2211E" w:rsidP="00C2211E">
            <w:pPr>
              <w:pStyle w:val="Marginlie"/>
              <w:rPr>
                <w:color w:val="0D0D0D" w:themeColor="text1" w:themeTint="F2"/>
                <w:spacing w:val="-4"/>
                <w:lang w:val="en-GB"/>
              </w:rPr>
            </w:pPr>
            <w:r w:rsidRPr="00D970F7">
              <w:rPr>
                <w:color w:val="0D0D0D" w:themeColor="text1" w:themeTint="F2"/>
                <w:spacing w:val="-4"/>
                <w:lang w:val="en-GB"/>
              </w:rPr>
              <w:lastRenderedPageBreak/>
              <w:t xml:space="preserve">Retail decline was driven especially by significant reduction of sales for fuels in H1. </w:t>
            </w:r>
          </w:p>
          <w:p w14:paraId="67F4222D" w14:textId="77777777" w:rsidR="00C2211E" w:rsidRPr="00D970F7" w:rsidRDefault="00C2211E" w:rsidP="00C2211E">
            <w:pPr>
              <w:pStyle w:val="Marginlie"/>
              <w:rPr>
                <w:color w:val="0D0D0D" w:themeColor="text1" w:themeTint="F2"/>
                <w:spacing w:val="-4"/>
                <w:lang w:val="en-GB"/>
              </w:rPr>
            </w:pPr>
          </w:p>
          <w:p w14:paraId="1BD00B84" w14:textId="77777777" w:rsidR="00C2211E" w:rsidRPr="00D970F7" w:rsidRDefault="00C2211E" w:rsidP="00C2211E">
            <w:pPr>
              <w:pStyle w:val="Marginlie"/>
              <w:rPr>
                <w:color w:val="0D0D0D" w:themeColor="text1" w:themeTint="F2"/>
                <w:spacing w:val="-4"/>
                <w:lang w:val="en-GB"/>
              </w:rPr>
            </w:pPr>
          </w:p>
          <w:p w14:paraId="17568166" w14:textId="77777777" w:rsidR="00C2211E" w:rsidRPr="00D970F7" w:rsidRDefault="00C2211E" w:rsidP="00C2211E">
            <w:pPr>
              <w:pStyle w:val="Marginlie"/>
              <w:rPr>
                <w:color w:val="0D0D0D" w:themeColor="text1" w:themeTint="F2"/>
                <w:spacing w:val="-4"/>
                <w:lang w:val="en-GB"/>
              </w:rPr>
            </w:pPr>
          </w:p>
          <w:p w14:paraId="6CAEF39A" w14:textId="77777777" w:rsidR="00C2211E" w:rsidRPr="00D970F7" w:rsidRDefault="00C2211E" w:rsidP="00C2211E">
            <w:pPr>
              <w:pStyle w:val="Marginlie"/>
              <w:rPr>
                <w:color w:val="0D0D0D" w:themeColor="text1" w:themeTint="F2"/>
                <w:spacing w:val="-4"/>
                <w:lang w:val="en-GB"/>
              </w:rPr>
            </w:pPr>
          </w:p>
          <w:p w14:paraId="0EC45B13" w14:textId="77777777" w:rsidR="00C2211E" w:rsidRPr="00D970F7" w:rsidRDefault="00C2211E" w:rsidP="00C2211E">
            <w:pPr>
              <w:pStyle w:val="Marginlie"/>
              <w:rPr>
                <w:color w:val="0D0D0D" w:themeColor="text1" w:themeTint="F2"/>
                <w:spacing w:val="-4"/>
                <w:lang w:val="en-GB"/>
              </w:rPr>
            </w:pPr>
          </w:p>
          <w:p w14:paraId="1DE6B2C2" w14:textId="77777777" w:rsidR="00C2211E" w:rsidRPr="00D970F7" w:rsidRDefault="00C2211E" w:rsidP="00C2211E">
            <w:pPr>
              <w:pStyle w:val="Marginlie"/>
              <w:rPr>
                <w:color w:val="0D0D0D" w:themeColor="text1" w:themeTint="F2"/>
                <w:spacing w:val="-4"/>
                <w:lang w:val="en-GB"/>
              </w:rPr>
            </w:pPr>
          </w:p>
          <w:p w14:paraId="36648190" w14:textId="77777777" w:rsidR="00C2211E" w:rsidRPr="00D970F7" w:rsidRDefault="00C2211E" w:rsidP="00C2211E">
            <w:pPr>
              <w:pStyle w:val="Marginlie"/>
              <w:rPr>
                <w:color w:val="0D0D0D" w:themeColor="text1" w:themeTint="F2"/>
                <w:spacing w:val="-4"/>
                <w:lang w:val="en-GB"/>
              </w:rPr>
            </w:pPr>
          </w:p>
          <w:p w14:paraId="48CB36EC" w14:textId="77777777" w:rsidR="00C2211E" w:rsidRPr="00D970F7" w:rsidRDefault="00C2211E" w:rsidP="00C2211E">
            <w:pPr>
              <w:pStyle w:val="Marginlie"/>
              <w:rPr>
                <w:color w:val="0D0D0D" w:themeColor="text1" w:themeTint="F2"/>
                <w:spacing w:val="-4"/>
                <w:lang w:val="en-GB"/>
              </w:rPr>
            </w:pPr>
            <w:r w:rsidRPr="00D970F7">
              <w:rPr>
                <w:color w:val="0D0D0D" w:themeColor="text1" w:themeTint="F2"/>
                <w:spacing w:val="-4"/>
                <w:lang w:val="en-GB"/>
              </w:rPr>
              <w:t xml:space="preserve">Growth dynamics of sales via internet was further gaining strength. </w:t>
            </w:r>
          </w:p>
        </w:tc>
        <w:tc>
          <w:tcPr>
            <w:tcW w:w="191" w:type="dxa"/>
            <w:shd w:val="clear" w:color="auto" w:fill="auto"/>
            <w:tcMar>
              <w:left w:w="0" w:type="dxa"/>
            </w:tcMar>
          </w:tcPr>
          <w:p w14:paraId="3706CBC2"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1AC3AB05" w14:textId="77777777" w:rsidR="00C2211E" w:rsidRPr="00D970F7" w:rsidRDefault="00C2211E" w:rsidP="00C2211E">
            <w:pPr>
              <w:spacing w:after="220"/>
              <w:rPr>
                <w:rFonts w:cs="Arial"/>
                <w:szCs w:val="20"/>
                <w:lang w:val="en-GB"/>
              </w:rPr>
            </w:pPr>
            <w:r w:rsidRPr="00D970F7">
              <w:rPr>
                <w:rFonts w:cs="Arial"/>
                <w:szCs w:val="20"/>
                <w:lang w:val="en-GB"/>
              </w:rPr>
              <w:t>Retail sales declined by 1.7% year-on-year for H1 2020. Sales for fuels contributed the most to this decline. These decreased by nearly one eight and recorded first drop in the half-yearly accumulation since the end of year 2013. Even though a considerable lowering of fuels consumer prices occurred in Q2, marked dive of the freight transport as well as weaker regular commuting to work (as a consequence of spreading work from home) proved to be a more important factor. Sales of non-food products fell only slightly (by 0.3%). Development in individual specialised shops however differed. While the sales of wearing apparel, footwear and leather goods or cultural and recreation goods registered double digit fall, demand for computer as well as communication equipment, pharmaceutical, health and cosmetic products or household goods slightly grew. Strengthening growth of sales via internet or mail order was however pivotal (+28.4%, in that by +37.8% in Q2). Sales for food dropped by 0.3% in H1. The mild decrease was particularly affected by weaker sales in specialised shops (</w:t>
            </w:r>
            <w:r w:rsidRPr="00D970F7">
              <w:rPr>
                <w:color w:val="000000" w:themeColor="text1"/>
                <w:spacing w:val="-2"/>
                <w:lang w:val="en-GB"/>
              </w:rPr>
              <w:t>–</w:t>
            </w:r>
            <w:r w:rsidRPr="00D970F7">
              <w:rPr>
                <w:rFonts w:cs="Arial"/>
                <w:szCs w:val="20"/>
                <w:lang w:val="en-GB"/>
              </w:rPr>
              <w:t>13.6%). Dramatic downturn, its depth exceeding the slump from yea</w:t>
            </w:r>
            <w:r>
              <w:rPr>
                <w:rFonts w:cs="Arial"/>
                <w:szCs w:val="20"/>
                <w:lang w:val="en-GB"/>
              </w:rPr>
              <w:t>r 2009, afflicted the motoring</w:t>
            </w:r>
            <w:r w:rsidRPr="00D970F7">
              <w:rPr>
                <w:rFonts w:cs="Arial"/>
                <w:szCs w:val="20"/>
                <w:lang w:val="en-GB"/>
              </w:rPr>
              <w:t xml:space="preserve"> segment sales this year (</w:t>
            </w:r>
            <w:r w:rsidRPr="00D970F7">
              <w:rPr>
                <w:color w:val="000000" w:themeColor="text1"/>
                <w:spacing w:val="-2"/>
                <w:lang w:val="en-GB"/>
              </w:rPr>
              <w:t>–</w:t>
            </w:r>
            <w:r w:rsidRPr="00D970F7">
              <w:rPr>
                <w:rFonts w:cs="Arial"/>
                <w:szCs w:val="20"/>
                <w:lang w:val="en-GB"/>
              </w:rPr>
              <w:t>22.6%).</w:t>
            </w:r>
          </w:p>
        </w:tc>
      </w:tr>
      <w:tr w:rsidR="00C2211E" w:rsidRPr="00D970F7" w14:paraId="36C5FF5E" w14:textId="77777777" w:rsidTr="00C2211E">
        <w:trPr>
          <w:trHeight w:val="80"/>
        </w:trPr>
        <w:tc>
          <w:tcPr>
            <w:tcW w:w="1723" w:type="dxa"/>
            <w:shd w:val="clear" w:color="auto" w:fill="auto"/>
            <w:tcMar>
              <w:left w:w="0" w:type="dxa"/>
            </w:tcMar>
          </w:tcPr>
          <w:p w14:paraId="7C4634E8" w14:textId="77777777" w:rsidR="00C2211E" w:rsidRPr="00D970F7" w:rsidRDefault="00C2211E" w:rsidP="00C2211E">
            <w:pPr>
              <w:pStyle w:val="Marginlie"/>
              <w:rPr>
                <w:color w:val="0D0D0D" w:themeColor="text1" w:themeTint="F2"/>
                <w:lang w:val="en-GB"/>
              </w:rPr>
            </w:pPr>
            <w:r w:rsidRPr="00D970F7">
              <w:rPr>
                <w:color w:val="0D0D0D" w:themeColor="text1" w:themeTint="F2"/>
                <w:lang w:val="en-GB"/>
              </w:rPr>
              <w:t>Retail sales fell by doubled pace in the EU compared to the CR in H1.</w:t>
            </w:r>
          </w:p>
        </w:tc>
        <w:tc>
          <w:tcPr>
            <w:tcW w:w="191" w:type="dxa"/>
            <w:shd w:val="clear" w:color="auto" w:fill="auto"/>
            <w:tcMar>
              <w:left w:w="0" w:type="dxa"/>
            </w:tcMar>
          </w:tcPr>
          <w:p w14:paraId="2C689B5F" w14:textId="77777777" w:rsidR="00C2211E" w:rsidRPr="00D970F7" w:rsidRDefault="00C2211E" w:rsidP="00C2211E">
            <w:pPr>
              <w:pStyle w:val="Textpoznpodarou"/>
              <w:jc w:val="both"/>
              <w:rPr>
                <w:spacing w:val="-4"/>
                <w:lang w:val="en-GB"/>
              </w:rPr>
            </w:pPr>
          </w:p>
        </w:tc>
        <w:tc>
          <w:tcPr>
            <w:tcW w:w="7730" w:type="dxa"/>
            <w:shd w:val="clear" w:color="auto" w:fill="auto"/>
            <w:tcMar>
              <w:left w:w="0" w:type="dxa"/>
            </w:tcMar>
          </w:tcPr>
          <w:p w14:paraId="441D655A" w14:textId="77777777" w:rsidR="00C2211E" w:rsidRPr="00D970F7" w:rsidRDefault="00C2211E" w:rsidP="00C2211E">
            <w:pPr>
              <w:spacing w:after="220"/>
              <w:rPr>
                <w:rFonts w:cs="Arial"/>
                <w:szCs w:val="20"/>
                <w:lang w:val="en-GB"/>
              </w:rPr>
            </w:pPr>
            <w:r w:rsidRPr="00D970F7">
              <w:rPr>
                <w:rFonts w:cs="Arial"/>
                <w:szCs w:val="20"/>
                <w:lang w:val="en-GB"/>
              </w:rPr>
              <w:t xml:space="preserve">Retail sales fell by 3.5% year-on-year in the EU in H1, that is by more than double the pace in the CR. Sales dived by more than one tenth in Italy, Spain and Bulgaria, they fell strongly also for instance in Slovenia (by 9.5%). On the contrary growth was observed in ten states, the highest in Finland (+3.7%), further in Germany (+1.9%) and the Netherlands (+1.7%). Weak growth was recorded also for example in Poland or Hungary. </w:t>
            </w:r>
          </w:p>
        </w:tc>
      </w:tr>
    </w:tbl>
    <w:p w14:paraId="1C649B4E" w14:textId="77777777" w:rsidR="00AA4790" w:rsidRPr="00D970F7" w:rsidRDefault="00AA4790" w:rsidP="00AA4790">
      <w:pPr>
        <w:pStyle w:val="Nadpis11"/>
        <w:rPr>
          <w:sz w:val="2"/>
          <w:szCs w:val="2"/>
          <w:highlight w:val="yellow"/>
          <w:lang w:val="en-GB"/>
        </w:rPr>
      </w:pPr>
    </w:p>
    <w:p w14:paraId="61B82263" w14:textId="77777777" w:rsidR="00A746C9" w:rsidRPr="00D970F7" w:rsidRDefault="00A746C9">
      <w:pPr>
        <w:spacing w:after="0" w:line="240" w:lineRule="auto"/>
        <w:jc w:val="left"/>
        <w:rPr>
          <w:rFonts w:eastAsia="MS Gothic"/>
          <w:b/>
          <w:bCs/>
          <w:color w:val="71818C"/>
          <w:sz w:val="32"/>
          <w:szCs w:val="28"/>
          <w:highlight w:val="yellow"/>
          <w:lang w:val="en-GB"/>
        </w:rPr>
      </w:pPr>
      <w:bookmarkStart w:id="12" w:name="_Toc532558284"/>
      <w:bookmarkStart w:id="13" w:name="_Toc26539341"/>
      <w:r w:rsidRPr="00D970F7">
        <w:rPr>
          <w:highlight w:val="yellow"/>
          <w:lang w:val="en-GB"/>
        </w:rPr>
        <w:br w:type="page"/>
      </w:r>
    </w:p>
    <w:p w14:paraId="77401C57" w14:textId="77777777" w:rsidR="00EF23B5" w:rsidRPr="00D970F7" w:rsidRDefault="00EF23B5" w:rsidP="00EF23B5">
      <w:pPr>
        <w:pStyle w:val="Nadpis11"/>
        <w:rPr>
          <w:sz w:val="2"/>
          <w:szCs w:val="2"/>
          <w:lang w:val="en-GB"/>
        </w:rPr>
      </w:pPr>
      <w:bookmarkStart w:id="14" w:name="_Toc11237634"/>
    </w:p>
    <w:p w14:paraId="2AF04AC6" w14:textId="77777777" w:rsidR="008F509F" w:rsidRPr="00D970F7" w:rsidRDefault="008F509F" w:rsidP="008F509F">
      <w:pPr>
        <w:pStyle w:val="Nadpis11"/>
        <w:rPr>
          <w:sz w:val="2"/>
          <w:szCs w:val="2"/>
          <w:lang w:val="en-GB"/>
        </w:rPr>
      </w:pPr>
    </w:p>
    <w:p w14:paraId="5F7169DD" w14:textId="4D70A72A" w:rsidR="008F509F" w:rsidRPr="00D970F7" w:rsidRDefault="008F509F" w:rsidP="008F509F">
      <w:pPr>
        <w:pStyle w:val="Nadpis11"/>
        <w:rPr>
          <w:lang w:val="en-GB"/>
        </w:rPr>
      </w:pPr>
      <w:bookmarkStart w:id="15" w:name="_Toc53468175"/>
      <w:r w:rsidRPr="00D970F7">
        <w:rPr>
          <w:lang w:val="en-GB"/>
        </w:rPr>
        <w:t>4. </w:t>
      </w:r>
      <w:r w:rsidR="00A11DD4" w:rsidRPr="00D970F7">
        <w:rPr>
          <w:lang w:val="en-GB"/>
        </w:rPr>
        <w:t>External Relations</w:t>
      </w:r>
      <w:bookmarkEnd w:id="15"/>
    </w:p>
    <w:tbl>
      <w:tblPr>
        <w:tblW w:w="9639" w:type="dxa"/>
        <w:tblInd w:w="-15" w:type="dxa"/>
        <w:tblCellMar>
          <w:left w:w="0" w:type="dxa"/>
          <w:right w:w="0" w:type="dxa"/>
        </w:tblCellMar>
        <w:tblLook w:val="00A0" w:firstRow="1" w:lastRow="0" w:firstColumn="1" w:lastColumn="0" w:noHBand="0" w:noVBand="0"/>
      </w:tblPr>
      <w:tblGrid>
        <w:gridCol w:w="1762"/>
        <w:gridCol w:w="223"/>
        <w:gridCol w:w="7654"/>
      </w:tblGrid>
      <w:tr w:rsidR="008F509F" w:rsidRPr="00D970F7" w14:paraId="3961D7DD" w14:textId="77777777" w:rsidTr="00CF6F9C">
        <w:trPr>
          <w:trHeight w:val="145"/>
        </w:trPr>
        <w:tc>
          <w:tcPr>
            <w:tcW w:w="1762" w:type="dxa"/>
            <w:shd w:val="clear" w:color="auto" w:fill="auto"/>
            <w:tcMar>
              <w:left w:w="0" w:type="dxa"/>
            </w:tcMar>
          </w:tcPr>
          <w:p w14:paraId="1CF73E9F" w14:textId="72BE10A8" w:rsidR="008F509F" w:rsidRPr="00D970F7" w:rsidRDefault="00EC2B75" w:rsidP="00CF6F9C">
            <w:pPr>
              <w:pStyle w:val="Marginlie"/>
              <w:rPr>
                <w:lang w:val="en-GB"/>
              </w:rPr>
            </w:pPr>
            <w:r w:rsidRPr="00D970F7">
              <w:rPr>
                <w:lang w:val="en-GB"/>
              </w:rPr>
              <w:t>Value of export plunged in Q</w:t>
            </w:r>
            <w:r w:rsidR="008F509F" w:rsidRPr="00D970F7">
              <w:rPr>
                <w:lang w:val="en-GB"/>
              </w:rPr>
              <w:t>2.</w:t>
            </w:r>
            <w:r w:rsidRPr="00D970F7">
              <w:rPr>
                <w:lang w:val="en-GB"/>
              </w:rPr>
              <w:t xml:space="preserve"> </w:t>
            </w:r>
          </w:p>
        </w:tc>
        <w:tc>
          <w:tcPr>
            <w:tcW w:w="223" w:type="dxa"/>
            <w:shd w:val="clear" w:color="auto" w:fill="auto"/>
            <w:tcMar>
              <w:left w:w="0" w:type="dxa"/>
            </w:tcMar>
          </w:tcPr>
          <w:p w14:paraId="542A0C7D"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6C2DF01F" w14:textId="2725BC17" w:rsidR="008F509F" w:rsidRPr="00D970F7" w:rsidRDefault="00EC2B75" w:rsidP="00ED781F">
            <w:pPr>
              <w:spacing w:after="200"/>
              <w:rPr>
                <w:spacing w:val="-4"/>
                <w:lang w:val="en-GB"/>
              </w:rPr>
            </w:pPr>
            <w:r w:rsidRPr="00D970F7">
              <w:rPr>
                <w:spacing w:val="-4"/>
                <w:lang w:val="en-GB"/>
              </w:rPr>
              <w:t xml:space="preserve">Total value of export of goods attained </w:t>
            </w:r>
            <w:r w:rsidR="008F509F" w:rsidRPr="00D970F7">
              <w:rPr>
                <w:spacing w:val="-4"/>
                <w:lang w:val="en-GB"/>
              </w:rPr>
              <w:t>1</w:t>
            </w:r>
            <w:r w:rsidRPr="00D970F7">
              <w:rPr>
                <w:spacing w:val="-4"/>
                <w:lang w:val="en-GB"/>
              </w:rPr>
              <w:t> </w:t>
            </w:r>
            <w:r w:rsidR="008F509F" w:rsidRPr="00D970F7">
              <w:rPr>
                <w:spacing w:val="-4"/>
                <w:lang w:val="en-GB"/>
              </w:rPr>
              <w:t>625</w:t>
            </w:r>
            <w:r w:rsidRPr="00D970F7">
              <w:rPr>
                <w:spacing w:val="-4"/>
                <w:lang w:val="en-GB"/>
              </w:rPr>
              <w:t>.</w:t>
            </w:r>
            <w:r w:rsidR="008F509F" w:rsidRPr="00D970F7">
              <w:rPr>
                <w:spacing w:val="-4"/>
                <w:lang w:val="en-GB"/>
              </w:rPr>
              <w:t>7</w:t>
            </w:r>
            <w:r w:rsidRPr="00D970F7">
              <w:rPr>
                <w:spacing w:val="-4"/>
                <w:lang w:val="en-GB"/>
              </w:rPr>
              <w:t xml:space="preserve"> CZK bn in H1</w:t>
            </w:r>
            <w:r w:rsidR="008F509F" w:rsidRPr="00D970F7">
              <w:rPr>
                <w:spacing w:val="-4"/>
                <w:lang w:val="en-GB"/>
              </w:rPr>
              <w:t xml:space="preserve">. </w:t>
            </w:r>
            <w:r w:rsidR="00FF326A" w:rsidRPr="00D970F7">
              <w:rPr>
                <w:spacing w:val="-4"/>
                <w:lang w:val="en-GB"/>
              </w:rPr>
              <w:t xml:space="preserve">Export sank by </w:t>
            </w:r>
            <w:r w:rsidR="008F509F" w:rsidRPr="00D970F7">
              <w:rPr>
                <w:spacing w:val="-4"/>
                <w:lang w:val="en-GB"/>
              </w:rPr>
              <w:t>253</w:t>
            </w:r>
            <w:r w:rsidR="00FF326A" w:rsidRPr="00D970F7">
              <w:rPr>
                <w:spacing w:val="-4"/>
                <w:lang w:val="en-GB"/>
              </w:rPr>
              <w:t>.</w:t>
            </w:r>
            <w:r w:rsidR="008F509F" w:rsidRPr="00D970F7">
              <w:rPr>
                <w:spacing w:val="-4"/>
                <w:lang w:val="en-GB"/>
              </w:rPr>
              <w:t>8</w:t>
            </w:r>
            <w:r w:rsidR="00FF326A" w:rsidRPr="00D970F7">
              <w:rPr>
                <w:spacing w:val="-4"/>
                <w:lang w:val="en-GB"/>
              </w:rPr>
              <w:t xml:space="preserve"> CZK bn year-on-year </w:t>
            </w:r>
            <w:r w:rsidR="008F509F" w:rsidRPr="00D970F7">
              <w:rPr>
                <w:spacing w:val="-4"/>
                <w:lang w:val="en-GB"/>
              </w:rPr>
              <w:t>(13</w:t>
            </w:r>
            <w:r w:rsidR="00FF326A" w:rsidRPr="00D970F7">
              <w:rPr>
                <w:spacing w:val="-4"/>
                <w:lang w:val="en-GB"/>
              </w:rPr>
              <w:t>.</w:t>
            </w:r>
            <w:r w:rsidR="008F509F" w:rsidRPr="00D970F7">
              <w:rPr>
                <w:spacing w:val="-4"/>
                <w:lang w:val="en-GB"/>
              </w:rPr>
              <w:t xml:space="preserve">5%). </w:t>
            </w:r>
            <w:r w:rsidR="00FF326A" w:rsidRPr="00D970F7">
              <w:rPr>
                <w:spacing w:val="-4"/>
                <w:lang w:val="en-GB"/>
              </w:rPr>
              <w:t xml:space="preserve">It represents the largest decrease in this time period since year </w:t>
            </w:r>
            <w:r w:rsidR="008F509F" w:rsidRPr="00D970F7">
              <w:rPr>
                <w:spacing w:val="-4"/>
                <w:lang w:val="en-GB"/>
              </w:rPr>
              <w:t>2009</w:t>
            </w:r>
            <w:r w:rsidR="00ED781F" w:rsidRPr="00D970F7">
              <w:rPr>
                <w:spacing w:val="-4"/>
                <w:lang w:val="en-GB"/>
              </w:rPr>
              <w:t xml:space="preserve"> </w:t>
            </w:r>
            <w:r w:rsidR="008F509F" w:rsidRPr="00D970F7">
              <w:rPr>
                <w:spacing w:val="-4"/>
                <w:lang w:val="en-GB"/>
              </w:rPr>
              <w:t>(–198</w:t>
            </w:r>
            <w:r w:rsidR="00FF326A" w:rsidRPr="00D970F7">
              <w:rPr>
                <w:spacing w:val="-4"/>
                <w:lang w:val="en-GB"/>
              </w:rPr>
              <w:t>.</w:t>
            </w:r>
            <w:r w:rsidR="008F509F" w:rsidRPr="00D970F7">
              <w:rPr>
                <w:spacing w:val="-4"/>
                <w:lang w:val="en-GB"/>
              </w:rPr>
              <w:t>1 </w:t>
            </w:r>
            <w:r w:rsidR="00FF326A" w:rsidRPr="00D970F7">
              <w:rPr>
                <w:spacing w:val="-4"/>
                <w:lang w:val="en-GB"/>
              </w:rPr>
              <w:t>bn</w:t>
            </w:r>
            <w:r w:rsidR="008F509F" w:rsidRPr="00D970F7">
              <w:rPr>
                <w:spacing w:val="-4"/>
                <w:lang w:val="en-GB"/>
              </w:rPr>
              <w:t>, 16</w:t>
            </w:r>
            <w:r w:rsidR="00FF326A" w:rsidRPr="00D970F7">
              <w:rPr>
                <w:spacing w:val="-4"/>
                <w:lang w:val="en-GB"/>
              </w:rPr>
              <w:t>.</w:t>
            </w:r>
            <w:r w:rsidR="008F509F" w:rsidRPr="00D970F7">
              <w:rPr>
                <w:spacing w:val="-4"/>
                <w:lang w:val="en-GB"/>
              </w:rPr>
              <w:t xml:space="preserve">6%). </w:t>
            </w:r>
            <w:r w:rsidR="00F013F0" w:rsidRPr="00D970F7">
              <w:rPr>
                <w:spacing w:val="-4"/>
                <w:lang w:val="en-GB"/>
              </w:rPr>
              <w:t xml:space="preserve">In Q2 itself, the value of export was </w:t>
            </w:r>
            <w:r w:rsidR="008F509F" w:rsidRPr="00D970F7">
              <w:rPr>
                <w:spacing w:val="-4"/>
                <w:lang w:val="en-GB"/>
              </w:rPr>
              <w:t>733</w:t>
            </w:r>
            <w:r w:rsidR="00F013F0" w:rsidRPr="00D970F7">
              <w:rPr>
                <w:spacing w:val="-4"/>
                <w:lang w:val="en-GB"/>
              </w:rPr>
              <w:t>.</w:t>
            </w:r>
            <w:r w:rsidR="008F509F" w:rsidRPr="00D970F7">
              <w:rPr>
                <w:spacing w:val="-4"/>
                <w:lang w:val="en-GB"/>
              </w:rPr>
              <w:t>0</w:t>
            </w:r>
            <w:r w:rsidR="00F013F0" w:rsidRPr="00D970F7">
              <w:rPr>
                <w:spacing w:val="-4"/>
                <w:lang w:val="en-GB"/>
              </w:rPr>
              <w:t xml:space="preserve"> CZK bn and it decreased by </w:t>
            </w:r>
            <w:r w:rsidR="008F509F" w:rsidRPr="00D970F7">
              <w:rPr>
                <w:spacing w:val="-4"/>
                <w:lang w:val="en-GB"/>
              </w:rPr>
              <w:t>215</w:t>
            </w:r>
            <w:r w:rsidR="00F013F0" w:rsidRPr="00D970F7">
              <w:rPr>
                <w:spacing w:val="-4"/>
                <w:lang w:val="en-GB"/>
              </w:rPr>
              <w:t>.</w:t>
            </w:r>
            <w:r w:rsidR="008F509F" w:rsidRPr="00D970F7">
              <w:rPr>
                <w:spacing w:val="-4"/>
                <w:lang w:val="en-GB"/>
              </w:rPr>
              <w:t>1</w:t>
            </w:r>
            <w:r w:rsidR="00F013F0" w:rsidRPr="00D970F7">
              <w:rPr>
                <w:spacing w:val="-4"/>
                <w:lang w:val="en-GB"/>
              </w:rPr>
              <w:t xml:space="preserve"> bn year-on-year </w:t>
            </w:r>
            <w:r w:rsidR="008F509F" w:rsidRPr="00D970F7">
              <w:rPr>
                <w:spacing w:val="-4"/>
                <w:lang w:val="en-GB"/>
              </w:rPr>
              <w:t>(22</w:t>
            </w:r>
            <w:r w:rsidR="00F013F0" w:rsidRPr="00D970F7">
              <w:rPr>
                <w:spacing w:val="-4"/>
                <w:lang w:val="en-GB"/>
              </w:rPr>
              <w:t>.</w:t>
            </w:r>
            <w:r w:rsidR="008F509F" w:rsidRPr="00D970F7">
              <w:rPr>
                <w:spacing w:val="-4"/>
                <w:lang w:val="en-GB"/>
              </w:rPr>
              <w:t xml:space="preserve">7%). </w:t>
            </w:r>
            <w:r w:rsidR="00E15DEE" w:rsidRPr="00D970F7">
              <w:rPr>
                <w:spacing w:val="-4"/>
                <w:lang w:val="en-GB"/>
              </w:rPr>
              <w:t xml:space="preserve">Comparison with Q2 </w:t>
            </w:r>
            <w:r w:rsidR="008F509F" w:rsidRPr="00D970F7">
              <w:rPr>
                <w:spacing w:val="-4"/>
                <w:lang w:val="en-GB"/>
              </w:rPr>
              <w:t>2019</w:t>
            </w:r>
            <w:r w:rsidR="00E15DEE" w:rsidRPr="00D970F7">
              <w:rPr>
                <w:spacing w:val="-4"/>
                <w:lang w:val="en-GB"/>
              </w:rPr>
              <w:t xml:space="preserve"> deepened the decrease</w:t>
            </w:r>
            <w:r w:rsidR="00461549" w:rsidRPr="00D970F7">
              <w:rPr>
                <w:spacing w:val="-4"/>
                <w:lang w:val="en-GB"/>
              </w:rPr>
              <w:t xml:space="preserve"> even</w:t>
            </w:r>
            <w:r w:rsidR="00E15DEE" w:rsidRPr="00D970F7">
              <w:rPr>
                <w:spacing w:val="-4"/>
                <w:lang w:val="en-GB"/>
              </w:rPr>
              <w:t xml:space="preserve"> further</w:t>
            </w:r>
            <w:r w:rsidR="008F509F" w:rsidRPr="00D970F7">
              <w:rPr>
                <w:spacing w:val="-4"/>
                <w:lang w:val="en-GB"/>
              </w:rPr>
              <w:t xml:space="preserve"> – </w:t>
            </w:r>
            <w:r w:rsidR="00461549" w:rsidRPr="00D970F7">
              <w:rPr>
                <w:spacing w:val="-4"/>
                <w:lang w:val="en-GB"/>
              </w:rPr>
              <w:t xml:space="preserve">from the view of the value of export, it was the most successful recorded quarter. The development was definitely influenced by the restrictions on the social </w:t>
            </w:r>
            <w:r w:rsidR="005C2319" w:rsidRPr="00D970F7">
              <w:rPr>
                <w:spacing w:val="-4"/>
                <w:lang w:val="en-GB"/>
              </w:rPr>
              <w:t>a</w:t>
            </w:r>
            <w:r w:rsidR="00461549" w:rsidRPr="00D970F7">
              <w:rPr>
                <w:spacing w:val="-4"/>
                <w:lang w:val="en-GB"/>
              </w:rPr>
              <w:t>s well as economic operations</w:t>
            </w:r>
            <w:r w:rsidR="005C2319" w:rsidRPr="00D970F7">
              <w:rPr>
                <w:spacing w:val="-4"/>
                <w:lang w:val="en-GB"/>
              </w:rPr>
              <w:t xml:space="preserve"> in reactions to spreading of the coronavirus. Beginning of the measures can be dated to half of March </w:t>
            </w:r>
            <w:r w:rsidR="008F509F" w:rsidRPr="00D970F7">
              <w:rPr>
                <w:spacing w:val="-4"/>
                <w:lang w:val="en-GB"/>
              </w:rPr>
              <w:t>(</w:t>
            </w:r>
            <w:r w:rsidR="005C2319" w:rsidRPr="00D970F7">
              <w:rPr>
                <w:spacing w:val="-4"/>
                <w:lang w:val="en-GB"/>
              </w:rPr>
              <w:t xml:space="preserve">year-on-year slump of export by </w:t>
            </w:r>
            <w:r w:rsidR="008F509F" w:rsidRPr="00D970F7">
              <w:rPr>
                <w:spacing w:val="-4"/>
                <w:lang w:val="en-GB"/>
              </w:rPr>
              <w:t>11</w:t>
            </w:r>
            <w:r w:rsidR="005C2319" w:rsidRPr="00D970F7">
              <w:rPr>
                <w:spacing w:val="-4"/>
                <w:lang w:val="en-GB"/>
              </w:rPr>
              <w:t>.</w:t>
            </w:r>
            <w:r w:rsidR="00ED781F" w:rsidRPr="00D970F7">
              <w:rPr>
                <w:spacing w:val="-4"/>
                <w:lang w:val="en-GB"/>
              </w:rPr>
              <w:t>5</w:t>
            </w:r>
            <w:r w:rsidR="008F509F" w:rsidRPr="00D970F7">
              <w:rPr>
                <w:spacing w:val="-4"/>
                <w:lang w:val="en-GB"/>
              </w:rPr>
              <w:t>%</w:t>
            </w:r>
            <w:r w:rsidR="005C2319" w:rsidRPr="00D970F7">
              <w:rPr>
                <w:spacing w:val="-4"/>
                <w:lang w:val="en-GB"/>
              </w:rPr>
              <w:t xml:space="preserve">), when also some large export companies restricted or temporarily closed their operations. Especially April and May were fully hit </w:t>
            </w:r>
            <w:r w:rsidR="008F509F" w:rsidRPr="00D970F7">
              <w:rPr>
                <w:spacing w:val="-4"/>
                <w:lang w:val="en-GB"/>
              </w:rPr>
              <w:t>(</w:t>
            </w:r>
            <w:r w:rsidR="00CE6AAA" w:rsidRPr="00D970F7">
              <w:rPr>
                <w:spacing w:val="-4"/>
                <w:lang w:val="en-GB"/>
              </w:rPr>
              <w:t>year-on-year</w:t>
            </w:r>
            <w:r w:rsidR="005C2319" w:rsidRPr="00D970F7">
              <w:rPr>
                <w:spacing w:val="-4"/>
                <w:lang w:val="en-GB"/>
              </w:rPr>
              <w:t xml:space="preserve"> decreases by </w:t>
            </w:r>
            <w:r w:rsidR="008F509F" w:rsidRPr="00D970F7">
              <w:rPr>
                <w:spacing w:val="-4"/>
                <w:lang w:val="en-GB"/>
              </w:rPr>
              <w:t>3</w:t>
            </w:r>
            <w:r w:rsidR="00ED781F" w:rsidRPr="00D970F7">
              <w:rPr>
                <w:spacing w:val="-4"/>
                <w:lang w:val="en-GB"/>
              </w:rPr>
              <w:t>8</w:t>
            </w:r>
            <w:r w:rsidR="005C2319" w:rsidRPr="00D970F7">
              <w:rPr>
                <w:spacing w:val="-4"/>
                <w:lang w:val="en-GB"/>
              </w:rPr>
              <w:t>.</w:t>
            </w:r>
            <w:r w:rsidR="00ED781F" w:rsidRPr="00D970F7">
              <w:rPr>
                <w:spacing w:val="-4"/>
                <w:lang w:val="en-GB"/>
              </w:rPr>
              <w:t>1</w:t>
            </w:r>
            <w:r w:rsidR="008F509F" w:rsidRPr="00D970F7">
              <w:rPr>
                <w:spacing w:val="-4"/>
                <w:lang w:val="en-GB"/>
              </w:rPr>
              <w:t>% a</w:t>
            </w:r>
            <w:r w:rsidR="005C2319" w:rsidRPr="00D970F7">
              <w:rPr>
                <w:spacing w:val="-4"/>
                <w:lang w:val="en-GB"/>
              </w:rPr>
              <w:t>nd</w:t>
            </w:r>
            <w:r w:rsidR="008F509F" w:rsidRPr="00D970F7">
              <w:rPr>
                <w:spacing w:val="-4"/>
                <w:lang w:val="en-GB"/>
              </w:rPr>
              <w:t> </w:t>
            </w:r>
            <w:r w:rsidR="00ED781F" w:rsidRPr="00D970F7">
              <w:rPr>
                <w:spacing w:val="-4"/>
                <w:lang w:val="en-GB"/>
              </w:rPr>
              <w:t>29</w:t>
            </w:r>
            <w:r w:rsidR="005C2319" w:rsidRPr="00D970F7">
              <w:rPr>
                <w:spacing w:val="-4"/>
                <w:lang w:val="en-GB"/>
              </w:rPr>
              <w:t>.</w:t>
            </w:r>
            <w:r w:rsidR="00ED781F" w:rsidRPr="00D970F7">
              <w:rPr>
                <w:spacing w:val="-4"/>
                <w:lang w:val="en-GB"/>
              </w:rPr>
              <w:t>0</w:t>
            </w:r>
            <w:r w:rsidR="008F509F" w:rsidRPr="00D970F7">
              <w:rPr>
                <w:spacing w:val="-4"/>
                <w:lang w:val="en-GB"/>
              </w:rPr>
              <w:t xml:space="preserve">%), </w:t>
            </w:r>
            <w:r w:rsidR="00CE6AAA" w:rsidRPr="00D970F7">
              <w:rPr>
                <w:spacing w:val="-4"/>
                <w:lang w:val="en-GB"/>
              </w:rPr>
              <w:t xml:space="preserve">in June the export already mildly increased </w:t>
            </w:r>
            <w:r w:rsidR="008F509F" w:rsidRPr="00D970F7">
              <w:rPr>
                <w:spacing w:val="-4"/>
                <w:lang w:val="en-GB"/>
              </w:rPr>
              <w:t>(0</w:t>
            </w:r>
            <w:r w:rsidR="00CE6AAA" w:rsidRPr="00D970F7">
              <w:rPr>
                <w:spacing w:val="-4"/>
                <w:lang w:val="en-GB"/>
              </w:rPr>
              <w:t>.</w:t>
            </w:r>
            <w:r w:rsidR="008F509F" w:rsidRPr="00D970F7">
              <w:rPr>
                <w:spacing w:val="-4"/>
                <w:lang w:val="en-GB"/>
              </w:rPr>
              <w:t>3%).</w:t>
            </w:r>
          </w:p>
        </w:tc>
      </w:tr>
      <w:tr w:rsidR="008F509F" w:rsidRPr="00D970F7" w14:paraId="3FE371AD" w14:textId="77777777" w:rsidTr="00CF6F9C">
        <w:trPr>
          <w:trHeight w:val="145"/>
        </w:trPr>
        <w:tc>
          <w:tcPr>
            <w:tcW w:w="1762" w:type="dxa"/>
            <w:shd w:val="clear" w:color="auto" w:fill="auto"/>
            <w:tcMar>
              <w:left w:w="0" w:type="dxa"/>
            </w:tcMar>
          </w:tcPr>
          <w:p w14:paraId="79A303D6" w14:textId="49909CC1" w:rsidR="008F509F" w:rsidRPr="00D970F7" w:rsidRDefault="00DF724C" w:rsidP="00CF6F9C">
            <w:pPr>
              <w:pStyle w:val="Marginlie"/>
              <w:rPr>
                <w:lang w:val="en-GB"/>
              </w:rPr>
            </w:pPr>
            <w:r w:rsidRPr="00D970F7">
              <w:rPr>
                <w:lang w:val="en-GB"/>
              </w:rPr>
              <w:t xml:space="preserve">The downturn involved nearly all important export destinations. </w:t>
            </w:r>
          </w:p>
        </w:tc>
        <w:tc>
          <w:tcPr>
            <w:tcW w:w="223" w:type="dxa"/>
            <w:shd w:val="clear" w:color="auto" w:fill="auto"/>
            <w:tcMar>
              <w:left w:w="0" w:type="dxa"/>
            </w:tcMar>
          </w:tcPr>
          <w:p w14:paraId="7DD71EAD"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40C0CF74" w14:textId="052CB75C" w:rsidR="008F509F" w:rsidRPr="00227AB3" w:rsidRDefault="00FF7632" w:rsidP="00AB3B20">
            <w:pPr>
              <w:spacing w:after="200"/>
              <w:rPr>
                <w:lang w:val="en-GB"/>
              </w:rPr>
            </w:pPr>
            <w:r w:rsidRPr="00227AB3">
              <w:rPr>
                <w:lang w:val="en-GB"/>
              </w:rPr>
              <w:t xml:space="preserve">Export slump was all encompassing and touched nearly all main export destinations. </w:t>
            </w:r>
            <w:r w:rsidR="000972D4" w:rsidRPr="00227AB3">
              <w:rPr>
                <w:lang w:val="en-GB"/>
              </w:rPr>
              <w:t xml:space="preserve">Export into the EU sank by </w:t>
            </w:r>
            <w:r w:rsidR="008F509F" w:rsidRPr="00227AB3">
              <w:rPr>
                <w:lang w:val="en-GB"/>
              </w:rPr>
              <w:t>210</w:t>
            </w:r>
            <w:r w:rsidR="000972D4" w:rsidRPr="00227AB3">
              <w:rPr>
                <w:lang w:val="en-GB"/>
              </w:rPr>
              <w:t>.</w:t>
            </w:r>
            <w:r w:rsidR="008F509F" w:rsidRPr="00227AB3">
              <w:rPr>
                <w:lang w:val="en-GB"/>
              </w:rPr>
              <w:t>5</w:t>
            </w:r>
            <w:r w:rsidR="000972D4" w:rsidRPr="00227AB3">
              <w:rPr>
                <w:lang w:val="en-GB"/>
              </w:rPr>
              <w:t xml:space="preserve"> CZK bn </w:t>
            </w:r>
            <w:r w:rsidR="008F509F" w:rsidRPr="00227AB3">
              <w:rPr>
                <w:lang w:val="en-GB"/>
              </w:rPr>
              <w:t>(14</w:t>
            </w:r>
            <w:r w:rsidR="000972D4" w:rsidRPr="00227AB3">
              <w:rPr>
                <w:lang w:val="en-GB"/>
              </w:rPr>
              <w:t>.</w:t>
            </w:r>
            <w:r w:rsidR="008F509F" w:rsidRPr="00227AB3">
              <w:rPr>
                <w:lang w:val="en-GB"/>
              </w:rPr>
              <w:t>0%)</w:t>
            </w:r>
            <w:r w:rsidR="000972D4" w:rsidRPr="00227AB3">
              <w:rPr>
                <w:lang w:val="en-GB"/>
              </w:rPr>
              <w:t xml:space="preserve"> in H1 and it arrived at </w:t>
            </w:r>
            <w:r w:rsidR="008F509F" w:rsidRPr="00227AB3">
              <w:rPr>
                <w:lang w:val="en-GB"/>
              </w:rPr>
              <w:t>42</w:t>
            </w:r>
            <w:r w:rsidR="000972D4" w:rsidRPr="00227AB3">
              <w:rPr>
                <w:lang w:val="en-GB"/>
              </w:rPr>
              <w:t>.</w:t>
            </w:r>
            <w:r w:rsidR="008F509F" w:rsidRPr="00227AB3">
              <w:rPr>
                <w:lang w:val="en-GB"/>
              </w:rPr>
              <w:t>6</w:t>
            </w:r>
            <w:r w:rsidR="000972D4" w:rsidRPr="00227AB3">
              <w:rPr>
                <w:lang w:val="en-GB"/>
              </w:rPr>
              <w:t xml:space="preserve"> bn </w:t>
            </w:r>
            <w:r w:rsidR="008F509F" w:rsidRPr="00227AB3">
              <w:rPr>
                <w:lang w:val="en-GB"/>
              </w:rPr>
              <w:t>(11</w:t>
            </w:r>
            <w:r w:rsidR="000972D4" w:rsidRPr="00227AB3">
              <w:rPr>
                <w:lang w:val="en-GB"/>
              </w:rPr>
              <w:t>.</w:t>
            </w:r>
            <w:r w:rsidR="008F509F" w:rsidRPr="00227AB3">
              <w:rPr>
                <w:lang w:val="en-GB"/>
              </w:rPr>
              <w:t>4%)</w:t>
            </w:r>
            <w:r w:rsidR="000972D4" w:rsidRPr="00227AB3">
              <w:rPr>
                <w:lang w:val="en-GB"/>
              </w:rPr>
              <w:t xml:space="preserve"> outside the EU</w:t>
            </w:r>
            <w:r w:rsidR="008F509F" w:rsidRPr="00227AB3">
              <w:rPr>
                <w:lang w:val="en-GB"/>
              </w:rPr>
              <w:t xml:space="preserve">. </w:t>
            </w:r>
            <w:r w:rsidRPr="00227AB3">
              <w:rPr>
                <w:lang w:val="en-GB"/>
              </w:rPr>
              <w:t>Majority of stated decrease however belonged to Q</w:t>
            </w:r>
            <w:r w:rsidR="008F509F" w:rsidRPr="00227AB3">
              <w:rPr>
                <w:lang w:val="en-GB"/>
              </w:rPr>
              <w:t>2</w:t>
            </w:r>
            <w:r w:rsidRPr="00227AB3">
              <w:rPr>
                <w:lang w:val="en-GB"/>
              </w:rPr>
              <w:t xml:space="preserve"> </w:t>
            </w:r>
            <w:r w:rsidR="008F509F" w:rsidRPr="00227AB3">
              <w:rPr>
                <w:lang w:val="en-GB"/>
              </w:rPr>
              <w:t>(</w:t>
            </w:r>
            <w:r w:rsidRPr="00227AB3">
              <w:rPr>
                <w:lang w:val="en-GB"/>
              </w:rPr>
              <w:t xml:space="preserve">export into the EU </w:t>
            </w:r>
            <w:r w:rsidR="008F509F" w:rsidRPr="00227AB3">
              <w:rPr>
                <w:lang w:val="en-GB"/>
              </w:rPr>
              <w:t>–176</w:t>
            </w:r>
            <w:r w:rsidRPr="00227AB3">
              <w:rPr>
                <w:lang w:val="en-GB"/>
              </w:rPr>
              <w:t>.</w:t>
            </w:r>
            <w:r w:rsidR="008F509F" w:rsidRPr="00227AB3">
              <w:rPr>
                <w:lang w:val="en-GB"/>
              </w:rPr>
              <w:t>0</w:t>
            </w:r>
            <w:r w:rsidRPr="00227AB3">
              <w:rPr>
                <w:lang w:val="en-GB"/>
              </w:rPr>
              <w:t xml:space="preserve"> CZK bn</w:t>
            </w:r>
            <w:r w:rsidR="008F509F" w:rsidRPr="00227AB3">
              <w:rPr>
                <w:lang w:val="en-GB"/>
              </w:rPr>
              <w:t xml:space="preserve">, </w:t>
            </w:r>
            <w:r w:rsidRPr="00227AB3">
              <w:rPr>
                <w:lang w:val="en-GB"/>
              </w:rPr>
              <w:t xml:space="preserve">outside the EU </w:t>
            </w:r>
            <w:r w:rsidR="008F509F" w:rsidRPr="00227AB3">
              <w:rPr>
                <w:lang w:val="en-GB"/>
              </w:rPr>
              <w:t>–38</w:t>
            </w:r>
            <w:r w:rsidRPr="00227AB3">
              <w:rPr>
                <w:lang w:val="en-GB"/>
              </w:rPr>
              <w:t>.</w:t>
            </w:r>
            <w:r w:rsidR="008F509F" w:rsidRPr="00227AB3">
              <w:rPr>
                <w:lang w:val="en-GB"/>
              </w:rPr>
              <w:t>5</w:t>
            </w:r>
            <w:r w:rsidRPr="00227AB3">
              <w:rPr>
                <w:lang w:val="en-GB"/>
              </w:rPr>
              <w:t xml:space="preserve"> bn</w:t>
            </w:r>
            <w:r w:rsidR="008F509F" w:rsidRPr="00227AB3">
              <w:rPr>
                <w:lang w:val="en-GB"/>
              </w:rPr>
              <w:t xml:space="preserve">). </w:t>
            </w:r>
            <w:r w:rsidR="009E78AC" w:rsidRPr="00227AB3">
              <w:rPr>
                <w:lang w:val="en-GB"/>
              </w:rPr>
              <w:t>In Q</w:t>
            </w:r>
            <w:r w:rsidR="008F509F" w:rsidRPr="00227AB3">
              <w:rPr>
                <w:lang w:val="en-GB"/>
              </w:rPr>
              <w:t>2</w:t>
            </w:r>
            <w:r w:rsidR="009E78AC" w:rsidRPr="00227AB3">
              <w:rPr>
                <w:lang w:val="en-GB"/>
              </w:rPr>
              <w:t>, export to</w:t>
            </w:r>
            <w:r w:rsidR="005109BD" w:rsidRPr="00227AB3">
              <w:rPr>
                <w:lang w:val="en-GB"/>
              </w:rPr>
              <w:t xml:space="preserve"> Germany </w:t>
            </w:r>
            <w:r w:rsidR="008F509F" w:rsidRPr="00227AB3">
              <w:rPr>
                <w:lang w:val="en-GB"/>
              </w:rPr>
              <w:t>(–65</w:t>
            </w:r>
            <w:r w:rsidR="005109BD" w:rsidRPr="00227AB3">
              <w:rPr>
                <w:lang w:val="en-GB"/>
              </w:rPr>
              <w:t>.</w:t>
            </w:r>
            <w:r w:rsidR="008F509F" w:rsidRPr="00227AB3">
              <w:rPr>
                <w:lang w:val="en-GB"/>
              </w:rPr>
              <w:t>1 </w:t>
            </w:r>
            <w:r w:rsidR="005109BD" w:rsidRPr="00227AB3">
              <w:rPr>
                <w:lang w:val="en-GB"/>
              </w:rPr>
              <w:t>CZK bn</w:t>
            </w:r>
            <w:r w:rsidR="008F509F" w:rsidRPr="00227AB3">
              <w:rPr>
                <w:lang w:val="en-GB"/>
              </w:rPr>
              <w:t>, –21</w:t>
            </w:r>
            <w:r w:rsidR="005109BD" w:rsidRPr="00227AB3">
              <w:rPr>
                <w:lang w:val="en-GB"/>
              </w:rPr>
              <w:t>.</w:t>
            </w:r>
            <w:r w:rsidR="008F509F" w:rsidRPr="00227AB3">
              <w:rPr>
                <w:lang w:val="en-GB"/>
              </w:rPr>
              <w:t>9%), France (–18</w:t>
            </w:r>
            <w:r w:rsidR="005109BD" w:rsidRPr="00227AB3">
              <w:rPr>
                <w:lang w:val="en-GB"/>
              </w:rPr>
              <w:t>.</w:t>
            </w:r>
            <w:r w:rsidR="008F509F" w:rsidRPr="00227AB3">
              <w:rPr>
                <w:lang w:val="en-GB"/>
              </w:rPr>
              <w:t>1 </w:t>
            </w:r>
            <w:r w:rsidR="005109BD" w:rsidRPr="00227AB3">
              <w:rPr>
                <w:lang w:val="en-GB"/>
              </w:rPr>
              <w:t>bn</w:t>
            </w:r>
            <w:r w:rsidR="008F509F" w:rsidRPr="00227AB3">
              <w:rPr>
                <w:lang w:val="en-GB"/>
              </w:rPr>
              <w:t>, –37</w:t>
            </w:r>
            <w:r w:rsidR="005109BD" w:rsidRPr="00227AB3">
              <w:rPr>
                <w:lang w:val="en-GB"/>
              </w:rPr>
              <w:t>.</w:t>
            </w:r>
            <w:r w:rsidR="008F509F" w:rsidRPr="00227AB3">
              <w:rPr>
                <w:lang w:val="en-GB"/>
              </w:rPr>
              <w:t>2%) a</w:t>
            </w:r>
            <w:r w:rsidR="005109BD" w:rsidRPr="00227AB3">
              <w:rPr>
                <w:lang w:val="en-GB"/>
              </w:rPr>
              <w:t xml:space="preserve">nd Slovakia </w:t>
            </w:r>
            <w:r w:rsidR="008F509F" w:rsidRPr="00227AB3">
              <w:rPr>
                <w:lang w:val="en-GB"/>
              </w:rPr>
              <w:t>(–15</w:t>
            </w:r>
            <w:r w:rsidR="005109BD" w:rsidRPr="00227AB3">
              <w:rPr>
                <w:lang w:val="en-GB"/>
              </w:rPr>
              <w:t>.</w:t>
            </w:r>
            <w:r w:rsidR="008F509F" w:rsidRPr="00227AB3">
              <w:rPr>
                <w:lang w:val="en-GB"/>
              </w:rPr>
              <w:t>8</w:t>
            </w:r>
            <w:r w:rsidR="005109BD" w:rsidRPr="00227AB3">
              <w:rPr>
                <w:lang w:val="en-GB"/>
              </w:rPr>
              <w:t xml:space="preserve"> bn</w:t>
            </w:r>
            <w:r w:rsidR="008F509F" w:rsidRPr="00227AB3">
              <w:rPr>
                <w:lang w:val="en-GB"/>
              </w:rPr>
              <w:t>,</w:t>
            </w:r>
            <w:r w:rsidR="009E78AC" w:rsidRPr="00227AB3">
              <w:rPr>
                <w:lang w:val="en-GB"/>
              </w:rPr>
              <w:t xml:space="preserve"> </w:t>
            </w:r>
            <w:r w:rsidR="008F509F" w:rsidRPr="00227AB3">
              <w:rPr>
                <w:lang w:val="en-GB"/>
              </w:rPr>
              <w:t>–18</w:t>
            </w:r>
            <w:r w:rsidR="005109BD" w:rsidRPr="00227AB3">
              <w:rPr>
                <w:lang w:val="en-GB"/>
              </w:rPr>
              <w:t>.</w:t>
            </w:r>
            <w:r w:rsidR="008F509F" w:rsidRPr="00227AB3">
              <w:rPr>
                <w:lang w:val="en-GB"/>
              </w:rPr>
              <w:t>7%)</w:t>
            </w:r>
            <w:r w:rsidR="009E78AC" w:rsidRPr="00227AB3">
              <w:rPr>
                <w:lang w:val="en-GB"/>
              </w:rPr>
              <w:t xml:space="preserve"> went down the most</w:t>
            </w:r>
            <w:r w:rsidR="008F509F" w:rsidRPr="00227AB3">
              <w:rPr>
                <w:lang w:val="en-GB"/>
              </w:rPr>
              <w:t xml:space="preserve">. </w:t>
            </w:r>
            <w:r w:rsidR="009E78AC" w:rsidRPr="00227AB3">
              <w:rPr>
                <w:lang w:val="en-GB"/>
              </w:rPr>
              <w:t>Exporters</w:t>
            </w:r>
            <w:r w:rsidR="0015573B" w:rsidRPr="00227AB3">
              <w:rPr>
                <w:lang w:val="en-GB"/>
              </w:rPr>
              <w:t xml:space="preserve"> to Spain </w:t>
            </w:r>
            <w:r w:rsidR="008F509F" w:rsidRPr="00227AB3">
              <w:rPr>
                <w:lang w:val="en-GB"/>
              </w:rPr>
              <w:t>(–14</w:t>
            </w:r>
            <w:r w:rsidR="0015573B" w:rsidRPr="00227AB3">
              <w:rPr>
                <w:lang w:val="en-GB"/>
              </w:rPr>
              <w:t>.</w:t>
            </w:r>
            <w:r w:rsidR="008F509F" w:rsidRPr="00227AB3">
              <w:rPr>
                <w:lang w:val="en-GB"/>
              </w:rPr>
              <w:t>8 </w:t>
            </w:r>
            <w:r w:rsidR="0015573B" w:rsidRPr="00227AB3">
              <w:rPr>
                <w:lang w:val="en-GB"/>
              </w:rPr>
              <w:t>bn</w:t>
            </w:r>
            <w:r w:rsidR="008F509F" w:rsidRPr="00227AB3">
              <w:rPr>
                <w:lang w:val="en-GB"/>
              </w:rPr>
              <w:t>, –43</w:t>
            </w:r>
            <w:r w:rsidR="0015573B" w:rsidRPr="00227AB3">
              <w:rPr>
                <w:lang w:val="en-GB"/>
              </w:rPr>
              <w:t>.</w:t>
            </w:r>
            <w:r w:rsidR="008F509F" w:rsidRPr="00227AB3">
              <w:rPr>
                <w:lang w:val="en-GB"/>
              </w:rPr>
              <w:t>9%), Pol</w:t>
            </w:r>
            <w:r w:rsidR="0015573B" w:rsidRPr="00227AB3">
              <w:rPr>
                <w:lang w:val="en-GB"/>
              </w:rPr>
              <w:t>and</w:t>
            </w:r>
            <w:r w:rsidR="008F509F" w:rsidRPr="00227AB3">
              <w:rPr>
                <w:lang w:val="en-GB"/>
              </w:rPr>
              <w:t xml:space="preserve"> (–13</w:t>
            </w:r>
            <w:r w:rsidR="0015573B" w:rsidRPr="00227AB3">
              <w:rPr>
                <w:lang w:val="en-GB"/>
              </w:rPr>
              <w:t>.</w:t>
            </w:r>
            <w:r w:rsidR="008F509F" w:rsidRPr="00227AB3">
              <w:rPr>
                <w:lang w:val="en-GB"/>
              </w:rPr>
              <w:t>4</w:t>
            </w:r>
            <w:r w:rsidR="0015573B" w:rsidRPr="00227AB3">
              <w:rPr>
                <w:lang w:val="en-GB"/>
              </w:rPr>
              <w:t xml:space="preserve"> bn</w:t>
            </w:r>
            <w:r w:rsidR="008F509F" w:rsidRPr="00227AB3">
              <w:rPr>
                <w:lang w:val="en-GB"/>
              </w:rPr>
              <w:t>, –22</w:t>
            </w:r>
            <w:r w:rsidR="0015573B" w:rsidRPr="00227AB3">
              <w:rPr>
                <w:lang w:val="en-GB"/>
              </w:rPr>
              <w:t>.</w:t>
            </w:r>
            <w:r w:rsidR="008F509F" w:rsidRPr="00227AB3">
              <w:rPr>
                <w:lang w:val="en-GB"/>
              </w:rPr>
              <w:t>8%) a</w:t>
            </w:r>
            <w:r w:rsidR="0015573B" w:rsidRPr="00227AB3">
              <w:rPr>
                <w:lang w:val="en-GB"/>
              </w:rPr>
              <w:t xml:space="preserve">nd Italy </w:t>
            </w:r>
            <w:r w:rsidR="008F509F" w:rsidRPr="00227AB3">
              <w:rPr>
                <w:lang w:val="en-GB"/>
              </w:rPr>
              <w:t>(–10</w:t>
            </w:r>
            <w:r w:rsidR="0015573B" w:rsidRPr="00227AB3">
              <w:rPr>
                <w:lang w:val="en-GB"/>
              </w:rPr>
              <w:t>.</w:t>
            </w:r>
            <w:r w:rsidR="008F509F" w:rsidRPr="00227AB3">
              <w:rPr>
                <w:lang w:val="en-GB"/>
              </w:rPr>
              <w:t>0 </w:t>
            </w:r>
            <w:r w:rsidR="0015573B" w:rsidRPr="00227AB3">
              <w:rPr>
                <w:lang w:val="en-GB"/>
              </w:rPr>
              <w:t>bn</w:t>
            </w:r>
            <w:r w:rsidR="008F509F" w:rsidRPr="00227AB3">
              <w:rPr>
                <w:lang w:val="en-GB"/>
              </w:rPr>
              <w:t>, –27</w:t>
            </w:r>
            <w:r w:rsidR="0015573B" w:rsidRPr="00227AB3">
              <w:rPr>
                <w:lang w:val="en-GB"/>
              </w:rPr>
              <w:t>.</w:t>
            </w:r>
            <w:r w:rsidR="008F509F" w:rsidRPr="00227AB3">
              <w:rPr>
                <w:lang w:val="en-GB"/>
              </w:rPr>
              <w:t>6%)</w:t>
            </w:r>
            <w:r w:rsidR="009E78AC" w:rsidRPr="00227AB3">
              <w:rPr>
                <w:lang w:val="en-GB"/>
              </w:rPr>
              <w:t xml:space="preserve"> also recorded strong decreases</w:t>
            </w:r>
            <w:r w:rsidR="008F509F" w:rsidRPr="00227AB3">
              <w:rPr>
                <w:lang w:val="en-GB"/>
              </w:rPr>
              <w:t xml:space="preserve">. </w:t>
            </w:r>
            <w:r w:rsidR="009E78AC" w:rsidRPr="00227AB3">
              <w:rPr>
                <w:lang w:val="en-GB"/>
              </w:rPr>
              <w:t>In case of countries outside the Union, especially the slump of value of export to Great Britain</w:t>
            </w:r>
            <w:r w:rsidR="0015573B" w:rsidRPr="00227AB3">
              <w:rPr>
                <w:lang w:val="en-GB"/>
              </w:rPr>
              <w:t xml:space="preserve"> </w:t>
            </w:r>
            <w:r w:rsidR="008F509F" w:rsidRPr="00227AB3">
              <w:rPr>
                <w:lang w:val="en-GB"/>
              </w:rPr>
              <w:t>(–11</w:t>
            </w:r>
            <w:r w:rsidR="0015573B" w:rsidRPr="00227AB3">
              <w:rPr>
                <w:lang w:val="en-GB"/>
              </w:rPr>
              <w:t>.</w:t>
            </w:r>
            <w:r w:rsidR="008F509F" w:rsidRPr="00227AB3">
              <w:rPr>
                <w:lang w:val="en-GB"/>
              </w:rPr>
              <w:t>8 </w:t>
            </w:r>
            <w:r w:rsidR="0015573B" w:rsidRPr="00227AB3">
              <w:rPr>
                <w:lang w:val="en-GB"/>
              </w:rPr>
              <w:t>CZK bn</w:t>
            </w:r>
            <w:r w:rsidR="008F509F" w:rsidRPr="00227AB3">
              <w:rPr>
                <w:lang w:val="en-GB"/>
              </w:rPr>
              <w:t>, –33</w:t>
            </w:r>
            <w:r w:rsidR="0015573B" w:rsidRPr="00227AB3">
              <w:rPr>
                <w:lang w:val="en-GB"/>
              </w:rPr>
              <w:t>.</w:t>
            </w:r>
            <w:r w:rsidR="008F509F" w:rsidRPr="00227AB3">
              <w:rPr>
                <w:lang w:val="en-GB"/>
              </w:rPr>
              <w:t>5%)</w:t>
            </w:r>
            <w:r w:rsidR="009E78AC" w:rsidRPr="00227AB3">
              <w:rPr>
                <w:lang w:val="en-GB"/>
              </w:rPr>
              <w:t xml:space="preserve"> is noticeable</w:t>
            </w:r>
            <w:r w:rsidR="008F509F" w:rsidRPr="00227AB3">
              <w:rPr>
                <w:lang w:val="en-GB"/>
              </w:rPr>
              <w:t>.</w:t>
            </w:r>
            <w:r w:rsidR="009E78AC" w:rsidRPr="00227AB3">
              <w:rPr>
                <w:lang w:val="en-GB"/>
              </w:rPr>
              <w:t xml:space="preserve"> </w:t>
            </w:r>
            <w:r w:rsidR="00776DD8" w:rsidRPr="00227AB3">
              <w:rPr>
                <w:lang w:val="en-GB"/>
              </w:rPr>
              <w:t>Here, a series of decreases lasts with some exceptions already since Q</w:t>
            </w:r>
            <w:r w:rsidR="008F509F" w:rsidRPr="00227AB3">
              <w:rPr>
                <w:lang w:val="en-GB"/>
              </w:rPr>
              <w:t>3</w:t>
            </w:r>
            <w:r w:rsidR="00776DD8" w:rsidRPr="00227AB3">
              <w:rPr>
                <w:lang w:val="en-GB"/>
              </w:rPr>
              <w:t xml:space="preserve"> </w:t>
            </w:r>
            <w:r w:rsidR="008F509F" w:rsidRPr="00227AB3">
              <w:rPr>
                <w:lang w:val="en-GB"/>
              </w:rPr>
              <w:t>2016 a</w:t>
            </w:r>
            <w:r w:rsidR="009E78AC" w:rsidRPr="00227AB3">
              <w:rPr>
                <w:lang w:val="en-GB"/>
              </w:rPr>
              <w:t>nd the last decrease only deepened the existing trend</w:t>
            </w:r>
            <w:r w:rsidR="008F509F" w:rsidRPr="00227AB3">
              <w:rPr>
                <w:rStyle w:val="Znakapoznpodarou"/>
                <w:lang w:val="en-GB"/>
              </w:rPr>
              <w:footnoteReference w:id="31"/>
            </w:r>
            <w:r w:rsidR="008F509F" w:rsidRPr="00227AB3">
              <w:rPr>
                <w:lang w:val="en-GB"/>
              </w:rPr>
              <w:t>.</w:t>
            </w:r>
          </w:p>
        </w:tc>
      </w:tr>
      <w:tr w:rsidR="008F509F" w:rsidRPr="00D970F7" w14:paraId="1E272FE7" w14:textId="77777777" w:rsidTr="00CF6F9C">
        <w:trPr>
          <w:trHeight w:val="170"/>
        </w:trPr>
        <w:tc>
          <w:tcPr>
            <w:tcW w:w="1762" w:type="dxa"/>
            <w:shd w:val="clear" w:color="auto" w:fill="auto"/>
            <w:tcMar>
              <w:left w:w="0" w:type="dxa"/>
            </w:tcMar>
          </w:tcPr>
          <w:p w14:paraId="138CE034" w14:textId="38FC4FED" w:rsidR="008F509F" w:rsidRPr="00D970F7" w:rsidRDefault="00C72FA6" w:rsidP="00CF6F9C">
            <w:pPr>
              <w:pStyle w:val="Marginlie"/>
              <w:rPr>
                <w:lang w:val="en-GB"/>
              </w:rPr>
            </w:pPr>
            <w:r w:rsidRPr="00D970F7">
              <w:rPr>
                <w:lang w:val="en-GB"/>
              </w:rPr>
              <w:t xml:space="preserve">Sale of motor vehicles was hit the most. </w:t>
            </w:r>
          </w:p>
        </w:tc>
        <w:tc>
          <w:tcPr>
            <w:tcW w:w="223" w:type="dxa"/>
            <w:shd w:val="clear" w:color="auto" w:fill="auto"/>
            <w:tcMar>
              <w:left w:w="0" w:type="dxa"/>
            </w:tcMar>
          </w:tcPr>
          <w:p w14:paraId="1E81E304"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77EEC5CD" w14:textId="48F51CF1" w:rsidR="008F509F" w:rsidRPr="00227AB3" w:rsidRDefault="008B042B" w:rsidP="00AB3B20">
            <w:pPr>
              <w:spacing w:after="200"/>
              <w:rPr>
                <w:lang w:val="en-GB"/>
              </w:rPr>
            </w:pPr>
            <w:r w:rsidRPr="00227AB3">
              <w:rPr>
                <w:lang w:val="en-GB"/>
              </w:rPr>
              <w:t>In Q2 export fell the most for items</w:t>
            </w:r>
            <w:r w:rsidR="008F509F" w:rsidRPr="00227AB3">
              <w:rPr>
                <w:lang w:val="en-GB"/>
              </w:rPr>
              <w:t xml:space="preserve">, </w:t>
            </w:r>
            <w:r w:rsidR="00B521D9" w:rsidRPr="00227AB3">
              <w:rPr>
                <w:lang w:val="en-GB"/>
              </w:rPr>
              <w:t>which are vital for the Czech economy, and manufacturing of motor vehicles was the most</w:t>
            </w:r>
            <w:r w:rsidR="00BE74D1" w:rsidRPr="00227AB3">
              <w:rPr>
                <w:lang w:val="en-GB"/>
              </w:rPr>
              <w:t xml:space="preserve"> affected branch</w:t>
            </w:r>
            <w:r w:rsidRPr="00227AB3">
              <w:rPr>
                <w:lang w:val="en-GB"/>
              </w:rPr>
              <w:t xml:space="preserve">. </w:t>
            </w:r>
            <w:r w:rsidR="00B521D9" w:rsidRPr="00227AB3">
              <w:rPr>
                <w:lang w:val="en-GB"/>
              </w:rPr>
              <w:t xml:space="preserve">Value of export of motor vehicles decreased by </w:t>
            </w:r>
            <w:r w:rsidR="008F509F" w:rsidRPr="00227AB3">
              <w:rPr>
                <w:lang w:val="en-GB"/>
              </w:rPr>
              <w:t>117</w:t>
            </w:r>
            <w:r w:rsidR="00B521D9" w:rsidRPr="00227AB3">
              <w:rPr>
                <w:lang w:val="en-GB"/>
              </w:rPr>
              <w:t>.</w:t>
            </w:r>
            <w:r w:rsidR="008F509F" w:rsidRPr="00227AB3">
              <w:rPr>
                <w:lang w:val="en-GB"/>
              </w:rPr>
              <w:t>0 </w:t>
            </w:r>
            <w:r w:rsidR="00B521D9" w:rsidRPr="00227AB3">
              <w:rPr>
                <w:lang w:val="en-GB"/>
              </w:rPr>
              <w:t xml:space="preserve">CZK bn </w:t>
            </w:r>
            <w:r w:rsidR="008F509F" w:rsidRPr="00227AB3">
              <w:rPr>
                <w:lang w:val="en-GB"/>
              </w:rPr>
              <w:t>(43</w:t>
            </w:r>
            <w:r w:rsidR="00B521D9" w:rsidRPr="00227AB3">
              <w:rPr>
                <w:lang w:val="en-GB"/>
              </w:rPr>
              <w:t>.</w:t>
            </w:r>
            <w:r w:rsidR="008F509F" w:rsidRPr="00227AB3">
              <w:rPr>
                <w:lang w:val="en-GB"/>
              </w:rPr>
              <w:t>6%)</w:t>
            </w:r>
            <w:r w:rsidR="00B521D9" w:rsidRPr="00227AB3">
              <w:rPr>
                <w:lang w:val="en-GB"/>
              </w:rPr>
              <w:t xml:space="preserve"> year-on-year in Q2</w:t>
            </w:r>
            <w:r w:rsidR="008F509F" w:rsidRPr="00227AB3">
              <w:rPr>
                <w:lang w:val="en-GB"/>
              </w:rPr>
              <w:t xml:space="preserve">. </w:t>
            </w:r>
            <w:r w:rsidRPr="00227AB3">
              <w:rPr>
                <w:lang w:val="en-GB"/>
              </w:rPr>
              <w:t xml:space="preserve">The second strongest decrease was related to machinery and equipment </w:t>
            </w:r>
            <w:r w:rsidR="008F509F" w:rsidRPr="00227AB3">
              <w:rPr>
                <w:lang w:val="en-GB"/>
              </w:rPr>
              <w:t>(–23</w:t>
            </w:r>
            <w:r w:rsidRPr="00227AB3">
              <w:rPr>
                <w:lang w:val="en-GB"/>
              </w:rPr>
              <w:t>.</w:t>
            </w:r>
            <w:r w:rsidR="008F509F" w:rsidRPr="00227AB3">
              <w:rPr>
                <w:lang w:val="en-GB"/>
              </w:rPr>
              <w:t>1 </w:t>
            </w:r>
            <w:r w:rsidRPr="00227AB3">
              <w:rPr>
                <w:lang w:val="en-GB"/>
              </w:rPr>
              <w:t>CZK bn</w:t>
            </w:r>
            <w:r w:rsidR="008F509F" w:rsidRPr="00227AB3">
              <w:rPr>
                <w:lang w:val="en-GB"/>
              </w:rPr>
              <w:t>, –21</w:t>
            </w:r>
            <w:r w:rsidRPr="00227AB3">
              <w:rPr>
                <w:lang w:val="en-GB"/>
              </w:rPr>
              <w:t>.</w:t>
            </w:r>
            <w:r w:rsidR="008F509F" w:rsidRPr="00227AB3">
              <w:rPr>
                <w:lang w:val="en-GB"/>
              </w:rPr>
              <w:t xml:space="preserve">9%). </w:t>
            </w:r>
            <w:r w:rsidR="00430810" w:rsidRPr="00227AB3">
              <w:rPr>
                <w:lang w:val="en-GB"/>
              </w:rPr>
              <w:t xml:space="preserve">Export was also falling in branches tied to manufacturing of motor vehicles </w:t>
            </w:r>
            <w:r w:rsidR="008F509F" w:rsidRPr="00227AB3">
              <w:rPr>
                <w:lang w:val="en-GB"/>
              </w:rPr>
              <w:t>– ele</w:t>
            </w:r>
            <w:r w:rsidR="00430810" w:rsidRPr="00227AB3">
              <w:rPr>
                <w:lang w:val="en-GB"/>
              </w:rPr>
              <w:t xml:space="preserve">ctrical equipment </w:t>
            </w:r>
            <w:r w:rsidR="008F509F" w:rsidRPr="00227AB3">
              <w:rPr>
                <w:lang w:val="en-GB"/>
              </w:rPr>
              <w:t>(–14</w:t>
            </w:r>
            <w:r w:rsidR="00430810" w:rsidRPr="00227AB3">
              <w:rPr>
                <w:lang w:val="en-GB"/>
              </w:rPr>
              <w:t>.</w:t>
            </w:r>
            <w:r w:rsidR="008F509F" w:rsidRPr="00227AB3">
              <w:rPr>
                <w:lang w:val="en-GB"/>
              </w:rPr>
              <w:t>8</w:t>
            </w:r>
            <w:r w:rsidR="00430810" w:rsidRPr="00227AB3">
              <w:rPr>
                <w:lang w:val="en-GB"/>
              </w:rPr>
              <w:t xml:space="preserve"> CZK bn</w:t>
            </w:r>
            <w:r w:rsidR="008F509F" w:rsidRPr="00227AB3">
              <w:rPr>
                <w:lang w:val="en-GB"/>
              </w:rPr>
              <w:t>, –19</w:t>
            </w:r>
            <w:r w:rsidR="00430810" w:rsidRPr="00227AB3">
              <w:rPr>
                <w:lang w:val="en-GB"/>
              </w:rPr>
              <w:t>.</w:t>
            </w:r>
            <w:r w:rsidR="008F509F" w:rsidRPr="00227AB3">
              <w:rPr>
                <w:lang w:val="en-GB"/>
              </w:rPr>
              <w:t>1%)</w:t>
            </w:r>
            <w:r w:rsidR="00430810" w:rsidRPr="00227AB3">
              <w:rPr>
                <w:lang w:val="en-GB"/>
              </w:rPr>
              <w:t xml:space="preserve"> and rubber and plastic products </w:t>
            </w:r>
            <w:r w:rsidR="008F509F" w:rsidRPr="00227AB3">
              <w:rPr>
                <w:lang w:val="en-GB"/>
              </w:rPr>
              <w:t>(–12</w:t>
            </w:r>
            <w:r w:rsidR="00430810" w:rsidRPr="00227AB3">
              <w:rPr>
                <w:lang w:val="en-GB"/>
              </w:rPr>
              <w:t>.</w:t>
            </w:r>
            <w:r w:rsidR="008F509F" w:rsidRPr="00227AB3">
              <w:rPr>
                <w:lang w:val="en-GB"/>
              </w:rPr>
              <w:t>0 </w:t>
            </w:r>
            <w:r w:rsidR="00430810" w:rsidRPr="00227AB3">
              <w:rPr>
                <w:lang w:val="en-GB"/>
              </w:rPr>
              <w:t>bn</w:t>
            </w:r>
            <w:r w:rsidR="008F509F" w:rsidRPr="00227AB3">
              <w:rPr>
                <w:lang w:val="en-GB"/>
              </w:rPr>
              <w:t>, –23</w:t>
            </w:r>
            <w:r w:rsidR="00BE74D1" w:rsidRPr="00227AB3">
              <w:rPr>
                <w:lang w:val="en-GB"/>
              </w:rPr>
              <w:t>.</w:t>
            </w:r>
            <w:r w:rsidR="008A0995" w:rsidRPr="00227AB3">
              <w:rPr>
                <w:lang w:val="en-GB"/>
              </w:rPr>
              <w:t>8</w:t>
            </w:r>
            <w:r w:rsidR="008F509F" w:rsidRPr="00227AB3">
              <w:rPr>
                <w:lang w:val="en-GB"/>
              </w:rPr>
              <w:t>%).</w:t>
            </w:r>
            <w:r w:rsidR="00D76F0E" w:rsidRPr="00227AB3">
              <w:rPr>
                <w:lang w:val="en-GB"/>
              </w:rPr>
              <w:t xml:space="preserve"> Further strong decreases were recorded for metal products </w:t>
            </w:r>
            <w:r w:rsidR="008F509F" w:rsidRPr="00227AB3">
              <w:rPr>
                <w:lang w:val="en-GB"/>
              </w:rPr>
              <w:t>(–10</w:t>
            </w:r>
            <w:r w:rsidR="00D76F0E" w:rsidRPr="00227AB3">
              <w:rPr>
                <w:lang w:val="en-GB"/>
              </w:rPr>
              <w:t>.</w:t>
            </w:r>
            <w:r w:rsidR="008F509F" w:rsidRPr="00227AB3">
              <w:rPr>
                <w:lang w:val="en-GB"/>
              </w:rPr>
              <w:t>3 </w:t>
            </w:r>
            <w:r w:rsidR="00D76F0E" w:rsidRPr="00227AB3">
              <w:rPr>
                <w:lang w:val="en-GB"/>
              </w:rPr>
              <w:t>bn</w:t>
            </w:r>
            <w:r w:rsidR="008F509F" w:rsidRPr="00227AB3">
              <w:rPr>
                <w:lang w:val="en-GB"/>
              </w:rPr>
              <w:t>, –17</w:t>
            </w:r>
            <w:r w:rsidR="00D76F0E" w:rsidRPr="00227AB3">
              <w:rPr>
                <w:lang w:val="en-GB"/>
              </w:rPr>
              <w:t>.</w:t>
            </w:r>
            <w:r w:rsidR="008F509F" w:rsidRPr="00227AB3">
              <w:rPr>
                <w:lang w:val="en-GB"/>
              </w:rPr>
              <w:t>4%),</w:t>
            </w:r>
            <w:r w:rsidR="00D76F0E" w:rsidRPr="00227AB3">
              <w:rPr>
                <w:lang w:val="en-GB"/>
              </w:rPr>
              <w:t xml:space="preserve"> bas</w:t>
            </w:r>
            <w:r w:rsidR="00430810" w:rsidRPr="00227AB3">
              <w:rPr>
                <w:lang w:val="en-GB"/>
              </w:rPr>
              <w:t>i</w:t>
            </w:r>
            <w:r w:rsidR="00D76F0E" w:rsidRPr="00227AB3">
              <w:rPr>
                <w:lang w:val="en-GB"/>
              </w:rPr>
              <w:t xml:space="preserve">c metals </w:t>
            </w:r>
            <w:r w:rsidR="008F509F" w:rsidRPr="00227AB3">
              <w:rPr>
                <w:lang w:val="en-GB"/>
              </w:rPr>
              <w:t>(–8</w:t>
            </w:r>
            <w:r w:rsidR="00D76F0E" w:rsidRPr="00227AB3">
              <w:rPr>
                <w:lang w:val="en-GB"/>
              </w:rPr>
              <w:t>.</w:t>
            </w:r>
            <w:r w:rsidR="008F509F" w:rsidRPr="00227AB3">
              <w:rPr>
                <w:lang w:val="en-GB"/>
              </w:rPr>
              <w:t>1</w:t>
            </w:r>
            <w:r w:rsidR="00D76F0E" w:rsidRPr="00227AB3">
              <w:rPr>
                <w:lang w:val="en-GB"/>
              </w:rPr>
              <w:t xml:space="preserve"> bn</w:t>
            </w:r>
            <w:r w:rsidR="008F509F" w:rsidRPr="00227AB3">
              <w:rPr>
                <w:lang w:val="en-GB"/>
              </w:rPr>
              <w:t xml:space="preserve">, </w:t>
            </w:r>
            <w:r w:rsidR="00AB3B20" w:rsidRPr="00227AB3">
              <w:rPr>
                <w:lang w:val="en-GB"/>
              </w:rPr>
              <w:noBreakHyphen/>
            </w:r>
            <w:r w:rsidR="008F509F" w:rsidRPr="00227AB3">
              <w:rPr>
                <w:lang w:val="en-GB"/>
              </w:rPr>
              <w:t>21</w:t>
            </w:r>
            <w:r w:rsidR="00D76F0E" w:rsidRPr="00227AB3">
              <w:rPr>
                <w:lang w:val="en-GB"/>
              </w:rPr>
              <w:t>.</w:t>
            </w:r>
            <w:r w:rsidR="008F509F" w:rsidRPr="00227AB3">
              <w:rPr>
                <w:lang w:val="en-GB"/>
              </w:rPr>
              <w:t>8%), chemic</w:t>
            </w:r>
            <w:r w:rsidR="00D76F0E" w:rsidRPr="00227AB3">
              <w:rPr>
                <w:lang w:val="en-GB"/>
              </w:rPr>
              <w:t xml:space="preserve">als and chemical products </w:t>
            </w:r>
            <w:r w:rsidR="008F509F" w:rsidRPr="00227AB3">
              <w:rPr>
                <w:lang w:val="en-GB"/>
              </w:rPr>
              <w:t>(–7</w:t>
            </w:r>
            <w:r w:rsidR="00D76F0E" w:rsidRPr="00227AB3">
              <w:rPr>
                <w:lang w:val="en-GB"/>
              </w:rPr>
              <w:t>.</w:t>
            </w:r>
            <w:r w:rsidR="008F509F" w:rsidRPr="00227AB3">
              <w:rPr>
                <w:lang w:val="en-GB"/>
              </w:rPr>
              <w:t>1 </w:t>
            </w:r>
            <w:r w:rsidR="00D76F0E" w:rsidRPr="00227AB3">
              <w:rPr>
                <w:lang w:val="en-GB"/>
              </w:rPr>
              <w:t>bn</w:t>
            </w:r>
            <w:r w:rsidR="008F509F" w:rsidRPr="00227AB3">
              <w:rPr>
                <w:lang w:val="en-GB"/>
              </w:rPr>
              <w:t>, –16</w:t>
            </w:r>
            <w:r w:rsidR="00D76F0E" w:rsidRPr="00227AB3">
              <w:rPr>
                <w:lang w:val="en-GB"/>
              </w:rPr>
              <w:t>.</w:t>
            </w:r>
            <w:r w:rsidR="008F509F" w:rsidRPr="00227AB3">
              <w:rPr>
                <w:lang w:val="en-GB"/>
              </w:rPr>
              <w:t>1%).</w:t>
            </w:r>
          </w:p>
        </w:tc>
      </w:tr>
      <w:tr w:rsidR="008F509F" w:rsidRPr="00D970F7" w14:paraId="6C56F934" w14:textId="77777777" w:rsidTr="00CF6F9C">
        <w:trPr>
          <w:trHeight w:val="145"/>
        </w:trPr>
        <w:tc>
          <w:tcPr>
            <w:tcW w:w="1762" w:type="dxa"/>
            <w:shd w:val="clear" w:color="auto" w:fill="auto"/>
            <w:tcMar>
              <w:left w:w="0" w:type="dxa"/>
            </w:tcMar>
          </w:tcPr>
          <w:p w14:paraId="60657015" w14:textId="7EFBD0A3" w:rsidR="008F509F" w:rsidRPr="00D970F7" w:rsidRDefault="00E01965" w:rsidP="00CF6F9C">
            <w:pPr>
              <w:pStyle w:val="Marginlie"/>
              <w:rPr>
                <w:lang w:val="en-GB"/>
              </w:rPr>
            </w:pPr>
            <w:r w:rsidRPr="00D970F7">
              <w:rPr>
                <w:lang w:val="en-GB"/>
              </w:rPr>
              <w:t xml:space="preserve">Import also slumped. Apart from the restricted economic </w:t>
            </w:r>
            <w:r w:rsidR="00A16CA8" w:rsidRPr="00D970F7">
              <w:rPr>
                <w:lang w:val="en-GB"/>
              </w:rPr>
              <w:t>activity</w:t>
            </w:r>
            <w:r w:rsidRPr="00D970F7">
              <w:rPr>
                <w:lang w:val="en-GB"/>
              </w:rPr>
              <w:t xml:space="preserve"> the effect of decreased prices of oil and natural gas was also apparent. </w:t>
            </w:r>
          </w:p>
        </w:tc>
        <w:tc>
          <w:tcPr>
            <w:tcW w:w="223" w:type="dxa"/>
            <w:shd w:val="clear" w:color="auto" w:fill="auto"/>
            <w:tcMar>
              <w:left w:w="0" w:type="dxa"/>
            </w:tcMar>
          </w:tcPr>
          <w:p w14:paraId="2E89B431"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73D2781D" w14:textId="03543D25" w:rsidR="008F509F" w:rsidRPr="00D970F7" w:rsidRDefault="009B172F" w:rsidP="00AB3B20">
            <w:pPr>
              <w:rPr>
                <w:spacing w:val="-4"/>
                <w:lang w:val="en-GB"/>
              </w:rPr>
            </w:pPr>
            <w:r w:rsidRPr="00D970F7">
              <w:rPr>
                <w:spacing w:val="-4"/>
                <w:lang w:val="en-GB"/>
              </w:rPr>
              <w:t>Value of import of goods also fell in H</w:t>
            </w:r>
            <w:r w:rsidR="008F509F" w:rsidRPr="00D970F7">
              <w:rPr>
                <w:spacing w:val="-4"/>
                <w:lang w:val="en-GB"/>
              </w:rPr>
              <w:t>1,</w:t>
            </w:r>
            <w:r w:rsidRPr="00D970F7">
              <w:rPr>
                <w:spacing w:val="-4"/>
                <w:lang w:val="en-GB"/>
              </w:rPr>
              <w:t xml:space="preserve"> specifically by </w:t>
            </w:r>
            <w:r w:rsidR="008F509F" w:rsidRPr="00D970F7">
              <w:rPr>
                <w:spacing w:val="-4"/>
                <w:lang w:val="en-GB"/>
              </w:rPr>
              <w:t>200</w:t>
            </w:r>
            <w:r w:rsidRPr="00D970F7">
              <w:rPr>
                <w:spacing w:val="-4"/>
                <w:lang w:val="en-GB"/>
              </w:rPr>
              <w:t>.</w:t>
            </w:r>
            <w:r w:rsidR="008F509F" w:rsidRPr="00D970F7">
              <w:rPr>
                <w:spacing w:val="-4"/>
                <w:lang w:val="en-GB"/>
              </w:rPr>
              <w:t>4 </w:t>
            </w:r>
            <w:r w:rsidRPr="00D970F7">
              <w:rPr>
                <w:spacing w:val="-4"/>
                <w:lang w:val="en-GB"/>
              </w:rPr>
              <w:t xml:space="preserve">CZK bn </w:t>
            </w:r>
            <w:r w:rsidR="008F509F" w:rsidRPr="00D970F7">
              <w:rPr>
                <w:spacing w:val="-4"/>
                <w:lang w:val="en-GB"/>
              </w:rPr>
              <w:t>(–11</w:t>
            </w:r>
            <w:r w:rsidRPr="00D970F7">
              <w:rPr>
                <w:spacing w:val="-4"/>
                <w:lang w:val="en-GB"/>
              </w:rPr>
              <w:t>.</w:t>
            </w:r>
            <w:r w:rsidR="008F509F" w:rsidRPr="00D970F7">
              <w:rPr>
                <w:spacing w:val="-4"/>
                <w:lang w:val="en-GB"/>
              </w:rPr>
              <w:t>3%)</w:t>
            </w:r>
            <w:r w:rsidRPr="00D970F7">
              <w:rPr>
                <w:spacing w:val="-4"/>
                <w:lang w:val="en-GB"/>
              </w:rPr>
              <w:t xml:space="preserve"> to </w:t>
            </w:r>
            <w:r w:rsidR="008F509F" w:rsidRPr="00D970F7">
              <w:rPr>
                <w:spacing w:val="-4"/>
                <w:lang w:val="en-GB"/>
              </w:rPr>
              <w:t>1</w:t>
            </w:r>
            <w:r w:rsidRPr="00D970F7">
              <w:rPr>
                <w:spacing w:val="-4"/>
                <w:lang w:val="en-GB"/>
              </w:rPr>
              <w:t> </w:t>
            </w:r>
            <w:r w:rsidR="008F509F" w:rsidRPr="00D970F7">
              <w:rPr>
                <w:spacing w:val="-4"/>
                <w:lang w:val="en-GB"/>
              </w:rPr>
              <w:t>574</w:t>
            </w:r>
            <w:r w:rsidRPr="00D970F7">
              <w:rPr>
                <w:spacing w:val="-4"/>
                <w:lang w:val="en-GB"/>
              </w:rPr>
              <w:t>.</w:t>
            </w:r>
            <w:r w:rsidR="008F509F" w:rsidRPr="00D970F7">
              <w:rPr>
                <w:spacing w:val="-4"/>
                <w:lang w:val="en-GB"/>
              </w:rPr>
              <w:t>0 </w:t>
            </w:r>
            <w:r w:rsidRPr="00D970F7">
              <w:rPr>
                <w:spacing w:val="-4"/>
                <w:lang w:val="en-GB"/>
              </w:rPr>
              <w:t>bn</w:t>
            </w:r>
            <w:r w:rsidR="008F509F" w:rsidRPr="00D970F7">
              <w:rPr>
                <w:spacing w:val="-4"/>
                <w:lang w:val="en-GB"/>
              </w:rPr>
              <w:t xml:space="preserve">. </w:t>
            </w:r>
            <w:r w:rsidRPr="00D970F7">
              <w:rPr>
                <w:spacing w:val="-4"/>
                <w:lang w:val="en-GB"/>
              </w:rPr>
              <w:t xml:space="preserve">In that a slump of </w:t>
            </w:r>
            <w:r w:rsidR="008F509F" w:rsidRPr="00D970F7">
              <w:rPr>
                <w:spacing w:val="-4"/>
                <w:lang w:val="en-GB"/>
              </w:rPr>
              <w:t>169</w:t>
            </w:r>
            <w:r w:rsidRPr="00D970F7">
              <w:rPr>
                <w:spacing w:val="-4"/>
                <w:lang w:val="en-GB"/>
              </w:rPr>
              <w:t>.</w:t>
            </w:r>
            <w:r w:rsidR="008F509F" w:rsidRPr="00D970F7">
              <w:rPr>
                <w:spacing w:val="-4"/>
                <w:lang w:val="en-GB"/>
              </w:rPr>
              <w:t>5 </w:t>
            </w:r>
            <w:r w:rsidRPr="00D970F7">
              <w:rPr>
                <w:spacing w:val="-4"/>
                <w:lang w:val="en-GB"/>
              </w:rPr>
              <w:t xml:space="preserve">CZK bn </w:t>
            </w:r>
            <w:r w:rsidR="008F509F" w:rsidRPr="00D970F7">
              <w:rPr>
                <w:spacing w:val="-4"/>
                <w:lang w:val="en-GB"/>
              </w:rPr>
              <w:t>(–19</w:t>
            </w:r>
            <w:r w:rsidRPr="00D970F7">
              <w:rPr>
                <w:spacing w:val="-4"/>
                <w:lang w:val="en-GB"/>
              </w:rPr>
              <w:t>.</w:t>
            </w:r>
            <w:r w:rsidR="008F509F" w:rsidRPr="00D970F7">
              <w:rPr>
                <w:spacing w:val="-4"/>
                <w:lang w:val="en-GB"/>
              </w:rPr>
              <w:t>0%)</w:t>
            </w:r>
            <w:r w:rsidRPr="00D970F7">
              <w:rPr>
                <w:spacing w:val="-4"/>
                <w:lang w:val="en-GB"/>
              </w:rPr>
              <w:t xml:space="preserve"> occurred in Q2</w:t>
            </w:r>
            <w:r w:rsidR="008F509F" w:rsidRPr="00D970F7">
              <w:rPr>
                <w:spacing w:val="-4"/>
                <w:lang w:val="en-GB"/>
              </w:rPr>
              <w:t xml:space="preserve">. </w:t>
            </w:r>
            <w:r w:rsidRPr="00D970F7">
              <w:rPr>
                <w:spacing w:val="-4"/>
                <w:lang w:val="en-GB"/>
              </w:rPr>
              <w:t xml:space="preserve">The resulting value of import </w:t>
            </w:r>
            <w:r w:rsidR="004B4DE3" w:rsidRPr="00D970F7">
              <w:rPr>
                <w:spacing w:val="-4"/>
                <w:lang w:val="en-GB"/>
              </w:rPr>
              <w:t xml:space="preserve">was </w:t>
            </w:r>
            <w:r w:rsidR="008F509F" w:rsidRPr="00D970F7">
              <w:rPr>
                <w:spacing w:val="-4"/>
                <w:lang w:val="en-GB"/>
              </w:rPr>
              <w:t>721</w:t>
            </w:r>
            <w:r w:rsidR="004B4DE3" w:rsidRPr="00D970F7">
              <w:rPr>
                <w:spacing w:val="-4"/>
                <w:lang w:val="en-GB"/>
              </w:rPr>
              <w:t>.</w:t>
            </w:r>
            <w:r w:rsidR="008F509F" w:rsidRPr="00D970F7">
              <w:rPr>
                <w:spacing w:val="-4"/>
                <w:lang w:val="en-GB"/>
              </w:rPr>
              <w:t>6 </w:t>
            </w:r>
            <w:r w:rsidR="004B4DE3" w:rsidRPr="00D970F7">
              <w:rPr>
                <w:spacing w:val="-4"/>
                <w:lang w:val="en-GB"/>
              </w:rPr>
              <w:t>bn</w:t>
            </w:r>
            <w:r w:rsidR="008F509F" w:rsidRPr="00D970F7">
              <w:rPr>
                <w:spacing w:val="-4"/>
                <w:lang w:val="en-GB"/>
              </w:rPr>
              <w:t xml:space="preserve">. </w:t>
            </w:r>
            <w:r w:rsidR="00DD02F3" w:rsidRPr="00D970F7">
              <w:rPr>
                <w:spacing w:val="-4"/>
                <w:lang w:val="en-GB"/>
              </w:rPr>
              <w:t xml:space="preserve">The import from the EU </w:t>
            </w:r>
            <w:r w:rsidR="000047D1" w:rsidRPr="00D970F7">
              <w:rPr>
                <w:spacing w:val="-4"/>
                <w:lang w:val="en-GB"/>
              </w:rPr>
              <w:t xml:space="preserve">was falling more significantly </w:t>
            </w:r>
            <w:r w:rsidR="008F509F" w:rsidRPr="00D970F7">
              <w:rPr>
                <w:spacing w:val="-4"/>
                <w:lang w:val="en-GB"/>
              </w:rPr>
              <w:t>(–143</w:t>
            </w:r>
            <w:r w:rsidR="006D190F" w:rsidRPr="00D970F7">
              <w:rPr>
                <w:spacing w:val="-4"/>
                <w:lang w:val="en-GB"/>
              </w:rPr>
              <w:t>.</w:t>
            </w:r>
            <w:r w:rsidR="008F509F" w:rsidRPr="00D970F7">
              <w:rPr>
                <w:spacing w:val="-4"/>
                <w:lang w:val="en-GB"/>
              </w:rPr>
              <w:t>5</w:t>
            </w:r>
            <w:r w:rsidR="006D190F" w:rsidRPr="00D970F7">
              <w:rPr>
                <w:spacing w:val="-4"/>
                <w:lang w:val="en-GB"/>
              </w:rPr>
              <w:t xml:space="preserve"> CZK bn</w:t>
            </w:r>
            <w:r w:rsidR="008F509F" w:rsidRPr="00D970F7">
              <w:rPr>
                <w:spacing w:val="-4"/>
                <w:lang w:val="en-GB"/>
              </w:rPr>
              <w:t xml:space="preserve"> –</w:t>
            </w:r>
            <w:r w:rsidR="006D190F" w:rsidRPr="00D970F7">
              <w:rPr>
                <w:spacing w:val="-4"/>
                <w:lang w:val="en-GB"/>
              </w:rPr>
              <w:t xml:space="preserve"> </w:t>
            </w:r>
            <w:r w:rsidR="008F509F" w:rsidRPr="00D970F7">
              <w:rPr>
                <w:spacing w:val="-4"/>
                <w:lang w:val="en-GB"/>
              </w:rPr>
              <w:t>24</w:t>
            </w:r>
            <w:r w:rsidR="006D190F" w:rsidRPr="00D970F7">
              <w:rPr>
                <w:spacing w:val="-4"/>
                <w:lang w:val="en-GB"/>
              </w:rPr>
              <w:t>.</w:t>
            </w:r>
            <w:r w:rsidR="008F509F" w:rsidRPr="00D970F7">
              <w:rPr>
                <w:spacing w:val="-4"/>
                <w:lang w:val="en-GB"/>
              </w:rPr>
              <w:t>6%)</w:t>
            </w:r>
            <w:r w:rsidR="006D190F" w:rsidRPr="00D970F7">
              <w:rPr>
                <w:spacing w:val="-4"/>
                <w:lang w:val="en-GB"/>
              </w:rPr>
              <w:t xml:space="preserve"> </w:t>
            </w:r>
            <w:r w:rsidR="000047D1" w:rsidRPr="00D970F7">
              <w:rPr>
                <w:spacing w:val="-4"/>
                <w:lang w:val="en-GB"/>
              </w:rPr>
              <w:t>than</w:t>
            </w:r>
            <w:r w:rsidR="006D190F" w:rsidRPr="00D970F7">
              <w:rPr>
                <w:spacing w:val="-4"/>
                <w:lang w:val="en-GB"/>
              </w:rPr>
              <w:t xml:space="preserve"> </w:t>
            </w:r>
            <w:r w:rsidR="000047D1" w:rsidRPr="00D970F7">
              <w:rPr>
                <w:spacing w:val="-4"/>
                <w:lang w:val="en-GB"/>
              </w:rPr>
              <w:t>from</w:t>
            </w:r>
            <w:r w:rsidR="006D190F" w:rsidRPr="00D970F7">
              <w:rPr>
                <w:spacing w:val="-4"/>
                <w:lang w:val="en-GB"/>
              </w:rPr>
              <w:t xml:space="preserve"> </w:t>
            </w:r>
            <w:r w:rsidR="000047D1" w:rsidRPr="00D970F7">
              <w:rPr>
                <w:spacing w:val="-4"/>
                <w:lang w:val="en-GB"/>
              </w:rPr>
              <w:t>countries</w:t>
            </w:r>
            <w:r w:rsidR="006D190F" w:rsidRPr="00D970F7">
              <w:rPr>
                <w:spacing w:val="-4"/>
                <w:lang w:val="en-GB"/>
              </w:rPr>
              <w:t xml:space="preserve"> </w:t>
            </w:r>
            <w:r w:rsidR="000047D1" w:rsidRPr="00D970F7">
              <w:rPr>
                <w:spacing w:val="-4"/>
                <w:lang w:val="en-GB"/>
              </w:rPr>
              <w:t>outside</w:t>
            </w:r>
            <w:r w:rsidR="006D190F" w:rsidRPr="00D970F7">
              <w:rPr>
                <w:spacing w:val="-4"/>
                <w:lang w:val="en-GB"/>
              </w:rPr>
              <w:t xml:space="preserve"> </w:t>
            </w:r>
            <w:r w:rsidR="000047D1" w:rsidRPr="00D970F7">
              <w:rPr>
                <w:spacing w:val="-4"/>
                <w:lang w:val="en-GB"/>
              </w:rPr>
              <w:t>the</w:t>
            </w:r>
            <w:r w:rsidR="006D190F" w:rsidRPr="00D970F7">
              <w:rPr>
                <w:spacing w:val="-4"/>
                <w:lang w:val="en-GB"/>
              </w:rPr>
              <w:t xml:space="preserve"> </w:t>
            </w:r>
            <w:r w:rsidR="000047D1" w:rsidRPr="00D970F7">
              <w:rPr>
                <w:spacing w:val="-4"/>
                <w:lang w:val="en-GB"/>
              </w:rPr>
              <w:t>EU</w:t>
            </w:r>
            <w:r w:rsidR="006D190F" w:rsidRPr="00D970F7">
              <w:rPr>
                <w:spacing w:val="-4"/>
                <w:lang w:val="en-GB"/>
              </w:rPr>
              <w:t xml:space="preserve"> </w:t>
            </w:r>
            <w:r w:rsidR="008F509F" w:rsidRPr="00D970F7">
              <w:rPr>
                <w:spacing w:val="-4"/>
                <w:lang w:val="en-GB"/>
              </w:rPr>
              <w:t>(–24</w:t>
            </w:r>
            <w:r w:rsidR="006D190F" w:rsidRPr="00D970F7">
              <w:rPr>
                <w:spacing w:val="-4"/>
                <w:lang w:val="en-GB"/>
              </w:rPr>
              <w:t>.</w:t>
            </w:r>
            <w:r w:rsidR="008F509F" w:rsidRPr="00D970F7">
              <w:rPr>
                <w:spacing w:val="-4"/>
                <w:lang w:val="en-GB"/>
              </w:rPr>
              <w:t>2</w:t>
            </w:r>
            <w:r w:rsidR="006D190F" w:rsidRPr="00D970F7">
              <w:rPr>
                <w:spacing w:val="-4"/>
                <w:lang w:val="en-GB"/>
              </w:rPr>
              <w:t xml:space="preserve"> bn</w:t>
            </w:r>
            <w:r w:rsidR="008F509F" w:rsidRPr="00D970F7">
              <w:rPr>
                <w:spacing w:val="-4"/>
                <w:lang w:val="en-GB"/>
              </w:rPr>
              <w:t>, –8</w:t>
            </w:r>
            <w:r w:rsidR="006D190F" w:rsidRPr="00D970F7">
              <w:rPr>
                <w:spacing w:val="-4"/>
                <w:lang w:val="en-GB"/>
              </w:rPr>
              <w:t>.</w:t>
            </w:r>
            <w:r w:rsidR="008F509F" w:rsidRPr="00D970F7">
              <w:rPr>
                <w:spacing w:val="-4"/>
                <w:lang w:val="en-GB"/>
              </w:rPr>
              <w:t>0%)</w:t>
            </w:r>
            <w:r w:rsidR="000047D1" w:rsidRPr="00D970F7">
              <w:rPr>
                <w:spacing w:val="-4"/>
                <w:lang w:val="en-GB"/>
              </w:rPr>
              <w:t xml:space="preserve"> in Q2</w:t>
            </w:r>
            <w:r w:rsidR="008F509F" w:rsidRPr="00D970F7">
              <w:rPr>
                <w:spacing w:val="-4"/>
                <w:lang w:val="en-GB"/>
              </w:rPr>
              <w:t xml:space="preserve">. </w:t>
            </w:r>
            <w:r w:rsidR="00FC4213" w:rsidRPr="00D970F7">
              <w:rPr>
                <w:spacing w:val="-4"/>
                <w:lang w:val="en-GB"/>
              </w:rPr>
              <w:t xml:space="preserve">Import from Germany </w:t>
            </w:r>
            <w:r w:rsidR="008F509F" w:rsidRPr="00D970F7">
              <w:rPr>
                <w:spacing w:val="-4"/>
                <w:lang w:val="en-GB"/>
              </w:rPr>
              <w:t>(</w:t>
            </w:r>
            <w:r w:rsidR="00AB3B20">
              <w:rPr>
                <w:spacing w:val="-4"/>
                <w:lang w:val="en-GB"/>
              </w:rPr>
              <w:noBreakHyphen/>
            </w:r>
            <w:r w:rsidR="008F509F" w:rsidRPr="00D970F7">
              <w:rPr>
                <w:spacing w:val="-4"/>
                <w:lang w:val="en-GB"/>
              </w:rPr>
              <w:t>64</w:t>
            </w:r>
            <w:r w:rsidR="00FC4213" w:rsidRPr="00D970F7">
              <w:rPr>
                <w:spacing w:val="-4"/>
                <w:lang w:val="en-GB"/>
              </w:rPr>
              <w:t>.</w:t>
            </w:r>
            <w:r w:rsidR="008F509F" w:rsidRPr="00D970F7">
              <w:rPr>
                <w:spacing w:val="-4"/>
                <w:lang w:val="en-GB"/>
              </w:rPr>
              <w:t>7 </w:t>
            </w:r>
            <w:r w:rsidR="00FC4213" w:rsidRPr="00D970F7">
              <w:rPr>
                <w:spacing w:val="-4"/>
                <w:lang w:val="en-GB"/>
              </w:rPr>
              <w:t>bn</w:t>
            </w:r>
            <w:r w:rsidR="008F509F" w:rsidRPr="00D970F7">
              <w:rPr>
                <w:spacing w:val="-4"/>
                <w:lang w:val="en-GB"/>
              </w:rPr>
              <w:t>, –28</w:t>
            </w:r>
            <w:r w:rsidR="00FC4213" w:rsidRPr="00D970F7">
              <w:rPr>
                <w:spacing w:val="-4"/>
                <w:lang w:val="en-GB"/>
              </w:rPr>
              <w:t>.</w:t>
            </w:r>
            <w:r w:rsidR="008F509F" w:rsidRPr="00D970F7">
              <w:rPr>
                <w:spacing w:val="-4"/>
                <w:lang w:val="en-GB"/>
              </w:rPr>
              <w:t xml:space="preserve">1%), </w:t>
            </w:r>
            <w:r w:rsidR="00FC4213" w:rsidRPr="00D970F7">
              <w:rPr>
                <w:spacing w:val="-4"/>
                <w:lang w:val="en-GB"/>
              </w:rPr>
              <w:t xml:space="preserve">further Russia </w:t>
            </w:r>
            <w:r w:rsidR="008F509F" w:rsidRPr="00D970F7">
              <w:rPr>
                <w:spacing w:val="-4"/>
                <w:lang w:val="en-GB"/>
              </w:rPr>
              <w:t>(–15</w:t>
            </w:r>
            <w:r w:rsidR="00DD02F3" w:rsidRPr="00D970F7">
              <w:rPr>
                <w:spacing w:val="-4"/>
                <w:lang w:val="en-GB"/>
              </w:rPr>
              <w:t>.</w:t>
            </w:r>
            <w:r w:rsidR="008F509F" w:rsidRPr="00D970F7">
              <w:rPr>
                <w:spacing w:val="-4"/>
                <w:lang w:val="en-GB"/>
              </w:rPr>
              <w:t>7 </w:t>
            </w:r>
            <w:r w:rsidR="00DD02F3" w:rsidRPr="00D970F7">
              <w:rPr>
                <w:spacing w:val="-4"/>
                <w:lang w:val="en-GB"/>
              </w:rPr>
              <w:t>bn</w:t>
            </w:r>
            <w:r w:rsidR="008F509F" w:rsidRPr="00D970F7">
              <w:rPr>
                <w:spacing w:val="-4"/>
                <w:lang w:val="en-GB"/>
              </w:rPr>
              <w:t>, –57</w:t>
            </w:r>
            <w:r w:rsidR="00DD02F3" w:rsidRPr="00D970F7">
              <w:rPr>
                <w:spacing w:val="-4"/>
                <w:lang w:val="en-GB"/>
              </w:rPr>
              <w:t>.</w:t>
            </w:r>
            <w:r w:rsidR="008F509F" w:rsidRPr="00D970F7">
              <w:rPr>
                <w:spacing w:val="-4"/>
                <w:lang w:val="en-GB"/>
              </w:rPr>
              <w:t xml:space="preserve">0%, </w:t>
            </w:r>
            <w:r w:rsidR="00DD02F3" w:rsidRPr="00D970F7">
              <w:rPr>
                <w:spacing w:val="-4"/>
                <w:lang w:val="en-GB"/>
              </w:rPr>
              <w:t>value decrease was also strengthened by the year-on-year plunge of prices of oil and natural gas</w:t>
            </w:r>
            <w:r w:rsidR="008F509F" w:rsidRPr="00D970F7">
              <w:rPr>
                <w:spacing w:val="-4"/>
                <w:lang w:val="en-GB"/>
              </w:rPr>
              <w:t>) a</w:t>
            </w:r>
            <w:r w:rsidR="00FC4213" w:rsidRPr="00D970F7">
              <w:rPr>
                <w:spacing w:val="-4"/>
                <w:lang w:val="en-GB"/>
              </w:rPr>
              <w:t xml:space="preserve">nd Poland </w:t>
            </w:r>
            <w:r w:rsidR="008F509F" w:rsidRPr="00D970F7">
              <w:rPr>
                <w:spacing w:val="-4"/>
                <w:lang w:val="en-GB"/>
              </w:rPr>
              <w:t>(–16</w:t>
            </w:r>
            <w:r w:rsidR="00FC4213" w:rsidRPr="00D970F7">
              <w:rPr>
                <w:spacing w:val="-4"/>
                <w:lang w:val="en-GB"/>
              </w:rPr>
              <w:t>.</w:t>
            </w:r>
            <w:r w:rsidR="008F509F" w:rsidRPr="00D970F7">
              <w:rPr>
                <w:spacing w:val="-4"/>
                <w:lang w:val="en-GB"/>
              </w:rPr>
              <w:t>7</w:t>
            </w:r>
            <w:r w:rsidR="00FC4213" w:rsidRPr="00D970F7">
              <w:rPr>
                <w:spacing w:val="-4"/>
                <w:lang w:val="en-GB"/>
              </w:rPr>
              <w:t xml:space="preserve"> bn</w:t>
            </w:r>
            <w:r w:rsidR="008F509F" w:rsidRPr="00D970F7">
              <w:rPr>
                <w:spacing w:val="-4"/>
                <w:lang w:val="en-GB"/>
              </w:rPr>
              <w:t>, –21</w:t>
            </w:r>
            <w:r w:rsidR="00FC4213" w:rsidRPr="00D970F7">
              <w:rPr>
                <w:spacing w:val="-4"/>
                <w:lang w:val="en-GB"/>
              </w:rPr>
              <w:t>.</w:t>
            </w:r>
            <w:r w:rsidR="008F509F" w:rsidRPr="00D970F7">
              <w:rPr>
                <w:spacing w:val="-4"/>
                <w:lang w:val="en-GB"/>
              </w:rPr>
              <w:t>8%)</w:t>
            </w:r>
            <w:r w:rsidR="00FC4213" w:rsidRPr="00D970F7">
              <w:rPr>
                <w:spacing w:val="-4"/>
                <w:lang w:val="en-GB"/>
              </w:rPr>
              <w:t xml:space="preserve"> dropped the most</w:t>
            </w:r>
            <w:r w:rsidR="008F509F" w:rsidRPr="00D970F7">
              <w:rPr>
                <w:spacing w:val="-4"/>
                <w:lang w:val="en-GB"/>
              </w:rPr>
              <w:t xml:space="preserve">. </w:t>
            </w:r>
            <w:r w:rsidR="006D7837" w:rsidRPr="00D970F7">
              <w:rPr>
                <w:spacing w:val="-4"/>
                <w:lang w:val="en-GB"/>
              </w:rPr>
              <w:t xml:space="preserve">Substantial increase of import from China (20.9 CZK bn, 24.2%) contributed to more favourable results of import from countries outside the EU. </w:t>
            </w:r>
            <w:r w:rsidR="00DD02F3" w:rsidRPr="00D970F7">
              <w:rPr>
                <w:spacing w:val="-4"/>
                <w:lang w:val="en-GB"/>
              </w:rPr>
              <w:t xml:space="preserve">It is the largest addition since year </w:t>
            </w:r>
            <w:r w:rsidR="008F509F" w:rsidRPr="00D970F7">
              <w:rPr>
                <w:spacing w:val="-4"/>
                <w:lang w:val="en-GB"/>
              </w:rPr>
              <w:t>2010.</w:t>
            </w:r>
          </w:p>
        </w:tc>
      </w:tr>
      <w:tr w:rsidR="008F509F" w:rsidRPr="00D970F7" w14:paraId="17905E97" w14:textId="77777777" w:rsidTr="00CF6F9C">
        <w:trPr>
          <w:trHeight w:val="145"/>
        </w:trPr>
        <w:tc>
          <w:tcPr>
            <w:tcW w:w="1762" w:type="dxa"/>
            <w:shd w:val="clear" w:color="auto" w:fill="auto"/>
            <w:tcMar>
              <w:left w:w="0" w:type="dxa"/>
            </w:tcMar>
          </w:tcPr>
          <w:p w14:paraId="5FA325B7" w14:textId="3F46975F" w:rsidR="008F509F" w:rsidRPr="00D970F7" w:rsidRDefault="00A16CA8" w:rsidP="00CF6F9C">
            <w:pPr>
              <w:pStyle w:val="Marginlie"/>
              <w:rPr>
                <w:lang w:val="en-GB"/>
              </w:rPr>
            </w:pPr>
            <w:r w:rsidRPr="00D970F7">
              <w:rPr>
                <w:lang w:val="en-GB"/>
              </w:rPr>
              <w:t xml:space="preserve">The value of trade with motor vehicles was also falling the most on the import side. </w:t>
            </w:r>
          </w:p>
        </w:tc>
        <w:tc>
          <w:tcPr>
            <w:tcW w:w="223" w:type="dxa"/>
            <w:shd w:val="clear" w:color="auto" w:fill="auto"/>
            <w:tcMar>
              <w:left w:w="0" w:type="dxa"/>
            </w:tcMar>
          </w:tcPr>
          <w:p w14:paraId="10EAD7FE"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1C6CDE14" w14:textId="32A31CCA" w:rsidR="008F509F" w:rsidRPr="00D970F7" w:rsidRDefault="000E0E32" w:rsidP="00ED781F">
            <w:pPr>
              <w:rPr>
                <w:spacing w:val="-4"/>
                <w:lang w:val="en-GB"/>
              </w:rPr>
            </w:pPr>
            <w:r w:rsidRPr="00D970F7">
              <w:rPr>
                <w:spacing w:val="-4"/>
                <w:lang w:val="en-GB"/>
              </w:rPr>
              <w:t xml:space="preserve">Development of both import and export was with respect to its type structure similar in many features. </w:t>
            </w:r>
            <w:r w:rsidR="00EB1F3E" w:rsidRPr="00D970F7">
              <w:rPr>
                <w:spacing w:val="-4"/>
                <w:lang w:val="en-GB"/>
              </w:rPr>
              <w:t>Value of import of motor vehicles slumped the most in Q</w:t>
            </w:r>
            <w:r w:rsidR="008F509F" w:rsidRPr="00D970F7">
              <w:rPr>
                <w:spacing w:val="-4"/>
                <w:lang w:val="en-GB"/>
              </w:rPr>
              <w:t>2</w:t>
            </w:r>
            <w:r w:rsidR="00EB1F3E" w:rsidRPr="00D970F7">
              <w:rPr>
                <w:spacing w:val="-4"/>
                <w:lang w:val="en-GB"/>
              </w:rPr>
              <w:t xml:space="preserve"> </w:t>
            </w:r>
            <w:r w:rsidR="008F509F" w:rsidRPr="00D970F7">
              <w:rPr>
                <w:spacing w:val="-4"/>
                <w:lang w:val="en-GB"/>
              </w:rPr>
              <w:t>(–67</w:t>
            </w:r>
            <w:r w:rsidR="00D73307" w:rsidRPr="00D970F7">
              <w:rPr>
                <w:spacing w:val="-4"/>
                <w:lang w:val="en-GB"/>
              </w:rPr>
              <w:t>.</w:t>
            </w:r>
            <w:r w:rsidR="008F509F" w:rsidRPr="00D970F7">
              <w:rPr>
                <w:spacing w:val="-4"/>
                <w:lang w:val="en-GB"/>
              </w:rPr>
              <w:t>4 </w:t>
            </w:r>
            <w:r w:rsidR="00D73307" w:rsidRPr="00D970F7">
              <w:rPr>
                <w:spacing w:val="-4"/>
                <w:lang w:val="en-GB"/>
              </w:rPr>
              <w:t>CZK bn</w:t>
            </w:r>
            <w:r w:rsidR="008F509F" w:rsidRPr="00D970F7">
              <w:rPr>
                <w:spacing w:val="-4"/>
                <w:lang w:val="en-GB"/>
              </w:rPr>
              <w:t>, –45</w:t>
            </w:r>
            <w:r w:rsidR="00D73307" w:rsidRPr="00D970F7">
              <w:rPr>
                <w:spacing w:val="-4"/>
                <w:lang w:val="en-GB"/>
              </w:rPr>
              <w:t>.</w:t>
            </w:r>
            <w:r w:rsidR="008F509F" w:rsidRPr="00D970F7">
              <w:rPr>
                <w:spacing w:val="-4"/>
                <w:lang w:val="en-GB"/>
              </w:rPr>
              <w:t>4%). Ve</w:t>
            </w:r>
            <w:r w:rsidR="00C17F7D" w:rsidRPr="00D970F7">
              <w:rPr>
                <w:spacing w:val="-4"/>
                <w:lang w:val="en-GB"/>
              </w:rPr>
              <w:t xml:space="preserve">ry strong decreases were further observed for machinery and equipment </w:t>
            </w:r>
            <w:r w:rsidR="008F509F" w:rsidRPr="00D970F7">
              <w:rPr>
                <w:spacing w:val="-4"/>
                <w:lang w:val="en-GB"/>
              </w:rPr>
              <w:t>(–20</w:t>
            </w:r>
            <w:r w:rsidR="00C17F7D" w:rsidRPr="00D970F7">
              <w:rPr>
                <w:spacing w:val="-4"/>
                <w:lang w:val="en-GB"/>
              </w:rPr>
              <w:t>.</w:t>
            </w:r>
            <w:r w:rsidR="008F509F" w:rsidRPr="00D970F7">
              <w:rPr>
                <w:spacing w:val="-4"/>
                <w:lang w:val="en-GB"/>
              </w:rPr>
              <w:t>7 </w:t>
            </w:r>
            <w:r w:rsidR="00C17F7D" w:rsidRPr="00D970F7">
              <w:rPr>
                <w:spacing w:val="-4"/>
                <w:lang w:val="en-GB"/>
              </w:rPr>
              <w:t>CZK bn</w:t>
            </w:r>
            <w:r w:rsidR="008F509F" w:rsidRPr="00D970F7">
              <w:rPr>
                <w:spacing w:val="-4"/>
                <w:lang w:val="en-GB"/>
              </w:rPr>
              <w:t>, –22</w:t>
            </w:r>
            <w:r w:rsidR="00C17F7D" w:rsidRPr="00D970F7">
              <w:rPr>
                <w:spacing w:val="-4"/>
                <w:lang w:val="en-GB"/>
              </w:rPr>
              <w:t>.</w:t>
            </w:r>
            <w:r w:rsidR="008F509F" w:rsidRPr="00D970F7">
              <w:rPr>
                <w:spacing w:val="-4"/>
                <w:lang w:val="en-GB"/>
              </w:rPr>
              <w:t xml:space="preserve">8%), </w:t>
            </w:r>
            <w:r w:rsidR="00C17F7D" w:rsidRPr="00D970F7">
              <w:rPr>
                <w:spacing w:val="-4"/>
                <w:lang w:val="en-GB"/>
              </w:rPr>
              <w:t xml:space="preserve">oil and natural gas </w:t>
            </w:r>
            <w:r w:rsidR="008F509F" w:rsidRPr="00D970F7">
              <w:rPr>
                <w:spacing w:val="-4"/>
                <w:lang w:val="en-GB"/>
              </w:rPr>
              <w:t>(–20</w:t>
            </w:r>
            <w:r w:rsidR="00C17F7D" w:rsidRPr="00D970F7">
              <w:rPr>
                <w:spacing w:val="-4"/>
                <w:lang w:val="en-GB"/>
              </w:rPr>
              <w:t>.</w:t>
            </w:r>
            <w:r w:rsidR="00ED781F" w:rsidRPr="00D970F7">
              <w:rPr>
                <w:spacing w:val="-4"/>
                <w:lang w:val="en-GB"/>
              </w:rPr>
              <w:t>8</w:t>
            </w:r>
            <w:r w:rsidR="008F509F" w:rsidRPr="00D970F7">
              <w:rPr>
                <w:spacing w:val="-4"/>
                <w:lang w:val="en-GB"/>
              </w:rPr>
              <w:t> </w:t>
            </w:r>
            <w:r w:rsidR="00C17F7D" w:rsidRPr="00D970F7">
              <w:rPr>
                <w:spacing w:val="-4"/>
                <w:lang w:val="en-GB"/>
              </w:rPr>
              <w:t>bn</w:t>
            </w:r>
            <w:r w:rsidR="008F509F" w:rsidRPr="00D970F7">
              <w:rPr>
                <w:spacing w:val="-4"/>
                <w:lang w:val="en-GB"/>
              </w:rPr>
              <w:t>, –6</w:t>
            </w:r>
            <w:r w:rsidR="00ED781F" w:rsidRPr="00D970F7">
              <w:rPr>
                <w:spacing w:val="-4"/>
                <w:lang w:val="en-GB"/>
              </w:rPr>
              <w:t>3</w:t>
            </w:r>
            <w:r w:rsidR="00C17F7D" w:rsidRPr="00D970F7">
              <w:rPr>
                <w:spacing w:val="-4"/>
                <w:lang w:val="en-GB"/>
              </w:rPr>
              <w:t>.</w:t>
            </w:r>
            <w:r w:rsidR="00ED781F" w:rsidRPr="00D970F7">
              <w:rPr>
                <w:spacing w:val="-4"/>
                <w:lang w:val="en-GB"/>
              </w:rPr>
              <w:t>0</w:t>
            </w:r>
            <w:r w:rsidR="008F509F" w:rsidRPr="00D970F7">
              <w:rPr>
                <w:spacing w:val="-4"/>
                <w:lang w:val="en-GB"/>
              </w:rPr>
              <w:t xml:space="preserve">%, </w:t>
            </w:r>
            <w:r w:rsidR="0067262A" w:rsidRPr="00D970F7">
              <w:rPr>
                <w:spacing w:val="-4"/>
                <w:lang w:val="en-GB"/>
              </w:rPr>
              <w:t>mainly due to the plunge of prices</w:t>
            </w:r>
            <w:r w:rsidR="008F509F" w:rsidRPr="00D970F7">
              <w:rPr>
                <w:spacing w:val="-4"/>
                <w:lang w:val="en-GB"/>
              </w:rPr>
              <w:t>) a</w:t>
            </w:r>
            <w:r w:rsidR="0067262A" w:rsidRPr="00D970F7">
              <w:rPr>
                <w:spacing w:val="-4"/>
                <w:lang w:val="en-GB"/>
              </w:rPr>
              <w:t xml:space="preserve">nd basic metals </w:t>
            </w:r>
            <w:r w:rsidR="008F509F" w:rsidRPr="00D970F7">
              <w:rPr>
                <w:spacing w:val="-4"/>
                <w:lang w:val="en-GB"/>
              </w:rPr>
              <w:t>(–</w:t>
            </w:r>
            <w:r w:rsidR="00ED781F" w:rsidRPr="00D970F7">
              <w:rPr>
                <w:spacing w:val="-4"/>
                <w:lang w:val="en-GB"/>
              </w:rPr>
              <w:t>19</w:t>
            </w:r>
            <w:r w:rsidR="0067262A" w:rsidRPr="00D970F7">
              <w:rPr>
                <w:spacing w:val="-4"/>
                <w:lang w:val="en-GB"/>
              </w:rPr>
              <w:t>.</w:t>
            </w:r>
            <w:r w:rsidR="00ED781F" w:rsidRPr="00D970F7">
              <w:rPr>
                <w:spacing w:val="-4"/>
                <w:lang w:val="en-GB"/>
              </w:rPr>
              <w:t>5</w:t>
            </w:r>
            <w:r w:rsidR="008F509F" w:rsidRPr="00D970F7">
              <w:rPr>
                <w:spacing w:val="-4"/>
                <w:lang w:val="en-GB"/>
              </w:rPr>
              <w:t> </w:t>
            </w:r>
            <w:r w:rsidR="0067262A" w:rsidRPr="00D970F7">
              <w:rPr>
                <w:spacing w:val="-4"/>
                <w:lang w:val="en-GB"/>
              </w:rPr>
              <w:t>bn</w:t>
            </w:r>
            <w:r w:rsidR="008F509F" w:rsidRPr="00D970F7">
              <w:rPr>
                <w:spacing w:val="-4"/>
                <w:lang w:val="en-GB"/>
              </w:rPr>
              <w:t>, –28</w:t>
            </w:r>
            <w:r w:rsidR="0067262A" w:rsidRPr="00D970F7">
              <w:rPr>
                <w:spacing w:val="-4"/>
                <w:lang w:val="en-GB"/>
              </w:rPr>
              <w:t>.</w:t>
            </w:r>
            <w:r w:rsidR="008F509F" w:rsidRPr="00D970F7">
              <w:rPr>
                <w:spacing w:val="-4"/>
                <w:lang w:val="en-GB"/>
              </w:rPr>
              <w:t xml:space="preserve">0%). </w:t>
            </w:r>
            <w:r w:rsidR="00351006" w:rsidRPr="00D970F7">
              <w:rPr>
                <w:spacing w:val="-4"/>
                <w:lang w:val="en-GB"/>
              </w:rPr>
              <w:t xml:space="preserve">Already several quarters lasting fall of the value of import of chemical substances and products further deepened to </w:t>
            </w:r>
            <w:r w:rsidR="008F509F" w:rsidRPr="00D970F7">
              <w:rPr>
                <w:spacing w:val="-4"/>
                <w:lang w:val="en-GB"/>
              </w:rPr>
              <w:t>13</w:t>
            </w:r>
            <w:r w:rsidR="00351006" w:rsidRPr="00D970F7">
              <w:rPr>
                <w:spacing w:val="-4"/>
                <w:lang w:val="en-GB"/>
              </w:rPr>
              <w:t>.</w:t>
            </w:r>
            <w:r w:rsidR="008F509F" w:rsidRPr="00D970F7">
              <w:rPr>
                <w:spacing w:val="-4"/>
                <w:lang w:val="en-GB"/>
              </w:rPr>
              <w:t>8</w:t>
            </w:r>
            <w:r w:rsidR="00351006" w:rsidRPr="00D970F7">
              <w:rPr>
                <w:spacing w:val="-4"/>
                <w:lang w:val="en-GB"/>
              </w:rPr>
              <w:t xml:space="preserve"> CZK bn </w:t>
            </w:r>
            <w:r w:rsidR="008F509F" w:rsidRPr="00D970F7">
              <w:rPr>
                <w:spacing w:val="-4"/>
                <w:lang w:val="en-GB"/>
              </w:rPr>
              <w:t>(–19</w:t>
            </w:r>
            <w:r w:rsidR="00351006" w:rsidRPr="00D970F7">
              <w:rPr>
                <w:spacing w:val="-4"/>
                <w:lang w:val="en-GB"/>
              </w:rPr>
              <w:t>.</w:t>
            </w:r>
            <w:r w:rsidR="008F509F" w:rsidRPr="00D970F7">
              <w:rPr>
                <w:spacing w:val="-4"/>
                <w:lang w:val="en-GB"/>
              </w:rPr>
              <w:t xml:space="preserve">2%). </w:t>
            </w:r>
            <w:r w:rsidR="00060ED3" w:rsidRPr="00D970F7">
              <w:rPr>
                <w:spacing w:val="-4"/>
                <w:lang w:val="en-GB"/>
              </w:rPr>
              <w:t xml:space="preserve">The largest increase of import value since Q3 2018 on the contrary occurred for computers, electronic and optical products </w:t>
            </w:r>
            <w:r w:rsidR="008F509F" w:rsidRPr="00D970F7">
              <w:rPr>
                <w:spacing w:val="-4"/>
                <w:lang w:val="en-GB"/>
              </w:rPr>
              <w:t>(15</w:t>
            </w:r>
            <w:r w:rsidR="00351006" w:rsidRPr="00D970F7">
              <w:rPr>
                <w:spacing w:val="-4"/>
                <w:lang w:val="en-GB"/>
              </w:rPr>
              <w:t>.</w:t>
            </w:r>
            <w:r w:rsidR="008F509F" w:rsidRPr="00D970F7">
              <w:rPr>
                <w:spacing w:val="-4"/>
                <w:lang w:val="en-GB"/>
              </w:rPr>
              <w:t>0</w:t>
            </w:r>
            <w:r w:rsidR="00351006" w:rsidRPr="00D970F7">
              <w:rPr>
                <w:spacing w:val="-4"/>
                <w:lang w:val="en-GB"/>
              </w:rPr>
              <w:t xml:space="preserve"> CZK bn</w:t>
            </w:r>
            <w:r w:rsidR="008F509F" w:rsidRPr="00D970F7">
              <w:rPr>
                <w:spacing w:val="-4"/>
                <w:lang w:val="en-GB"/>
              </w:rPr>
              <w:t>, 16</w:t>
            </w:r>
            <w:r w:rsidR="00351006" w:rsidRPr="00D970F7">
              <w:rPr>
                <w:spacing w:val="-4"/>
                <w:lang w:val="en-GB"/>
              </w:rPr>
              <w:t>.</w:t>
            </w:r>
            <w:r w:rsidR="008F509F" w:rsidRPr="00D970F7">
              <w:rPr>
                <w:spacing w:val="-4"/>
                <w:lang w:val="en-GB"/>
              </w:rPr>
              <w:t xml:space="preserve">5%). </w:t>
            </w:r>
            <w:r w:rsidR="009C1ACD" w:rsidRPr="00D970F7">
              <w:rPr>
                <w:spacing w:val="-4"/>
                <w:lang w:val="en-GB"/>
              </w:rPr>
              <w:t xml:space="preserve">Only March interrupted here the </w:t>
            </w:r>
            <w:r w:rsidR="009C1ACD" w:rsidRPr="00D970F7">
              <w:rPr>
                <w:spacing w:val="-4"/>
                <w:lang w:val="en-GB"/>
              </w:rPr>
              <w:lastRenderedPageBreak/>
              <w:t xml:space="preserve">series of strong increases lasting since December </w:t>
            </w:r>
            <w:r w:rsidR="008F509F" w:rsidRPr="00D970F7">
              <w:rPr>
                <w:spacing w:val="-4"/>
                <w:lang w:val="en-GB"/>
              </w:rPr>
              <w:t>2019</w:t>
            </w:r>
            <w:r w:rsidR="009C1ACD" w:rsidRPr="00D970F7">
              <w:rPr>
                <w:spacing w:val="-4"/>
                <w:lang w:val="en-GB"/>
              </w:rPr>
              <w:t xml:space="preserve">. </w:t>
            </w:r>
            <w:r w:rsidR="007235C9" w:rsidRPr="00D970F7">
              <w:rPr>
                <w:spacing w:val="-4"/>
                <w:lang w:val="en-GB"/>
              </w:rPr>
              <w:t xml:space="preserve">The import of textiles also had exceptionally high addition </w:t>
            </w:r>
            <w:r w:rsidR="008F509F" w:rsidRPr="00D970F7">
              <w:rPr>
                <w:spacing w:val="-4"/>
                <w:lang w:val="en-GB"/>
              </w:rPr>
              <w:t>(3</w:t>
            </w:r>
            <w:r w:rsidR="007235C9" w:rsidRPr="00D970F7">
              <w:rPr>
                <w:spacing w:val="-4"/>
                <w:lang w:val="en-GB"/>
              </w:rPr>
              <w:t>.</w:t>
            </w:r>
            <w:r w:rsidR="008F509F" w:rsidRPr="00D970F7">
              <w:rPr>
                <w:spacing w:val="-4"/>
                <w:lang w:val="en-GB"/>
              </w:rPr>
              <w:t>7 </w:t>
            </w:r>
            <w:r w:rsidR="007235C9" w:rsidRPr="00D970F7">
              <w:rPr>
                <w:spacing w:val="-4"/>
                <w:lang w:val="en-GB"/>
              </w:rPr>
              <w:t>CZK bn</w:t>
            </w:r>
            <w:r w:rsidR="008F509F" w:rsidRPr="00D970F7">
              <w:rPr>
                <w:spacing w:val="-4"/>
                <w:lang w:val="en-GB"/>
              </w:rPr>
              <w:t>, 27</w:t>
            </w:r>
            <w:r w:rsidR="007235C9" w:rsidRPr="00D970F7">
              <w:rPr>
                <w:spacing w:val="-4"/>
                <w:lang w:val="en-GB"/>
              </w:rPr>
              <w:t>.</w:t>
            </w:r>
            <w:r w:rsidR="008F509F" w:rsidRPr="00D970F7">
              <w:rPr>
                <w:spacing w:val="-4"/>
                <w:lang w:val="en-GB"/>
              </w:rPr>
              <w:t xml:space="preserve">6%). </w:t>
            </w:r>
            <w:r w:rsidR="009C1ACD" w:rsidRPr="00D970F7">
              <w:rPr>
                <w:spacing w:val="-4"/>
                <w:lang w:val="en-GB"/>
              </w:rPr>
              <w:t xml:space="preserve">The import grew here the most in April and May. </w:t>
            </w:r>
          </w:p>
        </w:tc>
      </w:tr>
      <w:tr w:rsidR="008F509F" w:rsidRPr="00D970F7" w14:paraId="3CA2D2BF" w14:textId="77777777" w:rsidTr="00CF6F9C">
        <w:trPr>
          <w:trHeight w:val="145"/>
        </w:trPr>
        <w:tc>
          <w:tcPr>
            <w:tcW w:w="1762" w:type="dxa"/>
            <w:shd w:val="clear" w:color="auto" w:fill="auto"/>
            <w:tcMar>
              <w:left w:w="0" w:type="dxa"/>
            </w:tcMar>
          </w:tcPr>
          <w:p w14:paraId="1889789C" w14:textId="2CD5F8B4" w:rsidR="008F509F" w:rsidRPr="00D970F7" w:rsidRDefault="00BD690C" w:rsidP="00CF6F9C">
            <w:pPr>
              <w:pStyle w:val="Marginlie"/>
              <w:rPr>
                <w:lang w:val="en-GB"/>
              </w:rPr>
            </w:pPr>
            <w:r w:rsidRPr="00D970F7">
              <w:rPr>
                <w:lang w:val="en-GB"/>
              </w:rPr>
              <w:lastRenderedPageBreak/>
              <w:t xml:space="preserve">Foreign trade balance markedly worsened, especially for trade with the EU countries. </w:t>
            </w:r>
          </w:p>
        </w:tc>
        <w:tc>
          <w:tcPr>
            <w:tcW w:w="223" w:type="dxa"/>
            <w:shd w:val="clear" w:color="auto" w:fill="auto"/>
            <w:tcMar>
              <w:left w:w="0" w:type="dxa"/>
            </w:tcMar>
          </w:tcPr>
          <w:p w14:paraId="6CE4C386"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1F2DD721" w14:textId="4395AC1B" w:rsidR="008F509F" w:rsidRPr="00D970F7" w:rsidRDefault="004626A4" w:rsidP="00ED781F">
            <w:pPr>
              <w:rPr>
                <w:spacing w:val="-4"/>
                <w:lang w:val="en-GB"/>
              </w:rPr>
            </w:pPr>
            <w:r w:rsidRPr="00D970F7">
              <w:rPr>
                <w:spacing w:val="-4"/>
                <w:lang w:val="en-GB"/>
              </w:rPr>
              <w:t xml:space="preserve">Large slump of export value over import also led to the worsening of balance of foreign trade with goods. </w:t>
            </w:r>
            <w:r w:rsidR="00F31A7E" w:rsidRPr="00D970F7">
              <w:rPr>
                <w:spacing w:val="-4"/>
                <w:lang w:val="en-GB"/>
              </w:rPr>
              <w:t xml:space="preserve">It reached surplus of </w:t>
            </w:r>
            <w:r w:rsidR="008F509F" w:rsidRPr="00D970F7">
              <w:rPr>
                <w:spacing w:val="-4"/>
                <w:lang w:val="en-GB"/>
              </w:rPr>
              <w:t>51</w:t>
            </w:r>
            <w:r w:rsidR="00F31A7E" w:rsidRPr="00D970F7">
              <w:rPr>
                <w:spacing w:val="-4"/>
                <w:lang w:val="en-GB"/>
              </w:rPr>
              <w:t>.</w:t>
            </w:r>
            <w:r w:rsidR="008F509F" w:rsidRPr="00D970F7">
              <w:rPr>
                <w:spacing w:val="-4"/>
                <w:lang w:val="en-GB"/>
              </w:rPr>
              <w:t>7 </w:t>
            </w:r>
            <w:r w:rsidR="00F31A7E" w:rsidRPr="00D970F7">
              <w:rPr>
                <w:spacing w:val="-4"/>
                <w:lang w:val="en-GB"/>
              </w:rPr>
              <w:t>CZK bn in H1</w:t>
            </w:r>
            <w:r w:rsidR="008F509F" w:rsidRPr="00D970F7">
              <w:rPr>
                <w:spacing w:val="-4"/>
                <w:lang w:val="en-GB"/>
              </w:rPr>
              <w:t xml:space="preserve">. </w:t>
            </w:r>
            <w:r w:rsidR="00601EA4" w:rsidRPr="00D970F7">
              <w:rPr>
                <w:spacing w:val="-4"/>
                <w:lang w:val="en-GB"/>
              </w:rPr>
              <w:t>However,</w:t>
            </w:r>
            <w:r w:rsidR="00F31A7E" w:rsidRPr="00D970F7">
              <w:rPr>
                <w:spacing w:val="-4"/>
                <w:lang w:val="en-GB"/>
              </w:rPr>
              <w:t xml:space="preserve"> the positive balance reduced by more than one half in comparison to the same period of the previous year </w:t>
            </w:r>
            <w:r w:rsidR="008F509F" w:rsidRPr="00D970F7">
              <w:rPr>
                <w:spacing w:val="-4"/>
                <w:lang w:val="en-GB"/>
              </w:rPr>
              <w:t>(53</w:t>
            </w:r>
            <w:r w:rsidR="00F31A7E" w:rsidRPr="00D970F7">
              <w:rPr>
                <w:spacing w:val="-4"/>
                <w:lang w:val="en-GB"/>
              </w:rPr>
              <w:t>.</w:t>
            </w:r>
            <w:r w:rsidR="008F509F" w:rsidRPr="00D970F7">
              <w:rPr>
                <w:spacing w:val="-4"/>
                <w:lang w:val="en-GB"/>
              </w:rPr>
              <w:t>5</w:t>
            </w:r>
            <w:r w:rsidR="00F31A7E" w:rsidRPr="00D970F7">
              <w:rPr>
                <w:spacing w:val="-4"/>
                <w:lang w:val="en-GB"/>
              </w:rPr>
              <w:t xml:space="preserve"> CZK bn</w:t>
            </w:r>
            <w:r w:rsidR="008F509F" w:rsidRPr="00D970F7">
              <w:rPr>
                <w:spacing w:val="-4"/>
                <w:lang w:val="en-GB"/>
              </w:rPr>
              <w:t xml:space="preserve">). </w:t>
            </w:r>
            <w:r w:rsidR="0004166D" w:rsidRPr="00D970F7">
              <w:rPr>
                <w:spacing w:val="-4"/>
                <w:lang w:val="en-GB"/>
              </w:rPr>
              <w:t xml:space="preserve">Surplus arrived at </w:t>
            </w:r>
            <w:r w:rsidR="008F509F" w:rsidRPr="00D970F7">
              <w:rPr>
                <w:spacing w:val="-4"/>
                <w:lang w:val="en-GB"/>
              </w:rPr>
              <w:t>11</w:t>
            </w:r>
            <w:r w:rsidR="0004166D" w:rsidRPr="00D970F7">
              <w:rPr>
                <w:spacing w:val="-4"/>
                <w:lang w:val="en-GB"/>
              </w:rPr>
              <w:t>.</w:t>
            </w:r>
            <w:r w:rsidR="008F509F" w:rsidRPr="00D970F7">
              <w:rPr>
                <w:spacing w:val="-4"/>
                <w:lang w:val="en-GB"/>
              </w:rPr>
              <w:t>4 </w:t>
            </w:r>
            <w:r w:rsidR="0004166D" w:rsidRPr="00D970F7">
              <w:rPr>
                <w:spacing w:val="-4"/>
                <w:lang w:val="en-GB"/>
              </w:rPr>
              <w:t xml:space="preserve">CZK bn in Q2 and decreased by </w:t>
            </w:r>
            <w:r w:rsidR="008F509F" w:rsidRPr="00D970F7">
              <w:rPr>
                <w:spacing w:val="-4"/>
                <w:lang w:val="en-GB"/>
              </w:rPr>
              <w:t>45</w:t>
            </w:r>
            <w:r w:rsidR="0004166D" w:rsidRPr="00D970F7">
              <w:rPr>
                <w:spacing w:val="-4"/>
                <w:lang w:val="en-GB"/>
              </w:rPr>
              <w:t>.</w:t>
            </w:r>
            <w:r w:rsidR="008F509F" w:rsidRPr="00D970F7">
              <w:rPr>
                <w:spacing w:val="-4"/>
                <w:lang w:val="en-GB"/>
              </w:rPr>
              <w:t>6 </w:t>
            </w:r>
            <w:r w:rsidR="0004166D" w:rsidRPr="00D970F7">
              <w:rPr>
                <w:spacing w:val="-4"/>
                <w:lang w:val="en-GB"/>
              </w:rPr>
              <w:t>bn year-on-year</w:t>
            </w:r>
            <w:r w:rsidR="008F509F" w:rsidRPr="00D970F7">
              <w:rPr>
                <w:spacing w:val="-4"/>
                <w:lang w:val="en-GB"/>
              </w:rPr>
              <w:t xml:space="preserve">. </w:t>
            </w:r>
            <w:r w:rsidR="007F17D4" w:rsidRPr="00D970F7">
              <w:rPr>
                <w:spacing w:val="-4"/>
                <w:lang w:val="en-GB"/>
              </w:rPr>
              <w:t xml:space="preserve">The trade with China </w:t>
            </w:r>
            <w:r w:rsidR="008F509F" w:rsidRPr="00D970F7">
              <w:rPr>
                <w:spacing w:val="-4"/>
                <w:lang w:val="en-GB"/>
              </w:rPr>
              <w:t>(</w:t>
            </w:r>
            <w:r w:rsidR="007F17D4" w:rsidRPr="00D970F7">
              <w:rPr>
                <w:spacing w:val="-4"/>
                <w:lang w:val="en-GB"/>
              </w:rPr>
              <w:t xml:space="preserve">deficit deepening by </w:t>
            </w:r>
            <w:r w:rsidR="008F509F" w:rsidRPr="00D970F7">
              <w:rPr>
                <w:spacing w:val="-4"/>
                <w:lang w:val="en-GB"/>
              </w:rPr>
              <w:t>21</w:t>
            </w:r>
            <w:r w:rsidR="007F17D4" w:rsidRPr="00D970F7">
              <w:rPr>
                <w:spacing w:val="-4"/>
                <w:lang w:val="en-GB"/>
              </w:rPr>
              <w:t>.</w:t>
            </w:r>
            <w:r w:rsidR="008F509F" w:rsidRPr="00D970F7">
              <w:rPr>
                <w:spacing w:val="-4"/>
                <w:lang w:val="en-GB"/>
              </w:rPr>
              <w:t>6</w:t>
            </w:r>
            <w:r w:rsidR="007F17D4" w:rsidRPr="00D970F7">
              <w:rPr>
                <w:spacing w:val="-4"/>
                <w:lang w:val="en-GB"/>
              </w:rPr>
              <w:t xml:space="preserve"> CZK bn</w:t>
            </w:r>
            <w:r w:rsidR="008F509F" w:rsidRPr="00D970F7">
              <w:rPr>
                <w:spacing w:val="-4"/>
                <w:lang w:val="en-GB"/>
              </w:rPr>
              <w:t xml:space="preserve">), </w:t>
            </w:r>
            <w:r w:rsidR="007F17D4" w:rsidRPr="00D970F7">
              <w:rPr>
                <w:spacing w:val="-4"/>
                <w:lang w:val="en-GB"/>
              </w:rPr>
              <w:t xml:space="preserve">Spain </w:t>
            </w:r>
            <w:r w:rsidR="008F509F" w:rsidRPr="00D970F7">
              <w:rPr>
                <w:spacing w:val="-4"/>
                <w:lang w:val="en-GB"/>
              </w:rPr>
              <w:t>(</w:t>
            </w:r>
            <w:r w:rsidR="007F17D4" w:rsidRPr="00D970F7">
              <w:rPr>
                <w:spacing w:val="-4"/>
                <w:lang w:val="en-GB"/>
              </w:rPr>
              <w:t xml:space="preserve">surplus decrease by </w:t>
            </w:r>
            <w:r w:rsidR="008F509F" w:rsidRPr="00D970F7">
              <w:rPr>
                <w:spacing w:val="-4"/>
                <w:lang w:val="en-GB"/>
              </w:rPr>
              <w:t>9</w:t>
            </w:r>
            <w:r w:rsidR="007F17D4" w:rsidRPr="00D970F7">
              <w:rPr>
                <w:spacing w:val="-4"/>
                <w:lang w:val="en-GB"/>
              </w:rPr>
              <w:t>.</w:t>
            </w:r>
            <w:r w:rsidR="008F509F" w:rsidRPr="00D970F7">
              <w:rPr>
                <w:spacing w:val="-4"/>
                <w:lang w:val="en-GB"/>
              </w:rPr>
              <w:t>9</w:t>
            </w:r>
            <w:r w:rsidR="007F17D4" w:rsidRPr="00D970F7">
              <w:rPr>
                <w:spacing w:val="-4"/>
                <w:lang w:val="en-GB"/>
              </w:rPr>
              <w:t xml:space="preserve"> bn</w:t>
            </w:r>
            <w:r w:rsidR="008F509F" w:rsidRPr="00D970F7">
              <w:rPr>
                <w:spacing w:val="-4"/>
                <w:lang w:val="en-GB"/>
              </w:rPr>
              <w:t>) a</w:t>
            </w:r>
            <w:r w:rsidR="007F17D4" w:rsidRPr="00D970F7">
              <w:rPr>
                <w:spacing w:val="-4"/>
                <w:lang w:val="en-GB"/>
              </w:rPr>
              <w:t xml:space="preserve">nd Great Britain </w:t>
            </w:r>
            <w:r w:rsidR="008F509F" w:rsidRPr="00D970F7">
              <w:rPr>
                <w:spacing w:val="-4"/>
                <w:lang w:val="en-GB"/>
              </w:rPr>
              <w:t>(</w:t>
            </w:r>
            <w:r w:rsidR="007F17D4" w:rsidRPr="00D970F7">
              <w:rPr>
                <w:spacing w:val="-4"/>
                <w:lang w:val="en-GB"/>
              </w:rPr>
              <w:t xml:space="preserve">surplus worsening by </w:t>
            </w:r>
            <w:r w:rsidR="008F509F" w:rsidRPr="00D970F7">
              <w:rPr>
                <w:spacing w:val="-4"/>
                <w:lang w:val="en-GB"/>
              </w:rPr>
              <w:t>9</w:t>
            </w:r>
            <w:r w:rsidR="007F17D4" w:rsidRPr="00D970F7">
              <w:rPr>
                <w:spacing w:val="-4"/>
                <w:lang w:val="en-GB"/>
              </w:rPr>
              <w:t>.</w:t>
            </w:r>
            <w:r w:rsidR="008F509F" w:rsidRPr="00D970F7">
              <w:rPr>
                <w:spacing w:val="-4"/>
                <w:lang w:val="en-GB"/>
              </w:rPr>
              <w:t>1</w:t>
            </w:r>
            <w:r w:rsidR="007F17D4" w:rsidRPr="00D970F7">
              <w:rPr>
                <w:spacing w:val="-4"/>
                <w:lang w:val="en-GB"/>
              </w:rPr>
              <w:t xml:space="preserve"> bn</w:t>
            </w:r>
            <w:r w:rsidR="008F509F" w:rsidRPr="00D970F7">
              <w:rPr>
                <w:spacing w:val="-4"/>
                <w:lang w:val="en-GB"/>
              </w:rPr>
              <w:t>)</w:t>
            </w:r>
            <w:r w:rsidR="007F17D4" w:rsidRPr="00D970F7">
              <w:rPr>
                <w:spacing w:val="-4"/>
                <w:lang w:val="en-GB"/>
              </w:rPr>
              <w:t xml:space="preserve"> affected the most worsening of balance in Q2</w:t>
            </w:r>
            <w:r w:rsidR="008F509F" w:rsidRPr="00D970F7">
              <w:rPr>
                <w:spacing w:val="-4"/>
                <w:lang w:val="en-GB"/>
              </w:rPr>
              <w:t xml:space="preserve">. </w:t>
            </w:r>
            <w:r w:rsidR="00C037B3" w:rsidRPr="00D970F7">
              <w:rPr>
                <w:spacing w:val="-4"/>
                <w:lang w:val="en-GB"/>
              </w:rPr>
              <w:t xml:space="preserve">Lowering of positive trade balance with France </w:t>
            </w:r>
            <w:r w:rsidR="008F509F" w:rsidRPr="00D970F7">
              <w:rPr>
                <w:spacing w:val="-4"/>
                <w:lang w:val="en-GB"/>
              </w:rPr>
              <w:t>(–8</w:t>
            </w:r>
            <w:r w:rsidR="00C037B3" w:rsidRPr="00D970F7">
              <w:rPr>
                <w:spacing w:val="-4"/>
                <w:lang w:val="en-GB"/>
              </w:rPr>
              <w:t>.</w:t>
            </w:r>
            <w:r w:rsidR="008F509F" w:rsidRPr="00D970F7">
              <w:rPr>
                <w:spacing w:val="-4"/>
                <w:lang w:val="en-GB"/>
              </w:rPr>
              <w:t>7</w:t>
            </w:r>
            <w:r w:rsidR="00C037B3" w:rsidRPr="00D970F7">
              <w:rPr>
                <w:spacing w:val="-4"/>
                <w:lang w:val="en-GB"/>
              </w:rPr>
              <w:t xml:space="preserve"> CZK bn</w:t>
            </w:r>
            <w:r w:rsidR="008F509F" w:rsidRPr="00D970F7">
              <w:rPr>
                <w:spacing w:val="-4"/>
                <w:lang w:val="en-GB"/>
              </w:rPr>
              <w:t>), Slov</w:t>
            </w:r>
            <w:r w:rsidR="00C037B3" w:rsidRPr="00D970F7">
              <w:rPr>
                <w:spacing w:val="-4"/>
                <w:lang w:val="en-GB"/>
              </w:rPr>
              <w:t xml:space="preserve">akia </w:t>
            </w:r>
            <w:r w:rsidR="008F509F" w:rsidRPr="00D970F7">
              <w:rPr>
                <w:spacing w:val="-4"/>
                <w:lang w:val="en-GB"/>
              </w:rPr>
              <w:t>(–6</w:t>
            </w:r>
            <w:r w:rsidR="00C037B3" w:rsidRPr="00D970F7">
              <w:rPr>
                <w:spacing w:val="-4"/>
                <w:lang w:val="en-GB"/>
              </w:rPr>
              <w:t>.</w:t>
            </w:r>
            <w:r w:rsidR="008F509F" w:rsidRPr="00D970F7">
              <w:rPr>
                <w:spacing w:val="-4"/>
                <w:lang w:val="en-GB"/>
              </w:rPr>
              <w:t>3</w:t>
            </w:r>
            <w:r w:rsidR="00C037B3" w:rsidRPr="00D970F7">
              <w:rPr>
                <w:spacing w:val="-4"/>
                <w:lang w:val="en-GB"/>
              </w:rPr>
              <w:t xml:space="preserve"> bn</w:t>
            </w:r>
            <w:r w:rsidR="008F509F" w:rsidRPr="00D970F7">
              <w:rPr>
                <w:spacing w:val="-4"/>
                <w:lang w:val="en-GB"/>
              </w:rPr>
              <w:t>) a</w:t>
            </w:r>
            <w:r w:rsidR="00C037B3" w:rsidRPr="00D970F7">
              <w:rPr>
                <w:spacing w:val="-4"/>
                <w:lang w:val="en-GB"/>
              </w:rPr>
              <w:t xml:space="preserve">nd Hungary </w:t>
            </w:r>
            <w:r w:rsidR="008F509F" w:rsidRPr="00D970F7">
              <w:rPr>
                <w:spacing w:val="-4"/>
                <w:lang w:val="en-GB"/>
              </w:rPr>
              <w:t>(–3</w:t>
            </w:r>
            <w:r w:rsidR="00C037B3" w:rsidRPr="00D970F7">
              <w:rPr>
                <w:spacing w:val="-4"/>
                <w:lang w:val="en-GB"/>
              </w:rPr>
              <w:t>.</w:t>
            </w:r>
            <w:r w:rsidR="008F509F" w:rsidRPr="00D970F7">
              <w:rPr>
                <w:spacing w:val="-4"/>
                <w:lang w:val="en-GB"/>
              </w:rPr>
              <w:t>5</w:t>
            </w:r>
            <w:r w:rsidR="00C037B3" w:rsidRPr="00D970F7">
              <w:rPr>
                <w:spacing w:val="-4"/>
                <w:lang w:val="en-GB"/>
              </w:rPr>
              <w:t xml:space="preserve"> bn</w:t>
            </w:r>
            <w:r w:rsidR="008F509F" w:rsidRPr="00D970F7">
              <w:rPr>
                <w:spacing w:val="-4"/>
                <w:lang w:val="en-GB"/>
              </w:rPr>
              <w:t>)</w:t>
            </w:r>
            <w:r w:rsidR="00C037B3" w:rsidRPr="00D970F7">
              <w:rPr>
                <w:spacing w:val="-4"/>
                <w:lang w:val="en-GB"/>
              </w:rPr>
              <w:t xml:space="preserve"> was also significant</w:t>
            </w:r>
            <w:r w:rsidR="008F509F" w:rsidRPr="00D970F7">
              <w:rPr>
                <w:spacing w:val="-4"/>
                <w:lang w:val="en-GB"/>
              </w:rPr>
              <w:t xml:space="preserve">. </w:t>
            </w:r>
            <w:r w:rsidR="005C263A" w:rsidRPr="00D970F7">
              <w:rPr>
                <w:spacing w:val="-4"/>
                <w:lang w:val="en-GB"/>
              </w:rPr>
              <w:t xml:space="preserve">Year-on-year improvement of balance occurred for trade with Russia </w:t>
            </w:r>
            <w:r w:rsidR="008F509F" w:rsidRPr="00D970F7">
              <w:rPr>
                <w:spacing w:val="-4"/>
                <w:lang w:val="en-GB"/>
              </w:rPr>
              <w:t>(+12</w:t>
            </w:r>
            <w:r w:rsidR="005C263A" w:rsidRPr="00D970F7">
              <w:rPr>
                <w:spacing w:val="-4"/>
                <w:lang w:val="en-GB"/>
              </w:rPr>
              <w:t>.</w:t>
            </w:r>
            <w:r w:rsidR="008F509F" w:rsidRPr="00D970F7">
              <w:rPr>
                <w:spacing w:val="-4"/>
                <w:lang w:val="en-GB"/>
              </w:rPr>
              <w:t>2</w:t>
            </w:r>
            <w:r w:rsidR="005C263A" w:rsidRPr="00D970F7">
              <w:rPr>
                <w:spacing w:val="-4"/>
                <w:lang w:val="en-GB"/>
              </w:rPr>
              <w:t xml:space="preserve"> CZK bn</w:t>
            </w:r>
            <w:r w:rsidR="008F509F" w:rsidRPr="00D970F7">
              <w:rPr>
                <w:spacing w:val="-4"/>
                <w:lang w:val="en-GB"/>
              </w:rPr>
              <w:t xml:space="preserve">, </w:t>
            </w:r>
            <w:r w:rsidR="005C263A" w:rsidRPr="00D970F7">
              <w:rPr>
                <w:spacing w:val="-4"/>
                <w:lang w:val="en-GB"/>
              </w:rPr>
              <w:t xml:space="preserve">also thanks to the decrease of prices of oil and natural gas the balance ended uncharacteristically in surplus of </w:t>
            </w:r>
            <w:r w:rsidR="008F509F" w:rsidRPr="00D970F7">
              <w:rPr>
                <w:spacing w:val="-4"/>
                <w:lang w:val="en-GB"/>
              </w:rPr>
              <w:t>6</w:t>
            </w:r>
            <w:r w:rsidR="005C263A" w:rsidRPr="00D970F7">
              <w:rPr>
                <w:spacing w:val="-4"/>
                <w:lang w:val="en-GB"/>
              </w:rPr>
              <w:t>.</w:t>
            </w:r>
            <w:r w:rsidR="008F509F" w:rsidRPr="00D970F7">
              <w:rPr>
                <w:spacing w:val="-4"/>
                <w:lang w:val="en-GB"/>
              </w:rPr>
              <w:t>3</w:t>
            </w:r>
            <w:r w:rsidR="005C263A" w:rsidRPr="00D970F7">
              <w:rPr>
                <w:spacing w:val="-4"/>
                <w:lang w:val="en-GB"/>
              </w:rPr>
              <w:t xml:space="preserve"> bn</w:t>
            </w:r>
            <w:r w:rsidR="008F509F" w:rsidRPr="00D970F7">
              <w:rPr>
                <w:spacing w:val="-4"/>
                <w:lang w:val="en-GB"/>
              </w:rPr>
              <w:t xml:space="preserve">). </w:t>
            </w:r>
            <w:r w:rsidR="005C263A" w:rsidRPr="00D970F7">
              <w:rPr>
                <w:spacing w:val="-4"/>
                <w:lang w:val="en-GB"/>
              </w:rPr>
              <w:t xml:space="preserve">Further trade with Poland </w:t>
            </w:r>
            <w:r w:rsidR="008F509F" w:rsidRPr="00D970F7">
              <w:rPr>
                <w:spacing w:val="-4"/>
                <w:lang w:val="en-GB"/>
              </w:rPr>
              <w:t>(+3</w:t>
            </w:r>
            <w:r w:rsidR="005C263A" w:rsidRPr="00D970F7">
              <w:rPr>
                <w:spacing w:val="-4"/>
                <w:lang w:val="en-GB"/>
              </w:rPr>
              <w:t>.</w:t>
            </w:r>
            <w:r w:rsidR="008F509F" w:rsidRPr="00D970F7">
              <w:rPr>
                <w:spacing w:val="-4"/>
                <w:lang w:val="en-GB"/>
              </w:rPr>
              <w:t>3 </w:t>
            </w:r>
            <w:r w:rsidR="005C263A" w:rsidRPr="00D970F7">
              <w:rPr>
                <w:spacing w:val="-4"/>
                <w:lang w:val="en-GB"/>
              </w:rPr>
              <w:t>CZK bn</w:t>
            </w:r>
            <w:r w:rsidR="008F509F" w:rsidRPr="00D970F7">
              <w:rPr>
                <w:spacing w:val="-4"/>
                <w:lang w:val="en-GB"/>
              </w:rPr>
              <w:t>), Jap</w:t>
            </w:r>
            <w:r w:rsidR="005C263A" w:rsidRPr="00D970F7">
              <w:rPr>
                <w:spacing w:val="-4"/>
                <w:lang w:val="en-GB"/>
              </w:rPr>
              <w:t xml:space="preserve">an </w:t>
            </w:r>
            <w:r w:rsidR="008F509F" w:rsidRPr="00D970F7">
              <w:rPr>
                <w:spacing w:val="-4"/>
                <w:lang w:val="en-GB"/>
              </w:rPr>
              <w:t>(+2</w:t>
            </w:r>
            <w:r w:rsidR="005C263A" w:rsidRPr="00D970F7">
              <w:rPr>
                <w:spacing w:val="-4"/>
                <w:lang w:val="en-GB"/>
              </w:rPr>
              <w:t>.</w:t>
            </w:r>
            <w:r w:rsidR="008F509F" w:rsidRPr="00D970F7">
              <w:rPr>
                <w:spacing w:val="-4"/>
                <w:lang w:val="en-GB"/>
              </w:rPr>
              <w:t>9</w:t>
            </w:r>
            <w:r w:rsidR="005C263A" w:rsidRPr="00D970F7">
              <w:rPr>
                <w:spacing w:val="-4"/>
                <w:lang w:val="en-GB"/>
              </w:rPr>
              <w:t xml:space="preserve"> bn</w:t>
            </w:r>
            <w:r w:rsidR="008F509F" w:rsidRPr="00D970F7">
              <w:rPr>
                <w:spacing w:val="-4"/>
                <w:lang w:val="en-GB"/>
              </w:rPr>
              <w:t>) a</w:t>
            </w:r>
            <w:r w:rsidR="005C263A" w:rsidRPr="00D970F7">
              <w:rPr>
                <w:spacing w:val="-4"/>
                <w:lang w:val="en-GB"/>
              </w:rPr>
              <w:t xml:space="preserve">nd the Netherlands </w:t>
            </w:r>
            <w:r w:rsidR="008F509F" w:rsidRPr="00D970F7">
              <w:rPr>
                <w:spacing w:val="-4"/>
                <w:lang w:val="en-GB"/>
              </w:rPr>
              <w:t>(+2</w:t>
            </w:r>
            <w:r w:rsidR="005C263A" w:rsidRPr="00D970F7">
              <w:rPr>
                <w:spacing w:val="-4"/>
                <w:lang w:val="en-GB"/>
              </w:rPr>
              <w:t>.</w:t>
            </w:r>
            <w:r w:rsidR="008F509F" w:rsidRPr="00D970F7">
              <w:rPr>
                <w:spacing w:val="-4"/>
                <w:lang w:val="en-GB"/>
              </w:rPr>
              <w:t>6</w:t>
            </w:r>
            <w:r w:rsidR="005C263A" w:rsidRPr="00D970F7">
              <w:rPr>
                <w:spacing w:val="-4"/>
                <w:lang w:val="en-GB"/>
              </w:rPr>
              <w:t xml:space="preserve"> bn</w:t>
            </w:r>
            <w:r w:rsidR="008F509F" w:rsidRPr="00D970F7">
              <w:rPr>
                <w:spacing w:val="-4"/>
                <w:lang w:val="en-GB"/>
              </w:rPr>
              <w:t>)</w:t>
            </w:r>
            <w:r w:rsidR="005C263A" w:rsidRPr="00D970F7">
              <w:rPr>
                <w:spacing w:val="-4"/>
                <w:lang w:val="en-GB"/>
              </w:rPr>
              <w:t xml:space="preserve"> worked in the direction of balance </w:t>
            </w:r>
            <w:r w:rsidR="00DE4DEE" w:rsidRPr="00D970F7">
              <w:rPr>
                <w:spacing w:val="-4"/>
                <w:lang w:val="en-GB"/>
              </w:rPr>
              <w:t>improvement.</w:t>
            </w:r>
          </w:p>
        </w:tc>
      </w:tr>
      <w:tr w:rsidR="008F509F" w:rsidRPr="00D970F7" w14:paraId="605096E2" w14:textId="77777777" w:rsidTr="00CF6F9C">
        <w:trPr>
          <w:trHeight w:val="145"/>
        </w:trPr>
        <w:tc>
          <w:tcPr>
            <w:tcW w:w="1762" w:type="dxa"/>
            <w:shd w:val="clear" w:color="auto" w:fill="auto"/>
            <w:tcMar>
              <w:left w:w="0" w:type="dxa"/>
            </w:tcMar>
          </w:tcPr>
          <w:p w14:paraId="4D7BC759" w14:textId="657AA9C0" w:rsidR="008F509F" w:rsidRPr="00D970F7" w:rsidRDefault="00DF724C" w:rsidP="00CF6F9C">
            <w:pPr>
              <w:pStyle w:val="Marginlie"/>
              <w:rPr>
                <w:lang w:val="en-GB"/>
              </w:rPr>
            </w:pPr>
            <w:r w:rsidRPr="00D970F7">
              <w:rPr>
                <w:lang w:val="en-GB"/>
              </w:rPr>
              <w:t xml:space="preserve">Surplus of trade with motor vehicles recorded the largest slump. </w:t>
            </w:r>
          </w:p>
        </w:tc>
        <w:tc>
          <w:tcPr>
            <w:tcW w:w="223" w:type="dxa"/>
            <w:shd w:val="clear" w:color="auto" w:fill="auto"/>
            <w:tcMar>
              <w:left w:w="0" w:type="dxa"/>
            </w:tcMar>
          </w:tcPr>
          <w:p w14:paraId="209B72A2"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06896767" w14:textId="555958CF" w:rsidR="008F509F" w:rsidRPr="00D970F7" w:rsidRDefault="007C05A5" w:rsidP="00CF6F9C">
            <w:pPr>
              <w:rPr>
                <w:spacing w:val="-4"/>
                <w:lang w:val="en-GB"/>
              </w:rPr>
            </w:pPr>
            <w:r w:rsidRPr="00D970F7">
              <w:rPr>
                <w:spacing w:val="-4"/>
                <w:lang w:val="en-GB"/>
              </w:rPr>
              <w:t xml:space="preserve">Lowering of surplus of trade with motor vehicles contributed the most to the year-on-year </w:t>
            </w:r>
            <w:r w:rsidR="006A3C12" w:rsidRPr="00D970F7">
              <w:rPr>
                <w:spacing w:val="-4"/>
                <w:lang w:val="en-GB"/>
              </w:rPr>
              <w:t>worsening</w:t>
            </w:r>
            <w:r w:rsidRPr="00D970F7">
              <w:rPr>
                <w:spacing w:val="-4"/>
                <w:lang w:val="en-GB"/>
              </w:rPr>
              <w:t xml:space="preserve"> of balance in Q</w:t>
            </w:r>
            <w:r w:rsidR="008F509F" w:rsidRPr="00D970F7">
              <w:rPr>
                <w:spacing w:val="-4"/>
                <w:lang w:val="en-GB"/>
              </w:rPr>
              <w:t>2</w:t>
            </w:r>
            <w:r w:rsidRPr="00D970F7">
              <w:rPr>
                <w:spacing w:val="-4"/>
                <w:lang w:val="en-GB"/>
              </w:rPr>
              <w:t xml:space="preserve"> </w:t>
            </w:r>
            <w:r w:rsidR="008F509F" w:rsidRPr="00D970F7">
              <w:rPr>
                <w:spacing w:val="-4"/>
                <w:lang w:val="en-GB"/>
              </w:rPr>
              <w:t>(–49</w:t>
            </w:r>
            <w:r w:rsidRPr="00D970F7">
              <w:rPr>
                <w:spacing w:val="-4"/>
                <w:lang w:val="en-GB"/>
              </w:rPr>
              <w:t>.</w:t>
            </w:r>
            <w:r w:rsidR="008F509F" w:rsidRPr="00D970F7">
              <w:rPr>
                <w:spacing w:val="-4"/>
                <w:lang w:val="en-GB"/>
              </w:rPr>
              <w:t>6</w:t>
            </w:r>
            <w:r w:rsidRPr="00D970F7">
              <w:rPr>
                <w:spacing w:val="-4"/>
                <w:lang w:val="en-GB"/>
              </w:rPr>
              <w:t xml:space="preserve"> CZK bn</w:t>
            </w:r>
            <w:r w:rsidR="008F509F" w:rsidRPr="00D970F7">
              <w:rPr>
                <w:spacing w:val="-4"/>
                <w:lang w:val="en-GB"/>
              </w:rPr>
              <w:t xml:space="preserve">), </w:t>
            </w:r>
            <w:r w:rsidR="006A3C12" w:rsidRPr="00D970F7">
              <w:rPr>
                <w:spacing w:val="-4"/>
                <w:lang w:val="en-GB"/>
              </w:rPr>
              <w:t xml:space="preserve">further deficit deepening for computers, electronic and optical products </w:t>
            </w:r>
            <w:r w:rsidR="008F509F" w:rsidRPr="00D970F7">
              <w:rPr>
                <w:spacing w:val="-4"/>
                <w:lang w:val="en-GB"/>
              </w:rPr>
              <w:t>(–16</w:t>
            </w:r>
            <w:r w:rsidR="006A3C12" w:rsidRPr="00D970F7">
              <w:rPr>
                <w:spacing w:val="-4"/>
                <w:lang w:val="en-GB"/>
              </w:rPr>
              <w:t>.</w:t>
            </w:r>
            <w:r w:rsidR="008F509F" w:rsidRPr="00D970F7">
              <w:rPr>
                <w:spacing w:val="-4"/>
                <w:lang w:val="en-GB"/>
              </w:rPr>
              <w:t>6 </w:t>
            </w:r>
            <w:r w:rsidR="006A3C12" w:rsidRPr="00D970F7">
              <w:rPr>
                <w:spacing w:val="-4"/>
                <w:lang w:val="en-GB"/>
              </w:rPr>
              <w:t>bn</w:t>
            </w:r>
            <w:r w:rsidR="008F509F" w:rsidRPr="00D970F7">
              <w:rPr>
                <w:spacing w:val="-4"/>
                <w:lang w:val="en-GB"/>
              </w:rPr>
              <w:t>)</w:t>
            </w:r>
            <w:r w:rsidR="006A3C12" w:rsidRPr="00D970F7">
              <w:rPr>
                <w:spacing w:val="-4"/>
                <w:lang w:val="en-GB"/>
              </w:rPr>
              <w:t xml:space="preserve"> and worsening of surplus for electrical equipment by </w:t>
            </w:r>
            <w:r w:rsidR="008F509F" w:rsidRPr="00D970F7">
              <w:rPr>
                <w:spacing w:val="-4"/>
                <w:lang w:val="en-GB"/>
              </w:rPr>
              <w:t>9</w:t>
            </w:r>
            <w:r w:rsidR="006A3C12" w:rsidRPr="00D970F7">
              <w:rPr>
                <w:spacing w:val="-4"/>
                <w:lang w:val="en-GB"/>
              </w:rPr>
              <w:t>.</w:t>
            </w:r>
            <w:r w:rsidR="008F509F" w:rsidRPr="00D970F7">
              <w:rPr>
                <w:spacing w:val="-4"/>
                <w:lang w:val="en-GB"/>
              </w:rPr>
              <w:t>2</w:t>
            </w:r>
            <w:r w:rsidR="006A3C12" w:rsidRPr="00D970F7">
              <w:rPr>
                <w:spacing w:val="-4"/>
                <w:lang w:val="en-GB"/>
              </w:rPr>
              <w:t xml:space="preserve"> bn</w:t>
            </w:r>
            <w:r w:rsidR="008F509F" w:rsidRPr="00D970F7">
              <w:rPr>
                <w:spacing w:val="-4"/>
                <w:lang w:val="en-GB"/>
              </w:rPr>
              <w:t xml:space="preserve">. </w:t>
            </w:r>
            <w:r w:rsidR="00785BE1" w:rsidRPr="00D970F7">
              <w:rPr>
                <w:spacing w:val="-4"/>
                <w:lang w:val="en-GB"/>
              </w:rPr>
              <w:t xml:space="preserve">Significant worsening of balance was also recorded for textiles </w:t>
            </w:r>
            <w:r w:rsidR="008F509F" w:rsidRPr="00D970F7">
              <w:rPr>
                <w:spacing w:val="-4"/>
                <w:lang w:val="en-GB"/>
              </w:rPr>
              <w:t>(–4</w:t>
            </w:r>
            <w:r w:rsidR="00785BE1" w:rsidRPr="00D970F7">
              <w:rPr>
                <w:spacing w:val="-4"/>
                <w:lang w:val="en-GB"/>
              </w:rPr>
              <w:t>.</w:t>
            </w:r>
            <w:r w:rsidR="008F509F" w:rsidRPr="00D970F7">
              <w:rPr>
                <w:spacing w:val="-4"/>
                <w:lang w:val="en-GB"/>
              </w:rPr>
              <w:t>8 </w:t>
            </w:r>
            <w:r w:rsidR="00785BE1" w:rsidRPr="00D970F7">
              <w:rPr>
                <w:spacing w:val="-4"/>
                <w:lang w:val="en-GB"/>
              </w:rPr>
              <w:t>bn</w:t>
            </w:r>
            <w:r w:rsidR="008F509F" w:rsidRPr="00D970F7">
              <w:rPr>
                <w:spacing w:val="-4"/>
                <w:lang w:val="en-GB"/>
              </w:rPr>
              <w:t>),</w:t>
            </w:r>
            <w:r w:rsidR="00785BE1" w:rsidRPr="00D970F7">
              <w:rPr>
                <w:spacing w:val="-4"/>
                <w:lang w:val="en-GB"/>
              </w:rPr>
              <w:t xml:space="preserve"> rubber and plastic products </w:t>
            </w:r>
            <w:r w:rsidR="008F509F" w:rsidRPr="00D970F7">
              <w:rPr>
                <w:spacing w:val="-4"/>
                <w:lang w:val="en-GB"/>
              </w:rPr>
              <w:t>(–4</w:t>
            </w:r>
            <w:r w:rsidR="00785BE1" w:rsidRPr="00D970F7">
              <w:rPr>
                <w:spacing w:val="-4"/>
                <w:lang w:val="en-GB"/>
              </w:rPr>
              <w:t>.</w:t>
            </w:r>
            <w:r w:rsidR="008F509F" w:rsidRPr="00D970F7">
              <w:rPr>
                <w:spacing w:val="-4"/>
                <w:lang w:val="en-GB"/>
              </w:rPr>
              <w:t>0</w:t>
            </w:r>
            <w:r w:rsidR="00785BE1" w:rsidRPr="00D970F7">
              <w:rPr>
                <w:spacing w:val="-4"/>
                <w:lang w:val="en-GB"/>
              </w:rPr>
              <w:t xml:space="preserve"> CZK bn</w:t>
            </w:r>
            <w:r w:rsidR="008F509F" w:rsidRPr="00D970F7">
              <w:rPr>
                <w:spacing w:val="-4"/>
                <w:lang w:val="en-GB"/>
              </w:rPr>
              <w:t xml:space="preserve">), </w:t>
            </w:r>
            <w:r w:rsidR="00AA51F5" w:rsidRPr="00D970F7">
              <w:rPr>
                <w:spacing w:val="-4"/>
                <w:lang w:val="en-GB"/>
              </w:rPr>
              <w:t xml:space="preserve">other transportation equipment </w:t>
            </w:r>
            <w:r w:rsidR="008F509F" w:rsidRPr="00D970F7">
              <w:rPr>
                <w:spacing w:val="-4"/>
                <w:lang w:val="en-GB"/>
              </w:rPr>
              <w:t>(–2</w:t>
            </w:r>
            <w:r w:rsidR="00AA51F5" w:rsidRPr="00D970F7">
              <w:rPr>
                <w:spacing w:val="-4"/>
                <w:lang w:val="en-GB"/>
              </w:rPr>
              <w:t>.</w:t>
            </w:r>
            <w:r w:rsidR="008F509F" w:rsidRPr="00D970F7">
              <w:rPr>
                <w:spacing w:val="-4"/>
                <w:lang w:val="en-GB"/>
              </w:rPr>
              <w:t>5</w:t>
            </w:r>
            <w:r w:rsidR="00AA51F5" w:rsidRPr="00D970F7">
              <w:rPr>
                <w:spacing w:val="-4"/>
                <w:lang w:val="en-GB"/>
              </w:rPr>
              <w:t xml:space="preserve"> CZK bn</w:t>
            </w:r>
            <w:r w:rsidR="008F509F" w:rsidRPr="00D970F7">
              <w:rPr>
                <w:spacing w:val="-4"/>
                <w:lang w:val="en-GB"/>
              </w:rPr>
              <w:t>) a</w:t>
            </w:r>
            <w:r w:rsidR="00AA51F5" w:rsidRPr="00D970F7">
              <w:rPr>
                <w:spacing w:val="-4"/>
                <w:lang w:val="en-GB"/>
              </w:rPr>
              <w:t xml:space="preserve">nd machinery and equipment </w:t>
            </w:r>
            <w:r w:rsidR="008F509F" w:rsidRPr="00D970F7">
              <w:rPr>
                <w:spacing w:val="-4"/>
                <w:lang w:val="en-GB"/>
              </w:rPr>
              <w:t>(–2</w:t>
            </w:r>
            <w:r w:rsidR="00AA51F5" w:rsidRPr="00D970F7">
              <w:rPr>
                <w:spacing w:val="-4"/>
                <w:lang w:val="en-GB"/>
              </w:rPr>
              <w:t>.</w:t>
            </w:r>
            <w:r w:rsidR="008F509F" w:rsidRPr="00D970F7">
              <w:rPr>
                <w:spacing w:val="-4"/>
                <w:lang w:val="en-GB"/>
              </w:rPr>
              <w:t>4</w:t>
            </w:r>
            <w:r w:rsidR="00AA51F5" w:rsidRPr="00D970F7">
              <w:rPr>
                <w:spacing w:val="-4"/>
                <w:lang w:val="en-GB"/>
              </w:rPr>
              <w:t xml:space="preserve"> bn</w:t>
            </w:r>
            <w:r w:rsidR="008F509F" w:rsidRPr="00D970F7">
              <w:rPr>
                <w:spacing w:val="-4"/>
                <w:lang w:val="en-GB"/>
              </w:rPr>
              <w:t xml:space="preserve">). </w:t>
            </w:r>
            <w:r w:rsidR="00A26F45" w:rsidRPr="00D970F7">
              <w:rPr>
                <w:spacing w:val="-4"/>
                <w:lang w:val="en-GB"/>
              </w:rPr>
              <w:t xml:space="preserve">The influence of prices on the other hand stood behind the significant improvement of trade with oil and natural gas </w:t>
            </w:r>
            <w:r w:rsidR="008F509F" w:rsidRPr="00D970F7">
              <w:rPr>
                <w:spacing w:val="-4"/>
                <w:lang w:val="en-GB"/>
              </w:rPr>
              <w:t>(+19</w:t>
            </w:r>
            <w:r w:rsidR="00A26F45" w:rsidRPr="00D970F7">
              <w:rPr>
                <w:spacing w:val="-4"/>
                <w:lang w:val="en-GB"/>
              </w:rPr>
              <w:t>.</w:t>
            </w:r>
            <w:r w:rsidR="008F509F" w:rsidRPr="00D970F7">
              <w:rPr>
                <w:spacing w:val="-4"/>
                <w:lang w:val="en-GB"/>
              </w:rPr>
              <w:t>8</w:t>
            </w:r>
            <w:r w:rsidR="00A26F45" w:rsidRPr="00D970F7">
              <w:rPr>
                <w:spacing w:val="-4"/>
                <w:lang w:val="en-GB"/>
              </w:rPr>
              <w:t xml:space="preserve"> CZK bn</w:t>
            </w:r>
            <w:r w:rsidR="008F509F" w:rsidRPr="00D970F7">
              <w:rPr>
                <w:spacing w:val="-4"/>
                <w:lang w:val="en-GB"/>
              </w:rPr>
              <w:t xml:space="preserve">) </w:t>
            </w:r>
            <w:r w:rsidR="00631989" w:rsidRPr="00D970F7">
              <w:rPr>
                <w:spacing w:val="-4"/>
                <w:lang w:val="en-GB"/>
              </w:rPr>
              <w:t xml:space="preserve">as well as basic metals </w:t>
            </w:r>
            <w:r w:rsidR="008F509F" w:rsidRPr="00D970F7">
              <w:rPr>
                <w:spacing w:val="-4"/>
                <w:lang w:val="en-GB"/>
              </w:rPr>
              <w:t>(+11</w:t>
            </w:r>
            <w:r w:rsidR="00631989" w:rsidRPr="00D970F7">
              <w:rPr>
                <w:spacing w:val="-4"/>
                <w:lang w:val="en-GB"/>
              </w:rPr>
              <w:t>.</w:t>
            </w:r>
            <w:r w:rsidR="008F509F" w:rsidRPr="00D970F7">
              <w:rPr>
                <w:spacing w:val="-4"/>
                <w:lang w:val="en-GB"/>
              </w:rPr>
              <w:t>4 </w:t>
            </w:r>
            <w:r w:rsidR="00631989" w:rsidRPr="00D970F7">
              <w:rPr>
                <w:spacing w:val="-4"/>
                <w:lang w:val="en-GB"/>
              </w:rPr>
              <w:t>bn</w:t>
            </w:r>
            <w:r w:rsidR="008F509F" w:rsidRPr="00D970F7">
              <w:rPr>
                <w:spacing w:val="-4"/>
                <w:lang w:val="en-GB"/>
              </w:rPr>
              <w:t xml:space="preserve">). </w:t>
            </w:r>
            <w:r w:rsidR="006C12B6" w:rsidRPr="00D970F7">
              <w:rPr>
                <w:spacing w:val="-4"/>
                <w:lang w:val="en-GB"/>
              </w:rPr>
              <w:t xml:space="preserve">Deficit for chemical substances and products also moderated </w:t>
            </w:r>
            <w:r w:rsidR="008F509F" w:rsidRPr="00D970F7">
              <w:rPr>
                <w:spacing w:val="-4"/>
                <w:lang w:val="en-GB"/>
              </w:rPr>
              <w:t>(+6</w:t>
            </w:r>
            <w:r w:rsidRPr="00D970F7">
              <w:rPr>
                <w:spacing w:val="-4"/>
                <w:lang w:val="en-GB"/>
              </w:rPr>
              <w:t>.</w:t>
            </w:r>
            <w:r w:rsidR="008F509F" w:rsidRPr="00D970F7">
              <w:rPr>
                <w:spacing w:val="-4"/>
                <w:lang w:val="en-GB"/>
              </w:rPr>
              <w:t>7</w:t>
            </w:r>
            <w:r w:rsidRPr="00D970F7">
              <w:rPr>
                <w:spacing w:val="-4"/>
                <w:lang w:val="en-GB"/>
              </w:rPr>
              <w:t xml:space="preserve"> CZK bn</w:t>
            </w:r>
            <w:r w:rsidR="008F509F" w:rsidRPr="00D970F7">
              <w:rPr>
                <w:spacing w:val="-4"/>
                <w:lang w:val="en-GB"/>
              </w:rPr>
              <w:t>).</w:t>
            </w:r>
          </w:p>
        </w:tc>
      </w:tr>
      <w:tr w:rsidR="008F509F" w:rsidRPr="00D970F7" w14:paraId="6DB43DEF" w14:textId="77777777" w:rsidTr="00CF6F9C">
        <w:trPr>
          <w:trHeight w:val="106"/>
        </w:trPr>
        <w:tc>
          <w:tcPr>
            <w:tcW w:w="1762" w:type="dxa"/>
            <w:vMerge w:val="restart"/>
            <w:shd w:val="clear" w:color="auto" w:fill="auto"/>
            <w:tcMar>
              <w:left w:w="0" w:type="dxa"/>
            </w:tcMar>
          </w:tcPr>
          <w:p w14:paraId="0EB94C59" w14:textId="77777777" w:rsidR="008F509F" w:rsidRPr="00D970F7" w:rsidRDefault="008F509F" w:rsidP="00CF6F9C">
            <w:pPr>
              <w:pStyle w:val="Marginlie"/>
              <w:rPr>
                <w:lang w:val="en-GB"/>
              </w:rPr>
            </w:pPr>
          </w:p>
        </w:tc>
        <w:tc>
          <w:tcPr>
            <w:tcW w:w="223" w:type="dxa"/>
            <w:vMerge w:val="restart"/>
            <w:shd w:val="clear" w:color="auto" w:fill="auto"/>
            <w:tcMar>
              <w:left w:w="0" w:type="dxa"/>
            </w:tcMar>
          </w:tcPr>
          <w:p w14:paraId="75B2A98D"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621F8167" w14:textId="3A02F9C9" w:rsidR="008F509F" w:rsidRPr="00D970F7" w:rsidRDefault="00A16CA8" w:rsidP="00CF6F9C">
            <w:pPr>
              <w:spacing w:after="0"/>
              <w:rPr>
                <w:spacing w:val="-4"/>
                <w:szCs w:val="20"/>
                <w:lang w:val="en-GB"/>
              </w:rPr>
            </w:pPr>
            <w:r w:rsidRPr="00D970F7">
              <w:rPr>
                <w:rFonts w:cs="Arial"/>
                <w:b/>
                <w:bCs/>
                <w:color w:val="000000"/>
                <w:szCs w:val="20"/>
                <w:lang w:val="en-GB"/>
              </w:rPr>
              <w:t xml:space="preserve">Chart </w:t>
            </w:r>
            <w:r w:rsidR="008F509F" w:rsidRPr="00D970F7">
              <w:rPr>
                <w:rFonts w:cs="Arial"/>
                <w:b/>
                <w:bCs/>
                <w:color w:val="000000"/>
                <w:szCs w:val="20"/>
                <w:lang w:val="en-GB"/>
              </w:rPr>
              <w:t xml:space="preserve">9  </w:t>
            </w:r>
            <w:r w:rsidR="00384861" w:rsidRPr="00D970F7">
              <w:rPr>
                <w:rFonts w:cs="Arial"/>
                <w:b/>
                <w:bCs/>
                <w:color w:val="000000"/>
                <w:szCs w:val="20"/>
                <w:lang w:val="en-GB"/>
              </w:rPr>
              <w:t xml:space="preserve">Balance of foreign trade with goods in foreign trade statistics </w:t>
            </w:r>
            <w:r w:rsidR="00384861" w:rsidRPr="00D970F7">
              <w:rPr>
                <w:rFonts w:cs="Arial"/>
                <w:color w:val="000000"/>
                <w:szCs w:val="20"/>
                <w:lang w:val="en-GB"/>
              </w:rPr>
              <w:t>(</w:t>
            </w:r>
            <w:r w:rsidR="00C90570" w:rsidRPr="00D970F7">
              <w:rPr>
                <w:rFonts w:cs="Arial"/>
                <w:color w:val="000000"/>
                <w:szCs w:val="20"/>
                <w:lang w:val="en-GB"/>
              </w:rPr>
              <w:t>accumulation</w:t>
            </w:r>
            <w:r w:rsidR="00384861" w:rsidRPr="00D970F7">
              <w:rPr>
                <w:rFonts w:cs="Arial"/>
                <w:color w:val="000000"/>
                <w:szCs w:val="20"/>
                <w:lang w:val="en-GB"/>
              </w:rPr>
              <w:t xml:space="preserve"> first half year, in CZK bn, selected divisions of the CPA classification)</w:t>
            </w:r>
            <w:r w:rsidR="00384861" w:rsidRPr="00D970F7">
              <w:rPr>
                <w:rFonts w:cs="Arial"/>
                <w:b/>
                <w:bCs/>
                <w:color w:val="000000"/>
                <w:szCs w:val="20"/>
                <w:lang w:val="en-GB"/>
              </w:rPr>
              <w:t xml:space="preserve"> </w:t>
            </w:r>
          </w:p>
        </w:tc>
      </w:tr>
      <w:tr w:rsidR="008F509F" w:rsidRPr="00D970F7" w14:paraId="5022C51D" w14:textId="77777777" w:rsidTr="00DD2984">
        <w:tblPrEx>
          <w:tblCellMar>
            <w:left w:w="70" w:type="dxa"/>
            <w:right w:w="70" w:type="dxa"/>
          </w:tblCellMar>
        </w:tblPrEx>
        <w:trPr>
          <w:trHeight w:val="106"/>
        </w:trPr>
        <w:tc>
          <w:tcPr>
            <w:tcW w:w="1762" w:type="dxa"/>
            <w:vMerge/>
            <w:shd w:val="clear" w:color="auto" w:fill="auto"/>
          </w:tcPr>
          <w:p w14:paraId="36B8DAC8" w14:textId="77777777" w:rsidR="008F509F" w:rsidRPr="00D970F7" w:rsidRDefault="008F509F" w:rsidP="00CF6F9C">
            <w:pPr>
              <w:pStyle w:val="Marginlie"/>
              <w:rPr>
                <w:lang w:val="en-GB"/>
              </w:rPr>
            </w:pPr>
          </w:p>
        </w:tc>
        <w:tc>
          <w:tcPr>
            <w:tcW w:w="223" w:type="dxa"/>
            <w:vMerge/>
            <w:shd w:val="clear" w:color="auto" w:fill="auto"/>
          </w:tcPr>
          <w:p w14:paraId="6CAE064B" w14:textId="77777777" w:rsidR="008F509F" w:rsidRPr="00D970F7" w:rsidRDefault="008F509F" w:rsidP="00CF6F9C">
            <w:pPr>
              <w:pStyle w:val="Textpoznpodarou"/>
              <w:jc w:val="both"/>
              <w:rPr>
                <w:spacing w:val="-4"/>
                <w:lang w:val="en-GB"/>
              </w:rPr>
            </w:pPr>
          </w:p>
        </w:tc>
        <w:tc>
          <w:tcPr>
            <w:tcW w:w="7654" w:type="dxa"/>
            <w:shd w:val="clear" w:color="auto" w:fill="auto"/>
          </w:tcPr>
          <w:p w14:paraId="6B344AB4" w14:textId="2EBDA4DB" w:rsidR="008F509F" w:rsidRPr="00D970F7" w:rsidRDefault="00DD2984" w:rsidP="00CF6F9C">
            <w:pPr>
              <w:spacing w:after="0"/>
              <w:rPr>
                <w:spacing w:val="-4"/>
                <w:lang w:val="en-GB"/>
              </w:rPr>
            </w:pPr>
            <w:r>
              <w:rPr>
                <w:noProof/>
              </w:rPr>
              <w:drawing>
                <wp:inline distT="0" distB="0" distL="0" distR="0" wp14:anchorId="3C6A3A01" wp14:editId="2DBC99C6">
                  <wp:extent cx="4737600" cy="3553200"/>
                  <wp:effectExtent l="0" t="0" r="6350" b="0"/>
                  <wp:docPr id="9" name="Graf 9">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8F509F" w:rsidRPr="00D970F7" w14:paraId="50F3AB4C" w14:textId="77777777" w:rsidTr="00CF6F9C">
        <w:trPr>
          <w:trHeight w:val="106"/>
        </w:trPr>
        <w:tc>
          <w:tcPr>
            <w:tcW w:w="1762" w:type="dxa"/>
            <w:vMerge/>
            <w:shd w:val="clear" w:color="auto" w:fill="auto"/>
            <w:tcMar>
              <w:left w:w="0" w:type="dxa"/>
            </w:tcMar>
          </w:tcPr>
          <w:p w14:paraId="60F0CEC3" w14:textId="77777777" w:rsidR="008F509F" w:rsidRPr="00D970F7" w:rsidRDefault="008F509F" w:rsidP="00CF6F9C">
            <w:pPr>
              <w:pStyle w:val="Marginlie"/>
              <w:rPr>
                <w:lang w:val="en-GB"/>
              </w:rPr>
            </w:pPr>
          </w:p>
        </w:tc>
        <w:tc>
          <w:tcPr>
            <w:tcW w:w="223" w:type="dxa"/>
            <w:vMerge/>
            <w:shd w:val="clear" w:color="auto" w:fill="auto"/>
            <w:tcMar>
              <w:left w:w="0" w:type="dxa"/>
            </w:tcMar>
          </w:tcPr>
          <w:p w14:paraId="1138F7E4" w14:textId="77777777" w:rsidR="008F509F" w:rsidRPr="00D970F7" w:rsidRDefault="008F509F" w:rsidP="00CF6F9C">
            <w:pPr>
              <w:pStyle w:val="Textpoznpodarou"/>
              <w:jc w:val="both"/>
              <w:rPr>
                <w:spacing w:val="-4"/>
                <w:lang w:val="en-GB"/>
              </w:rPr>
            </w:pPr>
          </w:p>
        </w:tc>
        <w:tc>
          <w:tcPr>
            <w:tcW w:w="7654" w:type="dxa"/>
            <w:shd w:val="clear" w:color="auto" w:fill="auto"/>
            <w:tcMar>
              <w:left w:w="0" w:type="dxa"/>
            </w:tcMar>
          </w:tcPr>
          <w:p w14:paraId="518AB2A1" w14:textId="5674DE5E" w:rsidR="00C642DC" w:rsidRPr="00D970F7" w:rsidRDefault="00A26F45" w:rsidP="00DD2984">
            <w:pPr>
              <w:spacing w:after="0"/>
              <w:rPr>
                <w:spacing w:val="-4"/>
                <w:lang w:val="en-GB"/>
              </w:rPr>
            </w:pPr>
            <w:r w:rsidRPr="00D970F7">
              <w:rPr>
                <w:sz w:val="14"/>
                <w:szCs w:val="14"/>
                <w:lang w:val="en-GB"/>
              </w:rPr>
              <w:t>Source</w:t>
            </w:r>
            <w:r w:rsidR="008F509F" w:rsidRPr="00D970F7">
              <w:rPr>
                <w:sz w:val="14"/>
                <w:szCs w:val="14"/>
                <w:lang w:val="en-GB"/>
              </w:rPr>
              <w:t xml:space="preserve">: </w:t>
            </w:r>
            <w:r w:rsidRPr="00D970F7">
              <w:rPr>
                <w:sz w:val="14"/>
                <w:szCs w:val="14"/>
                <w:lang w:val="en-GB"/>
              </w:rPr>
              <w:t>CZSO</w:t>
            </w:r>
          </w:p>
        </w:tc>
      </w:tr>
    </w:tbl>
    <w:p w14:paraId="2EFF5029" w14:textId="77777777" w:rsidR="008F509F" w:rsidRPr="00D970F7" w:rsidRDefault="008F509F" w:rsidP="008F509F">
      <w:pPr>
        <w:pStyle w:val="Nadpis11"/>
        <w:rPr>
          <w:b w:val="0"/>
          <w:sz w:val="2"/>
          <w:szCs w:val="2"/>
          <w:highlight w:val="yellow"/>
          <w:lang w:val="en-GB"/>
        </w:rPr>
      </w:pPr>
    </w:p>
    <w:p w14:paraId="5C2789AF" w14:textId="01A4B059" w:rsidR="00295E96" w:rsidRPr="00D970F7" w:rsidRDefault="00295E96" w:rsidP="00295E96">
      <w:pPr>
        <w:pStyle w:val="Nadpis11"/>
        <w:rPr>
          <w:lang w:val="en-GB"/>
        </w:rPr>
      </w:pPr>
      <w:bookmarkStart w:id="16" w:name="_Toc511215218"/>
      <w:bookmarkStart w:id="17" w:name="_Toc37403644"/>
      <w:bookmarkStart w:id="18" w:name="_Toc19090678"/>
      <w:bookmarkStart w:id="19" w:name="_Toc26539342"/>
      <w:bookmarkStart w:id="20" w:name="_Toc532558287"/>
      <w:bookmarkStart w:id="21" w:name="_Toc53468176"/>
      <w:bookmarkEnd w:id="12"/>
      <w:bookmarkEnd w:id="13"/>
      <w:bookmarkEnd w:id="14"/>
      <w:bookmarkEnd w:id="16"/>
      <w:r w:rsidRPr="00D970F7">
        <w:rPr>
          <w:lang w:val="en-GB"/>
        </w:rPr>
        <w:t>5. </w:t>
      </w:r>
      <w:r w:rsidR="00934B30" w:rsidRPr="00D970F7">
        <w:rPr>
          <w:lang w:val="en-GB"/>
        </w:rPr>
        <w:t>Prices</w:t>
      </w:r>
      <w:bookmarkEnd w:id="17"/>
      <w:bookmarkEnd w:id="18"/>
      <w:bookmarkEnd w:id="21"/>
    </w:p>
    <w:tbl>
      <w:tblPr>
        <w:tblW w:w="9639" w:type="dxa"/>
        <w:tblInd w:w="-15" w:type="dxa"/>
        <w:tblCellMar>
          <w:left w:w="0" w:type="dxa"/>
          <w:right w:w="0" w:type="dxa"/>
        </w:tblCellMar>
        <w:tblLook w:val="00A0" w:firstRow="1" w:lastRow="0" w:firstColumn="1" w:lastColumn="0" w:noHBand="0" w:noVBand="0"/>
      </w:tblPr>
      <w:tblGrid>
        <w:gridCol w:w="1805"/>
        <w:gridCol w:w="224"/>
        <w:gridCol w:w="7610"/>
      </w:tblGrid>
      <w:tr w:rsidR="00295E96" w:rsidRPr="00D970F7" w14:paraId="1849DB63" w14:textId="77777777" w:rsidTr="00CF6F9C">
        <w:trPr>
          <w:trHeight w:val="145"/>
        </w:trPr>
        <w:tc>
          <w:tcPr>
            <w:tcW w:w="1805" w:type="dxa"/>
            <w:hideMark/>
          </w:tcPr>
          <w:p w14:paraId="73D9F82E" w14:textId="76FD4CA1" w:rsidR="00295E96" w:rsidRPr="00D970F7" w:rsidRDefault="00934B30" w:rsidP="00CF6F9C">
            <w:pPr>
              <w:pStyle w:val="Marginlie"/>
              <w:rPr>
                <w:spacing w:val="0"/>
                <w:lang w:val="en-GB" w:eastAsia="en-US"/>
              </w:rPr>
            </w:pPr>
            <w:r w:rsidRPr="00D970F7">
              <w:rPr>
                <w:spacing w:val="0"/>
                <w:lang w:val="en-GB" w:eastAsia="en-US"/>
              </w:rPr>
              <w:t>Year-on-year growth of the price level strengthened in Q2</w:t>
            </w:r>
            <w:r w:rsidR="00295E96" w:rsidRPr="00D970F7">
              <w:rPr>
                <w:spacing w:val="0"/>
                <w:lang w:val="en-GB" w:eastAsia="en-US"/>
              </w:rPr>
              <w:t>.</w:t>
            </w:r>
          </w:p>
        </w:tc>
        <w:tc>
          <w:tcPr>
            <w:tcW w:w="224" w:type="dxa"/>
          </w:tcPr>
          <w:p w14:paraId="0C12F559" w14:textId="77777777" w:rsidR="00295E96" w:rsidRPr="00D970F7" w:rsidRDefault="00295E96" w:rsidP="00CF6F9C">
            <w:pPr>
              <w:pStyle w:val="Textpoznpodarou1"/>
              <w:jc w:val="both"/>
              <w:rPr>
                <w:lang w:val="en-GB" w:eastAsia="en-US"/>
              </w:rPr>
            </w:pPr>
          </w:p>
        </w:tc>
        <w:tc>
          <w:tcPr>
            <w:tcW w:w="7610" w:type="dxa"/>
            <w:hideMark/>
          </w:tcPr>
          <w:p w14:paraId="4E5B1BE4" w14:textId="465BA30F" w:rsidR="00295E96" w:rsidRPr="00D970F7" w:rsidRDefault="00C77B27" w:rsidP="00CF6F9C">
            <w:pPr>
              <w:rPr>
                <w:szCs w:val="20"/>
                <w:lang w:val="en-GB" w:eastAsia="en-US"/>
              </w:rPr>
            </w:pPr>
            <w:r w:rsidRPr="00D970F7">
              <w:rPr>
                <w:szCs w:val="20"/>
                <w:lang w:val="en-GB" w:eastAsia="en-US"/>
              </w:rPr>
              <w:t>Year-on-year growth of the price level</w:t>
            </w:r>
            <w:r w:rsidR="00295E96" w:rsidRPr="00D970F7">
              <w:rPr>
                <w:rStyle w:val="Znakapoznpodarou"/>
                <w:szCs w:val="20"/>
                <w:lang w:val="en-GB" w:eastAsia="en-US"/>
              </w:rPr>
              <w:footnoteReference w:id="32"/>
            </w:r>
            <w:r w:rsidR="00295E96" w:rsidRPr="00D970F7">
              <w:rPr>
                <w:szCs w:val="20"/>
                <w:lang w:val="en-GB" w:eastAsia="en-US"/>
              </w:rPr>
              <w:t xml:space="preserve"> </w:t>
            </w:r>
            <w:r w:rsidRPr="00D970F7">
              <w:rPr>
                <w:szCs w:val="20"/>
                <w:lang w:val="en-GB" w:eastAsia="en-US"/>
              </w:rPr>
              <w:t xml:space="preserve">accelerated to </w:t>
            </w:r>
            <w:r w:rsidR="00295E96" w:rsidRPr="00D970F7">
              <w:rPr>
                <w:szCs w:val="20"/>
                <w:lang w:val="en-GB" w:eastAsia="en-US"/>
              </w:rPr>
              <w:t>4</w:t>
            </w:r>
            <w:r w:rsidRPr="00D970F7">
              <w:rPr>
                <w:szCs w:val="20"/>
                <w:lang w:val="en-GB" w:eastAsia="en-US"/>
              </w:rPr>
              <w:t>.</w:t>
            </w:r>
            <w:r w:rsidR="00295E96" w:rsidRPr="00D970F7">
              <w:rPr>
                <w:szCs w:val="20"/>
                <w:lang w:val="en-GB" w:eastAsia="en-US"/>
              </w:rPr>
              <w:t>2%</w:t>
            </w:r>
            <w:r w:rsidRPr="00D970F7">
              <w:rPr>
                <w:szCs w:val="20"/>
                <w:lang w:val="en-GB" w:eastAsia="en-US"/>
              </w:rPr>
              <w:t xml:space="preserve"> in Q2</w:t>
            </w:r>
            <w:r w:rsidR="00295E96" w:rsidRPr="00D970F7">
              <w:rPr>
                <w:szCs w:val="20"/>
                <w:lang w:val="en-GB" w:eastAsia="en-US"/>
              </w:rPr>
              <w:t xml:space="preserve">. </w:t>
            </w:r>
            <w:r w:rsidRPr="00D970F7">
              <w:rPr>
                <w:szCs w:val="20"/>
                <w:lang w:val="en-GB" w:eastAsia="en-US"/>
              </w:rPr>
              <w:t>It presents the highest addition since Q</w:t>
            </w:r>
            <w:r w:rsidR="00295E96" w:rsidRPr="00D970F7">
              <w:rPr>
                <w:szCs w:val="20"/>
                <w:lang w:val="en-GB" w:eastAsia="en-US"/>
              </w:rPr>
              <w:t>1</w:t>
            </w:r>
            <w:r w:rsidRPr="00D970F7">
              <w:rPr>
                <w:szCs w:val="20"/>
                <w:lang w:val="en-GB" w:eastAsia="en-US"/>
              </w:rPr>
              <w:t xml:space="preserve"> </w:t>
            </w:r>
            <w:r w:rsidR="00295E96" w:rsidRPr="00D970F7">
              <w:rPr>
                <w:szCs w:val="20"/>
                <w:lang w:val="en-GB" w:eastAsia="en-US"/>
              </w:rPr>
              <w:t xml:space="preserve">2009. </w:t>
            </w:r>
            <w:r w:rsidRPr="00D970F7">
              <w:rPr>
                <w:szCs w:val="20"/>
                <w:lang w:val="en-GB" w:eastAsia="en-US"/>
              </w:rPr>
              <w:t>Compared to Q</w:t>
            </w:r>
            <w:r w:rsidR="00295E96" w:rsidRPr="00D970F7">
              <w:rPr>
                <w:szCs w:val="20"/>
                <w:lang w:val="en-GB" w:eastAsia="en-US"/>
              </w:rPr>
              <w:t>1</w:t>
            </w:r>
            <w:r w:rsidRPr="00D970F7">
              <w:rPr>
                <w:szCs w:val="20"/>
                <w:lang w:val="en-GB" w:eastAsia="en-US"/>
              </w:rPr>
              <w:t xml:space="preserve">, the year-on-year dynamics strengthened. Price level for consumption goods was raised by </w:t>
            </w:r>
            <w:r w:rsidR="00295E96" w:rsidRPr="00D970F7">
              <w:rPr>
                <w:szCs w:val="20"/>
                <w:lang w:val="en-GB" w:eastAsia="en-US"/>
              </w:rPr>
              <w:t>3</w:t>
            </w:r>
            <w:r w:rsidRPr="00D970F7">
              <w:rPr>
                <w:szCs w:val="20"/>
                <w:lang w:val="en-GB" w:eastAsia="en-US"/>
              </w:rPr>
              <w:t>.</w:t>
            </w:r>
            <w:r w:rsidR="00295E96" w:rsidRPr="00D970F7">
              <w:rPr>
                <w:szCs w:val="20"/>
                <w:lang w:val="en-GB" w:eastAsia="en-US"/>
              </w:rPr>
              <w:t xml:space="preserve">3%, </w:t>
            </w:r>
            <w:r w:rsidRPr="00D970F7">
              <w:rPr>
                <w:szCs w:val="20"/>
                <w:lang w:val="en-GB" w:eastAsia="en-US"/>
              </w:rPr>
              <w:t>which is less than in Q</w:t>
            </w:r>
            <w:r w:rsidR="00295E96" w:rsidRPr="00D970F7">
              <w:rPr>
                <w:szCs w:val="20"/>
                <w:lang w:val="en-GB" w:eastAsia="en-US"/>
              </w:rPr>
              <w:t>1.</w:t>
            </w:r>
            <w:r w:rsidRPr="00D970F7">
              <w:rPr>
                <w:szCs w:val="20"/>
                <w:lang w:val="en-GB" w:eastAsia="en-US"/>
              </w:rPr>
              <w:t xml:space="preserve"> </w:t>
            </w:r>
            <w:r w:rsidR="006C358B" w:rsidRPr="00D970F7">
              <w:rPr>
                <w:szCs w:val="20"/>
                <w:lang w:val="en-GB" w:eastAsia="en-US"/>
              </w:rPr>
              <w:t xml:space="preserve">Pace of consumption of goods by both households and the government sector slowed down. </w:t>
            </w:r>
            <w:r w:rsidR="003F416F" w:rsidRPr="00D970F7">
              <w:rPr>
                <w:szCs w:val="20"/>
                <w:lang w:val="en-GB" w:eastAsia="en-US"/>
              </w:rPr>
              <w:t xml:space="preserve">Prices of capital goods grew by </w:t>
            </w:r>
            <w:r w:rsidR="00295E96" w:rsidRPr="00D970F7">
              <w:rPr>
                <w:szCs w:val="20"/>
                <w:lang w:val="en-GB" w:eastAsia="en-US"/>
              </w:rPr>
              <w:t>1</w:t>
            </w:r>
            <w:r w:rsidR="003F416F" w:rsidRPr="00D970F7">
              <w:rPr>
                <w:szCs w:val="20"/>
                <w:lang w:val="en-GB" w:eastAsia="en-US"/>
              </w:rPr>
              <w:t>.</w:t>
            </w:r>
            <w:r w:rsidR="00F75922" w:rsidRPr="00D970F7">
              <w:rPr>
                <w:szCs w:val="20"/>
                <w:lang w:val="en-GB" w:eastAsia="en-US"/>
              </w:rPr>
              <w:t>9</w:t>
            </w:r>
            <w:r w:rsidR="00295E96" w:rsidRPr="00D970F7">
              <w:rPr>
                <w:szCs w:val="20"/>
                <w:lang w:val="en-GB" w:eastAsia="en-US"/>
              </w:rPr>
              <w:t>%</w:t>
            </w:r>
            <w:r w:rsidR="003F416F" w:rsidRPr="00D970F7">
              <w:rPr>
                <w:szCs w:val="20"/>
                <w:lang w:val="en-GB" w:eastAsia="en-US"/>
              </w:rPr>
              <w:t xml:space="preserve"> year-on-year in Q2</w:t>
            </w:r>
            <w:r w:rsidR="00295E96" w:rsidRPr="00D970F7">
              <w:rPr>
                <w:szCs w:val="20"/>
                <w:lang w:val="en-GB" w:eastAsia="en-US"/>
              </w:rPr>
              <w:t xml:space="preserve"> a</w:t>
            </w:r>
            <w:r w:rsidR="003F416F" w:rsidRPr="00D970F7">
              <w:rPr>
                <w:szCs w:val="20"/>
                <w:lang w:val="en-GB" w:eastAsia="en-US"/>
              </w:rPr>
              <w:t>nd thus the descent of the rate of growth apparent alread</w:t>
            </w:r>
            <w:r w:rsidR="006C358B" w:rsidRPr="00D970F7">
              <w:rPr>
                <w:szCs w:val="20"/>
                <w:lang w:val="en-GB" w:eastAsia="en-US"/>
              </w:rPr>
              <w:t>y</w:t>
            </w:r>
            <w:r w:rsidR="003F416F" w:rsidRPr="00D970F7">
              <w:rPr>
                <w:szCs w:val="20"/>
                <w:lang w:val="en-GB" w:eastAsia="en-US"/>
              </w:rPr>
              <w:t xml:space="preserve"> in the previous quarter continued. </w:t>
            </w:r>
            <w:r w:rsidR="00EB3B7B" w:rsidRPr="00D970F7">
              <w:rPr>
                <w:szCs w:val="20"/>
                <w:lang w:val="en-GB" w:eastAsia="en-US"/>
              </w:rPr>
              <w:t xml:space="preserve">Weakening of the price growth for domestic expenditure items was offset by notable increase of the terms of trade. </w:t>
            </w:r>
            <w:r w:rsidR="00295E96" w:rsidRPr="00D970F7">
              <w:rPr>
                <w:szCs w:val="20"/>
                <w:lang w:val="en-GB" w:eastAsia="en-US"/>
              </w:rPr>
              <w:t>T</w:t>
            </w:r>
            <w:r w:rsidR="00EB3B7B" w:rsidRPr="00D970F7">
              <w:rPr>
                <w:szCs w:val="20"/>
                <w:lang w:val="en-GB" w:eastAsia="en-US"/>
              </w:rPr>
              <w:t xml:space="preserve">hey amounted to </w:t>
            </w:r>
            <w:r w:rsidR="00295E96" w:rsidRPr="00D970F7">
              <w:rPr>
                <w:szCs w:val="20"/>
                <w:lang w:val="en-GB" w:eastAsia="en-US"/>
              </w:rPr>
              <w:t>102</w:t>
            </w:r>
            <w:r w:rsidR="00EB3B7B" w:rsidRPr="00D970F7">
              <w:rPr>
                <w:szCs w:val="20"/>
                <w:lang w:val="en-GB" w:eastAsia="en-US"/>
              </w:rPr>
              <w:t>.</w:t>
            </w:r>
            <w:r w:rsidR="00295E96" w:rsidRPr="00D970F7">
              <w:rPr>
                <w:szCs w:val="20"/>
                <w:lang w:val="en-GB" w:eastAsia="en-US"/>
              </w:rPr>
              <w:t>1%</w:t>
            </w:r>
            <w:r w:rsidR="00EB3B7B" w:rsidRPr="00D970F7">
              <w:rPr>
                <w:szCs w:val="20"/>
                <w:lang w:val="en-GB" w:eastAsia="en-US"/>
              </w:rPr>
              <w:t xml:space="preserve"> in Q2</w:t>
            </w:r>
            <w:r w:rsidR="00295E96" w:rsidRPr="00D970F7">
              <w:rPr>
                <w:szCs w:val="20"/>
                <w:lang w:val="en-GB" w:eastAsia="en-US"/>
              </w:rPr>
              <w:t xml:space="preserve">, </w:t>
            </w:r>
            <w:r w:rsidR="0026736A" w:rsidRPr="00D970F7">
              <w:rPr>
                <w:szCs w:val="20"/>
                <w:lang w:val="en-GB" w:eastAsia="en-US"/>
              </w:rPr>
              <w:t>the most since Q</w:t>
            </w:r>
            <w:r w:rsidR="00295E96" w:rsidRPr="00D970F7">
              <w:rPr>
                <w:szCs w:val="20"/>
                <w:lang w:val="en-GB" w:eastAsia="en-US"/>
              </w:rPr>
              <w:t>4</w:t>
            </w:r>
            <w:r w:rsidR="0026736A" w:rsidRPr="00D970F7">
              <w:rPr>
                <w:szCs w:val="20"/>
                <w:lang w:val="en-GB" w:eastAsia="en-US"/>
              </w:rPr>
              <w:t xml:space="preserve"> </w:t>
            </w:r>
            <w:r w:rsidR="00295E96" w:rsidRPr="00D970F7">
              <w:rPr>
                <w:szCs w:val="20"/>
                <w:lang w:val="en-GB" w:eastAsia="en-US"/>
              </w:rPr>
              <w:t xml:space="preserve">2009. </w:t>
            </w:r>
            <w:r w:rsidR="0026736A" w:rsidRPr="00D970F7">
              <w:rPr>
                <w:szCs w:val="20"/>
                <w:lang w:val="en-GB" w:eastAsia="en-US"/>
              </w:rPr>
              <w:t xml:space="preserve">The terms of trade were positive for both trade with goods </w:t>
            </w:r>
            <w:r w:rsidR="00295E96" w:rsidRPr="00D970F7">
              <w:rPr>
                <w:szCs w:val="20"/>
                <w:lang w:val="en-GB" w:eastAsia="en-US"/>
              </w:rPr>
              <w:t>(102</w:t>
            </w:r>
            <w:r w:rsidR="0026736A" w:rsidRPr="00D970F7">
              <w:rPr>
                <w:szCs w:val="20"/>
                <w:lang w:val="en-GB" w:eastAsia="en-US"/>
              </w:rPr>
              <w:t>.</w:t>
            </w:r>
            <w:r w:rsidR="00295E96" w:rsidRPr="00D970F7">
              <w:rPr>
                <w:szCs w:val="20"/>
                <w:lang w:val="en-GB" w:eastAsia="en-US"/>
              </w:rPr>
              <w:t>1%)</w:t>
            </w:r>
            <w:r w:rsidR="0026736A" w:rsidRPr="00D970F7">
              <w:rPr>
                <w:szCs w:val="20"/>
                <w:lang w:val="en-GB" w:eastAsia="en-US"/>
              </w:rPr>
              <w:t xml:space="preserve"> and </w:t>
            </w:r>
            <w:r w:rsidR="008C3F3D" w:rsidRPr="00D970F7">
              <w:rPr>
                <w:szCs w:val="20"/>
                <w:lang w:val="en-GB" w:eastAsia="en-US"/>
              </w:rPr>
              <w:t>s</w:t>
            </w:r>
            <w:r w:rsidR="0026736A" w:rsidRPr="00D970F7">
              <w:rPr>
                <w:szCs w:val="20"/>
                <w:lang w:val="en-GB" w:eastAsia="en-US"/>
              </w:rPr>
              <w:t xml:space="preserve">ervices </w:t>
            </w:r>
            <w:r w:rsidR="00295E96" w:rsidRPr="00D970F7">
              <w:rPr>
                <w:szCs w:val="20"/>
                <w:lang w:val="en-GB" w:eastAsia="en-US"/>
              </w:rPr>
              <w:t>(101</w:t>
            </w:r>
            <w:r w:rsidR="0026736A" w:rsidRPr="00D970F7">
              <w:rPr>
                <w:szCs w:val="20"/>
                <w:lang w:val="en-GB" w:eastAsia="en-US"/>
              </w:rPr>
              <w:t>.</w:t>
            </w:r>
            <w:r w:rsidR="00295E96" w:rsidRPr="00D970F7">
              <w:rPr>
                <w:szCs w:val="20"/>
                <w:lang w:val="en-GB" w:eastAsia="en-US"/>
              </w:rPr>
              <w:t>8%).</w:t>
            </w:r>
          </w:p>
        </w:tc>
      </w:tr>
      <w:tr w:rsidR="00295E96" w:rsidRPr="00D970F7" w14:paraId="265A9150" w14:textId="77777777" w:rsidTr="00CF6F9C">
        <w:trPr>
          <w:trHeight w:val="145"/>
        </w:trPr>
        <w:tc>
          <w:tcPr>
            <w:tcW w:w="1805" w:type="dxa"/>
            <w:hideMark/>
          </w:tcPr>
          <w:p w14:paraId="64722B78" w14:textId="053F2DEA" w:rsidR="00295E96" w:rsidRPr="00D970F7" w:rsidRDefault="000B4733" w:rsidP="00CF6F9C">
            <w:pPr>
              <w:pStyle w:val="Marginlie"/>
              <w:rPr>
                <w:spacing w:val="0"/>
                <w:lang w:val="en-GB" w:eastAsia="en-US"/>
              </w:rPr>
            </w:pPr>
            <w:r w:rsidRPr="00D970F7">
              <w:rPr>
                <w:spacing w:val="0"/>
                <w:lang w:val="en-GB" w:eastAsia="en-US"/>
              </w:rPr>
              <w:t>Year-on-year growth of consumer prices mildly slowed down in Q2</w:t>
            </w:r>
            <w:r w:rsidR="00295E96" w:rsidRPr="00D970F7">
              <w:rPr>
                <w:spacing w:val="0"/>
                <w:lang w:val="en-GB" w:eastAsia="en-US"/>
              </w:rPr>
              <w:t>.</w:t>
            </w:r>
            <w:r w:rsidRPr="00D970F7">
              <w:rPr>
                <w:spacing w:val="0"/>
                <w:lang w:val="en-GB" w:eastAsia="en-US"/>
              </w:rPr>
              <w:t xml:space="preserve"> </w:t>
            </w:r>
          </w:p>
        </w:tc>
        <w:tc>
          <w:tcPr>
            <w:tcW w:w="224" w:type="dxa"/>
          </w:tcPr>
          <w:p w14:paraId="0AFA97E1" w14:textId="77777777" w:rsidR="00295E96" w:rsidRPr="00D970F7" w:rsidRDefault="00295E96" w:rsidP="00CF6F9C">
            <w:pPr>
              <w:pStyle w:val="Textpoznpodarou1"/>
              <w:jc w:val="both"/>
              <w:rPr>
                <w:highlight w:val="yellow"/>
                <w:lang w:val="en-GB" w:eastAsia="en-US"/>
              </w:rPr>
            </w:pPr>
          </w:p>
        </w:tc>
        <w:tc>
          <w:tcPr>
            <w:tcW w:w="7610" w:type="dxa"/>
            <w:hideMark/>
          </w:tcPr>
          <w:p w14:paraId="4AA13AD3" w14:textId="05F03B92" w:rsidR="00295E96" w:rsidRPr="00227AB3" w:rsidRDefault="000B4733" w:rsidP="00CF6F9C">
            <w:pPr>
              <w:rPr>
                <w:spacing w:val="-2"/>
                <w:lang w:val="en-GB" w:eastAsia="en-US"/>
              </w:rPr>
            </w:pPr>
            <w:r w:rsidRPr="00227AB3">
              <w:rPr>
                <w:spacing w:val="-2"/>
                <w:lang w:val="en-GB" w:eastAsia="en-US"/>
              </w:rPr>
              <w:t>Total year-on-year increase of cons</w:t>
            </w:r>
            <w:r w:rsidR="004A5991" w:rsidRPr="00227AB3">
              <w:rPr>
                <w:spacing w:val="-2"/>
                <w:lang w:val="en-GB" w:eastAsia="en-US"/>
              </w:rPr>
              <w:t>u</w:t>
            </w:r>
            <w:r w:rsidRPr="00227AB3">
              <w:rPr>
                <w:spacing w:val="-2"/>
                <w:lang w:val="en-GB" w:eastAsia="en-US"/>
              </w:rPr>
              <w:t xml:space="preserve">mer prices rose by </w:t>
            </w:r>
            <w:r w:rsidR="00295E96" w:rsidRPr="00227AB3">
              <w:rPr>
                <w:spacing w:val="-2"/>
                <w:lang w:val="en-GB" w:eastAsia="en-US"/>
              </w:rPr>
              <w:t>3</w:t>
            </w:r>
            <w:r w:rsidRPr="00227AB3">
              <w:rPr>
                <w:spacing w:val="-2"/>
                <w:lang w:val="en-GB" w:eastAsia="en-US"/>
              </w:rPr>
              <w:t>.</w:t>
            </w:r>
            <w:r w:rsidR="00295E96" w:rsidRPr="00227AB3">
              <w:rPr>
                <w:spacing w:val="-2"/>
                <w:lang w:val="en-GB" w:eastAsia="en-US"/>
              </w:rPr>
              <w:t>4%</w:t>
            </w:r>
            <w:r w:rsidRPr="00227AB3">
              <w:rPr>
                <w:spacing w:val="-2"/>
                <w:lang w:val="en-GB" w:eastAsia="en-US"/>
              </w:rPr>
              <w:t xml:space="preserve"> in H</w:t>
            </w:r>
            <w:r w:rsidR="009A04D0" w:rsidRPr="00227AB3">
              <w:rPr>
                <w:spacing w:val="-2"/>
                <w:lang w:val="en-GB" w:eastAsia="en-US"/>
              </w:rPr>
              <w:t>1. The</w:t>
            </w:r>
            <w:r w:rsidRPr="00227AB3">
              <w:rPr>
                <w:spacing w:val="-2"/>
                <w:lang w:val="en-GB" w:eastAsia="en-US"/>
              </w:rPr>
              <w:t xml:space="preserve"> year-on-year dynamics of the consumer price index </w:t>
            </w:r>
            <w:r w:rsidR="004A5991" w:rsidRPr="00227AB3">
              <w:rPr>
                <w:spacing w:val="-2"/>
                <w:lang w:val="en-GB" w:eastAsia="en-US"/>
              </w:rPr>
              <w:t xml:space="preserve">slightly slackened in Q2 and attained </w:t>
            </w:r>
            <w:r w:rsidR="00295E96" w:rsidRPr="00227AB3">
              <w:rPr>
                <w:spacing w:val="-2"/>
                <w:lang w:val="en-GB" w:eastAsia="en-US"/>
              </w:rPr>
              <w:t>3</w:t>
            </w:r>
            <w:r w:rsidR="004A5991" w:rsidRPr="00227AB3">
              <w:rPr>
                <w:spacing w:val="-2"/>
                <w:lang w:val="en-GB" w:eastAsia="en-US"/>
              </w:rPr>
              <w:t>.</w:t>
            </w:r>
            <w:r w:rsidR="00295E96" w:rsidRPr="00227AB3">
              <w:rPr>
                <w:spacing w:val="-2"/>
                <w:lang w:val="en-GB" w:eastAsia="en-US"/>
              </w:rPr>
              <w:t xml:space="preserve">1%. </w:t>
            </w:r>
            <w:r w:rsidR="008D30AF" w:rsidRPr="00227AB3">
              <w:rPr>
                <w:spacing w:val="-2"/>
                <w:lang w:val="en-GB" w:eastAsia="en-US"/>
              </w:rPr>
              <w:t xml:space="preserve">Especially the strong January month-on-month addition </w:t>
            </w:r>
            <w:r w:rsidR="00295E96" w:rsidRPr="00227AB3">
              <w:rPr>
                <w:spacing w:val="-2"/>
                <w:lang w:val="en-GB" w:eastAsia="en-US"/>
              </w:rPr>
              <w:t>(1</w:t>
            </w:r>
            <w:r w:rsidR="008D30AF" w:rsidRPr="00227AB3">
              <w:rPr>
                <w:spacing w:val="-2"/>
                <w:lang w:val="en-GB" w:eastAsia="en-US"/>
              </w:rPr>
              <w:t>.</w:t>
            </w:r>
            <w:r w:rsidR="00295E96" w:rsidRPr="00227AB3">
              <w:rPr>
                <w:spacing w:val="-2"/>
                <w:lang w:val="en-GB" w:eastAsia="en-US"/>
              </w:rPr>
              <w:t>5%)</w:t>
            </w:r>
            <w:r w:rsidR="008D30AF" w:rsidRPr="00227AB3">
              <w:rPr>
                <w:spacing w:val="-2"/>
                <w:lang w:val="en-GB" w:eastAsia="en-US"/>
              </w:rPr>
              <w:t xml:space="preserve"> affected the year-on-year comparison the most</w:t>
            </w:r>
            <w:r w:rsidR="00295E96" w:rsidRPr="00227AB3">
              <w:rPr>
                <w:spacing w:val="-2"/>
                <w:lang w:val="en-GB" w:eastAsia="en-US"/>
              </w:rPr>
              <w:t xml:space="preserve">. </w:t>
            </w:r>
            <w:r w:rsidR="008D30AF" w:rsidRPr="00227AB3">
              <w:rPr>
                <w:spacing w:val="-2"/>
                <w:lang w:val="en-GB" w:eastAsia="en-US"/>
              </w:rPr>
              <w:t>The month-on-month dynamics subsequently slowed down</w:t>
            </w:r>
            <w:r w:rsidR="00295E96" w:rsidRPr="00227AB3">
              <w:rPr>
                <w:spacing w:val="-2"/>
                <w:lang w:val="en-GB" w:eastAsia="en-US"/>
              </w:rPr>
              <w:t xml:space="preserve">, </w:t>
            </w:r>
            <w:r w:rsidR="009A04D0" w:rsidRPr="00227AB3">
              <w:rPr>
                <w:spacing w:val="-2"/>
                <w:lang w:val="en-GB" w:eastAsia="en-US"/>
              </w:rPr>
              <w:t xml:space="preserve">but year-on-year additions </w:t>
            </w:r>
            <w:r w:rsidR="008D30AF" w:rsidRPr="00227AB3">
              <w:rPr>
                <w:spacing w:val="-2"/>
                <w:lang w:val="en-GB" w:eastAsia="en-US"/>
              </w:rPr>
              <w:t>remained</w:t>
            </w:r>
            <w:r w:rsidR="009A04D0" w:rsidRPr="00227AB3">
              <w:rPr>
                <w:spacing w:val="-2"/>
                <w:lang w:val="en-GB" w:eastAsia="en-US"/>
              </w:rPr>
              <w:t xml:space="preserve"> above the </w:t>
            </w:r>
            <w:r w:rsidR="00295E96" w:rsidRPr="00227AB3">
              <w:rPr>
                <w:spacing w:val="-2"/>
                <w:lang w:val="en-GB" w:eastAsia="en-US"/>
              </w:rPr>
              <w:t xml:space="preserve">3% </w:t>
            </w:r>
            <w:r w:rsidR="009A04D0" w:rsidRPr="00227AB3">
              <w:rPr>
                <w:spacing w:val="-2"/>
                <w:lang w:val="en-GB" w:eastAsia="en-US"/>
              </w:rPr>
              <w:t>level</w:t>
            </w:r>
            <w:r w:rsidR="00295E96" w:rsidRPr="00227AB3">
              <w:rPr>
                <w:spacing w:val="-2"/>
                <w:lang w:val="en-GB" w:eastAsia="en-US"/>
              </w:rPr>
              <w:t xml:space="preserve">. </w:t>
            </w:r>
            <w:r w:rsidR="008D30AF" w:rsidRPr="00227AB3">
              <w:rPr>
                <w:spacing w:val="-2"/>
                <w:lang w:val="en-GB" w:eastAsia="en-US"/>
              </w:rPr>
              <w:t>March as well as April saw a mild month-on-month decrease</w:t>
            </w:r>
            <w:r w:rsidR="00295E96" w:rsidRPr="00227AB3">
              <w:rPr>
                <w:spacing w:val="-2"/>
                <w:lang w:val="en-GB" w:eastAsia="en-US"/>
              </w:rPr>
              <w:t xml:space="preserve">, </w:t>
            </w:r>
            <w:r w:rsidR="008D30AF" w:rsidRPr="00227AB3">
              <w:rPr>
                <w:spacing w:val="-2"/>
                <w:lang w:val="en-GB" w:eastAsia="en-US"/>
              </w:rPr>
              <w:t>but May and June brought an acceleration</w:t>
            </w:r>
            <w:r w:rsidR="00295E96" w:rsidRPr="00227AB3">
              <w:rPr>
                <w:spacing w:val="-2"/>
                <w:lang w:val="en-GB" w:eastAsia="en-US"/>
              </w:rPr>
              <w:t xml:space="preserve">. </w:t>
            </w:r>
            <w:r w:rsidR="008D30AF" w:rsidRPr="00227AB3">
              <w:rPr>
                <w:spacing w:val="-2"/>
                <w:lang w:val="en-GB" w:eastAsia="en-US"/>
              </w:rPr>
              <w:t>Food and non-alcoholic beverages and further housing and energies pushed the year-on-year growth of prices the most in Q</w:t>
            </w:r>
            <w:r w:rsidR="00295E96" w:rsidRPr="00227AB3">
              <w:rPr>
                <w:spacing w:val="-2"/>
                <w:lang w:val="en-GB" w:eastAsia="en-US"/>
              </w:rPr>
              <w:t>2. </w:t>
            </w:r>
            <w:r w:rsidR="009A04D0" w:rsidRPr="00227AB3">
              <w:rPr>
                <w:spacing w:val="-2"/>
                <w:lang w:val="en-GB" w:eastAsia="en-US"/>
              </w:rPr>
              <w:t xml:space="preserve">Contribution of alcoholic beverages and tobacco notably </w:t>
            </w:r>
            <w:r w:rsidR="008D30AF" w:rsidRPr="00227AB3">
              <w:rPr>
                <w:spacing w:val="-2"/>
                <w:lang w:val="en-GB" w:eastAsia="en-US"/>
              </w:rPr>
              <w:t xml:space="preserve">strengthened </w:t>
            </w:r>
            <w:r w:rsidR="009A04D0" w:rsidRPr="00227AB3">
              <w:rPr>
                <w:spacing w:val="-2"/>
                <w:lang w:val="en-GB" w:eastAsia="en-US"/>
              </w:rPr>
              <w:t>(</w:t>
            </w:r>
            <w:r w:rsidR="00F727F1" w:rsidRPr="00227AB3">
              <w:rPr>
                <w:spacing w:val="-2"/>
                <w:lang w:val="en-GB" w:eastAsia="en-US"/>
              </w:rPr>
              <w:t>their sharp month-on-month as well as year-on-year increase occurred in May and June</w:t>
            </w:r>
            <w:r w:rsidR="00295E96" w:rsidRPr="00227AB3">
              <w:rPr>
                <w:spacing w:val="-2"/>
                <w:lang w:val="en-GB" w:eastAsia="en-US"/>
              </w:rPr>
              <w:t xml:space="preserve">). </w:t>
            </w:r>
            <w:r w:rsidR="009A04D0" w:rsidRPr="00227AB3">
              <w:rPr>
                <w:spacing w:val="-2"/>
                <w:lang w:val="en-GB" w:eastAsia="en-US"/>
              </w:rPr>
              <w:t>On the contrar</w:t>
            </w:r>
            <w:r w:rsidR="008D30AF" w:rsidRPr="00227AB3">
              <w:rPr>
                <w:spacing w:val="-2"/>
                <w:lang w:val="en-GB" w:eastAsia="en-US"/>
              </w:rPr>
              <w:t>y</w:t>
            </w:r>
            <w:r w:rsidR="009A04D0" w:rsidRPr="00227AB3">
              <w:rPr>
                <w:spacing w:val="-2"/>
                <w:lang w:val="en-GB" w:eastAsia="en-US"/>
              </w:rPr>
              <w:t xml:space="preserve">, the prices of transportation had a downward effect. </w:t>
            </w:r>
          </w:p>
        </w:tc>
      </w:tr>
      <w:tr w:rsidR="00295E96" w:rsidRPr="00D970F7" w14:paraId="17E4A025" w14:textId="77777777" w:rsidTr="00CF6F9C">
        <w:trPr>
          <w:trHeight w:val="145"/>
        </w:trPr>
        <w:tc>
          <w:tcPr>
            <w:tcW w:w="1805" w:type="dxa"/>
            <w:hideMark/>
          </w:tcPr>
          <w:p w14:paraId="7B8569AC" w14:textId="43CFBC21" w:rsidR="00295E96" w:rsidRPr="00D970F7" w:rsidRDefault="000B4733" w:rsidP="00CF6F9C">
            <w:pPr>
              <w:pStyle w:val="Marginlie"/>
              <w:rPr>
                <w:spacing w:val="0"/>
                <w:lang w:val="en-GB" w:eastAsia="en-US"/>
              </w:rPr>
            </w:pPr>
            <w:r w:rsidRPr="00D970F7">
              <w:rPr>
                <w:spacing w:val="0"/>
                <w:lang w:val="en-GB" w:eastAsia="en-US"/>
              </w:rPr>
              <w:t xml:space="preserve">Food and non-alcoholic beverages contributed to the growth the most. </w:t>
            </w:r>
          </w:p>
        </w:tc>
        <w:tc>
          <w:tcPr>
            <w:tcW w:w="224" w:type="dxa"/>
          </w:tcPr>
          <w:p w14:paraId="4833F3DB" w14:textId="77777777" w:rsidR="00295E96" w:rsidRPr="00D970F7" w:rsidRDefault="00295E96" w:rsidP="00CF6F9C">
            <w:pPr>
              <w:pStyle w:val="Textpoznpodarou1"/>
              <w:jc w:val="both"/>
              <w:rPr>
                <w:highlight w:val="yellow"/>
                <w:lang w:val="en-GB" w:eastAsia="en-US"/>
              </w:rPr>
            </w:pPr>
          </w:p>
        </w:tc>
        <w:tc>
          <w:tcPr>
            <w:tcW w:w="7610" w:type="dxa"/>
            <w:hideMark/>
          </w:tcPr>
          <w:p w14:paraId="0C1EE284" w14:textId="4E14E49F" w:rsidR="00295E96" w:rsidRPr="00D970F7" w:rsidRDefault="00720CB6" w:rsidP="00CF6F9C">
            <w:pPr>
              <w:rPr>
                <w:lang w:val="en-GB" w:eastAsia="en-US"/>
              </w:rPr>
            </w:pPr>
            <w:r w:rsidRPr="00D970F7">
              <w:rPr>
                <w:lang w:val="en-GB" w:eastAsia="en-US"/>
              </w:rPr>
              <w:t xml:space="preserve">Food and non-alcoholic beverages </w:t>
            </w:r>
            <w:r w:rsidR="004224C7" w:rsidRPr="00D970F7">
              <w:rPr>
                <w:lang w:val="en-GB" w:eastAsia="en-US"/>
              </w:rPr>
              <w:t>the most affected the growth of the total index in Q</w:t>
            </w:r>
            <w:r w:rsidR="00295E96" w:rsidRPr="00D970F7">
              <w:rPr>
                <w:lang w:val="en-GB" w:eastAsia="en-US"/>
              </w:rPr>
              <w:t>2.</w:t>
            </w:r>
            <w:r w:rsidR="004224C7" w:rsidRPr="00D970F7">
              <w:rPr>
                <w:lang w:val="en-GB" w:eastAsia="en-US"/>
              </w:rPr>
              <w:t xml:space="preserve"> Year-on-year addition to their prices further accelerated to 6.5% compared to Q</w:t>
            </w:r>
            <w:r w:rsidR="00295E96" w:rsidRPr="00D970F7">
              <w:rPr>
                <w:lang w:val="en-GB" w:eastAsia="en-US"/>
              </w:rPr>
              <w:t>1.</w:t>
            </w:r>
            <w:r w:rsidR="004224C7" w:rsidRPr="00D970F7">
              <w:rPr>
                <w:lang w:val="en-GB" w:eastAsia="en-US"/>
              </w:rPr>
              <w:t xml:space="preserve"> </w:t>
            </w:r>
            <w:r w:rsidR="00B96C06" w:rsidRPr="00D970F7">
              <w:rPr>
                <w:lang w:val="en-GB" w:eastAsia="en-US"/>
              </w:rPr>
              <w:t xml:space="preserve">Price of majority of types of food were raised apart from oils and fats </w:t>
            </w:r>
            <w:r w:rsidR="00295E96" w:rsidRPr="00D970F7">
              <w:rPr>
                <w:lang w:val="en-GB" w:eastAsia="en-US"/>
              </w:rPr>
              <w:t>(–2</w:t>
            </w:r>
            <w:r w:rsidR="00B96C06" w:rsidRPr="00D970F7">
              <w:rPr>
                <w:lang w:val="en-GB" w:eastAsia="en-US"/>
              </w:rPr>
              <w:t>.</w:t>
            </w:r>
            <w:r w:rsidR="00295E96" w:rsidRPr="00D970F7">
              <w:rPr>
                <w:lang w:val="en-GB" w:eastAsia="en-US"/>
              </w:rPr>
              <w:t>8%).</w:t>
            </w:r>
            <w:r w:rsidR="00B96C06" w:rsidRPr="00D970F7">
              <w:rPr>
                <w:lang w:val="en-GB" w:eastAsia="en-US"/>
              </w:rPr>
              <w:t xml:space="preserve"> Prices of fruit achieved the highest increase </w:t>
            </w:r>
            <w:r w:rsidR="00295E96" w:rsidRPr="00D970F7">
              <w:rPr>
                <w:lang w:val="en-GB" w:eastAsia="en-US"/>
              </w:rPr>
              <w:t>(25</w:t>
            </w:r>
            <w:r w:rsidR="00B96C06" w:rsidRPr="00D970F7">
              <w:rPr>
                <w:lang w:val="en-GB" w:eastAsia="en-US"/>
              </w:rPr>
              <w:t>.</w:t>
            </w:r>
            <w:r w:rsidR="00295E96" w:rsidRPr="00D970F7">
              <w:rPr>
                <w:lang w:val="en-GB" w:eastAsia="en-US"/>
              </w:rPr>
              <w:t xml:space="preserve">8%), </w:t>
            </w:r>
            <w:r w:rsidR="00B96C06" w:rsidRPr="00D970F7">
              <w:rPr>
                <w:lang w:val="en-GB" w:eastAsia="en-US"/>
              </w:rPr>
              <w:t>where the pace gained speed</w:t>
            </w:r>
            <w:r w:rsidR="00295E96" w:rsidRPr="00D970F7">
              <w:rPr>
                <w:lang w:val="en-GB" w:eastAsia="en-US"/>
              </w:rPr>
              <w:t xml:space="preserve">. </w:t>
            </w:r>
            <w:r w:rsidR="00B96C06" w:rsidRPr="00D970F7">
              <w:rPr>
                <w:lang w:val="en-GB" w:eastAsia="en-US"/>
              </w:rPr>
              <w:t xml:space="preserve">Addition to prices of meat </w:t>
            </w:r>
            <w:r w:rsidR="00295E96" w:rsidRPr="00D970F7">
              <w:rPr>
                <w:lang w:val="en-GB" w:eastAsia="en-US"/>
              </w:rPr>
              <w:t>(10</w:t>
            </w:r>
            <w:r w:rsidR="00B96C06" w:rsidRPr="00D970F7">
              <w:rPr>
                <w:lang w:val="en-GB" w:eastAsia="en-US"/>
              </w:rPr>
              <w:t>.</w:t>
            </w:r>
            <w:r w:rsidR="00295E96" w:rsidRPr="00D970F7">
              <w:rPr>
                <w:lang w:val="en-GB" w:eastAsia="en-US"/>
              </w:rPr>
              <w:t>8%) a</w:t>
            </w:r>
            <w:r w:rsidR="00B96C06" w:rsidRPr="00D970F7">
              <w:rPr>
                <w:lang w:val="en-GB" w:eastAsia="en-US"/>
              </w:rPr>
              <w:t xml:space="preserve">nd also other food products </w:t>
            </w:r>
            <w:r w:rsidR="00295E96" w:rsidRPr="00D970F7">
              <w:rPr>
                <w:lang w:val="en-GB" w:eastAsia="en-US"/>
              </w:rPr>
              <w:t>(10</w:t>
            </w:r>
            <w:r w:rsidR="00B96C06" w:rsidRPr="00D970F7">
              <w:rPr>
                <w:lang w:val="en-GB" w:eastAsia="en-US"/>
              </w:rPr>
              <w:t>.</w:t>
            </w:r>
            <w:r w:rsidR="00295E96" w:rsidRPr="00D970F7">
              <w:rPr>
                <w:lang w:val="en-GB" w:eastAsia="en-US"/>
              </w:rPr>
              <w:t>5%)</w:t>
            </w:r>
            <w:r w:rsidR="00B96C06" w:rsidRPr="00D970F7">
              <w:rPr>
                <w:lang w:val="en-GB" w:eastAsia="en-US"/>
              </w:rPr>
              <w:t xml:space="preserve"> remained very strong</w:t>
            </w:r>
            <w:r w:rsidR="00295E96" w:rsidRPr="00D970F7">
              <w:rPr>
                <w:lang w:val="en-GB" w:eastAsia="en-US"/>
              </w:rPr>
              <w:t>.</w:t>
            </w:r>
            <w:r w:rsidR="00B96C06" w:rsidRPr="00D970F7">
              <w:rPr>
                <w:lang w:val="en-GB" w:eastAsia="en-US"/>
              </w:rPr>
              <w:t xml:space="preserve"> Prices of vegetables </w:t>
            </w:r>
            <w:r w:rsidR="00295E96" w:rsidRPr="00D970F7">
              <w:rPr>
                <w:lang w:val="en-GB" w:eastAsia="en-US"/>
              </w:rPr>
              <w:t>(6</w:t>
            </w:r>
            <w:r w:rsidR="00B96C06" w:rsidRPr="00D970F7">
              <w:rPr>
                <w:lang w:val="en-GB" w:eastAsia="en-US"/>
              </w:rPr>
              <w:t>.</w:t>
            </w:r>
            <w:r w:rsidR="00295E96" w:rsidRPr="00D970F7">
              <w:rPr>
                <w:lang w:val="en-GB" w:eastAsia="en-US"/>
              </w:rPr>
              <w:t xml:space="preserve">5%), </w:t>
            </w:r>
            <w:r w:rsidR="00B96C06" w:rsidRPr="00D970F7">
              <w:rPr>
                <w:lang w:val="en-GB" w:eastAsia="en-US"/>
              </w:rPr>
              <w:t>sugar, jam, honey, chocolate and sweets</w:t>
            </w:r>
            <w:r w:rsidR="00295E96" w:rsidRPr="00D970F7">
              <w:rPr>
                <w:lang w:val="en-GB" w:eastAsia="en-US"/>
              </w:rPr>
              <w:t xml:space="preserve"> (5</w:t>
            </w:r>
            <w:r w:rsidR="00B96C06" w:rsidRPr="00D970F7">
              <w:rPr>
                <w:lang w:val="en-GB" w:eastAsia="en-US"/>
              </w:rPr>
              <w:t>.</w:t>
            </w:r>
            <w:r w:rsidR="00295E96" w:rsidRPr="00D970F7">
              <w:rPr>
                <w:lang w:val="en-GB" w:eastAsia="en-US"/>
              </w:rPr>
              <w:t>4%)</w:t>
            </w:r>
            <w:r w:rsidR="00B96C06" w:rsidRPr="00D970F7">
              <w:rPr>
                <w:lang w:val="en-GB" w:eastAsia="en-US"/>
              </w:rPr>
              <w:t xml:space="preserve"> also hiked up</w:t>
            </w:r>
            <w:r w:rsidR="00295E96" w:rsidRPr="00D970F7">
              <w:rPr>
                <w:lang w:val="en-GB" w:eastAsia="en-US"/>
              </w:rPr>
              <w:t xml:space="preserve">. </w:t>
            </w:r>
            <w:r w:rsidR="00B96C06" w:rsidRPr="00D970F7">
              <w:rPr>
                <w:lang w:val="en-GB" w:eastAsia="en-US"/>
              </w:rPr>
              <w:t xml:space="preserve">The year-on-year dynamics of prices of baking products and cereals </w:t>
            </w:r>
            <w:r w:rsidR="00295E96" w:rsidRPr="00D970F7">
              <w:rPr>
                <w:lang w:val="en-GB" w:eastAsia="en-US"/>
              </w:rPr>
              <w:t>(3</w:t>
            </w:r>
            <w:r w:rsidR="00B96C06" w:rsidRPr="00D970F7">
              <w:rPr>
                <w:lang w:val="en-GB" w:eastAsia="en-US"/>
              </w:rPr>
              <w:t>.</w:t>
            </w:r>
            <w:r w:rsidR="00295E96" w:rsidRPr="00D970F7">
              <w:rPr>
                <w:lang w:val="en-GB" w:eastAsia="en-US"/>
              </w:rPr>
              <w:t>2%)</w:t>
            </w:r>
            <w:r w:rsidR="00B96C06" w:rsidRPr="00D970F7">
              <w:rPr>
                <w:lang w:val="en-GB" w:eastAsia="en-US"/>
              </w:rPr>
              <w:t xml:space="preserve"> as well as milk, cheese and eggs </w:t>
            </w:r>
            <w:r w:rsidR="00295E96" w:rsidRPr="00D970F7">
              <w:rPr>
                <w:lang w:val="en-GB" w:eastAsia="en-US"/>
              </w:rPr>
              <w:t>(2</w:t>
            </w:r>
            <w:r w:rsidR="00B96C06" w:rsidRPr="00D970F7">
              <w:rPr>
                <w:lang w:val="en-GB" w:eastAsia="en-US"/>
              </w:rPr>
              <w:t>.</w:t>
            </w:r>
            <w:r w:rsidR="00295E96" w:rsidRPr="00D970F7">
              <w:rPr>
                <w:lang w:val="en-GB" w:eastAsia="en-US"/>
              </w:rPr>
              <w:t>2%)</w:t>
            </w:r>
            <w:r w:rsidR="00B96C06" w:rsidRPr="00D970F7">
              <w:rPr>
                <w:lang w:val="en-GB" w:eastAsia="en-US"/>
              </w:rPr>
              <w:t xml:space="preserve"> accelerated</w:t>
            </w:r>
            <w:r w:rsidR="00295E96" w:rsidRPr="00D970F7">
              <w:rPr>
                <w:lang w:val="en-GB" w:eastAsia="en-US"/>
              </w:rPr>
              <w:t>.</w:t>
            </w:r>
          </w:p>
        </w:tc>
      </w:tr>
      <w:tr w:rsidR="00295E96" w:rsidRPr="00D970F7" w14:paraId="02A9DD46" w14:textId="77777777" w:rsidTr="00CF6F9C">
        <w:trPr>
          <w:trHeight w:val="145"/>
        </w:trPr>
        <w:tc>
          <w:tcPr>
            <w:tcW w:w="1805" w:type="dxa"/>
            <w:hideMark/>
          </w:tcPr>
          <w:p w14:paraId="38E07C24" w14:textId="17D2FE95" w:rsidR="00295E96" w:rsidRPr="00D970F7" w:rsidRDefault="00247A6A" w:rsidP="00CF6F9C">
            <w:pPr>
              <w:pStyle w:val="Marginlie"/>
              <w:rPr>
                <w:spacing w:val="0"/>
                <w:lang w:val="en-GB" w:eastAsia="en-US"/>
              </w:rPr>
            </w:pPr>
            <w:r w:rsidRPr="00D970F7">
              <w:rPr>
                <w:spacing w:val="0"/>
                <w:lang w:val="en-GB" w:eastAsia="en-US"/>
              </w:rPr>
              <w:t xml:space="preserve">Growth of prices of housing and energies slowed down. </w:t>
            </w:r>
          </w:p>
        </w:tc>
        <w:tc>
          <w:tcPr>
            <w:tcW w:w="224" w:type="dxa"/>
          </w:tcPr>
          <w:p w14:paraId="17073C9C" w14:textId="77777777" w:rsidR="00295E96" w:rsidRPr="00D970F7" w:rsidRDefault="00295E96" w:rsidP="00CF6F9C">
            <w:pPr>
              <w:pStyle w:val="Textpoznpodarou1"/>
              <w:jc w:val="both"/>
              <w:rPr>
                <w:highlight w:val="yellow"/>
                <w:lang w:val="en-GB" w:eastAsia="en-US"/>
              </w:rPr>
            </w:pPr>
          </w:p>
        </w:tc>
        <w:tc>
          <w:tcPr>
            <w:tcW w:w="7610" w:type="dxa"/>
            <w:hideMark/>
          </w:tcPr>
          <w:p w14:paraId="0BACE3BF" w14:textId="10E75492" w:rsidR="00295E96" w:rsidRPr="00D970F7" w:rsidRDefault="00366692" w:rsidP="00CF6F9C">
            <w:pPr>
              <w:rPr>
                <w:lang w:val="en-GB" w:eastAsia="en-US"/>
              </w:rPr>
            </w:pPr>
            <w:r w:rsidRPr="00D970F7">
              <w:rPr>
                <w:lang w:val="en-GB" w:eastAsia="en-US"/>
              </w:rPr>
              <w:t>Housing and energies descended from the position of item contributing the most to the year-on-year increase of consumer prices in Q</w:t>
            </w:r>
            <w:r w:rsidR="00295E96" w:rsidRPr="00D970F7">
              <w:rPr>
                <w:lang w:val="en-GB" w:eastAsia="en-US"/>
              </w:rPr>
              <w:t>2.</w:t>
            </w:r>
            <w:r w:rsidRPr="00D970F7">
              <w:rPr>
                <w:lang w:val="en-GB" w:eastAsia="en-US"/>
              </w:rPr>
              <w:t xml:space="preserve"> </w:t>
            </w:r>
            <w:r w:rsidR="00D15B29" w:rsidRPr="00D970F7">
              <w:rPr>
                <w:lang w:val="en-GB" w:eastAsia="en-US"/>
              </w:rPr>
              <w:t xml:space="preserve">Prices of housing and energies increased by </w:t>
            </w:r>
            <w:r w:rsidR="00295E96" w:rsidRPr="00D970F7">
              <w:rPr>
                <w:lang w:val="en-GB" w:eastAsia="en-US"/>
              </w:rPr>
              <w:t>3</w:t>
            </w:r>
            <w:r w:rsidR="00D15B29" w:rsidRPr="00D970F7">
              <w:rPr>
                <w:lang w:val="en-GB" w:eastAsia="en-US"/>
              </w:rPr>
              <w:t>.</w:t>
            </w:r>
            <w:r w:rsidR="00295E96" w:rsidRPr="00D970F7">
              <w:rPr>
                <w:lang w:val="en-GB" w:eastAsia="en-US"/>
              </w:rPr>
              <w:t>2%</w:t>
            </w:r>
            <w:r w:rsidR="00D15B29" w:rsidRPr="00D970F7">
              <w:rPr>
                <w:lang w:val="en-GB" w:eastAsia="en-US"/>
              </w:rPr>
              <w:t xml:space="preserve"> year-on-year</w:t>
            </w:r>
            <w:r w:rsidR="00295E96" w:rsidRPr="00D970F7">
              <w:rPr>
                <w:lang w:val="en-GB" w:eastAsia="en-US"/>
              </w:rPr>
              <w:t xml:space="preserve">, </w:t>
            </w:r>
            <w:r w:rsidR="00D15B29" w:rsidRPr="00D970F7">
              <w:rPr>
                <w:lang w:val="en-GB" w:eastAsia="en-US"/>
              </w:rPr>
              <w:t>which is the least since Q</w:t>
            </w:r>
            <w:r w:rsidR="00295E96" w:rsidRPr="00D970F7">
              <w:rPr>
                <w:lang w:val="en-GB" w:eastAsia="en-US"/>
              </w:rPr>
              <w:t>2</w:t>
            </w:r>
            <w:r w:rsidR="00D15B29" w:rsidRPr="00D970F7">
              <w:rPr>
                <w:lang w:val="en-GB" w:eastAsia="en-US"/>
              </w:rPr>
              <w:t xml:space="preserve"> </w:t>
            </w:r>
            <w:r w:rsidR="00295E96" w:rsidRPr="00D970F7">
              <w:rPr>
                <w:lang w:val="en-GB" w:eastAsia="en-US"/>
              </w:rPr>
              <w:t>2018.</w:t>
            </w:r>
            <w:r w:rsidR="00D15B29" w:rsidRPr="00D970F7">
              <w:rPr>
                <w:lang w:val="en-GB" w:eastAsia="en-US"/>
              </w:rPr>
              <w:t xml:space="preserve"> Slowdown was observed across the whole division of the consumer basket. </w:t>
            </w:r>
            <w:r w:rsidR="00252177" w:rsidRPr="00D970F7">
              <w:rPr>
                <w:lang w:val="en-GB" w:eastAsia="en-US"/>
              </w:rPr>
              <w:t xml:space="preserve">Rate of growth of residential rents </w:t>
            </w:r>
            <w:r w:rsidR="00295E96" w:rsidRPr="00D970F7">
              <w:rPr>
                <w:lang w:val="en-GB" w:eastAsia="en-US"/>
              </w:rPr>
              <w:t>(3</w:t>
            </w:r>
            <w:r w:rsidR="00252177" w:rsidRPr="00D970F7">
              <w:rPr>
                <w:lang w:val="en-GB" w:eastAsia="en-US"/>
              </w:rPr>
              <w:t>.</w:t>
            </w:r>
            <w:r w:rsidR="00295E96" w:rsidRPr="00D970F7">
              <w:rPr>
                <w:lang w:val="en-GB" w:eastAsia="en-US"/>
              </w:rPr>
              <w:t>7%)</w:t>
            </w:r>
            <w:r w:rsidR="00252177" w:rsidRPr="00D970F7">
              <w:rPr>
                <w:lang w:val="en-GB" w:eastAsia="en-US"/>
              </w:rPr>
              <w:t xml:space="preserve"> as well as imputed rent </w:t>
            </w:r>
            <w:r w:rsidR="00295E96" w:rsidRPr="00D970F7">
              <w:rPr>
                <w:lang w:val="en-GB" w:eastAsia="en-US"/>
              </w:rPr>
              <w:t>(2</w:t>
            </w:r>
            <w:r w:rsidR="00252177" w:rsidRPr="00D970F7">
              <w:rPr>
                <w:lang w:val="en-GB" w:eastAsia="en-US"/>
              </w:rPr>
              <w:t>.</w:t>
            </w:r>
            <w:r w:rsidR="00295E96" w:rsidRPr="00D970F7">
              <w:rPr>
                <w:lang w:val="en-GB" w:eastAsia="en-US"/>
              </w:rPr>
              <w:t>6%)</w:t>
            </w:r>
            <w:r w:rsidR="00252177" w:rsidRPr="00D970F7">
              <w:rPr>
                <w:lang w:val="en-GB" w:eastAsia="en-US"/>
              </w:rPr>
              <w:t xml:space="preserve"> eased its pace</w:t>
            </w:r>
            <w:r w:rsidR="00295E96" w:rsidRPr="00D970F7">
              <w:rPr>
                <w:lang w:val="en-GB" w:eastAsia="en-US"/>
              </w:rPr>
              <w:t xml:space="preserve">. </w:t>
            </w:r>
            <w:r w:rsidR="00D15B29" w:rsidRPr="00D970F7">
              <w:rPr>
                <w:lang w:val="en-GB" w:eastAsia="en-US"/>
              </w:rPr>
              <w:t xml:space="preserve">Slowdown of prices for electricity and heat, gas and other fuels </w:t>
            </w:r>
            <w:r w:rsidR="00295E96" w:rsidRPr="00D970F7">
              <w:rPr>
                <w:lang w:val="en-GB" w:eastAsia="en-US"/>
              </w:rPr>
              <w:t>(3</w:t>
            </w:r>
            <w:r w:rsidR="00D15B29" w:rsidRPr="00D970F7">
              <w:rPr>
                <w:lang w:val="en-GB" w:eastAsia="en-US"/>
              </w:rPr>
              <w:t>.</w:t>
            </w:r>
            <w:r w:rsidR="00295E96" w:rsidRPr="00D970F7">
              <w:rPr>
                <w:lang w:val="en-GB" w:eastAsia="en-US"/>
              </w:rPr>
              <w:t>7%)</w:t>
            </w:r>
            <w:r w:rsidR="00D15B29" w:rsidRPr="00D970F7">
              <w:rPr>
                <w:lang w:val="en-GB" w:eastAsia="en-US"/>
              </w:rPr>
              <w:t xml:space="preserve"> was also an important factor</w:t>
            </w:r>
            <w:r w:rsidR="00295E96" w:rsidRPr="00D970F7">
              <w:rPr>
                <w:lang w:val="en-GB" w:eastAsia="en-US"/>
              </w:rPr>
              <w:t xml:space="preserve">. </w:t>
            </w:r>
            <w:r w:rsidR="00D15B29" w:rsidRPr="00D970F7">
              <w:rPr>
                <w:lang w:val="en-GB" w:eastAsia="en-US"/>
              </w:rPr>
              <w:t xml:space="preserve">Prices of regular maintenance </w:t>
            </w:r>
            <w:r w:rsidR="00295E96" w:rsidRPr="00D970F7">
              <w:rPr>
                <w:lang w:val="en-GB" w:eastAsia="en-US"/>
              </w:rPr>
              <w:t>(3</w:t>
            </w:r>
            <w:r w:rsidR="00D15B29" w:rsidRPr="00D970F7">
              <w:rPr>
                <w:lang w:val="en-GB" w:eastAsia="en-US"/>
              </w:rPr>
              <w:t>.</w:t>
            </w:r>
            <w:r w:rsidR="00295E96" w:rsidRPr="00D970F7">
              <w:rPr>
                <w:lang w:val="en-GB" w:eastAsia="en-US"/>
              </w:rPr>
              <w:t>3%) a</w:t>
            </w:r>
            <w:r w:rsidR="00D15B29" w:rsidRPr="00D970F7">
              <w:rPr>
                <w:lang w:val="en-GB" w:eastAsia="en-US"/>
              </w:rPr>
              <w:t xml:space="preserve">nd other services associated with housing </w:t>
            </w:r>
            <w:r w:rsidR="00295E96" w:rsidRPr="00D970F7">
              <w:rPr>
                <w:lang w:val="en-GB" w:eastAsia="en-US"/>
              </w:rPr>
              <w:t>(4</w:t>
            </w:r>
            <w:r w:rsidR="00D15B29" w:rsidRPr="00D970F7">
              <w:rPr>
                <w:lang w:val="en-GB" w:eastAsia="en-US"/>
              </w:rPr>
              <w:t>.</w:t>
            </w:r>
            <w:r w:rsidR="00295E96" w:rsidRPr="00D970F7">
              <w:rPr>
                <w:lang w:val="en-GB" w:eastAsia="en-US"/>
              </w:rPr>
              <w:t>3%)</w:t>
            </w:r>
            <w:r w:rsidR="00D15B29" w:rsidRPr="00D970F7">
              <w:rPr>
                <w:lang w:val="en-GB" w:eastAsia="en-US"/>
              </w:rPr>
              <w:t xml:space="preserve"> also grew slo</w:t>
            </w:r>
            <w:r w:rsidR="00710AF0" w:rsidRPr="00D970F7">
              <w:rPr>
                <w:lang w:val="en-GB" w:eastAsia="en-US"/>
              </w:rPr>
              <w:t>w</w:t>
            </w:r>
            <w:r w:rsidR="00D15B29" w:rsidRPr="00D970F7">
              <w:rPr>
                <w:lang w:val="en-GB" w:eastAsia="en-US"/>
              </w:rPr>
              <w:t>e</w:t>
            </w:r>
            <w:r w:rsidR="00710AF0" w:rsidRPr="00D970F7">
              <w:rPr>
                <w:lang w:val="en-GB" w:eastAsia="en-US"/>
              </w:rPr>
              <w:t>r</w:t>
            </w:r>
            <w:r w:rsidR="00D15B29" w:rsidRPr="00D970F7">
              <w:rPr>
                <w:lang w:val="en-GB" w:eastAsia="en-US"/>
              </w:rPr>
              <w:t xml:space="preserve"> than in the previous quarter. </w:t>
            </w:r>
          </w:p>
        </w:tc>
      </w:tr>
      <w:tr w:rsidR="00295E96" w:rsidRPr="00D970F7" w14:paraId="377663FE" w14:textId="77777777" w:rsidTr="00CF6F9C">
        <w:trPr>
          <w:trHeight w:val="145"/>
        </w:trPr>
        <w:tc>
          <w:tcPr>
            <w:tcW w:w="1805" w:type="dxa"/>
            <w:hideMark/>
          </w:tcPr>
          <w:p w14:paraId="499A7376" w14:textId="4E6C4559" w:rsidR="00295E96" w:rsidRPr="00D970F7" w:rsidRDefault="008B3701" w:rsidP="00CF6F9C">
            <w:pPr>
              <w:pStyle w:val="Marginlie"/>
              <w:rPr>
                <w:spacing w:val="0"/>
                <w:lang w:val="en-GB" w:eastAsia="en-US"/>
              </w:rPr>
            </w:pPr>
            <w:r w:rsidRPr="00D970F7">
              <w:rPr>
                <w:spacing w:val="0"/>
                <w:lang w:val="en-GB" w:eastAsia="en-US"/>
              </w:rPr>
              <w:t xml:space="preserve">Alcoholic beverages and tobacco also relatively strongly contributed to the growth of consumer prices. </w:t>
            </w:r>
          </w:p>
        </w:tc>
        <w:tc>
          <w:tcPr>
            <w:tcW w:w="224" w:type="dxa"/>
          </w:tcPr>
          <w:p w14:paraId="454C5614" w14:textId="77777777" w:rsidR="00295E96" w:rsidRPr="00D970F7" w:rsidRDefault="00295E96" w:rsidP="00CF6F9C">
            <w:pPr>
              <w:pStyle w:val="Textpoznpodarou1"/>
              <w:jc w:val="both"/>
              <w:rPr>
                <w:highlight w:val="yellow"/>
                <w:lang w:val="en-GB" w:eastAsia="en-US"/>
              </w:rPr>
            </w:pPr>
          </w:p>
        </w:tc>
        <w:tc>
          <w:tcPr>
            <w:tcW w:w="7610" w:type="dxa"/>
            <w:hideMark/>
          </w:tcPr>
          <w:p w14:paraId="1C8F1070" w14:textId="5AAF8BA5" w:rsidR="00295E96" w:rsidRPr="00D970F7" w:rsidRDefault="00745E3F" w:rsidP="00DD2984">
            <w:pPr>
              <w:spacing w:after="0"/>
              <w:rPr>
                <w:lang w:val="en-GB" w:eastAsia="en-US"/>
              </w:rPr>
            </w:pPr>
            <w:r w:rsidRPr="00D970F7">
              <w:rPr>
                <w:lang w:val="en-GB" w:eastAsia="en-US"/>
              </w:rPr>
              <w:t>Prices of alcoholic beverages and tobacco also significantly influenced the development of consumer prices. They climbed up by 6.6% year-on-year in Q2</w:t>
            </w:r>
            <w:r w:rsidR="00295E96" w:rsidRPr="00D970F7">
              <w:rPr>
                <w:lang w:val="en-GB" w:eastAsia="en-US"/>
              </w:rPr>
              <w:t>.</w:t>
            </w:r>
            <w:r w:rsidRPr="00D970F7">
              <w:rPr>
                <w:lang w:val="en-GB" w:eastAsia="en-US"/>
              </w:rPr>
              <w:t xml:space="preserve"> </w:t>
            </w:r>
            <w:r w:rsidR="00C158AD" w:rsidRPr="00D970F7">
              <w:rPr>
                <w:lang w:val="en-GB" w:eastAsia="en-US"/>
              </w:rPr>
              <w:t>This division featured relatively strong growth already in Q</w:t>
            </w:r>
            <w:r w:rsidR="00295E96" w:rsidRPr="00D970F7">
              <w:rPr>
                <w:lang w:val="en-GB" w:eastAsia="en-US"/>
              </w:rPr>
              <w:t>1</w:t>
            </w:r>
            <w:r w:rsidR="00C158AD" w:rsidRPr="00D970F7">
              <w:rPr>
                <w:lang w:val="en-GB" w:eastAsia="en-US"/>
              </w:rPr>
              <w:t xml:space="preserve"> </w:t>
            </w:r>
            <w:r w:rsidR="00295E96" w:rsidRPr="00D970F7">
              <w:rPr>
                <w:lang w:val="en-GB" w:eastAsia="en-US"/>
              </w:rPr>
              <w:t>(3</w:t>
            </w:r>
            <w:r w:rsidR="00C158AD" w:rsidRPr="00D970F7">
              <w:rPr>
                <w:lang w:val="en-GB" w:eastAsia="en-US"/>
              </w:rPr>
              <w:t>.</w:t>
            </w:r>
            <w:r w:rsidR="00295E96" w:rsidRPr="00D970F7">
              <w:rPr>
                <w:lang w:val="en-GB" w:eastAsia="en-US"/>
              </w:rPr>
              <w:t xml:space="preserve">5%), </w:t>
            </w:r>
            <w:r w:rsidR="00C158AD" w:rsidRPr="00D970F7">
              <w:rPr>
                <w:lang w:val="en-GB" w:eastAsia="en-US"/>
              </w:rPr>
              <w:t xml:space="preserve">for the reason of increase of the excise tax. It influences the alcoholic beverages as well as tobacco. While prices of alcohol went up immediately at the beginning of the year </w:t>
            </w:r>
            <w:r w:rsidR="00295E96" w:rsidRPr="00D970F7">
              <w:rPr>
                <w:lang w:val="en-GB" w:eastAsia="en-US"/>
              </w:rPr>
              <w:t>(4</w:t>
            </w:r>
            <w:r w:rsidR="00C158AD" w:rsidRPr="00D970F7">
              <w:rPr>
                <w:lang w:val="en-GB" w:eastAsia="en-US"/>
              </w:rPr>
              <w:t>.</w:t>
            </w:r>
            <w:r w:rsidR="00295E96" w:rsidRPr="00D970F7">
              <w:rPr>
                <w:lang w:val="en-GB" w:eastAsia="en-US"/>
              </w:rPr>
              <w:t xml:space="preserve">5%), </w:t>
            </w:r>
            <w:r w:rsidR="00C158AD" w:rsidRPr="00D970F7">
              <w:rPr>
                <w:lang w:val="en-GB" w:eastAsia="en-US"/>
              </w:rPr>
              <w:t>the development for tobacco was affected by pre</w:t>
            </w:r>
            <w:r w:rsidR="00C90570">
              <w:rPr>
                <w:lang w:val="en-GB" w:eastAsia="en-US"/>
              </w:rPr>
              <w:t>-</w:t>
            </w:r>
            <w:r w:rsidR="00C158AD" w:rsidRPr="00D970F7">
              <w:rPr>
                <w:lang w:val="en-GB" w:eastAsia="en-US"/>
              </w:rPr>
              <w:t xml:space="preserve">stocking with products with older tax stamps </w:t>
            </w:r>
            <w:r w:rsidR="00295E96" w:rsidRPr="00D970F7">
              <w:rPr>
                <w:lang w:val="en-GB" w:eastAsia="en-US"/>
              </w:rPr>
              <w:t>(2</w:t>
            </w:r>
            <w:r w:rsidR="00C158AD" w:rsidRPr="00D970F7">
              <w:rPr>
                <w:lang w:val="en-GB" w:eastAsia="en-US"/>
              </w:rPr>
              <w:t>.</w:t>
            </w:r>
            <w:r w:rsidR="00295E96" w:rsidRPr="00D970F7">
              <w:rPr>
                <w:lang w:val="en-GB" w:eastAsia="en-US"/>
              </w:rPr>
              <w:t>6%). T</w:t>
            </w:r>
            <w:r w:rsidR="00C158AD" w:rsidRPr="00D970F7">
              <w:rPr>
                <w:lang w:val="en-GB" w:eastAsia="en-US"/>
              </w:rPr>
              <w:t xml:space="preserve">his effect however evaporated and sharp hike of tobacco prices occurred since May </w:t>
            </w:r>
            <w:r w:rsidR="00295E96" w:rsidRPr="00D970F7">
              <w:rPr>
                <w:lang w:val="en-GB" w:eastAsia="en-US"/>
              </w:rPr>
              <w:t>(7</w:t>
            </w:r>
            <w:r w:rsidR="00C158AD" w:rsidRPr="00D970F7">
              <w:rPr>
                <w:lang w:val="en-GB" w:eastAsia="en-US"/>
              </w:rPr>
              <w:t>.</w:t>
            </w:r>
            <w:r w:rsidR="00295E96" w:rsidRPr="00D970F7">
              <w:rPr>
                <w:lang w:val="en-GB" w:eastAsia="en-US"/>
              </w:rPr>
              <w:t>5%</w:t>
            </w:r>
            <w:r w:rsidR="00C158AD" w:rsidRPr="00D970F7">
              <w:rPr>
                <w:lang w:val="en-GB" w:eastAsia="en-US"/>
              </w:rPr>
              <w:t xml:space="preserve"> for the whole Q</w:t>
            </w:r>
            <w:r w:rsidR="00295E96" w:rsidRPr="00D970F7">
              <w:rPr>
                <w:lang w:val="en-GB" w:eastAsia="en-US"/>
              </w:rPr>
              <w:t xml:space="preserve">2). </w:t>
            </w:r>
            <w:r w:rsidR="00C158AD" w:rsidRPr="00D970F7">
              <w:rPr>
                <w:lang w:val="en-GB" w:eastAsia="en-US"/>
              </w:rPr>
              <w:t xml:space="preserve">Prices of alcoholic beverages also mildly accelerated </w:t>
            </w:r>
            <w:r w:rsidR="00295E96" w:rsidRPr="00D970F7">
              <w:rPr>
                <w:lang w:val="en-GB" w:eastAsia="en-US"/>
              </w:rPr>
              <w:t>(5</w:t>
            </w:r>
            <w:r w:rsidR="00C158AD" w:rsidRPr="00D970F7">
              <w:rPr>
                <w:lang w:val="en-GB" w:eastAsia="en-US"/>
              </w:rPr>
              <w:t>.</w:t>
            </w:r>
            <w:r w:rsidR="00295E96" w:rsidRPr="00D970F7">
              <w:rPr>
                <w:lang w:val="en-GB" w:eastAsia="en-US"/>
              </w:rPr>
              <w:t>5%).</w:t>
            </w:r>
          </w:p>
        </w:tc>
      </w:tr>
      <w:tr w:rsidR="00295E96" w:rsidRPr="00D970F7" w14:paraId="4698EA54" w14:textId="77777777" w:rsidTr="00CF6F9C">
        <w:trPr>
          <w:trHeight w:val="145"/>
        </w:trPr>
        <w:tc>
          <w:tcPr>
            <w:tcW w:w="1805" w:type="dxa"/>
            <w:hideMark/>
          </w:tcPr>
          <w:p w14:paraId="53E6CFCE" w14:textId="2F9BA8A4" w:rsidR="00295E96" w:rsidRPr="00D970F7" w:rsidRDefault="0044201B" w:rsidP="00CF6F9C">
            <w:pPr>
              <w:pStyle w:val="Marginlie"/>
              <w:rPr>
                <w:spacing w:val="0"/>
                <w:lang w:val="en-GB" w:eastAsia="en-US"/>
              </w:rPr>
            </w:pPr>
            <w:r w:rsidRPr="00D970F7">
              <w:rPr>
                <w:spacing w:val="0"/>
                <w:lang w:val="en-GB" w:eastAsia="en-US"/>
              </w:rPr>
              <w:lastRenderedPageBreak/>
              <w:t xml:space="preserve">Prices of transportation pushed the level down. </w:t>
            </w:r>
          </w:p>
        </w:tc>
        <w:tc>
          <w:tcPr>
            <w:tcW w:w="224" w:type="dxa"/>
          </w:tcPr>
          <w:p w14:paraId="58BEE515" w14:textId="77777777" w:rsidR="00295E96" w:rsidRPr="00D970F7" w:rsidRDefault="00295E96" w:rsidP="00CF6F9C">
            <w:pPr>
              <w:pStyle w:val="Textpoznpodarou1"/>
              <w:jc w:val="both"/>
              <w:rPr>
                <w:highlight w:val="yellow"/>
                <w:lang w:val="en-GB" w:eastAsia="en-US"/>
              </w:rPr>
            </w:pPr>
          </w:p>
        </w:tc>
        <w:tc>
          <w:tcPr>
            <w:tcW w:w="7610" w:type="dxa"/>
            <w:hideMark/>
          </w:tcPr>
          <w:p w14:paraId="2E6728E7" w14:textId="747F046D" w:rsidR="00295E96" w:rsidRPr="00D970F7" w:rsidRDefault="0044201B" w:rsidP="00CF6F9C">
            <w:pPr>
              <w:rPr>
                <w:lang w:val="en-GB" w:eastAsia="en-US"/>
              </w:rPr>
            </w:pPr>
            <w:r w:rsidRPr="00D970F7">
              <w:rPr>
                <w:lang w:val="en-GB" w:eastAsia="en-US"/>
              </w:rPr>
              <w:t xml:space="preserve">Among other divisions, which exerted significant influence on the growth of consumer prices, prices of food service and accommodation can be mentioned. They increased by </w:t>
            </w:r>
            <w:r w:rsidR="00295E96" w:rsidRPr="00D970F7">
              <w:rPr>
                <w:lang w:val="en-GB" w:eastAsia="en-US"/>
              </w:rPr>
              <w:t>5</w:t>
            </w:r>
            <w:r w:rsidRPr="00D970F7">
              <w:rPr>
                <w:lang w:val="en-GB" w:eastAsia="en-US"/>
              </w:rPr>
              <w:t>.</w:t>
            </w:r>
            <w:r w:rsidR="00295E96" w:rsidRPr="00D970F7">
              <w:rPr>
                <w:lang w:val="en-GB" w:eastAsia="en-US"/>
              </w:rPr>
              <w:t>1%</w:t>
            </w:r>
            <w:r w:rsidRPr="00D970F7">
              <w:rPr>
                <w:lang w:val="en-GB" w:eastAsia="en-US"/>
              </w:rPr>
              <w:t xml:space="preserve"> in Q2</w:t>
            </w:r>
            <w:r w:rsidR="00295E96" w:rsidRPr="00D970F7">
              <w:rPr>
                <w:lang w:val="en-GB" w:eastAsia="en-US"/>
              </w:rPr>
              <w:t xml:space="preserve">. </w:t>
            </w:r>
            <w:r w:rsidR="004255B1" w:rsidRPr="00D970F7">
              <w:rPr>
                <w:lang w:val="en-GB" w:eastAsia="en-US"/>
              </w:rPr>
              <w:t>Price</w:t>
            </w:r>
            <w:r w:rsidR="000129C2" w:rsidRPr="00D970F7">
              <w:rPr>
                <w:lang w:val="en-GB" w:eastAsia="en-US"/>
              </w:rPr>
              <w:t>s</w:t>
            </w:r>
            <w:r w:rsidR="004255B1" w:rsidRPr="00D970F7">
              <w:rPr>
                <w:lang w:val="en-GB" w:eastAsia="en-US"/>
              </w:rPr>
              <w:t xml:space="preserve"> </w:t>
            </w:r>
            <w:r w:rsidR="006D6ED0" w:rsidRPr="00D970F7">
              <w:rPr>
                <w:lang w:val="en-GB" w:eastAsia="en-US"/>
              </w:rPr>
              <w:t xml:space="preserve">have </w:t>
            </w:r>
            <w:r w:rsidR="004255B1" w:rsidRPr="00D970F7">
              <w:rPr>
                <w:lang w:val="en-GB" w:eastAsia="en-US"/>
              </w:rPr>
              <w:t>reach</w:t>
            </w:r>
            <w:r w:rsidR="006D6ED0" w:rsidRPr="00D970F7">
              <w:rPr>
                <w:lang w:val="en-GB" w:eastAsia="en-US"/>
              </w:rPr>
              <w:t>ed</w:t>
            </w:r>
            <w:r w:rsidR="004255B1" w:rsidRPr="00D970F7">
              <w:rPr>
                <w:lang w:val="en-GB" w:eastAsia="en-US"/>
              </w:rPr>
              <w:t xml:space="preserve"> relatively high year-on-year rate of growth here already since the end of year </w:t>
            </w:r>
            <w:r w:rsidR="00295E96" w:rsidRPr="00D970F7">
              <w:rPr>
                <w:lang w:val="en-GB" w:eastAsia="en-US"/>
              </w:rPr>
              <w:t>2016</w:t>
            </w:r>
            <w:r w:rsidR="004255B1" w:rsidRPr="00D970F7">
              <w:rPr>
                <w:lang w:val="en-GB" w:eastAsia="en-US"/>
              </w:rPr>
              <w:t xml:space="preserve"> and</w:t>
            </w:r>
            <w:r w:rsidR="006D6ED0" w:rsidRPr="00D970F7">
              <w:rPr>
                <w:lang w:val="en-GB" w:eastAsia="en-US"/>
              </w:rPr>
              <w:t xml:space="preserve"> further increase manifested since the beginning of this year. </w:t>
            </w:r>
            <w:r w:rsidR="00F55E8F" w:rsidRPr="00D970F7">
              <w:rPr>
                <w:lang w:val="en-GB" w:eastAsia="en-US"/>
              </w:rPr>
              <w:t xml:space="preserve">The prices of food service however grew faster </w:t>
            </w:r>
            <w:r w:rsidR="00295E96" w:rsidRPr="00D970F7">
              <w:rPr>
                <w:lang w:val="en-GB" w:eastAsia="en-US"/>
              </w:rPr>
              <w:t>(5</w:t>
            </w:r>
            <w:r w:rsidR="00F55E8F" w:rsidRPr="00D970F7">
              <w:rPr>
                <w:lang w:val="en-GB" w:eastAsia="en-US"/>
              </w:rPr>
              <w:t>.</w:t>
            </w:r>
            <w:r w:rsidR="00295E96" w:rsidRPr="00D970F7">
              <w:rPr>
                <w:lang w:val="en-GB" w:eastAsia="en-US"/>
              </w:rPr>
              <w:t xml:space="preserve">5%), </w:t>
            </w:r>
            <w:r w:rsidR="00F55E8F" w:rsidRPr="00D970F7">
              <w:rPr>
                <w:lang w:val="en-GB" w:eastAsia="en-US"/>
              </w:rPr>
              <w:t>pace of prices in accommodation notably slowed down in Q</w:t>
            </w:r>
            <w:r w:rsidR="00295E96" w:rsidRPr="00D970F7">
              <w:rPr>
                <w:lang w:val="en-GB" w:eastAsia="en-US"/>
              </w:rPr>
              <w:t>2</w:t>
            </w:r>
            <w:r w:rsidR="00F55E8F" w:rsidRPr="00D970F7">
              <w:rPr>
                <w:lang w:val="en-GB" w:eastAsia="en-US"/>
              </w:rPr>
              <w:t xml:space="preserve"> </w:t>
            </w:r>
            <w:r w:rsidR="00295E96" w:rsidRPr="00D970F7">
              <w:rPr>
                <w:lang w:val="en-GB" w:eastAsia="en-US"/>
              </w:rPr>
              <w:t>(2</w:t>
            </w:r>
            <w:r w:rsidR="00F55E8F" w:rsidRPr="00D970F7">
              <w:rPr>
                <w:lang w:val="en-GB" w:eastAsia="en-US"/>
              </w:rPr>
              <w:t>.</w:t>
            </w:r>
            <w:r w:rsidR="00295E96" w:rsidRPr="00D970F7">
              <w:rPr>
                <w:lang w:val="en-GB" w:eastAsia="en-US"/>
              </w:rPr>
              <w:t xml:space="preserve">5%). </w:t>
            </w:r>
            <w:r w:rsidR="00A8583B" w:rsidRPr="00D970F7">
              <w:rPr>
                <w:lang w:val="en-GB" w:eastAsia="en-US"/>
              </w:rPr>
              <w:t xml:space="preserve">Recreation and culture also contributed to the growth of consumer prices </w:t>
            </w:r>
            <w:r w:rsidR="00295E96" w:rsidRPr="00D970F7">
              <w:rPr>
                <w:lang w:val="en-GB" w:eastAsia="en-US"/>
              </w:rPr>
              <w:t>(</w:t>
            </w:r>
            <w:r w:rsidR="00A8583B" w:rsidRPr="00D970F7">
              <w:rPr>
                <w:lang w:val="en-GB" w:eastAsia="en-US"/>
              </w:rPr>
              <w:t xml:space="preserve">increase </w:t>
            </w:r>
            <w:r w:rsidR="00295E96" w:rsidRPr="00D970F7">
              <w:rPr>
                <w:lang w:val="en-GB" w:eastAsia="en-US"/>
              </w:rPr>
              <w:t>2</w:t>
            </w:r>
            <w:r w:rsidR="00A8583B" w:rsidRPr="00D970F7">
              <w:rPr>
                <w:lang w:val="en-GB" w:eastAsia="en-US"/>
              </w:rPr>
              <w:t>.</w:t>
            </w:r>
            <w:r w:rsidR="00295E96" w:rsidRPr="00D970F7">
              <w:rPr>
                <w:lang w:val="en-GB" w:eastAsia="en-US"/>
              </w:rPr>
              <w:t>0%).</w:t>
            </w:r>
            <w:r w:rsidR="00A8583B" w:rsidRPr="00D970F7">
              <w:rPr>
                <w:lang w:val="en-GB" w:eastAsia="en-US"/>
              </w:rPr>
              <w:t xml:space="preserve"> Mostly holidays with complex services stood behind it </w:t>
            </w:r>
            <w:r w:rsidR="00295E96" w:rsidRPr="00D970F7">
              <w:rPr>
                <w:lang w:val="en-GB" w:eastAsia="en-US"/>
              </w:rPr>
              <w:t>(5</w:t>
            </w:r>
            <w:r w:rsidR="00A8583B" w:rsidRPr="00D970F7">
              <w:rPr>
                <w:lang w:val="en-GB" w:eastAsia="en-US"/>
              </w:rPr>
              <w:t>.</w:t>
            </w:r>
            <w:r w:rsidR="00295E96" w:rsidRPr="00D970F7">
              <w:rPr>
                <w:lang w:val="en-GB" w:eastAsia="en-US"/>
              </w:rPr>
              <w:t xml:space="preserve">1%), </w:t>
            </w:r>
            <w:r w:rsidR="00A8583B" w:rsidRPr="00D970F7">
              <w:rPr>
                <w:lang w:val="en-GB" w:eastAsia="en-US"/>
              </w:rPr>
              <w:t>which raised prices markedly at the beginning of the year</w:t>
            </w:r>
            <w:r w:rsidR="00295E96" w:rsidRPr="00D970F7">
              <w:rPr>
                <w:lang w:val="en-GB" w:eastAsia="en-US"/>
              </w:rPr>
              <w:t xml:space="preserve">. </w:t>
            </w:r>
            <w:r w:rsidR="00D10F2A" w:rsidRPr="00D970F7">
              <w:rPr>
                <w:lang w:val="en-GB" w:eastAsia="en-US"/>
              </w:rPr>
              <w:t xml:space="preserve">Growth of prices of household equipment accelerated compared to Q1 </w:t>
            </w:r>
            <w:r w:rsidR="00295E96" w:rsidRPr="00D970F7">
              <w:rPr>
                <w:lang w:val="en-GB" w:eastAsia="en-US"/>
              </w:rPr>
              <w:t>(3</w:t>
            </w:r>
            <w:r w:rsidR="00D10F2A" w:rsidRPr="00D970F7">
              <w:rPr>
                <w:lang w:val="en-GB" w:eastAsia="en-US"/>
              </w:rPr>
              <w:t>.</w:t>
            </w:r>
            <w:r w:rsidR="00295E96" w:rsidRPr="00D970F7">
              <w:rPr>
                <w:lang w:val="en-GB" w:eastAsia="en-US"/>
              </w:rPr>
              <w:t xml:space="preserve">3%). </w:t>
            </w:r>
            <w:r w:rsidR="00D10F2A" w:rsidRPr="00D970F7">
              <w:rPr>
                <w:lang w:val="en-GB" w:eastAsia="en-US"/>
              </w:rPr>
              <w:t xml:space="preserve">Prices of transportation </w:t>
            </w:r>
            <w:r w:rsidR="00295E96" w:rsidRPr="00D970F7">
              <w:rPr>
                <w:lang w:val="en-GB" w:eastAsia="en-US"/>
              </w:rPr>
              <w:t>(–3</w:t>
            </w:r>
            <w:r w:rsidR="00D10F2A" w:rsidRPr="00D970F7">
              <w:rPr>
                <w:lang w:val="en-GB" w:eastAsia="en-US"/>
              </w:rPr>
              <w:t>.</w:t>
            </w:r>
            <w:r w:rsidR="00295E96" w:rsidRPr="00D970F7">
              <w:rPr>
                <w:lang w:val="en-GB" w:eastAsia="en-US"/>
              </w:rPr>
              <w:t>4%)</w:t>
            </w:r>
            <w:r w:rsidR="00D10F2A" w:rsidRPr="00D970F7">
              <w:rPr>
                <w:lang w:val="en-GB" w:eastAsia="en-US"/>
              </w:rPr>
              <w:t xml:space="preserve"> had a marked counter inflationary effect</w:t>
            </w:r>
            <w:r w:rsidR="00295E96" w:rsidRPr="00D970F7">
              <w:rPr>
                <w:lang w:val="en-GB" w:eastAsia="en-US"/>
              </w:rPr>
              <w:t xml:space="preserve">. </w:t>
            </w:r>
            <w:r w:rsidR="00D10F2A" w:rsidRPr="00D970F7">
              <w:rPr>
                <w:lang w:val="en-GB" w:eastAsia="en-US"/>
              </w:rPr>
              <w:t xml:space="preserve">The reason was plunge of prices of </w:t>
            </w:r>
            <w:r w:rsidR="00B1576B" w:rsidRPr="00D970F7">
              <w:rPr>
                <w:lang w:val="en-GB" w:eastAsia="en-US"/>
              </w:rPr>
              <w:t>p</w:t>
            </w:r>
            <w:r w:rsidR="00AF136B" w:rsidRPr="00D970F7">
              <w:rPr>
                <w:lang w:val="en-GB" w:eastAsia="en-US"/>
              </w:rPr>
              <w:t xml:space="preserve">assenger transport equipment </w:t>
            </w:r>
            <w:r w:rsidR="00B1576B" w:rsidRPr="00D970F7">
              <w:rPr>
                <w:lang w:val="en-GB" w:eastAsia="en-US"/>
              </w:rPr>
              <w:t xml:space="preserve">operation by </w:t>
            </w:r>
            <w:r w:rsidR="00295E96" w:rsidRPr="00D970F7">
              <w:rPr>
                <w:lang w:val="en-GB" w:eastAsia="en-US"/>
              </w:rPr>
              <w:t>11</w:t>
            </w:r>
            <w:r w:rsidR="00B1576B" w:rsidRPr="00D970F7">
              <w:rPr>
                <w:lang w:val="en-GB" w:eastAsia="en-US"/>
              </w:rPr>
              <w:t>.</w:t>
            </w:r>
            <w:r w:rsidR="00295E96" w:rsidRPr="00D970F7">
              <w:rPr>
                <w:lang w:val="en-GB" w:eastAsia="en-US"/>
              </w:rPr>
              <w:t>1%</w:t>
            </w:r>
            <w:r w:rsidR="00AF136B" w:rsidRPr="00D970F7">
              <w:rPr>
                <w:lang w:val="en-GB" w:eastAsia="en-US"/>
              </w:rPr>
              <w:t xml:space="preserve"> </w:t>
            </w:r>
            <w:r w:rsidR="00295E96" w:rsidRPr="00D970F7">
              <w:rPr>
                <w:lang w:val="en-GB" w:eastAsia="en-US"/>
              </w:rPr>
              <w:t>(</w:t>
            </w:r>
            <w:r w:rsidR="00AF136B" w:rsidRPr="00D970F7">
              <w:rPr>
                <w:lang w:val="en-GB" w:eastAsia="en-US"/>
              </w:rPr>
              <w:t xml:space="preserve">remainder </w:t>
            </w:r>
            <w:r w:rsidR="00016269" w:rsidRPr="00D970F7">
              <w:rPr>
                <w:lang w:val="en-GB" w:eastAsia="en-US"/>
              </w:rPr>
              <w:t>of the March downturn of prices of oil to the historically low values</w:t>
            </w:r>
            <w:r w:rsidR="00295E96" w:rsidRPr="00D970F7">
              <w:rPr>
                <w:lang w:val="en-GB" w:eastAsia="en-US"/>
              </w:rPr>
              <w:t xml:space="preserve">). </w:t>
            </w:r>
            <w:r w:rsidR="00016269" w:rsidRPr="00D970F7">
              <w:rPr>
                <w:lang w:val="en-GB" w:eastAsia="en-US"/>
              </w:rPr>
              <w:t xml:space="preserve">In contrast, the prices of purchase of motor vehicles, motorcycle and bicycles went up by </w:t>
            </w:r>
            <w:r w:rsidR="00295E96" w:rsidRPr="00D970F7">
              <w:rPr>
                <w:lang w:val="en-GB" w:eastAsia="en-US"/>
              </w:rPr>
              <w:t>3</w:t>
            </w:r>
            <w:r w:rsidR="00016269" w:rsidRPr="00D970F7">
              <w:rPr>
                <w:lang w:val="en-GB" w:eastAsia="en-US"/>
              </w:rPr>
              <w:t>.</w:t>
            </w:r>
            <w:r w:rsidR="00295E96" w:rsidRPr="00D970F7">
              <w:rPr>
                <w:lang w:val="en-GB" w:eastAsia="en-US"/>
              </w:rPr>
              <w:t xml:space="preserve">1%. </w:t>
            </w:r>
            <w:r w:rsidR="00016269" w:rsidRPr="00D970F7">
              <w:rPr>
                <w:lang w:val="en-GB" w:eastAsia="en-US"/>
              </w:rPr>
              <w:t xml:space="preserve">Prices of transportation services rose by </w:t>
            </w:r>
            <w:r w:rsidR="00295E96" w:rsidRPr="00D970F7">
              <w:rPr>
                <w:lang w:val="en-GB" w:eastAsia="en-US"/>
              </w:rPr>
              <w:t>2</w:t>
            </w:r>
            <w:r w:rsidR="00016269" w:rsidRPr="00D970F7">
              <w:rPr>
                <w:lang w:val="en-GB" w:eastAsia="en-US"/>
              </w:rPr>
              <w:t>.</w:t>
            </w:r>
            <w:r w:rsidR="00295E96" w:rsidRPr="00D970F7">
              <w:rPr>
                <w:lang w:val="en-GB" w:eastAsia="en-US"/>
              </w:rPr>
              <w:t>0%.</w:t>
            </w:r>
          </w:p>
        </w:tc>
      </w:tr>
      <w:tr w:rsidR="00295E96" w:rsidRPr="00D970F7" w14:paraId="73B66E6A" w14:textId="77777777" w:rsidTr="00CF6F9C">
        <w:trPr>
          <w:trHeight w:val="170"/>
        </w:trPr>
        <w:tc>
          <w:tcPr>
            <w:tcW w:w="1805" w:type="dxa"/>
            <w:vMerge w:val="restart"/>
          </w:tcPr>
          <w:p w14:paraId="73626C22" w14:textId="77777777" w:rsidR="00295E96" w:rsidRPr="00D970F7" w:rsidRDefault="00295E96" w:rsidP="00CF6F9C">
            <w:pPr>
              <w:pStyle w:val="Marginlie"/>
              <w:rPr>
                <w:spacing w:val="0"/>
                <w:lang w:val="en-GB" w:eastAsia="en-US"/>
              </w:rPr>
            </w:pPr>
          </w:p>
        </w:tc>
        <w:tc>
          <w:tcPr>
            <w:tcW w:w="224" w:type="dxa"/>
            <w:vMerge w:val="restart"/>
          </w:tcPr>
          <w:p w14:paraId="21DB4977" w14:textId="77777777" w:rsidR="00295E96" w:rsidRPr="00D970F7" w:rsidRDefault="00295E96" w:rsidP="00CF6F9C">
            <w:pPr>
              <w:pStyle w:val="Textpoznpodarou1"/>
              <w:jc w:val="both"/>
              <w:rPr>
                <w:highlight w:val="yellow"/>
                <w:lang w:val="en-GB" w:eastAsia="en-US"/>
              </w:rPr>
            </w:pPr>
          </w:p>
        </w:tc>
        <w:tc>
          <w:tcPr>
            <w:tcW w:w="7610" w:type="dxa"/>
            <w:hideMark/>
          </w:tcPr>
          <w:p w14:paraId="749E3078" w14:textId="7BF9FBAB" w:rsidR="00295E96" w:rsidRPr="00D970F7" w:rsidRDefault="00391175" w:rsidP="00CF6F9C">
            <w:pPr>
              <w:spacing w:after="0"/>
              <w:rPr>
                <w:b/>
                <w:szCs w:val="20"/>
                <w:lang w:val="en-GB" w:eastAsia="en-US"/>
              </w:rPr>
            </w:pPr>
            <w:r w:rsidRPr="00D970F7">
              <w:rPr>
                <w:rFonts w:cs="Arial"/>
                <w:b/>
                <w:bCs/>
                <w:color w:val="000000"/>
                <w:sz w:val="18"/>
                <w:szCs w:val="18"/>
                <w:lang w:val="en-GB" w:eastAsia="en-US"/>
              </w:rPr>
              <w:t xml:space="preserve">Chart </w:t>
            </w:r>
            <w:r w:rsidR="00295E96" w:rsidRPr="00D970F7">
              <w:rPr>
                <w:rFonts w:cs="Arial"/>
                <w:b/>
                <w:bCs/>
                <w:color w:val="000000"/>
                <w:sz w:val="18"/>
                <w:szCs w:val="18"/>
                <w:lang w:val="en-GB" w:eastAsia="en-US"/>
              </w:rPr>
              <w:t xml:space="preserve">9  </w:t>
            </w:r>
            <w:r w:rsidR="000129C2" w:rsidRPr="00D970F7">
              <w:rPr>
                <w:rFonts w:cs="Arial"/>
                <w:b/>
                <w:bCs/>
                <w:color w:val="000000"/>
                <w:sz w:val="18"/>
                <w:szCs w:val="18"/>
                <w:lang w:val="en-GB"/>
              </w:rPr>
              <w:t xml:space="preserve">Prices in the selected divisions of the consumer price index </w:t>
            </w:r>
            <w:r w:rsidR="000129C2" w:rsidRPr="00D970F7">
              <w:rPr>
                <w:rFonts w:cs="Arial"/>
                <w:color w:val="000000"/>
                <w:sz w:val="18"/>
                <w:szCs w:val="18"/>
                <w:lang w:val="en-GB"/>
              </w:rPr>
              <w:t>(year-on-year in %)</w:t>
            </w:r>
          </w:p>
        </w:tc>
      </w:tr>
      <w:tr w:rsidR="00295E96" w:rsidRPr="00D970F7" w14:paraId="59FDE074" w14:textId="77777777" w:rsidTr="00DD2984">
        <w:tblPrEx>
          <w:tblCellMar>
            <w:left w:w="70" w:type="dxa"/>
            <w:right w:w="70" w:type="dxa"/>
          </w:tblCellMar>
        </w:tblPrEx>
        <w:trPr>
          <w:trHeight w:val="170"/>
        </w:trPr>
        <w:tc>
          <w:tcPr>
            <w:tcW w:w="1805" w:type="dxa"/>
            <w:vMerge/>
            <w:vAlign w:val="center"/>
            <w:hideMark/>
          </w:tcPr>
          <w:p w14:paraId="38B6DE68"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5A7F0609"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56176155" w14:textId="08A7BA56" w:rsidR="00295E96" w:rsidRPr="00D970F7" w:rsidRDefault="00DD2984" w:rsidP="00CF6F9C">
            <w:pPr>
              <w:spacing w:after="0"/>
              <w:rPr>
                <w:lang w:val="en-GB" w:eastAsia="en-US"/>
              </w:rPr>
            </w:pPr>
            <w:r>
              <w:rPr>
                <w:noProof/>
              </w:rPr>
              <w:drawing>
                <wp:inline distT="0" distB="0" distL="0" distR="0" wp14:anchorId="25A41E01" wp14:editId="6FAF4E1D">
                  <wp:extent cx="4737600" cy="3553200"/>
                  <wp:effectExtent l="0" t="0" r="6350" b="0"/>
                  <wp:docPr id="10" name="Graf 10">
                    <a:extLst xmlns:a="http://schemas.openxmlformats.org/drawingml/2006/main">
                      <a:ext uri="{FF2B5EF4-FFF2-40B4-BE49-F238E27FC236}">
                        <a16:creationId xmlns:a16="http://schemas.microsoft.com/office/drawing/2014/main" id="{00000000-0008-0000-06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295E96" w:rsidRPr="00D970F7" w14:paraId="328F1485" w14:textId="77777777" w:rsidTr="00CF6F9C">
        <w:trPr>
          <w:trHeight w:val="170"/>
        </w:trPr>
        <w:tc>
          <w:tcPr>
            <w:tcW w:w="0" w:type="auto"/>
            <w:vMerge/>
            <w:vAlign w:val="center"/>
            <w:hideMark/>
          </w:tcPr>
          <w:p w14:paraId="7B98B587"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2C78F1C2"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36DF60BD" w14:textId="4CED280C" w:rsidR="000129C2" w:rsidRPr="00D970F7" w:rsidRDefault="00391175" w:rsidP="00DD2984">
            <w:pPr>
              <w:rPr>
                <w:b/>
                <w:bCs/>
                <w:sz w:val="18"/>
                <w:szCs w:val="18"/>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0A5F07AF" w14:textId="77777777" w:rsidTr="00CF6F9C">
        <w:trPr>
          <w:trHeight w:val="145"/>
        </w:trPr>
        <w:tc>
          <w:tcPr>
            <w:tcW w:w="1805" w:type="dxa"/>
            <w:hideMark/>
          </w:tcPr>
          <w:p w14:paraId="3612EE56" w14:textId="63ACDA2C" w:rsidR="00295E96" w:rsidRPr="00D970F7" w:rsidRDefault="00F055B0" w:rsidP="00CF6F9C">
            <w:pPr>
              <w:pStyle w:val="Marginlie"/>
              <w:rPr>
                <w:spacing w:val="0"/>
                <w:lang w:val="en-GB" w:eastAsia="en-US"/>
              </w:rPr>
            </w:pPr>
            <w:r w:rsidRPr="00D970F7">
              <w:rPr>
                <w:spacing w:val="0"/>
                <w:lang w:val="en-GB" w:eastAsia="en-US"/>
              </w:rPr>
              <w:t>Mainly prices of transportation subdued the year-on-year growth of consumer prices in Q</w:t>
            </w:r>
            <w:r w:rsidR="00295E96" w:rsidRPr="00D970F7">
              <w:rPr>
                <w:spacing w:val="0"/>
                <w:lang w:val="en-GB" w:eastAsia="en-US"/>
              </w:rPr>
              <w:t>2.</w:t>
            </w:r>
          </w:p>
        </w:tc>
        <w:tc>
          <w:tcPr>
            <w:tcW w:w="224" w:type="dxa"/>
          </w:tcPr>
          <w:p w14:paraId="0F4E1FAE" w14:textId="77777777" w:rsidR="00295E96" w:rsidRPr="00D970F7" w:rsidRDefault="00295E96" w:rsidP="00CF6F9C">
            <w:pPr>
              <w:pStyle w:val="Textpoznpodarou1"/>
              <w:jc w:val="both"/>
              <w:rPr>
                <w:lang w:val="en-GB" w:eastAsia="en-US"/>
              </w:rPr>
            </w:pPr>
          </w:p>
        </w:tc>
        <w:tc>
          <w:tcPr>
            <w:tcW w:w="7610" w:type="dxa"/>
            <w:hideMark/>
          </w:tcPr>
          <w:p w14:paraId="4321FFCC" w14:textId="29601B18" w:rsidR="00295E96" w:rsidRPr="00D970F7" w:rsidRDefault="00391175" w:rsidP="00CF6F9C">
            <w:pPr>
              <w:rPr>
                <w:lang w:val="en-GB" w:eastAsia="en-US"/>
              </w:rPr>
            </w:pPr>
            <w:r w:rsidRPr="00D970F7">
              <w:rPr>
                <w:lang w:val="en-GB" w:eastAsia="en-US"/>
              </w:rPr>
              <w:t>Year-on-year growth of consumer prices in the EU</w:t>
            </w:r>
            <w:r w:rsidR="00295E96" w:rsidRPr="00D970F7">
              <w:rPr>
                <w:rStyle w:val="Znakapoznpodarou"/>
                <w:lang w:val="en-GB" w:eastAsia="en-US"/>
              </w:rPr>
              <w:footnoteReference w:id="33"/>
            </w:r>
            <w:r w:rsidR="00295E96" w:rsidRPr="00D970F7">
              <w:rPr>
                <w:lang w:val="en-GB" w:eastAsia="en-US"/>
              </w:rPr>
              <w:t xml:space="preserve"> </w:t>
            </w:r>
            <w:r w:rsidRPr="00D970F7">
              <w:rPr>
                <w:lang w:val="en-GB" w:eastAsia="en-US"/>
              </w:rPr>
              <w:t>markedly slowed down in Q2</w:t>
            </w:r>
            <w:r w:rsidR="00FF51B0" w:rsidRPr="00D970F7">
              <w:rPr>
                <w:lang w:val="en-GB" w:eastAsia="en-US"/>
              </w:rPr>
              <w:t xml:space="preserve"> </w:t>
            </w:r>
            <w:r w:rsidRPr="00D970F7">
              <w:rPr>
                <w:lang w:val="en-GB" w:eastAsia="en-US"/>
              </w:rPr>
              <w:t>compared to Q</w:t>
            </w:r>
            <w:r w:rsidR="00295E96" w:rsidRPr="00D970F7">
              <w:rPr>
                <w:lang w:val="en-GB" w:eastAsia="en-US"/>
              </w:rPr>
              <w:t>1</w:t>
            </w:r>
            <w:r w:rsidRPr="00D970F7">
              <w:rPr>
                <w:lang w:val="en-GB" w:eastAsia="en-US"/>
              </w:rPr>
              <w:t xml:space="preserve"> and reached </w:t>
            </w:r>
            <w:r w:rsidR="00295E96" w:rsidRPr="00D970F7">
              <w:rPr>
                <w:lang w:val="en-GB" w:eastAsia="en-US"/>
              </w:rPr>
              <w:t>0</w:t>
            </w:r>
            <w:r w:rsidRPr="00D970F7">
              <w:rPr>
                <w:lang w:val="en-GB" w:eastAsia="en-US"/>
              </w:rPr>
              <w:t>.</w:t>
            </w:r>
            <w:r w:rsidR="00295E96" w:rsidRPr="00D970F7">
              <w:rPr>
                <w:lang w:val="en-GB" w:eastAsia="en-US"/>
              </w:rPr>
              <w:t xml:space="preserve">6%. </w:t>
            </w:r>
            <w:r w:rsidR="00116A49" w:rsidRPr="00D970F7">
              <w:rPr>
                <w:lang w:val="en-GB" w:eastAsia="en-US"/>
              </w:rPr>
              <w:t xml:space="preserve">While the total addition to prices in the EU was </w:t>
            </w:r>
            <w:r w:rsidR="00295E96" w:rsidRPr="00D970F7">
              <w:rPr>
                <w:lang w:val="en-GB" w:eastAsia="en-US"/>
              </w:rPr>
              <w:t>1</w:t>
            </w:r>
            <w:r w:rsidR="00116A49" w:rsidRPr="00D970F7">
              <w:rPr>
                <w:lang w:val="en-GB" w:eastAsia="en-US"/>
              </w:rPr>
              <w:t>.</w:t>
            </w:r>
            <w:r w:rsidR="00295E96" w:rsidRPr="00D970F7">
              <w:rPr>
                <w:lang w:val="en-GB" w:eastAsia="en-US"/>
              </w:rPr>
              <w:t>5%</w:t>
            </w:r>
            <w:r w:rsidR="00116A49" w:rsidRPr="00D970F7">
              <w:rPr>
                <w:lang w:val="en-GB" w:eastAsia="en-US"/>
              </w:rPr>
              <w:t xml:space="preserve"> in Q1 and prices rose in all countries year-on-year, </w:t>
            </w:r>
            <w:r w:rsidR="00F055B0" w:rsidRPr="00D970F7">
              <w:rPr>
                <w:lang w:val="en-GB" w:eastAsia="en-US"/>
              </w:rPr>
              <w:t>prices grew only in 13 states year-on-year in Q</w:t>
            </w:r>
            <w:r w:rsidR="00295E96" w:rsidRPr="00D970F7">
              <w:rPr>
                <w:lang w:val="en-GB" w:eastAsia="en-US"/>
              </w:rPr>
              <w:t>2.</w:t>
            </w:r>
            <w:r w:rsidR="00F055B0" w:rsidRPr="00D970F7">
              <w:rPr>
                <w:lang w:val="en-GB" w:eastAsia="en-US"/>
              </w:rPr>
              <w:t xml:space="preserve"> </w:t>
            </w:r>
            <w:r w:rsidR="00FF51B0" w:rsidRPr="00D970F7">
              <w:rPr>
                <w:lang w:val="en-GB" w:eastAsia="en-US"/>
              </w:rPr>
              <w:t>Slowdown</w:t>
            </w:r>
            <w:r w:rsidR="00F055B0" w:rsidRPr="00D970F7">
              <w:rPr>
                <w:lang w:val="en-GB" w:eastAsia="en-US"/>
              </w:rPr>
              <w:t xml:space="preserve"> of pace concerned all Union countries compared to Q</w:t>
            </w:r>
            <w:r w:rsidR="00295E96" w:rsidRPr="00D970F7">
              <w:rPr>
                <w:lang w:val="en-GB" w:eastAsia="en-US"/>
              </w:rPr>
              <w:t>1.</w:t>
            </w:r>
            <w:r w:rsidR="00F055B0" w:rsidRPr="00D970F7">
              <w:rPr>
                <w:lang w:val="en-GB" w:eastAsia="en-US"/>
              </w:rPr>
              <w:t xml:space="preserve"> </w:t>
            </w:r>
            <w:r w:rsidR="00C41285" w:rsidRPr="00D970F7">
              <w:rPr>
                <w:lang w:val="en-GB" w:eastAsia="en-US"/>
              </w:rPr>
              <w:t xml:space="preserve">Plunge of prices of transportation, in connection to the record slump of prices of oil stood behind it. </w:t>
            </w:r>
            <w:r w:rsidR="000E3CB5" w:rsidRPr="00D970F7">
              <w:rPr>
                <w:lang w:val="en-GB" w:eastAsia="en-US"/>
              </w:rPr>
              <w:t xml:space="preserve">Total prices of housing and energies decreased in Q2 as well. The prices grew the most in Poland </w:t>
            </w:r>
            <w:r w:rsidR="00295E96" w:rsidRPr="00D970F7">
              <w:rPr>
                <w:lang w:val="en-GB" w:eastAsia="en-US"/>
              </w:rPr>
              <w:t>(3</w:t>
            </w:r>
            <w:r w:rsidR="000E3CB5" w:rsidRPr="00D970F7">
              <w:rPr>
                <w:lang w:val="en-GB" w:eastAsia="en-US"/>
              </w:rPr>
              <w:t>.</w:t>
            </w:r>
            <w:r w:rsidR="00295E96" w:rsidRPr="00D970F7">
              <w:rPr>
                <w:lang w:val="en-GB" w:eastAsia="en-US"/>
              </w:rPr>
              <w:t xml:space="preserve">4%), </w:t>
            </w:r>
            <w:r w:rsidR="000E3CB5" w:rsidRPr="00D970F7">
              <w:rPr>
                <w:lang w:val="en-GB" w:eastAsia="en-US"/>
              </w:rPr>
              <w:t xml:space="preserve">the CR </w:t>
            </w:r>
            <w:r w:rsidR="00295E96" w:rsidRPr="00D970F7">
              <w:rPr>
                <w:lang w:val="en-GB" w:eastAsia="en-US"/>
              </w:rPr>
              <w:t>(3</w:t>
            </w:r>
            <w:r w:rsidR="000E3CB5" w:rsidRPr="00D970F7">
              <w:rPr>
                <w:lang w:val="en-GB" w:eastAsia="en-US"/>
              </w:rPr>
              <w:t>.</w:t>
            </w:r>
            <w:r w:rsidR="00295E96" w:rsidRPr="00D970F7">
              <w:rPr>
                <w:lang w:val="en-GB" w:eastAsia="en-US"/>
              </w:rPr>
              <w:t>3%) a</w:t>
            </w:r>
            <w:r w:rsidR="000E3CB5" w:rsidRPr="00D970F7">
              <w:rPr>
                <w:lang w:val="en-GB" w:eastAsia="en-US"/>
              </w:rPr>
              <w:t xml:space="preserve">nd Hungary </w:t>
            </w:r>
            <w:r w:rsidR="00295E96" w:rsidRPr="00D970F7">
              <w:rPr>
                <w:lang w:val="en-GB" w:eastAsia="en-US"/>
              </w:rPr>
              <w:t>(2</w:t>
            </w:r>
            <w:r w:rsidR="000E3CB5" w:rsidRPr="00D970F7">
              <w:rPr>
                <w:lang w:val="en-GB" w:eastAsia="en-US"/>
              </w:rPr>
              <w:t>.</w:t>
            </w:r>
            <w:r w:rsidR="00295E96" w:rsidRPr="00D970F7">
              <w:rPr>
                <w:lang w:val="en-GB" w:eastAsia="en-US"/>
              </w:rPr>
              <w:t>5%)</w:t>
            </w:r>
            <w:r w:rsidR="000E3CB5" w:rsidRPr="00D970F7">
              <w:rPr>
                <w:lang w:val="en-GB" w:eastAsia="en-US"/>
              </w:rPr>
              <w:t xml:space="preserve"> in Q2</w:t>
            </w:r>
            <w:r w:rsidR="00295E96" w:rsidRPr="00D970F7">
              <w:rPr>
                <w:lang w:val="en-GB" w:eastAsia="en-US"/>
              </w:rPr>
              <w:t xml:space="preserve">. </w:t>
            </w:r>
            <w:r w:rsidR="006B4197" w:rsidRPr="00D970F7">
              <w:rPr>
                <w:lang w:val="en-GB" w:eastAsia="en-US"/>
              </w:rPr>
              <w:t xml:space="preserve">Consumer prices in </w:t>
            </w:r>
            <w:r w:rsidR="00110C18" w:rsidRPr="00D970F7">
              <w:rPr>
                <w:lang w:val="en-GB" w:eastAsia="en-US"/>
              </w:rPr>
              <w:t xml:space="preserve">Rumania (2.1%) and in Slovakia (2.0%) </w:t>
            </w:r>
            <w:r w:rsidR="006B4197" w:rsidRPr="00D970F7">
              <w:rPr>
                <w:lang w:val="en-GB" w:eastAsia="en-US"/>
              </w:rPr>
              <w:t>also featured notable increase</w:t>
            </w:r>
            <w:r w:rsidR="00295E96" w:rsidRPr="00D970F7">
              <w:rPr>
                <w:lang w:val="en-GB" w:eastAsia="en-US"/>
              </w:rPr>
              <w:t>.</w:t>
            </w:r>
            <w:r w:rsidR="006B4197" w:rsidRPr="00D970F7">
              <w:rPr>
                <w:lang w:val="en-GB" w:eastAsia="en-US"/>
              </w:rPr>
              <w:t xml:space="preserve"> It represented a group of countries, who</w:t>
            </w:r>
            <w:r w:rsidR="00331E46" w:rsidRPr="00D970F7">
              <w:rPr>
                <w:lang w:val="en-GB" w:eastAsia="en-US"/>
              </w:rPr>
              <w:t xml:space="preserve"> deviated from the rest of Europe with their price dynamics. </w:t>
            </w:r>
            <w:r w:rsidR="00D14C12" w:rsidRPr="00D970F7">
              <w:rPr>
                <w:lang w:val="en-GB" w:eastAsia="en-US"/>
              </w:rPr>
              <w:t xml:space="preserve">They had common especially the high growth of prices of food and non-alcoholic beverages, but also alcoholic beverages and tobacco or housing and </w:t>
            </w:r>
            <w:r w:rsidR="00D14C12" w:rsidRPr="00D970F7">
              <w:rPr>
                <w:lang w:val="en-GB" w:eastAsia="en-US"/>
              </w:rPr>
              <w:lastRenderedPageBreak/>
              <w:t xml:space="preserve">energies. </w:t>
            </w:r>
            <w:r w:rsidR="00953171" w:rsidRPr="00D970F7">
              <w:rPr>
                <w:lang w:val="en-GB" w:eastAsia="en-US"/>
              </w:rPr>
              <w:t xml:space="preserve">The largest year-on-year reduction of prices was recorded in Cyprus </w:t>
            </w:r>
            <w:r w:rsidR="00295E96" w:rsidRPr="00D970F7">
              <w:rPr>
                <w:lang w:val="en-GB" w:eastAsia="en-US"/>
              </w:rPr>
              <w:t>(–1</w:t>
            </w:r>
            <w:r w:rsidR="00953171" w:rsidRPr="00D970F7">
              <w:rPr>
                <w:lang w:val="en-GB" w:eastAsia="en-US"/>
              </w:rPr>
              <w:t>.</w:t>
            </w:r>
            <w:r w:rsidR="00295E96" w:rsidRPr="00D970F7">
              <w:rPr>
                <w:lang w:val="en-GB" w:eastAsia="en-US"/>
              </w:rPr>
              <w:t xml:space="preserve">6%), </w:t>
            </w:r>
            <w:r w:rsidR="00953171" w:rsidRPr="00D970F7">
              <w:rPr>
                <w:lang w:val="en-GB" w:eastAsia="en-US"/>
              </w:rPr>
              <w:t xml:space="preserve">in Estonia </w:t>
            </w:r>
            <w:r w:rsidR="00295E96" w:rsidRPr="00D970F7">
              <w:rPr>
                <w:lang w:val="en-GB" w:eastAsia="en-US"/>
              </w:rPr>
              <w:t>(–1</w:t>
            </w:r>
            <w:r w:rsidR="00953171" w:rsidRPr="00D970F7">
              <w:rPr>
                <w:lang w:val="en-GB" w:eastAsia="en-US"/>
              </w:rPr>
              <w:t>.</w:t>
            </w:r>
            <w:r w:rsidR="00295E96" w:rsidRPr="00D970F7">
              <w:rPr>
                <w:lang w:val="en-GB" w:eastAsia="en-US"/>
              </w:rPr>
              <w:t>4%)</w:t>
            </w:r>
            <w:r w:rsidR="00953171" w:rsidRPr="00D970F7">
              <w:rPr>
                <w:lang w:val="en-GB" w:eastAsia="en-US"/>
              </w:rPr>
              <w:t xml:space="preserve"> and Slovenia and Greece </w:t>
            </w:r>
            <w:r w:rsidR="00295E96" w:rsidRPr="00D970F7">
              <w:rPr>
                <w:lang w:val="en-GB" w:eastAsia="en-US"/>
              </w:rPr>
              <w:t>(</w:t>
            </w:r>
            <w:r w:rsidR="00953171" w:rsidRPr="00D970F7">
              <w:rPr>
                <w:lang w:val="en-GB" w:eastAsia="en-US"/>
              </w:rPr>
              <w:t xml:space="preserve">similarly </w:t>
            </w:r>
            <w:r w:rsidR="00295E96" w:rsidRPr="00D970F7">
              <w:rPr>
                <w:lang w:val="en-GB" w:eastAsia="en-US"/>
              </w:rPr>
              <w:t>–1</w:t>
            </w:r>
            <w:r w:rsidR="00953171" w:rsidRPr="00D970F7">
              <w:rPr>
                <w:lang w:val="en-GB" w:eastAsia="en-US"/>
              </w:rPr>
              <w:t>.</w:t>
            </w:r>
            <w:r w:rsidR="00295E96" w:rsidRPr="00D970F7">
              <w:rPr>
                <w:lang w:val="en-GB" w:eastAsia="en-US"/>
              </w:rPr>
              <w:t>2%)</w:t>
            </w:r>
            <w:r w:rsidR="00953171" w:rsidRPr="00D970F7">
              <w:rPr>
                <w:lang w:val="en-GB" w:eastAsia="en-US"/>
              </w:rPr>
              <w:t xml:space="preserve"> in Q2</w:t>
            </w:r>
            <w:r w:rsidR="00295E96" w:rsidRPr="00D970F7">
              <w:rPr>
                <w:lang w:val="en-GB" w:eastAsia="en-US"/>
              </w:rPr>
              <w:t>.</w:t>
            </w:r>
          </w:p>
        </w:tc>
      </w:tr>
      <w:tr w:rsidR="00295E96" w:rsidRPr="00D970F7" w14:paraId="73E1AD4A" w14:textId="77777777" w:rsidTr="00CF6F9C">
        <w:trPr>
          <w:trHeight w:val="145"/>
        </w:trPr>
        <w:tc>
          <w:tcPr>
            <w:tcW w:w="1805" w:type="dxa"/>
            <w:hideMark/>
          </w:tcPr>
          <w:p w14:paraId="7AB67E7E" w14:textId="255C4FDD" w:rsidR="00295E96" w:rsidRPr="00D970F7" w:rsidRDefault="00775204" w:rsidP="00CF6F9C">
            <w:pPr>
              <w:pStyle w:val="Marginlie"/>
              <w:rPr>
                <w:spacing w:val="0"/>
                <w:lang w:val="en-GB" w:eastAsia="en-US"/>
              </w:rPr>
            </w:pPr>
            <w:r w:rsidRPr="00D970F7">
              <w:rPr>
                <w:spacing w:val="0"/>
                <w:lang w:val="en-GB" w:eastAsia="en-US"/>
              </w:rPr>
              <w:lastRenderedPageBreak/>
              <w:t>Prices of flats grew by strong pace in Q</w:t>
            </w:r>
            <w:r w:rsidR="00295E96" w:rsidRPr="00D970F7">
              <w:rPr>
                <w:spacing w:val="0"/>
                <w:lang w:val="en-GB" w:eastAsia="en-US"/>
              </w:rPr>
              <w:t>2.</w:t>
            </w:r>
          </w:p>
        </w:tc>
        <w:tc>
          <w:tcPr>
            <w:tcW w:w="224" w:type="dxa"/>
          </w:tcPr>
          <w:p w14:paraId="461F9146" w14:textId="77777777" w:rsidR="00295E96" w:rsidRPr="00D970F7" w:rsidRDefault="00295E96" w:rsidP="00CF6F9C">
            <w:pPr>
              <w:pStyle w:val="Textpoznpodarou1"/>
              <w:jc w:val="both"/>
              <w:rPr>
                <w:lang w:val="en-GB" w:eastAsia="en-US"/>
              </w:rPr>
            </w:pPr>
          </w:p>
        </w:tc>
        <w:tc>
          <w:tcPr>
            <w:tcW w:w="7610" w:type="dxa"/>
            <w:hideMark/>
          </w:tcPr>
          <w:p w14:paraId="4414FAAE" w14:textId="096482E3" w:rsidR="00295E96" w:rsidRPr="00D970F7" w:rsidRDefault="00AE3EC2" w:rsidP="00CF6F9C">
            <w:pPr>
              <w:rPr>
                <w:lang w:val="en-GB" w:eastAsia="en-US"/>
              </w:rPr>
            </w:pPr>
            <w:r w:rsidRPr="00D970F7">
              <w:rPr>
                <w:lang w:val="en-GB"/>
              </w:rPr>
              <w:t xml:space="preserve">Economic crisis did not cause any turn in the development of supply prices of flats. Prices were raised by </w:t>
            </w:r>
            <w:r w:rsidR="00835FF1" w:rsidRPr="00D970F7">
              <w:rPr>
                <w:lang w:val="en-GB"/>
              </w:rPr>
              <w:t>1</w:t>
            </w:r>
            <w:r w:rsidRPr="00D970F7">
              <w:rPr>
                <w:lang w:val="en-GB"/>
              </w:rPr>
              <w:t>.</w:t>
            </w:r>
            <w:r w:rsidR="00835FF1" w:rsidRPr="00D970F7">
              <w:rPr>
                <w:lang w:val="en-GB"/>
              </w:rPr>
              <w:t>6%</w:t>
            </w:r>
            <w:r w:rsidRPr="00D970F7">
              <w:rPr>
                <w:lang w:val="en-GB"/>
              </w:rPr>
              <w:t xml:space="preserve"> in comparison to the preceding quarter</w:t>
            </w:r>
            <w:r w:rsidR="00835FF1" w:rsidRPr="00D970F7">
              <w:rPr>
                <w:lang w:val="en-GB"/>
              </w:rPr>
              <w:t xml:space="preserve">. </w:t>
            </w:r>
            <w:r w:rsidRPr="00D970F7">
              <w:rPr>
                <w:lang w:val="en-GB"/>
              </w:rPr>
              <w:t xml:space="preserve">Year-on-year addition to supply prices of flats achieved </w:t>
            </w:r>
            <w:r w:rsidR="00835FF1" w:rsidRPr="00D970F7">
              <w:rPr>
                <w:lang w:val="en-GB"/>
              </w:rPr>
              <w:t>7</w:t>
            </w:r>
            <w:r w:rsidRPr="00D970F7">
              <w:rPr>
                <w:lang w:val="en-GB"/>
              </w:rPr>
              <w:t>.</w:t>
            </w:r>
            <w:r w:rsidR="00835FF1" w:rsidRPr="00D970F7">
              <w:rPr>
                <w:lang w:val="en-GB"/>
              </w:rPr>
              <w:t>1%</w:t>
            </w:r>
            <w:r w:rsidRPr="00D970F7">
              <w:rPr>
                <w:lang w:val="en-GB"/>
              </w:rPr>
              <w:t xml:space="preserve"> in Q2</w:t>
            </w:r>
            <w:r w:rsidR="00835FF1" w:rsidRPr="00D970F7">
              <w:rPr>
                <w:lang w:val="en-GB"/>
              </w:rPr>
              <w:t xml:space="preserve">. </w:t>
            </w:r>
            <w:r w:rsidR="00CC6F0F" w:rsidRPr="00D970F7">
              <w:rPr>
                <w:lang w:val="en-GB"/>
              </w:rPr>
              <w:t xml:space="preserve">Simultaneously, the very high year-on-year rate of growth for flats outside Prague was maintained </w:t>
            </w:r>
            <w:r w:rsidR="00835FF1" w:rsidRPr="00D970F7">
              <w:rPr>
                <w:lang w:val="en-GB"/>
              </w:rPr>
              <w:t>(9</w:t>
            </w:r>
            <w:r w:rsidR="00CC6F0F" w:rsidRPr="00D970F7">
              <w:rPr>
                <w:lang w:val="en-GB"/>
              </w:rPr>
              <w:t>.</w:t>
            </w:r>
            <w:r w:rsidR="00835FF1" w:rsidRPr="00D970F7">
              <w:rPr>
                <w:lang w:val="en-GB"/>
              </w:rPr>
              <w:t xml:space="preserve">7%). </w:t>
            </w:r>
            <w:r w:rsidR="00810E62" w:rsidRPr="00D970F7">
              <w:rPr>
                <w:lang w:val="en-GB"/>
              </w:rPr>
              <w:t xml:space="preserve">Supply prices of flats in Prague increased by </w:t>
            </w:r>
            <w:r w:rsidR="00835FF1" w:rsidRPr="00D970F7">
              <w:rPr>
                <w:lang w:val="en-GB"/>
              </w:rPr>
              <w:t>5</w:t>
            </w:r>
            <w:r w:rsidR="00810E62" w:rsidRPr="00D970F7">
              <w:rPr>
                <w:lang w:val="en-GB"/>
              </w:rPr>
              <w:t>.</w:t>
            </w:r>
            <w:r w:rsidR="00835FF1" w:rsidRPr="00D970F7">
              <w:rPr>
                <w:lang w:val="en-GB"/>
              </w:rPr>
              <w:t>3%</w:t>
            </w:r>
            <w:r w:rsidR="00810E62" w:rsidRPr="00D970F7">
              <w:rPr>
                <w:lang w:val="en-GB"/>
              </w:rPr>
              <w:t xml:space="preserve"> year-on-year</w:t>
            </w:r>
            <w:r w:rsidR="00835FF1" w:rsidRPr="00D970F7">
              <w:rPr>
                <w:lang w:val="en-GB"/>
              </w:rPr>
              <w:t>,</w:t>
            </w:r>
            <w:r w:rsidR="00810E62" w:rsidRPr="00D970F7">
              <w:rPr>
                <w:lang w:val="en-GB"/>
              </w:rPr>
              <w:t xml:space="preserve"> which is the most since Q</w:t>
            </w:r>
            <w:r w:rsidR="00835FF1" w:rsidRPr="00D970F7">
              <w:rPr>
                <w:lang w:val="en-GB"/>
              </w:rPr>
              <w:t>1</w:t>
            </w:r>
            <w:r w:rsidR="00810E62" w:rsidRPr="00D970F7">
              <w:rPr>
                <w:lang w:val="en-GB"/>
              </w:rPr>
              <w:t xml:space="preserve"> </w:t>
            </w:r>
            <w:r w:rsidR="00835FF1" w:rsidRPr="00D970F7">
              <w:rPr>
                <w:lang w:val="en-GB"/>
              </w:rPr>
              <w:t>2019. Reali</w:t>
            </w:r>
            <w:r w:rsidR="005F7E79" w:rsidRPr="00D970F7">
              <w:rPr>
                <w:lang w:val="en-GB"/>
              </w:rPr>
              <w:t xml:space="preserve">sed prices of older flats also kept relatively fast pace. </w:t>
            </w:r>
            <w:r w:rsidR="002525CC" w:rsidRPr="00D970F7">
              <w:rPr>
                <w:lang w:val="en-GB"/>
              </w:rPr>
              <w:t xml:space="preserve">They thus increased by </w:t>
            </w:r>
            <w:r w:rsidR="00835FF1" w:rsidRPr="00D970F7">
              <w:rPr>
                <w:lang w:val="en-GB"/>
              </w:rPr>
              <w:t>2</w:t>
            </w:r>
            <w:r w:rsidR="002525CC" w:rsidRPr="00D970F7">
              <w:rPr>
                <w:lang w:val="en-GB"/>
              </w:rPr>
              <w:t>.</w:t>
            </w:r>
            <w:r w:rsidR="00835FF1" w:rsidRPr="00D970F7">
              <w:rPr>
                <w:lang w:val="en-GB"/>
              </w:rPr>
              <w:t>6%</w:t>
            </w:r>
            <w:r w:rsidR="002525CC" w:rsidRPr="00D970F7">
              <w:rPr>
                <w:lang w:val="en-GB"/>
              </w:rPr>
              <w:t xml:space="preserve"> compared to Q1</w:t>
            </w:r>
            <w:r w:rsidR="00835FF1" w:rsidRPr="00D970F7">
              <w:rPr>
                <w:lang w:val="en-GB"/>
              </w:rPr>
              <w:t xml:space="preserve">. </w:t>
            </w:r>
            <w:r w:rsidR="002525CC" w:rsidRPr="00D970F7">
              <w:rPr>
                <w:lang w:val="en-GB"/>
              </w:rPr>
              <w:t xml:space="preserve">Year-on-year addition was again more than one tenth in the whole CR </w:t>
            </w:r>
            <w:r w:rsidR="00835FF1" w:rsidRPr="00D970F7">
              <w:rPr>
                <w:lang w:val="en-GB"/>
              </w:rPr>
              <w:t>(10</w:t>
            </w:r>
            <w:r w:rsidR="002525CC" w:rsidRPr="00D970F7">
              <w:rPr>
                <w:lang w:val="en-GB"/>
              </w:rPr>
              <w:t>.</w:t>
            </w:r>
            <w:r w:rsidR="00835FF1" w:rsidRPr="00D970F7">
              <w:rPr>
                <w:lang w:val="en-GB"/>
              </w:rPr>
              <w:t>2%) a</w:t>
            </w:r>
            <w:r w:rsidR="002525CC" w:rsidRPr="00D970F7">
              <w:rPr>
                <w:lang w:val="en-GB"/>
              </w:rPr>
              <w:t xml:space="preserve">nd mainly the development outside of Prague stood behind it </w:t>
            </w:r>
            <w:r w:rsidR="00835FF1" w:rsidRPr="00D970F7">
              <w:rPr>
                <w:lang w:val="en-GB"/>
              </w:rPr>
              <w:t>(10</w:t>
            </w:r>
            <w:r w:rsidR="002525CC" w:rsidRPr="00D970F7">
              <w:rPr>
                <w:lang w:val="en-GB"/>
              </w:rPr>
              <w:t>.</w:t>
            </w:r>
            <w:r w:rsidR="00835FF1" w:rsidRPr="00D970F7">
              <w:rPr>
                <w:lang w:val="en-GB"/>
              </w:rPr>
              <w:t>8%). Realiz</w:t>
            </w:r>
            <w:r w:rsidR="002525CC" w:rsidRPr="00D970F7">
              <w:rPr>
                <w:lang w:val="en-GB"/>
              </w:rPr>
              <w:t>ed price</w:t>
            </w:r>
            <w:r w:rsidR="00777D2D" w:rsidRPr="00D970F7">
              <w:rPr>
                <w:lang w:val="en-GB"/>
              </w:rPr>
              <w:t>s</w:t>
            </w:r>
            <w:r w:rsidR="002525CC" w:rsidRPr="00D970F7">
              <w:rPr>
                <w:lang w:val="en-GB"/>
              </w:rPr>
              <w:t xml:space="preserve"> of older flats in Prague increased by 8.0% year-on-year in Q</w:t>
            </w:r>
            <w:r w:rsidR="00835FF1" w:rsidRPr="00D970F7">
              <w:rPr>
                <w:lang w:val="en-GB"/>
              </w:rPr>
              <w:t>2</w:t>
            </w:r>
            <w:r w:rsidR="002525CC" w:rsidRPr="00D970F7">
              <w:rPr>
                <w:lang w:val="en-GB"/>
              </w:rPr>
              <w:t xml:space="preserve"> and the </w:t>
            </w:r>
            <w:r w:rsidR="00777D2D" w:rsidRPr="00D970F7">
              <w:rPr>
                <w:lang w:val="en-GB"/>
              </w:rPr>
              <w:t xml:space="preserve">growth rate </w:t>
            </w:r>
            <w:r w:rsidR="002525CC" w:rsidRPr="00D970F7">
              <w:rPr>
                <w:lang w:val="en-GB"/>
              </w:rPr>
              <w:t xml:space="preserve">slightly gained pace compared to the previous three quarters. </w:t>
            </w:r>
            <w:r w:rsidR="0074297B" w:rsidRPr="00D970F7">
              <w:rPr>
                <w:lang w:val="en-GB"/>
              </w:rPr>
              <w:t>The dynamics of realised prices of new flats in Prague g</w:t>
            </w:r>
            <w:r w:rsidR="00F04181">
              <w:rPr>
                <w:lang w:val="en-GB"/>
              </w:rPr>
              <w:t>ained new momentum. Following a</w:t>
            </w:r>
            <w:r w:rsidR="00F04181" w:rsidRPr="000E756D">
              <w:rPr>
                <w:spacing w:val="-4"/>
              </w:rPr>
              <w:t> </w:t>
            </w:r>
            <w:r w:rsidR="0074297B" w:rsidRPr="00D970F7">
              <w:rPr>
                <w:lang w:val="en-GB"/>
              </w:rPr>
              <w:t>small slowdown in Q</w:t>
            </w:r>
            <w:r w:rsidR="00835FF1" w:rsidRPr="00D970F7">
              <w:rPr>
                <w:lang w:val="en-GB"/>
              </w:rPr>
              <w:t>2</w:t>
            </w:r>
            <w:r w:rsidR="0074297B" w:rsidRPr="00D970F7">
              <w:rPr>
                <w:lang w:val="en-GB"/>
              </w:rPr>
              <w:t xml:space="preserve"> </w:t>
            </w:r>
            <w:r w:rsidR="00835FF1" w:rsidRPr="00D970F7">
              <w:rPr>
                <w:lang w:val="en-GB"/>
              </w:rPr>
              <w:t>2019</w:t>
            </w:r>
            <w:r w:rsidR="0074297B" w:rsidRPr="00D970F7">
              <w:rPr>
                <w:lang w:val="en-GB"/>
              </w:rPr>
              <w:t>, the year-on-year additions again oscillate around 10%</w:t>
            </w:r>
            <w:r w:rsidR="00CC0F4E" w:rsidRPr="00D970F7">
              <w:rPr>
                <w:lang w:val="en-GB"/>
              </w:rPr>
              <w:t xml:space="preserve"> this year. </w:t>
            </w:r>
            <w:r w:rsidR="00CA240C" w:rsidRPr="00D970F7">
              <w:rPr>
                <w:lang w:val="en-GB"/>
              </w:rPr>
              <w:t xml:space="preserve">The increase reached </w:t>
            </w:r>
            <w:r w:rsidR="00835FF1" w:rsidRPr="00D970F7">
              <w:rPr>
                <w:lang w:val="en-GB"/>
              </w:rPr>
              <w:t>9</w:t>
            </w:r>
            <w:r w:rsidR="00CA240C" w:rsidRPr="00D970F7">
              <w:rPr>
                <w:lang w:val="en-GB"/>
              </w:rPr>
              <w:t>.</w:t>
            </w:r>
            <w:r w:rsidR="00835FF1" w:rsidRPr="00D970F7">
              <w:rPr>
                <w:lang w:val="en-GB"/>
              </w:rPr>
              <w:t>5%</w:t>
            </w:r>
            <w:r w:rsidR="00CA240C" w:rsidRPr="00D970F7">
              <w:rPr>
                <w:lang w:val="en-GB"/>
              </w:rPr>
              <w:t xml:space="preserve"> in Q2</w:t>
            </w:r>
            <w:r w:rsidR="00835FF1" w:rsidRPr="00D970F7">
              <w:rPr>
                <w:lang w:val="en-GB"/>
              </w:rPr>
              <w:t>.</w:t>
            </w:r>
          </w:p>
        </w:tc>
      </w:tr>
      <w:tr w:rsidR="00295E96" w:rsidRPr="00D970F7" w14:paraId="7AFE8ABF" w14:textId="77777777" w:rsidTr="00CF6F9C">
        <w:trPr>
          <w:trHeight w:val="170"/>
        </w:trPr>
        <w:tc>
          <w:tcPr>
            <w:tcW w:w="1805" w:type="dxa"/>
            <w:vMerge w:val="restart"/>
          </w:tcPr>
          <w:p w14:paraId="33C1E60C" w14:textId="77777777" w:rsidR="00295E96" w:rsidRPr="00D970F7" w:rsidRDefault="00295E96" w:rsidP="00CF6F9C">
            <w:pPr>
              <w:pStyle w:val="Marginlie"/>
              <w:rPr>
                <w:spacing w:val="0"/>
                <w:lang w:val="en-GB" w:eastAsia="en-US"/>
              </w:rPr>
            </w:pPr>
          </w:p>
        </w:tc>
        <w:tc>
          <w:tcPr>
            <w:tcW w:w="224" w:type="dxa"/>
            <w:vMerge w:val="restart"/>
          </w:tcPr>
          <w:p w14:paraId="30A31F12" w14:textId="77777777" w:rsidR="00295E96" w:rsidRPr="00D970F7" w:rsidRDefault="00295E96" w:rsidP="00CF6F9C">
            <w:pPr>
              <w:pStyle w:val="Textpoznpodarou1"/>
              <w:jc w:val="both"/>
              <w:rPr>
                <w:lang w:val="en-GB" w:eastAsia="en-US"/>
              </w:rPr>
            </w:pPr>
          </w:p>
        </w:tc>
        <w:tc>
          <w:tcPr>
            <w:tcW w:w="7610" w:type="dxa"/>
            <w:hideMark/>
          </w:tcPr>
          <w:p w14:paraId="7CEBBEAA" w14:textId="27DC1CE2" w:rsidR="00295E96" w:rsidRPr="00D970F7" w:rsidRDefault="00391175" w:rsidP="00CF6F9C">
            <w:pPr>
              <w:spacing w:after="0"/>
              <w:rPr>
                <w:lang w:val="en-GB" w:eastAsia="en-US"/>
              </w:rPr>
            </w:pPr>
            <w:r w:rsidRPr="00D970F7">
              <w:rPr>
                <w:b/>
                <w:sz w:val="18"/>
                <w:szCs w:val="18"/>
                <w:lang w:val="en-GB" w:eastAsia="en-US"/>
              </w:rPr>
              <w:t xml:space="preserve">Chart </w:t>
            </w:r>
            <w:r w:rsidR="00295E96" w:rsidRPr="00D970F7">
              <w:rPr>
                <w:b/>
                <w:sz w:val="18"/>
                <w:szCs w:val="18"/>
                <w:lang w:val="en-GB" w:eastAsia="en-US"/>
              </w:rPr>
              <w:t xml:space="preserve">10  </w:t>
            </w:r>
            <w:r w:rsidR="00777D2D" w:rsidRPr="00D970F7">
              <w:rPr>
                <w:b/>
                <w:sz w:val="18"/>
                <w:szCs w:val="18"/>
                <w:lang w:val="en-GB" w:eastAsia="en-US"/>
              </w:rPr>
              <w:t xml:space="preserve">Prices of real estate </w:t>
            </w:r>
            <w:r w:rsidR="00777D2D" w:rsidRPr="00D970F7">
              <w:rPr>
                <w:sz w:val="18"/>
                <w:szCs w:val="18"/>
                <w:lang w:val="en-GB" w:eastAsia="en-US"/>
              </w:rPr>
              <w:t>(year-on-year change, in %)</w:t>
            </w:r>
          </w:p>
        </w:tc>
      </w:tr>
      <w:tr w:rsidR="00295E96" w:rsidRPr="00D970F7" w14:paraId="25629FC4" w14:textId="77777777" w:rsidTr="00DD2984">
        <w:tblPrEx>
          <w:tblCellMar>
            <w:left w:w="70" w:type="dxa"/>
            <w:right w:w="70" w:type="dxa"/>
          </w:tblCellMar>
        </w:tblPrEx>
        <w:trPr>
          <w:trHeight w:val="170"/>
        </w:trPr>
        <w:tc>
          <w:tcPr>
            <w:tcW w:w="1805" w:type="dxa"/>
            <w:vMerge/>
            <w:vAlign w:val="center"/>
            <w:hideMark/>
          </w:tcPr>
          <w:p w14:paraId="121DBF7F"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1A48133A" w14:textId="77777777" w:rsidR="00295E96" w:rsidRPr="00D970F7" w:rsidRDefault="00295E96" w:rsidP="00CF6F9C">
            <w:pPr>
              <w:spacing w:after="0" w:line="240" w:lineRule="auto"/>
              <w:jc w:val="left"/>
              <w:rPr>
                <w:rFonts w:eastAsia="Calibri"/>
                <w:szCs w:val="20"/>
                <w:lang w:val="en-GB" w:eastAsia="en-US"/>
              </w:rPr>
            </w:pPr>
          </w:p>
        </w:tc>
        <w:tc>
          <w:tcPr>
            <w:tcW w:w="7610" w:type="dxa"/>
            <w:hideMark/>
          </w:tcPr>
          <w:p w14:paraId="5A16525D" w14:textId="5DEBA512" w:rsidR="00295E96" w:rsidRPr="00D970F7" w:rsidRDefault="00DD2984" w:rsidP="00CF6F9C">
            <w:pPr>
              <w:rPr>
                <w:lang w:val="en-GB" w:eastAsia="en-US"/>
              </w:rPr>
            </w:pPr>
            <w:r>
              <w:rPr>
                <w:noProof/>
              </w:rPr>
              <w:drawing>
                <wp:inline distT="0" distB="0" distL="0" distR="0" wp14:anchorId="34289030" wp14:editId="11E278CA">
                  <wp:extent cx="4737600" cy="3553200"/>
                  <wp:effectExtent l="0" t="0" r="6350" b="0"/>
                  <wp:docPr id="16" name="Graf 16">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295E96" w:rsidRPr="00D970F7" w14:paraId="44FC7E1A" w14:textId="77777777" w:rsidTr="00CF6F9C">
        <w:trPr>
          <w:trHeight w:val="170"/>
        </w:trPr>
        <w:tc>
          <w:tcPr>
            <w:tcW w:w="0" w:type="auto"/>
            <w:vMerge/>
            <w:vAlign w:val="center"/>
            <w:hideMark/>
          </w:tcPr>
          <w:p w14:paraId="5397DDD8"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042697CA" w14:textId="77777777" w:rsidR="00295E96" w:rsidRPr="00D970F7" w:rsidRDefault="00295E96" w:rsidP="00CF6F9C">
            <w:pPr>
              <w:spacing w:after="0" w:line="240" w:lineRule="auto"/>
              <w:jc w:val="left"/>
              <w:rPr>
                <w:rFonts w:eastAsia="Calibri"/>
                <w:szCs w:val="20"/>
                <w:lang w:val="en-GB" w:eastAsia="en-US"/>
              </w:rPr>
            </w:pPr>
          </w:p>
        </w:tc>
        <w:tc>
          <w:tcPr>
            <w:tcW w:w="7610" w:type="dxa"/>
            <w:hideMark/>
          </w:tcPr>
          <w:p w14:paraId="5799DE92" w14:textId="0FCAF1C5" w:rsidR="00CA240C" w:rsidRPr="00D970F7" w:rsidRDefault="007E580F" w:rsidP="00DD2984">
            <w:pPr>
              <w:rPr>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3B020773" w14:textId="77777777" w:rsidTr="00CF6F9C">
        <w:trPr>
          <w:trHeight w:val="145"/>
        </w:trPr>
        <w:tc>
          <w:tcPr>
            <w:tcW w:w="1805" w:type="dxa"/>
            <w:hideMark/>
          </w:tcPr>
          <w:p w14:paraId="257E76FA" w14:textId="513F59D0" w:rsidR="00295E96" w:rsidRPr="00D970F7" w:rsidRDefault="00066A8F" w:rsidP="00CF6F9C">
            <w:pPr>
              <w:pStyle w:val="Marginlie"/>
              <w:rPr>
                <w:spacing w:val="0"/>
                <w:lang w:val="en-GB" w:eastAsia="en-US"/>
              </w:rPr>
            </w:pPr>
            <w:r w:rsidRPr="00D970F7">
              <w:rPr>
                <w:spacing w:val="0"/>
                <w:lang w:val="en-GB" w:eastAsia="en-US"/>
              </w:rPr>
              <w:t>Industrial producer prices fell in Q</w:t>
            </w:r>
            <w:r w:rsidR="00295E96" w:rsidRPr="00D970F7">
              <w:rPr>
                <w:spacing w:val="0"/>
                <w:lang w:val="en-GB" w:eastAsia="en-US"/>
              </w:rPr>
              <w:t>2</w:t>
            </w:r>
            <w:r w:rsidRPr="00D970F7">
              <w:rPr>
                <w:spacing w:val="0"/>
                <w:lang w:val="en-GB" w:eastAsia="en-US"/>
              </w:rPr>
              <w:t xml:space="preserve">, especially due to the plunge of prices of coke and refined oil products. </w:t>
            </w:r>
          </w:p>
        </w:tc>
        <w:tc>
          <w:tcPr>
            <w:tcW w:w="224" w:type="dxa"/>
          </w:tcPr>
          <w:p w14:paraId="7FA70BE4" w14:textId="77777777" w:rsidR="00295E96" w:rsidRPr="00D970F7" w:rsidRDefault="00295E96" w:rsidP="00CF6F9C">
            <w:pPr>
              <w:pStyle w:val="Textpoznpodarou1"/>
              <w:jc w:val="both"/>
              <w:rPr>
                <w:lang w:val="en-GB" w:eastAsia="en-US"/>
              </w:rPr>
            </w:pPr>
          </w:p>
        </w:tc>
        <w:tc>
          <w:tcPr>
            <w:tcW w:w="7610" w:type="dxa"/>
            <w:hideMark/>
          </w:tcPr>
          <w:p w14:paraId="46801713" w14:textId="613579F7" w:rsidR="00295E96" w:rsidRPr="00D970F7" w:rsidRDefault="00066A8F" w:rsidP="00853FD1">
            <w:pPr>
              <w:rPr>
                <w:lang w:val="en-GB" w:eastAsia="en-US"/>
              </w:rPr>
            </w:pPr>
            <w:r w:rsidRPr="00D970F7">
              <w:rPr>
                <w:lang w:val="en-GB" w:eastAsia="en-US"/>
              </w:rPr>
              <w:t xml:space="preserve">Industrial producer prices decreased by </w:t>
            </w:r>
            <w:r w:rsidR="00295E96" w:rsidRPr="00D970F7">
              <w:rPr>
                <w:lang w:val="en-GB" w:eastAsia="en-US"/>
              </w:rPr>
              <w:t>0</w:t>
            </w:r>
            <w:r w:rsidRPr="00D970F7">
              <w:rPr>
                <w:lang w:val="en-GB" w:eastAsia="en-US"/>
              </w:rPr>
              <w:t>.</w:t>
            </w:r>
            <w:r w:rsidR="00295E96" w:rsidRPr="00D970F7">
              <w:rPr>
                <w:lang w:val="en-GB" w:eastAsia="en-US"/>
              </w:rPr>
              <w:t>6%</w:t>
            </w:r>
            <w:r w:rsidRPr="00D970F7">
              <w:rPr>
                <w:lang w:val="en-GB" w:eastAsia="en-US"/>
              </w:rPr>
              <w:t xml:space="preserve"> in Q2</w:t>
            </w:r>
            <w:r w:rsidR="00295E96" w:rsidRPr="00D970F7">
              <w:rPr>
                <w:lang w:val="en-GB" w:eastAsia="en-US"/>
              </w:rPr>
              <w:t>.</w:t>
            </w:r>
            <w:r w:rsidRPr="00D970F7">
              <w:rPr>
                <w:lang w:val="en-GB" w:eastAsia="en-US"/>
              </w:rPr>
              <w:t xml:space="preserve"> The price grew by </w:t>
            </w:r>
            <w:r w:rsidR="00295E96" w:rsidRPr="00D970F7">
              <w:rPr>
                <w:lang w:val="en-GB" w:eastAsia="en-US"/>
              </w:rPr>
              <w:t>1</w:t>
            </w:r>
            <w:r w:rsidRPr="00D970F7">
              <w:rPr>
                <w:lang w:val="en-GB" w:eastAsia="en-US"/>
              </w:rPr>
              <w:t>.</w:t>
            </w:r>
            <w:r w:rsidR="00295E96" w:rsidRPr="00D970F7">
              <w:rPr>
                <w:lang w:val="en-GB" w:eastAsia="en-US"/>
              </w:rPr>
              <w:t>4%</w:t>
            </w:r>
            <w:r w:rsidRPr="00D970F7">
              <w:rPr>
                <w:lang w:val="en-GB" w:eastAsia="en-US"/>
              </w:rPr>
              <w:t xml:space="preserve"> still in Q1</w:t>
            </w:r>
            <w:r w:rsidR="00295E96" w:rsidRPr="00D970F7">
              <w:rPr>
                <w:lang w:val="en-GB" w:eastAsia="en-US"/>
              </w:rPr>
              <w:t xml:space="preserve">. </w:t>
            </w:r>
            <w:r w:rsidR="006539DD" w:rsidRPr="00D970F7">
              <w:rPr>
                <w:lang w:val="en-GB" w:eastAsia="en-US"/>
              </w:rPr>
              <w:t xml:space="preserve">Turning point in the dynamics was observed already in March. The reason was especially the development for products and services of manufacturing. These recorded decrease by </w:t>
            </w:r>
            <w:r w:rsidR="00295E96" w:rsidRPr="00D970F7">
              <w:rPr>
                <w:lang w:val="en-GB" w:eastAsia="en-US"/>
              </w:rPr>
              <w:t>2</w:t>
            </w:r>
            <w:r w:rsidR="006539DD" w:rsidRPr="00D970F7">
              <w:rPr>
                <w:lang w:val="en-GB" w:eastAsia="en-US"/>
              </w:rPr>
              <w:t>.</w:t>
            </w:r>
            <w:r w:rsidR="00295E96" w:rsidRPr="00D970F7">
              <w:rPr>
                <w:lang w:val="en-GB" w:eastAsia="en-US"/>
              </w:rPr>
              <w:t>3%,</w:t>
            </w:r>
            <w:r w:rsidR="006539DD" w:rsidRPr="00D970F7">
              <w:rPr>
                <w:lang w:val="en-GB" w:eastAsia="en-US"/>
              </w:rPr>
              <w:t xml:space="preserve"> </w:t>
            </w:r>
            <w:r w:rsidR="000E535F" w:rsidRPr="00D970F7">
              <w:rPr>
                <w:lang w:val="en-GB" w:eastAsia="en-US"/>
              </w:rPr>
              <w:t>mainly because of coke and refined oil products</w:t>
            </w:r>
            <w:r w:rsidR="00295E96" w:rsidRPr="00D970F7">
              <w:rPr>
                <w:rStyle w:val="Znakapoznpodarou"/>
                <w:lang w:val="en-GB" w:eastAsia="en-US"/>
              </w:rPr>
              <w:footnoteReference w:id="34"/>
            </w:r>
            <w:r w:rsidR="00295E96" w:rsidRPr="00D970F7">
              <w:rPr>
                <w:lang w:val="en-GB" w:eastAsia="en-US"/>
              </w:rPr>
              <w:t>.</w:t>
            </w:r>
            <w:r w:rsidR="000E535F" w:rsidRPr="00D970F7">
              <w:rPr>
                <w:lang w:val="en-GB" w:eastAsia="en-US"/>
              </w:rPr>
              <w:t xml:space="preserve"> </w:t>
            </w:r>
            <w:r w:rsidR="00295E96" w:rsidRPr="00D970F7">
              <w:rPr>
                <w:lang w:val="en-GB" w:eastAsia="en-US"/>
              </w:rPr>
              <w:t xml:space="preserve"> </w:t>
            </w:r>
            <w:r w:rsidR="000E535F" w:rsidRPr="00D970F7">
              <w:rPr>
                <w:lang w:val="en-GB" w:eastAsia="en-US"/>
              </w:rPr>
              <w:t xml:space="preserve">Tied to the prices of oil, the prices of chemical substances and products were also falling </w:t>
            </w:r>
            <w:r w:rsidR="00295E96" w:rsidRPr="00D970F7">
              <w:rPr>
                <w:lang w:val="en-GB" w:eastAsia="en-US"/>
              </w:rPr>
              <w:t>(</w:t>
            </w:r>
            <w:r w:rsidR="00853FD1">
              <w:rPr>
                <w:lang w:val="en-GB" w:eastAsia="en-US"/>
              </w:rPr>
              <w:noBreakHyphen/>
            </w:r>
            <w:r w:rsidR="00295E96" w:rsidRPr="00D970F7">
              <w:rPr>
                <w:lang w:val="en-GB" w:eastAsia="en-US"/>
              </w:rPr>
              <w:t>14</w:t>
            </w:r>
            <w:r w:rsidR="000E535F" w:rsidRPr="00D970F7">
              <w:rPr>
                <w:lang w:val="en-GB" w:eastAsia="en-US"/>
              </w:rPr>
              <w:t>.</w:t>
            </w:r>
            <w:r w:rsidR="00295E96" w:rsidRPr="00D970F7">
              <w:rPr>
                <w:lang w:val="en-GB" w:eastAsia="en-US"/>
              </w:rPr>
              <w:t xml:space="preserve">6%). </w:t>
            </w:r>
            <w:r w:rsidR="005552D3" w:rsidRPr="00D970F7">
              <w:rPr>
                <w:lang w:val="en-GB" w:eastAsia="en-US"/>
              </w:rPr>
              <w:t xml:space="preserve">Basic metals and metal products </w:t>
            </w:r>
            <w:r w:rsidR="00295E96" w:rsidRPr="00D970F7">
              <w:rPr>
                <w:lang w:val="en-GB" w:eastAsia="en-US"/>
              </w:rPr>
              <w:t>(–1</w:t>
            </w:r>
            <w:r w:rsidR="005552D3" w:rsidRPr="00D970F7">
              <w:rPr>
                <w:lang w:val="en-GB" w:eastAsia="en-US"/>
              </w:rPr>
              <w:t>.</w:t>
            </w:r>
            <w:r w:rsidR="00295E96" w:rsidRPr="00D970F7">
              <w:rPr>
                <w:lang w:val="en-GB" w:eastAsia="en-US"/>
              </w:rPr>
              <w:t>3%) a</w:t>
            </w:r>
            <w:r w:rsidR="005552D3" w:rsidRPr="00D970F7">
              <w:rPr>
                <w:lang w:val="en-GB" w:eastAsia="en-US"/>
              </w:rPr>
              <w:t xml:space="preserve">nd wood, paper and printing </w:t>
            </w:r>
            <w:r w:rsidR="00295E96" w:rsidRPr="00D970F7">
              <w:rPr>
                <w:lang w:val="en-GB" w:eastAsia="en-US"/>
              </w:rPr>
              <w:t>(</w:t>
            </w:r>
            <w:r w:rsidR="00853FD1">
              <w:rPr>
                <w:lang w:val="en-GB" w:eastAsia="en-US"/>
              </w:rPr>
              <w:noBreakHyphen/>
            </w:r>
            <w:r w:rsidR="00295E96" w:rsidRPr="00D970F7">
              <w:rPr>
                <w:lang w:val="en-GB" w:eastAsia="en-US"/>
              </w:rPr>
              <w:t>2</w:t>
            </w:r>
            <w:r w:rsidR="005552D3" w:rsidRPr="00D970F7">
              <w:rPr>
                <w:lang w:val="en-GB" w:eastAsia="en-US"/>
              </w:rPr>
              <w:t>.</w:t>
            </w:r>
            <w:r w:rsidR="00295E96" w:rsidRPr="00D970F7">
              <w:rPr>
                <w:lang w:val="en-GB" w:eastAsia="en-US"/>
              </w:rPr>
              <w:t>1%)</w:t>
            </w:r>
            <w:r w:rsidR="005552D3" w:rsidRPr="00D970F7">
              <w:rPr>
                <w:lang w:val="en-GB" w:eastAsia="en-US"/>
              </w:rPr>
              <w:t xml:space="preserve"> also pressed the prices down</w:t>
            </w:r>
            <w:r w:rsidR="00295E96" w:rsidRPr="00D970F7">
              <w:rPr>
                <w:lang w:val="en-GB" w:eastAsia="en-US"/>
              </w:rPr>
              <w:t xml:space="preserve">. </w:t>
            </w:r>
            <w:r w:rsidR="005552D3" w:rsidRPr="00D970F7">
              <w:rPr>
                <w:lang w:val="en-GB" w:eastAsia="en-US"/>
              </w:rPr>
              <w:t xml:space="preserve">In contrast, </w:t>
            </w:r>
            <w:r w:rsidR="00195FA3" w:rsidRPr="00D970F7">
              <w:rPr>
                <w:lang w:val="en-GB" w:eastAsia="en-US"/>
              </w:rPr>
              <w:t xml:space="preserve">prices of food products, beverages and tobacco </w:t>
            </w:r>
            <w:r w:rsidR="00295E96" w:rsidRPr="00D970F7">
              <w:rPr>
                <w:lang w:val="en-GB" w:eastAsia="en-US"/>
              </w:rPr>
              <w:t>(3</w:t>
            </w:r>
            <w:r w:rsidR="00195FA3" w:rsidRPr="00D970F7">
              <w:rPr>
                <w:lang w:val="en-GB" w:eastAsia="en-US"/>
              </w:rPr>
              <w:t>.</w:t>
            </w:r>
            <w:r w:rsidR="00295E96" w:rsidRPr="00D970F7">
              <w:rPr>
                <w:lang w:val="en-GB" w:eastAsia="en-US"/>
              </w:rPr>
              <w:t>0%)</w:t>
            </w:r>
            <w:r w:rsidR="00195FA3" w:rsidRPr="00D970F7">
              <w:rPr>
                <w:lang w:val="en-GB" w:eastAsia="en-US"/>
              </w:rPr>
              <w:t xml:space="preserve"> contributed to growth</w:t>
            </w:r>
            <w:r w:rsidR="00295E96" w:rsidRPr="00D970F7">
              <w:rPr>
                <w:lang w:val="en-GB" w:eastAsia="en-US"/>
              </w:rPr>
              <w:t xml:space="preserve">. </w:t>
            </w:r>
            <w:r w:rsidR="00195FA3" w:rsidRPr="00D970F7">
              <w:rPr>
                <w:lang w:val="en-GB" w:eastAsia="en-US"/>
              </w:rPr>
              <w:t>Here however, the dynamics gradually l</w:t>
            </w:r>
            <w:r w:rsidR="000F6B24" w:rsidRPr="00D970F7">
              <w:rPr>
                <w:lang w:val="en-GB" w:eastAsia="en-US"/>
              </w:rPr>
              <w:t>os</w:t>
            </w:r>
            <w:r w:rsidR="00195FA3" w:rsidRPr="00D970F7">
              <w:rPr>
                <w:lang w:val="en-GB" w:eastAsia="en-US"/>
              </w:rPr>
              <w:t>t pace during the quarter. Mainly the wage growth</w:t>
            </w:r>
            <w:r w:rsidR="000F6B24" w:rsidRPr="00D970F7">
              <w:rPr>
                <w:lang w:val="en-GB" w:eastAsia="en-US"/>
              </w:rPr>
              <w:t xml:space="preserve"> even pushed up the prices of furniture and other manufacturing products </w:t>
            </w:r>
            <w:r w:rsidR="00295E96" w:rsidRPr="00D970F7">
              <w:rPr>
                <w:lang w:val="en-GB" w:eastAsia="en-US"/>
              </w:rPr>
              <w:t>(4</w:t>
            </w:r>
            <w:r w:rsidR="00195FA3" w:rsidRPr="00D970F7">
              <w:rPr>
                <w:lang w:val="en-GB" w:eastAsia="en-US"/>
              </w:rPr>
              <w:t>.</w:t>
            </w:r>
            <w:r w:rsidR="00295E96" w:rsidRPr="00D970F7">
              <w:rPr>
                <w:lang w:val="en-GB" w:eastAsia="en-US"/>
              </w:rPr>
              <w:t xml:space="preserve">8%, </w:t>
            </w:r>
            <w:r w:rsidR="00195FA3" w:rsidRPr="00D970F7">
              <w:rPr>
                <w:lang w:val="en-GB" w:eastAsia="en-US"/>
              </w:rPr>
              <w:t xml:space="preserve">especially repairs, maintenance and </w:t>
            </w:r>
            <w:r w:rsidR="00195FA3" w:rsidRPr="00D970F7">
              <w:rPr>
                <w:lang w:val="en-GB" w:eastAsia="en-US"/>
              </w:rPr>
              <w:lastRenderedPageBreak/>
              <w:t>installation of machinery and equipment</w:t>
            </w:r>
            <w:r w:rsidR="00295E96" w:rsidRPr="00D970F7">
              <w:rPr>
                <w:lang w:val="en-GB" w:eastAsia="en-US"/>
              </w:rPr>
              <w:t xml:space="preserve">). </w:t>
            </w:r>
            <w:r w:rsidR="00195FA3" w:rsidRPr="00D970F7">
              <w:rPr>
                <w:lang w:val="en-GB" w:eastAsia="en-US"/>
              </w:rPr>
              <w:t>Prices of computers, electronic and optical equipment notably increased</w:t>
            </w:r>
            <w:r w:rsidR="000F6B24" w:rsidRPr="00D970F7">
              <w:rPr>
                <w:lang w:val="en-GB" w:eastAsia="en-US"/>
              </w:rPr>
              <w:t xml:space="preserve"> </w:t>
            </w:r>
            <w:r w:rsidR="00295E96" w:rsidRPr="00D970F7">
              <w:rPr>
                <w:lang w:val="en-GB" w:eastAsia="en-US"/>
              </w:rPr>
              <w:t>(3</w:t>
            </w:r>
            <w:r w:rsidR="000F6B24" w:rsidRPr="00D970F7">
              <w:rPr>
                <w:lang w:val="en-GB" w:eastAsia="en-US"/>
              </w:rPr>
              <w:t>.</w:t>
            </w:r>
            <w:r w:rsidR="00295E96" w:rsidRPr="00D970F7">
              <w:rPr>
                <w:lang w:val="en-GB" w:eastAsia="en-US"/>
              </w:rPr>
              <w:t>7%).</w:t>
            </w:r>
            <w:r w:rsidR="000F6B24" w:rsidRPr="00D970F7">
              <w:rPr>
                <w:lang w:val="en-GB" w:eastAsia="en-US"/>
              </w:rPr>
              <w:t xml:space="preserve"> </w:t>
            </w:r>
            <w:r w:rsidR="001764E2" w:rsidRPr="00D970F7">
              <w:rPr>
                <w:lang w:val="en-GB" w:eastAsia="en-US"/>
              </w:rPr>
              <w:t>Transport</w:t>
            </w:r>
            <w:r w:rsidR="00F04181">
              <w:rPr>
                <w:lang w:val="en-GB" w:eastAsia="en-US"/>
              </w:rPr>
              <w:t>ation equipment also recorded a</w:t>
            </w:r>
            <w:r w:rsidR="00F04181" w:rsidRPr="000E756D">
              <w:rPr>
                <w:spacing w:val="-4"/>
              </w:rPr>
              <w:t> </w:t>
            </w:r>
            <w:r w:rsidR="001764E2" w:rsidRPr="00D970F7">
              <w:rPr>
                <w:lang w:val="en-GB" w:eastAsia="en-US"/>
              </w:rPr>
              <w:t xml:space="preserve">relatively strong addition </w:t>
            </w:r>
            <w:r w:rsidR="00295E96" w:rsidRPr="00D970F7">
              <w:rPr>
                <w:lang w:val="en-GB" w:eastAsia="en-US"/>
              </w:rPr>
              <w:t>(3</w:t>
            </w:r>
            <w:r w:rsidR="001764E2" w:rsidRPr="00D970F7">
              <w:rPr>
                <w:lang w:val="en-GB" w:eastAsia="en-US"/>
              </w:rPr>
              <w:t>.</w:t>
            </w:r>
            <w:r w:rsidR="00295E96" w:rsidRPr="00D970F7">
              <w:rPr>
                <w:lang w:val="en-GB" w:eastAsia="en-US"/>
              </w:rPr>
              <w:t xml:space="preserve">5%). </w:t>
            </w:r>
            <w:r w:rsidR="001764E2" w:rsidRPr="00D970F7">
              <w:rPr>
                <w:lang w:val="en-GB" w:eastAsia="en-US"/>
              </w:rPr>
              <w:t xml:space="preserve">Growth of prices of machinery and equipment (2.6%) and electrical equipment (1.7%) accelerated. </w:t>
            </w:r>
          </w:p>
        </w:tc>
      </w:tr>
      <w:tr w:rsidR="00295E96" w:rsidRPr="00D970F7" w14:paraId="5A824DD1" w14:textId="77777777" w:rsidTr="00CF6F9C">
        <w:trPr>
          <w:trHeight w:val="145"/>
        </w:trPr>
        <w:tc>
          <w:tcPr>
            <w:tcW w:w="1805" w:type="dxa"/>
            <w:hideMark/>
          </w:tcPr>
          <w:p w14:paraId="57E48E8F" w14:textId="6424CE80" w:rsidR="00295E96" w:rsidRPr="00D970F7" w:rsidRDefault="00A16CA8" w:rsidP="00CF6F9C">
            <w:pPr>
              <w:pStyle w:val="Marginlie"/>
              <w:rPr>
                <w:spacing w:val="0"/>
                <w:lang w:val="en-GB" w:eastAsia="en-US"/>
              </w:rPr>
            </w:pPr>
            <w:r w:rsidRPr="00D970F7">
              <w:rPr>
                <w:spacing w:val="0"/>
                <w:lang w:val="en-GB" w:eastAsia="en-US"/>
              </w:rPr>
              <w:lastRenderedPageBreak/>
              <w:t xml:space="preserve">Plunge of prices </w:t>
            </w:r>
            <w:r w:rsidR="00531859" w:rsidRPr="00D970F7">
              <w:rPr>
                <w:spacing w:val="0"/>
                <w:lang w:val="en-GB" w:eastAsia="en-US"/>
              </w:rPr>
              <w:t>in</w:t>
            </w:r>
            <w:r w:rsidRPr="00D970F7">
              <w:rPr>
                <w:spacing w:val="0"/>
                <w:lang w:val="en-GB" w:eastAsia="en-US"/>
              </w:rPr>
              <w:t xml:space="preserve"> mining and quarrying continued. </w:t>
            </w:r>
          </w:p>
        </w:tc>
        <w:tc>
          <w:tcPr>
            <w:tcW w:w="224" w:type="dxa"/>
          </w:tcPr>
          <w:p w14:paraId="763DDE3C" w14:textId="77777777" w:rsidR="00295E96" w:rsidRPr="00D970F7" w:rsidRDefault="00295E96" w:rsidP="00CF6F9C">
            <w:pPr>
              <w:pStyle w:val="Textpoznpodarou1"/>
              <w:jc w:val="both"/>
              <w:rPr>
                <w:lang w:val="en-GB" w:eastAsia="en-US"/>
              </w:rPr>
            </w:pPr>
          </w:p>
        </w:tc>
        <w:tc>
          <w:tcPr>
            <w:tcW w:w="7610" w:type="dxa"/>
            <w:hideMark/>
          </w:tcPr>
          <w:p w14:paraId="3E839F47" w14:textId="28A2ED2F" w:rsidR="00295E96" w:rsidRPr="00D970F7" w:rsidRDefault="00A06212" w:rsidP="00853FD1">
            <w:pPr>
              <w:rPr>
                <w:lang w:val="en-GB" w:eastAsia="en-US"/>
              </w:rPr>
            </w:pPr>
            <w:r w:rsidRPr="00D970F7">
              <w:rPr>
                <w:lang w:val="en-GB" w:eastAsia="en-US"/>
              </w:rPr>
              <w:t xml:space="preserve">Fall lasting from the beginning of year deepened in case of mining and quarrying </w:t>
            </w:r>
            <w:r w:rsidR="00295E96" w:rsidRPr="00D970F7">
              <w:rPr>
                <w:lang w:val="en-GB" w:eastAsia="en-US"/>
              </w:rPr>
              <w:t>(</w:t>
            </w:r>
            <w:r w:rsidR="00853FD1">
              <w:rPr>
                <w:lang w:val="en-GB" w:eastAsia="en-US"/>
              </w:rPr>
              <w:noBreakHyphen/>
            </w:r>
            <w:r w:rsidR="00295E96" w:rsidRPr="00D970F7">
              <w:rPr>
                <w:lang w:val="en-GB" w:eastAsia="en-US"/>
              </w:rPr>
              <w:t>3</w:t>
            </w:r>
            <w:r w:rsidRPr="00D970F7">
              <w:rPr>
                <w:lang w:val="en-GB" w:eastAsia="en-US"/>
              </w:rPr>
              <w:t>.</w:t>
            </w:r>
            <w:r w:rsidR="00295E96" w:rsidRPr="00D970F7">
              <w:rPr>
                <w:lang w:val="en-GB" w:eastAsia="en-US"/>
              </w:rPr>
              <w:t xml:space="preserve">5%). </w:t>
            </w:r>
            <w:r w:rsidRPr="00D970F7">
              <w:rPr>
                <w:lang w:val="en-GB" w:eastAsia="en-US"/>
              </w:rPr>
              <w:t xml:space="preserve">Prices of oil and natural gas </w:t>
            </w:r>
            <w:r w:rsidR="00C1229A" w:rsidRPr="00D970F7">
              <w:rPr>
                <w:lang w:val="en-GB" w:eastAsia="en-US"/>
              </w:rPr>
              <w:t>plunged,</w:t>
            </w:r>
            <w:r w:rsidRPr="00D970F7">
              <w:rPr>
                <w:lang w:val="en-GB" w:eastAsia="en-US"/>
              </w:rPr>
              <w:t xml:space="preserve"> and the decrease continued for black and brown coal and lignite. </w:t>
            </w:r>
            <w:r w:rsidR="00C1229A" w:rsidRPr="00D970F7">
              <w:rPr>
                <w:lang w:val="en-GB" w:eastAsia="en-US"/>
              </w:rPr>
              <w:t xml:space="preserve">On the contrary, year-on-year growth of prices of electricity, gas, steam and air conditioning remains at high level </w:t>
            </w:r>
            <w:r w:rsidR="00295E96" w:rsidRPr="00D970F7">
              <w:rPr>
                <w:lang w:val="en-GB" w:eastAsia="en-US"/>
              </w:rPr>
              <w:t>(8</w:t>
            </w:r>
            <w:r w:rsidR="00C1229A" w:rsidRPr="00D970F7">
              <w:rPr>
                <w:lang w:val="en-GB" w:eastAsia="en-US"/>
              </w:rPr>
              <w:t>.</w:t>
            </w:r>
            <w:r w:rsidR="00295E96" w:rsidRPr="00D970F7">
              <w:rPr>
                <w:lang w:val="en-GB" w:eastAsia="en-US"/>
              </w:rPr>
              <w:t xml:space="preserve">2%). </w:t>
            </w:r>
            <w:r w:rsidR="009C01E8" w:rsidRPr="00D970F7">
              <w:rPr>
                <w:lang w:val="en-GB" w:eastAsia="en-US"/>
              </w:rPr>
              <w:t xml:space="preserve">Growth accelerated for water supply and wastewater management services </w:t>
            </w:r>
            <w:r w:rsidR="00295E96" w:rsidRPr="00D970F7">
              <w:rPr>
                <w:lang w:val="en-GB" w:eastAsia="en-US"/>
              </w:rPr>
              <w:t>(6</w:t>
            </w:r>
            <w:r w:rsidR="009C01E8" w:rsidRPr="00D970F7">
              <w:rPr>
                <w:lang w:val="en-GB" w:eastAsia="en-US"/>
              </w:rPr>
              <w:t>.</w:t>
            </w:r>
            <w:r w:rsidR="00295E96" w:rsidRPr="00D970F7">
              <w:rPr>
                <w:lang w:val="en-GB" w:eastAsia="en-US"/>
              </w:rPr>
              <w:t>1%).</w:t>
            </w:r>
          </w:p>
        </w:tc>
      </w:tr>
      <w:tr w:rsidR="00295E96" w:rsidRPr="00D970F7" w14:paraId="108051E7" w14:textId="77777777" w:rsidTr="00CF6F9C">
        <w:trPr>
          <w:trHeight w:val="170"/>
        </w:trPr>
        <w:tc>
          <w:tcPr>
            <w:tcW w:w="1805" w:type="dxa"/>
            <w:vMerge w:val="restart"/>
          </w:tcPr>
          <w:p w14:paraId="53F041C3" w14:textId="77777777" w:rsidR="00295E96" w:rsidRPr="00D970F7" w:rsidRDefault="00295E96" w:rsidP="00CF6F9C">
            <w:pPr>
              <w:pStyle w:val="Marginlie"/>
              <w:rPr>
                <w:spacing w:val="0"/>
                <w:lang w:val="en-GB" w:eastAsia="en-US"/>
              </w:rPr>
            </w:pPr>
          </w:p>
        </w:tc>
        <w:tc>
          <w:tcPr>
            <w:tcW w:w="224" w:type="dxa"/>
            <w:vMerge w:val="restart"/>
          </w:tcPr>
          <w:p w14:paraId="4317B2D3" w14:textId="77777777" w:rsidR="00295E96" w:rsidRPr="00D970F7" w:rsidRDefault="00295E96" w:rsidP="00CF6F9C">
            <w:pPr>
              <w:pStyle w:val="Textpoznpodarou1"/>
              <w:jc w:val="both"/>
              <w:rPr>
                <w:highlight w:val="yellow"/>
                <w:lang w:val="en-GB" w:eastAsia="en-US"/>
              </w:rPr>
            </w:pPr>
          </w:p>
        </w:tc>
        <w:tc>
          <w:tcPr>
            <w:tcW w:w="7610" w:type="dxa"/>
            <w:hideMark/>
          </w:tcPr>
          <w:p w14:paraId="7F343273" w14:textId="7BE2E919" w:rsidR="00295E96" w:rsidRPr="00D970F7" w:rsidRDefault="00391175" w:rsidP="00CF6F9C">
            <w:pPr>
              <w:spacing w:after="0"/>
              <w:rPr>
                <w:b/>
                <w:szCs w:val="20"/>
                <w:lang w:val="en-GB" w:eastAsia="en-US"/>
              </w:rPr>
            </w:pPr>
            <w:r w:rsidRPr="00D970F7">
              <w:rPr>
                <w:b/>
                <w:sz w:val="18"/>
                <w:szCs w:val="18"/>
                <w:lang w:val="en-GB" w:eastAsia="en-US"/>
              </w:rPr>
              <w:t xml:space="preserve">Chart </w:t>
            </w:r>
            <w:r w:rsidR="00295E96" w:rsidRPr="00D970F7">
              <w:rPr>
                <w:b/>
                <w:sz w:val="18"/>
                <w:szCs w:val="18"/>
                <w:lang w:val="en-GB" w:eastAsia="en-US"/>
              </w:rPr>
              <w:t xml:space="preserve">11  </w:t>
            </w:r>
            <w:r w:rsidR="00C0475A" w:rsidRPr="00D970F7">
              <w:rPr>
                <w:b/>
                <w:sz w:val="18"/>
                <w:szCs w:val="18"/>
                <w:lang w:val="en-GB" w:eastAsia="en-US"/>
              </w:rPr>
              <w:t xml:space="preserve">Prices of main groups of industrial producers </w:t>
            </w:r>
            <w:r w:rsidR="00C0475A" w:rsidRPr="00D970F7">
              <w:rPr>
                <w:sz w:val="18"/>
                <w:szCs w:val="18"/>
                <w:lang w:val="en-GB" w:eastAsia="en-US"/>
              </w:rPr>
              <w:t xml:space="preserve">(year-on-year change, in %, based on CPA classification) </w:t>
            </w:r>
          </w:p>
        </w:tc>
      </w:tr>
      <w:tr w:rsidR="00295E96" w:rsidRPr="00D970F7" w14:paraId="19FA66EE" w14:textId="77777777" w:rsidTr="00DD2984">
        <w:tblPrEx>
          <w:tblCellMar>
            <w:left w:w="70" w:type="dxa"/>
            <w:right w:w="70" w:type="dxa"/>
          </w:tblCellMar>
        </w:tblPrEx>
        <w:trPr>
          <w:trHeight w:val="170"/>
        </w:trPr>
        <w:tc>
          <w:tcPr>
            <w:tcW w:w="1805" w:type="dxa"/>
            <w:vMerge/>
            <w:vAlign w:val="center"/>
            <w:hideMark/>
          </w:tcPr>
          <w:p w14:paraId="25D2C297" w14:textId="77777777" w:rsidR="00295E96" w:rsidRPr="00D970F7" w:rsidRDefault="00295E96" w:rsidP="00CF6F9C">
            <w:pPr>
              <w:spacing w:after="0" w:line="240" w:lineRule="auto"/>
              <w:jc w:val="left"/>
              <w:rPr>
                <w:sz w:val="16"/>
                <w:szCs w:val="16"/>
                <w:lang w:val="en-GB" w:eastAsia="en-US"/>
              </w:rPr>
            </w:pPr>
          </w:p>
        </w:tc>
        <w:tc>
          <w:tcPr>
            <w:tcW w:w="224" w:type="dxa"/>
            <w:vMerge/>
            <w:vAlign w:val="center"/>
            <w:hideMark/>
          </w:tcPr>
          <w:p w14:paraId="217FF320"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449EC50D" w14:textId="3D2147DF" w:rsidR="00295E96" w:rsidRPr="00D970F7" w:rsidRDefault="00DD2984" w:rsidP="00CF6F9C">
            <w:pPr>
              <w:spacing w:after="0"/>
              <w:rPr>
                <w:lang w:val="en-GB" w:eastAsia="en-US"/>
              </w:rPr>
            </w:pPr>
            <w:r>
              <w:rPr>
                <w:noProof/>
              </w:rPr>
              <w:drawing>
                <wp:inline distT="0" distB="0" distL="0" distR="0" wp14:anchorId="40CF1BB1" wp14:editId="2F7D71EA">
                  <wp:extent cx="4737600" cy="3553200"/>
                  <wp:effectExtent l="0" t="0" r="6350" b="0"/>
                  <wp:docPr id="20" name="Graf 20">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295E96" w:rsidRPr="00D970F7" w14:paraId="47E8CA62" w14:textId="77777777" w:rsidTr="00CF6F9C">
        <w:trPr>
          <w:trHeight w:val="170"/>
        </w:trPr>
        <w:tc>
          <w:tcPr>
            <w:tcW w:w="0" w:type="auto"/>
            <w:vMerge/>
            <w:vAlign w:val="center"/>
            <w:hideMark/>
          </w:tcPr>
          <w:p w14:paraId="364B7ED2" w14:textId="77777777" w:rsidR="00295E96" w:rsidRPr="00D970F7" w:rsidRDefault="00295E96" w:rsidP="00CF6F9C">
            <w:pPr>
              <w:spacing w:after="0" w:line="240" w:lineRule="auto"/>
              <w:jc w:val="left"/>
              <w:rPr>
                <w:sz w:val="16"/>
                <w:szCs w:val="16"/>
                <w:lang w:val="en-GB" w:eastAsia="en-US"/>
              </w:rPr>
            </w:pPr>
          </w:p>
        </w:tc>
        <w:tc>
          <w:tcPr>
            <w:tcW w:w="0" w:type="auto"/>
            <w:vMerge/>
            <w:vAlign w:val="center"/>
            <w:hideMark/>
          </w:tcPr>
          <w:p w14:paraId="094D0746" w14:textId="77777777" w:rsidR="00295E96" w:rsidRPr="00D970F7" w:rsidRDefault="00295E96" w:rsidP="00CF6F9C">
            <w:pPr>
              <w:spacing w:after="0" w:line="240" w:lineRule="auto"/>
              <w:jc w:val="left"/>
              <w:rPr>
                <w:rFonts w:eastAsia="Calibri"/>
                <w:szCs w:val="20"/>
                <w:highlight w:val="yellow"/>
                <w:lang w:val="en-GB" w:eastAsia="en-US"/>
              </w:rPr>
            </w:pPr>
          </w:p>
        </w:tc>
        <w:tc>
          <w:tcPr>
            <w:tcW w:w="7610" w:type="dxa"/>
            <w:hideMark/>
          </w:tcPr>
          <w:p w14:paraId="6B1CB8C2" w14:textId="1A1D889B" w:rsidR="00391175" w:rsidRPr="00D970F7" w:rsidRDefault="00391175" w:rsidP="00DD2984">
            <w:pPr>
              <w:rPr>
                <w:b/>
                <w:bCs/>
                <w:sz w:val="18"/>
                <w:szCs w:val="18"/>
                <w:lang w:val="en-GB" w:eastAsia="en-US"/>
              </w:rPr>
            </w:pPr>
            <w:r w:rsidRPr="00D970F7">
              <w:rPr>
                <w:sz w:val="14"/>
                <w:szCs w:val="14"/>
                <w:lang w:val="en-GB" w:eastAsia="en-US"/>
              </w:rPr>
              <w:t>Source</w:t>
            </w:r>
            <w:r w:rsidR="00295E96" w:rsidRPr="00D970F7">
              <w:rPr>
                <w:sz w:val="14"/>
                <w:szCs w:val="14"/>
                <w:lang w:val="en-GB" w:eastAsia="en-US"/>
              </w:rPr>
              <w:t xml:space="preserve">: </w:t>
            </w:r>
            <w:r w:rsidRPr="00D970F7">
              <w:rPr>
                <w:sz w:val="14"/>
                <w:szCs w:val="14"/>
                <w:lang w:val="en-GB" w:eastAsia="en-US"/>
              </w:rPr>
              <w:t>CZSO</w:t>
            </w:r>
          </w:p>
        </w:tc>
      </w:tr>
      <w:tr w:rsidR="00295E96" w:rsidRPr="00D970F7" w14:paraId="5FDD50B7" w14:textId="77777777" w:rsidTr="00CF6F9C">
        <w:trPr>
          <w:trHeight w:val="145"/>
        </w:trPr>
        <w:tc>
          <w:tcPr>
            <w:tcW w:w="1805" w:type="dxa"/>
            <w:hideMark/>
          </w:tcPr>
          <w:p w14:paraId="48A8FE9F" w14:textId="3520208A" w:rsidR="00295E96" w:rsidRPr="00D970F7" w:rsidRDefault="00391175" w:rsidP="00CF6F9C">
            <w:pPr>
              <w:pStyle w:val="Marginlie"/>
              <w:rPr>
                <w:spacing w:val="0"/>
                <w:lang w:val="en-GB" w:eastAsia="en-US"/>
              </w:rPr>
            </w:pPr>
            <w:r w:rsidRPr="00D970F7">
              <w:rPr>
                <w:spacing w:val="0"/>
                <w:lang w:val="en-GB" w:eastAsia="en-US"/>
              </w:rPr>
              <w:t>Industrial producer prices were notably falling in the EU in Q2</w:t>
            </w:r>
            <w:r w:rsidR="00295E96" w:rsidRPr="00D970F7">
              <w:rPr>
                <w:spacing w:val="0"/>
                <w:lang w:val="en-GB" w:eastAsia="en-US"/>
              </w:rPr>
              <w:t>.</w:t>
            </w:r>
            <w:r w:rsidRPr="00D970F7">
              <w:rPr>
                <w:spacing w:val="0"/>
                <w:lang w:val="en-GB" w:eastAsia="en-US"/>
              </w:rPr>
              <w:t xml:space="preserve"> </w:t>
            </w:r>
          </w:p>
        </w:tc>
        <w:tc>
          <w:tcPr>
            <w:tcW w:w="224" w:type="dxa"/>
          </w:tcPr>
          <w:p w14:paraId="163CFE9E" w14:textId="77777777" w:rsidR="00295E96" w:rsidRPr="00D970F7" w:rsidRDefault="00295E96" w:rsidP="00CF6F9C">
            <w:pPr>
              <w:pStyle w:val="Textpoznpodarou1"/>
              <w:jc w:val="both"/>
              <w:rPr>
                <w:lang w:val="en-GB" w:eastAsia="en-US"/>
              </w:rPr>
            </w:pPr>
          </w:p>
        </w:tc>
        <w:tc>
          <w:tcPr>
            <w:tcW w:w="7610" w:type="dxa"/>
            <w:hideMark/>
          </w:tcPr>
          <w:p w14:paraId="3D00B99B" w14:textId="60A5ADE8" w:rsidR="00295E96" w:rsidRPr="00D970F7" w:rsidRDefault="009C01E8" w:rsidP="00CF6F9C">
            <w:pPr>
              <w:rPr>
                <w:lang w:val="en-GB" w:eastAsia="en-US"/>
              </w:rPr>
            </w:pPr>
            <w:r w:rsidRPr="00D970F7">
              <w:rPr>
                <w:lang w:val="en-GB" w:eastAsia="en-US"/>
              </w:rPr>
              <w:t>Industrial producer prices were falling in the EU in both Q</w:t>
            </w:r>
            <w:r w:rsidR="00295E96" w:rsidRPr="00D970F7">
              <w:rPr>
                <w:lang w:val="en-GB" w:eastAsia="en-US"/>
              </w:rPr>
              <w:t>1</w:t>
            </w:r>
            <w:r w:rsidRPr="00D970F7">
              <w:rPr>
                <w:lang w:val="en-GB" w:eastAsia="en-US"/>
              </w:rPr>
              <w:t xml:space="preserve"> and Q</w:t>
            </w:r>
            <w:r w:rsidR="00295E96" w:rsidRPr="00D970F7">
              <w:rPr>
                <w:lang w:val="en-GB" w:eastAsia="en-US"/>
              </w:rPr>
              <w:t>2.</w:t>
            </w:r>
            <w:r w:rsidRPr="00D970F7">
              <w:rPr>
                <w:lang w:val="en-GB" w:eastAsia="en-US"/>
              </w:rPr>
              <w:t xml:space="preserve"> </w:t>
            </w:r>
            <w:r w:rsidR="00011B7F" w:rsidRPr="00D970F7">
              <w:rPr>
                <w:lang w:val="en-GB" w:eastAsia="en-US"/>
              </w:rPr>
              <w:t>In Q</w:t>
            </w:r>
            <w:r w:rsidR="00295E96" w:rsidRPr="00D970F7">
              <w:rPr>
                <w:lang w:val="en-GB" w:eastAsia="en-US"/>
              </w:rPr>
              <w:t>2</w:t>
            </w:r>
            <w:r w:rsidR="00011B7F" w:rsidRPr="00D970F7">
              <w:rPr>
                <w:lang w:val="en-GB" w:eastAsia="en-US"/>
              </w:rPr>
              <w:t xml:space="preserve"> nevertheless, the year-on-year decrease jumped to </w:t>
            </w:r>
            <w:r w:rsidR="00295E96" w:rsidRPr="00D970F7">
              <w:rPr>
                <w:lang w:val="en-GB" w:eastAsia="en-US"/>
              </w:rPr>
              <w:t>4</w:t>
            </w:r>
            <w:r w:rsidR="00011B7F" w:rsidRPr="00D970F7">
              <w:rPr>
                <w:lang w:val="en-GB" w:eastAsia="en-US"/>
              </w:rPr>
              <w:t>.</w:t>
            </w:r>
            <w:r w:rsidR="00295E96" w:rsidRPr="00D970F7">
              <w:rPr>
                <w:lang w:val="en-GB" w:eastAsia="en-US"/>
              </w:rPr>
              <w:t xml:space="preserve">1%. </w:t>
            </w:r>
            <w:r w:rsidR="00011B7F" w:rsidRPr="00D970F7">
              <w:rPr>
                <w:lang w:val="en-GB" w:eastAsia="en-US"/>
              </w:rPr>
              <w:t xml:space="preserve">Strong slump of prices of oil, which was felt globally, was the reason similarly as in the CR. </w:t>
            </w:r>
            <w:r w:rsidR="00C22389" w:rsidRPr="00D970F7">
              <w:rPr>
                <w:lang w:val="en-GB" w:eastAsia="en-US"/>
              </w:rPr>
              <w:t xml:space="preserve">Notable fall of prices of mining and quarrying </w:t>
            </w:r>
            <w:r w:rsidR="00295E96" w:rsidRPr="00D970F7">
              <w:rPr>
                <w:lang w:val="en-GB" w:eastAsia="en-US"/>
              </w:rPr>
              <w:t>(–13</w:t>
            </w:r>
            <w:r w:rsidR="00391175" w:rsidRPr="00D970F7">
              <w:rPr>
                <w:lang w:val="en-GB" w:eastAsia="en-US"/>
              </w:rPr>
              <w:t>.</w:t>
            </w:r>
            <w:r w:rsidR="00295E96" w:rsidRPr="00D970F7">
              <w:rPr>
                <w:lang w:val="en-GB" w:eastAsia="en-US"/>
              </w:rPr>
              <w:t>2%,</w:t>
            </w:r>
            <w:r w:rsidR="00391175" w:rsidRPr="00D970F7">
              <w:rPr>
                <w:lang w:val="en-GB" w:eastAsia="en-US"/>
              </w:rPr>
              <w:t xml:space="preserve"> mainly due to oil production</w:t>
            </w:r>
            <w:r w:rsidR="00295E96" w:rsidRPr="00D970F7">
              <w:rPr>
                <w:lang w:val="en-GB" w:eastAsia="en-US"/>
              </w:rPr>
              <w:t>)</w:t>
            </w:r>
            <w:r w:rsidR="00C22389" w:rsidRPr="00D970F7">
              <w:rPr>
                <w:lang w:val="en-GB" w:eastAsia="en-US"/>
              </w:rPr>
              <w:t xml:space="preserve"> continued in the Union in Q2</w:t>
            </w:r>
            <w:r w:rsidR="00295E96" w:rsidRPr="00D970F7">
              <w:rPr>
                <w:lang w:val="en-GB" w:eastAsia="en-US"/>
              </w:rPr>
              <w:t>,</w:t>
            </w:r>
            <w:r w:rsidR="00C22389" w:rsidRPr="00D970F7">
              <w:rPr>
                <w:lang w:val="en-GB" w:eastAsia="en-US"/>
              </w:rPr>
              <w:t xml:space="preserve"> but decrease of prices also deepened in manufacturing </w:t>
            </w:r>
            <w:r w:rsidR="00295E96" w:rsidRPr="00D970F7">
              <w:rPr>
                <w:lang w:val="en-GB" w:eastAsia="en-US"/>
              </w:rPr>
              <w:t>(–2</w:t>
            </w:r>
            <w:r w:rsidR="00C22389" w:rsidRPr="00D970F7">
              <w:rPr>
                <w:lang w:val="en-GB" w:eastAsia="en-US"/>
              </w:rPr>
              <w:t>.</w:t>
            </w:r>
            <w:r w:rsidR="00295E96" w:rsidRPr="00D970F7">
              <w:rPr>
                <w:lang w:val="en-GB" w:eastAsia="en-US"/>
              </w:rPr>
              <w:t xml:space="preserve">8%). </w:t>
            </w:r>
            <w:r w:rsidR="00C22389" w:rsidRPr="00D970F7">
              <w:rPr>
                <w:lang w:val="en-GB" w:eastAsia="en-US"/>
              </w:rPr>
              <w:t xml:space="preserve">Prices of electricity, gas, steam and air conditioning dropped by </w:t>
            </w:r>
            <w:r w:rsidR="00295E96" w:rsidRPr="00D970F7">
              <w:rPr>
                <w:lang w:val="en-GB" w:eastAsia="en-US"/>
              </w:rPr>
              <w:t>9</w:t>
            </w:r>
            <w:r w:rsidR="00C22389" w:rsidRPr="00D970F7">
              <w:rPr>
                <w:lang w:val="en-GB" w:eastAsia="en-US"/>
              </w:rPr>
              <w:t>.</w:t>
            </w:r>
            <w:r w:rsidR="00295E96" w:rsidRPr="00D970F7">
              <w:rPr>
                <w:lang w:val="en-GB" w:eastAsia="en-US"/>
              </w:rPr>
              <w:t>1%</w:t>
            </w:r>
            <w:r w:rsidR="00C22389" w:rsidRPr="00D970F7">
              <w:rPr>
                <w:lang w:val="en-GB" w:eastAsia="en-US"/>
              </w:rPr>
              <w:t xml:space="preserve"> year-on-year. Industrial producer prices increased only in Malta </w:t>
            </w:r>
            <w:r w:rsidR="00295E96" w:rsidRPr="00D970F7">
              <w:rPr>
                <w:lang w:val="en-GB" w:eastAsia="en-US"/>
              </w:rPr>
              <w:t>(1</w:t>
            </w:r>
            <w:r w:rsidR="00C22389" w:rsidRPr="00D970F7">
              <w:rPr>
                <w:lang w:val="en-GB" w:eastAsia="en-US"/>
              </w:rPr>
              <w:t>.</w:t>
            </w:r>
            <w:r w:rsidR="00295E96" w:rsidRPr="00D970F7">
              <w:rPr>
                <w:lang w:val="en-GB" w:eastAsia="en-US"/>
              </w:rPr>
              <w:t xml:space="preserve">4%), </w:t>
            </w:r>
            <w:r w:rsidR="00C22389" w:rsidRPr="00D970F7">
              <w:rPr>
                <w:lang w:val="en-GB" w:eastAsia="en-US"/>
              </w:rPr>
              <w:t xml:space="preserve">in Slovenia </w:t>
            </w:r>
            <w:r w:rsidR="00295E96" w:rsidRPr="00D970F7">
              <w:rPr>
                <w:lang w:val="en-GB" w:eastAsia="en-US"/>
              </w:rPr>
              <w:t>(0</w:t>
            </w:r>
            <w:r w:rsidR="00C22389" w:rsidRPr="00D970F7">
              <w:rPr>
                <w:lang w:val="en-GB" w:eastAsia="en-US"/>
              </w:rPr>
              <w:t>.</w:t>
            </w:r>
            <w:r w:rsidR="00295E96" w:rsidRPr="00D970F7">
              <w:rPr>
                <w:lang w:val="en-GB" w:eastAsia="en-US"/>
              </w:rPr>
              <w:t>3%) a</w:t>
            </w:r>
            <w:r w:rsidR="00C22389" w:rsidRPr="00D970F7">
              <w:rPr>
                <w:lang w:val="en-GB" w:eastAsia="en-US"/>
              </w:rPr>
              <w:t xml:space="preserve">nd in Slovakia </w:t>
            </w:r>
            <w:r w:rsidR="00295E96" w:rsidRPr="00D970F7">
              <w:rPr>
                <w:lang w:val="en-GB" w:eastAsia="en-US"/>
              </w:rPr>
              <w:t>(0</w:t>
            </w:r>
            <w:r w:rsidR="00C22389" w:rsidRPr="00D970F7">
              <w:rPr>
                <w:lang w:val="en-GB" w:eastAsia="en-US"/>
              </w:rPr>
              <w:t>.</w:t>
            </w:r>
            <w:r w:rsidR="00295E96" w:rsidRPr="00D970F7">
              <w:rPr>
                <w:lang w:val="en-GB" w:eastAsia="en-US"/>
              </w:rPr>
              <w:t>1%)</w:t>
            </w:r>
            <w:r w:rsidR="00C22389" w:rsidRPr="00D970F7">
              <w:rPr>
                <w:lang w:val="en-GB" w:eastAsia="en-US"/>
              </w:rPr>
              <w:t xml:space="preserve"> year-on-year in Q2</w:t>
            </w:r>
            <w:r w:rsidR="00295E96" w:rsidRPr="00D970F7">
              <w:rPr>
                <w:lang w:val="en-GB" w:eastAsia="en-US"/>
              </w:rPr>
              <w:t xml:space="preserve">. </w:t>
            </w:r>
            <w:r w:rsidR="00C22389" w:rsidRPr="00D970F7">
              <w:rPr>
                <w:lang w:val="en-GB" w:eastAsia="en-US"/>
              </w:rPr>
              <w:t xml:space="preserve">The deepest fall was on the contrary in Lithuania </w:t>
            </w:r>
            <w:r w:rsidR="00295E96" w:rsidRPr="00D970F7">
              <w:rPr>
                <w:lang w:val="en-GB" w:eastAsia="en-US"/>
              </w:rPr>
              <w:t>(–9</w:t>
            </w:r>
            <w:r w:rsidR="00C22389" w:rsidRPr="00D970F7">
              <w:rPr>
                <w:lang w:val="en-GB" w:eastAsia="en-US"/>
              </w:rPr>
              <w:t>.</w:t>
            </w:r>
            <w:r w:rsidR="00295E96" w:rsidRPr="00D970F7">
              <w:rPr>
                <w:lang w:val="en-GB" w:eastAsia="en-US"/>
              </w:rPr>
              <w:t xml:space="preserve">6%), </w:t>
            </w:r>
            <w:r w:rsidR="00C22389" w:rsidRPr="00D970F7">
              <w:rPr>
                <w:lang w:val="en-GB" w:eastAsia="en-US"/>
              </w:rPr>
              <w:t xml:space="preserve">Spain </w:t>
            </w:r>
            <w:r w:rsidR="00295E96" w:rsidRPr="00D970F7">
              <w:rPr>
                <w:lang w:val="en-GB" w:eastAsia="en-US"/>
              </w:rPr>
              <w:t>(–7</w:t>
            </w:r>
            <w:r w:rsidR="00C22389" w:rsidRPr="00D970F7">
              <w:rPr>
                <w:lang w:val="en-GB" w:eastAsia="en-US"/>
              </w:rPr>
              <w:t>.</w:t>
            </w:r>
            <w:r w:rsidR="00295E96" w:rsidRPr="00D970F7">
              <w:rPr>
                <w:lang w:val="en-GB" w:eastAsia="en-US"/>
              </w:rPr>
              <w:t>7%)</w:t>
            </w:r>
            <w:r w:rsidR="00C22389" w:rsidRPr="00D970F7">
              <w:rPr>
                <w:lang w:val="en-GB" w:eastAsia="en-US"/>
              </w:rPr>
              <w:t xml:space="preserve"> and Belgium </w:t>
            </w:r>
            <w:r w:rsidR="00295E96" w:rsidRPr="00D970F7">
              <w:rPr>
                <w:lang w:val="en-GB" w:eastAsia="en-US"/>
              </w:rPr>
              <w:t>(–7</w:t>
            </w:r>
            <w:r w:rsidR="00C22389" w:rsidRPr="00D970F7">
              <w:rPr>
                <w:lang w:val="en-GB" w:eastAsia="en-US"/>
              </w:rPr>
              <w:t>.</w:t>
            </w:r>
            <w:r w:rsidR="00295E96" w:rsidRPr="00D970F7">
              <w:rPr>
                <w:lang w:val="en-GB" w:eastAsia="en-US"/>
              </w:rPr>
              <w:t>5%).</w:t>
            </w:r>
          </w:p>
        </w:tc>
      </w:tr>
      <w:tr w:rsidR="00295E96" w:rsidRPr="00D970F7" w14:paraId="51A048FD" w14:textId="77777777" w:rsidTr="00CF6F9C">
        <w:trPr>
          <w:trHeight w:val="145"/>
        </w:trPr>
        <w:tc>
          <w:tcPr>
            <w:tcW w:w="1805" w:type="dxa"/>
            <w:hideMark/>
          </w:tcPr>
          <w:p w14:paraId="486E5B6A" w14:textId="2B22FCD7" w:rsidR="00295E96" w:rsidRPr="00D970F7" w:rsidRDefault="00391175" w:rsidP="00CF6F9C">
            <w:pPr>
              <w:pStyle w:val="Marginlie"/>
              <w:rPr>
                <w:spacing w:val="0"/>
                <w:lang w:val="en-GB" w:eastAsia="en-US"/>
              </w:rPr>
            </w:pPr>
            <w:r w:rsidRPr="00D970F7">
              <w:rPr>
                <w:spacing w:val="0"/>
                <w:lang w:val="en-GB" w:eastAsia="en-US"/>
              </w:rPr>
              <w:t>Growth of prices of market services slackened in Q</w:t>
            </w:r>
            <w:r w:rsidR="00295E96" w:rsidRPr="00D970F7">
              <w:rPr>
                <w:spacing w:val="0"/>
                <w:lang w:val="en-GB" w:eastAsia="en-US"/>
              </w:rPr>
              <w:t>2.</w:t>
            </w:r>
          </w:p>
        </w:tc>
        <w:tc>
          <w:tcPr>
            <w:tcW w:w="224" w:type="dxa"/>
          </w:tcPr>
          <w:p w14:paraId="4CB5D0AB" w14:textId="77777777" w:rsidR="00295E96" w:rsidRPr="00D970F7" w:rsidRDefault="00295E96" w:rsidP="00CF6F9C">
            <w:pPr>
              <w:pStyle w:val="Textpoznpodarou1"/>
              <w:jc w:val="both"/>
              <w:rPr>
                <w:lang w:val="en-GB" w:eastAsia="en-US"/>
              </w:rPr>
            </w:pPr>
          </w:p>
        </w:tc>
        <w:tc>
          <w:tcPr>
            <w:tcW w:w="7610" w:type="dxa"/>
            <w:hideMark/>
          </w:tcPr>
          <w:p w14:paraId="7612FDD2" w14:textId="095E9C1C" w:rsidR="00295E96" w:rsidRPr="00D970F7" w:rsidRDefault="00B471A7" w:rsidP="00CF6F9C">
            <w:pPr>
              <w:rPr>
                <w:lang w:val="en-GB" w:eastAsia="en-US"/>
              </w:rPr>
            </w:pPr>
            <w:r w:rsidRPr="00D970F7">
              <w:rPr>
                <w:lang w:val="en-GB" w:eastAsia="en-US"/>
              </w:rPr>
              <w:t xml:space="preserve">Year-on-year growth of prices of market </w:t>
            </w:r>
            <w:r w:rsidR="00EA53D8" w:rsidRPr="00D970F7">
              <w:rPr>
                <w:lang w:val="en-GB" w:eastAsia="en-US"/>
              </w:rPr>
              <w:t>s</w:t>
            </w:r>
            <w:r w:rsidRPr="00D970F7">
              <w:rPr>
                <w:lang w:val="en-GB" w:eastAsia="en-US"/>
              </w:rPr>
              <w:t xml:space="preserve">ervices slowed down to 2.1% in Q2. </w:t>
            </w:r>
            <w:r w:rsidR="00EA53D8" w:rsidRPr="00D970F7">
              <w:rPr>
                <w:lang w:val="en-GB" w:eastAsia="en-US"/>
              </w:rPr>
              <w:t>Slowdown</w:t>
            </w:r>
            <w:r w:rsidR="00557954" w:rsidRPr="00D970F7">
              <w:rPr>
                <w:lang w:val="en-GB" w:eastAsia="en-US"/>
              </w:rPr>
              <w:t xml:space="preserve"> of year-on-year dynamics was apparent across all branches. S</w:t>
            </w:r>
            <w:r w:rsidR="00557954" w:rsidRPr="00D970F7">
              <w:rPr>
                <w:lang w:val="en-GB"/>
              </w:rPr>
              <w:t xml:space="preserve">torage and support service activities in transportation contributed the most to total growth of market services </w:t>
            </w:r>
            <w:r w:rsidR="00295E96" w:rsidRPr="00D970F7">
              <w:rPr>
                <w:lang w:val="en-GB" w:eastAsia="en-US"/>
              </w:rPr>
              <w:t>(</w:t>
            </w:r>
            <w:r w:rsidR="00557954" w:rsidRPr="00D970F7">
              <w:rPr>
                <w:lang w:val="en-GB" w:eastAsia="en-US"/>
              </w:rPr>
              <w:t xml:space="preserve">year-on-year addition </w:t>
            </w:r>
            <w:r w:rsidR="00295E96" w:rsidRPr="00D970F7">
              <w:rPr>
                <w:lang w:val="en-GB" w:eastAsia="en-US"/>
              </w:rPr>
              <w:t>5</w:t>
            </w:r>
            <w:r w:rsidR="00557954" w:rsidRPr="00D970F7">
              <w:rPr>
                <w:lang w:val="en-GB" w:eastAsia="en-US"/>
              </w:rPr>
              <w:t>.</w:t>
            </w:r>
            <w:r w:rsidR="00295E96" w:rsidRPr="00D970F7">
              <w:rPr>
                <w:lang w:val="en-GB" w:eastAsia="en-US"/>
              </w:rPr>
              <w:t xml:space="preserve">0%). </w:t>
            </w:r>
            <w:r w:rsidR="00C90570" w:rsidRPr="00D970F7">
              <w:rPr>
                <w:lang w:val="en-GB" w:eastAsia="en-US"/>
              </w:rPr>
              <w:t>Further,</w:t>
            </w:r>
            <w:r w:rsidR="00557954" w:rsidRPr="00D970F7">
              <w:rPr>
                <w:lang w:val="en-GB" w:eastAsia="en-US"/>
              </w:rPr>
              <w:t xml:space="preserve"> it was services in the area of programming, consultancy and related activities </w:t>
            </w:r>
            <w:r w:rsidR="00295E96" w:rsidRPr="00D970F7">
              <w:rPr>
                <w:lang w:val="en-GB" w:eastAsia="en-US"/>
              </w:rPr>
              <w:t>(3</w:t>
            </w:r>
            <w:r w:rsidR="00557954" w:rsidRPr="00D970F7">
              <w:rPr>
                <w:lang w:val="en-GB" w:eastAsia="en-US"/>
              </w:rPr>
              <w:t>.</w:t>
            </w:r>
            <w:r w:rsidR="00295E96" w:rsidRPr="00D970F7">
              <w:rPr>
                <w:lang w:val="en-GB" w:eastAsia="en-US"/>
              </w:rPr>
              <w:t>1%)</w:t>
            </w:r>
            <w:r w:rsidR="00557954" w:rsidRPr="00D970F7">
              <w:rPr>
                <w:lang w:val="en-GB" w:eastAsia="en-US"/>
              </w:rPr>
              <w:t xml:space="preserve"> and real estate services </w:t>
            </w:r>
            <w:r w:rsidR="00295E96" w:rsidRPr="00D970F7">
              <w:rPr>
                <w:lang w:val="en-GB" w:eastAsia="en-US"/>
              </w:rPr>
              <w:t>(2</w:t>
            </w:r>
            <w:r w:rsidR="00557954" w:rsidRPr="00D970F7">
              <w:rPr>
                <w:lang w:val="en-GB" w:eastAsia="en-US"/>
              </w:rPr>
              <w:t>.</w:t>
            </w:r>
            <w:r w:rsidR="00295E96" w:rsidRPr="00D970F7">
              <w:rPr>
                <w:lang w:val="en-GB" w:eastAsia="en-US"/>
              </w:rPr>
              <w:t>9%,</w:t>
            </w:r>
            <w:r w:rsidR="00557954" w:rsidRPr="00D970F7">
              <w:rPr>
                <w:lang w:val="en-GB" w:eastAsia="en-US"/>
              </w:rPr>
              <w:t xml:space="preserve"> one of few branches, where the price growth slightly accelerated</w:t>
            </w:r>
            <w:r w:rsidR="00295E96" w:rsidRPr="00D970F7">
              <w:rPr>
                <w:lang w:val="en-GB" w:eastAsia="en-US"/>
              </w:rPr>
              <w:t xml:space="preserve">). </w:t>
            </w:r>
            <w:r w:rsidR="00FF23BA" w:rsidRPr="00D970F7">
              <w:rPr>
                <w:lang w:val="en-GB" w:eastAsia="en-US"/>
              </w:rPr>
              <w:t xml:space="preserve">Land and pipeline transport </w:t>
            </w:r>
            <w:r w:rsidR="00295E96" w:rsidRPr="00D970F7">
              <w:rPr>
                <w:lang w:val="en-GB" w:eastAsia="en-US"/>
              </w:rPr>
              <w:t>(1</w:t>
            </w:r>
            <w:r w:rsidR="00FF23BA" w:rsidRPr="00D970F7">
              <w:rPr>
                <w:lang w:val="en-GB" w:eastAsia="en-US"/>
              </w:rPr>
              <w:t>.</w:t>
            </w:r>
            <w:r w:rsidR="00295E96" w:rsidRPr="00D970F7">
              <w:rPr>
                <w:lang w:val="en-GB" w:eastAsia="en-US"/>
              </w:rPr>
              <w:t>4%),</w:t>
            </w:r>
            <w:r w:rsidR="00FF23BA" w:rsidRPr="00D970F7">
              <w:rPr>
                <w:lang w:val="en-GB" w:eastAsia="en-US"/>
              </w:rPr>
              <w:t xml:space="preserve"> where mild growth is compensated by the large weight of the branch in the economy, also added to the total dynamics</w:t>
            </w:r>
            <w:r w:rsidR="00295E96" w:rsidRPr="00D970F7">
              <w:rPr>
                <w:lang w:val="en-GB" w:eastAsia="en-US"/>
              </w:rPr>
              <w:t>.</w:t>
            </w:r>
            <w:r w:rsidR="00FF23BA" w:rsidRPr="00D970F7">
              <w:rPr>
                <w:lang w:val="en-GB" w:eastAsia="en-US"/>
              </w:rPr>
              <w:t xml:space="preserve"> Prices of insurance, reinsurance and </w:t>
            </w:r>
            <w:r w:rsidR="00FF23BA" w:rsidRPr="00D970F7">
              <w:rPr>
                <w:lang w:val="en-GB" w:eastAsia="en-US"/>
              </w:rPr>
              <w:lastRenderedPageBreak/>
              <w:t xml:space="preserve">pension funding rose by </w:t>
            </w:r>
            <w:r w:rsidR="00295E96" w:rsidRPr="00D970F7">
              <w:rPr>
                <w:lang w:val="en-GB" w:eastAsia="en-US"/>
              </w:rPr>
              <w:t>3</w:t>
            </w:r>
            <w:r w:rsidR="00FF23BA" w:rsidRPr="00D970F7">
              <w:rPr>
                <w:lang w:val="en-GB" w:eastAsia="en-US"/>
              </w:rPr>
              <w:t>.</w:t>
            </w:r>
            <w:r w:rsidR="00295E96" w:rsidRPr="00D970F7">
              <w:rPr>
                <w:lang w:val="en-GB" w:eastAsia="en-US"/>
              </w:rPr>
              <w:t>1%.</w:t>
            </w:r>
            <w:r w:rsidR="00FF23BA" w:rsidRPr="00D970F7">
              <w:rPr>
                <w:lang w:val="en-GB" w:eastAsia="en-US"/>
              </w:rPr>
              <w:t xml:space="preserve"> </w:t>
            </w:r>
            <w:r w:rsidR="001523D1" w:rsidRPr="00D970F7">
              <w:rPr>
                <w:lang w:val="en-GB" w:eastAsia="en-US"/>
              </w:rPr>
              <w:t xml:space="preserve">Services in the area of employment also increased their influence, strong year-on-year growth lasted </w:t>
            </w:r>
            <w:r w:rsidR="00295E96" w:rsidRPr="00D970F7">
              <w:rPr>
                <w:lang w:val="en-GB" w:eastAsia="en-US"/>
              </w:rPr>
              <w:t>(7</w:t>
            </w:r>
            <w:r w:rsidR="001523D1" w:rsidRPr="00D970F7">
              <w:rPr>
                <w:lang w:val="en-GB" w:eastAsia="en-US"/>
              </w:rPr>
              <w:t>.</w:t>
            </w:r>
            <w:r w:rsidR="00295E96" w:rsidRPr="00D970F7">
              <w:rPr>
                <w:lang w:val="en-GB" w:eastAsia="en-US"/>
              </w:rPr>
              <w:t xml:space="preserve">2%), </w:t>
            </w:r>
            <w:r w:rsidR="001523D1" w:rsidRPr="00D970F7">
              <w:rPr>
                <w:lang w:val="en-GB" w:eastAsia="en-US"/>
              </w:rPr>
              <w:t xml:space="preserve">even though slower compared to the previous quarter. </w:t>
            </w:r>
            <w:r w:rsidR="00EA312A" w:rsidRPr="00D970F7">
              <w:rPr>
                <w:lang w:val="en-GB" w:eastAsia="en-US"/>
              </w:rPr>
              <w:t xml:space="preserve">Growth slowdown of prices of services can be linked for once to the milder growth of wages, which have great effect on the pricing, the downturn of demand is however also connected. </w:t>
            </w:r>
            <w:r w:rsidR="00486CF6" w:rsidRPr="00D970F7">
              <w:rPr>
                <w:lang w:val="en-GB" w:eastAsia="en-US"/>
              </w:rPr>
              <w:t xml:space="preserve">It probably played a role in the substantial reduction of rate of growth of prices of advertising and market research </w:t>
            </w:r>
            <w:r w:rsidR="00295E96" w:rsidRPr="00D970F7">
              <w:rPr>
                <w:lang w:val="en-GB" w:eastAsia="en-US"/>
              </w:rPr>
              <w:t>(0</w:t>
            </w:r>
            <w:r w:rsidR="00486CF6" w:rsidRPr="00D970F7">
              <w:rPr>
                <w:lang w:val="en-GB" w:eastAsia="en-US"/>
              </w:rPr>
              <w:t>.</w:t>
            </w:r>
            <w:r w:rsidR="00295E96" w:rsidRPr="00D970F7">
              <w:rPr>
                <w:lang w:val="en-GB" w:eastAsia="en-US"/>
              </w:rPr>
              <w:t>7%).</w:t>
            </w:r>
          </w:p>
        </w:tc>
      </w:tr>
      <w:tr w:rsidR="00295E96" w:rsidRPr="00D970F7" w14:paraId="12CA7EE8" w14:textId="77777777" w:rsidTr="00CF6F9C">
        <w:trPr>
          <w:trHeight w:val="145"/>
        </w:trPr>
        <w:tc>
          <w:tcPr>
            <w:tcW w:w="1805" w:type="dxa"/>
            <w:hideMark/>
          </w:tcPr>
          <w:p w14:paraId="0D1CFABD" w14:textId="132E336B" w:rsidR="00295E96" w:rsidRPr="00D970F7" w:rsidRDefault="00630346" w:rsidP="00CF6F9C">
            <w:pPr>
              <w:pStyle w:val="Marginlie"/>
              <w:rPr>
                <w:spacing w:val="0"/>
                <w:lang w:val="en-GB" w:eastAsia="en-US"/>
              </w:rPr>
            </w:pPr>
            <w:r w:rsidRPr="00D970F7">
              <w:rPr>
                <w:spacing w:val="0"/>
                <w:lang w:val="en-GB" w:eastAsia="en-US"/>
              </w:rPr>
              <w:lastRenderedPageBreak/>
              <w:t xml:space="preserve">Prices of agricultural production decreased. Both prices of plant and animal production were falling. </w:t>
            </w:r>
          </w:p>
        </w:tc>
        <w:tc>
          <w:tcPr>
            <w:tcW w:w="224" w:type="dxa"/>
          </w:tcPr>
          <w:p w14:paraId="2BCBDC8F" w14:textId="77777777" w:rsidR="00295E96" w:rsidRPr="00D970F7" w:rsidRDefault="00295E96" w:rsidP="00CF6F9C">
            <w:pPr>
              <w:pStyle w:val="Textpoznpodarou1"/>
              <w:jc w:val="both"/>
              <w:rPr>
                <w:lang w:val="en-GB" w:eastAsia="en-US"/>
              </w:rPr>
            </w:pPr>
          </w:p>
        </w:tc>
        <w:tc>
          <w:tcPr>
            <w:tcW w:w="7610" w:type="dxa"/>
            <w:hideMark/>
          </w:tcPr>
          <w:p w14:paraId="46D920C2" w14:textId="4CE96D14" w:rsidR="00295E96" w:rsidRPr="00D970F7" w:rsidRDefault="00391175" w:rsidP="00853FD1">
            <w:pPr>
              <w:rPr>
                <w:spacing w:val="-2"/>
                <w:lang w:val="en-GB" w:eastAsia="en-US"/>
              </w:rPr>
            </w:pPr>
            <w:r w:rsidRPr="00D970F7">
              <w:rPr>
                <w:spacing w:val="-2"/>
                <w:lang w:val="en-GB" w:eastAsia="en-US"/>
              </w:rPr>
              <w:t xml:space="preserve">Prices of </w:t>
            </w:r>
            <w:r w:rsidR="00FF29D8" w:rsidRPr="00D970F7">
              <w:rPr>
                <w:spacing w:val="-2"/>
                <w:lang w:val="en-GB" w:eastAsia="en-US"/>
              </w:rPr>
              <w:t>agricultural</w:t>
            </w:r>
            <w:r w:rsidRPr="00D970F7">
              <w:rPr>
                <w:spacing w:val="-2"/>
                <w:lang w:val="en-GB" w:eastAsia="en-US"/>
              </w:rPr>
              <w:t xml:space="preserve"> output (including fish) fell by 3.2% year-on-year in Q2. Both prices of animal and plant production went down. </w:t>
            </w:r>
            <w:r w:rsidR="00FF29D8" w:rsidRPr="00D970F7">
              <w:rPr>
                <w:spacing w:val="-2"/>
                <w:lang w:val="en-GB" w:eastAsia="en-US"/>
              </w:rPr>
              <w:t xml:space="preserve">Plan production featured moderation of decrease to </w:t>
            </w:r>
            <w:r w:rsidR="00295E96" w:rsidRPr="00D970F7">
              <w:rPr>
                <w:spacing w:val="-2"/>
                <w:lang w:val="en-GB" w:eastAsia="en-US"/>
              </w:rPr>
              <w:t>–5</w:t>
            </w:r>
            <w:r w:rsidR="00FF29D8" w:rsidRPr="00D970F7">
              <w:rPr>
                <w:spacing w:val="-2"/>
                <w:lang w:val="en-GB" w:eastAsia="en-US"/>
              </w:rPr>
              <w:t>.</w:t>
            </w:r>
            <w:r w:rsidR="00295E96" w:rsidRPr="00D970F7">
              <w:rPr>
                <w:spacing w:val="-2"/>
                <w:lang w:val="en-GB" w:eastAsia="en-US"/>
              </w:rPr>
              <w:t xml:space="preserve">6%. </w:t>
            </w:r>
            <w:r w:rsidR="00FF29D8" w:rsidRPr="00D970F7">
              <w:rPr>
                <w:spacing w:val="-2"/>
                <w:lang w:val="en-GB" w:eastAsia="en-US"/>
              </w:rPr>
              <w:t xml:space="preserve">Decrease continued for prices of cereals </w:t>
            </w:r>
            <w:r w:rsidR="00295E96" w:rsidRPr="00D970F7">
              <w:rPr>
                <w:spacing w:val="-2"/>
                <w:lang w:val="en-GB" w:eastAsia="en-US"/>
              </w:rPr>
              <w:t>(–7</w:t>
            </w:r>
            <w:r w:rsidR="00FF29D8" w:rsidRPr="00D970F7">
              <w:rPr>
                <w:spacing w:val="-2"/>
                <w:lang w:val="en-GB" w:eastAsia="en-US"/>
              </w:rPr>
              <w:t>.</w:t>
            </w:r>
            <w:r w:rsidR="00295E96" w:rsidRPr="00D970F7">
              <w:rPr>
                <w:spacing w:val="-2"/>
                <w:lang w:val="en-GB" w:eastAsia="en-US"/>
              </w:rPr>
              <w:t xml:space="preserve">5%), </w:t>
            </w:r>
            <w:r w:rsidR="00FF29D8" w:rsidRPr="00D970F7">
              <w:rPr>
                <w:spacing w:val="-2"/>
                <w:lang w:val="en-GB" w:eastAsia="en-US"/>
              </w:rPr>
              <w:t xml:space="preserve">mainly weight significant wheat </w:t>
            </w:r>
            <w:r w:rsidR="00295E96" w:rsidRPr="00D970F7">
              <w:rPr>
                <w:spacing w:val="-2"/>
                <w:lang w:val="en-GB" w:eastAsia="en-US"/>
              </w:rPr>
              <w:t>(–7</w:t>
            </w:r>
            <w:r w:rsidR="00FF29D8" w:rsidRPr="00D970F7">
              <w:rPr>
                <w:spacing w:val="-2"/>
                <w:lang w:val="en-GB" w:eastAsia="en-US"/>
              </w:rPr>
              <w:t>.</w:t>
            </w:r>
            <w:r w:rsidR="00295E96" w:rsidRPr="00D970F7">
              <w:rPr>
                <w:spacing w:val="-2"/>
                <w:lang w:val="en-GB" w:eastAsia="en-US"/>
              </w:rPr>
              <w:t xml:space="preserve">3%). </w:t>
            </w:r>
            <w:r w:rsidR="00FF29D8" w:rsidRPr="00D970F7">
              <w:rPr>
                <w:spacing w:val="-2"/>
                <w:lang w:val="en-GB" w:eastAsia="en-US"/>
              </w:rPr>
              <w:t xml:space="preserve">Prices of other cereals were however also falling </w:t>
            </w:r>
            <w:r w:rsidR="00295E96" w:rsidRPr="00D970F7">
              <w:rPr>
                <w:spacing w:val="-2"/>
                <w:lang w:val="en-GB" w:eastAsia="en-US"/>
              </w:rPr>
              <w:t>(</w:t>
            </w:r>
            <w:r w:rsidR="00FF29D8" w:rsidRPr="00D970F7">
              <w:rPr>
                <w:spacing w:val="-2"/>
                <w:lang w:val="en-GB" w:eastAsia="en-US"/>
              </w:rPr>
              <w:t>rye</w:t>
            </w:r>
            <w:r w:rsidR="00295E96" w:rsidRPr="00D970F7">
              <w:rPr>
                <w:spacing w:val="-2"/>
                <w:lang w:val="en-GB" w:eastAsia="en-US"/>
              </w:rPr>
              <w:t xml:space="preserve"> –11</w:t>
            </w:r>
            <w:r w:rsidR="00FF29D8" w:rsidRPr="00D970F7">
              <w:rPr>
                <w:spacing w:val="-2"/>
                <w:lang w:val="en-GB" w:eastAsia="en-US"/>
              </w:rPr>
              <w:t>.</w:t>
            </w:r>
            <w:r w:rsidR="00295E96" w:rsidRPr="00D970F7">
              <w:rPr>
                <w:spacing w:val="-2"/>
                <w:lang w:val="en-GB" w:eastAsia="en-US"/>
              </w:rPr>
              <w:t xml:space="preserve">4%, </w:t>
            </w:r>
            <w:r w:rsidR="00FF29D8" w:rsidRPr="00D970F7">
              <w:rPr>
                <w:spacing w:val="-2"/>
                <w:lang w:val="en-GB" w:eastAsia="en-US"/>
              </w:rPr>
              <w:t xml:space="preserve">barley </w:t>
            </w:r>
            <w:r w:rsidR="00295E96" w:rsidRPr="00D970F7">
              <w:rPr>
                <w:spacing w:val="-2"/>
                <w:lang w:val="en-GB" w:eastAsia="en-US"/>
              </w:rPr>
              <w:t>–8</w:t>
            </w:r>
            <w:r w:rsidR="00FF29D8" w:rsidRPr="00D970F7">
              <w:rPr>
                <w:spacing w:val="-2"/>
                <w:lang w:val="en-GB" w:eastAsia="en-US"/>
              </w:rPr>
              <w:t>.</w:t>
            </w:r>
            <w:r w:rsidR="00295E96" w:rsidRPr="00D970F7">
              <w:rPr>
                <w:spacing w:val="-2"/>
                <w:lang w:val="en-GB" w:eastAsia="en-US"/>
              </w:rPr>
              <w:t xml:space="preserve">4%). </w:t>
            </w:r>
            <w:r w:rsidR="002751B5" w:rsidRPr="00D970F7">
              <w:rPr>
                <w:spacing w:val="-2"/>
                <w:lang w:val="en-GB" w:eastAsia="en-US"/>
              </w:rPr>
              <w:t xml:space="preserve">Reason can be seen mainly in the high comparative basis of the last year. Prices of industrial crop decreased by </w:t>
            </w:r>
            <w:r w:rsidR="00295E96" w:rsidRPr="00D970F7">
              <w:rPr>
                <w:spacing w:val="-2"/>
                <w:lang w:val="en-GB" w:eastAsia="en-US"/>
              </w:rPr>
              <w:t>2</w:t>
            </w:r>
            <w:r w:rsidR="002751B5" w:rsidRPr="00D970F7">
              <w:rPr>
                <w:spacing w:val="-2"/>
                <w:lang w:val="en-GB" w:eastAsia="en-US"/>
              </w:rPr>
              <w:t>.</w:t>
            </w:r>
            <w:r w:rsidR="00295E96" w:rsidRPr="00D970F7">
              <w:rPr>
                <w:spacing w:val="-2"/>
                <w:lang w:val="en-GB" w:eastAsia="en-US"/>
              </w:rPr>
              <w:t xml:space="preserve">6%, </w:t>
            </w:r>
            <w:r w:rsidR="002751B5" w:rsidRPr="00D970F7">
              <w:rPr>
                <w:spacing w:val="-2"/>
                <w:lang w:val="en-GB" w:eastAsia="en-US"/>
              </w:rPr>
              <w:t xml:space="preserve">mostly under the influence of oil plants </w:t>
            </w:r>
            <w:r w:rsidR="00295E96" w:rsidRPr="00D970F7">
              <w:rPr>
                <w:spacing w:val="-2"/>
                <w:lang w:val="en-GB" w:eastAsia="en-US"/>
              </w:rPr>
              <w:t>(</w:t>
            </w:r>
            <w:r w:rsidR="00853FD1">
              <w:rPr>
                <w:spacing w:val="-2"/>
                <w:lang w:val="en-GB" w:eastAsia="en-US"/>
              </w:rPr>
              <w:noBreakHyphen/>
            </w:r>
            <w:r w:rsidR="00295E96" w:rsidRPr="00D970F7">
              <w:rPr>
                <w:spacing w:val="-2"/>
                <w:lang w:val="en-GB" w:eastAsia="en-US"/>
              </w:rPr>
              <w:t>2</w:t>
            </w:r>
            <w:r w:rsidR="002751B5" w:rsidRPr="00D970F7">
              <w:rPr>
                <w:spacing w:val="-2"/>
                <w:lang w:val="en-GB" w:eastAsia="en-US"/>
              </w:rPr>
              <w:t>.</w:t>
            </w:r>
            <w:r w:rsidR="00295E96" w:rsidRPr="00D970F7">
              <w:rPr>
                <w:spacing w:val="-2"/>
                <w:lang w:val="en-GB" w:eastAsia="en-US"/>
              </w:rPr>
              <w:t>7%),</w:t>
            </w:r>
            <w:r w:rsidR="002751B5" w:rsidRPr="00D970F7">
              <w:rPr>
                <w:spacing w:val="-2"/>
                <w:lang w:val="en-GB" w:eastAsia="en-US"/>
              </w:rPr>
              <w:t xml:space="preserve"> where nevertheless the development of prices of oilseed rape seeds </w:t>
            </w:r>
            <w:r w:rsidR="00295E96" w:rsidRPr="00D970F7">
              <w:rPr>
                <w:spacing w:val="-2"/>
                <w:lang w:val="en-GB" w:eastAsia="en-US"/>
              </w:rPr>
              <w:t>(</w:t>
            </w:r>
            <w:r w:rsidR="002751B5" w:rsidRPr="00D970F7">
              <w:rPr>
                <w:spacing w:val="-2"/>
                <w:lang w:val="en-GB" w:eastAsia="en-US"/>
              </w:rPr>
              <w:t xml:space="preserve">growth by </w:t>
            </w:r>
            <w:r w:rsidR="00295E96" w:rsidRPr="00D970F7">
              <w:rPr>
                <w:spacing w:val="-2"/>
                <w:lang w:val="en-GB" w:eastAsia="en-US"/>
              </w:rPr>
              <w:t>5</w:t>
            </w:r>
            <w:r w:rsidR="002751B5" w:rsidRPr="00D970F7">
              <w:rPr>
                <w:spacing w:val="-2"/>
                <w:lang w:val="en-GB" w:eastAsia="en-US"/>
              </w:rPr>
              <w:t>.</w:t>
            </w:r>
            <w:r w:rsidR="00295E96" w:rsidRPr="00D970F7">
              <w:rPr>
                <w:spacing w:val="-2"/>
                <w:lang w:val="en-GB" w:eastAsia="en-US"/>
              </w:rPr>
              <w:t>7%) a</w:t>
            </w:r>
            <w:r w:rsidR="002751B5" w:rsidRPr="00D970F7">
              <w:rPr>
                <w:spacing w:val="-2"/>
                <w:lang w:val="en-GB" w:eastAsia="en-US"/>
              </w:rPr>
              <w:t xml:space="preserve">nd poppy seeds </w:t>
            </w:r>
            <w:r w:rsidR="00295E96" w:rsidRPr="00D970F7">
              <w:rPr>
                <w:spacing w:val="-2"/>
                <w:lang w:val="en-GB" w:eastAsia="en-US"/>
              </w:rPr>
              <w:t>(</w:t>
            </w:r>
            <w:r w:rsidR="002751B5" w:rsidRPr="00D970F7">
              <w:rPr>
                <w:spacing w:val="-2"/>
                <w:lang w:val="en-GB" w:eastAsia="en-US"/>
              </w:rPr>
              <w:t xml:space="preserve">decrease by </w:t>
            </w:r>
            <w:r w:rsidR="00295E96" w:rsidRPr="00D970F7">
              <w:rPr>
                <w:spacing w:val="-2"/>
                <w:lang w:val="en-GB" w:eastAsia="en-US"/>
              </w:rPr>
              <w:t>34</w:t>
            </w:r>
            <w:r w:rsidR="002751B5" w:rsidRPr="00D970F7">
              <w:rPr>
                <w:spacing w:val="-2"/>
                <w:lang w:val="en-GB" w:eastAsia="en-US"/>
              </w:rPr>
              <w:t>.</w:t>
            </w:r>
            <w:r w:rsidR="00295E96" w:rsidRPr="00D970F7">
              <w:rPr>
                <w:spacing w:val="-2"/>
                <w:lang w:val="en-GB" w:eastAsia="en-US"/>
              </w:rPr>
              <w:t>2%)</w:t>
            </w:r>
            <w:r w:rsidR="002751B5" w:rsidRPr="00D970F7">
              <w:rPr>
                <w:spacing w:val="-2"/>
                <w:lang w:val="en-GB" w:eastAsia="en-US"/>
              </w:rPr>
              <w:t xml:space="preserve"> diverged</w:t>
            </w:r>
            <w:r w:rsidR="00295E96" w:rsidRPr="00D970F7">
              <w:rPr>
                <w:spacing w:val="-2"/>
                <w:lang w:val="en-GB" w:eastAsia="en-US"/>
              </w:rPr>
              <w:t xml:space="preserve">. </w:t>
            </w:r>
            <w:r w:rsidR="0035716C" w:rsidRPr="00D970F7">
              <w:rPr>
                <w:spacing w:val="-2"/>
                <w:lang w:val="en-GB" w:eastAsia="en-US"/>
              </w:rPr>
              <w:t xml:space="preserve">Prices of potatoes also dived </w:t>
            </w:r>
            <w:r w:rsidR="00295E96" w:rsidRPr="00D970F7">
              <w:rPr>
                <w:spacing w:val="-2"/>
                <w:lang w:val="en-GB" w:eastAsia="en-US"/>
              </w:rPr>
              <w:t>(</w:t>
            </w:r>
            <w:r w:rsidR="00853FD1">
              <w:rPr>
                <w:spacing w:val="-2"/>
                <w:lang w:val="en-GB" w:eastAsia="en-US"/>
              </w:rPr>
              <w:noBreakHyphen/>
            </w:r>
            <w:r w:rsidR="00295E96" w:rsidRPr="00D970F7">
              <w:rPr>
                <w:spacing w:val="-2"/>
                <w:lang w:val="en-GB" w:eastAsia="en-US"/>
              </w:rPr>
              <w:t>19</w:t>
            </w:r>
            <w:r w:rsidR="0035716C" w:rsidRPr="00D970F7">
              <w:rPr>
                <w:spacing w:val="-2"/>
                <w:lang w:val="en-GB" w:eastAsia="en-US"/>
              </w:rPr>
              <w:t>.</w:t>
            </w:r>
            <w:r w:rsidR="00295E96" w:rsidRPr="00D970F7">
              <w:rPr>
                <w:spacing w:val="-2"/>
                <w:lang w:val="en-GB" w:eastAsia="en-US"/>
              </w:rPr>
              <w:t>3%),</w:t>
            </w:r>
            <w:r w:rsidR="0035716C" w:rsidRPr="00D970F7">
              <w:rPr>
                <w:spacing w:val="-2"/>
                <w:lang w:val="en-GB" w:eastAsia="en-US"/>
              </w:rPr>
              <w:t xml:space="preserve"> but due to the sharp increase in the past year </w:t>
            </w:r>
            <w:r w:rsidR="00295E96" w:rsidRPr="00D970F7">
              <w:rPr>
                <w:spacing w:val="-2"/>
                <w:lang w:val="en-GB" w:eastAsia="en-US"/>
              </w:rPr>
              <w:t>(74</w:t>
            </w:r>
            <w:r w:rsidR="0035716C" w:rsidRPr="00D970F7">
              <w:rPr>
                <w:spacing w:val="-2"/>
                <w:lang w:val="en-GB" w:eastAsia="en-US"/>
              </w:rPr>
              <w:t>.</w:t>
            </w:r>
            <w:r w:rsidR="00295E96" w:rsidRPr="00D970F7">
              <w:rPr>
                <w:spacing w:val="-2"/>
                <w:lang w:val="en-GB" w:eastAsia="en-US"/>
              </w:rPr>
              <w:t>7%</w:t>
            </w:r>
            <w:r w:rsidR="0035716C" w:rsidRPr="00D970F7">
              <w:rPr>
                <w:spacing w:val="-2"/>
                <w:lang w:val="en-GB" w:eastAsia="en-US"/>
              </w:rPr>
              <w:t xml:space="preserve"> in Q</w:t>
            </w:r>
            <w:r w:rsidR="00295E96" w:rsidRPr="00D970F7">
              <w:rPr>
                <w:spacing w:val="-2"/>
                <w:lang w:val="en-GB" w:eastAsia="en-US"/>
              </w:rPr>
              <w:t>2</w:t>
            </w:r>
            <w:r w:rsidR="0035716C" w:rsidRPr="00D970F7">
              <w:rPr>
                <w:spacing w:val="-2"/>
                <w:lang w:val="en-GB" w:eastAsia="en-US"/>
              </w:rPr>
              <w:t xml:space="preserve"> </w:t>
            </w:r>
            <w:r w:rsidR="00295E96" w:rsidRPr="00D970F7">
              <w:rPr>
                <w:spacing w:val="-2"/>
                <w:lang w:val="en-GB" w:eastAsia="en-US"/>
              </w:rPr>
              <w:t>2019)</w:t>
            </w:r>
            <w:r w:rsidR="0035716C" w:rsidRPr="00D970F7">
              <w:rPr>
                <w:spacing w:val="-2"/>
                <w:lang w:val="en-GB" w:eastAsia="en-US"/>
              </w:rPr>
              <w:t xml:space="preserve"> their </w:t>
            </w:r>
            <w:r w:rsidR="00853FD1" w:rsidRPr="00D970F7">
              <w:rPr>
                <w:spacing w:val="-2"/>
                <w:lang w:val="en-GB" w:eastAsia="en-US"/>
              </w:rPr>
              <w:t>prices</w:t>
            </w:r>
            <w:r w:rsidR="0035716C" w:rsidRPr="00D970F7">
              <w:rPr>
                <w:spacing w:val="-2"/>
                <w:lang w:val="en-GB" w:eastAsia="en-US"/>
              </w:rPr>
              <w:t xml:space="preserve"> remain at high level </w:t>
            </w:r>
            <w:r w:rsidR="00295E96" w:rsidRPr="00D970F7">
              <w:rPr>
                <w:spacing w:val="-2"/>
                <w:lang w:val="en-GB" w:eastAsia="en-US"/>
              </w:rPr>
              <w:t>(30</w:t>
            </w:r>
            <w:r w:rsidR="0035716C" w:rsidRPr="00D970F7">
              <w:rPr>
                <w:spacing w:val="-2"/>
                <w:lang w:val="en-GB" w:eastAsia="en-US"/>
              </w:rPr>
              <w:t>.</w:t>
            </w:r>
            <w:r w:rsidR="00295E96" w:rsidRPr="00D970F7">
              <w:rPr>
                <w:spacing w:val="-2"/>
                <w:lang w:val="en-GB" w:eastAsia="en-US"/>
              </w:rPr>
              <w:t>4%</w:t>
            </w:r>
            <w:r w:rsidR="0035716C" w:rsidRPr="00D970F7">
              <w:rPr>
                <w:spacing w:val="-2"/>
                <w:lang w:val="en-GB" w:eastAsia="en-US"/>
              </w:rPr>
              <w:t xml:space="preserve"> above the average of year </w:t>
            </w:r>
            <w:r w:rsidR="00295E96" w:rsidRPr="00D970F7">
              <w:rPr>
                <w:spacing w:val="-2"/>
                <w:lang w:val="en-GB" w:eastAsia="en-US"/>
              </w:rPr>
              <w:t xml:space="preserve">2015). </w:t>
            </w:r>
            <w:r w:rsidR="00AA7046" w:rsidRPr="00D970F7">
              <w:rPr>
                <w:spacing w:val="-2"/>
                <w:lang w:val="en-GB" w:eastAsia="en-US"/>
              </w:rPr>
              <w:t>Price</w:t>
            </w:r>
            <w:r w:rsidR="00F11574" w:rsidRPr="00D970F7">
              <w:rPr>
                <w:spacing w:val="-2"/>
                <w:lang w:val="en-GB" w:eastAsia="en-US"/>
              </w:rPr>
              <w:t>s</w:t>
            </w:r>
            <w:r w:rsidR="00AA7046" w:rsidRPr="00D970F7">
              <w:rPr>
                <w:spacing w:val="-2"/>
                <w:lang w:val="en-GB" w:eastAsia="en-US"/>
              </w:rPr>
              <w:t xml:space="preserve"> of fruit also hiked up year-on-year </w:t>
            </w:r>
            <w:r w:rsidR="00295E96" w:rsidRPr="00D970F7">
              <w:rPr>
                <w:spacing w:val="-2"/>
                <w:lang w:val="en-GB" w:eastAsia="en-US"/>
              </w:rPr>
              <w:t>(38</w:t>
            </w:r>
            <w:r w:rsidR="00AA7046" w:rsidRPr="00D970F7">
              <w:rPr>
                <w:spacing w:val="-2"/>
                <w:lang w:val="en-GB" w:eastAsia="en-US"/>
              </w:rPr>
              <w:t>.</w:t>
            </w:r>
            <w:r w:rsidR="00295E96" w:rsidRPr="00D970F7">
              <w:rPr>
                <w:spacing w:val="-2"/>
                <w:lang w:val="en-GB" w:eastAsia="en-US"/>
              </w:rPr>
              <w:t>7%),</w:t>
            </w:r>
            <w:r w:rsidR="00AA7046" w:rsidRPr="00D970F7">
              <w:rPr>
                <w:spacing w:val="-2"/>
                <w:lang w:val="en-GB" w:eastAsia="en-US"/>
              </w:rPr>
              <w:t xml:space="preserve"> especially apples </w:t>
            </w:r>
            <w:r w:rsidR="00295E96" w:rsidRPr="00D970F7">
              <w:rPr>
                <w:spacing w:val="-2"/>
                <w:lang w:val="en-GB" w:eastAsia="en-US"/>
              </w:rPr>
              <w:t>(79</w:t>
            </w:r>
            <w:r w:rsidR="00AA7046" w:rsidRPr="00D970F7">
              <w:rPr>
                <w:spacing w:val="-2"/>
                <w:lang w:val="en-GB" w:eastAsia="en-US"/>
              </w:rPr>
              <w:t>.</w:t>
            </w:r>
            <w:r w:rsidR="00295E96" w:rsidRPr="00D970F7">
              <w:rPr>
                <w:spacing w:val="-2"/>
                <w:lang w:val="en-GB" w:eastAsia="en-US"/>
              </w:rPr>
              <w:t>7%).</w:t>
            </w:r>
            <w:r w:rsidR="00AA7046" w:rsidRPr="00D970F7">
              <w:rPr>
                <w:spacing w:val="-2"/>
                <w:lang w:val="en-GB" w:eastAsia="en-US"/>
              </w:rPr>
              <w:t xml:space="preserve"> Prices of animal production fell by </w:t>
            </w:r>
            <w:r w:rsidR="00295E96" w:rsidRPr="00D970F7">
              <w:rPr>
                <w:spacing w:val="-2"/>
                <w:lang w:val="en-GB" w:eastAsia="en-US"/>
              </w:rPr>
              <w:t>0</w:t>
            </w:r>
            <w:r w:rsidR="00AA7046" w:rsidRPr="00D970F7">
              <w:rPr>
                <w:spacing w:val="-2"/>
                <w:lang w:val="en-GB" w:eastAsia="en-US"/>
              </w:rPr>
              <w:t>.</w:t>
            </w:r>
            <w:r w:rsidR="00295E96" w:rsidRPr="00D970F7">
              <w:rPr>
                <w:spacing w:val="-2"/>
                <w:lang w:val="en-GB" w:eastAsia="en-US"/>
              </w:rPr>
              <w:t>6%.</w:t>
            </w:r>
            <w:r w:rsidR="00AA7046" w:rsidRPr="00D970F7">
              <w:rPr>
                <w:spacing w:val="-2"/>
                <w:lang w:val="en-GB" w:eastAsia="en-US"/>
              </w:rPr>
              <w:t xml:space="preserve"> </w:t>
            </w:r>
            <w:r w:rsidR="00D93D3C" w:rsidRPr="00D970F7">
              <w:rPr>
                <w:spacing w:val="-2"/>
                <w:lang w:val="en-GB" w:eastAsia="en-US"/>
              </w:rPr>
              <w:t xml:space="preserve">The growth of prices </w:t>
            </w:r>
            <w:r w:rsidR="00F11574" w:rsidRPr="00D970F7">
              <w:rPr>
                <w:spacing w:val="-2"/>
                <w:lang w:val="en-GB" w:eastAsia="en-US"/>
              </w:rPr>
              <w:t xml:space="preserve">of </w:t>
            </w:r>
            <w:r w:rsidR="00D93D3C" w:rsidRPr="00D970F7">
              <w:rPr>
                <w:spacing w:val="-2"/>
                <w:lang w:val="en-GB" w:eastAsia="en-US"/>
              </w:rPr>
              <w:t xml:space="preserve">farm animals, especially pigs and piglets considerably moderated </w:t>
            </w:r>
            <w:r w:rsidR="00295E96" w:rsidRPr="00D970F7">
              <w:rPr>
                <w:spacing w:val="-2"/>
                <w:lang w:val="en-GB" w:eastAsia="en-US"/>
              </w:rPr>
              <w:t>(11</w:t>
            </w:r>
            <w:r w:rsidR="00D93D3C" w:rsidRPr="00D970F7">
              <w:rPr>
                <w:spacing w:val="-2"/>
                <w:lang w:val="en-GB" w:eastAsia="en-US"/>
              </w:rPr>
              <w:t>.</w:t>
            </w:r>
            <w:r w:rsidR="00295E96" w:rsidRPr="00D970F7">
              <w:rPr>
                <w:spacing w:val="-2"/>
                <w:lang w:val="en-GB" w:eastAsia="en-US"/>
              </w:rPr>
              <w:t>2%).</w:t>
            </w:r>
            <w:r w:rsidR="00D93D3C" w:rsidRPr="00D970F7">
              <w:rPr>
                <w:spacing w:val="-2"/>
                <w:lang w:val="en-GB" w:eastAsia="en-US"/>
              </w:rPr>
              <w:t xml:space="preserve"> In case of other farm animals, the prices were falling </w:t>
            </w:r>
            <w:r w:rsidR="00295E96" w:rsidRPr="00D970F7">
              <w:rPr>
                <w:spacing w:val="-2"/>
                <w:lang w:val="en-GB" w:eastAsia="en-US"/>
              </w:rPr>
              <w:t>(</w:t>
            </w:r>
            <w:r w:rsidR="00D93D3C" w:rsidRPr="00D970F7">
              <w:rPr>
                <w:spacing w:val="-2"/>
                <w:lang w:val="en-GB" w:eastAsia="en-US"/>
              </w:rPr>
              <w:t>beef cattle</w:t>
            </w:r>
            <w:r w:rsidR="00295E96" w:rsidRPr="00D970F7">
              <w:rPr>
                <w:spacing w:val="-2"/>
                <w:lang w:val="en-GB" w:eastAsia="en-US"/>
              </w:rPr>
              <w:t xml:space="preserve"> </w:t>
            </w:r>
            <w:r w:rsidR="00853FD1">
              <w:rPr>
                <w:spacing w:val="-2"/>
                <w:lang w:val="en-GB" w:eastAsia="en-US"/>
              </w:rPr>
              <w:noBreakHyphen/>
            </w:r>
            <w:r w:rsidR="00295E96" w:rsidRPr="00D970F7">
              <w:rPr>
                <w:spacing w:val="-2"/>
                <w:lang w:val="en-GB" w:eastAsia="en-US"/>
              </w:rPr>
              <w:t>5</w:t>
            </w:r>
            <w:r w:rsidR="00D93D3C" w:rsidRPr="00D970F7">
              <w:rPr>
                <w:spacing w:val="-2"/>
                <w:lang w:val="en-GB" w:eastAsia="en-US"/>
              </w:rPr>
              <w:t>.</w:t>
            </w:r>
            <w:r w:rsidR="00295E96" w:rsidRPr="00D970F7">
              <w:rPr>
                <w:spacing w:val="-2"/>
                <w:lang w:val="en-GB" w:eastAsia="en-US"/>
              </w:rPr>
              <w:t xml:space="preserve">9%, </w:t>
            </w:r>
            <w:r w:rsidR="00D93D3C" w:rsidRPr="00D970F7">
              <w:rPr>
                <w:spacing w:val="-2"/>
                <w:lang w:val="en-GB" w:eastAsia="en-US"/>
              </w:rPr>
              <w:t>poultry</w:t>
            </w:r>
            <w:r w:rsidR="00295E96" w:rsidRPr="00D970F7">
              <w:rPr>
                <w:spacing w:val="-2"/>
                <w:lang w:val="en-GB" w:eastAsia="en-US"/>
              </w:rPr>
              <w:t xml:space="preserve"> –1</w:t>
            </w:r>
            <w:r w:rsidR="00D93D3C" w:rsidRPr="00D970F7">
              <w:rPr>
                <w:spacing w:val="-2"/>
                <w:lang w:val="en-GB" w:eastAsia="en-US"/>
              </w:rPr>
              <w:t>.</w:t>
            </w:r>
            <w:r w:rsidR="00295E96" w:rsidRPr="00D970F7">
              <w:rPr>
                <w:spacing w:val="-2"/>
                <w:lang w:val="en-GB" w:eastAsia="en-US"/>
              </w:rPr>
              <w:t>5%).</w:t>
            </w:r>
            <w:r w:rsidR="00D93D3C" w:rsidRPr="00D970F7">
              <w:rPr>
                <w:spacing w:val="-2"/>
                <w:lang w:val="en-GB" w:eastAsia="en-US"/>
              </w:rPr>
              <w:t xml:space="preserve"> Price of milk were decreasing </w:t>
            </w:r>
            <w:r w:rsidR="00295E96" w:rsidRPr="00D970F7">
              <w:rPr>
                <w:spacing w:val="-2"/>
                <w:lang w:val="en-GB" w:eastAsia="en-US"/>
              </w:rPr>
              <w:t>(–3</w:t>
            </w:r>
            <w:r w:rsidR="00D93D3C" w:rsidRPr="00D970F7">
              <w:rPr>
                <w:spacing w:val="-2"/>
                <w:lang w:val="en-GB" w:eastAsia="en-US"/>
              </w:rPr>
              <w:t>.</w:t>
            </w:r>
            <w:r w:rsidR="00295E96" w:rsidRPr="00D970F7">
              <w:rPr>
                <w:spacing w:val="-2"/>
                <w:lang w:val="en-GB" w:eastAsia="en-US"/>
              </w:rPr>
              <w:t xml:space="preserve">8%) </w:t>
            </w:r>
            <w:r w:rsidR="00D93D3C" w:rsidRPr="00D970F7">
              <w:rPr>
                <w:spacing w:val="-2"/>
                <w:lang w:val="en-GB" w:eastAsia="en-US"/>
              </w:rPr>
              <w:t xml:space="preserve">and on the contrary prices of eggs went up </w:t>
            </w:r>
            <w:r w:rsidR="00295E96" w:rsidRPr="00D970F7">
              <w:rPr>
                <w:spacing w:val="-2"/>
                <w:lang w:val="en-GB" w:eastAsia="en-US"/>
              </w:rPr>
              <w:t>(4</w:t>
            </w:r>
            <w:r w:rsidR="00D93D3C" w:rsidRPr="00D970F7">
              <w:rPr>
                <w:spacing w:val="-2"/>
                <w:lang w:val="en-GB" w:eastAsia="en-US"/>
              </w:rPr>
              <w:t>.</w:t>
            </w:r>
            <w:r w:rsidR="00295E96" w:rsidRPr="00D970F7">
              <w:rPr>
                <w:spacing w:val="-2"/>
                <w:lang w:val="en-GB" w:eastAsia="en-US"/>
              </w:rPr>
              <w:t>9%).</w:t>
            </w:r>
          </w:p>
        </w:tc>
      </w:tr>
      <w:tr w:rsidR="00295E96" w:rsidRPr="00D970F7" w14:paraId="1E549C85" w14:textId="77777777" w:rsidTr="00CF6F9C">
        <w:trPr>
          <w:trHeight w:val="145"/>
        </w:trPr>
        <w:tc>
          <w:tcPr>
            <w:tcW w:w="1805" w:type="dxa"/>
            <w:hideMark/>
          </w:tcPr>
          <w:p w14:paraId="7D73483E" w14:textId="478DC34A" w:rsidR="00295E96" w:rsidRPr="00D970F7" w:rsidRDefault="00630346" w:rsidP="00CF6F9C">
            <w:pPr>
              <w:pStyle w:val="Marginlie"/>
              <w:rPr>
                <w:spacing w:val="0"/>
                <w:lang w:val="en-GB" w:eastAsia="en-US"/>
              </w:rPr>
            </w:pPr>
            <w:r w:rsidRPr="00D970F7">
              <w:rPr>
                <w:spacing w:val="0"/>
                <w:lang w:val="en-GB" w:eastAsia="en-US"/>
              </w:rPr>
              <w:t xml:space="preserve">Koruna depreciation against both euro and dollar also pushed up the prices of both import and export. </w:t>
            </w:r>
          </w:p>
        </w:tc>
        <w:tc>
          <w:tcPr>
            <w:tcW w:w="224" w:type="dxa"/>
          </w:tcPr>
          <w:p w14:paraId="4AA77B0B" w14:textId="77777777" w:rsidR="00295E96" w:rsidRPr="00D970F7" w:rsidRDefault="00295E96" w:rsidP="00CF6F9C">
            <w:pPr>
              <w:pStyle w:val="Textpoznpodarou1"/>
              <w:jc w:val="both"/>
              <w:rPr>
                <w:lang w:val="en-GB" w:eastAsia="en-US"/>
              </w:rPr>
            </w:pPr>
          </w:p>
        </w:tc>
        <w:tc>
          <w:tcPr>
            <w:tcW w:w="7610" w:type="dxa"/>
            <w:hideMark/>
          </w:tcPr>
          <w:p w14:paraId="16282D0A" w14:textId="2F92065A" w:rsidR="00295E96" w:rsidRPr="00D970F7" w:rsidRDefault="00EA312A" w:rsidP="00CF6F9C">
            <w:pPr>
              <w:rPr>
                <w:lang w:val="en-GB" w:eastAsia="en-US"/>
              </w:rPr>
            </w:pPr>
            <w:r w:rsidRPr="00D970F7">
              <w:rPr>
                <w:lang w:val="en-GB" w:eastAsia="en-US"/>
              </w:rPr>
              <w:t xml:space="preserve">Export prices went up by </w:t>
            </w:r>
            <w:r w:rsidR="00295E96" w:rsidRPr="00D970F7">
              <w:rPr>
                <w:lang w:val="en-GB" w:eastAsia="en-US"/>
              </w:rPr>
              <w:t>2</w:t>
            </w:r>
            <w:r w:rsidRPr="00D970F7">
              <w:rPr>
                <w:lang w:val="en-GB" w:eastAsia="en-US"/>
              </w:rPr>
              <w:t>.</w:t>
            </w:r>
            <w:r w:rsidR="00295E96" w:rsidRPr="00D970F7">
              <w:rPr>
                <w:lang w:val="en-GB" w:eastAsia="en-US"/>
              </w:rPr>
              <w:t>6%</w:t>
            </w:r>
            <w:r w:rsidRPr="00D970F7">
              <w:rPr>
                <w:lang w:val="en-GB" w:eastAsia="en-US"/>
              </w:rPr>
              <w:t xml:space="preserve"> year-on-year in Q2</w:t>
            </w:r>
            <w:r w:rsidR="00295E96" w:rsidRPr="00D970F7">
              <w:rPr>
                <w:lang w:val="en-GB" w:eastAsia="en-US"/>
              </w:rPr>
              <w:t xml:space="preserve">. </w:t>
            </w:r>
            <w:r w:rsidR="00493D59" w:rsidRPr="00D970F7">
              <w:rPr>
                <w:lang w:val="en-GB" w:eastAsia="en-US"/>
              </w:rPr>
              <w:t xml:space="preserve">Following two quarters of year-on-year decreases, the dynamics was again positive. </w:t>
            </w:r>
            <w:r w:rsidR="00A1092E" w:rsidRPr="00D970F7">
              <w:rPr>
                <w:lang w:val="en-GB" w:eastAsia="en-US"/>
              </w:rPr>
              <w:t xml:space="preserve">It was a consequence mainly of sharp depreciation of the koruna exchange rate toward both euro and dollar. The influence of weakening played a key role, since after adjustment for exchange rate effects, the prices of export would fall year-on-year by </w:t>
            </w:r>
            <w:r w:rsidR="00295E96" w:rsidRPr="00D970F7">
              <w:rPr>
                <w:lang w:val="en-GB" w:eastAsia="en-US"/>
              </w:rPr>
              <w:t>1</w:t>
            </w:r>
            <w:r w:rsidR="00A1092E" w:rsidRPr="00D970F7">
              <w:rPr>
                <w:lang w:val="en-GB" w:eastAsia="en-US"/>
              </w:rPr>
              <w:t>.</w:t>
            </w:r>
            <w:r w:rsidR="00295E96" w:rsidRPr="00D970F7">
              <w:rPr>
                <w:lang w:val="en-GB" w:eastAsia="en-US"/>
              </w:rPr>
              <w:t xml:space="preserve">4%. </w:t>
            </w:r>
            <w:r w:rsidR="002D596E" w:rsidRPr="00D970F7">
              <w:rPr>
                <w:lang w:val="en-GB" w:eastAsia="en-US"/>
              </w:rPr>
              <w:t xml:space="preserve">Prices of food and live animals </w:t>
            </w:r>
            <w:r w:rsidR="00295E96" w:rsidRPr="00D970F7">
              <w:rPr>
                <w:lang w:val="en-GB" w:eastAsia="en-US"/>
              </w:rPr>
              <w:t>(</w:t>
            </w:r>
            <w:r w:rsidR="002D596E" w:rsidRPr="00D970F7">
              <w:rPr>
                <w:lang w:val="en-GB" w:eastAsia="en-US"/>
              </w:rPr>
              <w:t xml:space="preserve">year-on-year addition of </w:t>
            </w:r>
            <w:r w:rsidR="00295E96" w:rsidRPr="00D970F7">
              <w:rPr>
                <w:lang w:val="en-GB" w:eastAsia="en-US"/>
              </w:rPr>
              <w:t>5</w:t>
            </w:r>
            <w:r w:rsidR="002D596E" w:rsidRPr="00D970F7">
              <w:rPr>
                <w:lang w:val="en-GB" w:eastAsia="en-US"/>
              </w:rPr>
              <w:t>.</w:t>
            </w:r>
            <w:r w:rsidR="00295E96" w:rsidRPr="00D970F7">
              <w:rPr>
                <w:lang w:val="en-GB" w:eastAsia="en-US"/>
              </w:rPr>
              <w:t xml:space="preserve">4%), </w:t>
            </w:r>
            <w:r w:rsidR="002D596E" w:rsidRPr="00D970F7">
              <w:rPr>
                <w:lang w:val="en-GB" w:eastAsia="en-US"/>
              </w:rPr>
              <w:t xml:space="preserve">beverages and tobacco </w:t>
            </w:r>
            <w:r w:rsidR="00295E96" w:rsidRPr="00D970F7">
              <w:rPr>
                <w:lang w:val="en-GB" w:eastAsia="en-US"/>
              </w:rPr>
              <w:t>(8</w:t>
            </w:r>
            <w:r w:rsidR="002D596E" w:rsidRPr="00D970F7">
              <w:rPr>
                <w:lang w:val="en-GB" w:eastAsia="en-US"/>
              </w:rPr>
              <w:t>.</w:t>
            </w:r>
            <w:r w:rsidR="00295E96" w:rsidRPr="00D970F7">
              <w:rPr>
                <w:lang w:val="en-GB" w:eastAsia="en-US"/>
              </w:rPr>
              <w:t xml:space="preserve">0%), </w:t>
            </w:r>
            <w:r w:rsidR="002D596E" w:rsidRPr="00D970F7">
              <w:rPr>
                <w:lang w:val="en-GB" w:eastAsia="en-US"/>
              </w:rPr>
              <w:t>semi-finished products</w:t>
            </w:r>
            <w:r w:rsidR="00295E96" w:rsidRPr="00D970F7">
              <w:rPr>
                <w:rStyle w:val="Znakapoznpodarou"/>
                <w:lang w:val="en-GB" w:eastAsia="en-US"/>
              </w:rPr>
              <w:footnoteReference w:id="35"/>
            </w:r>
            <w:r w:rsidR="00295E96" w:rsidRPr="00D970F7">
              <w:rPr>
                <w:lang w:val="en-GB" w:eastAsia="en-US"/>
              </w:rPr>
              <w:t xml:space="preserve"> (1</w:t>
            </w:r>
            <w:r w:rsidR="002D596E" w:rsidRPr="00D970F7">
              <w:rPr>
                <w:lang w:val="en-GB" w:eastAsia="en-US"/>
              </w:rPr>
              <w:t>.</w:t>
            </w:r>
            <w:r w:rsidR="00295E96" w:rsidRPr="00D970F7">
              <w:rPr>
                <w:lang w:val="en-GB" w:eastAsia="en-US"/>
              </w:rPr>
              <w:t xml:space="preserve">6%), </w:t>
            </w:r>
            <w:r w:rsidR="002D596E" w:rsidRPr="00D970F7">
              <w:rPr>
                <w:lang w:val="en-GB" w:eastAsia="en-US"/>
              </w:rPr>
              <w:t xml:space="preserve">machinery and equipment </w:t>
            </w:r>
            <w:r w:rsidR="00295E96" w:rsidRPr="00D970F7">
              <w:rPr>
                <w:lang w:val="en-GB" w:eastAsia="en-US"/>
              </w:rPr>
              <w:t>(4</w:t>
            </w:r>
            <w:r w:rsidR="002D596E" w:rsidRPr="00D970F7">
              <w:rPr>
                <w:lang w:val="en-GB" w:eastAsia="en-US"/>
              </w:rPr>
              <w:t>.</w:t>
            </w:r>
            <w:r w:rsidR="00295E96" w:rsidRPr="00D970F7">
              <w:rPr>
                <w:lang w:val="en-GB" w:eastAsia="en-US"/>
              </w:rPr>
              <w:t>9%)</w:t>
            </w:r>
            <w:r w:rsidR="002D596E" w:rsidRPr="00D970F7">
              <w:rPr>
                <w:lang w:val="en-GB" w:eastAsia="en-US"/>
              </w:rPr>
              <w:t xml:space="preserve"> and industrial consumption goods </w:t>
            </w:r>
            <w:r w:rsidR="00295E96" w:rsidRPr="00D970F7">
              <w:rPr>
                <w:lang w:val="en-GB" w:eastAsia="en-US"/>
              </w:rPr>
              <w:t>(5</w:t>
            </w:r>
            <w:r w:rsidR="002D596E" w:rsidRPr="00D970F7">
              <w:rPr>
                <w:lang w:val="en-GB" w:eastAsia="en-US"/>
              </w:rPr>
              <w:t>.</w:t>
            </w:r>
            <w:r w:rsidR="00295E96" w:rsidRPr="00D970F7">
              <w:rPr>
                <w:lang w:val="en-GB" w:eastAsia="en-US"/>
              </w:rPr>
              <w:t>7%)</w:t>
            </w:r>
            <w:r w:rsidR="002D596E" w:rsidRPr="00D970F7">
              <w:rPr>
                <w:lang w:val="en-GB" w:eastAsia="en-US"/>
              </w:rPr>
              <w:t xml:space="preserve"> supported the growth of export prices in Q2</w:t>
            </w:r>
            <w:r w:rsidR="00295E96" w:rsidRPr="00D970F7">
              <w:rPr>
                <w:lang w:val="en-GB" w:eastAsia="en-US"/>
              </w:rPr>
              <w:t xml:space="preserve">. </w:t>
            </w:r>
            <w:r w:rsidR="002D596E" w:rsidRPr="00D970F7">
              <w:rPr>
                <w:lang w:val="en-GB" w:eastAsia="en-US"/>
              </w:rPr>
              <w:t xml:space="preserve">On the contrary, </w:t>
            </w:r>
            <w:r w:rsidR="00F8628A" w:rsidRPr="00D970F7">
              <w:rPr>
                <w:lang w:val="en-GB" w:eastAsia="en-US"/>
              </w:rPr>
              <w:t xml:space="preserve">the year-on-year plunge of export prices of mineral fuels </w:t>
            </w:r>
            <w:r w:rsidR="00295E96" w:rsidRPr="00D970F7">
              <w:rPr>
                <w:lang w:val="en-GB" w:eastAsia="en-US"/>
              </w:rPr>
              <w:t>(–26</w:t>
            </w:r>
            <w:r w:rsidR="00F8628A" w:rsidRPr="00D970F7">
              <w:rPr>
                <w:lang w:val="en-GB" w:eastAsia="en-US"/>
              </w:rPr>
              <w:t>.</w:t>
            </w:r>
            <w:r w:rsidR="00295E96" w:rsidRPr="00D970F7">
              <w:rPr>
                <w:lang w:val="en-GB" w:eastAsia="en-US"/>
              </w:rPr>
              <w:t xml:space="preserve">5%) </w:t>
            </w:r>
            <w:r w:rsidR="00F8628A" w:rsidRPr="00D970F7">
              <w:rPr>
                <w:lang w:val="en-GB" w:eastAsia="en-US"/>
              </w:rPr>
              <w:t>notably deepened and prices of other materials</w:t>
            </w:r>
            <w:r w:rsidR="00295E96" w:rsidRPr="00D970F7">
              <w:rPr>
                <w:rStyle w:val="Znakapoznpodarou"/>
                <w:lang w:val="en-GB" w:eastAsia="en-US"/>
              </w:rPr>
              <w:footnoteReference w:id="36"/>
            </w:r>
            <w:r w:rsidR="00295E96" w:rsidRPr="00D970F7">
              <w:rPr>
                <w:lang w:val="en-GB" w:eastAsia="en-US"/>
              </w:rPr>
              <w:t xml:space="preserve"> (–8</w:t>
            </w:r>
            <w:r w:rsidR="00F8628A" w:rsidRPr="00D970F7">
              <w:rPr>
                <w:lang w:val="en-GB" w:eastAsia="en-US"/>
              </w:rPr>
              <w:t>.</w:t>
            </w:r>
            <w:r w:rsidR="00295E96" w:rsidRPr="00D970F7">
              <w:rPr>
                <w:lang w:val="en-GB" w:eastAsia="en-US"/>
              </w:rPr>
              <w:t>5%)</w:t>
            </w:r>
            <w:r w:rsidR="00F8628A" w:rsidRPr="00D970F7">
              <w:rPr>
                <w:lang w:val="en-GB" w:eastAsia="en-US"/>
              </w:rPr>
              <w:t xml:space="preserve"> was also falling</w:t>
            </w:r>
            <w:r w:rsidR="00295E96" w:rsidRPr="00D970F7">
              <w:rPr>
                <w:lang w:val="en-GB" w:eastAsia="en-US"/>
              </w:rPr>
              <w:t xml:space="preserve">. </w:t>
            </w:r>
            <w:r w:rsidR="002D596E" w:rsidRPr="00D970F7">
              <w:rPr>
                <w:lang w:val="en-GB" w:eastAsia="en-US"/>
              </w:rPr>
              <w:t xml:space="preserve">Decrease of price did not avoid also chemical substances and related products </w:t>
            </w:r>
            <w:r w:rsidR="00295E96" w:rsidRPr="00D970F7">
              <w:rPr>
                <w:lang w:val="en-GB" w:eastAsia="en-US"/>
              </w:rPr>
              <w:t>(–1</w:t>
            </w:r>
            <w:r w:rsidR="002D596E" w:rsidRPr="00D970F7">
              <w:rPr>
                <w:lang w:val="en-GB" w:eastAsia="en-US"/>
              </w:rPr>
              <w:t>.</w:t>
            </w:r>
            <w:r w:rsidR="00295E96" w:rsidRPr="00D970F7">
              <w:rPr>
                <w:lang w:val="en-GB" w:eastAsia="en-US"/>
              </w:rPr>
              <w:t>4%).</w:t>
            </w:r>
          </w:p>
        </w:tc>
      </w:tr>
      <w:tr w:rsidR="00295E96" w:rsidRPr="00D970F7" w14:paraId="44D23371" w14:textId="77777777" w:rsidTr="00CF6F9C">
        <w:trPr>
          <w:trHeight w:val="145"/>
        </w:trPr>
        <w:tc>
          <w:tcPr>
            <w:tcW w:w="1805" w:type="dxa"/>
            <w:hideMark/>
          </w:tcPr>
          <w:p w14:paraId="2F056386" w14:textId="0F7C834D" w:rsidR="00295E96" w:rsidRPr="00D970F7" w:rsidRDefault="002751B5" w:rsidP="00CF6F9C">
            <w:pPr>
              <w:pStyle w:val="Marginlie"/>
              <w:rPr>
                <w:spacing w:val="0"/>
                <w:lang w:val="en-GB" w:eastAsia="en-US"/>
              </w:rPr>
            </w:pPr>
            <w:r w:rsidRPr="00D970F7">
              <w:rPr>
                <w:spacing w:val="0"/>
                <w:lang w:val="en-GB" w:eastAsia="en-US"/>
              </w:rPr>
              <w:t xml:space="preserve">Import prices fell especially because of prices of oil. </w:t>
            </w:r>
          </w:p>
        </w:tc>
        <w:tc>
          <w:tcPr>
            <w:tcW w:w="224" w:type="dxa"/>
          </w:tcPr>
          <w:p w14:paraId="7CC7D0E9" w14:textId="77777777" w:rsidR="00295E96" w:rsidRPr="00D970F7" w:rsidRDefault="00295E96" w:rsidP="00CF6F9C">
            <w:pPr>
              <w:pStyle w:val="Textpoznpodarou1"/>
              <w:jc w:val="both"/>
              <w:rPr>
                <w:lang w:val="en-GB" w:eastAsia="en-US"/>
              </w:rPr>
            </w:pPr>
          </w:p>
        </w:tc>
        <w:tc>
          <w:tcPr>
            <w:tcW w:w="7610" w:type="dxa"/>
            <w:hideMark/>
          </w:tcPr>
          <w:p w14:paraId="18A6748E" w14:textId="56BB4006" w:rsidR="00295E96" w:rsidRPr="00D970F7" w:rsidRDefault="002D596E" w:rsidP="00CF6F9C">
            <w:pPr>
              <w:rPr>
                <w:lang w:val="en-GB" w:eastAsia="en-US"/>
              </w:rPr>
            </w:pPr>
            <w:r w:rsidRPr="00D970F7">
              <w:rPr>
                <w:lang w:val="en-GB" w:eastAsia="en-US"/>
              </w:rPr>
              <w:t xml:space="preserve">Import prices fell by </w:t>
            </w:r>
            <w:r w:rsidR="00295E96" w:rsidRPr="00D970F7">
              <w:rPr>
                <w:lang w:val="en-GB" w:eastAsia="en-US"/>
              </w:rPr>
              <w:t>0</w:t>
            </w:r>
            <w:r w:rsidRPr="00D970F7">
              <w:rPr>
                <w:lang w:val="en-GB" w:eastAsia="en-US"/>
              </w:rPr>
              <w:t>.</w:t>
            </w:r>
            <w:r w:rsidR="00295E96" w:rsidRPr="00D970F7">
              <w:rPr>
                <w:lang w:val="en-GB" w:eastAsia="en-US"/>
              </w:rPr>
              <w:t>5%</w:t>
            </w:r>
            <w:r w:rsidRPr="00D970F7">
              <w:rPr>
                <w:lang w:val="en-GB" w:eastAsia="en-US"/>
              </w:rPr>
              <w:t xml:space="preserve"> year-on-year in Q2</w:t>
            </w:r>
            <w:r w:rsidR="00295E96" w:rsidRPr="00D970F7">
              <w:rPr>
                <w:lang w:val="en-GB" w:eastAsia="en-US"/>
              </w:rPr>
              <w:t xml:space="preserve">. </w:t>
            </w:r>
            <w:r w:rsidR="001832B5" w:rsidRPr="00D970F7">
              <w:rPr>
                <w:lang w:val="en-GB" w:eastAsia="en-US"/>
              </w:rPr>
              <w:t xml:space="preserve">Even here however strong koruna depreciation dampened the plunge of prices (after adjustment for exchange rate effects, the decrease was </w:t>
            </w:r>
            <w:r w:rsidR="00295E96" w:rsidRPr="00D970F7">
              <w:rPr>
                <w:lang w:val="en-GB" w:eastAsia="en-US"/>
              </w:rPr>
              <w:t>4</w:t>
            </w:r>
            <w:r w:rsidR="001832B5" w:rsidRPr="00D970F7">
              <w:rPr>
                <w:lang w:val="en-GB" w:eastAsia="en-US"/>
              </w:rPr>
              <w:t>.</w:t>
            </w:r>
            <w:r w:rsidR="00295E96" w:rsidRPr="00D970F7">
              <w:rPr>
                <w:lang w:val="en-GB" w:eastAsia="en-US"/>
              </w:rPr>
              <w:t>4%).</w:t>
            </w:r>
            <w:r w:rsidR="001832B5" w:rsidRPr="00D970F7">
              <w:rPr>
                <w:lang w:val="en-GB" w:eastAsia="en-US"/>
              </w:rPr>
              <w:t xml:space="preserve"> Mostly prices of mineral fuels </w:t>
            </w:r>
            <w:r w:rsidR="00295E96" w:rsidRPr="00D970F7">
              <w:rPr>
                <w:lang w:val="en-GB" w:eastAsia="en-US"/>
              </w:rPr>
              <w:t>(–40</w:t>
            </w:r>
            <w:r w:rsidR="001832B5" w:rsidRPr="00D970F7">
              <w:rPr>
                <w:lang w:val="en-GB" w:eastAsia="en-US"/>
              </w:rPr>
              <w:t>.</w:t>
            </w:r>
            <w:r w:rsidR="00295E96" w:rsidRPr="00D970F7">
              <w:rPr>
                <w:lang w:val="en-GB" w:eastAsia="en-US"/>
              </w:rPr>
              <w:t xml:space="preserve">1%), </w:t>
            </w:r>
            <w:r w:rsidR="001832B5" w:rsidRPr="00D970F7">
              <w:rPr>
                <w:lang w:val="en-GB" w:eastAsia="en-US"/>
              </w:rPr>
              <w:t xml:space="preserve">further chemical substances and related products </w:t>
            </w:r>
            <w:r w:rsidR="00295E96" w:rsidRPr="00D970F7">
              <w:rPr>
                <w:lang w:val="en-GB" w:eastAsia="en-US"/>
              </w:rPr>
              <w:t>(–2</w:t>
            </w:r>
            <w:r w:rsidR="001832B5" w:rsidRPr="00D970F7">
              <w:rPr>
                <w:lang w:val="en-GB" w:eastAsia="en-US"/>
              </w:rPr>
              <w:t>.</w:t>
            </w:r>
            <w:r w:rsidR="00295E96" w:rsidRPr="00D970F7">
              <w:rPr>
                <w:lang w:val="en-GB" w:eastAsia="en-US"/>
              </w:rPr>
              <w:t>1%) a</w:t>
            </w:r>
            <w:r w:rsidR="001832B5" w:rsidRPr="00D970F7">
              <w:rPr>
                <w:lang w:val="en-GB" w:eastAsia="en-US"/>
              </w:rPr>
              <w:t xml:space="preserve">nd other materials </w:t>
            </w:r>
            <w:r w:rsidR="00295E96" w:rsidRPr="00D970F7">
              <w:rPr>
                <w:lang w:val="en-GB" w:eastAsia="en-US"/>
              </w:rPr>
              <w:t>(–1</w:t>
            </w:r>
            <w:r w:rsidR="001832B5" w:rsidRPr="00D970F7">
              <w:rPr>
                <w:lang w:val="en-GB" w:eastAsia="en-US"/>
              </w:rPr>
              <w:t>.</w:t>
            </w:r>
            <w:r w:rsidR="00295E96" w:rsidRPr="00D970F7">
              <w:rPr>
                <w:lang w:val="en-GB" w:eastAsia="en-US"/>
              </w:rPr>
              <w:t>4%)</w:t>
            </w:r>
            <w:r w:rsidR="001832B5" w:rsidRPr="00D970F7">
              <w:rPr>
                <w:lang w:val="en-GB" w:eastAsia="en-US"/>
              </w:rPr>
              <w:t xml:space="preserve"> were decreasing</w:t>
            </w:r>
            <w:r w:rsidR="00295E96" w:rsidRPr="00D970F7">
              <w:rPr>
                <w:lang w:val="en-GB" w:eastAsia="en-US"/>
              </w:rPr>
              <w:t>.</w:t>
            </w:r>
            <w:r w:rsidR="001832B5" w:rsidRPr="00D970F7">
              <w:rPr>
                <w:lang w:val="en-GB" w:eastAsia="en-US"/>
              </w:rPr>
              <w:t xml:space="preserve"> Prices of beverages and tobacco imports were slightly cut </w:t>
            </w:r>
            <w:r w:rsidR="00295E96" w:rsidRPr="00D970F7">
              <w:rPr>
                <w:lang w:val="en-GB" w:eastAsia="en-US"/>
              </w:rPr>
              <w:t>(–0</w:t>
            </w:r>
            <w:r w:rsidR="001832B5" w:rsidRPr="00D970F7">
              <w:rPr>
                <w:lang w:val="en-GB" w:eastAsia="en-US"/>
              </w:rPr>
              <w:t>.</w:t>
            </w:r>
            <w:r w:rsidR="00295E96" w:rsidRPr="00D970F7">
              <w:rPr>
                <w:lang w:val="en-GB" w:eastAsia="en-US"/>
              </w:rPr>
              <w:t>8%).</w:t>
            </w:r>
            <w:r w:rsidR="001832B5" w:rsidRPr="00D970F7">
              <w:rPr>
                <w:lang w:val="en-GB" w:eastAsia="en-US"/>
              </w:rPr>
              <w:t xml:space="preserve"> In contrast, significant increase occurred for prices of food and live animals </w:t>
            </w:r>
            <w:r w:rsidR="00295E96" w:rsidRPr="00D970F7">
              <w:rPr>
                <w:lang w:val="en-GB" w:eastAsia="en-US"/>
              </w:rPr>
              <w:t>(6</w:t>
            </w:r>
            <w:r w:rsidR="001832B5" w:rsidRPr="00D970F7">
              <w:rPr>
                <w:lang w:val="en-GB" w:eastAsia="en-US"/>
              </w:rPr>
              <w:t>.</w:t>
            </w:r>
            <w:r w:rsidR="00295E96" w:rsidRPr="00D970F7">
              <w:rPr>
                <w:lang w:val="en-GB" w:eastAsia="en-US"/>
              </w:rPr>
              <w:t>9%),</w:t>
            </w:r>
            <w:r w:rsidR="001832B5" w:rsidRPr="00D970F7">
              <w:rPr>
                <w:lang w:val="en-GB" w:eastAsia="en-US"/>
              </w:rPr>
              <w:t xml:space="preserve"> machinery and equipment </w:t>
            </w:r>
            <w:r w:rsidR="00295E96" w:rsidRPr="00D970F7">
              <w:rPr>
                <w:lang w:val="en-GB" w:eastAsia="en-US"/>
              </w:rPr>
              <w:t>(4</w:t>
            </w:r>
            <w:r w:rsidR="001832B5" w:rsidRPr="00D970F7">
              <w:rPr>
                <w:lang w:val="en-GB" w:eastAsia="en-US"/>
              </w:rPr>
              <w:t>.</w:t>
            </w:r>
            <w:r w:rsidR="00295E96" w:rsidRPr="00D970F7">
              <w:rPr>
                <w:lang w:val="en-GB" w:eastAsia="en-US"/>
              </w:rPr>
              <w:t>9%)</w:t>
            </w:r>
            <w:r w:rsidR="001832B5" w:rsidRPr="00D970F7">
              <w:rPr>
                <w:lang w:val="en-GB" w:eastAsia="en-US"/>
              </w:rPr>
              <w:t xml:space="preserve"> and industrial consumption goods </w:t>
            </w:r>
            <w:r w:rsidR="00295E96" w:rsidRPr="00D970F7">
              <w:rPr>
                <w:lang w:val="en-GB" w:eastAsia="en-US"/>
              </w:rPr>
              <w:t>(3</w:t>
            </w:r>
            <w:r w:rsidR="001832B5" w:rsidRPr="00D970F7">
              <w:rPr>
                <w:lang w:val="en-GB" w:eastAsia="en-US"/>
              </w:rPr>
              <w:t>.</w:t>
            </w:r>
            <w:r w:rsidR="00295E96" w:rsidRPr="00D970F7">
              <w:rPr>
                <w:lang w:val="en-GB" w:eastAsia="en-US"/>
              </w:rPr>
              <w:t>7%)</w:t>
            </w:r>
            <w:r w:rsidR="001832B5" w:rsidRPr="00D970F7">
              <w:rPr>
                <w:lang w:val="en-GB" w:eastAsia="en-US"/>
              </w:rPr>
              <w:t xml:space="preserve"> in Q2</w:t>
            </w:r>
            <w:r w:rsidR="00295E96" w:rsidRPr="00D970F7">
              <w:rPr>
                <w:lang w:val="en-GB" w:eastAsia="en-US"/>
              </w:rPr>
              <w:t xml:space="preserve">. </w:t>
            </w:r>
            <w:r w:rsidR="007754B9" w:rsidRPr="00D970F7">
              <w:rPr>
                <w:lang w:val="en-GB" w:eastAsia="en-US"/>
              </w:rPr>
              <w:t xml:space="preserve">Large difference between the rates of </w:t>
            </w:r>
            <w:r w:rsidR="001832B5" w:rsidRPr="00D970F7">
              <w:rPr>
                <w:lang w:val="en-GB" w:eastAsia="en-US"/>
              </w:rPr>
              <w:t>growth</w:t>
            </w:r>
            <w:r w:rsidR="007754B9" w:rsidRPr="00D970F7">
              <w:rPr>
                <w:lang w:val="en-GB" w:eastAsia="en-US"/>
              </w:rPr>
              <w:t xml:space="preserve"> of export and import prices also led to the increase of terms of trade to </w:t>
            </w:r>
            <w:r w:rsidR="00295E96" w:rsidRPr="00D970F7">
              <w:rPr>
                <w:lang w:val="en-GB" w:eastAsia="en-US"/>
              </w:rPr>
              <w:t>103</w:t>
            </w:r>
            <w:r w:rsidR="007754B9" w:rsidRPr="00D970F7">
              <w:rPr>
                <w:lang w:val="en-GB" w:eastAsia="en-US"/>
              </w:rPr>
              <w:t>.</w:t>
            </w:r>
            <w:r w:rsidR="00295E96" w:rsidRPr="00D970F7">
              <w:rPr>
                <w:lang w:val="en-GB" w:eastAsia="en-US"/>
              </w:rPr>
              <w:t>1%</w:t>
            </w:r>
            <w:r w:rsidR="007754B9" w:rsidRPr="00D970F7">
              <w:rPr>
                <w:lang w:val="en-GB" w:eastAsia="en-US"/>
              </w:rPr>
              <w:t xml:space="preserve"> in Q2</w:t>
            </w:r>
            <w:r w:rsidR="00295E96" w:rsidRPr="00D970F7">
              <w:rPr>
                <w:lang w:val="en-GB" w:eastAsia="en-US"/>
              </w:rPr>
              <w:t xml:space="preserve">. </w:t>
            </w:r>
            <w:r w:rsidR="00C600F0" w:rsidRPr="00D970F7">
              <w:rPr>
                <w:lang w:val="en-GB" w:eastAsia="en-US"/>
              </w:rPr>
              <w:t xml:space="preserve">Terms of trade were positive for trade with mineral fuels </w:t>
            </w:r>
            <w:r w:rsidR="00295E96" w:rsidRPr="00D970F7">
              <w:rPr>
                <w:lang w:val="en-GB" w:eastAsia="en-US"/>
              </w:rPr>
              <w:t>(122</w:t>
            </w:r>
            <w:r w:rsidR="00C600F0" w:rsidRPr="00D970F7">
              <w:rPr>
                <w:lang w:val="en-GB" w:eastAsia="en-US"/>
              </w:rPr>
              <w:t>.</w:t>
            </w:r>
            <w:r w:rsidR="00295E96" w:rsidRPr="00D970F7">
              <w:rPr>
                <w:lang w:val="en-GB" w:eastAsia="en-US"/>
              </w:rPr>
              <w:t xml:space="preserve">7%), </w:t>
            </w:r>
            <w:r w:rsidR="00C600F0" w:rsidRPr="00D970F7">
              <w:rPr>
                <w:lang w:val="en-GB" w:eastAsia="en-US"/>
              </w:rPr>
              <w:t xml:space="preserve">beverages and tobacco </w:t>
            </w:r>
            <w:r w:rsidR="00295E96" w:rsidRPr="00D970F7">
              <w:rPr>
                <w:lang w:val="en-GB" w:eastAsia="en-US"/>
              </w:rPr>
              <w:t>(108</w:t>
            </w:r>
            <w:r w:rsidR="00C600F0" w:rsidRPr="00D970F7">
              <w:rPr>
                <w:lang w:val="en-GB" w:eastAsia="en-US"/>
              </w:rPr>
              <w:t>.</w:t>
            </w:r>
            <w:r w:rsidR="00295E96" w:rsidRPr="00D970F7">
              <w:rPr>
                <w:lang w:val="en-GB" w:eastAsia="en-US"/>
              </w:rPr>
              <w:t>9%),</w:t>
            </w:r>
            <w:r w:rsidR="00C600F0" w:rsidRPr="00D970F7">
              <w:rPr>
                <w:lang w:val="en-GB" w:eastAsia="en-US"/>
              </w:rPr>
              <w:t xml:space="preserve"> industrial consumption goods </w:t>
            </w:r>
            <w:r w:rsidR="00295E96" w:rsidRPr="00D970F7">
              <w:rPr>
                <w:lang w:val="en-GB" w:eastAsia="en-US"/>
              </w:rPr>
              <w:t>(101</w:t>
            </w:r>
            <w:r w:rsidR="00C600F0" w:rsidRPr="00D970F7">
              <w:rPr>
                <w:lang w:val="en-GB" w:eastAsia="en-US"/>
              </w:rPr>
              <w:t>.</w:t>
            </w:r>
            <w:r w:rsidR="00295E96" w:rsidRPr="00D970F7">
              <w:rPr>
                <w:lang w:val="en-GB" w:eastAsia="en-US"/>
              </w:rPr>
              <w:t>9%),</w:t>
            </w:r>
            <w:r w:rsidR="00C600F0" w:rsidRPr="00D970F7">
              <w:rPr>
                <w:lang w:val="en-GB" w:eastAsia="en-US"/>
              </w:rPr>
              <w:t xml:space="preserve"> semi-finished products </w:t>
            </w:r>
            <w:r w:rsidR="00295E96" w:rsidRPr="00D970F7">
              <w:rPr>
                <w:lang w:val="en-GB" w:eastAsia="en-US"/>
              </w:rPr>
              <w:t>(101</w:t>
            </w:r>
            <w:r w:rsidR="00C600F0" w:rsidRPr="00D970F7">
              <w:rPr>
                <w:lang w:val="en-GB" w:eastAsia="en-US"/>
              </w:rPr>
              <w:t>.</w:t>
            </w:r>
            <w:r w:rsidR="00295E96" w:rsidRPr="00D970F7">
              <w:rPr>
                <w:lang w:val="en-GB" w:eastAsia="en-US"/>
              </w:rPr>
              <w:t>4%)</w:t>
            </w:r>
            <w:r w:rsidR="00C600F0" w:rsidRPr="00D970F7">
              <w:rPr>
                <w:lang w:val="en-GB" w:eastAsia="en-US"/>
              </w:rPr>
              <w:t xml:space="preserve"> and chemical substances and related products </w:t>
            </w:r>
            <w:r w:rsidR="00295E96" w:rsidRPr="00D970F7">
              <w:rPr>
                <w:lang w:val="en-GB" w:eastAsia="en-US"/>
              </w:rPr>
              <w:t>(100</w:t>
            </w:r>
            <w:r w:rsidR="00C600F0" w:rsidRPr="00D970F7">
              <w:rPr>
                <w:lang w:val="en-GB" w:eastAsia="en-US"/>
              </w:rPr>
              <w:t>.</w:t>
            </w:r>
            <w:r w:rsidR="00295E96" w:rsidRPr="00D970F7">
              <w:rPr>
                <w:lang w:val="en-GB" w:eastAsia="en-US"/>
              </w:rPr>
              <w:t>7%).</w:t>
            </w:r>
            <w:r w:rsidR="00C600F0" w:rsidRPr="00D970F7">
              <w:rPr>
                <w:lang w:val="en-GB" w:eastAsia="en-US"/>
              </w:rPr>
              <w:t xml:space="preserve"> </w:t>
            </w:r>
            <w:r w:rsidR="00B51BF7" w:rsidRPr="00D970F7">
              <w:rPr>
                <w:lang w:val="en-GB" w:eastAsia="en-US"/>
              </w:rPr>
              <w:t xml:space="preserve">Trade with other materials </w:t>
            </w:r>
            <w:r w:rsidR="00295E96" w:rsidRPr="00D970F7">
              <w:rPr>
                <w:lang w:val="en-GB" w:eastAsia="en-US"/>
              </w:rPr>
              <w:t>(92</w:t>
            </w:r>
            <w:r w:rsidR="00B51BF7" w:rsidRPr="00D970F7">
              <w:rPr>
                <w:lang w:val="en-GB" w:eastAsia="en-US"/>
              </w:rPr>
              <w:t>.</w:t>
            </w:r>
            <w:r w:rsidR="00295E96" w:rsidRPr="00D970F7">
              <w:rPr>
                <w:lang w:val="en-GB" w:eastAsia="en-US"/>
              </w:rPr>
              <w:t>8%)</w:t>
            </w:r>
            <w:r w:rsidR="00B51BF7" w:rsidRPr="00D970F7">
              <w:rPr>
                <w:lang w:val="en-GB" w:eastAsia="en-US"/>
              </w:rPr>
              <w:t xml:space="preserve"> and food and live animals </w:t>
            </w:r>
            <w:r w:rsidR="00295E96" w:rsidRPr="00D970F7">
              <w:rPr>
                <w:lang w:val="en-GB" w:eastAsia="en-US"/>
              </w:rPr>
              <w:t>(98</w:t>
            </w:r>
            <w:r w:rsidR="00B51BF7" w:rsidRPr="00D970F7">
              <w:rPr>
                <w:lang w:val="en-GB" w:eastAsia="en-US"/>
              </w:rPr>
              <w:t>.</w:t>
            </w:r>
            <w:r w:rsidR="00295E96" w:rsidRPr="00D970F7">
              <w:rPr>
                <w:lang w:val="en-GB" w:eastAsia="en-US"/>
              </w:rPr>
              <w:t>6%)</w:t>
            </w:r>
            <w:r w:rsidR="00B51BF7" w:rsidRPr="00D970F7">
              <w:rPr>
                <w:lang w:val="en-GB" w:eastAsia="en-US"/>
              </w:rPr>
              <w:t xml:space="preserve"> reached negative terms of trade</w:t>
            </w:r>
            <w:r w:rsidR="00295E96" w:rsidRPr="00D970F7">
              <w:rPr>
                <w:lang w:val="en-GB" w:eastAsia="en-US"/>
              </w:rPr>
              <w:t>.</w:t>
            </w:r>
          </w:p>
        </w:tc>
      </w:tr>
      <w:bookmarkEnd w:id="19"/>
    </w:tbl>
    <w:p w14:paraId="4F0C574F" w14:textId="77777777" w:rsidR="00295E96" w:rsidRPr="00D970F7" w:rsidRDefault="00295E96" w:rsidP="00295E96">
      <w:pPr>
        <w:spacing w:after="0" w:line="240" w:lineRule="auto"/>
        <w:jc w:val="left"/>
        <w:rPr>
          <w:b/>
          <w:sz w:val="2"/>
          <w:szCs w:val="2"/>
          <w:highlight w:val="yellow"/>
          <w:lang w:val="en-GB"/>
        </w:rPr>
      </w:pPr>
    </w:p>
    <w:p w14:paraId="14635A3A" w14:textId="77777777" w:rsidR="00A96422" w:rsidRPr="00D970F7" w:rsidRDefault="00A96422" w:rsidP="00A96422">
      <w:pPr>
        <w:pStyle w:val="Nadpis11"/>
        <w:rPr>
          <w:lang w:val="en-GB"/>
        </w:rPr>
        <w:sectPr w:rsidR="00A96422" w:rsidRPr="00D970F7" w:rsidSect="00A03B10">
          <w:headerReference w:type="even" r:id="rId26"/>
          <w:headerReference w:type="default" r:id="rId27"/>
          <w:footerReference w:type="even" r:id="rId28"/>
          <w:footerReference w:type="default" r:id="rId29"/>
          <w:pgSz w:w="11906" w:h="16838" w:code="9"/>
          <w:pgMar w:top="1134" w:right="1134" w:bottom="1418" w:left="1134" w:header="680" w:footer="737" w:gutter="0"/>
          <w:cols w:space="708"/>
          <w:docGrid w:linePitch="360"/>
        </w:sectPr>
      </w:pPr>
    </w:p>
    <w:p w14:paraId="02953643" w14:textId="177C8D7E" w:rsidR="006769C6" w:rsidRPr="00D970F7" w:rsidRDefault="006769C6" w:rsidP="006769C6">
      <w:pPr>
        <w:pStyle w:val="Nadpis11"/>
        <w:rPr>
          <w:lang w:val="en-GB"/>
        </w:rPr>
      </w:pPr>
      <w:bookmarkStart w:id="22" w:name="_Toc19090679"/>
      <w:bookmarkStart w:id="23" w:name="_Toc53468177"/>
      <w:bookmarkEnd w:id="20"/>
      <w:r w:rsidRPr="00D970F7">
        <w:rPr>
          <w:lang w:val="en-GB"/>
        </w:rPr>
        <w:lastRenderedPageBreak/>
        <w:t>6. </w:t>
      </w:r>
      <w:r w:rsidR="00A974A6" w:rsidRPr="00D970F7">
        <w:rPr>
          <w:lang w:val="en-GB"/>
        </w:rPr>
        <w:t>Labour Market</w:t>
      </w:r>
      <w:bookmarkEnd w:id="22"/>
      <w:bookmarkEnd w:id="23"/>
    </w:p>
    <w:p w14:paraId="1FF5FDA9" w14:textId="77777777" w:rsidR="006769C6" w:rsidRPr="00D970F7" w:rsidRDefault="006769C6" w:rsidP="006769C6">
      <w:pPr>
        <w:spacing w:after="0"/>
        <w:rPr>
          <w:b/>
          <w:color w:val="0D0D0D" w:themeColor="text1" w:themeTint="F2"/>
          <w:sz w:val="2"/>
          <w:szCs w:val="2"/>
          <w:lang w:val="en-GB"/>
        </w:rPr>
      </w:pPr>
    </w:p>
    <w:tbl>
      <w:tblPr>
        <w:tblW w:w="9664" w:type="dxa"/>
        <w:tblInd w:w="-30" w:type="dxa"/>
        <w:tblCellMar>
          <w:left w:w="0" w:type="dxa"/>
          <w:right w:w="0" w:type="dxa"/>
        </w:tblCellMar>
        <w:tblLook w:val="00A0" w:firstRow="1" w:lastRow="0" w:firstColumn="1" w:lastColumn="0" w:noHBand="0" w:noVBand="0"/>
      </w:tblPr>
      <w:tblGrid>
        <w:gridCol w:w="1792"/>
        <w:gridCol w:w="216"/>
        <w:gridCol w:w="7656"/>
      </w:tblGrid>
      <w:tr w:rsidR="00C2211E" w:rsidRPr="00D970F7" w14:paraId="033F0451" w14:textId="77777777" w:rsidTr="00C2211E">
        <w:trPr>
          <w:trHeight w:val="155"/>
        </w:trPr>
        <w:tc>
          <w:tcPr>
            <w:tcW w:w="1792" w:type="dxa"/>
            <w:vMerge w:val="restart"/>
            <w:shd w:val="clear" w:color="auto" w:fill="auto"/>
            <w:tcMar>
              <w:left w:w="0" w:type="dxa"/>
            </w:tcMar>
          </w:tcPr>
          <w:p w14:paraId="611E1DCC" w14:textId="77777777" w:rsidR="00C2211E" w:rsidRPr="00D970F7" w:rsidRDefault="00C2211E" w:rsidP="00C2211E">
            <w:pPr>
              <w:pStyle w:val="Marginlie"/>
              <w:rPr>
                <w:spacing w:val="-4"/>
                <w:lang w:val="en-GB"/>
              </w:rPr>
            </w:pPr>
            <w:r w:rsidRPr="00D970F7">
              <w:rPr>
                <w:spacing w:val="-4"/>
                <w:lang w:val="en-GB"/>
              </w:rPr>
              <w:t xml:space="preserve">Immediate impacts of the external shock on the labour market were considerably varied. They were reflected the most in fading of overall economic activity. </w:t>
            </w:r>
          </w:p>
        </w:tc>
        <w:tc>
          <w:tcPr>
            <w:tcW w:w="216" w:type="dxa"/>
            <w:vMerge w:val="restart"/>
            <w:shd w:val="clear" w:color="auto" w:fill="auto"/>
            <w:tcMar>
              <w:left w:w="0" w:type="dxa"/>
            </w:tcMar>
          </w:tcPr>
          <w:p w14:paraId="5B69FD6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0C2BB157" w14:textId="15068AD9" w:rsidR="00C2211E" w:rsidRPr="00D970F7" w:rsidRDefault="00C2211E" w:rsidP="00C2211E">
            <w:pPr>
              <w:spacing w:after="200"/>
              <w:rPr>
                <w:rFonts w:cs="Arial"/>
                <w:bCs/>
                <w:color w:val="000000"/>
                <w:spacing w:val="-4"/>
                <w:szCs w:val="20"/>
                <w:lang w:val="en-GB"/>
              </w:rPr>
            </w:pPr>
            <w:r w:rsidRPr="00D970F7">
              <w:rPr>
                <w:rFonts w:cs="Arial"/>
                <w:bCs/>
                <w:color w:val="000000"/>
                <w:spacing w:val="-4"/>
                <w:szCs w:val="20"/>
                <w:lang w:val="en-GB"/>
              </w:rPr>
              <w:t xml:space="preserve">Even though the domestic labour market traditionally reacts to economic shocks </w:t>
            </w:r>
            <w:r w:rsidR="00DF448E">
              <w:rPr>
                <w:rFonts w:cs="Arial"/>
                <w:bCs/>
                <w:color w:val="000000"/>
                <w:spacing w:val="-4"/>
                <w:szCs w:val="20"/>
                <w:lang w:val="en-GB"/>
              </w:rPr>
              <w:t xml:space="preserve">with certain delay, the </w:t>
            </w:r>
            <w:r w:rsidRPr="00D970F7">
              <w:rPr>
                <w:rFonts w:cs="Arial"/>
                <w:bCs/>
                <w:color w:val="000000"/>
                <w:spacing w:val="-4"/>
                <w:szCs w:val="20"/>
                <w:lang w:val="en-GB"/>
              </w:rPr>
              <w:t>pandemic restrictions already managed to be markedly felt. More than two-month period of state of emergency struck into the whole first half of Q2 20</w:t>
            </w:r>
            <w:r w:rsidR="00DF448E">
              <w:rPr>
                <w:rFonts w:cs="Arial"/>
                <w:bCs/>
                <w:color w:val="000000"/>
                <w:spacing w:val="-4"/>
                <w:szCs w:val="20"/>
                <w:lang w:val="en-GB"/>
              </w:rPr>
              <w:t>20 and also in subsequent weeks</w:t>
            </w:r>
            <w:r w:rsidRPr="00D970F7">
              <w:rPr>
                <w:rFonts w:cs="Arial"/>
                <w:bCs/>
                <w:color w:val="000000"/>
                <w:spacing w:val="-4"/>
                <w:szCs w:val="20"/>
                <w:lang w:val="en-GB"/>
              </w:rPr>
              <w:t xml:space="preserve"> the return to normal was taking place only very gradually. So far monitored impacts of this shock on the labour market were considerably varied (for example from the view of branch or position of persons in employment). Diverse intensity of impact also emphasised the testimonies of households (experiencing negative impacts in their employment as well as concerns regarding the growth of unemployment</w:t>
            </w:r>
            <w:r w:rsidRPr="00D970F7">
              <w:rPr>
                <w:rFonts w:cs="Arial"/>
                <w:bCs/>
                <w:color w:val="000000"/>
                <w:spacing w:val="-5"/>
                <w:szCs w:val="20"/>
                <w:lang w:val="en-GB"/>
              </w:rPr>
              <w:t>). The substantial downturn of economic activity expressed both by lower number of employed and also deeper reduction of hours worked were the most visible manifestations of the onset of economic recession in Q</w:t>
            </w:r>
            <w:r w:rsidRPr="00D970F7">
              <w:rPr>
                <w:rFonts w:cs="Arial"/>
                <w:bCs/>
                <w:color w:val="000000"/>
                <w:spacing w:val="-4"/>
                <w:szCs w:val="20"/>
                <w:lang w:val="en-GB"/>
              </w:rPr>
              <w:t xml:space="preserve">2. The on the contrary so far only mild growth of unemployment was connected to the stabilisation government programmes (Antivirus, care benefits) and with the fact, that part of persons, who lost work, evacuated the labour market (foreign workers, economically inactive). Worsened economic situation of businesses was evident by ceasing of growth of average wages in the majority of market branches and contrasted with the so far stabilised development in branches with the dominance of state. </w:t>
            </w:r>
          </w:p>
        </w:tc>
      </w:tr>
      <w:tr w:rsidR="00C2211E" w:rsidRPr="00D970F7" w14:paraId="218D68F4" w14:textId="77777777" w:rsidTr="00C2211E">
        <w:trPr>
          <w:trHeight w:val="155"/>
        </w:trPr>
        <w:tc>
          <w:tcPr>
            <w:tcW w:w="1792" w:type="dxa"/>
            <w:vMerge w:val="restart"/>
            <w:shd w:val="clear" w:color="auto" w:fill="auto"/>
            <w:tcMar>
              <w:left w:w="0" w:type="dxa"/>
            </w:tcMar>
          </w:tcPr>
          <w:p w14:paraId="23954343" w14:textId="77777777" w:rsidR="00C2211E" w:rsidRPr="00D970F7" w:rsidRDefault="00C2211E" w:rsidP="00C2211E">
            <w:pPr>
              <w:pStyle w:val="Marginlie"/>
              <w:rPr>
                <w:spacing w:val="-4"/>
                <w:lang w:val="en-GB"/>
              </w:rPr>
            </w:pPr>
            <w:r w:rsidRPr="00D970F7">
              <w:rPr>
                <w:spacing w:val="-4"/>
                <w:lang w:val="en-GB"/>
              </w:rPr>
              <w:t xml:space="preserve">Total number of employed shrank by significant 1.4% during Q2 following the stagnation at the beginning of the year. </w:t>
            </w:r>
          </w:p>
          <w:p w14:paraId="30421EC9" w14:textId="77777777" w:rsidR="00C2211E" w:rsidRPr="00D970F7" w:rsidRDefault="00C2211E" w:rsidP="00C2211E">
            <w:pPr>
              <w:pStyle w:val="Marginlie"/>
              <w:rPr>
                <w:spacing w:val="-4"/>
                <w:lang w:val="en-GB"/>
              </w:rPr>
            </w:pPr>
          </w:p>
          <w:p w14:paraId="73A3CD66" w14:textId="77777777" w:rsidR="00C2211E" w:rsidRPr="00D970F7" w:rsidRDefault="00C2211E" w:rsidP="00C2211E">
            <w:pPr>
              <w:pStyle w:val="Marginlie"/>
              <w:rPr>
                <w:spacing w:val="-4"/>
                <w:lang w:val="en-GB"/>
              </w:rPr>
            </w:pPr>
          </w:p>
          <w:p w14:paraId="6E0BADB9" w14:textId="77777777" w:rsidR="00C2211E" w:rsidRPr="00D970F7" w:rsidRDefault="00C2211E" w:rsidP="00C2211E">
            <w:pPr>
              <w:pStyle w:val="Marginlie"/>
              <w:rPr>
                <w:spacing w:val="-4"/>
                <w:lang w:val="en-GB"/>
              </w:rPr>
            </w:pPr>
          </w:p>
          <w:p w14:paraId="51149328" w14:textId="77777777" w:rsidR="00C2211E" w:rsidRPr="00D970F7" w:rsidRDefault="00C2211E" w:rsidP="00C2211E">
            <w:pPr>
              <w:pStyle w:val="Marginlie"/>
              <w:rPr>
                <w:spacing w:val="-4"/>
                <w:lang w:val="en-GB"/>
              </w:rPr>
            </w:pPr>
          </w:p>
          <w:p w14:paraId="1D5E569A" w14:textId="77777777" w:rsidR="00C2211E" w:rsidRPr="00D970F7" w:rsidRDefault="00C2211E" w:rsidP="00C2211E">
            <w:pPr>
              <w:pStyle w:val="Marginlie"/>
              <w:rPr>
                <w:spacing w:val="-4"/>
                <w:lang w:val="en-GB"/>
              </w:rPr>
            </w:pPr>
          </w:p>
          <w:p w14:paraId="472D0918" w14:textId="77777777" w:rsidR="00C2211E" w:rsidRPr="00D970F7" w:rsidRDefault="00C2211E" w:rsidP="00C2211E">
            <w:pPr>
              <w:pStyle w:val="Marginlie"/>
              <w:rPr>
                <w:spacing w:val="-4"/>
                <w:lang w:val="en-GB"/>
              </w:rPr>
            </w:pPr>
          </w:p>
          <w:p w14:paraId="25C2AB92" w14:textId="77777777" w:rsidR="00C2211E" w:rsidRPr="00D970F7" w:rsidRDefault="00C2211E" w:rsidP="00C2211E">
            <w:pPr>
              <w:pStyle w:val="Marginlie"/>
              <w:rPr>
                <w:spacing w:val="-4"/>
                <w:lang w:val="en-GB"/>
              </w:rPr>
            </w:pPr>
            <w:r w:rsidRPr="00D970F7">
              <w:rPr>
                <w:spacing w:val="-4"/>
                <w:lang w:val="en-GB"/>
              </w:rPr>
              <w:t xml:space="preserve">Especially employees contributed to the year-on-year decrease of employment. Stronger reduction of places occurred in manufacturing and branches of services associated with tourism. </w:t>
            </w:r>
          </w:p>
        </w:tc>
        <w:tc>
          <w:tcPr>
            <w:tcW w:w="216" w:type="dxa"/>
            <w:vMerge w:val="restart"/>
            <w:shd w:val="clear" w:color="auto" w:fill="auto"/>
            <w:tcMar>
              <w:left w:w="0" w:type="dxa"/>
            </w:tcMar>
          </w:tcPr>
          <w:p w14:paraId="383CCF50"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0FEA10A6" w14:textId="64A84A0F" w:rsidR="00C2211E" w:rsidRPr="00D970F7" w:rsidRDefault="00C2211E" w:rsidP="00C2211E">
            <w:pPr>
              <w:spacing w:after="200"/>
              <w:rPr>
                <w:rFonts w:cs="Arial"/>
                <w:bCs/>
                <w:color w:val="000000"/>
                <w:spacing w:val="-4"/>
                <w:szCs w:val="20"/>
                <w:lang w:val="en-GB"/>
              </w:rPr>
            </w:pPr>
            <w:r w:rsidRPr="00D970F7">
              <w:rPr>
                <w:rFonts w:cs="Arial"/>
                <w:bCs/>
                <w:color w:val="000000"/>
                <w:spacing w:val="-4"/>
                <w:szCs w:val="20"/>
                <w:lang w:val="en-GB"/>
              </w:rPr>
              <w:t>While the total employment</w:t>
            </w:r>
            <w:r w:rsidRPr="00D970F7">
              <w:rPr>
                <w:spacing w:val="-4"/>
                <w:vertAlign w:val="superscript"/>
                <w:lang w:val="en-GB"/>
              </w:rPr>
              <w:footnoteReference w:id="37"/>
            </w:r>
            <w:r w:rsidRPr="00D970F7">
              <w:rPr>
                <w:rFonts w:cs="Arial"/>
                <w:bCs/>
                <w:color w:val="000000"/>
                <w:spacing w:val="-4"/>
                <w:szCs w:val="20"/>
                <w:lang w:val="en-GB"/>
              </w:rPr>
              <w:t xml:space="preserve"> stagnated in quarter-on-quarter expression in Q1 2020, similarly to the whole last year, it already dived by record 1.4% in Q2. In the preceding recession periods, the loss of employment positions was more gradual, simultaneously it however had longer term character</w:t>
            </w:r>
            <w:r w:rsidRPr="00D970F7">
              <w:rPr>
                <w:spacing w:val="-4"/>
                <w:vertAlign w:val="superscript"/>
                <w:lang w:val="en-GB"/>
              </w:rPr>
              <w:footnoteReference w:id="38"/>
            </w:r>
            <w:r w:rsidRPr="00D970F7">
              <w:rPr>
                <w:rFonts w:cs="Arial"/>
                <w:bCs/>
                <w:color w:val="000000"/>
                <w:spacing w:val="-4"/>
                <w:szCs w:val="20"/>
                <w:lang w:val="en-GB"/>
              </w:rPr>
              <w:t>. The employment lowered by 1.9% year-on-year (the most after Q1 2010), it is however necessary to take into account, that the number of employed attained record level in the history of independent CR (5.44 mil.) last year. This decrease was caused nearly exclusively by employees, since the number of self-employed was falling slower (–1.5%)</w:t>
            </w:r>
            <w:r w:rsidRPr="00D970F7">
              <w:rPr>
                <w:spacing w:val="-4"/>
                <w:vertAlign w:val="superscript"/>
                <w:lang w:val="en-GB"/>
              </w:rPr>
              <w:footnoteReference w:id="39"/>
            </w:r>
            <w:r w:rsidRPr="00D970F7">
              <w:rPr>
                <w:rFonts w:cs="Arial"/>
                <w:bCs/>
                <w:color w:val="000000"/>
                <w:spacing w:val="-4"/>
                <w:szCs w:val="20"/>
                <w:lang w:val="en-GB"/>
              </w:rPr>
              <w:t>. It can be perceived relatively favourably, because 60% of entrepreneurs (without employees) stated within the LFSS survey, that they experienced adverse impacts in their enterprise (financial difficulties, lower sales, volume of work or orders)</w:t>
            </w:r>
            <w:r w:rsidRPr="00D970F7">
              <w:rPr>
                <w:spacing w:val="-4"/>
                <w:vertAlign w:val="superscript"/>
                <w:lang w:val="en-GB"/>
              </w:rPr>
              <w:footnoteReference w:id="40"/>
            </w:r>
            <w:r w:rsidRPr="00D970F7">
              <w:rPr>
                <w:rFonts w:cs="Arial"/>
                <w:bCs/>
                <w:color w:val="000000"/>
                <w:spacing w:val="-4"/>
                <w:szCs w:val="20"/>
                <w:lang w:val="en-GB"/>
              </w:rPr>
              <w:t>. Nearly three quarters of these affected at the same time considered the impacts likely temporary and possible to overcome (e.g. with the help of government programs). From the view of main branches, manufacturing where also due to “cooling” of agency employment 51 thousand of places decreased (3.5%), contributed to lower employment the most in the whole economy in Q2.</w:t>
            </w:r>
            <w:r w:rsidR="00DF448E">
              <w:rPr>
                <w:rFonts w:cs="Arial"/>
                <w:bCs/>
                <w:color w:val="000000"/>
                <w:spacing w:val="-4"/>
                <w:szCs w:val="20"/>
                <w:lang w:val="en-GB"/>
              </w:rPr>
              <w:t xml:space="preserve"> Almost</w:t>
            </w:r>
            <w:r w:rsidRPr="00D970F7">
              <w:rPr>
                <w:rFonts w:cs="Arial"/>
                <w:bCs/>
                <w:color w:val="000000"/>
                <w:spacing w:val="-4"/>
                <w:szCs w:val="20"/>
                <w:lang w:val="en-GB"/>
              </w:rPr>
              <w:t xml:space="preserve"> 43 thousand positions were cut in the services sector, it was however very unevenly distributed. Due to substantial impact of restrictions in the tourism area, the number of working in the grouping trade, transportation, accommodation, food service and restaurants reduced by 40 thousand, resp. 3.2%. Professional, scientific, technical and administrative activities (-4.4%) had the deepest relative reduction of places. It contrasted with the long term growth of employment in information and communication (+3.4%) and also in branches with the dominance of state (+1.6%), where it was the effect of recruiting in education, among other things also because of higher number of students in primary education. </w:t>
            </w:r>
          </w:p>
        </w:tc>
      </w:tr>
      <w:tr w:rsidR="00C2211E" w:rsidRPr="00D970F7" w14:paraId="4E424970" w14:textId="77777777" w:rsidTr="00C2211E">
        <w:trPr>
          <w:trHeight w:val="155"/>
        </w:trPr>
        <w:tc>
          <w:tcPr>
            <w:tcW w:w="1792" w:type="dxa"/>
            <w:vMerge w:val="restart"/>
            <w:shd w:val="clear" w:color="auto" w:fill="auto"/>
            <w:tcMar>
              <w:left w:w="0" w:type="dxa"/>
            </w:tcMar>
          </w:tcPr>
          <w:p w14:paraId="49001868" w14:textId="77777777" w:rsidR="00C2211E" w:rsidRPr="00D970F7" w:rsidRDefault="00C2211E" w:rsidP="00C2211E">
            <w:pPr>
              <w:pStyle w:val="Marginlie"/>
              <w:rPr>
                <w:spacing w:val="-4"/>
                <w:lang w:val="en-GB"/>
              </w:rPr>
            </w:pPr>
            <w:r w:rsidRPr="00D970F7">
              <w:rPr>
                <w:spacing w:val="-4"/>
                <w:lang w:val="en-GB"/>
              </w:rPr>
              <w:t xml:space="preserve">Number of hours worked by employees returned to normal in June. </w:t>
            </w:r>
            <w:r w:rsidRPr="00D970F7">
              <w:rPr>
                <w:spacing w:val="-4"/>
                <w:lang w:val="en-GB"/>
              </w:rPr>
              <w:lastRenderedPageBreak/>
              <w:t>Expectations of employment development remained negative, especially in industry and majority of market services.</w:t>
            </w:r>
          </w:p>
        </w:tc>
        <w:tc>
          <w:tcPr>
            <w:tcW w:w="216" w:type="dxa"/>
            <w:vMerge w:val="restart"/>
            <w:shd w:val="clear" w:color="auto" w:fill="auto"/>
            <w:tcMar>
              <w:left w:w="0" w:type="dxa"/>
            </w:tcMar>
          </w:tcPr>
          <w:p w14:paraId="23B5175D"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54E0C7F" w14:textId="630CE702" w:rsidR="00C2211E" w:rsidRPr="00D970F7" w:rsidRDefault="004B5570" w:rsidP="00C2211E">
            <w:pPr>
              <w:spacing w:after="200"/>
              <w:rPr>
                <w:spacing w:val="-5"/>
                <w:lang w:val="en-GB"/>
              </w:rPr>
            </w:pPr>
            <w:r>
              <w:rPr>
                <w:spacing w:val="-5"/>
                <w:lang w:val="en-GB"/>
              </w:rPr>
              <w:t xml:space="preserve">The effect of </w:t>
            </w:r>
            <w:r w:rsidR="00C2211E" w:rsidRPr="00D970F7">
              <w:rPr>
                <w:spacing w:val="-5"/>
                <w:lang w:val="en-GB"/>
              </w:rPr>
              <w:t xml:space="preserve">pandemic restrictions is plastically expressed by the decrease of number of hours worked in the economy. Based on the LFSS, it was 10% year-on-year in March, in </w:t>
            </w:r>
            <w:r w:rsidR="00C2211E" w:rsidRPr="00D970F7">
              <w:rPr>
                <w:spacing w:val="-5"/>
                <w:lang w:val="en-GB"/>
              </w:rPr>
              <w:lastRenderedPageBreak/>
              <w:t>April it deepened to not yet seen 22% (31% for entrepreneurs). The descend decreased in May (to 8%) and July already signalled a return to paces from the turn of years 2019 and 2020 (</w:t>
            </w:r>
            <w:r w:rsidR="00C2211E" w:rsidRPr="00D970F7">
              <w:rPr>
                <w:rFonts w:cs="Arial"/>
                <w:bCs/>
                <w:color w:val="000000"/>
                <w:spacing w:val="-5"/>
                <w:szCs w:val="20"/>
                <w:lang w:val="en-GB"/>
              </w:rPr>
              <w:t>–</w:t>
            </w:r>
            <w:r w:rsidR="00C2211E" w:rsidRPr="00D970F7">
              <w:rPr>
                <w:spacing w:val="-5"/>
                <w:lang w:val="en-GB"/>
              </w:rPr>
              <w:t>2%), which however was not completely valid for small businesses (</w:t>
            </w:r>
            <w:r w:rsidR="00C2211E" w:rsidRPr="00D970F7">
              <w:rPr>
                <w:rFonts w:cs="Arial"/>
                <w:bCs/>
                <w:color w:val="000000"/>
                <w:spacing w:val="-5"/>
                <w:szCs w:val="20"/>
                <w:lang w:val="en-GB"/>
              </w:rPr>
              <w:t>–</w:t>
            </w:r>
            <w:r w:rsidR="00C2211E" w:rsidRPr="00D970F7">
              <w:rPr>
                <w:spacing w:val="-5"/>
                <w:lang w:val="en-GB"/>
              </w:rPr>
              <w:t xml:space="preserve">6%), where the effect of weakened demand was more evident. Expectations of businesses in the area of employment stayed in the majority of branches negative. It was valid for market services </w:t>
            </w:r>
            <w:r w:rsidR="00C2211E" w:rsidRPr="00D970F7">
              <w:rPr>
                <w:spacing w:val="-6"/>
                <w:lang w:val="en-GB"/>
              </w:rPr>
              <w:t xml:space="preserve">(except for trade), where the proportion of businesses anticipating growth of employment in the next three months was by 33 p. p. lower than the share of businesses planning to reduce employment levels </w:t>
            </w:r>
            <w:r w:rsidR="00C2211E" w:rsidRPr="00D970F7">
              <w:rPr>
                <w:spacing w:val="-5"/>
                <w:lang w:val="en-GB"/>
              </w:rPr>
              <w:t>in August 2020. This balance remained distinctly negative despite weakening pessimism also in industry (</w:t>
            </w:r>
            <w:r w:rsidR="00C2211E" w:rsidRPr="00D970F7">
              <w:rPr>
                <w:rFonts w:cs="Arial"/>
                <w:bCs/>
                <w:color w:val="000000"/>
                <w:spacing w:val="-5"/>
                <w:szCs w:val="20"/>
                <w:lang w:val="en-GB"/>
              </w:rPr>
              <w:t>–</w:t>
            </w:r>
            <w:r w:rsidR="00C2211E" w:rsidRPr="00D970F7">
              <w:rPr>
                <w:spacing w:val="-5"/>
                <w:lang w:val="en-GB"/>
              </w:rPr>
              <w:t>12 p.p.). Businesses in trade (</w:t>
            </w:r>
            <w:r w:rsidR="00C2211E" w:rsidRPr="00D970F7">
              <w:rPr>
                <w:rFonts w:cs="Arial"/>
                <w:bCs/>
                <w:color w:val="000000"/>
                <w:spacing w:val="-5"/>
                <w:szCs w:val="20"/>
                <w:lang w:val="en-GB"/>
              </w:rPr>
              <w:t>–</w:t>
            </w:r>
            <w:r w:rsidR="00C2211E" w:rsidRPr="00D970F7">
              <w:rPr>
                <w:spacing w:val="-5"/>
                <w:lang w:val="en-GB"/>
              </w:rPr>
              <w:t>5 p.p.) and mainly construction (</w:t>
            </w:r>
            <w:r w:rsidR="00C2211E" w:rsidRPr="00D970F7">
              <w:rPr>
                <w:rFonts w:cs="Arial"/>
                <w:bCs/>
                <w:color w:val="000000"/>
                <w:spacing w:val="-5"/>
                <w:szCs w:val="20"/>
                <w:lang w:val="en-GB"/>
              </w:rPr>
              <w:t>+2</w:t>
            </w:r>
            <w:r w:rsidR="00C2211E" w:rsidRPr="00D970F7">
              <w:rPr>
                <w:spacing w:val="-5"/>
                <w:lang w:val="en-GB"/>
              </w:rPr>
              <w:t xml:space="preserve"> p.p.), where a large proportion of businesses did not anticipate changes in employment (87%) were in better situation. Still around 40% of construction firms considered the lack of workers as a barrier to growth even in the summer period. </w:t>
            </w:r>
          </w:p>
        </w:tc>
      </w:tr>
      <w:tr w:rsidR="00C2211E" w:rsidRPr="00D970F7" w14:paraId="4DB93541" w14:textId="77777777" w:rsidTr="00C2211E">
        <w:trPr>
          <w:trHeight w:val="155"/>
        </w:trPr>
        <w:tc>
          <w:tcPr>
            <w:tcW w:w="1792" w:type="dxa"/>
            <w:vMerge w:val="restart"/>
            <w:shd w:val="clear" w:color="auto" w:fill="auto"/>
            <w:tcMar>
              <w:left w:w="0" w:type="dxa"/>
            </w:tcMar>
          </w:tcPr>
          <w:p w14:paraId="60083DB4" w14:textId="77777777" w:rsidR="00C2211E" w:rsidRPr="00D970F7" w:rsidRDefault="00C2211E" w:rsidP="00C2211E">
            <w:pPr>
              <w:pStyle w:val="Marginlie"/>
              <w:rPr>
                <w:spacing w:val="-4"/>
                <w:lang w:val="en-GB"/>
              </w:rPr>
            </w:pPr>
            <w:r w:rsidRPr="00D970F7">
              <w:rPr>
                <w:spacing w:val="-4"/>
                <w:lang w:val="en-GB"/>
              </w:rPr>
              <w:lastRenderedPageBreak/>
              <w:t>Growth of the number of economically inactive drastically accelerated.</w:t>
            </w:r>
          </w:p>
        </w:tc>
        <w:tc>
          <w:tcPr>
            <w:tcW w:w="216" w:type="dxa"/>
            <w:vMerge w:val="restart"/>
            <w:shd w:val="clear" w:color="auto" w:fill="auto"/>
            <w:tcMar>
              <w:left w:w="0" w:type="dxa"/>
            </w:tcMar>
          </w:tcPr>
          <w:p w14:paraId="3734116F"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38DB081" w14:textId="77777777" w:rsidR="00C2211E" w:rsidRPr="00D970F7" w:rsidRDefault="00C2211E" w:rsidP="00C2211E">
            <w:pPr>
              <w:spacing w:after="220"/>
              <w:rPr>
                <w:rFonts w:cs="Arial"/>
                <w:bCs/>
                <w:color w:val="000000"/>
                <w:szCs w:val="20"/>
                <w:lang w:val="en-GB"/>
              </w:rPr>
            </w:pPr>
            <w:r w:rsidRPr="00D970F7">
              <w:rPr>
                <w:rFonts w:cs="Arial"/>
                <w:bCs/>
                <w:color w:val="000000"/>
                <w:szCs w:val="20"/>
                <w:lang w:val="en-GB"/>
              </w:rPr>
              <w:t xml:space="preserve">Changes on the labour market were reflected more than in the unemployment in enlarging the number of economically inactive H1. Even though the number of inactive was growing also for the most part of the last year, significant acceleration of the year-on-year pace occurred only this year. The increase was 59 thousand persons at the beginning of the year, already 86 thousand in Q2 (the most in the CR history). Mainly males aged 60 and more years (+25 thousand) and females aged up to 30 years (+33 thousand) contributed to the record growth. These groups typically more often utilise part time job contracts and temporary employment. </w:t>
            </w:r>
          </w:p>
        </w:tc>
      </w:tr>
      <w:tr w:rsidR="00C2211E" w:rsidRPr="00D970F7" w14:paraId="6B6E05B7" w14:textId="77777777" w:rsidTr="00C2211E">
        <w:trPr>
          <w:trHeight w:val="155"/>
        </w:trPr>
        <w:tc>
          <w:tcPr>
            <w:tcW w:w="1792" w:type="dxa"/>
            <w:vMerge w:val="restart"/>
            <w:shd w:val="clear" w:color="auto" w:fill="auto"/>
            <w:tcMar>
              <w:left w:w="0" w:type="dxa"/>
            </w:tcMar>
          </w:tcPr>
          <w:p w14:paraId="553CEA22" w14:textId="77777777" w:rsidR="00C2211E" w:rsidRPr="00D970F7" w:rsidRDefault="00C2211E" w:rsidP="00C2211E">
            <w:pPr>
              <w:pStyle w:val="Marginlie"/>
              <w:rPr>
                <w:spacing w:val="-4"/>
                <w:lang w:val="en-GB"/>
              </w:rPr>
            </w:pPr>
          </w:p>
        </w:tc>
        <w:tc>
          <w:tcPr>
            <w:tcW w:w="216" w:type="dxa"/>
            <w:vMerge w:val="restart"/>
            <w:shd w:val="clear" w:color="auto" w:fill="auto"/>
            <w:tcMar>
              <w:left w:w="0" w:type="dxa"/>
            </w:tcMar>
          </w:tcPr>
          <w:p w14:paraId="1CEF0D4B"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19DDC227" w14:textId="3CE32B18" w:rsidR="00C2211E" w:rsidRPr="00D970F7" w:rsidRDefault="00C2211E" w:rsidP="00C2211E">
            <w:pPr>
              <w:spacing w:after="0"/>
              <w:rPr>
                <w:spacing w:val="-2"/>
                <w:lang w:val="en-GB"/>
              </w:rPr>
            </w:pPr>
            <w:r w:rsidRPr="00D970F7">
              <w:rPr>
                <w:rFonts w:cs="Arial"/>
                <w:b/>
                <w:bCs/>
                <w:color w:val="000000"/>
                <w:szCs w:val="20"/>
                <w:lang w:val="en-GB"/>
              </w:rPr>
              <w:t>Chart 13</w:t>
            </w:r>
            <w:r w:rsidRPr="00D970F7">
              <w:rPr>
                <w:rFonts w:cs="Arial"/>
                <w:b/>
                <w:bCs/>
                <w:color w:val="000000"/>
                <w:sz w:val="18"/>
                <w:szCs w:val="18"/>
                <w:lang w:val="en-GB"/>
              </w:rPr>
              <w:t xml:space="preserve">  </w:t>
            </w:r>
            <w:r w:rsidRPr="00D970F7">
              <w:rPr>
                <w:b/>
                <w:bCs/>
                <w:lang w:val="en-GB" w:eastAsia="en-US"/>
              </w:rPr>
              <w:t xml:space="preserve">Total employment </w:t>
            </w:r>
            <w:r w:rsidRPr="00D970F7">
              <w:rPr>
                <w:lang w:val="en-GB" w:eastAsia="en-US"/>
              </w:rPr>
              <w:t xml:space="preserve">(year-on-year in </w:t>
            </w:r>
            <w:r w:rsidRPr="00D970F7">
              <w:rPr>
                <w:spacing w:val="-2"/>
                <w:lang w:val="en-GB"/>
              </w:rPr>
              <w:t>%)</w:t>
            </w:r>
            <w:r w:rsidRPr="00D970F7">
              <w:rPr>
                <w:b/>
                <w:bCs/>
                <w:spacing w:val="-2"/>
                <w:lang w:val="en-GB"/>
              </w:rPr>
              <w:t xml:space="preserve">, contributions of main branches to year-on-year employment change </w:t>
            </w:r>
            <w:r w:rsidRPr="00D970F7">
              <w:rPr>
                <w:spacing w:val="-2"/>
                <w:lang w:val="en-GB"/>
              </w:rPr>
              <w:t>(in p.p.)</w:t>
            </w:r>
            <w:r w:rsidRPr="00D970F7">
              <w:rPr>
                <w:b/>
                <w:bCs/>
                <w:spacing w:val="-2"/>
                <w:lang w:val="en-GB"/>
              </w:rPr>
              <w:t xml:space="preserve"> and expectations of employment development </w:t>
            </w:r>
            <w:r w:rsidR="0038103D">
              <w:rPr>
                <w:spacing w:val="-2"/>
                <w:lang w:val="en-GB"/>
              </w:rPr>
              <w:t xml:space="preserve">(balance in p.p., </w:t>
            </w:r>
            <w:r w:rsidR="0038103D" w:rsidRPr="00D970F7">
              <w:rPr>
                <w:lang w:val="en-GB"/>
              </w:rPr>
              <w:t>right axis)</w:t>
            </w:r>
          </w:p>
        </w:tc>
      </w:tr>
      <w:tr w:rsidR="00C2211E" w:rsidRPr="00D970F7" w14:paraId="0D766E8A" w14:textId="77777777" w:rsidTr="00C2211E">
        <w:tblPrEx>
          <w:tblCellMar>
            <w:left w:w="70" w:type="dxa"/>
            <w:right w:w="70" w:type="dxa"/>
          </w:tblCellMar>
        </w:tblPrEx>
        <w:trPr>
          <w:trHeight w:val="155"/>
        </w:trPr>
        <w:tc>
          <w:tcPr>
            <w:tcW w:w="1792" w:type="dxa"/>
            <w:vMerge/>
            <w:shd w:val="clear" w:color="auto" w:fill="auto"/>
          </w:tcPr>
          <w:p w14:paraId="76DE3C7B" w14:textId="77777777" w:rsidR="00C2211E" w:rsidRPr="00D970F7" w:rsidRDefault="00C2211E" w:rsidP="00C2211E">
            <w:pPr>
              <w:pStyle w:val="Marginlie"/>
              <w:rPr>
                <w:spacing w:val="-4"/>
                <w:lang w:val="en-GB"/>
              </w:rPr>
            </w:pPr>
          </w:p>
        </w:tc>
        <w:tc>
          <w:tcPr>
            <w:tcW w:w="216" w:type="dxa"/>
            <w:vMerge/>
            <w:shd w:val="clear" w:color="auto" w:fill="auto"/>
          </w:tcPr>
          <w:p w14:paraId="46C33664" w14:textId="77777777" w:rsidR="00C2211E" w:rsidRPr="00D970F7" w:rsidRDefault="00C2211E" w:rsidP="00C2211E">
            <w:pPr>
              <w:pStyle w:val="Textpoznpodarou"/>
              <w:jc w:val="both"/>
              <w:rPr>
                <w:spacing w:val="-4"/>
                <w:lang w:val="en-GB"/>
              </w:rPr>
            </w:pPr>
          </w:p>
        </w:tc>
        <w:tc>
          <w:tcPr>
            <w:tcW w:w="7656" w:type="dxa"/>
            <w:shd w:val="clear" w:color="auto" w:fill="auto"/>
          </w:tcPr>
          <w:p w14:paraId="4A0A6FF9" w14:textId="77777777" w:rsidR="00C2211E" w:rsidRPr="00D970F7" w:rsidRDefault="00C2211E" w:rsidP="00C2211E">
            <w:pPr>
              <w:spacing w:after="0"/>
              <w:rPr>
                <w:spacing w:val="-4"/>
                <w:lang w:val="en-GB"/>
              </w:rPr>
            </w:pPr>
            <w:r>
              <w:rPr>
                <w:noProof/>
              </w:rPr>
              <w:drawing>
                <wp:inline distT="0" distB="0" distL="0" distR="0" wp14:anchorId="49660DD3" wp14:editId="6B2D38FB">
                  <wp:extent cx="4741545" cy="3717984"/>
                  <wp:effectExtent l="0" t="0" r="1905" b="0"/>
                  <wp:docPr id="34" name="Graf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r w:rsidR="00C2211E" w:rsidRPr="00A372FA" w14:paraId="22007001" w14:textId="77777777" w:rsidTr="00C2211E">
        <w:trPr>
          <w:trHeight w:val="671"/>
        </w:trPr>
        <w:tc>
          <w:tcPr>
            <w:tcW w:w="1792" w:type="dxa"/>
            <w:vMerge/>
            <w:shd w:val="clear" w:color="auto" w:fill="auto"/>
            <w:tcMar>
              <w:left w:w="0" w:type="dxa"/>
            </w:tcMar>
          </w:tcPr>
          <w:p w14:paraId="137B57C3" w14:textId="77777777" w:rsidR="00C2211E" w:rsidRPr="00D970F7" w:rsidRDefault="00C2211E" w:rsidP="00C2211E">
            <w:pPr>
              <w:pStyle w:val="Marginlie"/>
              <w:rPr>
                <w:spacing w:val="-4"/>
                <w:lang w:val="en-GB"/>
              </w:rPr>
            </w:pPr>
          </w:p>
        </w:tc>
        <w:tc>
          <w:tcPr>
            <w:tcW w:w="216" w:type="dxa"/>
            <w:vMerge/>
            <w:shd w:val="clear" w:color="auto" w:fill="auto"/>
            <w:tcMar>
              <w:left w:w="0" w:type="dxa"/>
            </w:tcMar>
          </w:tcPr>
          <w:p w14:paraId="7DE28D15"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74B5623" w14:textId="77777777" w:rsidR="00C2211E" w:rsidRPr="00D970F7" w:rsidRDefault="00C2211E" w:rsidP="00C2211E">
            <w:pPr>
              <w:spacing w:after="0" w:line="240" w:lineRule="auto"/>
              <w:rPr>
                <w:rFonts w:cs="Arial"/>
                <w:sz w:val="14"/>
                <w:szCs w:val="14"/>
                <w:lang w:val="en-GB"/>
              </w:rPr>
            </w:pPr>
            <w:r w:rsidRPr="00D970F7">
              <w:rPr>
                <w:rFonts w:cs="Arial"/>
                <w:color w:val="0D0D0D" w:themeColor="text1" w:themeTint="F2"/>
                <w:spacing w:val="-2"/>
                <w:sz w:val="14"/>
                <w:szCs w:val="14"/>
                <w:lang w:val="en-GB"/>
              </w:rPr>
              <w:t>*</w:t>
            </w:r>
            <w:r w:rsidRPr="00D970F7">
              <w:rPr>
                <w:rFonts w:cs="Arial"/>
                <w:sz w:val="14"/>
                <w:szCs w:val="14"/>
                <w:lang w:val="en-GB"/>
              </w:rPr>
              <w:t xml:space="preserve"> Mining and energetics; Financial and insurance activities; Real estate activities; Arts, entertainment and recreation activities;   </w:t>
            </w:r>
          </w:p>
          <w:p w14:paraId="20347221" w14:textId="77777777" w:rsidR="00C2211E" w:rsidRPr="00D970F7" w:rsidRDefault="00C2211E" w:rsidP="00C2211E">
            <w:pPr>
              <w:spacing w:after="0" w:line="240" w:lineRule="auto"/>
              <w:rPr>
                <w:rFonts w:cs="Arial"/>
                <w:sz w:val="14"/>
                <w:szCs w:val="14"/>
                <w:lang w:val="en-GB"/>
              </w:rPr>
            </w:pPr>
            <w:r w:rsidRPr="00D970F7">
              <w:rPr>
                <w:rFonts w:cs="Arial"/>
                <w:sz w:val="14"/>
                <w:szCs w:val="14"/>
                <w:lang w:val="en-GB"/>
              </w:rPr>
              <w:t xml:space="preserve">Note: Balance of expectations expresses the difference in p.p. between categories (growth vs. decrease of employment in the next three months). Data are seasonally adjusted and relate to the last month of the given quarter. </w:t>
            </w:r>
          </w:p>
          <w:p w14:paraId="170B27BE" w14:textId="77777777" w:rsidR="00C2211E" w:rsidRPr="00A372FA" w:rsidRDefault="00C2211E" w:rsidP="00C2211E">
            <w:pPr>
              <w:spacing w:after="220" w:line="240" w:lineRule="auto"/>
              <w:rPr>
                <w:rFonts w:cs="Arial"/>
                <w:sz w:val="14"/>
                <w:szCs w:val="14"/>
                <w:lang w:val="en-GB"/>
              </w:rPr>
            </w:pPr>
            <w:r w:rsidRPr="00D970F7">
              <w:rPr>
                <w:rFonts w:cs="Arial"/>
                <w:sz w:val="14"/>
                <w:szCs w:val="14"/>
                <w:lang w:val="en-GB"/>
              </w:rPr>
              <w:t>Source: CZSO (national accounts, business cycle surveys</w:t>
            </w:r>
            <w:r>
              <w:rPr>
                <w:rFonts w:cs="Arial"/>
                <w:sz w:val="14"/>
                <w:szCs w:val="14"/>
                <w:lang w:val="en-GB"/>
              </w:rPr>
              <w:t>)</w:t>
            </w:r>
          </w:p>
        </w:tc>
      </w:tr>
      <w:tr w:rsidR="00C2211E" w:rsidRPr="00D970F7" w14:paraId="2AE02B2F" w14:textId="77777777" w:rsidTr="00C2211E">
        <w:trPr>
          <w:trHeight w:val="145"/>
        </w:trPr>
        <w:tc>
          <w:tcPr>
            <w:tcW w:w="1792" w:type="dxa"/>
            <w:shd w:val="clear" w:color="auto" w:fill="auto"/>
            <w:tcMar>
              <w:left w:w="0" w:type="dxa"/>
            </w:tcMar>
          </w:tcPr>
          <w:p w14:paraId="05D590E3" w14:textId="77777777" w:rsidR="00C2211E" w:rsidRPr="00D970F7" w:rsidRDefault="00C2211E" w:rsidP="00C2211E">
            <w:pPr>
              <w:pStyle w:val="Marginlie"/>
              <w:rPr>
                <w:lang w:val="en-GB"/>
              </w:rPr>
            </w:pPr>
            <w:r w:rsidRPr="00D970F7">
              <w:rPr>
                <w:lang w:val="en-GB"/>
              </w:rPr>
              <w:lastRenderedPageBreak/>
              <w:t xml:space="preserve">General unemployment rate increased only slightly; the rate grew faster for males. </w:t>
            </w:r>
          </w:p>
          <w:p w14:paraId="6D24029E" w14:textId="77777777" w:rsidR="00C2211E" w:rsidRPr="00D970F7" w:rsidRDefault="00C2211E" w:rsidP="00C2211E">
            <w:pPr>
              <w:pStyle w:val="Marginlie"/>
              <w:rPr>
                <w:lang w:val="en-GB"/>
              </w:rPr>
            </w:pPr>
          </w:p>
          <w:p w14:paraId="19856368" w14:textId="77777777" w:rsidR="00C2211E" w:rsidRPr="00D970F7" w:rsidRDefault="00C2211E" w:rsidP="00C2211E">
            <w:pPr>
              <w:pStyle w:val="Marginlie"/>
              <w:rPr>
                <w:lang w:val="en-GB"/>
              </w:rPr>
            </w:pPr>
          </w:p>
          <w:p w14:paraId="2D4357F0" w14:textId="77777777" w:rsidR="00C2211E" w:rsidRPr="00D970F7" w:rsidRDefault="00C2211E" w:rsidP="00C2211E">
            <w:pPr>
              <w:pStyle w:val="Marginlie"/>
              <w:rPr>
                <w:lang w:val="en-GB"/>
              </w:rPr>
            </w:pPr>
          </w:p>
          <w:p w14:paraId="0B914CC9" w14:textId="77777777" w:rsidR="00C2211E" w:rsidRPr="00D970F7" w:rsidRDefault="00C2211E" w:rsidP="00C2211E">
            <w:pPr>
              <w:pStyle w:val="Marginlie"/>
              <w:rPr>
                <w:lang w:val="en-GB"/>
              </w:rPr>
            </w:pPr>
            <w:r w:rsidRPr="00D970F7">
              <w:rPr>
                <w:lang w:val="en-GB"/>
              </w:rPr>
              <w:t xml:space="preserve">Expectations of households regarding the unemployment growth sharply hiked up. </w:t>
            </w:r>
          </w:p>
        </w:tc>
        <w:tc>
          <w:tcPr>
            <w:tcW w:w="216" w:type="dxa"/>
            <w:shd w:val="clear" w:color="auto" w:fill="auto"/>
            <w:tcMar>
              <w:left w:w="0" w:type="dxa"/>
            </w:tcMar>
          </w:tcPr>
          <w:p w14:paraId="603B7024"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34A0CF6" w14:textId="77777777" w:rsidR="00C2211E" w:rsidRPr="00D970F7" w:rsidRDefault="00C2211E" w:rsidP="00C2211E">
            <w:pPr>
              <w:spacing w:after="220"/>
              <w:rPr>
                <w:spacing w:val="-4"/>
                <w:lang w:val="en-GB"/>
              </w:rPr>
            </w:pPr>
            <w:r w:rsidRPr="00D970F7">
              <w:rPr>
                <w:spacing w:val="-4"/>
                <w:lang w:val="en-GB"/>
              </w:rPr>
              <w:t>General unemployment rate</w:t>
            </w:r>
            <w:r w:rsidRPr="00D970F7">
              <w:rPr>
                <w:rStyle w:val="Znakapoznpodarou"/>
                <w:color w:val="0D0D0D" w:themeColor="text1" w:themeTint="F2"/>
                <w:spacing w:val="-4"/>
                <w:lang w:val="en-GB"/>
              </w:rPr>
              <w:footnoteReference w:id="41"/>
            </w:r>
            <w:r w:rsidRPr="00D970F7">
              <w:rPr>
                <w:spacing w:val="-4"/>
                <w:lang w:val="en-GB"/>
              </w:rPr>
              <w:t xml:space="preserve"> went mildly up during Q2. It was 2.7%, while the difference between genders (0.3 p.p.) was one of the smallest in the monitored time series since year 1993. The unemployment of males rose by 0.8 p.p. since the beginning of this year, by 0.6 p.p. for females. It can seem surprising at first sight, since the recession hit more the branches of services with the predominance of employed women in its first phase. Onset of unemployment of females was softened by the option to draw care benefits</w:t>
            </w:r>
            <w:r w:rsidRPr="00D970F7">
              <w:rPr>
                <w:rStyle w:val="Znakapoznpodarou"/>
                <w:color w:val="0D0D0D" w:themeColor="text1" w:themeTint="F2"/>
                <w:spacing w:val="-4"/>
                <w:lang w:val="en-GB"/>
              </w:rPr>
              <w:footnoteReference w:id="42"/>
            </w:r>
            <w:r w:rsidRPr="00D970F7">
              <w:rPr>
                <w:spacing w:val="-4"/>
                <w:lang w:val="en-GB"/>
              </w:rPr>
              <w:t xml:space="preserve"> for the reason of closing schools and other facilities. Positive fact was that even long-term unemployed were still finding work. Their share on total unemployed neared 20% (the lowest level since half of 90s). However, the balance of expectations of growth of unemployment in the economy (in the upcoming twelve months) among households sharply hiked up and it got to the level last observed in year 2012</w:t>
            </w:r>
            <w:r w:rsidRPr="00D970F7">
              <w:rPr>
                <w:rStyle w:val="Znakapoznpodarou"/>
                <w:color w:val="0D0D0D" w:themeColor="text1" w:themeTint="F2"/>
                <w:spacing w:val="-4"/>
                <w:lang w:val="en-GB"/>
              </w:rPr>
              <w:footnoteReference w:id="43"/>
            </w:r>
            <w:r w:rsidRPr="00D970F7">
              <w:rPr>
                <w:spacing w:val="-4"/>
                <w:lang w:val="en-GB"/>
              </w:rPr>
              <w:t xml:space="preserve"> in Q2.</w:t>
            </w:r>
          </w:p>
        </w:tc>
      </w:tr>
      <w:tr w:rsidR="00C2211E" w:rsidRPr="00D970F7" w14:paraId="0B2E65EC" w14:textId="77777777" w:rsidTr="00C2211E">
        <w:trPr>
          <w:trHeight w:val="145"/>
        </w:trPr>
        <w:tc>
          <w:tcPr>
            <w:tcW w:w="1792" w:type="dxa"/>
            <w:shd w:val="clear" w:color="auto" w:fill="auto"/>
            <w:tcMar>
              <w:left w:w="0" w:type="dxa"/>
            </w:tcMar>
          </w:tcPr>
          <w:p w14:paraId="74E5808A" w14:textId="77777777" w:rsidR="00C2211E" w:rsidRPr="00D970F7" w:rsidRDefault="00C2211E" w:rsidP="00C2211E">
            <w:pPr>
              <w:pStyle w:val="Marginlie"/>
              <w:rPr>
                <w:lang w:val="en-GB"/>
              </w:rPr>
            </w:pPr>
            <w:r w:rsidRPr="00D970F7">
              <w:rPr>
                <w:lang w:val="en-GB"/>
              </w:rPr>
              <w:t xml:space="preserve">Number of registered job vacancies only slightly fluctuated. Higher increase occurred in Prague and central Bohemia. </w:t>
            </w:r>
          </w:p>
        </w:tc>
        <w:tc>
          <w:tcPr>
            <w:tcW w:w="216" w:type="dxa"/>
            <w:shd w:val="clear" w:color="auto" w:fill="auto"/>
            <w:tcMar>
              <w:left w:w="0" w:type="dxa"/>
            </w:tcMar>
          </w:tcPr>
          <w:p w14:paraId="23811F80"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BA24499" w14:textId="77777777" w:rsidR="00C2211E" w:rsidRPr="00D970F7" w:rsidRDefault="00C2211E" w:rsidP="00C2211E">
            <w:pPr>
              <w:spacing w:after="200"/>
              <w:rPr>
                <w:spacing w:val="-3"/>
                <w:lang w:val="en-GB"/>
              </w:rPr>
            </w:pPr>
            <w:r w:rsidRPr="00D970F7">
              <w:rPr>
                <w:spacing w:val="-4"/>
                <w:lang w:val="en-GB"/>
              </w:rPr>
              <w:t>Number of job vacancies in the supply of labour offices did not feature any significant changes during H1. It equalled 334 thousand at the end of June and fell by 3.5% year-on-year (nevertheless by 15% for positions requiring higher than primary education). More than one third of positions was vacant for more than one year. Total supply of job vacancies decreased in manufacturing (in servicing machinery and equipment), in trade or administrative as well as support service activities. As a result of difficult mobility of foreign workers, the number of vacant jobs expanded in the primary sector. Growth of the total supply of job vacancies occurred in Prague (+15%) and central Bohemia (+12%), for the overwhelming part it consisted of low-qualification manual positions (for persons with primary education).</w:t>
            </w:r>
          </w:p>
        </w:tc>
      </w:tr>
      <w:tr w:rsidR="00C2211E" w:rsidRPr="00D970F7" w14:paraId="4A1E130B" w14:textId="77777777" w:rsidTr="00C2211E">
        <w:trPr>
          <w:trHeight w:val="145"/>
        </w:trPr>
        <w:tc>
          <w:tcPr>
            <w:tcW w:w="1792" w:type="dxa"/>
            <w:shd w:val="clear" w:color="auto" w:fill="auto"/>
            <w:tcMar>
              <w:left w:w="0" w:type="dxa"/>
            </w:tcMar>
          </w:tcPr>
          <w:p w14:paraId="0E08B507" w14:textId="77777777" w:rsidR="00C2211E" w:rsidRPr="00D970F7" w:rsidRDefault="00C2211E" w:rsidP="00C2211E">
            <w:pPr>
              <w:pStyle w:val="Marginlie"/>
              <w:rPr>
                <w:lang w:val="en-GB"/>
              </w:rPr>
            </w:pPr>
            <w:r w:rsidRPr="00D970F7">
              <w:rPr>
                <w:lang w:val="en-GB"/>
              </w:rPr>
              <w:t>Total unemployment rate increased only slightly in majority of the EU states for H1. It grew faster for persons up to 25 years.</w:t>
            </w:r>
          </w:p>
        </w:tc>
        <w:tc>
          <w:tcPr>
            <w:tcW w:w="216" w:type="dxa"/>
            <w:shd w:val="clear" w:color="auto" w:fill="auto"/>
            <w:tcMar>
              <w:left w:w="0" w:type="dxa"/>
            </w:tcMar>
          </w:tcPr>
          <w:p w14:paraId="7F157A0C"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5F81A83" w14:textId="77777777" w:rsidR="00C2211E" w:rsidRPr="00D970F7" w:rsidRDefault="00C2211E" w:rsidP="00C2211E">
            <w:pPr>
              <w:spacing w:after="160"/>
              <w:rPr>
                <w:spacing w:val="-4"/>
                <w:lang w:val="en-GB"/>
              </w:rPr>
            </w:pPr>
            <w:r w:rsidRPr="00D970F7">
              <w:rPr>
                <w:spacing w:val="-4"/>
                <w:lang w:val="en-GB"/>
              </w:rPr>
              <w:t>Mild reaction of the labour market to the economic shock can be observed in the majority of EU countries</w:t>
            </w:r>
            <w:r w:rsidRPr="00D970F7">
              <w:rPr>
                <w:rStyle w:val="Znakapoznpodarou"/>
                <w:color w:val="0D0D0D" w:themeColor="text1" w:themeTint="F2"/>
                <w:spacing w:val="-4"/>
                <w:lang w:val="en-GB"/>
              </w:rPr>
              <w:footnoteReference w:id="44"/>
            </w:r>
            <w:r w:rsidRPr="00D970F7">
              <w:rPr>
                <w:spacing w:val="-4"/>
                <w:lang w:val="en-GB"/>
              </w:rPr>
              <w:t xml:space="preserve"> for now. The unemployment rate</w:t>
            </w:r>
            <w:r w:rsidRPr="00D970F7">
              <w:rPr>
                <w:rStyle w:val="Znakapoznpodarou"/>
                <w:color w:val="0D0D0D" w:themeColor="text1" w:themeTint="F2"/>
                <w:spacing w:val="-4"/>
                <w:lang w:val="en-GB"/>
              </w:rPr>
              <w:footnoteReference w:id="45"/>
            </w:r>
            <w:r w:rsidRPr="00D970F7">
              <w:rPr>
                <w:spacing w:val="-4"/>
                <w:lang w:val="en-GB"/>
              </w:rPr>
              <w:t xml:space="preserve"> rose by 0.6 p.p. (without significant differences between males and females) during H1, it arrived at 7.1% in June. Only three states avoided decrease (Ireland, France, Italy), on the contrary Estonia, Latvia, Lithuania and Croatia registered growth within the rage of 2.5 to 3.5 p.p. Interestingly also, a lowest GDP decrease eventuated in the Baltic states compared to the EU members in Q2. Frequent employment in the affected branches as well as large share of more flexible job contracts led to higher increase of unemployment of young persons (aged up to 25 years) in the EU in H1 (+3.0 p. b. for females, +1.4 p.p. for males). It increased the most in Estonia (+14 p.p.) and Spain (+10 p.p.), where it reached maximum among the Union members (42%)</w:t>
            </w:r>
            <w:r w:rsidRPr="00D970F7">
              <w:rPr>
                <w:rStyle w:val="Znakapoznpodarou"/>
                <w:color w:val="0D0D0D" w:themeColor="text1" w:themeTint="F2"/>
                <w:spacing w:val="-4"/>
                <w:lang w:val="en-GB"/>
              </w:rPr>
              <w:footnoteReference w:id="46"/>
            </w:r>
            <w:r w:rsidRPr="00D970F7">
              <w:rPr>
                <w:spacing w:val="-4"/>
                <w:lang w:val="en-GB"/>
              </w:rPr>
              <w:t>. Sweden, Luxembourg, Croatia and Portugal registered larger shift (by more than 7 p.p.). The shift was below 4 p.p. in the CR, unemployment still ranked among one of the lowest even in this age group in the whole EU (CR 8.6%, Germany 5.7%, EU 16.9%).</w:t>
            </w:r>
          </w:p>
        </w:tc>
      </w:tr>
      <w:tr w:rsidR="00C2211E" w:rsidRPr="00D970F7" w14:paraId="64BD0AF0" w14:textId="77777777" w:rsidTr="00C2211E">
        <w:trPr>
          <w:trHeight w:val="145"/>
        </w:trPr>
        <w:tc>
          <w:tcPr>
            <w:tcW w:w="1792" w:type="dxa"/>
            <w:shd w:val="clear" w:color="auto" w:fill="auto"/>
            <w:tcMar>
              <w:left w:w="0" w:type="dxa"/>
            </w:tcMar>
          </w:tcPr>
          <w:p w14:paraId="7ECD65C8" w14:textId="77777777" w:rsidR="00C2211E" w:rsidRPr="00D970F7" w:rsidRDefault="00C2211E" w:rsidP="00C2211E">
            <w:pPr>
              <w:pStyle w:val="Marginlie"/>
              <w:rPr>
                <w:lang w:val="en-GB"/>
              </w:rPr>
            </w:pPr>
            <w:r w:rsidRPr="00D970F7">
              <w:rPr>
                <w:lang w:val="en-GB"/>
              </w:rPr>
              <w:t>So called hidden unemployment increased significantly in the EU already during Q1.</w:t>
            </w:r>
          </w:p>
        </w:tc>
        <w:tc>
          <w:tcPr>
            <w:tcW w:w="216" w:type="dxa"/>
            <w:shd w:val="clear" w:color="auto" w:fill="auto"/>
            <w:tcMar>
              <w:left w:w="0" w:type="dxa"/>
            </w:tcMar>
          </w:tcPr>
          <w:p w14:paraId="28C6B33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9D67E6D" w14:textId="77777777" w:rsidR="00C2211E" w:rsidRPr="00D970F7" w:rsidRDefault="00C2211E" w:rsidP="00C2211E">
            <w:pPr>
              <w:spacing w:after="160"/>
              <w:rPr>
                <w:spacing w:val="-4"/>
                <w:lang w:val="en-GB"/>
              </w:rPr>
            </w:pPr>
            <w:r w:rsidRPr="00D970F7">
              <w:rPr>
                <w:spacing w:val="-4"/>
                <w:lang w:val="en-GB"/>
              </w:rPr>
              <w:t>Differences between the EU states in the existing impacts of the shock on the labour market were influenced by the speed as well as intensity of adopted counter pandemic measures, branch structure of the economy as well as extent of government stabilisation measures aimed at both employers and small-scale entrepreneurs. Data for Q1 already suggest, that the transfer of employed among economically inactive was the most significant flow on the Union labour market</w:t>
            </w:r>
            <w:r w:rsidRPr="00D970F7">
              <w:rPr>
                <w:rStyle w:val="Znakapoznpodarou"/>
                <w:color w:val="0D0D0D" w:themeColor="text1" w:themeTint="F2"/>
                <w:spacing w:val="-4"/>
                <w:lang w:val="en-GB"/>
              </w:rPr>
              <w:footnoteReference w:id="47"/>
            </w:r>
            <w:r w:rsidRPr="00D970F7">
              <w:rPr>
                <w:spacing w:val="-4"/>
                <w:lang w:val="en-GB"/>
              </w:rPr>
              <w:t xml:space="preserve">. Part of these inactive can be at the same time regarded as hidden </w:t>
            </w:r>
            <w:r w:rsidRPr="00D970F7">
              <w:rPr>
                <w:spacing w:val="-4"/>
                <w:lang w:val="en-GB"/>
              </w:rPr>
              <w:lastRenderedPageBreak/>
              <w:t>unemployed</w:t>
            </w:r>
            <w:r w:rsidRPr="00D970F7">
              <w:rPr>
                <w:rStyle w:val="Znakapoznpodarou"/>
                <w:color w:val="0D0D0D" w:themeColor="text1" w:themeTint="F2"/>
                <w:spacing w:val="-4"/>
                <w:lang w:val="en-GB"/>
              </w:rPr>
              <w:footnoteReference w:id="48"/>
            </w:r>
            <w:r w:rsidRPr="00D970F7">
              <w:rPr>
                <w:spacing w:val="-4"/>
                <w:lang w:val="en-GB"/>
              </w:rPr>
              <w:t>. Their ratio to the total number of economically active increased from 6.8% to 7.4% compared to Q4 2019 and attained high values even compared to “classical” unemployment in some states (Italy, 14.7%, Finland 10.6%), however very low 0.9% in the CR.</w:t>
            </w:r>
          </w:p>
        </w:tc>
      </w:tr>
      <w:tr w:rsidR="00C2211E" w:rsidRPr="00D970F7" w14:paraId="39AA320A" w14:textId="77777777" w:rsidTr="00C2211E">
        <w:trPr>
          <w:trHeight w:val="155"/>
        </w:trPr>
        <w:tc>
          <w:tcPr>
            <w:tcW w:w="1792" w:type="dxa"/>
            <w:vMerge w:val="restart"/>
            <w:shd w:val="clear" w:color="auto" w:fill="auto"/>
            <w:tcMar>
              <w:left w:w="0" w:type="dxa"/>
            </w:tcMar>
          </w:tcPr>
          <w:p w14:paraId="4359963E" w14:textId="77777777" w:rsidR="00C2211E" w:rsidRPr="00D970F7" w:rsidRDefault="00C2211E" w:rsidP="00C2211E">
            <w:pPr>
              <w:pStyle w:val="Marginlie"/>
              <w:rPr>
                <w:spacing w:val="-4"/>
                <w:lang w:val="en-GB"/>
              </w:rPr>
            </w:pPr>
          </w:p>
        </w:tc>
        <w:tc>
          <w:tcPr>
            <w:tcW w:w="216" w:type="dxa"/>
            <w:vMerge w:val="restart"/>
            <w:shd w:val="clear" w:color="auto" w:fill="auto"/>
            <w:tcMar>
              <w:left w:w="0" w:type="dxa"/>
            </w:tcMar>
          </w:tcPr>
          <w:p w14:paraId="5EE5A86E"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B7B70FC" w14:textId="77777777" w:rsidR="00C2211E" w:rsidRPr="00D970F7" w:rsidRDefault="00C2211E" w:rsidP="00C2211E">
            <w:pPr>
              <w:spacing w:after="0"/>
              <w:rPr>
                <w:b/>
                <w:spacing w:val="-2"/>
                <w:lang w:val="en-GB"/>
              </w:rPr>
            </w:pPr>
            <w:r w:rsidRPr="00D970F7">
              <w:rPr>
                <w:b/>
                <w:spacing w:val="-2"/>
                <w:lang w:val="en-GB"/>
              </w:rPr>
              <w:t xml:space="preserve">Chart 14  </w:t>
            </w:r>
            <w:r w:rsidRPr="00D970F7">
              <w:rPr>
                <w:rFonts w:cs="Arial"/>
                <w:b/>
                <w:spacing w:val="-3"/>
                <w:lang w:val="en-GB"/>
              </w:rPr>
              <w:t xml:space="preserve">General unemployment rate </w:t>
            </w:r>
            <w:r w:rsidRPr="00D970F7">
              <w:rPr>
                <w:rFonts w:cs="Arial"/>
                <w:bCs/>
                <w:spacing w:val="-3"/>
                <w:lang w:val="en-GB"/>
              </w:rPr>
              <w:t>(in %)</w:t>
            </w:r>
            <w:r w:rsidRPr="00D970F7">
              <w:rPr>
                <w:rFonts w:cs="Arial"/>
                <w:b/>
                <w:spacing w:val="-3"/>
                <w:lang w:val="en-GB"/>
              </w:rPr>
              <w:t xml:space="preserve">, ratio of long-term unemployed and persons aged 50 and more among unemployed </w:t>
            </w:r>
            <w:r w:rsidRPr="00D970F7">
              <w:rPr>
                <w:rFonts w:cs="Arial"/>
                <w:bCs/>
                <w:spacing w:val="-3"/>
                <w:lang w:val="en-GB"/>
              </w:rPr>
              <w:t>(in %)</w:t>
            </w:r>
            <w:r w:rsidRPr="00D970F7">
              <w:rPr>
                <w:rFonts w:cs="Arial"/>
                <w:b/>
                <w:spacing w:val="-3"/>
                <w:lang w:val="en-GB"/>
              </w:rPr>
              <w:t xml:space="preserve">, economically inactive willing to work </w:t>
            </w:r>
            <w:r w:rsidRPr="00D970F7">
              <w:rPr>
                <w:rFonts w:cs="Arial"/>
                <w:bCs/>
                <w:spacing w:val="-3"/>
                <w:lang w:val="en-GB"/>
              </w:rPr>
              <w:t>(in thousand)</w:t>
            </w:r>
            <w:r w:rsidRPr="00D970F7">
              <w:rPr>
                <w:rFonts w:cs="Arial"/>
                <w:bCs/>
                <w:spacing w:val="-2"/>
                <w:lang w:val="en-GB"/>
              </w:rPr>
              <w:t>*</w:t>
            </w:r>
            <w:r w:rsidRPr="00D970F7">
              <w:rPr>
                <w:rFonts w:cs="Arial"/>
                <w:b/>
                <w:spacing w:val="-3"/>
                <w:lang w:val="en-GB"/>
              </w:rPr>
              <w:t xml:space="preserve"> and unemployment expectations of households </w:t>
            </w:r>
            <w:r w:rsidRPr="00D970F7">
              <w:rPr>
                <w:rFonts w:cs="Arial"/>
                <w:bCs/>
                <w:spacing w:val="-2"/>
                <w:lang w:val="en-GB"/>
              </w:rPr>
              <w:t>(in %)**</w:t>
            </w:r>
          </w:p>
        </w:tc>
      </w:tr>
      <w:tr w:rsidR="00C2211E" w:rsidRPr="00D970F7" w14:paraId="6C0D3FD6" w14:textId="77777777" w:rsidTr="00C2211E">
        <w:tblPrEx>
          <w:tblCellMar>
            <w:left w:w="70" w:type="dxa"/>
            <w:right w:w="70" w:type="dxa"/>
          </w:tblCellMar>
        </w:tblPrEx>
        <w:trPr>
          <w:trHeight w:val="155"/>
        </w:trPr>
        <w:tc>
          <w:tcPr>
            <w:tcW w:w="1792" w:type="dxa"/>
            <w:vMerge/>
            <w:shd w:val="clear" w:color="auto" w:fill="auto"/>
          </w:tcPr>
          <w:p w14:paraId="514E6FD7" w14:textId="77777777" w:rsidR="00C2211E" w:rsidRPr="00D970F7" w:rsidRDefault="00C2211E" w:rsidP="00C2211E">
            <w:pPr>
              <w:pStyle w:val="Marginlie"/>
              <w:rPr>
                <w:spacing w:val="-4"/>
                <w:lang w:val="en-GB"/>
              </w:rPr>
            </w:pPr>
          </w:p>
        </w:tc>
        <w:tc>
          <w:tcPr>
            <w:tcW w:w="216" w:type="dxa"/>
            <w:vMerge/>
            <w:shd w:val="clear" w:color="auto" w:fill="auto"/>
          </w:tcPr>
          <w:p w14:paraId="49256C83" w14:textId="77777777" w:rsidR="00C2211E" w:rsidRPr="00D970F7" w:rsidRDefault="00C2211E" w:rsidP="00C2211E">
            <w:pPr>
              <w:pStyle w:val="Textpoznpodarou"/>
              <w:jc w:val="both"/>
              <w:rPr>
                <w:spacing w:val="-4"/>
                <w:lang w:val="en-GB"/>
              </w:rPr>
            </w:pPr>
          </w:p>
        </w:tc>
        <w:tc>
          <w:tcPr>
            <w:tcW w:w="7656" w:type="dxa"/>
            <w:shd w:val="clear" w:color="auto" w:fill="auto"/>
          </w:tcPr>
          <w:p w14:paraId="3BC0BC86" w14:textId="77777777" w:rsidR="00C2211E" w:rsidRPr="00D970F7" w:rsidRDefault="00C2211E" w:rsidP="00C2211E">
            <w:pPr>
              <w:spacing w:after="0"/>
              <w:rPr>
                <w:spacing w:val="-4"/>
                <w:lang w:val="en-GB"/>
              </w:rPr>
            </w:pPr>
            <w:r>
              <w:rPr>
                <w:noProof/>
              </w:rPr>
              <w:drawing>
                <wp:inline distT="0" distB="0" distL="0" distR="0" wp14:anchorId="40EFF383" wp14:editId="505DCC05">
                  <wp:extent cx="4715772" cy="3567706"/>
                  <wp:effectExtent l="0" t="0" r="8890" b="0"/>
                  <wp:docPr id="36" name="Graf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C2211E" w:rsidRPr="00094367" w14:paraId="7559FD80" w14:textId="77777777" w:rsidTr="00C2211E">
        <w:trPr>
          <w:trHeight w:val="671"/>
        </w:trPr>
        <w:tc>
          <w:tcPr>
            <w:tcW w:w="1792" w:type="dxa"/>
            <w:vMerge/>
            <w:shd w:val="clear" w:color="auto" w:fill="auto"/>
            <w:tcMar>
              <w:left w:w="0" w:type="dxa"/>
            </w:tcMar>
          </w:tcPr>
          <w:p w14:paraId="5356E8CE" w14:textId="77777777" w:rsidR="00C2211E" w:rsidRPr="00D970F7" w:rsidRDefault="00C2211E" w:rsidP="00C2211E">
            <w:pPr>
              <w:pStyle w:val="Marginlie"/>
              <w:rPr>
                <w:spacing w:val="-4"/>
                <w:lang w:val="en-GB"/>
              </w:rPr>
            </w:pPr>
          </w:p>
        </w:tc>
        <w:tc>
          <w:tcPr>
            <w:tcW w:w="216" w:type="dxa"/>
            <w:vMerge/>
            <w:shd w:val="clear" w:color="auto" w:fill="auto"/>
            <w:tcMar>
              <w:left w:w="0" w:type="dxa"/>
            </w:tcMar>
          </w:tcPr>
          <w:p w14:paraId="482E0E9D"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9F36677" w14:textId="77777777" w:rsidR="00C2211E" w:rsidRPr="00D970F7" w:rsidRDefault="00C2211E" w:rsidP="00C2211E">
            <w:pPr>
              <w:spacing w:after="0" w:line="240" w:lineRule="auto"/>
              <w:rPr>
                <w:rFonts w:cs="Arial"/>
                <w:color w:val="0D0D0D" w:themeColor="text1" w:themeTint="F2"/>
                <w:sz w:val="14"/>
                <w:szCs w:val="14"/>
                <w:lang w:val="en-GB"/>
              </w:rPr>
            </w:pPr>
            <w:r w:rsidRPr="00D970F7">
              <w:rPr>
                <w:rFonts w:cs="Arial"/>
                <w:color w:val="0D0D0D" w:themeColor="text1" w:themeTint="F2"/>
                <w:sz w:val="14"/>
                <w:szCs w:val="14"/>
                <w:lang w:val="en-GB"/>
              </w:rPr>
              <w:t>Note.: Figures regarding the unemployment rate are seasonally adjusted, other data are not.</w:t>
            </w:r>
          </w:p>
          <w:p w14:paraId="79AEBD5E" w14:textId="77777777" w:rsidR="00C2211E" w:rsidRPr="00D970F7" w:rsidRDefault="00C2211E" w:rsidP="00C2211E">
            <w:pPr>
              <w:spacing w:after="0" w:line="240" w:lineRule="auto"/>
              <w:rPr>
                <w:rFonts w:cs="Arial"/>
                <w:bCs/>
                <w:color w:val="0D0D0D" w:themeColor="text1" w:themeTint="F2"/>
                <w:sz w:val="14"/>
                <w:szCs w:val="14"/>
                <w:lang w:val="en-GB"/>
              </w:rPr>
            </w:pPr>
            <w:r w:rsidRPr="00D970F7">
              <w:rPr>
                <w:rFonts w:cs="Arial"/>
                <w:bCs/>
                <w:color w:val="0D0D0D" w:themeColor="text1" w:themeTint="F2"/>
                <w:sz w:val="14"/>
                <w:szCs w:val="14"/>
                <w:lang w:val="en-GB"/>
              </w:rPr>
              <w:t xml:space="preserve">*Persons not in employment, not seeking work, but expressing the willingness to work. </w:t>
            </w:r>
          </w:p>
          <w:p w14:paraId="3FA3ACB2" w14:textId="77777777" w:rsidR="00C2211E" w:rsidRPr="00D970F7" w:rsidRDefault="00C2211E" w:rsidP="00C2211E">
            <w:pPr>
              <w:spacing w:after="0" w:line="240" w:lineRule="auto"/>
              <w:rPr>
                <w:rFonts w:cs="Arial"/>
                <w:color w:val="0D0D0D" w:themeColor="text1" w:themeTint="F2"/>
                <w:spacing w:val="-2"/>
                <w:sz w:val="14"/>
                <w:szCs w:val="14"/>
                <w:lang w:val="en-GB"/>
              </w:rPr>
            </w:pPr>
            <w:r w:rsidRPr="00D970F7">
              <w:rPr>
                <w:rFonts w:cs="Arial"/>
                <w:color w:val="0D0D0D" w:themeColor="text1" w:themeTint="F2"/>
                <w:spacing w:val="-2"/>
                <w:sz w:val="14"/>
                <w:szCs w:val="14"/>
                <w:lang w:val="en-GB"/>
              </w:rPr>
              <w:t xml:space="preserve">**Seasonally adjusted balance of expectations of unemployment in the next 12 months (difference between percentage frequency of answers of households “growth” and “decrease” expressed in percentage points. Data relate to the last month of the given quarter. </w:t>
            </w:r>
          </w:p>
          <w:p w14:paraId="0524F1B9" w14:textId="77777777" w:rsidR="00C2211E" w:rsidRPr="00094367" w:rsidRDefault="00C2211E" w:rsidP="00C2211E">
            <w:pPr>
              <w:spacing w:after="220" w:line="240" w:lineRule="auto"/>
              <w:rPr>
                <w:rFonts w:cs="Arial"/>
                <w:color w:val="0D0D0D" w:themeColor="text1" w:themeTint="F2"/>
                <w:sz w:val="14"/>
                <w:szCs w:val="14"/>
                <w:lang w:val="en-GB"/>
              </w:rPr>
            </w:pPr>
            <w:r w:rsidRPr="00D970F7">
              <w:rPr>
                <w:rFonts w:cs="Arial"/>
                <w:color w:val="0D0D0D" w:themeColor="text1" w:themeTint="F2"/>
                <w:sz w:val="14"/>
                <w:szCs w:val="14"/>
                <w:lang w:val="en-GB"/>
              </w:rPr>
              <w:t>Source: CZSO</w:t>
            </w:r>
            <w:r>
              <w:rPr>
                <w:rFonts w:cs="Arial"/>
                <w:color w:val="0D0D0D" w:themeColor="text1" w:themeTint="F2"/>
                <w:sz w:val="14"/>
                <w:szCs w:val="14"/>
                <w:lang w:val="en-GB"/>
              </w:rPr>
              <w:t xml:space="preserve"> (LFSS, business cycle surveys)</w:t>
            </w:r>
          </w:p>
        </w:tc>
      </w:tr>
      <w:tr w:rsidR="00C2211E" w:rsidRPr="00D970F7" w14:paraId="4BEB904B" w14:textId="77777777" w:rsidTr="00C2211E">
        <w:trPr>
          <w:trHeight w:val="145"/>
        </w:trPr>
        <w:tc>
          <w:tcPr>
            <w:tcW w:w="1792" w:type="dxa"/>
            <w:shd w:val="clear" w:color="auto" w:fill="auto"/>
            <w:tcMar>
              <w:left w:w="0" w:type="dxa"/>
            </w:tcMar>
          </w:tcPr>
          <w:p w14:paraId="185F19A7" w14:textId="77777777" w:rsidR="00C2211E" w:rsidRPr="00D970F7" w:rsidRDefault="00C2211E" w:rsidP="00C2211E">
            <w:pPr>
              <w:pStyle w:val="Marginlie"/>
              <w:rPr>
                <w:lang w:val="en-GB"/>
              </w:rPr>
            </w:pPr>
            <w:r w:rsidRPr="00D970F7">
              <w:rPr>
                <w:lang w:val="en-GB"/>
              </w:rPr>
              <w:t xml:space="preserve">Size of average wages dropped by 3.1% quarter-on-quarter and partially reflected the deeper slump of the number of hours worked. </w:t>
            </w:r>
          </w:p>
          <w:p w14:paraId="1367E2C7" w14:textId="77777777" w:rsidR="00C2211E" w:rsidRPr="00D970F7" w:rsidRDefault="00C2211E" w:rsidP="00C2211E">
            <w:pPr>
              <w:pStyle w:val="Marginlie"/>
              <w:rPr>
                <w:lang w:val="en-GB"/>
              </w:rPr>
            </w:pPr>
          </w:p>
          <w:p w14:paraId="1373AE3C" w14:textId="77777777" w:rsidR="00C2211E" w:rsidRPr="00D970F7" w:rsidRDefault="00C2211E" w:rsidP="00C2211E">
            <w:pPr>
              <w:pStyle w:val="Marginlie"/>
              <w:rPr>
                <w:lang w:val="en-GB"/>
              </w:rPr>
            </w:pPr>
          </w:p>
          <w:p w14:paraId="57EFE147" w14:textId="77777777" w:rsidR="00C2211E" w:rsidRPr="00D970F7" w:rsidRDefault="00C2211E" w:rsidP="00C2211E">
            <w:pPr>
              <w:pStyle w:val="Marginlie"/>
              <w:rPr>
                <w:lang w:val="en-GB"/>
              </w:rPr>
            </w:pPr>
          </w:p>
          <w:p w14:paraId="28A24473" w14:textId="77777777" w:rsidR="00C2211E" w:rsidRPr="00D970F7" w:rsidRDefault="00C2211E" w:rsidP="00C2211E">
            <w:pPr>
              <w:pStyle w:val="Marginlie"/>
              <w:rPr>
                <w:lang w:val="en-GB"/>
              </w:rPr>
            </w:pPr>
          </w:p>
          <w:p w14:paraId="7428B994" w14:textId="77777777" w:rsidR="00C2211E" w:rsidRPr="00D970F7" w:rsidRDefault="00C2211E" w:rsidP="00C2211E">
            <w:pPr>
              <w:pStyle w:val="Marginlie"/>
              <w:rPr>
                <w:lang w:val="en-GB"/>
              </w:rPr>
            </w:pPr>
            <w:r w:rsidRPr="00D970F7">
              <w:rPr>
                <w:lang w:val="en-GB"/>
              </w:rPr>
              <w:t xml:space="preserve">In the year-on-year expression, mild growth of wages persisted. Factors preventing fast </w:t>
            </w:r>
            <w:r w:rsidRPr="00D970F7">
              <w:rPr>
                <w:lang w:val="en-GB"/>
              </w:rPr>
              <w:lastRenderedPageBreak/>
              <w:t xml:space="preserve">downturn of the wage dynamics still worked. </w:t>
            </w:r>
          </w:p>
        </w:tc>
        <w:tc>
          <w:tcPr>
            <w:tcW w:w="216" w:type="dxa"/>
            <w:shd w:val="clear" w:color="auto" w:fill="auto"/>
            <w:tcMar>
              <w:left w:w="0" w:type="dxa"/>
            </w:tcMar>
          </w:tcPr>
          <w:p w14:paraId="59645FBF" w14:textId="77777777" w:rsidR="00C2211E" w:rsidRPr="00D970F7" w:rsidRDefault="00C2211E" w:rsidP="00C2211E">
            <w:pPr>
              <w:pStyle w:val="Textpoznpodarou"/>
              <w:spacing w:after="200"/>
              <w:jc w:val="both"/>
              <w:rPr>
                <w:spacing w:val="-4"/>
                <w:lang w:val="en-GB"/>
              </w:rPr>
            </w:pPr>
          </w:p>
        </w:tc>
        <w:tc>
          <w:tcPr>
            <w:tcW w:w="7656" w:type="dxa"/>
            <w:shd w:val="clear" w:color="auto" w:fill="auto"/>
            <w:tcMar>
              <w:left w:w="0" w:type="dxa"/>
            </w:tcMar>
          </w:tcPr>
          <w:p w14:paraId="7AB9FB53" w14:textId="77777777" w:rsidR="00C2211E" w:rsidRPr="00D970F7" w:rsidRDefault="00C2211E" w:rsidP="00C2211E">
            <w:pPr>
              <w:spacing w:after="200"/>
              <w:rPr>
                <w:spacing w:val="-4"/>
                <w:lang w:val="en-GB"/>
              </w:rPr>
            </w:pPr>
            <w:r w:rsidRPr="00D970F7">
              <w:rPr>
                <w:spacing w:val="-4"/>
                <w:lang w:val="en-GB"/>
              </w:rPr>
              <w:t>Restriction of operations as well as temporary closing of some businesses especially in the area of market services or manufacturing (as a consequence of both quarantine measures and longer-term decrease of demand) must have manifested also in the wage area. The size of average wages (after seasonal adjustment) dropped to record 3.1% in comparison to the preceding quarter in Q2 (it still grew by 1.1% in Q1). In the year-on-year comparison the wage growth nearly halted (+0.5%), lower dynamics was comparable in the 20year time series only during year 2013, when however, the rates of growth were artificially oscillated</w:t>
            </w:r>
            <w:r w:rsidRPr="00D970F7">
              <w:rPr>
                <w:rStyle w:val="Znakapoznpodarou"/>
                <w:color w:val="0D0D0D" w:themeColor="text1" w:themeTint="F2"/>
                <w:spacing w:val="-4"/>
                <w:lang w:val="en-GB"/>
              </w:rPr>
              <w:footnoteReference w:id="49"/>
            </w:r>
            <w:r w:rsidRPr="00D970F7">
              <w:rPr>
                <w:spacing w:val="-4"/>
                <w:lang w:val="en-GB"/>
              </w:rPr>
              <w:t>. Weaker wage growth rates partially mirrored the steeper fall of average hours worked</w:t>
            </w:r>
            <w:r w:rsidRPr="00D970F7">
              <w:rPr>
                <w:rStyle w:val="Znakapoznpodarou"/>
                <w:color w:val="0D0D0D" w:themeColor="text1" w:themeTint="F2"/>
                <w:spacing w:val="-4"/>
                <w:lang w:val="en-GB"/>
              </w:rPr>
              <w:footnoteReference w:id="50"/>
            </w:r>
            <w:r w:rsidRPr="00D970F7">
              <w:rPr>
                <w:spacing w:val="-4"/>
                <w:lang w:val="en-GB"/>
              </w:rPr>
              <w:t xml:space="preserve">. The administrative influences (raising of the minimal wage and bands of guaranteed wages) as well as the tense condition of the labour market at the beginning of the year (characterised among other things by the lack of labour force), which partially prevailed in </w:t>
            </w:r>
            <w:r w:rsidRPr="00D970F7">
              <w:rPr>
                <w:spacing w:val="-4"/>
                <w:lang w:val="en-GB"/>
              </w:rPr>
              <w:lastRenderedPageBreak/>
              <w:t>some branches also in the summer period, prevented deeper reduction of the size of earnings. Rigidity of wages (existence of longer-term internal contracts of enterprises regarding the growth of wages or the tariff system in the public sphere) also played a role. It cannot be excluded, that the worsened economic situation of businesses could have been reflected also in the reduction in the area of non-wage employee compensations this year.</w:t>
            </w:r>
          </w:p>
        </w:tc>
      </w:tr>
      <w:tr w:rsidR="00C2211E" w:rsidRPr="00D970F7" w14:paraId="5BFE8C4D" w14:textId="77777777" w:rsidTr="00C2211E">
        <w:trPr>
          <w:trHeight w:val="145"/>
        </w:trPr>
        <w:tc>
          <w:tcPr>
            <w:tcW w:w="1792" w:type="dxa"/>
            <w:shd w:val="clear" w:color="auto" w:fill="auto"/>
            <w:tcMar>
              <w:left w:w="0" w:type="dxa"/>
            </w:tcMar>
          </w:tcPr>
          <w:p w14:paraId="270B71E0" w14:textId="77777777" w:rsidR="00C2211E" w:rsidRPr="00D970F7" w:rsidRDefault="00C2211E" w:rsidP="00C2211E">
            <w:pPr>
              <w:pStyle w:val="Marginlie"/>
              <w:rPr>
                <w:lang w:val="en-GB"/>
              </w:rPr>
            </w:pPr>
          </w:p>
        </w:tc>
        <w:tc>
          <w:tcPr>
            <w:tcW w:w="216" w:type="dxa"/>
            <w:shd w:val="clear" w:color="auto" w:fill="auto"/>
            <w:tcMar>
              <w:left w:w="0" w:type="dxa"/>
            </w:tcMar>
          </w:tcPr>
          <w:p w14:paraId="7D1C760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47E94B67" w14:textId="77777777" w:rsidR="00C2211E" w:rsidRPr="00D970F7" w:rsidRDefault="00C2211E" w:rsidP="00C2211E">
            <w:pPr>
              <w:spacing w:after="0"/>
              <w:rPr>
                <w:spacing w:val="-4"/>
                <w:lang w:val="en-GB"/>
              </w:rPr>
            </w:pPr>
            <w:r w:rsidRPr="00D970F7">
              <w:rPr>
                <w:b/>
                <w:spacing w:val="-4"/>
                <w:lang w:val="en-GB"/>
              </w:rPr>
              <w:t xml:space="preserve">Chart 15  </w:t>
            </w:r>
            <w:r w:rsidRPr="00D970F7">
              <w:rPr>
                <w:b/>
                <w:spacing w:val="-2"/>
                <w:lang w:val="en-GB"/>
              </w:rPr>
              <w:t xml:space="preserve">Average nominal and real wage and wage median </w:t>
            </w:r>
            <w:r w:rsidRPr="00D970F7">
              <w:rPr>
                <w:spacing w:val="-4"/>
                <w:lang w:val="en-GB"/>
              </w:rPr>
              <w:t>(year-on-year, in %)</w:t>
            </w:r>
          </w:p>
        </w:tc>
      </w:tr>
      <w:tr w:rsidR="00C2211E" w:rsidRPr="00D970F7" w14:paraId="63218881" w14:textId="77777777" w:rsidTr="00C2211E">
        <w:tblPrEx>
          <w:tblCellMar>
            <w:left w:w="70" w:type="dxa"/>
            <w:right w:w="70" w:type="dxa"/>
          </w:tblCellMar>
        </w:tblPrEx>
        <w:trPr>
          <w:trHeight w:val="145"/>
        </w:trPr>
        <w:tc>
          <w:tcPr>
            <w:tcW w:w="1792" w:type="dxa"/>
            <w:shd w:val="clear" w:color="auto" w:fill="auto"/>
          </w:tcPr>
          <w:p w14:paraId="4F5956AA" w14:textId="77777777" w:rsidR="00C2211E" w:rsidRPr="00D970F7" w:rsidRDefault="00C2211E" w:rsidP="00C2211E">
            <w:pPr>
              <w:pStyle w:val="Marginlie"/>
              <w:spacing w:after="200"/>
              <w:rPr>
                <w:lang w:val="en-GB"/>
              </w:rPr>
            </w:pPr>
          </w:p>
        </w:tc>
        <w:tc>
          <w:tcPr>
            <w:tcW w:w="216" w:type="dxa"/>
            <w:shd w:val="clear" w:color="auto" w:fill="auto"/>
          </w:tcPr>
          <w:p w14:paraId="315E98CB" w14:textId="77777777" w:rsidR="00C2211E" w:rsidRPr="00D970F7" w:rsidRDefault="00C2211E" w:rsidP="00C2211E">
            <w:pPr>
              <w:pStyle w:val="Textpoznpodarou"/>
              <w:spacing w:after="200"/>
              <w:jc w:val="both"/>
              <w:rPr>
                <w:spacing w:val="-4"/>
                <w:lang w:val="en-GB"/>
              </w:rPr>
            </w:pPr>
          </w:p>
        </w:tc>
        <w:tc>
          <w:tcPr>
            <w:tcW w:w="7656" w:type="dxa"/>
            <w:shd w:val="clear" w:color="auto" w:fill="auto"/>
          </w:tcPr>
          <w:p w14:paraId="15185FD7" w14:textId="77777777" w:rsidR="00C2211E" w:rsidRPr="00D970F7" w:rsidRDefault="00C2211E" w:rsidP="00C2211E">
            <w:pPr>
              <w:spacing w:after="0"/>
              <w:rPr>
                <w:spacing w:val="-4"/>
                <w:lang w:val="en-GB"/>
              </w:rPr>
            </w:pPr>
            <w:r>
              <w:rPr>
                <w:noProof/>
              </w:rPr>
              <w:drawing>
                <wp:inline distT="0" distB="0" distL="0" distR="0" wp14:anchorId="3968B714" wp14:editId="01445D40">
                  <wp:extent cx="4760378" cy="3673774"/>
                  <wp:effectExtent l="0" t="0" r="2540" b="3175"/>
                  <wp:docPr id="37" name="Graf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r w:rsidR="00C2211E" w:rsidRPr="00D970F7" w14:paraId="0D677A1D" w14:textId="77777777" w:rsidTr="00C2211E">
        <w:trPr>
          <w:trHeight w:val="145"/>
        </w:trPr>
        <w:tc>
          <w:tcPr>
            <w:tcW w:w="1792" w:type="dxa"/>
            <w:shd w:val="clear" w:color="auto" w:fill="auto"/>
            <w:tcMar>
              <w:left w:w="0" w:type="dxa"/>
            </w:tcMar>
          </w:tcPr>
          <w:p w14:paraId="187EAF0F" w14:textId="77777777" w:rsidR="00C2211E" w:rsidRPr="00D970F7" w:rsidRDefault="00C2211E" w:rsidP="00C2211E">
            <w:pPr>
              <w:pStyle w:val="Marginlie"/>
              <w:spacing w:after="200"/>
              <w:rPr>
                <w:lang w:val="en-GB"/>
              </w:rPr>
            </w:pPr>
          </w:p>
        </w:tc>
        <w:tc>
          <w:tcPr>
            <w:tcW w:w="216" w:type="dxa"/>
            <w:shd w:val="clear" w:color="auto" w:fill="auto"/>
            <w:tcMar>
              <w:left w:w="0" w:type="dxa"/>
            </w:tcMar>
          </w:tcPr>
          <w:p w14:paraId="4F0E7F08" w14:textId="77777777" w:rsidR="00C2211E" w:rsidRPr="00D970F7" w:rsidRDefault="00C2211E" w:rsidP="00C2211E">
            <w:pPr>
              <w:pStyle w:val="Textpoznpodarou"/>
              <w:spacing w:after="200"/>
              <w:jc w:val="both"/>
              <w:rPr>
                <w:spacing w:val="-4"/>
                <w:lang w:val="en-GB"/>
              </w:rPr>
            </w:pPr>
          </w:p>
        </w:tc>
        <w:tc>
          <w:tcPr>
            <w:tcW w:w="7656" w:type="dxa"/>
            <w:shd w:val="clear" w:color="auto" w:fill="auto"/>
            <w:tcMar>
              <w:left w:w="0" w:type="dxa"/>
            </w:tcMar>
          </w:tcPr>
          <w:p w14:paraId="7A2C32AA" w14:textId="77777777" w:rsidR="00C2211E" w:rsidRPr="00D970F7" w:rsidRDefault="00C2211E" w:rsidP="00C2211E">
            <w:pPr>
              <w:spacing w:after="0"/>
              <w:rPr>
                <w:rFonts w:cs="Arial"/>
                <w:spacing w:val="-3"/>
                <w:sz w:val="14"/>
                <w:szCs w:val="14"/>
                <w:lang w:val="en-GB"/>
              </w:rPr>
            </w:pPr>
            <w:r w:rsidRPr="00D970F7">
              <w:rPr>
                <w:spacing w:val="-3"/>
                <w:sz w:val="14"/>
                <w:szCs w:val="14"/>
                <w:lang w:val="en-GB"/>
              </w:rPr>
              <w:t>*</w:t>
            </w:r>
            <w:r w:rsidRPr="00D970F7">
              <w:rPr>
                <w:rFonts w:cs="Arial"/>
                <w:spacing w:val="-3"/>
                <w:sz w:val="14"/>
                <w:szCs w:val="14"/>
                <w:lang w:val="en-GB"/>
              </w:rPr>
              <w:t xml:space="preserve"> Includes branches: Public administration, defence, social security; Education Human health and social work activities; Arts, entertainment and recreation activities. </w:t>
            </w:r>
          </w:p>
          <w:p w14:paraId="0CA09F05" w14:textId="77777777" w:rsidR="00C2211E" w:rsidRPr="00D970F7" w:rsidRDefault="00C2211E" w:rsidP="00C2211E">
            <w:pPr>
              <w:spacing w:after="0"/>
              <w:rPr>
                <w:spacing w:val="-4"/>
                <w:sz w:val="14"/>
                <w:szCs w:val="14"/>
                <w:lang w:val="en-GB"/>
              </w:rPr>
            </w:pPr>
            <w:r w:rsidRPr="00D970F7">
              <w:rPr>
                <w:spacing w:val="-3"/>
                <w:sz w:val="14"/>
                <w:szCs w:val="14"/>
                <w:lang w:val="en-GB"/>
              </w:rPr>
              <w:t>Source:</w:t>
            </w:r>
            <w:r w:rsidRPr="00D970F7">
              <w:rPr>
                <w:rFonts w:cs="Arial"/>
                <w:sz w:val="14"/>
                <w:szCs w:val="14"/>
                <w:lang w:val="en-GB"/>
              </w:rPr>
              <w:t xml:space="preserve"> CZSO</w:t>
            </w:r>
          </w:p>
          <w:p w14:paraId="09012EA7" w14:textId="77777777" w:rsidR="00C2211E" w:rsidRPr="00D970F7" w:rsidRDefault="00C2211E" w:rsidP="00C2211E">
            <w:pPr>
              <w:spacing w:after="0"/>
              <w:rPr>
                <w:spacing w:val="-4"/>
                <w:sz w:val="14"/>
                <w:szCs w:val="14"/>
                <w:lang w:val="en-GB"/>
              </w:rPr>
            </w:pPr>
          </w:p>
        </w:tc>
      </w:tr>
      <w:tr w:rsidR="00C2211E" w:rsidRPr="00D970F7" w14:paraId="2A9D13CA" w14:textId="77777777" w:rsidTr="00C2211E">
        <w:trPr>
          <w:trHeight w:val="145"/>
        </w:trPr>
        <w:tc>
          <w:tcPr>
            <w:tcW w:w="1792" w:type="dxa"/>
            <w:shd w:val="clear" w:color="auto" w:fill="auto"/>
            <w:tcMar>
              <w:left w:w="0" w:type="dxa"/>
            </w:tcMar>
          </w:tcPr>
          <w:p w14:paraId="55C45BE9" w14:textId="77777777" w:rsidR="00C2211E" w:rsidRPr="00D970F7" w:rsidRDefault="00C2211E" w:rsidP="00C2211E">
            <w:pPr>
              <w:pStyle w:val="Marginlie"/>
              <w:rPr>
                <w:lang w:val="en-GB"/>
              </w:rPr>
            </w:pPr>
            <w:r w:rsidRPr="00D970F7">
              <w:rPr>
                <w:lang w:val="en-GB"/>
              </w:rPr>
              <w:t>Wage development at the level of branches was very varied in Q2.</w:t>
            </w:r>
          </w:p>
          <w:p w14:paraId="6906EE61" w14:textId="77777777" w:rsidR="00C2211E" w:rsidRPr="00D970F7" w:rsidRDefault="00C2211E" w:rsidP="00C2211E">
            <w:pPr>
              <w:pStyle w:val="Marginlie"/>
              <w:rPr>
                <w:lang w:val="en-GB"/>
              </w:rPr>
            </w:pPr>
          </w:p>
          <w:p w14:paraId="49F3FF4A" w14:textId="77777777" w:rsidR="00C2211E" w:rsidRPr="00D970F7" w:rsidRDefault="00C2211E" w:rsidP="00C2211E">
            <w:pPr>
              <w:pStyle w:val="Marginlie"/>
              <w:rPr>
                <w:lang w:val="en-GB"/>
              </w:rPr>
            </w:pPr>
          </w:p>
          <w:p w14:paraId="3095A3FC" w14:textId="77777777" w:rsidR="00C2211E" w:rsidRPr="00D970F7" w:rsidRDefault="00C2211E" w:rsidP="00C2211E">
            <w:pPr>
              <w:pStyle w:val="Marginlie"/>
              <w:rPr>
                <w:lang w:val="en-GB"/>
              </w:rPr>
            </w:pPr>
          </w:p>
          <w:p w14:paraId="77C0B5D0" w14:textId="77777777" w:rsidR="00C2211E" w:rsidRPr="00D970F7" w:rsidRDefault="00C2211E" w:rsidP="00C2211E">
            <w:pPr>
              <w:pStyle w:val="Marginlie"/>
              <w:rPr>
                <w:lang w:val="en-GB"/>
              </w:rPr>
            </w:pPr>
          </w:p>
          <w:p w14:paraId="370BE067" w14:textId="77777777" w:rsidR="00C2211E" w:rsidRPr="00D970F7" w:rsidRDefault="00C2211E" w:rsidP="00C2211E">
            <w:pPr>
              <w:pStyle w:val="Marginlie"/>
              <w:rPr>
                <w:lang w:val="en-GB"/>
              </w:rPr>
            </w:pPr>
          </w:p>
          <w:p w14:paraId="5DACA25D" w14:textId="77777777" w:rsidR="00C2211E" w:rsidRPr="00D970F7" w:rsidRDefault="00C2211E" w:rsidP="00C2211E">
            <w:pPr>
              <w:pStyle w:val="Marginlie"/>
              <w:rPr>
                <w:lang w:val="en-GB"/>
              </w:rPr>
            </w:pPr>
          </w:p>
          <w:p w14:paraId="42DDA68C" w14:textId="77777777" w:rsidR="00C2211E" w:rsidRPr="00D970F7" w:rsidRDefault="00C2211E" w:rsidP="00C2211E">
            <w:pPr>
              <w:pStyle w:val="Marginlie"/>
              <w:rPr>
                <w:lang w:val="en-GB"/>
              </w:rPr>
            </w:pPr>
          </w:p>
          <w:p w14:paraId="4C4B1DC1" w14:textId="77777777" w:rsidR="00C2211E" w:rsidRPr="00D970F7" w:rsidRDefault="00C2211E" w:rsidP="00C2211E">
            <w:pPr>
              <w:pStyle w:val="Marginlie"/>
              <w:spacing w:after="200"/>
              <w:rPr>
                <w:lang w:val="en-GB"/>
              </w:rPr>
            </w:pPr>
            <w:r w:rsidRPr="00D970F7">
              <w:rPr>
                <w:lang w:val="en-GB"/>
              </w:rPr>
              <w:t xml:space="preserve">Restrictive measures impacted the most accommodation, food service and restaurants, where the volume of paid out wages dropped by one quarter. </w:t>
            </w:r>
          </w:p>
        </w:tc>
        <w:tc>
          <w:tcPr>
            <w:tcW w:w="216" w:type="dxa"/>
            <w:shd w:val="clear" w:color="auto" w:fill="auto"/>
            <w:tcMar>
              <w:left w:w="0" w:type="dxa"/>
            </w:tcMar>
          </w:tcPr>
          <w:p w14:paraId="78C1473B"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29D6A5A2" w14:textId="77777777" w:rsidR="00C2211E" w:rsidRPr="00D970F7" w:rsidRDefault="00C2211E" w:rsidP="00C2211E">
            <w:pPr>
              <w:spacing w:after="200"/>
              <w:rPr>
                <w:spacing w:val="-2"/>
                <w:szCs w:val="20"/>
                <w:lang w:val="en-GB"/>
              </w:rPr>
            </w:pPr>
            <w:r w:rsidRPr="00D970F7">
              <w:rPr>
                <w:spacing w:val="-2"/>
                <w:szCs w:val="20"/>
                <w:lang w:val="en-GB"/>
              </w:rPr>
              <w:t>Markedly uneven primary impact of counter pandemic measures as well as different flexibility of various segments of the labour market (e.g. tie of the volume of earnings to the number of hours worked) were reflected in the very differentiated development of wages at the level of individual branches in Q2 2020. It is not surprising, that the average wages fell the most in the strongly hit branch accommodation, food service and restaurants (</w:t>
            </w:r>
            <w:r w:rsidRPr="00D970F7">
              <w:rPr>
                <w:rFonts w:cs="Arial"/>
                <w:bCs/>
                <w:color w:val="000000"/>
                <w:spacing w:val="-5"/>
                <w:szCs w:val="20"/>
                <w:lang w:val="en-GB"/>
              </w:rPr>
              <w:t>–</w:t>
            </w:r>
            <w:r w:rsidRPr="00D970F7">
              <w:rPr>
                <w:spacing w:val="-2"/>
                <w:szCs w:val="20"/>
                <w:lang w:val="en-GB"/>
              </w:rPr>
              <w:t>11.8%) year-on-year. This development was in addition amplified by even deeper reduction of the registered number of employees, volume of paid out wages thus dropped by one quarter here. The average wage went down by 6% in the real estate activities. Higher wage basis of the last year and also the swift growth of employment this year (still it presented the smallest branch of the services section – given the number of employees) both had an effect. Transporting and storage also belonged to the strongly affected branches, where the decrease of wages (</w:t>
            </w:r>
            <w:r w:rsidRPr="00D970F7">
              <w:rPr>
                <w:rFonts w:cs="Arial"/>
                <w:bCs/>
                <w:color w:val="000000"/>
                <w:spacing w:val="-5"/>
                <w:szCs w:val="20"/>
                <w:lang w:val="en-GB"/>
              </w:rPr>
              <w:t>–</w:t>
            </w:r>
            <w:r w:rsidRPr="00D970F7">
              <w:rPr>
                <w:spacing w:val="-2"/>
                <w:szCs w:val="20"/>
                <w:lang w:val="en-GB"/>
              </w:rPr>
              <w:t>1.7%) was overshadowed by deeper reduction of employee positions (</w:t>
            </w:r>
            <w:r w:rsidRPr="00D970F7">
              <w:rPr>
                <w:rFonts w:cs="Arial"/>
                <w:bCs/>
                <w:color w:val="000000"/>
                <w:spacing w:val="-5"/>
                <w:szCs w:val="20"/>
                <w:lang w:val="en-GB"/>
              </w:rPr>
              <w:t>–</w:t>
            </w:r>
            <w:r w:rsidRPr="00D970F7">
              <w:rPr>
                <w:spacing w:val="-2"/>
                <w:szCs w:val="20"/>
                <w:lang w:val="en-GB"/>
              </w:rPr>
              <w:t xml:space="preserve">4.2%). Already last year signalled a light decrease (mainly of employment) in this branch, specifically in connection to weakened performance of industry as well as associated demand in the freight transportation. The decrease of wages as well as employment was compared to the before mentioned branch approximately only one half in trade. The situation here was likely very different, depending on the size of the business. Adverse development was notable in the branch other services activities (including for example hairdressing), total volume of paid out wages shrank by more than 8%. It was also lower especially due to the reduction of the </w:t>
            </w:r>
            <w:r w:rsidRPr="00D970F7">
              <w:rPr>
                <w:spacing w:val="-2"/>
                <w:szCs w:val="20"/>
                <w:lang w:val="en-GB"/>
              </w:rPr>
              <w:lastRenderedPageBreak/>
              <w:t>number of workers by 6.5% in cultural, amusement and recreation activities</w:t>
            </w:r>
            <w:r w:rsidRPr="00D970F7">
              <w:rPr>
                <w:rStyle w:val="Znakapoznpodarou"/>
                <w:color w:val="0D0D0D" w:themeColor="text1" w:themeTint="F2"/>
                <w:spacing w:val="-4"/>
                <w:lang w:val="en-GB"/>
              </w:rPr>
              <w:footnoteReference w:id="51"/>
            </w:r>
            <w:r w:rsidRPr="00D970F7">
              <w:rPr>
                <w:spacing w:val="-2"/>
                <w:szCs w:val="20"/>
                <w:lang w:val="en-GB"/>
              </w:rPr>
              <w:t>. Administrative and support service activities, which are in the conception of enterprise statistics formed mainly by the agency workers, is also necessary to include among more hit branches. Dismissals of low qualified workers</w:t>
            </w:r>
            <w:r w:rsidRPr="00D970F7">
              <w:rPr>
                <w:rStyle w:val="Znakapoznpodarou"/>
                <w:color w:val="0D0D0D" w:themeColor="text1" w:themeTint="F2"/>
                <w:spacing w:val="-4"/>
                <w:lang w:val="en-GB"/>
              </w:rPr>
              <w:footnoteReference w:id="52"/>
            </w:r>
            <w:r w:rsidRPr="00D970F7">
              <w:rPr>
                <w:spacing w:val="-2"/>
                <w:szCs w:val="20"/>
                <w:lang w:val="en-GB"/>
              </w:rPr>
              <w:t xml:space="preserve"> led here next to the increase of the minimal wage to the growth of the average wage (+4.2%). This development was closely tied to the situation in manufacturing. Several weeks interruption of production mainly in the companies of motor vehicle industry resulted in the considerable year-on-year decline of hours worked by employees (</w:t>
            </w:r>
            <w:r w:rsidRPr="00D970F7">
              <w:rPr>
                <w:rFonts w:cs="Arial"/>
                <w:bCs/>
                <w:color w:val="000000"/>
                <w:spacing w:val="-5"/>
                <w:szCs w:val="20"/>
                <w:lang w:val="en-GB"/>
              </w:rPr>
              <w:t>–</w:t>
            </w:r>
            <w:r w:rsidRPr="00D970F7">
              <w:rPr>
                <w:spacing w:val="-2"/>
                <w:szCs w:val="20"/>
                <w:lang w:val="en-GB"/>
              </w:rPr>
              <w:t xml:space="preserve">13.6%) in Q2. Volume of paid out wages slumped by one tenth, which was equally caused by the loss of job positions and lower average wage. </w:t>
            </w:r>
          </w:p>
        </w:tc>
      </w:tr>
      <w:tr w:rsidR="00C2211E" w:rsidRPr="00D970F7" w14:paraId="7CE58588" w14:textId="77777777" w:rsidTr="00C2211E">
        <w:trPr>
          <w:trHeight w:val="145"/>
        </w:trPr>
        <w:tc>
          <w:tcPr>
            <w:tcW w:w="1792" w:type="dxa"/>
            <w:shd w:val="clear" w:color="auto" w:fill="auto"/>
            <w:tcMar>
              <w:left w:w="0" w:type="dxa"/>
            </w:tcMar>
          </w:tcPr>
          <w:p w14:paraId="670D0159" w14:textId="77777777" w:rsidR="00C2211E" w:rsidRPr="00D970F7" w:rsidRDefault="00C2211E" w:rsidP="00C2211E">
            <w:pPr>
              <w:pStyle w:val="Marginlie"/>
              <w:spacing w:after="200"/>
              <w:rPr>
                <w:lang w:val="en-GB"/>
              </w:rPr>
            </w:pPr>
            <w:r w:rsidRPr="00D970F7">
              <w:rPr>
                <w:lang w:val="en-GB"/>
              </w:rPr>
              <w:lastRenderedPageBreak/>
              <w:t xml:space="preserve">Energetics, information and communication and public services maintained brisk growth of the average wages. </w:t>
            </w:r>
          </w:p>
        </w:tc>
        <w:tc>
          <w:tcPr>
            <w:tcW w:w="216" w:type="dxa"/>
            <w:shd w:val="clear" w:color="auto" w:fill="auto"/>
            <w:tcMar>
              <w:left w:w="0" w:type="dxa"/>
            </w:tcMar>
          </w:tcPr>
          <w:p w14:paraId="78F9B2C8"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1E4CA1BD" w14:textId="77777777" w:rsidR="00C2211E" w:rsidRPr="00D970F7" w:rsidRDefault="00C2211E" w:rsidP="00C2211E">
            <w:pPr>
              <w:spacing w:after="200"/>
              <w:rPr>
                <w:spacing w:val="-4"/>
                <w:szCs w:val="20"/>
                <w:lang w:val="en-GB"/>
              </w:rPr>
            </w:pPr>
            <w:r w:rsidRPr="00D970F7">
              <w:rPr>
                <w:spacing w:val="-4"/>
                <w:szCs w:val="20"/>
                <w:lang w:val="en-GB"/>
              </w:rPr>
              <w:t>Construction was not at first affected by the onset of recession, both employment and average earnings stagnated here in Q2. Energetics, where as in the only main branch the year-on-year growth of wages did not slacken compared to the pace from the same period of the last year (+5.3%) also prospered. The size of average gross monthly wage approached the boundary of 50 CZK thousand here, it featured the largest increase among all branches (by 2 471 CZK). Employees of information and communication were also by 3.5% better off, their earnings were already 3.5 times higher compared to workers in branch accommodation, food service activities and restaurants. The wage growth ceased in financial and insurance activities this year (</w:t>
            </w:r>
            <w:r w:rsidRPr="00D970F7">
              <w:rPr>
                <w:rFonts w:cs="Arial"/>
                <w:bCs/>
                <w:color w:val="000000"/>
                <w:spacing w:val="-4"/>
                <w:szCs w:val="20"/>
                <w:lang w:val="en-GB"/>
              </w:rPr>
              <w:t>–</w:t>
            </w:r>
            <w:r w:rsidRPr="00D970F7">
              <w:rPr>
                <w:spacing w:val="-4"/>
                <w:szCs w:val="20"/>
                <w:lang w:val="en-GB"/>
              </w:rPr>
              <w:t>0.6%). The impact of high last year basis, when the pace of average wages exceeded 8% was also evident next to the decrease of the profitability of the financial sector. The wage growth slightly overstepped 5% in the services with the dominance of the public sector and the achieved wages level surpassed the level of the whole economy (34 271 CZK) by one tenth in Q2. Pace of wages was also influenced by the extraordinary increase of compensations for overtime work in some very busy fields (health care).</w:t>
            </w:r>
          </w:p>
        </w:tc>
      </w:tr>
      <w:tr w:rsidR="00C2211E" w:rsidRPr="00D970F7" w14:paraId="5DFF32DC" w14:textId="77777777" w:rsidTr="00C2211E">
        <w:trPr>
          <w:trHeight w:val="145"/>
        </w:trPr>
        <w:tc>
          <w:tcPr>
            <w:tcW w:w="1792" w:type="dxa"/>
            <w:shd w:val="clear" w:color="auto" w:fill="auto"/>
            <w:tcMar>
              <w:left w:w="0" w:type="dxa"/>
            </w:tcMar>
          </w:tcPr>
          <w:p w14:paraId="0C40A340" w14:textId="77777777" w:rsidR="00C2211E" w:rsidRPr="00D970F7" w:rsidRDefault="00C2211E" w:rsidP="00C2211E">
            <w:pPr>
              <w:pStyle w:val="Marginlie"/>
              <w:rPr>
                <w:lang w:val="en-GB"/>
              </w:rPr>
            </w:pPr>
            <w:r w:rsidRPr="00D970F7">
              <w:rPr>
                <w:lang w:val="en-GB"/>
              </w:rPr>
              <w:t>Total wage differentiation considerably widened in Q2.</w:t>
            </w:r>
          </w:p>
        </w:tc>
        <w:tc>
          <w:tcPr>
            <w:tcW w:w="216" w:type="dxa"/>
            <w:shd w:val="clear" w:color="auto" w:fill="auto"/>
            <w:tcMar>
              <w:left w:w="0" w:type="dxa"/>
            </w:tcMar>
          </w:tcPr>
          <w:p w14:paraId="26C39702"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3884E984" w14:textId="77777777" w:rsidR="00C2211E" w:rsidRPr="00D970F7" w:rsidRDefault="00C2211E" w:rsidP="00C2211E">
            <w:pPr>
              <w:spacing w:after="200"/>
              <w:rPr>
                <w:spacing w:val="-2"/>
                <w:szCs w:val="20"/>
                <w:lang w:val="en-GB"/>
              </w:rPr>
            </w:pPr>
            <w:r w:rsidRPr="00D970F7">
              <w:rPr>
                <w:spacing w:val="-2"/>
                <w:szCs w:val="20"/>
                <w:lang w:val="en-GB"/>
              </w:rPr>
              <w:t>Above mentioned development led to the widening of scissors of wage differentiation. While the lowest wage decile fell by 1.7% year-on-year in Q2, value of the highest decile increased by 2.2%. The wage median recorded the first decrease since the end of year 2012 (</w:t>
            </w:r>
            <w:r w:rsidRPr="00D970F7">
              <w:rPr>
                <w:rFonts w:cs="Arial"/>
                <w:bCs/>
                <w:color w:val="000000"/>
                <w:spacing w:val="-5"/>
                <w:szCs w:val="20"/>
                <w:lang w:val="en-GB"/>
              </w:rPr>
              <w:t>–</w:t>
            </w:r>
            <w:r w:rsidRPr="00D970F7">
              <w:rPr>
                <w:spacing w:val="-2"/>
                <w:szCs w:val="20"/>
                <w:lang w:val="en-GB"/>
              </w:rPr>
              <w:t>0.2%). It was falling faster for males (</w:t>
            </w:r>
            <w:r w:rsidRPr="00D970F7">
              <w:rPr>
                <w:rFonts w:cs="Arial"/>
                <w:bCs/>
                <w:color w:val="000000"/>
                <w:spacing w:val="-5"/>
                <w:szCs w:val="20"/>
                <w:lang w:val="en-GB"/>
              </w:rPr>
              <w:t>–1.0%), still the achieved median earnings of males exceeded those of females by 16% (resp. near 5 thousand crowns).</w:t>
            </w:r>
          </w:p>
        </w:tc>
      </w:tr>
      <w:tr w:rsidR="00C2211E" w:rsidRPr="00AB0ABB" w14:paraId="76F8FF46" w14:textId="77777777" w:rsidTr="00C2211E">
        <w:trPr>
          <w:trHeight w:val="145"/>
        </w:trPr>
        <w:tc>
          <w:tcPr>
            <w:tcW w:w="1792" w:type="dxa"/>
            <w:shd w:val="clear" w:color="auto" w:fill="auto"/>
            <w:tcMar>
              <w:left w:w="0" w:type="dxa"/>
            </w:tcMar>
          </w:tcPr>
          <w:p w14:paraId="224F0DD2" w14:textId="77777777" w:rsidR="00C2211E" w:rsidRPr="00D970F7" w:rsidRDefault="00C2211E" w:rsidP="00C2211E">
            <w:pPr>
              <w:pStyle w:val="Marginlie"/>
              <w:rPr>
                <w:lang w:val="en-GB"/>
              </w:rPr>
            </w:pPr>
            <w:r w:rsidRPr="00D970F7">
              <w:rPr>
                <w:lang w:val="en-GB"/>
              </w:rPr>
              <w:t xml:space="preserve">Real wage decreased after more than six years. </w:t>
            </w:r>
          </w:p>
        </w:tc>
        <w:tc>
          <w:tcPr>
            <w:tcW w:w="216" w:type="dxa"/>
            <w:shd w:val="clear" w:color="auto" w:fill="auto"/>
            <w:tcMar>
              <w:left w:w="0" w:type="dxa"/>
            </w:tcMar>
          </w:tcPr>
          <w:p w14:paraId="4DD1FA58"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0B7DDFA2" w14:textId="77777777" w:rsidR="00C2211E" w:rsidRPr="00AB0ABB" w:rsidRDefault="00C2211E" w:rsidP="00C2211E">
            <w:pPr>
              <w:spacing w:after="0"/>
              <w:rPr>
                <w:spacing w:val="-2"/>
                <w:szCs w:val="20"/>
                <w:lang w:val="en-GB"/>
              </w:rPr>
            </w:pPr>
            <w:r w:rsidRPr="00D970F7">
              <w:rPr>
                <w:spacing w:val="-2"/>
                <w:szCs w:val="20"/>
                <w:lang w:val="en-GB"/>
              </w:rPr>
              <w:t xml:space="preserve">Weaker dynamics of nominal wages during the first half of year 2020 contrasted with the swift growth rate of growth of consumer prices not losing strength. Average wage dropped by 2.5% in real terms in Q2. More than six years prevailing growth of the purchasing power of employee earnings was thus interrupted. </w:t>
            </w:r>
          </w:p>
        </w:tc>
      </w:tr>
    </w:tbl>
    <w:p w14:paraId="400D5C83" w14:textId="77777777" w:rsidR="00DD2984" w:rsidRDefault="00DD2984">
      <w:pPr>
        <w:spacing w:after="0" w:line="240" w:lineRule="auto"/>
        <w:jc w:val="left"/>
        <w:rPr>
          <w:rFonts w:eastAsia="MS Gothic"/>
          <w:b/>
          <w:bCs/>
          <w:color w:val="71818C"/>
          <w:sz w:val="32"/>
          <w:szCs w:val="28"/>
          <w:lang w:val="en-GB"/>
        </w:rPr>
      </w:pPr>
      <w:r>
        <w:rPr>
          <w:lang w:val="en-GB"/>
        </w:rPr>
        <w:br w:type="page"/>
      </w:r>
    </w:p>
    <w:p w14:paraId="0D388C93" w14:textId="47A5D5F1" w:rsidR="00AB75C5" w:rsidRPr="00D970F7" w:rsidRDefault="00AB75C5" w:rsidP="00AB75C5">
      <w:pPr>
        <w:pStyle w:val="Nadpis11"/>
        <w:rPr>
          <w:lang w:val="en-GB"/>
        </w:rPr>
      </w:pPr>
      <w:bookmarkStart w:id="24" w:name="_Toc53468178"/>
      <w:r w:rsidRPr="00D970F7">
        <w:rPr>
          <w:lang w:val="en-GB"/>
        </w:rPr>
        <w:lastRenderedPageBreak/>
        <w:t>7. M</w:t>
      </w:r>
      <w:r w:rsidR="00A16CA8" w:rsidRPr="00D970F7">
        <w:rPr>
          <w:lang w:val="en-GB"/>
        </w:rPr>
        <w:t>onetary Conditions</w:t>
      </w:r>
      <w:bookmarkEnd w:id="24"/>
    </w:p>
    <w:tbl>
      <w:tblPr>
        <w:tblW w:w="9641" w:type="dxa"/>
        <w:tblInd w:w="-15" w:type="dxa"/>
        <w:tblCellMar>
          <w:left w:w="0" w:type="dxa"/>
          <w:right w:w="0" w:type="dxa"/>
        </w:tblCellMar>
        <w:tblLook w:val="00A0" w:firstRow="1" w:lastRow="0" w:firstColumn="1" w:lastColumn="0" w:noHBand="0" w:noVBand="0"/>
      </w:tblPr>
      <w:tblGrid>
        <w:gridCol w:w="1802"/>
        <w:gridCol w:w="229"/>
        <w:gridCol w:w="7610"/>
      </w:tblGrid>
      <w:tr w:rsidR="00AB75C5" w:rsidRPr="00D970F7" w14:paraId="1819077F" w14:textId="77777777" w:rsidTr="00AB75C5">
        <w:trPr>
          <w:trHeight w:val="145"/>
        </w:trPr>
        <w:tc>
          <w:tcPr>
            <w:tcW w:w="1802" w:type="dxa"/>
          </w:tcPr>
          <w:p w14:paraId="4D75A5DD" w14:textId="2B04B212" w:rsidR="00AB75C5" w:rsidRPr="00D970F7" w:rsidRDefault="007325BA">
            <w:pPr>
              <w:pStyle w:val="Marginlie"/>
              <w:rPr>
                <w:lang w:val="en-GB" w:eastAsia="en-US"/>
              </w:rPr>
            </w:pPr>
            <w:r>
              <w:rPr>
                <w:lang w:val="en-GB" w:eastAsia="en-US"/>
              </w:rPr>
              <w:t>Key</w:t>
            </w:r>
            <w:r w:rsidR="0007683E" w:rsidRPr="00D970F7">
              <w:rPr>
                <w:lang w:val="en-GB" w:eastAsia="en-US"/>
              </w:rPr>
              <w:t xml:space="preserve"> monetary policy-relevant interest rates were again decreased in Q</w:t>
            </w:r>
            <w:r w:rsidR="00AB75C5" w:rsidRPr="00D970F7">
              <w:rPr>
                <w:lang w:val="en-GB" w:eastAsia="en-US"/>
              </w:rPr>
              <w:t>2.</w:t>
            </w:r>
          </w:p>
          <w:p w14:paraId="3568ED8C" w14:textId="77777777" w:rsidR="00AB75C5" w:rsidRPr="00D970F7" w:rsidRDefault="00AB75C5">
            <w:pPr>
              <w:pStyle w:val="Marginlie"/>
              <w:rPr>
                <w:lang w:val="en-GB" w:eastAsia="en-US"/>
              </w:rPr>
            </w:pPr>
          </w:p>
          <w:p w14:paraId="156DDAAB" w14:textId="77777777" w:rsidR="00AB75C5" w:rsidRPr="00D970F7" w:rsidRDefault="00AB75C5">
            <w:pPr>
              <w:pStyle w:val="Marginlie"/>
              <w:rPr>
                <w:lang w:val="en-GB" w:eastAsia="en-US"/>
              </w:rPr>
            </w:pPr>
          </w:p>
          <w:p w14:paraId="326A9E8D" w14:textId="77777777" w:rsidR="00AB75C5" w:rsidRPr="00D970F7" w:rsidRDefault="00AB75C5">
            <w:pPr>
              <w:pStyle w:val="Marginlie"/>
              <w:rPr>
                <w:lang w:val="en-GB" w:eastAsia="en-US"/>
              </w:rPr>
            </w:pPr>
          </w:p>
          <w:p w14:paraId="3F514530" w14:textId="77777777" w:rsidR="00AB75C5" w:rsidRPr="00D970F7" w:rsidRDefault="00AB75C5">
            <w:pPr>
              <w:pStyle w:val="Marginlie"/>
              <w:rPr>
                <w:lang w:val="en-GB" w:eastAsia="en-US"/>
              </w:rPr>
            </w:pPr>
          </w:p>
          <w:p w14:paraId="2BD82498" w14:textId="56ED95EE" w:rsidR="00AB75C5" w:rsidRPr="00D970F7" w:rsidRDefault="00086C6F">
            <w:pPr>
              <w:pStyle w:val="Marginlie"/>
              <w:rPr>
                <w:lang w:val="en-GB" w:eastAsia="en-US"/>
              </w:rPr>
            </w:pPr>
            <w:r w:rsidRPr="00D970F7">
              <w:rPr>
                <w:lang w:val="en-GB" w:eastAsia="en-US"/>
              </w:rPr>
              <w:t xml:space="preserve">Koruna foreign exchange per both euro and dollar again appreciated after the March weakening. </w:t>
            </w:r>
          </w:p>
        </w:tc>
        <w:tc>
          <w:tcPr>
            <w:tcW w:w="229" w:type="dxa"/>
          </w:tcPr>
          <w:p w14:paraId="1E00B31D" w14:textId="77777777" w:rsidR="00AB75C5" w:rsidRPr="00D970F7" w:rsidRDefault="00AB75C5">
            <w:pPr>
              <w:pStyle w:val="Textpoznpodarou"/>
              <w:jc w:val="both"/>
              <w:rPr>
                <w:spacing w:val="-4"/>
                <w:lang w:val="en-GB" w:eastAsia="en-US"/>
              </w:rPr>
            </w:pPr>
          </w:p>
        </w:tc>
        <w:tc>
          <w:tcPr>
            <w:tcW w:w="7610" w:type="dxa"/>
            <w:hideMark/>
          </w:tcPr>
          <w:p w14:paraId="1BE4157C" w14:textId="34EB5F7B" w:rsidR="00AB75C5" w:rsidRPr="00D970F7" w:rsidRDefault="00E35576" w:rsidP="007325BA">
            <w:pPr>
              <w:rPr>
                <w:spacing w:val="-2"/>
                <w:lang w:val="en-GB" w:eastAsia="en-US"/>
              </w:rPr>
            </w:pPr>
            <w:r w:rsidRPr="00D970F7">
              <w:rPr>
                <w:spacing w:val="-2"/>
                <w:lang w:val="en-GB" w:eastAsia="en-US"/>
              </w:rPr>
              <w:t xml:space="preserve">Set up of </w:t>
            </w:r>
            <w:r w:rsidR="007325BA">
              <w:rPr>
                <w:spacing w:val="-2"/>
                <w:lang w:val="en-GB" w:eastAsia="en-US"/>
              </w:rPr>
              <w:t>key</w:t>
            </w:r>
            <w:r w:rsidRPr="00D970F7">
              <w:rPr>
                <w:spacing w:val="-2"/>
                <w:lang w:val="en-GB" w:eastAsia="en-US"/>
              </w:rPr>
              <w:t xml:space="preserve"> monetary policy-relevant rates </w:t>
            </w:r>
            <w:r w:rsidR="0007683E" w:rsidRPr="00D970F7">
              <w:rPr>
                <w:spacing w:val="-2"/>
                <w:lang w:val="en-GB" w:eastAsia="en-US"/>
              </w:rPr>
              <w:t>considerably changed together with the development of the economic situation during</w:t>
            </w:r>
            <w:r w:rsidRPr="00D970F7">
              <w:rPr>
                <w:spacing w:val="-2"/>
                <w:lang w:val="en-GB" w:eastAsia="en-US"/>
              </w:rPr>
              <w:t xml:space="preserve"> H1</w:t>
            </w:r>
            <w:r w:rsidR="00AB75C5" w:rsidRPr="00D970F7">
              <w:rPr>
                <w:spacing w:val="-2"/>
                <w:lang w:val="en-GB" w:eastAsia="en-US"/>
              </w:rPr>
              <w:t xml:space="preserve">. </w:t>
            </w:r>
            <w:r w:rsidR="0007683E" w:rsidRPr="00D970F7">
              <w:rPr>
                <w:spacing w:val="-2"/>
                <w:lang w:val="en-GB" w:eastAsia="en-US"/>
              </w:rPr>
              <w:t xml:space="preserve">Given the strengthening inflationary pressures, the repo rate was increased from </w:t>
            </w:r>
            <w:r w:rsidR="00AB75C5" w:rsidRPr="00D970F7">
              <w:rPr>
                <w:spacing w:val="-2"/>
                <w:lang w:val="en-GB" w:eastAsia="en-US"/>
              </w:rPr>
              <w:t xml:space="preserve">2% </w:t>
            </w:r>
            <w:r w:rsidR="0007683E" w:rsidRPr="00D970F7">
              <w:rPr>
                <w:spacing w:val="-2"/>
                <w:lang w:val="en-GB" w:eastAsia="en-US"/>
              </w:rPr>
              <w:t xml:space="preserve">to </w:t>
            </w:r>
            <w:r w:rsidR="00AB75C5" w:rsidRPr="00D970F7">
              <w:rPr>
                <w:spacing w:val="-2"/>
                <w:lang w:val="en-GB" w:eastAsia="en-US"/>
              </w:rPr>
              <w:t>2</w:t>
            </w:r>
            <w:r w:rsidR="0007683E" w:rsidRPr="00D970F7">
              <w:rPr>
                <w:spacing w:val="-2"/>
                <w:lang w:val="en-GB" w:eastAsia="en-US"/>
              </w:rPr>
              <w:t>.</w:t>
            </w:r>
            <w:r w:rsidR="00AB75C5" w:rsidRPr="00D970F7">
              <w:rPr>
                <w:spacing w:val="-2"/>
                <w:lang w:val="en-GB" w:eastAsia="en-US"/>
              </w:rPr>
              <w:t>25%</w:t>
            </w:r>
            <w:r w:rsidR="00AB75C5" w:rsidRPr="00D970F7">
              <w:rPr>
                <w:rStyle w:val="Znakapoznpodarou"/>
                <w:spacing w:val="-2"/>
                <w:lang w:val="en-GB" w:eastAsia="en-US"/>
              </w:rPr>
              <w:footnoteReference w:id="53"/>
            </w:r>
            <w:r w:rsidR="0007683E" w:rsidRPr="00D970F7">
              <w:rPr>
                <w:spacing w:val="-2"/>
                <w:lang w:val="en-GB" w:eastAsia="en-US"/>
              </w:rPr>
              <w:t xml:space="preserve"> at the beginning of the year</w:t>
            </w:r>
            <w:r w:rsidR="00AB75C5" w:rsidRPr="00D970F7">
              <w:rPr>
                <w:spacing w:val="-2"/>
                <w:lang w:val="en-GB" w:eastAsia="en-US"/>
              </w:rPr>
              <w:t>.</w:t>
            </w:r>
            <w:r w:rsidR="0007683E" w:rsidRPr="00D970F7">
              <w:rPr>
                <w:spacing w:val="-2"/>
                <w:lang w:val="en-GB" w:eastAsia="en-US"/>
              </w:rPr>
              <w:t xml:space="preserve"> This level however held only shortly. The rate was reduced to </w:t>
            </w:r>
            <w:r w:rsidR="00AB75C5" w:rsidRPr="00D970F7">
              <w:rPr>
                <w:spacing w:val="-2"/>
                <w:lang w:val="en-GB" w:eastAsia="en-US"/>
              </w:rPr>
              <w:t>1%</w:t>
            </w:r>
            <w:r w:rsidR="0007683E" w:rsidRPr="00D970F7">
              <w:rPr>
                <w:spacing w:val="-2"/>
                <w:lang w:val="en-GB" w:eastAsia="en-US"/>
              </w:rPr>
              <w:t xml:space="preserve"> in March and further down to </w:t>
            </w:r>
            <w:r w:rsidR="00AB75C5" w:rsidRPr="00D970F7">
              <w:rPr>
                <w:spacing w:val="-2"/>
                <w:lang w:val="en-GB" w:eastAsia="en-US"/>
              </w:rPr>
              <w:t>0</w:t>
            </w:r>
            <w:r w:rsidR="0007683E" w:rsidRPr="00D970F7">
              <w:rPr>
                <w:spacing w:val="-2"/>
                <w:lang w:val="en-GB" w:eastAsia="en-US"/>
              </w:rPr>
              <w:t>.</w:t>
            </w:r>
            <w:r w:rsidR="00AB75C5" w:rsidRPr="00D970F7">
              <w:rPr>
                <w:spacing w:val="-2"/>
                <w:lang w:val="en-GB" w:eastAsia="en-US"/>
              </w:rPr>
              <w:t>25 %</w:t>
            </w:r>
            <w:r w:rsidR="0007683E" w:rsidRPr="00D970F7">
              <w:rPr>
                <w:spacing w:val="-2"/>
                <w:lang w:val="en-GB" w:eastAsia="en-US"/>
              </w:rPr>
              <w:t xml:space="preserve"> in May</w:t>
            </w:r>
            <w:r w:rsidR="00AB75C5" w:rsidRPr="00D970F7">
              <w:rPr>
                <w:spacing w:val="-2"/>
                <w:lang w:val="en-GB" w:eastAsia="en-US"/>
              </w:rPr>
              <w:t>,</w:t>
            </w:r>
            <w:r w:rsidR="0007683E" w:rsidRPr="00D970F7">
              <w:rPr>
                <w:spacing w:val="-2"/>
                <w:lang w:val="en-GB" w:eastAsia="en-US"/>
              </w:rPr>
              <w:t xml:space="preserve"> the lowest value since November </w:t>
            </w:r>
            <w:r w:rsidR="00AB75C5" w:rsidRPr="00D970F7">
              <w:rPr>
                <w:spacing w:val="-2"/>
                <w:lang w:val="en-GB" w:eastAsia="en-US"/>
              </w:rPr>
              <w:t xml:space="preserve">2017. </w:t>
            </w:r>
            <w:r w:rsidR="0007683E" w:rsidRPr="00D970F7">
              <w:rPr>
                <w:spacing w:val="-2"/>
                <w:lang w:val="en-GB" w:eastAsia="en-US"/>
              </w:rPr>
              <w:t xml:space="preserve">The discount rate was technically zero </w:t>
            </w:r>
            <w:r w:rsidR="00AB75C5" w:rsidRPr="00D970F7">
              <w:rPr>
                <w:spacing w:val="-2"/>
                <w:lang w:val="en-GB" w:eastAsia="en-US"/>
              </w:rPr>
              <w:t>(0</w:t>
            </w:r>
            <w:r w:rsidR="0007683E" w:rsidRPr="00D970F7">
              <w:rPr>
                <w:spacing w:val="-2"/>
                <w:lang w:val="en-GB" w:eastAsia="en-US"/>
              </w:rPr>
              <w:t>.</w:t>
            </w:r>
            <w:r w:rsidR="00AB75C5" w:rsidRPr="00D970F7">
              <w:rPr>
                <w:spacing w:val="-2"/>
                <w:lang w:val="en-GB" w:eastAsia="en-US"/>
              </w:rPr>
              <w:t>05%)</w:t>
            </w:r>
            <w:r w:rsidR="0007683E" w:rsidRPr="00D970F7">
              <w:rPr>
                <w:spacing w:val="-2"/>
                <w:lang w:val="en-GB" w:eastAsia="en-US"/>
              </w:rPr>
              <w:t xml:space="preserve"> at the end of June and the </w:t>
            </w:r>
            <w:r w:rsidR="0007200B" w:rsidRPr="00D970F7">
              <w:rPr>
                <w:spacing w:val="-2"/>
                <w:lang w:val="en-GB" w:eastAsia="en-US"/>
              </w:rPr>
              <w:t>L</w:t>
            </w:r>
            <w:r w:rsidR="0007683E" w:rsidRPr="00D970F7">
              <w:rPr>
                <w:spacing w:val="-2"/>
                <w:lang w:val="en-GB" w:eastAsia="en-US"/>
              </w:rPr>
              <w:t>ombard rate</w:t>
            </w:r>
            <w:r w:rsidR="0007200B" w:rsidRPr="00D970F7">
              <w:rPr>
                <w:spacing w:val="-2"/>
                <w:lang w:val="en-GB" w:eastAsia="en-US"/>
              </w:rPr>
              <w:t xml:space="preserve"> attained </w:t>
            </w:r>
            <w:r w:rsidR="00AB75C5" w:rsidRPr="00D970F7">
              <w:rPr>
                <w:spacing w:val="-2"/>
                <w:lang w:val="en-GB" w:eastAsia="en-US"/>
              </w:rPr>
              <w:t>1%. K</w:t>
            </w:r>
            <w:r w:rsidR="0007200B" w:rsidRPr="00D970F7">
              <w:rPr>
                <w:spacing w:val="-2"/>
                <w:lang w:val="en-GB" w:eastAsia="en-US"/>
              </w:rPr>
              <w:t xml:space="preserve">oruna foreign exchange against both euro and dollar </w:t>
            </w:r>
            <w:r w:rsidR="00A22B49" w:rsidRPr="00D970F7">
              <w:rPr>
                <w:spacing w:val="-2"/>
                <w:lang w:val="en-GB" w:eastAsia="en-US"/>
              </w:rPr>
              <w:t xml:space="preserve">stayed at higher level during the whole April and large part of May following marked March depreciation. Koruna foreign exchange per euro remained above </w:t>
            </w:r>
            <w:r w:rsidR="00AB75C5" w:rsidRPr="00D970F7">
              <w:rPr>
                <w:spacing w:val="-2"/>
                <w:lang w:val="en-GB" w:eastAsia="en-US"/>
              </w:rPr>
              <w:t>27 CZK/EUR</w:t>
            </w:r>
            <w:r w:rsidR="00A22B49" w:rsidRPr="00D970F7">
              <w:rPr>
                <w:spacing w:val="-2"/>
                <w:lang w:val="en-GB" w:eastAsia="en-US"/>
              </w:rPr>
              <w:t xml:space="preserve"> for the major part of this period</w:t>
            </w:r>
            <w:r w:rsidR="00AB75C5" w:rsidRPr="00D970F7">
              <w:rPr>
                <w:spacing w:val="-2"/>
                <w:lang w:val="en-GB" w:eastAsia="en-US"/>
              </w:rPr>
              <w:t xml:space="preserve">. </w:t>
            </w:r>
            <w:r w:rsidR="003B6B91" w:rsidRPr="00D970F7">
              <w:rPr>
                <w:spacing w:val="-2"/>
                <w:lang w:val="en-GB" w:eastAsia="en-US"/>
              </w:rPr>
              <w:t xml:space="preserve">The foreign exchange again gradually appreciated to </w:t>
            </w:r>
            <w:r w:rsidR="00AB75C5" w:rsidRPr="00D970F7">
              <w:rPr>
                <w:spacing w:val="-2"/>
                <w:lang w:val="en-GB" w:eastAsia="en-US"/>
              </w:rPr>
              <w:t>26</w:t>
            </w:r>
            <w:r w:rsidR="003B6B91" w:rsidRPr="00D970F7">
              <w:rPr>
                <w:spacing w:val="-2"/>
                <w:lang w:val="en-GB" w:eastAsia="en-US"/>
              </w:rPr>
              <w:t>.</w:t>
            </w:r>
            <w:r w:rsidR="00AB75C5" w:rsidRPr="00D970F7">
              <w:rPr>
                <w:spacing w:val="-2"/>
                <w:lang w:val="en-GB" w:eastAsia="en-US"/>
              </w:rPr>
              <w:t>65 </w:t>
            </w:r>
            <w:r w:rsidR="003B6B91" w:rsidRPr="00D970F7">
              <w:rPr>
                <w:spacing w:val="-2"/>
                <w:lang w:val="en-GB" w:eastAsia="en-US"/>
              </w:rPr>
              <w:t>CZK from 20</w:t>
            </w:r>
            <w:r w:rsidR="003B6B91" w:rsidRPr="00D970F7">
              <w:rPr>
                <w:spacing w:val="-2"/>
                <w:vertAlign w:val="superscript"/>
                <w:lang w:val="en-GB" w:eastAsia="en-US"/>
              </w:rPr>
              <w:t>th</w:t>
            </w:r>
            <w:r w:rsidR="003B6B91" w:rsidRPr="00D970F7">
              <w:rPr>
                <w:spacing w:val="-2"/>
                <w:lang w:val="en-GB" w:eastAsia="en-US"/>
              </w:rPr>
              <w:t xml:space="preserve"> May till 2</w:t>
            </w:r>
            <w:r w:rsidR="003B6B91" w:rsidRPr="00D970F7">
              <w:rPr>
                <w:spacing w:val="-2"/>
                <w:vertAlign w:val="superscript"/>
                <w:lang w:val="en-GB" w:eastAsia="en-US"/>
              </w:rPr>
              <w:t>nd</w:t>
            </w:r>
            <w:r w:rsidR="003B6B91" w:rsidRPr="00D970F7">
              <w:rPr>
                <w:spacing w:val="-2"/>
                <w:lang w:val="en-GB" w:eastAsia="en-US"/>
              </w:rPr>
              <w:t xml:space="preserve"> June</w:t>
            </w:r>
            <w:r w:rsidR="00AB75C5" w:rsidRPr="00D970F7">
              <w:rPr>
                <w:spacing w:val="-2"/>
                <w:lang w:val="en-GB" w:eastAsia="en-US"/>
              </w:rPr>
              <w:t>.</w:t>
            </w:r>
            <w:r w:rsidR="003B6B91" w:rsidRPr="00D970F7">
              <w:rPr>
                <w:spacing w:val="-2"/>
                <w:lang w:val="en-GB" w:eastAsia="en-US"/>
              </w:rPr>
              <w:t xml:space="preserve"> Subsequently it remained near this level until the end of month. Development in case of dollar was very similar. The koruna foreign exchange often moved above </w:t>
            </w:r>
            <w:r w:rsidR="00AB75C5" w:rsidRPr="00D970F7">
              <w:rPr>
                <w:spacing w:val="-2"/>
                <w:lang w:val="en-GB" w:eastAsia="en-US"/>
              </w:rPr>
              <w:t>25 CZK/USD</w:t>
            </w:r>
            <w:r w:rsidR="003B6B91" w:rsidRPr="00D970F7">
              <w:rPr>
                <w:spacing w:val="-2"/>
                <w:lang w:val="en-GB" w:eastAsia="en-US"/>
              </w:rPr>
              <w:t xml:space="preserve"> during April and May</w:t>
            </w:r>
            <w:r w:rsidR="00AB75C5" w:rsidRPr="00D970F7">
              <w:rPr>
                <w:spacing w:val="-2"/>
                <w:lang w:val="en-GB" w:eastAsia="en-US"/>
              </w:rPr>
              <w:t xml:space="preserve">. </w:t>
            </w:r>
            <w:r w:rsidR="00431859" w:rsidRPr="00D970F7">
              <w:rPr>
                <w:spacing w:val="-2"/>
                <w:lang w:val="en-GB" w:eastAsia="en-US"/>
              </w:rPr>
              <w:t xml:space="preserve">Koruna again strengthen up to </w:t>
            </w:r>
            <w:r w:rsidR="00AB75C5" w:rsidRPr="00D970F7">
              <w:rPr>
                <w:spacing w:val="-2"/>
                <w:lang w:val="en-GB" w:eastAsia="en-US"/>
              </w:rPr>
              <w:t>23</w:t>
            </w:r>
            <w:r w:rsidR="00431859" w:rsidRPr="00D970F7">
              <w:rPr>
                <w:spacing w:val="-2"/>
                <w:lang w:val="en-GB" w:eastAsia="en-US"/>
              </w:rPr>
              <w:t>.</w:t>
            </w:r>
            <w:r w:rsidR="00AB75C5" w:rsidRPr="00D970F7">
              <w:rPr>
                <w:spacing w:val="-2"/>
                <w:lang w:val="en-GB" w:eastAsia="en-US"/>
              </w:rPr>
              <w:t>47 CZK/USD</w:t>
            </w:r>
            <w:r w:rsidR="00431859" w:rsidRPr="00D970F7">
              <w:rPr>
                <w:spacing w:val="-2"/>
                <w:lang w:val="en-GB" w:eastAsia="en-US"/>
              </w:rPr>
              <w:t xml:space="preserve"> in the period from 20</w:t>
            </w:r>
            <w:r w:rsidR="00431859" w:rsidRPr="00D970F7">
              <w:rPr>
                <w:spacing w:val="-2"/>
                <w:vertAlign w:val="superscript"/>
                <w:lang w:val="en-GB" w:eastAsia="en-US"/>
              </w:rPr>
              <w:t>th</w:t>
            </w:r>
            <w:r w:rsidR="00431859" w:rsidRPr="00D970F7">
              <w:rPr>
                <w:spacing w:val="-2"/>
                <w:lang w:val="en-GB" w:eastAsia="en-US"/>
              </w:rPr>
              <w:t xml:space="preserve"> May to 5</w:t>
            </w:r>
            <w:r w:rsidR="00431859" w:rsidRPr="00D970F7">
              <w:rPr>
                <w:spacing w:val="-2"/>
                <w:vertAlign w:val="superscript"/>
                <w:lang w:val="en-GB" w:eastAsia="en-US"/>
              </w:rPr>
              <w:t>th</w:t>
            </w:r>
            <w:r w:rsidR="00431859" w:rsidRPr="00D970F7">
              <w:rPr>
                <w:spacing w:val="-2"/>
                <w:lang w:val="en-GB" w:eastAsia="en-US"/>
              </w:rPr>
              <w:t xml:space="preserve"> June and it was </w:t>
            </w:r>
            <w:r w:rsidR="00BE1E6C" w:rsidRPr="00D970F7">
              <w:rPr>
                <w:spacing w:val="-2"/>
                <w:lang w:val="en-GB" w:eastAsia="en-US"/>
              </w:rPr>
              <w:t>mildly</w:t>
            </w:r>
            <w:r w:rsidR="00431859" w:rsidRPr="00D970F7">
              <w:rPr>
                <w:spacing w:val="-2"/>
                <w:lang w:val="en-GB" w:eastAsia="en-US"/>
              </w:rPr>
              <w:t xml:space="preserve"> depreciati</w:t>
            </w:r>
            <w:r w:rsidR="00BE1E6C" w:rsidRPr="00D970F7">
              <w:rPr>
                <w:spacing w:val="-2"/>
                <w:lang w:val="en-GB" w:eastAsia="en-US"/>
              </w:rPr>
              <w:t>ng</w:t>
            </w:r>
            <w:r w:rsidR="00431859" w:rsidRPr="00D970F7">
              <w:rPr>
                <w:spacing w:val="-2"/>
                <w:lang w:val="en-GB" w:eastAsia="en-US"/>
              </w:rPr>
              <w:t xml:space="preserve"> in the direction of </w:t>
            </w:r>
            <w:r w:rsidR="00AB75C5" w:rsidRPr="00D970F7">
              <w:rPr>
                <w:spacing w:val="-2"/>
                <w:lang w:val="en-GB" w:eastAsia="en-US"/>
              </w:rPr>
              <w:t>24 </w:t>
            </w:r>
            <w:r w:rsidR="00BE1E6C" w:rsidRPr="00D970F7">
              <w:rPr>
                <w:spacing w:val="-2"/>
                <w:lang w:val="en-GB" w:eastAsia="en-US"/>
              </w:rPr>
              <w:t>CZK per</w:t>
            </w:r>
            <w:r w:rsidR="00AB75C5" w:rsidRPr="00D970F7">
              <w:rPr>
                <w:spacing w:val="-2"/>
                <w:lang w:val="en-GB" w:eastAsia="en-US"/>
              </w:rPr>
              <w:t xml:space="preserve"> </w:t>
            </w:r>
            <w:r w:rsidR="00BE1E6C" w:rsidRPr="00D970F7">
              <w:rPr>
                <w:spacing w:val="-2"/>
                <w:lang w:val="en-GB" w:eastAsia="en-US"/>
              </w:rPr>
              <w:t>dollar until the end of June</w:t>
            </w:r>
            <w:r w:rsidR="00AB75C5" w:rsidRPr="00D970F7">
              <w:rPr>
                <w:spacing w:val="-2"/>
                <w:lang w:val="en-GB" w:eastAsia="en-US"/>
              </w:rPr>
              <w:t xml:space="preserve">. </w:t>
            </w:r>
            <w:r w:rsidR="00922FF3" w:rsidRPr="00D970F7">
              <w:rPr>
                <w:spacing w:val="-2"/>
                <w:lang w:val="en-GB" w:eastAsia="en-US"/>
              </w:rPr>
              <w:t xml:space="preserve">Notable deprecation of koruna towards other currencies meant strengthening of the inflationary pressures from abroad. </w:t>
            </w:r>
          </w:p>
        </w:tc>
      </w:tr>
      <w:tr w:rsidR="00AB75C5" w:rsidRPr="00D970F7" w14:paraId="31B062B2" w14:textId="77777777" w:rsidTr="00AB75C5">
        <w:trPr>
          <w:trHeight w:val="145"/>
        </w:trPr>
        <w:tc>
          <w:tcPr>
            <w:tcW w:w="1802" w:type="dxa"/>
            <w:hideMark/>
          </w:tcPr>
          <w:p w14:paraId="134157A0" w14:textId="37FBC368" w:rsidR="00AB75C5" w:rsidRPr="00D970F7" w:rsidRDefault="00B75E68">
            <w:pPr>
              <w:pStyle w:val="Marginlie"/>
              <w:rPr>
                <w:lang w:val="en-GB" w:eastAsia="en-US"/>
              </w:rPr>
            </w:pPr>
            <w:r w:rsidRPr="00D970F7">
              <w:rPr>
                <w:lang w:val="en-GB" w:eastAsia="en-US"/>
              </w:rPr>
              <w:t>Interbank interest rates and also the yield</w:t>
            </w:r>
            <w:r w:rsidR="008F26DB" w:rsidRPr="00D970F7">
              <w:rPr>
                <w:lang w:val="en-GB" w:eastAsia="en-US"/>
              </w:rPr>
              <w:t>s</w:t>
            </w:r>
            <w:r w:rsidRPr="00D970F7">
              <w:rPr>
                <w:lang w:val="en-GB" w:eastAsia="en-US"/>
              </w:rPr>
              <w:t xml:space="preserve"> of government bonds sharply dropped. </w:t>
            </w:r>
          </w:p>
        </w:tc>
        <w:tc>
          <w:tcPr>
            <w:tcW w:w="229" w:type="dxa"/>
          </w:tcPr>
          <w:p w14:paraId="4CCB4959" w14:textId="77777777" w:rsidR="00AB75C5" w:rsidRPr="00D970F7" w:rsidRDefault="00AB75C5">
            <w:pPr>
              <w:pStyle w:val="Textpoznpodarou"/>
              <w:jc w:val="both"/>
              <w:rPr>
                <w:spacing w:val="-4"/>
                <w:lang w:val="en-GB" w:eastAsia="en-US"/>
              </w:rPr>
            </w:pPr>
          </w:p>
        </w:tc>
        <w:tc>
          <w:tcPr>
            <w:tcW w:w="7610" w:type="dxa"/>
            <w:hideMark/>
          </w:tcPr>
          <w:p w14:paraId="2DC9CC53" w14:textId="22B3E841" w:rsidR="00AB75C5" w:rsidRPr="00D970F7" w:rsidRDefault="00922FF3">
            <w:pPr>
              <w:rPr>
                <w:spacing w:val="-1"/>
                <w:lang w:val="en-GB" w:eastAsia="en-US"/>
              </w:rPr>
            </w:pPr>
            <w:r w:rsidRPr="00D970F7">
              <w:rPr>
                <w:spacing w:val="-1"/>
                <w:lang w:val="en-GB" w:eastAsia="en-US"/>
              </w:rPr>
              <w:t xml:space="preserve">Changes of the monetary policy-relevant rates led to fast decrease of the interbank interest rates. The </w:t>
            </w:r>
            <w:r w:rsidR="008F26DB" w:rsidRPr="00D970F7">
              <w:rPr>
                <w:spacing w:val="-1"/>
                <w:lang w:val="en-GB" w:eastAsia="en-US"/>
              </w:rPr>
              <w:t>three-month</w:t>
            </w:r>
            <w:r w:rsidRPr="00D970F7">
              <w:rPr>
                <w:spacing w:val="-1"/>
                <w:lang w:val="en-GB" w:eastAsia="en-US"/>
              </w:rPr>
              <w:t xml:space="preserve"> </w:t>
            </w:r>
            <w:r w:rsidR="00AB75C5" w:rsidRPr="00D970F7">
              <w:rPr>
                <w:spacing w:val="-1"/>
                <w:lang w:val="en-GB" w:eastAsia="en-US"/>
              </w:rPr>
              <w:t xml:space="preserve">PRIBOR </w:t>
            </w:r>
            <w:r w:rsidRPr="00D970F7">
              <w:rPr>
                <w:spacing w:val="-1"/>
                <w:lang w:val="en-GB" w:eastAsia="en-US"/>
              </w:rPr>
              <w:t xml:space="preserve">thus attained </w:t>
            </w:r>
            <w:r w:rsidR="00AB75C5" w:rsidRPr="00D970F7">
              <w:rPr>
                <w:spacing w:val="-1"/>
                <w:lang w:val="en-GB" w:eastAsia="en-US"/>
              </w:rPr>
              <w:t>2%</w:t>
            </w:r>
            <w:r w:rsidRPr="00D970F7">
              <w:rPr>
                <w:spacing w:val="-1"/>
                <w:lang w:val="en-GB" w:eastAsia="en-US"/>
              </w:rPr>
              <w:t xml:space="preserve"> towards the end of March and it was </w:t>
            </w:r>
            <w:r w:rsidR="00AB75C5" w:rsidRPr="00D970F7">
              <w:rPr>
                <w:spacing w:val="-1"/>
                <w:lang w:val="en-GB" w:eastAsia="en-US"/>
              </w:rPr>
              <w:t>0</w:t>
            </w:r>
            <w:r w:rsidRPr="00D970F7">
              <w:rPr>
                <w:spacing w:val="-1"/>
                <w:lang w:val="en-GB" w:eastAsia="en-US"/>
              </w:rPr>
              <w:t>.</w:t>
            </w:r>
            <w:r w:rsidR="00AB75C5" w:rsidRPr="00D970F7">
              <w:rPr>
                <w:spacing w:val="-1"/>
                <w:lang w:val="en-GB" w:eastAsia="en-US"/>
              </w:rPr>
              <w:t>34%</w:t>
            </w:r>
            <w:r w:rsidRPr="00D970F7">
              <w:rPr>
                <w:spacing w:val="-1"/>
                <w:lang w:val="en-GB" w:eastAsia="en-US"/>
              </w:rPr>
              <w:t xml:space="preserve"> at the end of June</w:t>
            </w:r>
            <w:r w:rsidR="00AB75C5" w:rsidRPr="00D970F7">
              <w:rPr>
                <w:spacing w:val="-1"/>
                <w:lang w:val="en-GB" w:eastAsia="en-US"/>
              </w:rPr>
              <w:t xml:space="preserve">. </w:t>
            </w:r>
            <w:r w:rsidR="008F26DB" w:rsidRPr="00D970F7">
              <w:rPr>
                <w:spacing w:val="-1"/>
                <w:lang w:val="en-GB" w:eastAsia="en-US"/>
              </w:rPr>
              <w:t xml:space="preserve">Interest rates on government bonds were also falling, specifically for all types of maturities. </w:t>
            </w:r>
            <w:r w:rsidR="006C67EC" w:rsidRPr="00D970F7">
              <w:rPr>
                <w:spacing w:val="-1"/>
                <w:lang w:val="en-GB" w:eastAsia="en-US"/>
              </w:rPr>
              <w:t xml:space="preserve">The average interest thus decreased from 1.27% to 0.08% for bonds with maturity up to 2 years, it was from </w:t>
            </w:r>
            <w:r w:rsidR="00AB75C5" w:rsidRPr="00D970F7">
              <w:rPr>
                <w:spacing w:val="-1"/>
                <w:lang w:val="en-GB" w:eastAsia="en-US"/>
              </w:rPr>
              <w:t>1</w:t>
            </w:r>
            <w:r w:rsidR="006C67EC" w:rsidRPr="00D970F7">
              <w:rPr>
                <w:spacing w:val="-1"/>
                <w:lang w:val="en-GB" w:eastAsia="en-US"/>
              </w:rPr>
              <w:t>.</w:t>
            </w:r>
            <w:r w:rsidR="00AB75C5" w:rsidRPr="00D970F7">
              <w:rPr>
                <w:spacing w:val="-1"/>
                <w:lang w:val="en-GB" w:eastAsia="en-US"/>
              </w:rPr>
              <w:t xml:space="preserve">23% </w:t>
            </w:r>
            <w:r w:rsidR="006C67EC" w:rsidRPr="00D970F7">
              <w:rPr>
                <w:spacing w:val="-1"/>
                <w:lang w:val="en-GB" w:eastAsia="en-US"/>
              </w:rPr>
              <w:t xml:space="preserve">to </w:t>
            </w:r>
            <w:r w:rsidR="00AB75C5" w:rsidRPr="00D970F7">
              <w:rPr>
                <w:spacing w:val="-1"/>
                <w:lang w:val="en-GB" w:eastAsia="en-US"/>
              </w:rPr>
              <w:t>0</w:t>
            </w:r>
            <w:r w:rsidR="006C67EC" w:rsidRPr="00D970F7">
              <w:rPr>
                <w:spacing w:val="-1"/>
                <w:lang w:val="en-GB" w:eastAsia="en-US"/>
              </w:rPr>
              <w:t>.</w:t>
            </w:r>
            <w:r w:rsidR="00AB75C5" w:rsidRPr="00D970F7">
              <w:rPr>
                <w:spacing w:val="-1"/>
                <w:lang w:val="en-GB" w:eastAsia="en-US"/>
              </w:rPr>
              <w:t xml:space="preserve">52% </w:t>
            </w:r>
            <w:r w:rsidR="006C67EC" w:rsidRPr="00D970F7">
              <w:rPr>
                <w:spacing w:val="-1"/>
                <w:lang w:val="en-GB" w:eastAsia="en-US"/>
              </w:rPr>
              <w:t xml:space="preserve">for maturity up to 5 years and the rate moved from </w:t>
            </w:r>
            <w:r w:rsidR="00AB75C5" w:rsidRPr="00D970F7">
              <w:rPr>
                <w:spacing w:val="-1"/>
                <w:lang w:val="en-GB" w:eastAsia="en-US"/>
              </w:rPr>
              <w:t>1</w:t>
            </w:r>
            <w:r w:rsidR="006C67EC" w:rsidRPr="00D970F7">
              <w:rPr>
                <w:spacing w:val="-1"/>
                <w:lang w:val="en-GB" w:eastAsia="en-US"/>
              </w:rPr>
              <w:t>.</w:t>
            </w:r>
            <w:r w:rsidR="00AB75C5" w:rsidRPr="00D970F7">
              <w:rPr>
                <w:spacing w:val="-1"/>
                <w:lang w:val="en-GB" w:eastAsia="en-US"/>
              </w:rPr>
              <w:t xml:space="preserve">28% </w:t>
            </w:r>
            <w:r w:rsidR="006C67EC" w:rsidRPr="00D970F7">
              <w:rPr>
                <w:spacing w:val="-1"/>
                <w:lang w:val="en-GB" w:eastAsia="en-US"/>
              </w:rPr>
              <w:t xml:space="preserve">to </w:t>
            </w:r>
            <w:r w:rsidR="00AB75C5" w:rsidRPr="00D970F7">
              <w:rPr>
                <w:spacing w:val="-1"/>
                <w:lang w:val="en-GB" w:eastAsia="en-US"/>
              </w:rPr>
              <w:t>0</w:t>
            </w:r>
            <w:r w:rsidR="006C67EC" w:rsidRPr="00D970F7">
              <w:rPr>
                <w:spacing w:val="-1"/>
                <w:lang w:val="en-GB" w:eastAsia="en-US"/>
              </w:rPr>
              <w:t>.</w:t>
            </w:r>
            <w:r w:rsidR="00AB75C5" w:rsidRPr="00D970F7">
              <w:rPr>
                <w:spacing w:val="-1"/>
                <w:lang w:val="en-GB" w:eastAsia="en-US"/>
              </w:rPr>
              <w:t>86%</w:t>
            </w:r>
            <w:r w:rsidR="006C67EC" w:rsidRPr="00D970F7">
              <w:rPr>
                <w:spacing w:val="-1"/>
                <w:lang w:val="en-GB" w:eastAsia="en-US"/>
              </w:rPr>
              <w:t xml:space="preserve"> in case of bonds with long term maturity from the end of March till the end of June</w:t>
            </w:r>
            <w:r w:rsidR="00AB75C5" w:rsidRPr="00D970F7">
              <w:rPr>
                <w:spacing w:val="-1"/>
                <w:lang w:val="en-GB" w:eastAsia="en-US"/>
              </w:rPr>
              <w:t xml:space="preserve">. </w:t>
            </w:r>
            <w:r w:rsidR="006C67EC" w:rsidRPr="00D970F7">
              <w:rPr>
                <w:spacing w:val="-1"/>
                <w:lang w:val="en-GB" w:eastAsia="en-US"/>
              </w:rPr>
              <w:t xml:space="preserve">Rates on the government bonds issued by the area followed similar pattern of development. </w:t>
            </w:r>
            <w:r w:rsidR="00153E4A" w:rsidRPr="00D970F7">
              <w:rPr>
                <w:spacing w:val="-1"/>
                <w:lang w:val="en-GB" w:eastAsia="en-US"/>
              </w:rPr>
              <w:t xml:space="preserve">Both short term and medium-term maturities had negative interest rate towards the end of June </w:t>
            </w:r>
            <w:r w:rsidR="00AB75C5" w:rsidRPr="00D970F7">
              <w:rPr>
                <w:spacing w:val="-1"/>
                <w:lang w:val="en-GB" w:eastAsia="en-US"/>
              </w:rPr>
              <w:t>(–0</w:t>
            </w:r>
            <w:r w:rsidR="00153E4A" w:rsidRPr="00D970F7">
              <w:rPr>
                <w:spacing w:val="-1"/>
                <w:lang w:val="en-GB" w:eastAsia="en-US"/>
              </w:rPr>
              <w:t>.</w:t>
            </w:r>
            <w:r w:rsidR="00AB75C5" w:rsidRPr="00D970F7">
              <w:rPr>
                <w:spacing w:val="-1"/>
                <w:lang w:val="en-GB" w:eastAsia="en-US"/>
              </w:rPr>
              <w:t>36%</w:t>
            </w:r>
            <w:r w:rsidR="00153E4A" w:rsidRPr="00D970F7">
              <w:rPr>
                <w:spacing w:val="-1"/>
                <w:lang w:val="en-GB" w:eastAsia="en-US"/>
              </w:rPr>
              <w:t xml:space="preserve"> for short term</w:t>
            </w:r>
            <w:r w:rsidR="00AB75C5" w:rsidRPr="00D970F7">
              <w:rPr>
                <w:spacing w:val="-1"/>
                <w:lang w:val="en-GB" w:eastAsia="en-US"/>
              </w:rPr>
              <w:t>, –0</w:t>
            </w:r>
            <w:r w:rsidR="00153E4A" w:rsidRPr="00D970F7">
              <w:rPr>
                <w:spacing w:val="-1"/>
                <w:lang w:val="en-GB" w:eastAsia="en-US"/>
              </w:rPr>
              <w:t>.</w:t>
            </w:r>
            <w:r w:rsidR="00AB75C5" w:rsidRPr="00D970F7">
              <w:rPr>
                <w:spacing w:val="-1"/>
                <w:lang w:val="en-GB" w:eastAsia="en-US"/>
              </w:rPr>
              <w:t>04%</w:t>
            </w:r>
            <w:r w:rsidR="00153E4A" w:rsidRPr="00D970F7">
              <w:rPr>
                <w:spacing w:val="-1"/>
                <w:lang w:val="en-GB" w:eastAsia="en-US"/>
              </w:rPr>
              <w:t xml:space="preserve"> for medium term</w:t>
            </w:r>
            <w:r w:rsidR="00AB75C5" w:rsidRPr="00D970F7">
              <w:rPr>
                <w:spacing w:val="-1"/>
                <w:lang w:val="en-GB" w:eastAsia="en-US"/>
              </w:rPr>
              <w:t>).</w:t>
            </w:r>
            <w:r w:rsidR="00153E4A" w:rsidRPr="00D970F7">
              <w:rPr>
                <w:spacing w:val="-1"/>
                <w:lang w:val="en-GB" w:eastAsia="en-US"/>
              </w:rPr>
              <w:t xml:space="preserve"> The average interest on long term bonds was </w:t>
            </w:r>
            <w:r w:rsidR="00AB75C5" w:rsidRPr="00D970F7">
              <w:rPr>
                <w:spacing w:val="-1"/>
                <w:lang w:val="en-GB" w:eastAsia="en-US"/>
              </w:rPr>
              <w:t>0</w:t>
            </w:r>
            <w:r w:rsidR="00153E4A" w:rsidRPr="00D970F7">
              <w:rPr>
                <w:spacing w:val="-1"/>
                <w:lang w:val="en-GB" w:eastAsia="en-US"/>
              </w:rPr>
              <w:t>.</w:t>
            </w:r>
            <w:r w:rsidR="00AB75C5" w:rsidRPr="00D970F7">
              <w:rPr>
                <w:spacing w:val="-1"/>
                <w:lang w:val="en-GB" w:eastAsia="en-US"/>
              </w:rPr>
              <w:t>35%</w:t>
            </w:r>
            <w:r w:rsidR="00153E4A" w:rsidRPr="00D970F7">
              <w:rPr>
                <w:spacing w:val="-1"/>
                <w:lang w:val="en-GB" w:eastAsia="en-US"/>
              </w:rPr>
              <w:t xml:space="preserve"> in the euro area towards the end of June</w:t>
            </w:r>
            <w:r w:rsidR="00AB75C5" w:rsidRPr="00D970F7">
              <w:rPr>
                <w:spacing w:val="-1"/>
                <w:lang w:val="en-GB" w:eastAsia="en-US"/>
              </w:rPr>
              <w:t>.</w:t>
            </w:r>
          </w:p>
        </w:tc>
      </w:tr>
      <w:tr w:rsidR="00AB75C5" w:rsidRPr="00D970F7" w14:paraId="157BC0D5" w14:textId="77777777" w:rsidTr="00AB75C5">
        <w:trPr>
          <w:trHeight w:val="145"/>
        </w:trPr>
        <w:tc>
          <w:tcPr>
            <w:tcW w:w="1802" w:type="dxa"/>
            <w:hideMark/>
          </w:tcPr>
          <w:p w14:paraId="56C718A2" w14:textId="710B7BC1" w:rsidR="00AB75C5" w:rsidRPr="00D970F7" w:rsidRDefault="005F2D91">
            <w:pPr>
              <w:pStyle w:val="Marginlie"/>
              <w:rPr>
                <w:lang w:val="en-GB" w:eastAsia="en-US"/>
              </w:rPr>
            </w:pPr>
            <w:r w:rsidRPr="00D970F7">
              <w:rPr>
                <w:lang w:val="en-GB" w:eastAsia="en-US"/>
              </w:rPr>
              <w:t xml:space="preserve">Interest rates on the client accounts also reacted to the new conditions. Decrease of </w:t>
            </w:r>
            <w:r w:rsidR="00C33F11" w:rsidRPr="00D970F7">
              <w:rPr>
                <w:lang w:val="en-GB" w:eastAsia="en-US"/>
              </w:rPr>
              <w:t>interests</w:t>
            </w:r>
            <w:r w:rsidRPr="00D970F7">
              <w:rPr>
                <w:lang w:val="en-GB" w:eastAsia="en-US"/>
              </w:rPr>
              <w:t xml:space="preserve"> on deposits with agreed maturity was also connected to the transfer of financial funds to the non-term deposits. </w:t>
            </w:r>
          </w:p>
        </w:tc>
        <w:tc>
          <w:tcPr>
            <w:tcW w:w="229" w:type="dxa"/>
          </w:tcPr>
          <w:p w14:paraId="2F08F41E" w14:textId="77777777" w:rsidR="00AB75C5" w:rsidRPr="00D970F7" w:rsidRDefault="00AB75C5">
            <w:pPr>
              <w:pStyle w:val="Textpoznpodarou"/>
              <w:jc w:val="both"/>
              <w:rPr>
                <w:spacing w:val="-4"/>
                <w:lang w:val="en-GB" w:eastAsia="en-US"/>
              </w:rPr>
            </w:pPr>
          </w:p>
        </w:tc>
        <w:tc>
          <w:tcPr>
            <w:tcW w:w="7610" w:type="dxa"/>
            <w:hideMark/>
          </w:tcPr>
          <w:p w14:paraId="0589E0A5" w14:textId="7CA49782" w:rsidR="00AB75C5" w:rsidRPr="00D970F7" w:rsidRDefault="00C33F11">
            <w:pPr>
              <w:rPr>
                <w:spacing w:val="-3"/>
                <w:lang w:val="en-GB" w:eastAsia="en-US"/>
              </w:rPr>
            </w:pPr>
            <w:r w:rsidRPr="00D970F7">
              <w:rPr>
                <w:spacing w:val="-3"/>
                <w:lang w:val="en-GB" w:eastAsia="en-US"/>
              </w:rPr>
              <w:t xml:space="preserve">Interest rates on some types of deposits also very fast reacted to the new situation. The average interest rate on the current accounts of households was </w:t>
            </w:r>
            <w:r w:rsidR="00AB75C5" w:rsidRPr="00D970F7">
              <w:rPr>
                <w:spacing w:val="-3"/>
                <w:lang w:val="en-GB" w:eastAsia="en-US"/>
              </w:rPr>
              <w:t>0</w:t>
            </w:r>
            <w:r w:rsidRPr="00D970F7">
              <w:rPr>
                <w:spacing w:val="-3"/>
                <w:lang w:val="en-GB" w:eastAsia="en-US"/>
              </w:rPr>
              <w:t>.</w:t>
            </w:r>
            <w:r w:rsidR="00AB75C5" w:rsidRPr="00D970F7">
              <w:rPr>
                <w:spacing w:val="-3"/>
                <w:lang w:val="en-GB" w:eastAsia="en-US"/>
              </w:rPr>
              <w:t>03%</w:t>
            </w:r>
            <w:r w:rsidRPr="00D970F7">
              <w:rPr>
                <w:spacing w:val="-3"/>
                <w:lang w:val="en-GB" w:eastAsia="en-US"/>
              </w:rPr>
              <w:t xml:space="preserve"> at the end of this year’s June </w:t>
            </w:r>
            <w:r w:rsidR="00AB75C5" w:rsidRPr="00D970F7">
              <w:rPr>
                <w:spacing w:val="-3"/>
                <w:lang w:val="en-GB" w:eastAsia="en-US"/>
              </w:rPr>
              <w:t>(</w:t>
            </w:r>
            <w:r w:rsidRPr="00D970F7">
              <w:rPr>
                <w:spacing w:val="-3"/>
                <w:lang w:val="en-GB" w:eastAsia="en-US"/>
              </w:rPr>
              <w:t xml:space="preserve">it lowered by </w:t>
            </w:r>
            <w:r w:rsidR="00AB75C5" w:rsidRPr="00D970F7">
              <w:rPr>
                <w:spacing w:val="-3"/>
                <w:lang w:val="en-GB" w:eastAsia="en-US"/>
              </w:rPr>
              <w:t>0</w:t>
            </w:r>
            <w:r w:rsidRPr="00D970F7">
              <w:rPr>
                <w:spacing w:val="-3"/>
                <w:lang w:val="en-GB" w:eastAsia="en-US"/>
              </w:rPr>
              <w:t>.</w:t>
            </w:r>
            <w:r w:rsidR="00AB75C5" w:rsidRPr="00D970F7">
              <w:rPr>
                <w:spacing w:val="-3"/>
                <w:lang w:val="en-GB" w:eastAsia="en-US"/>
              </w:rPr>
              <w:t>01 p.</w:t>
            </w:r>
            <w:r w:rsidRPr="00D970F7">
              <w:rPr>
                <w:spacing w:val="-3"/>
                <w:lang w:val="en-GB" w:eastAsia="en-US"/>
              </w:rPr>
              <w:t>p</w:t>
            </w:r>
            <w:r w:rsidR="00AB75C5" w:rsidRPr="00D970F7">
              <w:rPr>
                <w:spacing w:val="-3"/>
                <w:lang w:val="en-GB" w:eastAsia="en-US"/>
              </w:rPr>
              <w:t>.</w:t>
            </w:r>
            <w:r w:rsidRPr="00D970F7">
              <w:rPr>
                <w:spacing w:val="-3"/>
                <w:lang w:val="en-GB" w:eastAsia="en-US"/>
              </w:rPr>
              <w:t xml:space="preserve"> compared to March</w:t>
            </w:r>
            <w:r w:rsidR="00AB75C5" w:rsidRPr="00D970F7">
              <w:rPr>
                <w:spacing w:val="-3"/>
                <w:lang w:val="en-GB" w:eastAsia="en-US"/>
              </w:rPr>
              <w:t>).</w:t>
            </w:r>
            <w:r w:rsidRPr="00D970F7">
              <w:rPr>
                <w:spacing w:val="-3"/>
                <w:lang w:val="en-GB" w:eastAsia="en-US"/>
              </w:rPr>
              <w:t xml:space="preserve"> Interests on the current accounts of households stays at the nearly zero level already more than four years a</w:t>
            </w:r>
            <w:r w:rsidR="008F26DB" w:rsidRPr="00D970F7">
              <w:rPr>
                <w:spacing w:val="-3"/>
                <w:lang w:val="en-GB" w:eastAsia="en-US"/>
              </w:rPr>
              <w:t>nd did not react in any way to the previous increase of the monetary policy-relevan</w:t>
            </w:r>
            <w:r w:rsidRPr="00D970F7">
              <w:rPr>
                <w:spacing w:val="-3"/>
                <w:lang w:val="en-GB" w:eastAsia="en-US"/>
              </w:rPr>
              <w:t>t</w:t>
            </w:r>
            <w:r w:rsidR="008F26DB" w:rsidRPr="00D970F7">
              <w:rPr>
                <w:spacing w:val="-3"/>
                <w:lang w:val="en-GB" w:eastAsia="en-US"/>
              </w:rPr>
              <w:t xml:space="preserve"> rates</w:t>
            </w:r>
            <w:r w:rsidR="00AB75C5" w:rsidRPr="00D970F7">
              <w:rPr>
                <w:spacing w:val="-3"/>
                <w:lang w:val="en-GB" w:eastAsia="en-US"/>
              </w:rPr>
              <w:t xml:space="preserve">. </w:t>
            </w:r>
            <w:r w:rsidR="003050FD" w:rsidRPr="00D970F7">
              <w:rPr>
                <w:spacing w:val="-3"/>
                <w:lang w:val="en-GB" w:eastAsia="en-US"/>
              </w:rPr>
              <w:t xml:space="preserve">Interests on deposits with agreed maturity sharply slumped. Total average fell since the end of March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 xml:space="preserve">43%) </w:t>
            </w:r>
            <w:r w:rsidR="003050FD" w:rsidRPr="00D970F7">
              <w:rPr>
                <w:spacing w:val="-3"/>
                <w:lang w:val="en-GB" w:eastAsia="en-US"/>
              </w:rPr>
              <w:t xml:space="preserve">to </w:t>
            </w:r>
            <w:r w:rsidR="00AB75C5" w:rsidRPr="00D970F7">
              <w:rPr>
                <w:spacing w:val="-3"/>
                <w:lang w:val="en-GB" w:eastAsia="en-US"/>
              </w:rPr>
              <w:t>0</w:t>
            </w:r>
            <w:r w:rsidR="003050FD" w:rsidRPr="00D970F7">
              <w:rPr>
                <w:spacing w:val="-3"/>
                <w:lang w:val="en-GB" w:eastAsia="en-US"/>
              </w:rPr>
              <w:t>.</w:t>
            </w:r>
            <w:r w:rsidR="00AB75C5" w:rsidRPr="00D970F7">
              <w:rPr>
                <w:spacing w:val="-3"/>
                <w:lang w:val="en-GB" w:eastAsia="en-US"/>
              </w:rPr>
              <w:t xml:space="preserve">6%. </w:t>
            </w:r>
            <w:r w:rsidR="003050FD" w:rsidRPr="00D970F7">
              <w:rPr>
                <w:spacing w:val="-3"/>
                <w:lang w:val="en-GB" w:eastAsia="en-US"/>
              </w:rPr>
              <w:t xml:space="preserve">The decrease affected all types of maturity, the most however maturity up to and including </w:t>
            </w:r>
            <w:r w:rsidR="00AB75C5" w:rsidRPr="00D970F7">
              <w:rPr>
                <w:spacing w:val="-3"/>
                <w:lang w:val="en-GB" w:eastAsia="en-US"/>
              </w:rPr>
              <w:t>1 </w:t>
            </w:r>
            <w:r w:rsidR="003050FD" w:rsidRPr="00D970F7">
              <w:rPr>
                <w:spacing w:val="-3"/>
                <w:lang w:val="en-GB" w:eastAsia="en-US"/>
              </w:rPr>
              <w:t xml:space="preserve">year </w:t>
            </w:r>
            <w:r w:rsidR="00AB75C5" w:rsidRPr="00D970F7">
              <w:rPr>
                <w:spacing w:val="-3"/>
                <w:lang w:val="en-GB" w:eastAsia="en-US"/>
              </w:rPr>
              <w:t>(</w:t>
            </w:r>
            <w:r w:rsidR="003050FD" w:rsidRPr="00D970F7">
              <w:rPr>
                <w:spacing w:val="-3"/>
                <w:lang w:val="en-GB" w:eastAsia="en-US"/>
              </w:rPr>
              <w:t xml:space="preserve">decrease between March and June from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38%</w:t>
            </w:r>
            <w:r w:rsidR="003050FD" w:rsidRPr="00D970F7">
              <w:rPr>
                <w:spacing w:val="-3"/>
                <w:lang w:val="en-GB" w:eastAsia="en-US"/>
              </w:rPr>
              <w:t xml:space="preserve"> to </w:t>
            </w:r>
            <w:r w:rsidR="00AB75C5" w:rsidRPr="00D970F7">
              <w:rPr>
                <w:spacing w:val="-3"/>
                <w:lang w:val="en-GB" w:eastAsia="en-US"/>
              </w:rPr>
              <w:t>0</w:t>
            </w:r>
            <w:r w:rsidR="003050FD" w:rsidRPr="00D970F7">
              <w:rPr>
                <w:spacing w:val="-3"/>
                <w:lang w:val="en-GB" w:eastAsia="en-US"/>
              </w:rPr>
              <w:t>.</w:t>
            </w:r>
            <w:r w:rsidR="00AB75C5" w:rsidRPr="00D970F7">
              <w:rPr>
                <w:spacing w:val="-3"/>
                <w:lang w:val="en-GB" w:eastAsia="en-US"/>
              </w:rPr>
              <w:t>37%)</w:t>
            </w:r>
            <w:r w:rsidR="003050FD" w:rsidRPr="00D970F7">
              <w:rPr>
                <w:spacing w:val="-3"/>
                <w:lang w:val="en-GB" w:eastAsia="en-US"/>
              </w:rPr>
              <w:t xml:space="preserve"> and above </w:t>
            </w:r>
            <w:r w:rsidR="00AB75C5" w:rsidRPr="00D970F7">
              <w:rPr>
                <w:spacing w:val="-3"/>
                <w:lang w:val="en-GB" w:eastAsia="en-US"/>
              </w:rPr>
              <w:t>1 </w:t>
            </w:r>
            <w:r w:rsidR="003050FD" w:rsidRPr="00D970F7">
              <w:rPr>
                <w:spacing w:val="-3"/>
                <w:lang w:val="en-GB" w:eastAsia="en-US"/>
              </w:rPr>
              <w:t xml:space="preserve">year till </w:t>
            </w:r>
            <w:r w:rsidR="00AB75C5" w:rsidRPr="00D970F7">
              <w:rPr>
                <w:spacing w:val="-3"/>
                <w:lang w:val="en-GB" w:eastAsia="en-US"/>
              </w:rPr>
              <w:t>2 </w:t>
            </w:r>
            <w:r w:rsidR="003050FD" w:rsidRPr="00D970F7">
              <w:rPr>
                <w:spacing w:val="-3"/>
                <w:lang w:val="en-GB" w:eastAsia="en-US"/>
              </w:rPr>
              <w:t xml:space="preserve">years </w:t>
            </w:r>
            <w:r w:rsidR="00AB75C5" w:rsidRPr="00D970F7">
              <w:rPr>
                <w:spacing w:val="-3"/>
                <w:lang w:val="en-GB" w:eastAsia="en-US"/>
              </w:rPr>
              <w:t>(</w:t>
            </w:r>
            <w:r w:rsidR="003050FD" w:rsidRPr="00D970F7">
              <w:rPr>
                <w:spacing w:val="-3"/>
                <w:lang w:val="en-GB" w:eastAsia="en-US"/>
              </w:rPr>
              <w:t xml:space="preserve">from </w:t>
            </w:r>
            <w:r w:rsidR="00AB75C5" w:rsidRPr="00D970F7">
              <w:rPr>
                <w:spacing w:val="-3"/>
                <w:lang w:val="en-GB" w:eastAsia="en-US"/>
              </w:rPr>
              <w:t>2</w:t>
            </w:r>
            <w:r w:rsidR="003050FD" w:rsidRPr="00D970F7">
              <w:rPr>
                <w:spacing w:val="-3"/>
                <w:lang w:val="en-GB" w:eastAsia="en-US"/>
              </w:rPr>
              <w:t>.</w:t>
            </w:r>
            <w:r w:rsidR="00AB75C5" w:rsidRPr="00D970F7">
              <w:rPr>
                <w:spacing w:val="-3"/>
                <w:lang w:val="en-GB" w:eastAsia="en-US"/>
              </w:rPr>
              <w:t>07%</w:t>
            </w:r>
            <w:r w:rsidR="003050FD" w:rsidRPr="00D970F7">
              <w:rPr>
                <w:spacing w:val="-3"/>
                <w:lang w:val="en-GB" w:eastAsia="en-US"/>
              </w:rPr>
              <w:t xml:space="preserve"> to </w:t>
            </w:r>
            <w:r w:rsidR="00AB75C5" w:rsidRPr="00D970F7">
              <w:rPr>
                <w:spacing w:val="-3"/>
                <w:lang w:val="en-GB" w:eastAsia="en-US"/>
              </w:rPr>
              <w:t>1</w:t>
            </w:r>
            <w:r w:rsidR="003050FD" w:rsidRPr="00D970F7">
              <w:rPr>
                <w:spacing w:val="-3"/>
                <w:lang w:val="en-GB" w:eastAsia="en-US"/>
              </w:rPr>
              <w:t>.</w:t>
            </w:r>
            <w:r w:rsidR="00AB75C5" w:rsidRPr="00D970F7">
              <w:rPr>
                <w:spacing w:val="-3"/>
                <w:lang w:val="en-GB" w:eastAsia="en-US"/>
              </w:rPr>
              <w:t xml:space="preserve">53%). </w:t>
            </w:r>
            <w:r w:rsidR="00A71462" w:rsidRPr="00D970F7">
              <w:rPr>
                <w:spacing w:val="-3"/>
                <w:lang w:val="en-GB" w:eastAsia="en-US"/>
              </w:rPr>
              <w:t xml:space="preserve">Rates on the current accounts dropped also to the non-financial businesses </w:t>
            </w:r>
            <w:r w:rsidR="00AB75C5" w:rsidRPr="00D970F7">
              <w:rPr>
                <w:spacing w:val="-3"/>
                <w:lang w:val="en-GB" w:eastAsia="en-US"/>
              </w:rPr>
              <w:t>(</w:t>
            </w:r>
            <w:r w:rsidR="00A71462" w:rsidRPr="00D970F7">
              <w:rPr>
                <w:spacing w:val="-3"/>
                <w:lang w:val="en-GB" w:eastAsia="en-US"/>
              </w:rPr>
              <w:t xml:space="preserve">from </w:t>
            </w:r>
            <w:r w:rsidR="00AB75C5" w:rsidRPr="00D970F7">
              <w:rPr>
                <w:spacing w:val="-3"/>
                <w:lang w:val="en-GB" w:eastAsia="en-US"/>
              </w:rPr>
              <w:t>0</w:t>
            </w:r>
            <w:r w:rsidR="00A71462" w:rsidRPr="00D970F7">
              <w:rPr>
                <w:spacing w:val="-3"/>
                <w:lang w:val="en-GB" w:eastAsia="en-US"/>
              </w:rPr>
              <w:t>.</w:t>
            </w:r>
            <w:r w:rsidR="00AB75C5" w:rsidRPr="00D970F7">
              <w:rPr>
                <w:spacing w:val="-3"/>
                <w:lang w:val="en-GB" w:eastAsia="en-US"/>
              </w:rPr>
              <w:t>16%</w:t>
            </w:r>
            <w:r w:rsidR="00A71462" w:rsidRPr="00D970F7">
              <w:rPr>
                <w:spacing w:val="-3"/>
                <w:lang w:val="en-GB" w:eastAsia="en-US"/>
              </w:rPr>
              <w:t xml:space="preserve"> to </w:t>
            </w:r>
            <w:r w:rsidR="00AB75C5" w:rsidRPr="00D970F7">
              <w:rPr>
                <w:spacing w:val="-3"/>
                <w:lang w:val="en-GB" w:eastAsia="en-US"/>
              </w:rPr>
              <w:t>0</w:t>
            </w:r>
            <w:r w:rsidR="00A71462" w:rsidRPr="00D970F7">
              <w:rPr>
                <w:spacing w:val="-3"/>
                <w:lang w:val="en-GB" w:eastAsia="en-US"/>
              </w:rPr>
              <w:t>.</w:t>
            </w:r>
            <w:r w:rsidR="00AB75C5" w:rsidRPr="00D970F7">
              <w:rPr>
                <w:spacing w:val="-3"/>
                <w:lang w:val="en-GB" w:eastAsia="en-US"/>
              </w:rPr>
              <w:t xml:space="preserve">04%). </w:t>
            </w:r>
            <w:r w:rsidR="00A073CB" w:rsidRPr="00D970F7">
              <w:rPr>
                <w:spacing w:val="-3"/>
                <w:lang w:val="en-GB" w:eastAsia="en-US"/>
              </w:rPr>
              <w:t xml:space="preserve">Slump of interest rates on deposits with agreed maturity for non-financial businesses was even stronger than for households </w:t>
            </w:r>
            <w:r w:rsidR="00AB75C5" w:rsidRPr="00D970F7">
              <w:rPr>
                <w:spacing w:val="-3"/>
                <w:lang w:val="en-GB" w:eastAsia="en-US"/>
              </w:rPr>
              <w:t>(</w:t>
            </w:r>
            <w:r w:rsidR="00A073CB" w:rsidRPr="00D970F7">
              <w:rPr>
                <w:spacing w:val="-3"/>
                <w:lang w:val="en-GB" w:eastAsia="en-US"/>
              </w:rPr>
              <w:t xml:space="preserve">from </w:t>
            </w:r>
            <w:r w:rsidR="00AB75C5" w:rsidRPr="00D970F7">
              <w:rPr>
                <w:spacing w:val="-3"/>
                <w:lang w:val="en-GB" w:eastAsia="en-US"/>
              </w:rPr>
              <w:t>1</w:t>
            </w:r>
            <w:r w:rsidR="00A073CB" w:rsidRPr="00D970F7">
              <w:rPr>
                <w:spacing w:val="-3"/>
                <w:lang w:val="en-GB" w:eastAsia="en-US"/>
              </w:rPr>
              <w:t>.</w:t>
            </w:r>
            <w:r w:rsidR="00AB75C5" w:rsidRPr="00D970F7">
              <w:rPr>
                <w:spacing w:val="-3"/>
                <w:lang w:val="en-GB" w:eastAsia="en-US"/>
              </w:rPr>
              <w:t xml:space="preserve">36% </w:t>
            </w:r>
            <w:r w:rsidR="00A073CB" w:rsidRPr="00D970F7">
              <w:rPr>
                <w:spacing w:val="-3"/>
                <w:lang w:val="en-GB" w:eastAsia="en-US"/>
              </w:rPr>
              <w:t xml:space="preserve">in March to </w:t>
            </w:r>
            <w:r w:rsidR="00AB75C5" w:rsidRPr="00D970F7">
              <w:rPr>
                <w:spacing w:val="-3"/>
                <w:lang w:val="en-GB" w:eastAsia="en-US"/>
              </w:rPr>
              <w:t>0</w:t>
            </w:r>
            <w:r w:rsidR="00A073CB" w:rsidRPr="00D970F7">
              <w:rPr>
                <w:spacing w:val="-3"/>
                <w:lang w:val="en-GB" w:eastAsia="en-US"/>
              </w:rPr>
              <w:t>.</w:t>
            </w:r>
            <w:r w:rsidR="00AB75C5" w:rsidRPr="00D970F7">
              <w:rPr>
                <w:spacing w:val="-3"/>
                <w:lang w:val="en-GB" w:eastAsia="en-US"/>
              </w:rPr>
              <w:t xml:space="preserve">16% </w:t>
            </w:r>
            <w:r w:rsidR="00A073CB" w:rsidRPr="00D970F7">
              <w:rPr>
                <w:spacing w:val="-3"/>
                <w:lang w:val="en-GB" w:eastAsia="en-US"/>
              </w:rPr>
              <w:t>in June</w:t>
            </w:r>
            <w:r w:rsidR="00AB75C5" w:rsidRPr="00D970F7">
              <w:rPr>
                <w:spacing w:val="-3"/>
                <w:lang w:val="en-GB" w:eastAsia="en-US"/>
              </w:rPr>
              <w:t xml:space="preserve">). </w:t>
            </w:r>
            <w:r w:rsidR="00813B27" w:rsidRPr="00D970F7">
              <w:rPr>
                <w:spacing w:val="-3"/>
                <w:lang w:val="en-GB" w:eastAsia="en-US"/>
              </w:rPr>
              <w:t>It thus was not surprising, that the total volume of deposits with agreed maturity was by 1.3% lower year-on-year at the end of June</w:t>
            </w:r>
            <w:r w:rsidR="00AB75C5" w:rsidRPr="00D970F7">
              <w:rPr>
                <w:spacing w:val="-3"/>
                <w:lang w:val="en-GB" w:eastAsia="en-US"/>
              </w:rPr>
              <w:t xml:space="preserve">, </w:t>
            </w:r>
            <w:r w:rsidR="00D85196" w:rsidRPr="00D970F7">
              <w:rPr>
                <w:spacing w:val="-3"/>
                <w:lang w:val="en-GB" w:eastAsia="en-US"/>
              </w:rPr>
              <w:t xml:space="preserve">while non-term deposits strengthened by </w:t>
            </w:r>
            <w:r w:rsidR="00AB75C5" w:rsidRPr="00D970F7">
              <w:rPr>
                <w:spacing w:val="-3"/>
                <w:lang w:val="en-GB" w:eastAsia="en-US"/>
              </w:rPr>
              <w:t>13</w:t>
            </w:r>
            <w:r w:rsidR="00D85196" w:rsidRPr="00D970F7">
              <w:rPr>
                <w:spacing w:val="-3"/>
                <w:lang w:val="en-GB" w:eastAsia="en-US"/>
              </w:rPr>
              <w:t>.</w:t>
            </w:r>
            <w:r w:rsidR="00AB75C5" w:rsidRPr="00D970F7">
              <w:rPr>
                <w:spacing w:val="-3"/>
                <w:lang w:val="en-GB" w:eastAsia="en-US"/>
              </w:rPr>
              <w:t>3% (</w:t>
            </w:r>
            <w:r w:rsidR="00D85196" w:rsidRPr="00D970F7">
              <w:rPr>
                <w:spacing w:val="-3"/>
                <w:lang w:val="en-GB" w:eastAsia="en-US"/>
              </w:rPr>
              <w:t xml:space="preserve">the most since September </w:t>
            </w:r>
            <w:r w:rsidR="00AB75C5" w:rsidRPr="00D970F7">
              <w:rPr>
                <w:spacing w:val="-3"/>
                <w:lang w:val="en-GB" w:eastAsia="en-US"/>
              </w:rPr>
              <w:t>2017).</w:t>
            </w:r>
          </w:p>
        </w:tc>
      </w:tr>
      <w:tr w:rsidR="00AB75C5" w:rsidRPr="00D970F7" w14:paraId="0B5FBA11" w14:textId="77777777" w:rsidTr="00AB75C5">
        <w:trPr>
          <w:trHeight w:val="145"/>
        </w:trPr>
        <w:tc>
          <w:tcPr>
            <w:tcW w:w="1802" w:type="dxa"/>
            <w:hideMark/>
          </w:tcPr>
          <w:p w14:paraId="47A16945" w14:textId="736A4E40" w:rsidR="00AB75C5" w:rsidRPr="00D970F7" w:rsidRDefault="00374428">
            <w:pPr>
              <w:pStyle w:val="Marginlie"/>
              <w:rPr>
                <w:lang w:val="en-GB" w:eastAsia="en-US"/>
              </w:rPr>
            </w:pPr>
            <w:r w:rsidRPr="00D970F7">
              <w:rPr>
                <w:lang w:val="en-GB" w:eastAsia="en-US"/>
              </w:rPr>
              <w:t>Consumption possibilities were limited in Q</w:t>
            </w:r>
            <w:r w:rsidR="00AB75C5" w:rsidRPr="00D970F7">
              <w:rPr>
                <w:lang w:val="en-GB" w:eastAsia="en-US"/>
              </w:rPr>
              <w:t>2</w:t>
            </w:r>
            <w:r w:rsidRPr="00D970F7">
              <w:rPr>
                <w:lang w:val="en-GB" w:eastAsia="en-US"/>
              </w:rPr>
              <w:t>, which was also evident on the development of the volume of provided consum</w:t>
            </w:r>
            <w:r w:rsidR="007C3FBC" w:rsidRPr="00D970F7">
              <w:rPr>
                <w:lang w:val="en-GB" w:eastAsia="en-US"/>
              </w:rPr>
              <w:t>er</w:t>
            </w:r>
            <w:r w:rsidRPr="00D970F7">
              <w:rPr>
                <w:lang w:val="en-GB" w:eastAsia="en-US"/>
              </w:rPr>
              <w:t xml:space="preserve"> credit. </w:t>
            </w:r>
          </w:p>
        </w:tc>
        <w:tc>
          <w:tcPr>
            <w:tcW w:w="229" w:type="dxa"/>
          </w:tcPr>
          <w:p w14:paraId="16505742" w14:textId="77777777" w:rsidR="00AB75C5" w:rsidRPr="00D970F7" w:rsidRDefault="00AB75C5">
            <w:pPr>
              <w:pStyle w:val="Textpoznpodarou"/>
              <w:jc w:val="both"/>
              <w:rPr>
                <w:spacing w:val="-4"/>
                <w:lang w:val="en-GB" w:eastAsia="en-US"/>
              </w:rPr>
            </w:pPr>
          </w:p>
        </w:tc>
        <w:tc>
          <w:tcPr>
            <w:tcW w:w="7610" w:type="dxa"/>
            <w:hideMark/>
          </w:tcPr>
          <w:p w14:paraId="233034A1" w14:textId="409F098B" w:rsidR="00AB75C5" w:rsidRPr="00D970F7" w:rsidRDefault="007C3FBC">
            <w:pPr>
              <w:rPr>
                <w:lang w:val="en-GB" w:eastAsia="en-US"/>
              </w:rPr>
            </w:pPr>
            <w:r w:rsidRPr="00D970F7">
              <w:rPr>
                <w:lang w:val="en-GB" w:eastAsia="en-US"/>
              </w:rPr>
              <w:t>The access of households to the credit financing was also made cheaper in Q2</w:t>
            </w:r>
            <w:r w:rsidR="00AB75C5" w:rsidRPr="00D970F7">
              <w:rPr>
                <w:lang w:val="en-GB" w:eastAsia="en-US"/>
              </w:rPr>
              <w:t>.</w:t>
            </w:r>
            <w:r w:rsidRPr="00D970F7">
              <w:rPr>
                <w:lang w:val="en-GB" w:eastAsia="en-US"/>
              </w:rPr>
              <w:t xml:space="preserve"> </w:t>
            </w:r>
            <w:r w:rsidR="001D6464" w:rsidRPr="00D970F7">
              <w:rPr>
                <w:lang w:val="en-GB" w:eastAsia="en-US"/>
              </w:rPr>
              <w:t>The average interest rate of consumer credit decreased by</w:t>
            </w:r>
            <w:r w:rsidR="00AB75C5" w:rsidRPr="00D970F7">
              <w:rPr>
                <w:lang w:val="en-GB" w:eastAsia="en-US"/>
              </w:rPr>
              <w:t> 0</w:t>
            </w:r>
            <w:r w:rsidR="001D6464" w:rsidRPr="00D970F7">
              <w:rPr>
                <w:lang w:val="en-GB" w:eastAsia="en-US"/>
              </w:rPr>
              <w:t>.</w:t>
            </w:r>
            <w:r w:rsidR="00AB75C5" w:rsidRPr="00D970F7">
              <w:rPr>
                <w:lang w:val="en-GB" w:eastAsia="en-US"/>
              </w:rPr>
              <w:t>26 p.</w:t>
            </w:r>
            <w:r w:rsidR="001D6464" w:rsidRPr="00D970F7">
              <w:rPr>
                <w:lang w:val="en-GB" w:eastAsia="en-US"/>
              </w:rPr>
              <w:t xml:space="preserve">p. to </w:t>
            </w:r>
            <w:r w:rsidR="00AB75C5" w:rsidRPr="00D970F7">
              <w:rPr>
                <w:lang w:val="en-GB" w:eastAsia="en-US"/>
              </w:rPr>
              <w:t>7</w:t>
            </w:r>
            <w:r w:rsidR="001D6464" w:rsidRPr="00D970F7">
              <w:rPr>
                <w:lang w:val="en-GB" w:eastAsia="en-US"/>
              </w:rPr>
              <w:t>.</w:t>
            </w:r>
            <w:r w:rsidR="00AB75C5" w:rsidRPr="00D970F7">
              <w:rPr>
                <w:lang w:val="en-GB" w:eastAsia="en-US"/>
              </w:rPr>
              <w:t xml:space="preserve">89% </w:t>
            </w:r>
            <w:r w:rsidR="001D6464" w:rsidRPr="00D970F7">
              <w:rPr>
                <w:lang w:val="en-GB" w:eastAsia="en-US"/>
              </w:rPr>
              <w:t xml:space="preserve">between March and June and it moved below the </w:t>
            </w:r>
            <w:r w:rsidR="00AB75C5" w:rsidRPr="00D970F7">
              <w:rPr>
                <w:lang w:val="en-GB" w:eastAsia="en-US"/>
              </w:rPr>
              <w:t xml:space="preserve">8% </w:t>
            </w:r>
            <w:r w:rsidR="001D6464" w:rsidRPr="00D970F7">
              <w:rPr>
                <w:lang w:val="en-GB" w:eastAsia="en-US"/>
              </w:rPr>
              <w:t>boundary for the first time</w:t>
            </w:r>
            <w:r w:rsidR="00AB75C5" w:rsidRPr="00D970F7">
              <w:rPr>
                <w:lang w:val="en-GB" w:eastAsia="en-US"/>
              </w:rPr>
              <w:t xml:space="preserve">. </w:t>
            </w:r>
            <w:r w:rsidR="0061541C" w:rsidRPr="00D970F7">
              <w:rPr>
                <w:lang w:val="en-GB" w:eastAsia="en-US"/>
              </w:rPr>
              <w:t xml:space="preserve">The average interest on mortgages also decreased </w:t>
            </w:r>
            <w:r w:rsidR="00AB75C5" w:rsidRPr="00D970F7">
              <w:rPr>
                <w:lang w:val="en-GB" w:eastAsia="en-US"/>
              </w:rPr>
              <w:t>(–0</w:t>
            </w:r>
            <w:r w:rsidR="0061541C" w:rsidRPr="00D970F7">
              <w:rPr>
                <w:lang w:val="en-GB" w:eastAsia="en-US"/>
              </w:rPr>
              <w:t>.</w:t>
            </w:r>
            <w:r w:rsidR="00AB75C5" w:rsidRPr="00D970F7">
              <w:rPr>
                <w:lang w:val="en-GB" w:eastAsia="en-US"/>
              </w:rPr>
              <w:t>13 p.</w:t>
            </w:r>
            <w:r w:rsidR="0061541C" w:rsidRPr="00D970F7">
              <w:rPr>
                <w:lang w:val="en-GB" w:eastAsia="en-US"/>
              </w:rPr>
              <w:t>p</w:t>
            </w:r>
            <w:r w:rsidR="00AB75C5" w:rsidRPr="00D970F7">
              <w:rPr>
                <w:lang w:val="en-GB" w:eastAsia="en-US"/>
              </w:rPr>
              <w:t>.</w:t>
            </w:r>
            <w:r w:rsidR="0061541C" w:rsidRPr="00D970F7">
              <w:rPr>
                <w:lang w:val="en-GB" w:eastAsia="en-US"/>
              </w:rPr>
              <w:t xml:space="preserve"> to </w:t>
            </w:r>
            <w:r w:rsidR="00AB75C5" w:rsidRPr="00D970F7">
              <w:rPr>
                <w:lang w:val="en-GB" w:eastAsia="en-US"/>
              </w:rPr>
              <w:t>2</w:t>
            </w:r>
            <w:r w:rsidR="0061541C" w:rsidRPr="00D970F7">
              <w:rPr>
                <w:lang w:val="en-GB" w:eastAsia="en-US"/>
              </w:rPr>
              <w:t>.</w:t>
            </w:r>
            <w:r w:rsidR="00AB75C5" w:rsidRPr="00D970F7">
              <w:rPr>
                <w:lang w:val="en-GB" w:eastAsia="en-US"/>
              </w:rPr>
              <w:t>42%</w:t>
            </w:r>
            <w:r w:rsidR="0061541C" w:rsidRPr="00D970F7">
              <w:rPr>
                <w:lang w:val="en-GB" w:eastAsia="en-US"/>
              </w:rPr>
              <w:t xml:space="preserve"> at the end of June</w:t>
            </w:r>
            <w:r w:rsidR="00AB75C5" w:rsidRPr="00D970F7">
              <w:rPr>
                <w:lang w:val="en-GB" w:eastAsia="en-US"/>
              </w:rPr>
              <w:t xml:space="preserve">). </w:t>
            </w:r>
            <w:r w:rsidR="00454515" w:rsidRPr="00D970F7">
              <w:rPr>
                <w:lang w:val="en-GB" w:eastAsia="en-US"/>
              </w:rPr>
              <w:t xml:space="preserve">The </w:t>
            </w:r>
            <w:r w:rsidR="00454515" w:rsidRPr="00D970F7">
              <w:rPr>
                <w:lang w:val="en-GB" w:eastAsia="en-US"/>
              </w:rPr>
              <w:lastRenderedPageBreak/>
              <w:t>reduction was the most significant for</w:t>
            </w:r>
            <w:r w:rsidR="00454515" w:rsidRPr="00D970F7">
              <w:rPr>
                <w:lang w:val="en-GB"/>
              </w:rPr>
              <w:t xml:space="preserve"> fixation of the rate up to 1 year, but the cut occurred also in case of fixation above 1 year till 5 years and above 5 years till 10 years.  Only interests on mortgages with fixation above </w:t>
            </w:r>
            <w:r w:rsidR="00AB75C5" w:rsidRPr="00D970F7">
              <w:rPr>
                <w:lang w:val="en-GB" w:eastAsia="en-US"/>
              </w:rPr>
              <w:t>10</w:t>
            </w:r>
            <w:r w:rsidR="00454515" w:rsidRPr="00D970F7">
              <w:rPr>
                <w:lang w:val="en-GB" w:eastAsia="en-US"/>
              </w:rPr>
              <w:t xml:space="preserve"> years went up in Q</w:t>
            </w:r>
            <w:r w:rsidR="00AB75C5" w:rsidRPr="00D970F7">
              <w:rPr>
                <w:lang w:val="en-GB" w:eastAsia="en-US"/>
              </w:rPr>
              <w:t>2.</w:t>
            </w:r>
            <w:r w:rsidR="00454515" w:rsidRPr="00D970F7">
              <w:rPr>
                <w:lang w:val="en-GB" w:eastAsia="en-US"/>
              </w:rPr>
              <w:t xml:space="preserve"> </w:t>
            </w:r>
            <w:r w:rsidR="006F77B7" w:rsidRPr="00D970F7">
              <w:rPr>
                <w:lang w:val="en-GB" w:eastAsia="en-US"/>
              </w:rPr>
              <w:t>Ongoing restrictions had impact on marked slowdown of the year-on-year rate of growth of the volume of consumer credit in Q</w:t>
            </w:r>
            <w:r w:rsidR="00AB75C5" w:rsidRPr="00D970F7">
              <w:rPr>
                <w:lang w:val="en-GB" w:eastAsia="en-US"/>
              </w:rPr>
              <w:t>2.</w:t>
            </w:r>
            <w:r w:rsidR="006F77B7" w:rsidRPr="00D970F7">
              <w:rPr>
                <w:lang w:val="en-GB" w:eastAsia="en-US"/>
              </w:rPr>
              <w:t xml:space="preserve"> While in the previous half year the rate was </w:t>
            </w:r>
            <w:r w:rsidR="00AB75C5" w:rsidRPr="00D970F7">
              <w:rPr>
                <w:lang w:val="en-GB" w:eastAsia="en-US"/>
              </w:rPr>
              <w:t>9%,</w:t>
            </w:r>
            <w:r w:rsidR="006F77B7" w:rsidRPr="00D970F7">
              <w:rPr>
                <w:lang w:val="en-GB" w:eastAsia="en-US"/>
              </w:rPr>
              <w:t xml:space="preserve"> at the end of June, the volume of provided credit </w:t>
            </w:r>
            <w:r w:rsidR="000E70F3" w:rsidRPr="00D970F7">
              <w:rPr>
                <w:lang w:val="en-GB" w:eastAsia="en-US"/>
              </w:rPr>
              <w:t xml:space="preserve">was </w:t>
            </w:r>
            <w:r w:rsidR="006F77B7" w:rsidRPr="00D970F7">
              <w:rPr>
                <w:lang w:val="en-GB" w:eastAsia="en-US"/>
              </w:rPr>
              <w:t xml:space="preserve">by 6.3% higher year-on-year. </w:t>
            </w:r>
            <w:r w:rsidR="007230C9" w:rsidRPr="00D970F7">
              <w:rPr>
                <w:lang w:val="en-GB" w:eastAsia="en-US"/>
              </w:rPr>
              <w:t xml:space="preserve">Regarding mortgages, the decrease did not manifest. Volume of provided mortgages rose by 7.9% year-on-year, the pace thus slightly accelerated. </w:t>
            </w:r>
          </w:p>
        </w:tc>
      </w:tr>
      <w:tr w:rsidR="00AB75C5" w:rsidRPr="00D970F7" w14:paraId="48784E8D" w14:textId="77777777" w:rsidTr="00AB75C5">
        <w:trPr>
          <w:trHeight w:val="145"/>
        </w:trPr>
        <w:tc>
          <w:tcPr>
            <w:tcW w:w="1802" w:type="dxa"/>
            <w:hideMark/>
          </w:tcPr>
          <w:p w14:paraId="7271CCC7" w14:textId="14E19A46" w:rsidR="00AB75C5" w:rsidRPr="00D970F7" w:rsidRDefault="00B454C0">
            <w:pPr>
              <w:pStyle w:val="Marginlie"/>
              <w:rPr>
                <w:lang w:val="en-GB" w:eastAsia="en-US"/>
              </w:rPr>
            </w:pPr>
            <w:r w:rsidRPr="00D970F7">
              <w:rPr>
                <w:lang w:val="en-GB" w:eastAsia="en-US"/>
              </w:rPr>
              <w:lastRenderedPageBreak/>
              <w:t xml:space="preserve">Access to credit made cheaper for non-financial businesses. Uncertain </w:t>
            </w:r>
            <w:r w:rsidR="000E3E28" w:rsidRPr="00D970F7">
              <w:rPr>
                <w:lang w:val="en-GB" w:eastAsia="en-US"/>
              </w:rPr>
              <w:t>environment</w:t>
            </w:r>
            <w:r w:rsidRPr="00D970F7">
              <w:rPr>
                <w:lang w:val="en-GB" w:eastAsia="en-US"/>
              </w:rPr>
              <w:t xml:space="preserve"> however also led to moderation of the credit dynamics. </w:t>
            </w:r>
          </w:p>
        </w:tc>
        <w:tc>
          <w:tcPr>
            <w:tcW w:w="229" w:type="dxa"/>
          </w:tcPr>
          <w:p w14:paraId="12C9EDC0" w14:textId="77777777" w:rsidR="00AB75C5" w:rsidRPr="00D970F7" w:rsidRDefault="00AB75C5">
            <w:pPr>
              <w:pStyle w:val="Textpoznpodarou"/>
              <w:jc w:val="both"/>
              <w:rPr>
                <w:spacing w:val="-4"/>
                <w:lang w:val="en-GB" w:eastAsia="en-US"/>
              </w:rPr>
            </w:pPr>
          </w:p>
        </w:tc>
        <w:tc>
          <w:tcPr>
            <w:tcW w:w="7610" w:type="dxa"/>
            <w:hideMark/>
          </w:tcPr>
          <w:p w14:paraId="6D5959C0" w14:textId="336873C9" w:rsidR="00434459" w:rsidRPr="00D970F7" w:rsidRDefault="000E3E28" w:rsidP="0078236A">
            <w:pPr>
              <w:spacing w:after="0"/>
              <w:rPr>
                <w:lang w:val="en-GB" w:eastAsia="en-US"/>
              </w:rPr>
            </w:pPr>
            <w:r w:rsidRPr="00D970F7">
              <w:rPr>
                <w:lang w:val="en-GB" w:eastAsia="en-US"/>
              </w:rPr>
              <w:t xml:space="preserve">Interest rates of credit for non-financial businesses were cut across the board since March till June. The most for credit above </w:t>
            </w:r>
            <w:r w:rsidR="00AB75C5" w:rsidRPr="00D970F7">
              <w:rPr>
                <w:lang w:val="en-GB" w:eastAsia="en-US"/>
              </w:rPr>
              <w:t>30</w:t>
            </w:r>
            <w:r w:rsidRPr="00D970F7">
              <w:rPr>
                <w:lang w:val="en-GB" w:eastAsia="en-US"/>
              </w:rPr>
              <w:t xml:space="preserve"> CZK mil </w:t>
            </w:r>
            <w:r w:rsidR="00AB75C5" w:rsidRPr="00D970F7">
              <w:rPr>
                <w:lang w:val="en-GB" w:eastAsia="en-US"/>
              </w:rPr>
              <w:t>(–1</w:t>
            </w:r>
            <w:r w:rsidRPr="00D970F7">
              <w:rPr>
                <w:lang w:val="en-GB" w:eastAsia="en-US"/>
              </w:rPr>
              <w:t>.</w:t>
            </w:r>
            <w:r w:rsidR="00AB75C5" w:rsidRPr="00D970F7">
              <w:rPr>
                <w:lang w:val="en-GB" w:eastAsia="en-US"/>
              </w:rPr>
              <w:t>03 p.</w:t>
            </w:r>
            <w:r w:rsidRPr="00D970F7">
              <w:rPr>
                <w:lang w:val="en-GB" w:eastAsia="en-US"/>
              </w:rPr>
              <w:t>p</w:t>
            </w:r>
            <w:r w:rsidR="00AB75C5" w:rsidRPr="00D970F7">
              <w:rPr>
                <w:lang w:val="en-GB" w:eastAsia="en-US"/>
              </w:rPr>
              <w:t xml:space="preserve">. </w:t>
            </w:r>
            <w:r w:rsidRPr="00D970F7">
              <w:rPr>
                <w:lang w:val="en-GB" w:eastAsia="en-US"/>
              </w:rPr>
              <w:t>to</w:t>
            </w:r>
            <w:r w:rsidR="00AB75C5" w:rsidRPr="00D970F7">
              <w:rPr>
                <w:lang w:val="en-GB" w:eastAsia="en-US"/>
              </w:rPr>
              <w:t xml:space="preserve"> 2</w:t>
            </w:r>
            <w:r w:rsidRPr="00D970F7">
              <w:rPr>
                <w:lang w:val="en-GB" w:eastAsia="en-US"/>
              </w:rPr>
              <w:t>.</w:t>
            </w:r>
            <w:r w:rsidR="00AB75C5" w:rsidRPr="00D970F7">
              <w:rPr>
                <w:lang w:val="en-GB" w:eastAsia="en-US"/>
              </w:rPr>
              <w:t xml:space="preserve">07%). </w:t>
            </w:r>
            <w:r w:rsidRPr="00D970F7">
              <w:rPr>
                <w:lang w:val="en-GB" w:eastAsia="en-US"/>
              </w:rPr>
              <w:t xml:space="preserve">Credits with the volume between </w:t>
            </w:r>
            <w:r w:rsidR="00AB75C5" w:rsidRPr="00D970F7">
              <w:rPr>
                <w:lang w:val="en-GB" w:eastAsia="en-US"/>
              </w:rPr>
              <w:t>7</w:t>
            </w:r>
            <w:r w:rsidRPr="00D970F7">
              <w:rPr>
                <w:lang w:val="en-GB" w:eastAsia="en-US"/>
              </w:rPr>
              <w:t>.</w:t>
            </w:r>
            <w:r w:rsidR="00AB75C5" w:rsidRPr="00D970F7">
              <w:rPr>
                <w:lang w:val="en-GB" w:eastAsia="en-US"/>
              </w:rPr>
              <w:t>5</w:t>
            </w:r>
            <w:r w:rsidRPr="00D970F7">
              <w:rPr>
                <w:lang w:val="en-GB" w:eastAsia="en-US"/>
              </w:rPr>
              <w:t xml:space="preserve"> to </w:t>
            </w:r>
            <w:r w:rsidR="00AB75C5" w:rsidRPr="00D970F7">
              <w:rPr>
                <w:lang w:val="en-GB" w:eastAsia="en-US"/>
              </w:rPr>
              <w:t>30 mil</w:t>
            </w:r>
            <w:r w:rsidRPr="00D970F7">
              <w:rPr>
                <w:lang w:val="en-GB" w:eastAsia="en-US"/>
              </w:rPr>
              <w:t xml:space="preserve"> recorded a decrease of avera</w:t>
            </w:r>
            <w:r w:rsidR="00E74C39" w:rsidRPr="00D970F7">
              <w:rPr>
                <w:lang w:val="en-GB" w:eastAsia="en-US"/>
              </w:rPr>
              <w:t>g</w:t>
            </w:r>
            <w:r w:rsidRPr="00D970F7">
              <w:rPr>
                <w:lang w:val="en-GB" w:eastAsia="en-US"/>
              </w:rPr>
              <w:t xml:space="preserve">e rate by </w:t>
            </w:r>
            <w:r w:rsidR="00AB75C5" w:rsidRPr="00D970F7">
              <w:rPr>
                <w:lang w:val="en-GB" w:eastAsia="en-US"/>
              </w:rPr>
              <w:t>0</w:t>
            </w:r>
            <w:r w:rsidRPr="00D970F7">
              <w:rPr>
                <w:lang w:val="en-GB" w:eastAsia="en-US"/>
              </w:rPr>
              <w:t>.</w:t>
            </w:r>
            <w:r w:rsidR="00AB75C5" w:rsidRPr="00D970F7">
              <w:rPr>
                <w:lang w:val="en-GB" w:eastAsia="en-US"/>
              </w:rPr>
              <w:t>89 p.</w:t>
            </w:r>
            <w:r w:rsidRPr="00D970F7">
              <w:rPr>
                <w:lang w:val="en-GB" w:eastAsia="en-US"/>
              </w:rPr>
              <w:t xml:space="preserve">p. to </w:t>
            </w:r>
            <w:r w:rsidR="00AB75C5" w:rsidRPr="00D970F7">
              <w:rPr>
                <w:lang w:val="en-GB" w:eastAsia="en-US"/>
              </w:rPr>
              <w:t>2</w:t>
            </w:r>
            <w:r w:rsidRPr="00D970F7">
              <w:rPr>
                <w:lang w:val="en-GB" w:eastAsia="en-US"/>
              </w:rPr>
              <w:t>.</w:t>
            </w:r>
            <w:r w:rsidR="00AB75C5" w:rsidRPr="00D970F7">
              <w:rPr>
                <w:lang w:val="en-GB" w:eastAsia="en-US"/>
              </w:rPr>
              <w:t xml:space="preserve">54%. </w:t>
            </w:r>
            <w:r w:rsidR="00A20AE3" w:rsidRPr="00D970F7">
              <w:rPr>
                <w:lang w:val="en-GB" w:eastAsia="en-US"/>
              </w:rPr>
              <w:t xml:space="preserve">The interest was decreasing the least for credit up to </w:t>
            </w:r>
            <w:r w:rsidR="00AB75C5" w:rsidRPr="00D970F7">
              <w:rPr>
                <w:lang w:val="en-GB" w:eastAsia="en-US"/>
              </w:rPr>
              <w:t>7</w:t>
            </w:r>
            <w:r w:rsidR="00A20AE3" w:rsidRPr="00D970F7">
              <w:rPr>
                <w:lang w:val="en-GB" w:eastAsia="en-US"/>
              </w:rPr>
              <w:t>.</w:t>
            </w:r>
            <w:r w:rsidR="00AB75C5" w:rsidRPr="00D970F7">
              <w:rPr>
                <w:lang w:val="en-GB" w:eastAsia="en-US"/>
              </w:rPr>
              <w:t>5 </w:t>
            </w:r>
            <w:r w:rsidR="00A20AE3" w:rsidRPr="00D970F7">
              <w:rPr>
                <w:lang w:val="en-GB" w:eastAsia="en-US"/>
              </w:rPr>
              <w:t xml:space="preserve">CZK mil </w:t>
            </w:r>
            <w:r w:rsidR="00AB75C5" w:rsidRPr="00D970F7">
              <w:rPr>
                <w:lang w:val="en-GB" w:eastAsia="en-US"/>
              </w:rPr>
              <w:t>(–0</w:t>
            </w:r>
            <w:r w:rsidR="00A20AE3" w:rsidRPr="00D970F7">
              <w:rPr>
                <w:lang w:val="en-GB" w:eastAsia="en-US"/>
              </w:rPr>
              <w:t>.</w:t>
            </w:r>
            <w:r w:rsidR="00AB75C5" w:rsidRPr="00D970F7">
              <w:rPr>
                <w:lang w:val="en-GB" w:eastAsia="en-US"/>
              </w:rPr>
              <w:t>67 p.</w:t>
            </w:r>
            <w:r w:rsidR="00A20AE3" w:rsidRPr="00D970F7">
              <w:rPr>
                <w:lang w:val="en-GB" w:eastAsia="en-US"/>
              </w:rPr>
              <w:t>p</w:t>
            </w:r>
            <w:r w:rsidR="00AB75C5" w:rsidRPr="00D970F7">
              <w:rPr>
                <w:lang w:val="en-GB" w:eastAsia="en-US"/>
              </w:rPr>
              <w:t>.</w:t>
            </w:r>
            <w:r w:rsidR="00A20AE3" w:rsidRPr="00D970F7">
              <w:rPr>
                <w:lang w:val="en-GB" w:eastAsia="en-US"/>
              </w:rPr>
              <w:t xml:space="preserve"> to </w:t>
            </w:r>
            <w:r w:rsidR="00AB75C5" w:rsidRPr="00D970F7">
              <w:rPr>
                <w:lang w:val="en-GB" w:eastAsia="en-US"/>
              </w:rPr>
              <w:t>3</w:t>
            </w:r>
            <w:r w:rsidR="00A20AE3" w:rsidRPr="00D970F7">
              <w:rPr>
                <w:lang w:val="en-GB" w:eastAsia="en-US"/>
              </w:rPr>
              <w:t>.</w:t>
            </w:r>
            <w:r w:rsidR="00AB75C5" w:rsidRPr="00D970F7">
              <w:rPr>
                <w:lang w:val="en-GB" w:eastAsia="en-US"/>
              </w:rPr>
              <w:t xml:space="preserve">78%). </w:t>
            </w:r>
            <w:r w:rsidR="002F0DA5" w:rsidRPr="00D970F7">
              <w:rPr>
                <w:lang w:val="en-GB" w:eastAsia="en-US"/>
              </w:rPr>
              <w:t>Year-on-year growth of the total volume of credit and receivables of non-financial businesses slowed down in Q</w:t>
            </w:r>
            <w:r w:rsidR="00AB75C5" w:rsidRPr="00D970F7">
              <w:rPr>
                <w:lang w:val="en-GB" w:eastAsia="en-US"/>
              </w:rPr>
              <w:t>2.</w:t>
            </w:r>
            <w:r w:rsidR="002F0DA5" w:rsidRPr="00D970F7">
              <w:rPr>
                <w:lang w:val="en-GB" w:eastAsia="en-US"/>
              </w:rPr>
              <w:t xml:space="preserve"> In comparison to the end of June </w:t>
            </w:r>
            <w:r w:rsidR="00AB75C5" w:rsidRPr="00D970F7">
              <w:rPr>
                <w:lang w:val="en-GB" w:eastAsia="en-US"/>
              </w:rPr>
              <w:t>2019</w:t>
            </w:r>
            <w:r w:rsidR="002F0DA5" w:rsidRPr="00D970F7">
              <w:rPr>
                <w:lang w:val="en-GB" w:eastAsia="en-US"/>
              </w:rPr>
              <w:t xml:space="preserve">, </w:t>
            </w:r>
            <w:r w:rsidR="00EE7A0B" w:rsidRPr="00D970F7">
              <w:rPr>
                <w:lang w:val="en-GB" w:eastAsia="en-US"/>
              </w:rPr>
              <w:t xml:space="preserve">the volume of koruna credit and receivables went down by </w:t>
            </w:r>
            <w:r w:rsidR="00AB75C5" w:rsidRPr="00D970F7">
              <w:rPr>
                <w:lang w:val="en-GB" w:eastAsia="en-US"/>
              </w:rPr>
              <w:t>2</w:t>
            </w:r>
            <w:r w:rsidR="00EE7A0B" w:rsidRPr="00D970F7">
              <w:rPr>
                <w:lang w:val="en-GB" w:eastAsia="en-US"/>
              </w:rPr>
              <w:t>.</w:t>
            </w:r>
            <w:r w:rsidR="00AB75C5" w:rsidRPr="00D970F7">
              <w:rPr>
                <w:lang w:val="en-GB" w:eastAsia="en-US"/>
              </w:rPr>
              <w:t xml:space="preserve">8%. </w:t>
            </w:r>
            <w:r w:rsidR="00EE7A0B" w:rsidRPr="00D970F7">
              <w:rPr>
                <w:lang w:val="en-GB" w:eastAsia="en-US"/>
              </w:rPr>
              <w:t xml:space="preserve"> Volume of credit in foreign currency on the contrary increased year-on-year by </w:t>
            </w:r>
            <w:r w:rsidR="00AB75C5" w:rsidRPr="00D970F7">
              <w:rPr>
                <w:lang w:val="en-GB" w:eastAsia="en-US"/>
              </w:rPr>
              <w:t>21</w:t>
            </w:r>
            <w:r w:rsidR="00EE7A0B" w:rsidRPr="00D970F7">
              <w:rPr>
                <w:lang w:val="en-GB" w:eastAsia="en-US"/>
              </w:rPr>
              <w:t>.</w:t>
            </w:r>
            <w:r w:rsidR="00AB75C5" w:rsidRPr="00D970F7">
              <w:rPr>
                <w:lang w:val="en-GB" w:eastAsia="en-US"/>
              </w:rPr>
              <w:t xml:space="preserve">7%. </w:t>
            </w:r>
            <w:r w:rsidR="00EE7A0B" w:rsidRPr="00D970F7">
              <w:rPr>
                <w:lang w:val="en-GB" w:eastAsia="en-US"/>
              </w:rPr>
              <w:t xml:space="preserve">Growth of the volume of provided credit slowed down in manufacturing </w:t>
            </w:r>
            <w:r w:rsidR="00AB75C5" w:rsidRPr="00D970F7">
              <w:rPr>
                <w:lang w:val="en-GB" w:eastAsia="en-US"/>
              </w:rPr>
              <w:t>(3</w:t>
            </w:r>
            <w:r w:rsidR="00EE7A0B" w:rsidRPr="00D970F7">
              <w:rPr>
                <w:lang w:val="en-GB" w:eastAsia="en-US"/>
              </w:rPr>
              <w:t>.</w:t>
            </w:r>
            <w:r w:rsidR="00AB75C5" w:rsidRPr="00D970F7">
              <w:rPr>
                <w:lang w:val="en-GB" w:eastAsia="en-US"/>
              </w:rPr>
              <w:t>5%),</w:t>
            </w:r>
            <w:r w:rsidR="00EE7A0B" w:rsidRPr="00D970F7">
              <w:rPr>
                <w:lang w:val="en-GB" w:eastAsia="en-US"/>
              </w:rPr>
              <w:t xml:space="preserve"> construction </w:t>
            </w:r>
            <w:r w:rsidR="00AB75C5" w:rsidRPr="00D970F7">
              <w:rPr>
                <w:lang w:val="en-GB" w:eastAsia="en-US"/>
              </w:rPr>
              <w:t>(4</w:t>
            </w:r>
            <w:r w:rsidR="00EE7A0B" w:rsidRPr="00D970F7">
              <w:rPr>
                <w:lang w:val="en-GB" w:eastAsia="en-US"/>
              </w:rPr>
              <w:t>.</w:t>
            </w:r>
            <w:r w:rsidR="00AB75C5" w:rsidRPr="00D970F7">
              <w:rPr>
                <w:lang w:val="en-GB" w:eastAsia="en-US"/>
              </w:rPr>
              <w:t>8%)</w:t>
            </w:r>
            <w:r w:rsidR="00EE7A0B" w:rsidRPr="00D970F7">
              <w:rPr>
                <w:lang w:val="en-GB" w:eastAsia="en-US"/>
              </w:rPr>
              <w:t xml:space="preserve"> and in wholesale and retail, repairs and maintenance of motor vehicles </w:t>
            </w:r>
            <w:r w:rsidR="00AB75C5" w:rsidRPr="00D970F7">
              <w:rPr>
                <w:lang w:val="en-GB" w:eastAsia="en-US"/>
              </w:rPr>
              <w:t>(1</w:t>
            </w:r>
            <w:r w:rsidR="00EE7A0B" w:rsidRPr="00D970F7">
              <w:rPr>
                <w:lang w:val="en-GB" w:eastAsia="en-US"/>
              </w:rPr>
              <w:t>.</w:t>
            </w:r>
            <w:r w:rsidR="00AB75C5" w:rsidRPr="00D970F7">
              <w:rPr>
                <w:lang w:val="en-GB" w:eastAsia="en-US"/>
              </w:rPr>
              <w:t xml:space="preserve">2%). </w:t>
            </w:r>
            <w:r w:rsidR="006963A7" w:rsidRPr="00D970F7">
              <w:rPr>
                <w:lang w:val="en-GB" w:eastAsia="en-US"/>
              </w:rPr>
              <w:t xml:space="preserve">The volume of credit to real estate activities grew on the contrary very fast </w:t>
            </w:r>
            <w:r w:rsidR="00AB75C5" w:rsidRPr="00D970F7">
              <w:rPr>
                <w:lang w:val="en-GB" w:eastAsia="en-US"/>
              </w:rPr>
              <w:t>(12</w:t>
            </w:r>
            <w:r w:rsidR="006963A7" w:rsidRPr="00D970F7">
              <w:rPr>
                <w:lang w:val="en-GB" w:eastAsia="en-US"/>
              </w:rPr>
              <w:t>.</w:t>
            </w:r>
            <w:r w:rsidR="00AB75C5" w:rsidRPr="00D970F7">
              <w:rPr>
                <w:lang w:val="en-GB" w:eastAsia="en-US"/>
              </w:rPr>
              <w:t xml:space="preserve">3%; </w:t>
            </w:r>
            <w:r w:rsidR="006963A7" w:rsidRPr="00D970F7">
              <w:rPr>
                <w:lang w:val="en-GB" w:eastAsia="en-US"/>
              </w:rPr>
              <w:t xml:space="preserve">very substantial addition </w:t>
            </w:r>
            <w:r w:rsidR="00AB75C5" w:rsidRPr="00D970F7">
              <w:rPr>
                <w:lang w:val="en-GB" w:eastAsia="en-US"/>
              </w:rPr>
              <w:t>10</w:t>
            </w:r>
            <w:r w:rsidR="006963A7" w:rsidRPr="00D970F7">
              <w:rPr>
                <w:lang w:val="en-GB" w:eastAsia="en-US"/>
              </w:rPr>
              <w:t>.</w:t>
            </w:r>
            <w:r w:rsidR="00AB75C5" w:rsidRPr="00D970F7">
              <w:rPr>
                <w:lang w:val="en-GB" w:eastAsia="en-US"/>
              </w:rPr>
              <w:t>3%</w:t>
            </w:r>
            <w:r w:rsidR="006963A7" w:rsidRPr="00D970F7">
              <w:rPr>
                <w:lang w:val="en-GB" w:eastAsia="en-US"/>
              </w:rPr>
              <w:t xml:space="preserve"> was recorded already in Q</w:t>
            </w:r>
            <w:r w:rsidR="00AB75C5" w:rsidRPr="00D970F7">
              <w:rPr>
                <w:lang w:val="en-GB" w:eastAsia="en-US"/>
              </w:rPr>
              <w:t xml:space="preserve">1). </w:t>
            </w:r>
            <w:r w:rsidR="006963A7" w:rsidRPr="00D970F7">
              <w:rPr>
                <w:lang w:val="en-GB" w:eastAsia="en-US"/>
              </w:rPr>
              <w:t xml:space="preserve">Part of the addition in manufacturing or financial and insurance activities is however also connected to the March depreciation of koruna, which was reflected in the recalculated value of credit in foreign currency. </w:t>
            </w:r>
            <w:r w:rsidR="00AC6FFE" w:rsidRPr="00D970F7">
              <w:rPr>
                <w:lang w:val="en-GB" w:eastAsia="en-US"/>
              </w:rPr>
              <w:t xml:space="preserve">The volume of credit in accommodation, food service and restaurants also reached high year-on-year addition </w:t>
            </w:r>
            <w:r w:rsidR="00AB75C5" w:rsidRPr="00D970F7">
              <w:rPr>
                <w:lang w:val="en-GB" w:eastAsia="en-US"/>
              </w:rPr>
              <w:t>(10</w:t>
            </w:r>
            <w:r w:rsidR="00AC6FFE" w:rsidRPr="00D970F7">
              <w:rPr>
                <w:lang w:val="en-GB" w:eastAsia="en-US"/>
              </w:rPr>
              <w:t>.</w:t>
            </w:r>
            <w:r w:rsidR="00AB75C5" w:rsidRPr="00D970F7">
              <w:rPr>
                <w:lang w:val="en-GB" w:eastAsia="en-US"/>
              </w:rPr>
              <w:t>2%)</w:t>
            </w:r>
            <w:r w:rsidR="00AC6FFE" w:rsidRPr="00D970F7">
              <w:rPr>
                <w:lang w:val="en-GB" w:eastAsia="en-US"/>
              </w:rPr>
              <w:t xml:space="preserve"> in March</w:t>
            </w:r>
            <w:r w:rsidR="0078236A" w:rsidRPr="00D970F7">
              <w:rPr>
                <w:lang w:val="en-GB" w:eastAsia="en-US"/>
              </w:rPr>
              <w:t>,</w:t>
            </w:r>
            <w:r w:rsidR="00AB75C5" w:rsidRPr="00D970F7">
              <w:rPr>
                <w:lang w:val="en-GB" w:eastAsia="en-US"/>
              </w:rPr>
              <w:t xml:space="preserve"> a</w:t>
            </w:r>
            <w:r w:rsidR="0078236A" w:rsidRPr="00D970F7">
              <w:rPr>
                <w:lang w:val="en-GB" w:eastAsia="en-US"/>
              </w:rPr>
              <w:t>nd</w:t>
            </w:r>
            <w:r w:rsidR="00AB75C5" w:rsidRPr="00D970F7">
              <w:rPr>
                <w:lang w:val="en-GB" w:eastAsia="en-US"/>
              </w:rPr>
              <w:t> </w:t>
            </w:r>
            <w:r w:rsidR="00AC6FFE" w:rsidRPr="00D970F7">
              <w:rPr>
                <w:lang w:val="en-GB" w:eastAsia="en-US"/>
              </w:rPr>
              <w:t xml:space="preserve">the year-on-year increase reached </w:t>
            </w:r>
            <w:r w:rsidR="00AB75C5" w:rsidRPr="00D970F7">
              <w:rPr>
                <w:lang w:val="en-GB" w:eastAsia="en-US"/>
              </w:rPr>
              <w:t>12</w:t>
            </w:r>
            <w:r w:rsidR="00AC6FFE" w:rsidRPr="00D970F7">
              <w:rPr>
                <w:lang w:val="en-GB" w:eastAsia="en-US"/>
              </w:rPr>
              <w:t>.</w:t>
            </w:r>
            <w:r w:rsidR="00AB75C5" w:rsidRPr="00D970F7">
              <w:rPr>
                <w:lang w:val="en-GB" w:eastAsia="en-US"/>
              </w:rPr>
              <w:t>5%</w:t>
            </w:r>
            <w:r w:rsidR="00AC6FFE" w:rsidRPr="00D970F7">
              <w:rPr>
                <w:lang w:val="en-GB" w:eastAsia="en-US"/>
              </w:rPr>
              <w:t xml:space="preserve"> at the end of June</w:t>
            </w:r>
            <w:r w:rsidR="00AB75C5" w:rsidRPr="00D970F7">
              <w:rPr>
                <w:lang w:val="en-GB" w:eastAsia="en-US"/>
              </w:rPr>
              <w:t xml:space="preserve">. </w:t>
            </w:r>
            <w:r w:rsidR="0078236A" w:rsidRPr="00D970F7">
              <w:rPr>
                <w:lang w:val="en-GB" w:eastAsia="en-US"/>
              </w:rPr>
              <w:t>The volume of credit for p</w:t>
            </w:r>
            <w:r w:rsidR="0078236A" w:rsidRPr="00D970F7">
              <w:rPr>
                <w:rFonts w:cs="Arial"/>
                <w:szCs w:val="20"/>
                <w:lang w:val="en-GB"/>
              </w:rPr>
              <w:t xml:space="preserve">ublic administration, education, health and social work grew notably during Q2 </w:t>
            </w:r>
            <w:r w:rsidR="00AB75C5" w:rsidRPr="00D970F7">
              <w:rPr>
                <w:lang w:val="en-GB" w:eastAsia="en-US"/>
              </w:rPr>
              <w:t>(</w:t>
            </w:r>
            <w:r w:rsidR="0078236A" w:rsidRPr="00D970F7">
              <w:rPr>
                <w:lang w:val="en-GB" w:eastAsia="en-US"/>
              </w:rPr>
              <w:t>value was by 16.9% higher year-on-year at the end of June</w:t>
            </w:r>
            <w:r w:rsidR="00AB75C5" w:rsidRPr="00D970F7">
              <w:rPr>
                <w:lang w:val="en-GB" w:eastAsia="en-US"/>
              </w:rPr>
              <w:t xml:space="preserve">). </w:t>
            </w:r>
            <w:r w:rsidR="00434459" w:rsidRPr="00D970F7">
              <w:rPr>
                <w:lang w:val="en-GB" w:eastAsia="en-US"/>
              </w:rPr>
              <w:t xml:space="preserve">Volume of credit was lower year-on-year for information and communication </w:t>
            </w:r>
            <w:r w:rsidR="00AB75C5" w:rsidRPr="00D970F7">
              <w:rPr>
                <w:lang w:val="en-GB" w:eastAsia="en-US"/>
              </w:rPr>
              <w:t>(–6</w:t>
            </w:r>
            <w:r w:rsidR="00434459" w:rsidRPr="00D970F7">
              <w:rPr>
                <w:lang w:val="en-GB" w:eastAsia="en-US"/>
              </w:rPr>
              <w:t>.</w:t>
            </w:r>
            <w:r w:rsidR="00AB75C5" w:rsidRPr="00D970F7">
              <w:rPr>
                <w:lang w:val="en-GB" w:eastAsia="en-US"/>
              </w:rPr>
              <w:t xml:space="preserve">9%), </w:t>
            </w:r>
            <w:r w:rsidR="00434459" w:rsidRPr="00D970F7">
              <w:rPr>
                <w:lang w:val="en-GB" w:eastAsia="en-US"/>
              </w:rPr>
              <w:t xml:space="preserve">financial and insurance activities </w:t>
            </w:r>
            <w:r w:rsidR="00AB75C5" w:rsidRPr="00D970F7">
              <w:rPr>
                <w:lang w:val="en-GB" w:eastAsia="en-US"/>
              </w:rPr>
              <w:t>(–2</w:t>
            </w:r>
            <w:r w:rsidR="00434459" w:rsidRPr="00D970F7">
              <w:rPr>
                <w:lang w:val="en-GB" w:eastAsia="en-US"/>
              </w:rPr>
              <w:t>.</w:t>
            </w:r>
            <w:r w:rsidR="00AB75C5" w:rsidRPr="00D970F7">
              <w:rPr>
                <w:lang w:val="en-GB" w:eastAsia="en-US"/>
              </w:rPr>
              <w:t>0%)</w:t>
            </w:r>
            <w:r w:rsidR="00434459" w:rsidRPr="00D970F7">
              <w:rPr>
                <w:lang w:val="en-GB" w:eastAsia="en-US"/>
              </w:rPr>
              <w:t xml:space="preserve"> and a series of cuts continued also for mining and quarrying </w:t>
            </w:r>
            <w:r w:rsidR="00AB75C5" w:rsidRPr="00D970F7">
              <w:rPr>
                <w:lang w:val="en-GB" w:eastAsia="en-US"/>
              </w:rPr>
              <w:t>(–0</w:t>
            </w:r>
            <w:r w:rsidR="00434459" w:rsidRPr="00D970F7">
              <w:rPr>
                <w:lang w:val="en-GB" w:eastAsia="en-US"/>
              </w:rPr>
              <w:t>.</w:t>
            </w:r>
            <w:r w:rsidR="00AB75C5" w:rsidRPr="00D970F7">
              <w:rPr>
                <w:lang w:val="en-GB" w:eastAsia="en-US"/>
              </w:rPr>
              <w:t>9%)</w:t>
            </w:r>
            <w:r w:rsidR="00434459" w:rsidRPr="00D970F7">
              <w:rPr>
                <w:lang w:val="en-GB" w:eastAsia="en-US"/>
              </w:rPr>
              <w:t xml:space="preserve"> at the end of June</w:t>
            </w:r>
            <w:r w:rsidR="00AB75C5" w:rsidRPr="00D970F7">
              <w:rPr>
                <w:lang w:val="en-GB" w:eastAsia="en-US"/>
              </w:rPr>
              <w:t>.</w:t>
            </w:r>
          </w:p>
          <w:p w14:paraId="67B2912D" w14:textId="5B8F930A" w:rsidR="0078236A" w:rsidRPr="00D970F7" w:rsidRDefault="0078236A" w:rsidP="0078236A">
            <w:pPr>
              <w:spacing w:after="0"/>
              <w:rPr>
                <w:lang w:val="en-GB" w:eastAsia="en-US"/>
              </w:rPr>
            </w:pPr>
          </w:p>
        </w:tc>
      </w:tr>
      <w:tr w:rsidR="00AB75C5" w:rsidRPr="00D970F7" w14:paraId="28E44416" w14:textId="77777777" w:rsidTr="00AB75C5">
        <w:trPr>
          <w:trHeight w:val="304"/>
        </w:trPr>
        <w:tc>
          <w:tcPr>
            <w:tcW w:w="1802" w:type="dxa"/>
            <w:vMerge w:val="restart"/>
          </w:tcPr>
          <w:p w14:paraId="4A6A63F1" w14:textId="77777777" w:rsidR="00AB75C5" w:rsidRPr="00D970F7" w:rsidRDefault="00AB75C5">
            <w:pPr>
              <w:pStyle w:val="Marginlie"/>
              <w:rPr>
                <w:lang w:val="en-GB" w:eastAsia="en-US"/>
              </w:rPr>
            </w:pPr>
          </w:p>
        </w:tc>
        <w:tc>
          <w:tcPr>
            <w:tcW w:w="229" w:type="dxa"/>
            <w:vMerge w:val="restart"/>
          </w:tcPr>
          <w:p w14:paraId="6E8903E4" w14:textId="77777777" w:rsidR="00AB75C5" w:rsidRPr="00D970F7" w:rsidRDefault="00AB75C5">
            <w:pPr>
              <w:pStyle w:val="Textpoznpodarou"/>
              <w:jc w:val="both"/>
              <w:rPr>
                <w:spacing w:val="-4"/>
                <w:lang w:val="en-GB" w:eastAsia="en-US"/>
              </w:rPr>
            </w:pPr>
          </w:p>
        </w:tc>
        <w:tc>
          <w:tcPr>
            <w:tcW w:w="7610" w:type="dxa"/>
            <w:hideMark/>
          </w:tcPr>
          <w:p w14:paraId="19673EE3" w14:textId="02401008" w:rsidR="00AB75C5" w:rsidRPr="00D970F7" w:rsidRDefault="00A20AE3">
            <w:pPr>
              <w:spacing w:after="0"/>
              <w:rPr>
                <w:lang w:val="en-GB" w:eastAsia="en-US"/>
              </w:rPr>
            </w:pPr>
            <w:r w:rsidRPr="00D970F7">
              <w:rPr>
                <w:rFonts w:cs="Arial"/>
                <w:b/>
                <w:bCs/>
                <w:color w:val="000000"/>
                <w:sz w:val="18"/>
                <w:szCs w:val="18"/>
                <w:lang w:val="en-GB" w:eastAsia="en-US"/>
              </w:rPr>
              <w:t xml:space="preserve">Chart </w:t>
            </w:r>
            <w:r w:rsidR="00AB75C5" w:rsidRPr="00D970F7">
              <w:rPr>
                <w:rFonts w:cs="Arial"/>
                <w:b/>
                <w:bCs/>
                <w:color w:val="000000"/>
                <w:sz w:val="18"/>
                <w:szCs w:val="18"/>
                <w:lang w:val="en-GB" w:eastAsia="en-US"/>
              </w:rPr>
              <w:t xml:space="preserve">15  </w:t>
            </w:r>
            <w:r w:rsidRPr="00D970F7">
              <w:rPr>
                <w:rFonts w:cs="Arial"/>
                <w:b/>
                <w:bCs/>
                <w:color w:val="000000"/>
                <w:sz w:val="18"/>
                <w:szCs w:val="18"/>
                <w:lang w:val="en-GB" w:eastAsia="en-US"/>
              </w:rPr>
              <w:t xml:space="preserve">Market interest rates </w:t>
            </w:r>
            <w:r w:rsidR="00AB75C5" w:rsidRPr="00D970F7">
              <w:rPr>
                <w:bCs/>
                <w:spacing w:val="-4"/>
                <w:sz w:val="18"/>
                <w:szCs w:val="18"/>
                <w:lang w:val="en-GB" w:eastAsia="en-US"/>
              </w:rPr>
              <w:t>(</w:t>
            </w:r>
            <w:r w:rsidRPr="00D970F7">
              <w:rPr>
                <w:bCs/>
                <w:spacing w:val="-4"/>
                <w:sz w:val="18"/>
                <w:szCs w:val="18"/>
                <w:lang w:val="en-GB" w:eastAsia="en-US"/>
              </w:rPr>
              <w:t>in</w:t>
            </w:r>
            <w:r w:rsidR="00AB75C5" w:rsidRPr="00D970F7">
              <w:rPr>
                <w:bCs/>
                <w:spacing w:val="-4"/>
                <w:sz w:val="18"/>
                <w:szCs w:val="18"/>
                <w:lang w:val="en-GB" w:eastAsia="en-US"/>
              </w:rPr>
              <w:t> %)</w:t>
            </w:r>
          </w:p>
        </w:tc>
      </w:tr>
      <w:tr w:rsidR="00AB75C5" w:rsidRPr="00D970F7" w14:paraId="45BBD3B6" w14:textId="77777777" w:rsidTr="00DD2984">
        <w:tblPrEx>
          <w:tblCellMar>
            <w:left w:w="70" w:type="dxa"/>
            <w:right w:w="70" w:type="dxa"/>
          </w:tblCellMar>
        </w:tblPrEx>
        <w:trPr>
          <w:trHeight w:val="170"/>
        </w:trPr>
        <w:tc>
          <w:tcPr>
            <w:tcW w:w="1802" w:type="dxa"/>
            <w:vMerge/>
            <w:vAlign w:val="center"/>
            <w:hideMark/>
          </w:tcPr>
          <w:p w14:paraId="5814CD9E" w14:textId="77777777" w:rsidR="00AB75C5" w:rsidRPr="00D970F7" w:rsidRDefault="00AB75C5">
            <w:pPr>
              <w:spacing w:after="0" w:line="240" w:lineRule="auto"/>
              <w:jc w:val="left"/>
              <w:rPr>
                <w:spacing w:val="-2"/>
                <w:sz w:val="16"/>
                <w:szCs w:val="16"/>
                <w:lang w:val="en-GB" w:eastAsia="en-US"/>
              </w:rPr>
            </w:pPr>
          </w:p>
        </w:tc>
        <w:tc>
          <w:tcPr>
            <w:tcW w:w="229" w:type="dxa"/>
            <w:vMerge/>
            <w:vAlign w:val="center"/>
            <w:hideMark/>
          </w:tcPr>
          <w:p w14:paraId="31210722" w14:textId="77777777" w:rsidR="00AB75C5" w:rsidRPr="00D970F7" w:rsidRDefault="00AB75C5">
            <w:pPr>
              <w:spacing w:after="0" w:line="240" w:lineRule="auto"/>
              <w:jc w:val="left"/>
              <w:rPr>
                <w:rFonts w:eastAsia="Calibri"/>
                <w:spacing w:val="-4"/>
                <w:szCs w:val="20"/>
                <w:lang w:val="en-GB" w:eastAsia="en-US"/>
              </w:rPr>
            </w:pPr>
          </w:p>
        </w:tc>
        <w:tc>
          <w:tcPr>
            <w:tcW w:w="7610" w:type="dxa"/>
            <w:hideMark/>
          </w:tcPr>
          <w:p w14:paraId="5B1B69EF" w14:textId="15ACF9C0" w:rsidR="00AB75C5" w:rsidRPr="00D970F7" w:rsidRDefault="00DD2984">
            <w:pPr>
              <w:spacing w:after="0"/>
              <w:rPr>
                <w:sz w:val="14"/>
                <w:szCs w:val="14"/>
                <w:lang w:val="en-GB" w:eastAsia="en-US"/>
              </w:rPr>
            </w:pPr>
            <w:r>
              <w:rPr>
                <w:noProof/>
              </w:rPr>
              <w:drawing>
                <wp:inline distT="0" distB="0" distL="0" distR="0" wp14:anchorId="27F5ED07" wp14:editId="1A95BA4C">
                  <wp:extent cx="4737600" cy="3528000"/>
                  <wp:effectExtent l="0" t="0" r="6350" b="0"/>
                  <wp:docPr id="21" name="Graf 21">
                    <a:extLst xmlns:a="http://schemas.openxmlformats.org/drawingml/2006/main">
                      <a:ext uri="{FF2B5EF4-FFF2-40B4-BE49-F238E27FC236}">
                        <a16:creationId xmlns:a16="http://schemas.microsoft.com/office/drawing/2014/main" id="{00000000-0008-0000-09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r w:rsidR="00AB75C5" w:rsidRPr="00D970F7" w14:paraId="3F63AC6A" w14:textId="77777777" w:rsidTr="00AB75C5">
        <w:trPr>
          <w:trHeight w:val="170"/>
        </w:trPr>
        <w:tc>
          <w:tcPr>
            <w:tcW w:w="0" w:type="auto"/>
            <w:vMerge/>
            <w:vAlign w:val="center"/>
            <w:hideMark/>
          </w:tcPr>
          <w:p w14:paraId="51B5B772" w14:textId="77777777" w:rsidR="00AB75C5" w:rsidRPr="00D970F7" w:rsidRDefault="00AB75C5">
            <w:pPr>
              <w:spacing w:after="0" w:line="240" w:lineRule="auto"/>
              <w:jc w:val="left"/>
              <w:rPr>
                <w:spacing w:val="-2"/>
                <w:sz w:val="16"/>
                <w:szCs w:val="16"/>
                <w:lang w:val="en-GB" w:eastAsia="en-US"/>
              </w:rPr>
            </w:pPr>
          </w:p>
        </w:tc>
        <w:tc>
          <w:tcPr>
            <w:tcW w:w="0" w:type="auto"/>
            <w:vMerge/>
            <w:vAlign w:val="center"/>
            <w:hideMark/>
          </w:tcPr>
          <w:p w14:paraId="434B7172" w14:textId="77777777" w:rsidR="00AB75C5" w:rsidRPr="00D970F7" w:rsidRDefault="00AB75C5">
            <w:pPr>
              <w:spacing w:after="0" w:line="240" w:lineRule="auto"/>
              <w:jc w:val="left"/>
              <w:rPr>
                <w:rFonts w:eastAsia="Calibri"/>
                <w:spacing w:val="-4"/>
                <w:szCs w:val="20"/>
                <w:lang w:val="en-GB" w:eastAsia="en-US"/>
              </w:rPr>
            </w:pPr>
          </w:p>
        </w:tc>
        <w:tc>
          <w:tcPr>
            <w:tcW w:w="7610" w:type="dxa"/>
            <w:hideMark/>
          </w:tcPr>
          <w:p w14:paraId="404C04DF" w14:textId="3FAEFCCE" w:rsidR="00FA5F40" w:rsidRPr="00D970F7" w:rsidRDefault="00434459" w:rsidP="00DD2984">
            <w:pPr>
              <w:spacing w:after="0"/>
              <w:rPr>
                <w:sz w:val="14"/>
                <w:szCs w:val="14"/>
                <w:lang w:val="en-GB" w:eastAsia="en-US"/>
              </w:rPr>
            </w:pPr>
            <w:r w:rsidRPr="00D970F7">
              <w:rPr>
                <w:sz w:val="14"/>
                <w:szCs w:val="14"/>
                <w:lang w:val="en-GB" w:eastAsia="en-US"/>
              </w:rPr>
              <w:t>Source</w:t>
            </w:r>
            <w:r w:rsidR="00AB75C5" w:rsidRPr="00D970F7">
              <w:rPr>
                <w:sz w:val="14"/>
                <w:szCs w:val="14"/>
                <w:lang w:val="en-GB" w:eastAsia="en-US"/>
              </w:rPr>
              <w:t xml:space="preserve">: </w:t>
            </w:r>
            <w:r w:rsidRPr="00D970F7">
              <w:rPr>
                <w:sz w:val="14"/>
                <w:szCs w:val="14"/>
                <w:lang w:val="en-GB" w:eastAsia="en-US"/>
              </w:rPr>
              <w:t>CNB</w:t>
            </w:r>
          </w:p>
        </w:tc>
      </w:tr>
    </w:tbl>
    <w:p w14:paraId="19B26E4B" w14:textId="37274182" w:rsidR="000D4DC0" w:rsidRPr="00D970F7" w:rsidRDefault="000D4DC0" w:rsidP="000D4DC0">
      <w:pPr>
        <w:pStyle w:val="Nadpis11"/>
        <w:rPr>
          <w:lang w:val="en-GB"/>
        </w:rPr>
      </w:pPr>
      <w:bookmarkStart w:id="25" w:name="_Toc26865023"/>
      <w:bookmarkStart w:id="26" w:name="_Toc53468179"/>
      <w:r w:rsidRPr="00D970F7">
        <w:rPr>
          <w:lang w:val="en-GB"/>
        </w:rPr>
        <w:lastRenderedPageBreak/>
        <w:t>8. St</w:t>
      </w:r>
      <w:r w:rsidR="00434459" w:rsidRPr="00D970F7">
        <w:rPr>
          <w:lang w:val="en-GB"/>
        </w:rPr>
        <w:t>ate Budget</w:t>
      </w:r>
      <w:bookmarkEnd w:id="26"/>
    </w:p>
    <w:tbl>
      <w:tblPr>
        <w:tblW w:w="9669" w:type="dxa"/>
        <w:tblInd w:w="-20" w:type="dxa"/>
        <w:tblCellMar>
          <w:left w:w="0" w:type="dxa"/>
          <w:right w:w="0" w:type="dxa"/>
        </w:tblCellMar>
        <w:tblLook w:val="00A0" w:firstRow="1" w:lastRow="0" w:firstColumn="1" w:lastColumn="0" w:noHBand="0" w:noVBand="0"/>
      </w:tblPr>
      <w:tblGrid>
        <w:gridCol w:w="9669"/>
        <w:gridCol w:w="6"/>
        <w:gridCol w:w="6"/>
      </w:tblGrid>
      <w:tr w:rsidR="00E42054" w:rsidRPr="00D970F7" w14:paraId="0219A5DA" w14:textId="77777777" w:rsidTr="00CF6F9C">
        <w:trPr>
          <w:trHeight w:val="145"/>
        </w:trPr>
        <w:tc>
          <w:tcPr>
            <w:tcW w:w="1732" w:type="dxa"/>
            <w:shd w:val="clear" w:color="auto" w:fill="auto"/>
            <w:tcMar>
              <w:left w:w="0" w:type="dxa"/>
            </w:tcMar>
          </w:tcPr>
          <w:tbl>
            <w:tblPr>
              <w:tblW w:w="9669" w:type="dxa"/>
              <w:tblCellMar>
                <w:left w:w="0" w:type="dxa"/>
                <w:right w:w="0" w:type="dxa"/>
              </w:tblCellMar>
              <w:tblLook w:val="00A0" w:firstRow="1" w:lastRow="0" w:firstColumn="1" w:lastColumn="0" w:noHBand="0" w:noVBand="0"/>
            </w:tblPr>
            <w:tblGrid>
              <w:gridCol w:w="1732"/>
              <w:gridCol w:w="217"/>
              <w:gridCol w:w="7720"/>
            </w:tblGrid>
            <w:tr w:rsidR="00C2211E" w:rsidRPr="00D970F7" w14:paraId="689FD9DD" w14:textId="77777777" w:rsidTr="00C2211E">
              <w:trPr>
                <w:trHeight w:val="145"/>
              </w:trPr>
              <w:tc>
                <w:tcPr>
                  <w:tcW w:w="1732" w:type="dxa"/>
                  <w:shd w:val="clear" w:color="auto" w:fill="auto"/>
                  <w:tcMar>
                    <w:left w:w="0" w:type="dxa"/>
                  </w:tcMar>
                </w:tcPr>
                <w:p w14:paraId="020B747B" w14:textId="77777777" w:rsidR="00C2211E" w:rsidRPr="00D970F7" w:rsidRDefault="00C2211E" w:rsidP="00C2211E">
                  <w:pPr>
                    <w:pStyle w:val="Marginlie"/>
                    <w:rPr>
                      <w:lang w:val="en-GB"/>
                    </w:rPr>
                  </w:pPr>
                  <w:r w:rsidRPr="00D970F7">
                    <w:rPr>
                      <w:lang w:val="en-GB"/>
                    </w:rPr>
                    <w:t>State budget slumped to the deepest deficit in the contemporary history in Q2.</w:t>
                  </w:r>
                </w:p>
              </w:tc>
              <w:tc>
                <w:tcPr>
                  <w:tcW w:w="217" w:type="dxa"/>
                  <w:shd w:val="clear" w:color="auto" w:fill="auto"/>
                  <w:tcMar>
                    <w:left w:w="0" w:type="dxa"/>
                  </w:tcMar>
                </w:tcPr>
                <w:p w14:paraId="0C803946"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E21FAD0" w14:textId="77777777" w:rsidR="00C2211E" w:rsidRPr="00D970F7" w:rsidRDefault="00C2211E" w:rsidP="00C2211E">
                  <w:pPr>
                    <w:spacing w:after="200"/>
                    <w:rPr>
                      <w:spacing w:val="-2"/>
                      <w:lang w:val="en-GB"/>
                    </w:rPr>
                  </w:pPr>
                  <w:r w:rsidRPr="00D970F7">
                    <w:rPr>
                      <w:spacing w:val="-2"/>
                      <w:lang w:val="en-GB"/>
                    </w:rPr>
                    <w:t>State budget (SR)</w:t>
                  </w:r>
                  <w:r w:rsidRPr="00D970F7">
                    <w:rPr>
                      <w:rStyle w:val="Znakapoznpodarou"/>
                      <w:spacing w:val="-2"/>
                      <w:lang w:val="en-GB"/>
                    </w:rPr>
                    <w:footnoteReference w:id="54"/>
                  </w:r>
                  <w:r w:rsidRPr="00D970F7">
                    <w:rPr>
                      <w:spacing w:val="-2"/>
                      <w:lang w:val="en-GB"/>
                    </w:rPr>
                    <w:t xml:space="preserve"> ended in considerable deficit of 195.2 CZK bn for H1 2020. Compared to the so far record half yearly value from year 2010, which already for the most part reflected the impacts of the deep economic recession, this year´s deficit was more than twice and a half higher. Even though the SB budget struggled with deficits in all months of this year up to now, the May deficit (64 bn) contributed the most to the half yearly result. Impacts of intensive counter pandemic measures were already considerably felt during Q2, both on the revenue and outlay side of the budget. It inevitably brought the need for fundamental revision of the originally approved yearly budget deficit</w:t>
                  </w:r>
                  <w:r w:rsidRPr="00D970F7">
                    <w:rPr>
                      <w:rStyle w:val="Znakapoznpodarou"/>
                      <w:spacing w:val="-2"/>
                      <w:lang w:val="en-GB"/>
                    </w:rPr>
                    <w:footnoteReference w:id="55"/>
                  </w:r>
                  <w:r w:rsidRPr="00D970F7">
                    <w:rPr>
                      <w:spacing w:val="-2"/>
                      <w:lang w:val="en-GB"/>
                    </w:rPr>
                    <w:t>.</w:t>
                  </w:r>
                </w:p>
              </w:tc>
            </w:tr>
            <w:tr w:rsidR="00C2211E" w:rsidRPr="00D970F7" w14:paraId="360B9820" w14:textId="77777777" w:rsidTr="00C2211E">
              <w:trPr>
                <w:trHeight w:val="145"/>
              </w:trPr>
              <w:tc>
                <w:tcPr>
                  <w:tcW w:w="1732" w:type="dxa"/>
                  <w:shd w:val="clear" w:color="auto" w:fill="auto"/>
                  <w:tcMar>
                    <w:left w:w="0" w:type="dxa"/>
                  </w:tcMar>
                </w:tcPr>
                <w:p w14:paraId="5775DBD9" w14:textId="77777777" w:rsidR="00C2211E" w:rsidRPr="00D970F7" w:rsidRDefault="00C2211E" w:rsidP="00C2211E">
                  <w:pPr>
                    <w:pStyle w:val="Marginlie"/>
                    <w:rPr>
                      <w:lang w:val="en-GB"/>
                    </w:rPr>
                  </w:pPr>
                  <w:r w:rsidRPr="00D970F7">
                    <w:rPr>
                      <w:lang w:val="en-GB"/>
                    </w:rPr>
                    <w:t>Downturn of economic activity together with measures to strengthen the liquidity of firms led to 12.6% decrease of state</w:t>
                  </w:r>
                  <w:r>
                    <w:rPr>
                      <w:lang w:val="en-GB"/>
                    </w:rPr>
                    <w:t>-</w:t>
                  </w:r>
                  <w:r w:rsidRPr="00D970F7">
                    <w:rPr>
                      <w:lang w:val="en-GB"/>
                    </w:rPr>
                    <w:t>wide tax collection.</w:t>
                  </w:r>
                </w:p>
              </w:tc>
              <w:tc>
                <w:tcPr>
                  <w:tcW w:w="217" w:type="dxa"/>
                  <w:shd w:val="clear" w:color="auto" w:fill="auto"/>
                  <w:tcMar>
                    <w:left w:w="0" w:type="dxa"/>
                  </w:tcMar>
                </w:tcPr>
                <w:p w14:paraId="5F7FECD8"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49AE1294" w14:textId="77777777" w:rsidR="00C2211E" w:rsidRPr="00D970F7" w:rsidRDefault="00C2211E" w:rsidP="00C2211E">
                  <w:pPr>
                    <w:spacing w:after="200"/>
                    <w:rPr>
                      <w:spacing w:val="-2"/>
                      <w:lang w:val="en-GB"/>
                    </w:rPr>
                  </w:pPr>
                  <w:r w:rsidRPr="00D970F7">
                    <w:rPr>
                      <w:spacing w:val="-2"/>
                      <w:lang w:val="en-GB"/>
                    </w:rPr>
                    <w:t>Total revenues of the SB fell by 5.9% year-on-year in H1, resp. by 44 CZK bn. Within H1, it presented the first decrease since year 2017, which was however influenced by the slump of the European subsidies, which occurred at the onset of new programme period at that time. The tax revenues of the SB itself lastly fell year-on-year in H1 2012. Depth of the downturn of economic activity also proves the decrease of state</w:t>
                  </w:r>
                  <w:r>
                    <w:rPr>
                      <w:spacing w:val="-2"/>
                      <w:lang w:val="en-GB"/>
                    </w:rPr>
                    <w:t>-</w:t>
                  </w:r>
                  <w:r w:rsidRPr="00D970F7">
                    <w:rPr>
                      <w:spacing w:val="-2"/>
                      <w:lang w:val="en-GB"/>
                    </w:rPr>
                    <w:t>wide tax collection (at the level of all public budgets) in the first this year’s half, which was 12.6%, resp. 65 CZK bn (without insurance on social security). While the collection fell „only“ by 10.2% in H1 2009. This year’s collection however included the significant effect of measures on the strengthening of liquidity of firms affected by the slump of sales</w:t>
                  </w:r>
                  <w:r w:rsidRPr="00D970F7">
                    <w:rPr>
                      <w:rStyle w:val="Znakapoznpodarou"/>
                      <w:spacing w:val="-2"/>
                      <w:lang w:val="en-GB"/>
                    </w:rPr>
                    <w:footnoteReference w:id="56"/>
                  </w:r>
                  <w:r w:rsidRPr="00D970F7">
                    <w:rPr>
                      <w:spacing w:val="-2"/>
                      <w:lang w:val="en-GB"/>
                    </w:rPr>
                    <w:t xml:space="preserve">. Decrease of the total revenues of the SB was dampened by the growing inflow of funds from the EU budget. </w:t>
                  </w:r>
                </w:p>
              </w:tc>
            </w:tr>
            <w:tr w:rsidR="00C2211E" w:rsidRPr="00D970F7" w14:paraId="30E4BC6B" w14:textId="77777777" w:rsidTr="00C2211E">
              <w:trPr>
                <w:trHeight w:val="145"/>
              </w:trPr>
              <w:tc>
                <w:tcPr>
                  <w:tcW w:w="1732" w:type="dxa"/>
                  <w:shd w:val="clear" w:color="auto" w:fill="auto"/>
                  <w:tcMar>
                    <w:left w:w="0" w:type="dxa"/>
                  </w:tcMar>
                </w:tcPr>
                <w:p w14:paraId="75D7CDBA" w14:textId="77777777" w:rsidR="00C2211E" w:rsidRPr="00D970F7" w:rsidRDefault="00C2211E" w:rsidP="00C2211E">
                  <w:pPr>
                    <w:pStyle w:val="Marginlie"/>
                    <w:rPr>
                      <w:lang w:val="en-GB"/>
                    </w:rPr>
                  </w:pPr>
                  <w:r w:rsidRPr="00D970F7">
                    <w:rPr>
                      <w:lang w:val="en-GB"/>
                    </w:rPr>
                    <w:t xml:space="preserve">Marked deprivation of collection of direct taxes affected negatively the most the total tax collection. </w:t>
                  </w:r>
                </w:p>
              </w:tc>
              <w:tc>
                <w:tcPr>
                  <w:tcW w:w="217" w:type="dxa"/>
                  <w:shd w:val="clear" w:color="auto" w:fill="auto"/>
                  <w:tcMar>
                    <w:left w:w="0" w:type="dxa"/>
                  </w:tcMar>
                </w:tcPr>
                <w:p w14:paraId="72FC4B0F"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53D86D44" w14:textId="77777777" w:rsidR="00C2211E" w:rsidRPr="00D970F7" w:rsidRDefault="00C2211E" w:rsidP="00C2211E">
                  <w:pPr>
                    <w:spacing w:after="200"/>
                    <w:rPr>
                      <w:spacing w:val="-3"/>
                      <w:lang w:val="en-GB"/>
                    </w:rPr>
                  </w:pPr>
                  <w:r w:rsidRPr="00D970F7">
                    <w:rPr>
                      <w:spacing w:val="-3"/>
                      <w:lang w:val="en-GB"/>
                    </w:rPr>
                    <w:t xml:space="preserve">Collection of the corporate tax, which was by one quarter lower year-on-year (it still registered weak growth by 1.6% in Q1), contributed the most to the decrease of half yearly tax SB revenues. Above mentioned tax measures played a major role. Collection of income taxes of natural persons slumped by 18.5% in H1. Its size was affected by the paid out compensation bonuses (especially self-employed – in the size of 21 CZK bn), lengthened deadline of filing the tax returns by tax payers, growth of number of persons drawing care benefits as well as decrease of volume of paid out wages in the economy due to the reduction of employment together with lowering of the growth pace of the average wage. </w:t>
                  </w:r>
                </w:p>
              </w:tc>
            </w:tr>
            <w:tr w:rsidR="00C2211E" w:rsidRPr="00D970F7" w14:paraId="60420EAF" w14:textId="77777777" w:rsidTr="00C2211E">
              <w:trPr>
                <w:trHeight w:val="145"/>
              </w:trPr>
              <w:tc>
                <w:tcPr>
                  <w:tcW w:w="1732" w:type="dxa"/>
                  <w:shd w:val="clear" w:color="auto" w:fill="auto"/>
                  <w:tcMar>
                    <w:left w:w="0" w:type="dxa"/>
                  </w:tcMar>
                </w:tcPr>
                <w:p w14:paraId="521D323B" w14:textId="77777777" w:rsidR="00C2211E" w:rsidRPr="00D970F7" w:rsidRDefault="00C2211E" w:rsidP="00C2211E">
                  <w:pPr>
                    <w:pStyle w:val="Marginlie"/>
                    <w:rPr>
                      <w:lang w:val="en-GB"/>
                    </w:rPr>
                  </w:pPr>
                  <w:r w:rsidRPr="00D970F7">
                    <w:rPr>
                      <w:lang w:val="en-GB"/>
                    </w:rPr>
                    <w:t xml:space="preserve">Lower VAT collection reflected the deeper March and April decrease of retail sales. Decrease of collection nearly halted in June. </w:t>
                  </w:r>
                </w:p>
              </w:tc>
              <w:tc>
                <w:tcPr>
                  <w:tcW w:w="217" w:type="dxa"/>
                  <w:shd w:val="clear" w:color="auto" w:fill="auto"/>
                  <w:tcMar>
                    <w:left w:w="0" w:type="dxa"/>
                  </w:tcMar>
                </w:tcPr>
                <w:p w14:paraId="451CE7B6"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00F208A3" w14:textId="77777777" w:rsidR="00C2211E" w:rsidRPr="00D970F7" w:rsidRDefault="00C2211E" w:rsidP="00C2211E">
                  <w:pPr>
                    <w:spacing w:after="200"/>
                    <w:rPr>
                      <w:spacing w:val="-2"/>
                      <w:lang w:val="en-GB"/>
                    </w:rPr>
                  </w:pPr>
                  <w:r w:rsidRPr="00D970F7">
                    <w:rPr>
                      <w:spacing w:val="-2"/>
                      <w:lang w:val="en-GB"/>
                    </w:rPr>
                    <w:t xml:space="preserve">From the weight dominant tax </w:t>
                  </w:r>
                  <w:r w:rsidRPr="00D970F7">
                    <w:rPr>
                      <w:spacing w:val="-6"/>
                      <w:lang w:val="en-GB"/>
                    </w:rPr>
                    <w:t xml:space="preserve">– VAT – flew into the SB by 6.1% (resp. by 8.2 CZK bn) less year-on-year in H1. This decrease reflected especially the downturn of retail sales in March and April, since the collection of taxes grew during the first two months of the year. The June VAT collection itself did not significantly lag behind the last year´s level anymore </w:t>
                  </w:r>
                  <w:r w:rsidRPr="00D970F7">
                    <w:rPr>
                      <w:spacing w:val="-2"/>
                      <w:lang w:val="en-GB"/>
                    </w:rPr>
                    <w:t>(</w:t>
                  </w:r>
                  <w:r w:rsidRPr="00D970F7">
                    <w:rPr>
                      <w:spacing w:val="-6"/>
                      <w:lang w:val="en-GB"/>
                    </w:rPr>
                    <w:t>–</w:t>
                  </w:r>
                  <w:r w:rsidRPr="00D970F7">
                    <w:rPr>
                      <w:spacing w:val="-2"/>
                      <w:lang w:val="en-GB"/>
                    </w:rPr>
                    <w:t>1.6%). Half yearly collection was also adversely affected by the deferral of part of payments (in the amount of 5.8 CZK bn), lowering of tax tariff for some items</w:t>
                  </w:r>
                  <w:r w:rsidRPr="00D970F7">
                    <w:rPr>
                      <w:rStyle w:val="Znakapoznpodarou"/>
                      <w:spacing w:val="-2"/>
                      <w:lang w:val="en-GB"/>
                    </w:rPr>
                    <w:footnoteReference w:id="57"/>
                  </w:r>
                  <w:r w:rsidRPr="00D970F7">
                    <w:rPr>
                      <w:spacing w:val="-2"/>
                      <w:lang w:val="en-GB"/>
                    </w:rPr>
                    <w:t xml:space="preserve"> also had an effect. Higher expenditures of the government sector had the opposite influence. </w:t>
                  </w:r>
                </w:p>
              </w:tc>
            </w:tr>
            <w:tr w:rsidR="00C2211E" w:rsidRPr="00D970F7" w14:paraId="6ABED467" w14:textId="77777777" w:rsidTr="00C2211E">
              <w:trPr>
                <w:trHeight w:val="145"/>
              </w:trPr>
              <w:tc>
                <w:tcPr>
                  <w:tcW w:w="1732" w:type="dxa"/>
                  <w:shd w:val="clear" w:color="auto" w:fill="auto"/>
                  <w:tcMar>
                    <w:left w:w="0" w:type="dxa"/>
                  </w:tcMar>
                </w:tcPr>
                <w:p w14:paraId="613A35A0" w14:textId="77777777" w:rsidR="00C2211E" w:rsidRPr="00D970F7" w:rsidRDefault="00C2211E" w:rsidP="00C2211E">
                  <w:pPr>
                    <w:pStyle w:val="Marginlie"/>
                    <w:rPr>
                      <w:lang w:val="en-GB"/>
                    </w:rPr>
                  </w:pPr>
                  <w:r w:rsidRPr="00D970F7">
                    <w:rPr>
                      <w:lang w:val="en-GB"/>
                    </w:rPr>
                    <w:t xml:space="preserve">Lower transport performance manifested in 10% decline of collection of tax on mineral oils. Limitations of relations with non-residents also affected the weaker collection of </w:t>
                  </w:r>
                  <w:r w:rsidRPr="00D970F7">
                    <w:rPr>
                      <w:lang w:val="en-GB"/>
                    </w:rPr>
                    <w:lastRenderedPageBreak/>
                    <w:t xml:space="preserve">tax on beer or tobacco products. </w:t>
                  </w:r>
                </w:p>
              </w:tc>
              <w:tc>
                <w:tcPr>
                  <w:tcW w:w="217" w:type="dxa"/>
                  <w:shd w:val="clear" w:color="auto" w:fill="auto"/>
                  <w:tcMar>
                    <w:left w:w="0" w:type="dxa"/>
                  </w:tcMar>
                </w:tcPr>
                <w:p w14:paraId="11282F91"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4DB58B7E" w14:textId="77777777" w:rsidR="00C2211E" w:rsidRPr="00D970F7" w:rsidRDefault="00C2211E" w:rsidP="00C2211E">
                  <w:pPr>
                    <w:spacing w:after="0"/>
                    <w:rPr>
                      <w:spacing w:val="-4"/>
                      <w:lang w:val="en-GB"/>
                    </w:rPr>
                  </w:pPr>
                  <w:r w:rsidRPr="00D970F7">
                    <w:rPr>
                      <w:spacing w:val="-4"/>
                      <w:lang w:val="en-GB"/>
                    </w:rPr>
                    <w:t>Total collection of the SB from consumer taxes weakened to 6.5% year-on-year in H1 (resp. nearly 5 CZK bn). Especially the fallout of collection of tax on mineral oils (by 10%) due to the considerable reduction of transport performance (including transit transport) had an effect. More detailed data of the CZSO regarding the consumption of oil products suggest, that the largest downturn occurred during April</w:t>
                  </w:r>
                  <w:r w:rsidRPr="00D970F7">
                    <w:rPr>
                      <w:rStyle w:val="Znakapoznpodarou"/>
                      <w:spacing w:val="-4"/>
                      <w:lang w:val="en-GB"/>
                    </w:rPr>
                    <w:footnoteReference w:id="58"/>
                  </w:r>
                  <w:r w:rsidRPr="00D970F7">
                    <w:rPr>
                      <w:spacing w:val="-4"/>
                      <w:lang w:val="en-GB"/>
                    </w:rPr>
                    <w:t xml:space="preserve">. The counter pandemic measures also afflicted the weaker collection of other consumer taxes, for example for beer (by 8%), where </w:t>
                  </w:r>
                  <w:r w:rsidRPr="00D970F7">
                    <w:rPr>
                      <w:spacing w:val="-4"/>
                      <w:lang w:val="en-GB"/>
                    </w:rPr>
                    <w:lastRenderedPageBreak/>
                    <w:t>higher consumption of bottled beer was not adequate to offset lower slump of draught beer or tobacco products, where the collection despite increased tax tariff fell 3% (among other things due to temporary slump of across the border purchases from Germany and Austria). Collection of tax on alcohol, where the effect of tariff growth was hampered by lower consumption, also did not fulfil the budget anticipations, also as a consequence of the dramatic slump of the arrival tourism in the whole Q2.</w:t>
                  </w:r>
                </w:p>
                <w:p w14:paraId="48B534FE" w14:textId="77777777" w:rsidR="00C2211E" w:rsidRPr="00D970F7" w:rsidRDefault="00C2211E" w:rsidP="00C2211E">
                  <w:pPr>
                    <w:spacing w:after="0"/>
                    <w:rPr>
                      <w:spacing w:val="-4"/>
                      <w:lang w:val="en-GB"/>
                    </w:rPr>
                  </w:pPr>
                </w:p>
              </w:tc>
            </w:tr>
            <w:tr w:rsidR="00C2211E" w:rsidRPr="00D970F7" w14:paraId="41EEEA5F" w14:textId="77777777" w:rsidTr="00C2211E">
              <w:trPr>
                <w:trHeight w:val="170"/>
              </w:trPr>
              <w:tc>
                <w:tcPr>
                  <w:tcW w:w="1732" w:type="dxa"/>
                  <w:vMerge w:val="restart"/>
                  <w:shd w:val="clear" w:color="auto" w:fill="auto"/>
                  <w:tcMar>
                    <w:left w:w="0" w:type="dxa"/>
                  </w:tcMar>
                </w:tcPr>
                <w:p w14:paraId="35E77558" w14:textId="77777777" w:rsidR="00C2211E" w:rsidRPr="00D970F7" w:rsidRDefault="00C2211E" w:rsidP="00C2211E">
                  <w:pPr>
                    <w:pStyle w:val="Marginlie"/>
                    <w:rPr>
                      <w:lang w:val="en-GB"/>
                    </w:rPr>
                  </w:pPr>
                </w:p>
              </w:tc>
              <w:tc>
                <w:tcPr>
                  <w:tcW w:w="217" w:type="dxa"/>
                  <w:vMerge w:val="restart"/>
                  <w:shd w:val="clear" w:color="auto" w:fill="auto"/>
                  <w:tcMar>
                    <w:left w:w="0" w:type="dxa"/>
                  </w:tcMar>
                </w:tcPr>
                <w:p w14:paraId="0B8D8976"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4FDF3B33" w14:textId="77777777" w:rsidR="00C2211E" w:rsidRPr="00D970F7" w:rsidRDefault="00C2211E" w:rsidP="00C2211E">
                  <w:pPr>
                    <w:spacing w:after="0" w:line="240" w:lineRule="auto"/>
                    <w:rPr>
                      <w:rFonts w:cs="Arial"/>
                      <w:bCs/>
                      <w:lang w:val="en-GB"/>
                    </w:rPr>
                  </w:pPr>
                  <w:r w:rsidRPr="00D970F7">
                    <w:rPr>
                      <w:rFonts w:cs="Arial"/>
                      <w:b/>
                      <w:bCs/>
                      <w:color w:val="000000"/>
                      <w:szCs w:val="20"/>
                      <w:lang w:val="en-GB"/>
                    </w:rPr>
                    <w:t>Chart 16</w:t>
                  </w:r>
                  <w:r w:rsidRPr="00D970F7">
                    <w:rPr>
                      <w:rFonts w:cs="Arial"/>
                      <w:b/>
                      <w:bCs/>
                      <w:color w:val="000000"/>
                      <w:sz w:val="18"/>
                      <w:szCs w:val="18"/>
                      <w:lang w:val="en-GB"/>
                    </w:rPr>
                    <w:t xml:space="preserve">  </w:t>
                  </w:r>
                  <w:r w:rsidRPr="00D970F7">
                    <w:rPr>
                      <w:rFonts w:cs="Arial"/>
                      <w:b/>
                      <w:bCs/>
                      <w:spacing w:val="-2"/>
                      <w:lang w:val="en-GB"/>
                    </w:rPr>
                    <w:t>State wide collection of selected tax incomes</w:t>
                  </w:r>
                  <w:r w:rsidRPr="00D970F7">
                    <w:rPr>
                      <w:rFonts w:cs="Arial"/>
                      <w:b/>
                      <w:bCs/>
                      <w:color w:val="000000"/>
                      <w:spacing w:val="-2"/>
                      <w:sz w:val="18"/>
                      <w:lang w:val="en-GB"/>
                    </w:rPr>
                    <w:t xml:space="preserve"> </w:t>
                  </w:r>
                  <w:r w:rsidRPr="00D970F7">
                    <w:rPr>
                      <w:rFonts w:cs="Arial"/>
                      <w:bCs/>
                      <w:spacing w:val="-2"/>
                      <w:lang w:val="en-GB"/>
                    </w:rPr>
                    <w:t xml:space="preserve">(year-on-year in </w:t>
                  </w:r>
                  <w:r w:rsidRPr="00D970F7">
                    <w:rPr>
                      <w:bCs/>
                      <w:spacing w:val="-2"/>
                      <w:lang w:val="en-GB"/>
                    </w:rPr>
                    <w:t>%)</w:t>
                  </w:r>
                  <w:r w:rsidRPr="00D970F7">
                    <w:rPr>
                      <w:bCs/>
                      <w:spacing w:val="-2"/>
                      <w:lang w:val="en-GB"/>
                    </w:rPr>
                    <w:br/>
                  </w:r>
                  <w:r w:rsidRPr="00D970F7">
                    <w:rPr>
                      <w:rFonts w:cs="Arial"/>
                      <w:b/>
                      <w:bCs/>
                      <w:spacing w:val="-2"/>
                      <w:lang w:val="en-GB"/>
                    </w:rPr>
                    <w:t xml:space="preserve">and state budget balance </w:t>
                  </w:r>
                  <w:r w:rsidRPr="00D970F7">
                    <w:rPr>
                      <w:rFonts w:cs="Arial"/>
                      <w:bCs/>
                      <w:spacing w:val="-6"/>
                      <w:lang w:val="en-GB"/>
                    </w:rPr>
                    <w:t xml:space="preserve">(in CZK bn, right axis) </w:t>
                  </w:r>
                  <w:r w:rsidRPr="00D970F7">
                    <w:rPr>
                      <w:rFonts w:cs="Arial"/>
                      <w:b/>
                      <w:bCs/>
                      <w:lang w:val="en-GB"/>
                    </w:rPr>
                    <w:t>in accumulation for H1</w:t>
                  </w:r>
                </w:p>
              </w:tc>
            </w:tr>
            <w:tr w:rsidR="00C2211E" w:rsidRPr="00D970F7" w14:paraId="378343AE" w14:textId="77777777" w:rsidTr="00C2211E">
              <w:tblPrEx>
                <w:tblCellMar>
                  <w:left w:w="70" w:type="dxa"/>
                  <w:right w:w="70" w:type="dxa"/>
                </w:tblCellMar>
              </w:tblPrEx>
              <w:trPr>
                <w:trHeight w:val="170"/>
              </w:trPr>
              <w:tc>
                <w:tcPr>
                  <w:tcW w:w="1732" w:type="dxa"/>
                  <w:vMerge/>
                  <w:shd w:val="clear" w:color="auto" w:fill="auto"/>
                </w:tcPr>
                <w:p w14:paraId="05A205FF" w14:textId="77777777" w:rsidR="00C2211E" w:rsidRPr="00D970F7" w:rsidRDefault="00C2211E" w:rsidP="00C2211E">
                  <w:pPr>
                    <w:pStyle w:val="Marginlie"/>
                    <w:rPr>
                      <w:lang w:val="en-GB"/>
                    </w:rPr>
                  </w:pPr>
                </w:p>
              </w:tc>
              <w:tc>
                <w:tcPr>
                  <w:tcW w:w="217" w:type="dxa"/>
                  <w:vMerge/>
                  <w:shd w:val="clear" w:color="auto" w:fill="auto"/>
                </w:tcPr>
                <w:p w14:paraId="33CCC60E" w14:textId="77777777" w:rsidR="00C2211E" w:rsidRPr="00D970F7" w:rsidRDefault="00C2211E" w:rsidP="00C2211E">
                  <w:pPr>
                    <w:pStyle w:val="Textpoznpodarou"/>
                    <w:jc w:val="both"/>
                    <w:rPr>
                      <w:spacing w:val="-4"/>
                      <w:lang w:val="en-GB"/>
                    </w:rPr>
                  </w:pPr>
                </w:p>
              </w:tc>
              <w:tc>
                <w:tcPr>
                  <w:tcW w:w="7720" w:type="dxa"/>
                  <w:shd w:val="clear" w:color="auto" w:fill="auto"/>
                </w:tcPr>
                <w:p w14:paraId="51D6C653" w14:textId="77777777" w:rsidR="00C2211E" w:rsidRPr="00D970F7" w:rsidRDefault="00C2211E" w:rsidP="00C2211E">
                  <w:pPr>
                    <w:spacing w:after="0"/>
                    <w:rPr>
                      <w:spacing w:val="-6"/>
                      <w:lang w:val="en-GB"/>
                    </w:rPr>
                  </w:pPr>
                  <w:r w:rsidRPr="00D970F7">
                    <w:rPr>
                      <w:noProof/>
                      <w:lang w:val="en-GB"/>
                    </w:rPr>
                    <w:t xml:space="preserve"> </w:t>
                  </w:r>
                  <w:r>
                    <w:rPr>
                      <w:noProof/>
                    </w:rPr>
                    <w:drawing>
                      <wp:inline distT="0" distB="0" distL="0" distR="0" wp14:anchorId="27205574" wp14:editId="1E7B051E">
                        <wp:extent cx="4762250" cy="3648098"/>
                        <wp:effectExtent l="0" t="0" r="635" b="0"/>
                        <wp:docPr id="42" name="Graf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C2211E" w:rsidRPr="00D970F7" w14:paraId="49EA188F" w14:textId="77777777" w:rsidTr="00C2211E">
              <w:trPr>
                <w:trHeight w:val="170"/>
              </w:trPr>
              <w:tc>
                <w:tcPr>
                  <w:tcW w:w="1732" w:type="dxa"/>
                  <w:vMerge/>
                  <w:shd w:val="clear" w:color="auto" w:fill="auto"/>
                  <w:tcMar>
                    <w:left w:w="0" w:type="dxa"/>
                  </w:tcMar>
                </w:tcPr>
                <w:p w14:paraId="41C848C5" w14:textId="77777777" w:rsidR="00C2211E" w:rsidRPr="00D970F7" w:rsidRDefault="00C2211E" w:rsidP="00C2211E">
                  <w:pPr>
                    <w:pStyle w:val="Marginlie"/>
                    <w:rPr>
                      <w:lang w:val="en-GB"/>
                    </w:rPr>
                  </w:pPr>
                </w:p>
              </w:tc>
              <w:tc>
                <w:tcPr>
                  <w:tcW w:w="217" w:type="dxa"/>
                  <w:vMerge/>
                  <w:shd w:val="clear" w:color="auto" w:fill="auto"/>
                  <w:tcMar>
                    <w:left w:w="0" w:type="dxa"/>
                  </w:tcMar>
                </w:tcPr>
                <w:p w14:paraId="3B9C903F"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0056A332" w14:textId="77777777" w:rsidR="00C2211E" w:rsidRDefault="00C2211E" w:rsidP="00C2211E">
                  <w:pPr>
                    <w:spacing w:after="0" w:line="240" w:lineRule="auto"/>
                    <w:jc w:val="left"/>
                    <w:rPr>
                      <w:spacing w:val="-6"/>
                      <w:sz w:val="14"/>
                      <w:szCs w:val="14"/>
                      <w:lang w:val="en-GB"/>
                    </w:rPr>
                  </w:pPr>
                  <w:r w:rsidRPr="00D970F7">
                    <w:rPr>
                      <w:spacing w:val="-6"/>
                      <w:sz w:val="14"/>
                      <w:szCs w:val="14"/>
                      <w:lang w:val="en-GB"/>
                    </w:rPr>
                    <w:t>*Balance adjusted for resources on programmes from the EU budget (incl. financial mechanisms), which were pre-financed from the SB and are subsequently reimbursed from the EU and FM budgets. Data available since year 2013.</w:t>
                  </w:r>
                </w:p>
                <w:p w14:paraId="16BF74A2" w14:textId="77777777" w:rsidR="00C2211E" w:rsidRPr="00D970F7" w:rsidRDefault="00C2211E" w:rsidP="00C2211E">
                  <w:pPr>
                    <w:spacing w:after="200" w:line="240" w:lineRule="auto"/>
                    <w:jc w:val="left"/>
                    <w:rPr>
                      <w:spacing w:val="-6"/>
                      <w:sz w:val="14"/>
                      <w:szCs w:val="14"/>
                      <w:lang w:val="en-GB"/>
                    </w:rPr>
                  </w:pPr>
                  <w:r w:rsidRPr="00D970F7">
                    <w:rPr>
                      <w:spacing w:val="-6"/>
                      <w:sz w:val="14"/>
                      <w:szCs w:val="14"/>
                      <w:lang w:val="en-GB"/>
                    </w:rPr>
                    <w:t>Source: MF CR</w:t>
                  </w:r>
                </w:p>
              </w:tc>
            </w:tr>
            <w:tr w:rsidR="00C2211E" w:rsidRPr="00D970F7" w14:paraId="37E22E75" w14:textId="77777777" w:rsidTr="00C2211E">
              <w:trPr>
                <w:trHeight w:val="145"/>
              </w:trPr>
              <w:tc>
                <w:tcPr>
                  <w:tcW w:w="1732" w:type="dxa"/>
                  <w:shd w:val="clear" w:color="auto" w:fill="auto"/>
                  <w:tcMar>
                    <w:left w:w="0" w:type="dxa"/>
                  </w:tcMar>
                </w:tcPr>
                <w:p w14:paraId="34BD0684" w14:textId="77777777" w:rsidR="00C2211E" w:rsidRPr="00D970F7" w:rsidRDefault="00C2211E" w:rsidP="00C2211E">
                  <w:pPr>
                    <w:pStyle w:val="Marginlie"/>
                    <w:rPr>
                      <w:lang w:val="en-GB"/>
                    </w:rPr>
                  </w:pPr>
                  <w:r w:rsidRPr="00D970F7">
                    <w:rPr>
                      <w:lang w:val="en-GB"/>
                    </w:rPr>
                    <w:t xml:space="preserve">Rate of growth of total SB outlays accelerated. It was driven by higher current outlays as well as investment. </w:t>
                  </w:r>
                </w:p>
                <w:p w14:paraId="52AFB677" w14:textId="77777777" w:rsidR="00C2211E" w:rsidRPr="00D970F7" w:rsidRDefault="00C2211E" w:rsidP="00C2211E">
                  <w:pPr>
                    <w:pStyle w:val="Marginlie"/>
                    <w:rPr>
                      <w:lang w:val="en-GB"/>
                    </w:rPr>
                  </w:pPr>
                </w:p>
                <w:p w14:paraId="39F7DC21" w14:textId="77777777" w:rsidR="00C2211E" w:rsidRPr="00D970F7" w:rsidRDefault="00C2211E" w:rsidP="00C2211E">
                  <w:pPr>
                    <w:pStyle w:val="Marginlie"/>
                    <w:rPr>
                      <w:lang w:val="en-GB"/>
                    </w:rPr>
                  </w:pPr>
                </w:p>
                <w:p w14:paraId="74C4C337" w14:textId="77777777" w:rsidR="00C2211E" w:rsidRPr="00D970F7" w:rsidRDefault="00C2211E" w:rsidP="00C2211E">
                  <w:pPr>
                    <w:pStyle w:val="Marginlie"/>
                    <w:rPr>
                      <w:lang w:val="en-GB"/>
                    </w:rPr>
                  </w:pPr>
                </w:p>
                <w:p w14:paraId="3B81FE08" w14:textId="77777777" w:rsidR="00C2211E" w:rsidRPr="00D970F7" w:rsidRDefault="00C2211E" w:rsidP="00C2211E">
                  <w:pPr>
                    <w:pStyle w:val="Marginlie"/>
                    <w:rPr>
                      <w:spacing w:val="-4"/>
                      <w:lang w:val="en-GB"/>
                    </w:rPr>
                  </w:pPr>
                  <w:r w:rsidRPr="00D970F7">
                    <w:rPr>
                      <w:spacing w:val="-4"/>
                      <w:lang w:val="en-GB"/>
                    </w:rPr>
                    <w:t>More than one third of current outlays growth was linked to the counter pandemic measures,…</w:t>
                  </w:r>
                </w:p>
                <w:p w14:paraId="04FB45DD" w14:textId="77777777" w:rsidR="00C2211E" w:rsidRPr="00D970F7" w:rsidRDefault="00C2211E" w:rsidP="00C2211E">
                  <w:pPr>
                    <w:pStyle w:val="Marginlie"/>
                    <w:rPr>
                      <w:lang w:val="en-GB"/>
                    </w:rPr>
                  </w:pPr>
                </w:p>
              </w:tc>
              <w:tc>
                <w:tcPr>
                  <w:tcW w:w="217" w:type="dxa"/>
                  <w:shd w:val="clear" w:color="auto" w:fill="auto"/>
                  <w:tcMar>
                    <w:left w:w="0" w:type="dxa"/>
                  </w:tcMar>
                </w:tcPr>
                <w:p w14:paraId="36B3D14E"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B7162A5" w14:textId="77777777" w:rsidR="00C2211E" w:rsidRPr="00D970F7" w:rsidRDefault="00C2211E" w:rsidP="00C2211E">
                  <w:pPr>
                    <w:spacing w:after="220"/>
                    <w:rPr>
                      <w:spacing w:val="-4"/>
                      <w:lang w:val="en-GB"/>
                    </w:rPr>
                  </w:pPr>
                  <w:r w:rsidRPr="00D970F7">
                    <w:rPr>
                      <w:spacing w:val="-4"/>
                      <w:lang w:val="en-GB"/>
                    </w:rPr>
                    <w:t>Total SB outlays increased by 17.0% year-on-year in H1, resp. by 130 CZK bn (by +13.0% for Q1). Even though the double-digit growth was recorded also during years 2018 and 2019, this year´s half yearly pace belongs to the highest in the history of independent CR</w:t>
                  </w:r>
                  <w:r w:rsidRPr="00D970F7">
                    <w:rPr>
                      <w:rStyle w:val="Znakapoznpodarou"/>
                      <w:spacing w:val="-4"/>
                      <w:lang w:val="en-GB"/>
                    </w:rPr>
                    <w:footnoteReference w:id="59"/>
                  </w:r>
                  <w:r w:rsidRPr="00D970F7">
                    <w:rPr>
                      <w:spacing w:val="-4"/>
                      <w:lang w:val="en-GB"/>
                    </w:rPr>
                    <w:t>. The achieved rate of growth was more than quadruple compared to the originally approved budget (from the end of year 2019). Mainly current outlays contributed to the growth (+15.5%, +112 bn), more than one third of their addition was attributed to direct SB outlays connected to counter pandemic measures</w:t>
                  </w:r>
                  <w:r w:rsidRPr="00D970F7">
                    <w:rPr>
                      <w:rStyle w:val="Znakapoznpodarou"/>
                      <w:spacing w:val="-4"/>
                      <w:lang w:val="en-GB"/>
                    </w:rPr>
                    <w:footnoteReference w:id="60"/>
                  </w:r>
                  <w:r w:rsidRPr="00D970F7">
                    <w:rPr>
                      <w:spacing w:val="-4"/>
                      <w:lang w:val="en-GB"/>
                    </w:rPr>
                    <w:t>. It was evident the most in the acceleration of non-investment transfers to business entities (+83%, from more than one half driven by the compensation of part of wages to employees within the Antivirus programme), non-investment purchases and associated outlays (+27%, nearly exclusively due to the purchases of protective aids and materials) or current transfers to state funded organizations (+23%, in two thirds due to the partial debt relief to hospitals and strengthening of transfers in the area of cultural activities).</w:t>
                  </w:r>
                </w:p>
              </w:tc>
            </w:tr>
            <w:tr w:rsidR="00C2211E" w:rsidRPr="00D970F7" w14:paraId="595D7E7F" w14:textId="77777777" w:rsidTr="00C2211E">
              <w:trPr>
                <w:trHeight w:val="145"/>
              </w:trPr>
              <w:tc>
                <w:tcPr>
                  <w:tcW w:w="1732" w:type="dxa"/>
                  <w:shd w:val="clear" w:color="auto" w:fill="auto"/>
                  <w:tcMar>
                    <w:left w:w="0" w:type="dxa"/>
                  </w:tcMar>
                </w:tcPr>
                <w:p w14:paraId="7B1D0229" w14:textId="77777777" w:rsidR="00C2211E" w:rsidRPr="00D970F7" w:rsidRDefault="00C2211E" w:rsidP="00C2211E">
                  <w:pPr>
                    <w:pStyle w:val="Marginlie"/>
                    <w:rPr>
                      <w:lang w:val="en-GB"/>
                    </w:rPr>
                  </w:pPr>
                  <w:r w:rsidRPr="00D970F7">
                    <w:rPr>
                      <w:lang w:val="en-GB"/>
                    </w:rPr>
                    <w:t xml:space="preserve">… higher drawing of social benefits, especially non pension </w:t>
                  </w:r>
                  <w:r w:rsidRPr="00D970F7">
                    <w:rPr>
                      <w:lang w:val="en-GB"/>
                    </w:rPr>
                    <w:lastRenderedPageBreak/>
                    <w:t xml:space="preserve">however also contributed similarly. </w:t>
                  </w:r>
                </w:p>
                <w:p w14:paraId="22E8DFEC" w14:textId="77777777" w:rsidR="00C2211E" w:rsidRPr="00D970F7" w:rsidRDefault="00C2211E" w:rsidP="00C2211E">
                  <w:pPr>
                    <w:pStyle w:val="Marginlie"/>
                    <w:rPr>
                      <w:lang w:val="en-GB"/>
                    </w:rPr>
                  </w:pPr>
                </w:p>
                <w:p w14:paraId="5AE3327B" w14:textId="77777777" w:rsidR="00C2211E" w:rsidRPr="00D970F7" w:rsidRDefault="00C2211E" w:rsidP="00C2211E">
                  <w:pPr>
                    <w:pStyle w:val="Marginlie"/>
                    <w:rPr>
                      <w:lang w:val="en-GB"/>
                    </w:rPr>
                  </w:pPr>
                </w:p>
                <w:p w14:paraId="5914790A" w14:textId="77777777" w:rsidR="00C2211E" w:rsidRPr="00D970F7" w:rsidRDefault="00C2211E" w:rsidP="00C2211E">
                  <w:pPr>
                    <w:pStyle w:val="Marginlie"/>
                    <w:rPr>
                      <w:lang w:val="en-GB"/>
                    </w:rPr>
                  </w:pPr>
                </w:p>
                <w:p w14:paraId="0174651B" w14:textId="77777777" w:rsidR="00C2211E" w:rsidRPr="00D970F7" w:rsidRDefault="00C2211E" w:rsidP="00C2211E">
                  <w:pPr>
                    <w:pStyle w:val="Marginlie"/>
                    <w:rPr>
                      <w:lang w:val="en-GB"/>
                    </w:rPr>
                  </w:pPr>
                  <w:r w:rsidRPr="00D970F7">
                    <w:rPr>
                      <w:lang w:val="en-GB"/>
                    </w:rPr>
                    <w:t xml:space="preserve">Swift growth of outlays on wages in both education and social care continued. </w:t>
                  </w:r>
                </w:p>
                <w:p w14:paraId="69576292" w14:textId="77777777" w:rsidR="00C2211E" w:rsidRPr="00D970F7" w:rsidRDefault="00C2211E" w:rsidP="00C2211E">
                  <w:pPr>
                    <w:pStyle w:val="Marginlie"/>
                    <w:rPr>
                      <w:lang w:val="en-GB"/>
                    </w:rPr>
                  </w:pPr>
                </w:p>
                <w:p w14:paraId="586D69DC" w14:textId="77777777" w:rsidR="00C2211E" w:rsidRPr="00D970F7" w:rsidRDefault="00C2211E" w:rsidP="00C2211E">
                  <w:pPr>
                    <w:pStyle w:val="Marginlie"/>
                    <w:rPr>
                      <w:lang w:val="en-GB"/>
                    </w:rPr>
                  </w:pPr>
                </w:p>
                <w:p w14:paraId="7882F4A9" w14:textId="77777777" w:rsidR="00C2211E" w:rsidRPr="00D970F7" w:rsidRDefault="00C2211E" w:rsidP="00C2211E">
                  <w:pPr>
                    <w:pStyle w:val="Marginlie"/>
                    <w:rPr>
                      <w:lang w:val="en-GB"/>
                    </w:rPr>
                  </w:pPr>
                </w:p>
                <w:p w14:paraId="52F0EC22" w14:textId="77777777" w:rsidR="00C2211E" w:rsidRPr="00D970F7" w:rsidRDefault="00C2211E" w:rsidP="00C2211E">
                  <w:pPr>
                    <w:pStyle w:val="Marginlie"/>
                    <w:rPr>
                      <w:lang w:val="en-GB"/>
                    </w:rPr>
                  </w:pPr>
                  <w:r w:rsidRPr="00D970F7">
                    <w:rPr>
                      <w:lang w:val="en-GB"/>
                    </w:rPr>
                    <w:t xml:space="preserve">Total financial situation of households has not markedly worsened also thanks to the extraordinary public transfers so far. </w:t>
                  </w:r>
                </w:p>
              </w:tc>
              <w:tc>
                <w:tcPr>
                  <w:tcW w:w="217" w:type="dxa"/>
                  <w:shd w:val="clear" w:color="auto" w:fill="auto"/>
                  <w:tcMar>
                    <w:left w:w="0" w:type="dxa"/>
                  </w:tcMar>
                </w:tcPr>
                <w:p w14:paraId="7F9FAE30"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BEA5F79" w14:textId="77777777" w:rsidR="00C2211E" w:rsidRPr="00D970F7" w:rsidRDefault="00C2211E" w:rsidP="00C2211E">
                  <w:pPr>
                    <w:spacing w:after="220"/>
                    <w:rPr>
                      <w:spacing w:val="-4"/>
                      <w:lang w:val="en-GB"/>
                    </w:rPr>
                  </w:pPr>
                  <w:r w:rsidRPr="00D970F7">
                    <w:rPr>
                      <w:spacing w:val="-4"/>
                      <w:lang w:val="en-GB"/>
                    </w:rPr>
                    <w:t xml:space="preserve">Measures stimulating incomes, resp. household consumption (social benefits, wages in the public sector) remained the dominant source of SB current outlays growth. Current transfers </w:t>
                  </w:r>
                  <w:r w:rsidRPr="00D970F7">
                    <w:rPr>
                      <w:spacing w:val="-4"/>
                      <w:lang w:val="en-GB"/>
                    </w:rPr>
                    <w:lastRenderedPageBreak/>
                    <w:t>to regional budgets strengthened by one seventh year-on-year (mainly due to increase of wage resources to employees of primary as well as secondary schools and also in the area of social care). Wage outlays in the central government institutions featured more modest growth (+4.1%, four year minimum). Even though the year-on-year rate of growth of outlays on social benefits increased by 13.3% and strengthened by more than one half compared to the last year, proportion of benefits on all SB outlays decreased already third year in a row (to record 37.9%). For the first time after year 2014, the growth of social transfers was driven primarily by non-pension benefits, which expanded by one third year-on-year (to 86 CZK bn). Paid out benefits of sickness insurance accelerated (+10.2 bn)</w:t>
                  </w:r>
                  <w:r w:rsidRPr="00D970F7">
                    <w:rPr>
                      <w:rStyle w:val="Znakapoznpodarou"/>
                      <w:spacing w:val="-4"/>
                      <w:lang w:val="en-GB"/>
                    </w:rPr>
                    <w:footnoteReference w:id="61"/>
                  </w:r>
                  <w:r w:rsidRPr="00D970F7">
                    <w:rPr>
                      <w:spacing w:val="-4"/>
                      <w:lang w:val="en-GB"/>
                    </w:rPr>
                    <w:t>, which was the result from two thirds of the payment of care benefits provided for the reason of closing schools and other institutions. The increase of total morbidity however also had an effect (particularly due to the cancelled grace period), drawing of parental benefits was also slightly higher. State social care expenditures strengthened by one third (+6.6 bn), nearly exclusively due to the effect of legal increase of the parental allowance. Long term growing care allowance also accelerated (by one fifth, resp. 2.9 bn). The state expended more on the unemployment benefits for second year in a row. Even though the levels of registered job applicants have not expanded so far</w:t>
                  </w:r>
                  <w:r w:rsidRPr="00D970F7">
                    <w:rPr>
                      <w:rStyle w:val="Znakapoznpodarou"/>
                      <w:spacing w:val="-4"/>
                      <w:lang w:val="en-GB"/>
                    </w:rPr>
                    <w:footnoteReference w:id="62"/>
                  </w:r>
                  <w:r w:rsidRPr="00D970F7">
                    <w:rPr>
                      <w:spacing w:val="-4"/>
                      <w:lang w:val="en-GB"/>
                    </w:rPr>
                    <w:t>, the volume of paid out benefits increased by 0.9 bn, resp. by one fifth compared to last year´s H1 (the most after year 2009)</w:t>
                  </w:r>
                  <w:r w:rsidRPr="00D970F7">
                    <w:rPr>
                      <w:rStyle w:val="Znakapoznpodarou"/>
                      <w:spacing w:val="-4"/>
                      <w:lang w:val="en-GB"/>
                    </w:rPr>
                    <w:footnoteReference w:id="63"/>
                  </w:r>
                  <w:r w:rsidRPr="00D970F7">
                    <w:rPr>
                      <w:spacing w:val="-4"/>
                      <w:lang w:val="en-GB"/>
                    </w:rPr>
                    <w:t>. On the other hand, the total financial situation of households has not markedly worsened so far also thanks to the extraordinary public transfers. It is also proved by the six years lasting year-on-year decrease of the volume of paid out benefits of material deprivation assistance (by 61% in total, by 2% this year)</w:t>
                  </w:r>
                  <w:r w:rsidRPr="00D970F7">
                    <w:rPr>
                      <w:rStyle w:val="Znakapoznpodarou"/>
                      <w:spacing w:val="-4"/>
                      <w:lang w:val="en-GB"/>
                    </w:rPr>
                    <w:footnoteReference w:id="64"/>
                  </w:r>
                  <w:r w:rsidRPr="00D970F7">
                    <w:rPr>
                      <w:spacing w:val="-4"/>
                      <w:lang w:val="en-GB"/>
                    </w:rPr>
                    <w:t xml:space="preserve"> or decrease of paid out child allowances.</w:t>
                  </w:r>
                </w:p>
              </w:tc>
            </w:tr>
            <w:tr w:rsidR="00C2211E" w:rsidRPr="00D970F7" w14:paraId="78AC69A3" w14:textId="77777777" w:rsidTr="00C2211E">
              <w:trPr>
                <w:trHeight w:val="145"/>
              </w:trPr>
              <w:tc>
                <w:tcPr>
                  <w:tcW w:w="1732" w:type="dxa"/>
                  <w:shd w:val="clear" w:color="auto" w:fill="auto"/>
                  <w:tcMar>
                    <w:left w:w="0" w:type="dxa"/>
                  </w:tcMar>
                </w:tcPr>
                <w:p w14:paraId="72CAAA4C" w14:textId="77777777" w:rsidR="00C2211E" w:rsidRPr="00D970F7" w:rsidRDefault="00C2211E" w:rsidP="00C2211E">
                  <w:pPr>
                    <w:pStyle w:val="Marginlie"/>
                    <w:rPr>
                      <w:lang w:val="en-GB"/>
                    </w:rPr>
                  </w:pPr>
                  <w:r w:rsidRPr="00D970F7">
                    <w:rPr>
                      <w:lang w:val="en-GB"/>
                    </w:rPr>
                    <w:lastRenderedPageBreak/>
                    <w:t xml:space="preserve">Revenues of the pension insurance fell for the first time after year 2013. Pension account deficit reached six year maximum. </w:t>
                  </w:r>
                </w:p>
              </w:tc>
              <w:tc>
                <w:tcPr>
                  <w:tcW w:w="217" w:type="dxa"/>
                  <w:shd w:val="clear" w:color="auto" w:fill="auto"/>
                  <w:tcMar>
                    <w:left w:w="0" w:type="dxa"/>
                  </w:tcMar>
                </w:tcPr>
                <w:p w14:paraId="63F40F7B"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502D4DA" w14:textId="77777777" w:rsidR="00C2211E" w:rsidRPr="00D970F7" w:rsidRDefault="00C2211E" w:rsidP="00C2211E">
                  <w:pPr>
                    <w:spacing w:after="220"/>
                    <w:rPr>
                      <w:rFonts w:cs="Arial"/>
                      <w:color w:val="0D0D0D" w:themeColor="text1" w:themeTint="F2"/>
                      <w:spacing w:val="-6"/>
                      <w:lang w:val="en-GB"/>
                    </w:rPr>
                  </w:pPr>
                  <w:r w:rsidRPr="00D970F7">
                    <w:rPr>
                      <w:spacing w:val="-6"/>
                      <w:lang w:val="en-GB"/>
                    </w:rPr>
                    <w:t>Year-on-year growth of expenditures on pension attained 8.0% in H1 and only slightly lagged behind the last year´s pace (8.8%), which however was the highest after year 2009. Given the stagnation of the total number of persons receiving pensions (including old age pensioners) the effect of legislative amendments became fully evident</w:t>
                  </w:r>
                  <w:r w:rsidRPr="00D970F7">
                    <w:rPr>
                      <w:rStyle w:val="Znakapoznpodarou"/>
                      <w:spacing w:val="-6"/>
                      <w:lang w:val="en-GB"/>
                    </w:rPr>
                    <w:footnoteReference w:id="65"/>
                  </w:r>
                  <w:r w:rsidRPr="00D970F7">
                    <w:rPr>
                      <w:rFonts w:cs="Arial"/>
                      <w:color w:val="0D0D0D" w:themeColor="text1" w:themeTint="F2"/>
                      <w:spacing w:val="-6"/>
                      <w:lang w:val="en-GB"/>
                    </w:rPr>
                    <w:t>. Revenues of the pension insurance went down (by 1.1%) for the first time after year 2013. It was the consequence of worsened situation on the labour market (lowering of employment as well as number of hours worked, slowdown of growth of average wages), but also the budget measures aimed at the support of small businesses</w:t>
                  </w:r>
                  <w:r w:rsidRPr="00D970F7">
                    <w:rPr>
                      <w:rStyle w:val="Znakapoznpodarou"/>
                      <w:color w:val="0D0D0D" w:themeColor="text1" w:themeTint="F2"/>
                      <w:spacing w:val="-6"/>
                      <w:lang w:val="en-GB"/>
                    </w:rPr>
                    <w:footnoteReference w:id="66"/>
                  </w:r>
                  <w:r w:rsidRPr="00D970F7">
                    <w:rPr>
                      <w:rFonts w:cs="Arial"/>
                      <w:color w:val="0D0D0D" w:themeColor="text1" w:themeTint="F2"/>
                      <w:spacing w:val="-6"/>
                      <w:lang w:val="en-GB"/>
                    </w:rPr>
                    <w:t>. Pension account balance</w:t>
                  </w:r>
                  <w:r w:rsidRPr="00D970F7">
                    <w:rPr>
                      <w:rStyle w:val="Znakapoznpodarou"/>
                      <w:color w:val="0D0D0D" w:themeColor="text1" w:themeTint="F2"/>
                      <w:spacing w:val="-6"/>
                      <w:lang w:val="en-GB"/>
                    </w:rPr>
                    <w:footnoteReference w:id="67"/>
                  </w:r>
                  <w:r w:rsidRPr="00D970F7">
                    <w:rPr>
                      <w:rFonts w:cs="Arial"/>
                      <w:color w:val="0D0D0D" w:themeColor="text1" w:themeTint="F2"/>
                      <w:spacing w:val="-6"/>
                      <w:lang w:val="en-GB"/>
                    </w:rPr>
                    <w:t xml:space="preserve"> thus returned to deficit after two surplus years. It amounted to 12 CZK bn in Q1, which presented the worst result in the last six years. </w:t>
                  </w:r>
                </w:p>
              </w:tc>
            </w:tr>
            <w:tr w:rsidR="00C2211E" w:rsidRPr="00D970F7" w14:paraId="57CE6F2A" w14:textId="77777777" w:rsidTr="00C2211E">
              <w:trPr>
                <w:trHeight w:val="145"/>
              </w:trPr>
              <w:tc>
                <w:tcPr>
                  <w:tcW w:w="1732" w:type="dxa"/>
                  <w:shd w:val="clear" w:color="auto" w:fill="auto"/>
                  <w:tcMar>
                    <w:left w:w="0" w:type="dxa"/>
                  </w:tcMar>
                </w:tcPr>
                <w:p w14:paraId="095D8622" w14:textId="77777777" w:rsidR="00C2211E" w:rsidRPr="00D970F7" w:rsidRDefault="00C2211E" w:rsidP="00C2211E">
                  <w:pPr>
                    <w:pStyle w:val="Marginlie"/>
                    <w:rPr>
                      <w:lang w:val="en-GB"/>
                    </w:rPr>
                  </w:pPr>
                  <w:r w:rsidRPr="00D970F7">
                    <w:rPr>
                      <w:lang w:val="en-GB"/>
                    </w:rPr>
                    <w:t xml:space="preserve">Investment growth from the SB further accelerated, mainly thanks to higher outlays on transport infrastructure. </w:t>
                  </w:r>
                </w:p>
                <w:p w14:paraId="63EF79D3" w14:textId="77777777" w:rsidR="00C2211E" w:rsidRPr="00D970F7" w:rsidRDefault="00C2211E" w:rsidP="00C2211E">
                  <w:pPr>
                    <w:pStyle w:val="Marginlie"/>
                    <w:rPr>
                      <w:lang w:val="en-GB"/>
                    </w:rPr>
                  </w:pPr>
                </w:p>
                <w:p w14:paraId="75218BAF" w14:textId="77777777" w:rsidR="00C2211E" w:rsidRPr="00D970F7" w:rsidRDefault="00C2211E" w:rsidP="00C2211E">
                  <w:pPr>
                    <w:pStyle w:val="Marginlie"/>
                    <w:rPr>
                      <w:lang w:val="en-GB"/>
                    </w:rPr>
                  </w:pPr>
                </w:p>
                <w:p w14:paraId="22F8B854" w14:textId="77777777" w:rsidR="00C2211E" w:rsidRDefault="00C2211E" w:rsidP="00C2211E">
                  <w:pPr>
                    <w:pStyle w:val="Marginlie"/>
                    <w:rPr>
                      <w:lang w:val="en-GB"/>
                    </w:rPr>
                  </w:pPr>
                </w:p>
                <w:p w14:paraId="3AC43CD1" w14:textId="77777777" w:rsidR="00C2211E" w:rsidRPr="00D970F7" w:rsidRDefault="00C2211E" w:rsidP="00C2211E">
                  <w:pPr>
                    <w:pStyle w:val="Marginlie"/>
                    <w:rPr>
                      <w:lang w:val="en-GB"/>
                    </w:rPr>
                  </w:pPr>
                </w:p>
                <w:p w14:paraId="155DF0A6" w14:textId="77777777" w:rsidR="00C2211E" w:rsidRPr="00D970F7" w:rsidRDefault="00C2211E" w:rsidP="00C2211E">
                  <w:pPr>
                    <w:pStyle w:val="Marginlie"/>
                    <w:rPr>
                      <w:lang w:val="en-GB"/>
                    </w:rPr>
                  </w:pPr>
                  <w:r w:rsidRPr="00D970F7">
                    <w:rPr>
                      <w:lang w:val="en-GB"/>
                    </w:rPr>
                    <w:lastRenderedPageBreak/>
                    <w:t xml:space="preserve">Positive balance of the CR towards the EU budget doubled year-on-year. </w:t>
                  </w:r>
                </w:p>
              </w:tc>
              <w:tc>
                <w:tcPr>
                  <w:tcW w:w="217" w:type="dxa"/>
                  <w:shd w:val="clear" w:color="auto" w:fill="auto"/>
                  <w:tcMar>
                    <w:left w:w="0" w:type="dxa"/>
                  </w:tcMar>
                </w:tcPr>
                <w:p w14:paraId="4FE5D829"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3FA27E27" w14:textId="77777777" w:rsidR="00C2211E" w:rsidRPr="00D970F7" w:rsidRDefault="00C2211E" w:rsidP="00C2211E">
                  <w:pPr>
                    <w:spacing w:after="220"/>
                    <w:rPr>
                      <w:spacing w:val="-6"/>
                      <w:lang w:val="en-GB"/>
                    </w:rPr>
                  </w:pPr>
                  <w:r w:rsidRPr="00D970F7">
                    <w:rPr>
                      <w:spacing w:val="-6"/>
                      <w:lang w:val="en-GB"/>
                    </w:rPr>
                    <w:t xml:space="preserve">With the approaching end of the current programme period of the EU, the drawing of European funds gradually accelerates in the CR. Total capital outlays of the SB were 64.5 CZK bn in H1 and increased by two fifths, resp. 18.7 CZK bn in H1. Mostly investment from national resources (+13.7 bn) shared in this growth, which was associated with higher outlays on transport infrastructure. Still the funds on common programmes of the CR and EU (35.5 bn) formed predominant part in the total volume of investment. Proportion of investment on all SB outlays was expanding third year in a row and reached 7.2%, which was the most in the last five years. Net position of the CR towards the EU budget was +50.1 CZK bn in H1 and doubled </w:t>
                  </w:r>
                  <w:r w:rsidRPr="00D970F7">
                    <w:rPr>
                      <w:spacing w:val="-6"/>
                      <w:lang w:val="en-GB"/>
                    </w:rPr>
                    <w:lastRenderedPageBreak/>
                    <w:t>year-on-year. It was mainly thanks to the inflow of funds from the structural funds (+21.7 bn) as well as the cohesion funds (+5.1 bn). On the contrary, direct payments in agriculture, which formed one quarter of total revenues from the EU this year (from 82.1 bn), flowed undisturbed.</w:t>
                  </w:r>
                </w:p>
              </w:tc>
            </w:tr>
            <w:tr w:rsidR="00C2211E" w:rsidRPr="00D970F7" w14:paraId="73373371" w14:textId="77777777" w:rsidTr="00C2211E">
              <w:trPr>
                <w:trHeight w:val="145"/>
              </w:trPr>
              <w:tc>
                <w:tcPr>
                  <w:tcW w:w="1732" w:type="dxa"/>
                  <w:shd w:val="clear" w:color="auto" w:fill="auto"/>
                  <w:tcMar>
                    <w:left w:w="0" w:type="dxa"/>
                  </w:tcMar>
                </w:tcPr>
                <w:p w14:paraId="258B85A9" w14:textId="77777777" w:rsidR="00C2211E" w:rsidRPr="00D970F7" w:rsidRDefault="00C2211E" w:rsidP="00C2211E">
                  <w:pPr>
                    <w:pStyle w:val="Marginlie"/>
                    <w:rPr>
                      <w:lang w:val="en-GB"/>
                    </w:rPr>
                  </w:pPr>
                  <w:r w:rsidRPr="00D970F7">
                    <w:rPr>
                      <w:lang w:val="en-GB"/>
                    </w:rPr>
                    <w:lastRenderedPageBreak/>
                    <w:t xml:space="preserve">Size of the state debt accelerated during H1. Volume of issued state bonds overtook half a trillion CZK. </w:t>
                  </w:r>
                </w:p>
                <w:p w14:paraId="74937158" w14:textId="77777777" w:rsidR="00C2211E" w:rsidRPr="00D970F7" w:rsidRDefault="00C2211E" w:rsidP="00C2211E">
                  <w:pPr>
                    <w:pStyle w:val="Marginlie"/>
                    <w:rPr>
                      <w:lang w:val="en-GB"/>
                    </w:rPr>
                  </w:pPr>
                </w:p>
                <w:p w14:paraId="57702BB6" w14:textId="77777777" w:rsidR="00C2211E" w:rsidRPr="00D970F7" w:rsidRDefault="00C2211E" w:rsidP="00C2211E">
                  <w:pPr>
                    <w:pStyle w:val="Marginlie"/>
                    <w:rPr>
                      <w:lang w:val="en-GB"/>
                    </w:rPr>
                  </w:pPr>
                </w:p>
                <w:p w14:paraId="0549D0F1" w14:textId="77777777" w:rsidR="00C2211E" w:rsidRPr="00D970F7" w:rsidRDefault="00C2211E" w:rsidP="00C2211E">
                  <w:pPr>
                    <w:pStyle w:val="Marginlie"/>
                    <w:rPr>
                      <w:lang w:val="en-GB"/>
                    </w:rPr>
                  </w:pPr>
                </w:p>
                <w:p w14:paraId="7BE16FA2" w14:textId="77777777" w:rsidR="00C2211E" w:rsidRPr="00D970F7" w:rsidRDefault="00C2211E" w:rsidP="00C2211E">
                  <w:pPr>
                    <w:pStyle w:val="Marginlie"/>
                    <w:rPr>
                      <w:lang w:val="en-GB"/>
                    </w:rPr>
                  </w:pPr>
                </w:p>
                <w:p w14:paraId="1284A200" w14:textId="77777777" w:rsidR="00C2211E" w:rsidRPr="00D970F7" w:rsidRDefault="00C2211E" w:rsidP="00C2211E">
                  <w:pPr>
                    <w:pStyle w:val="Marginlie"/>
                    <w:rPr>
                      <w:lang w:val="en-GB"/>
                    </w:rPr>
                  </w:pPr>
                  <w:r w:rsidRPr="00D970F7">
                    <w:rPr>
                      <w:lang w:val="en-GB"/>
                    </w:rPr>
                    <w:t xml:space="preserve">Among holders of domestic bonds, the weight of financial institutions increased to the detriment of non-residents. </w:t>
                  </w:r>
                </w:p>
              </w:tc>
              <w:tc>
                <w:tcPr>
                  <w:tcW w:w="217" w:type="dxa"/>
                  <w:shd w:val="clear" w:color="auto" w:fill="auto"/>
                  <w:tcMar>
                    <w:left w:w="0" w:type="dxa"/>
                  </w:tcMar>
                </w:tcPr>
                <w:p w14:paraId="05478F21"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54A9026" w14:textId="77777777" w:rsidR="00C2211E" w:rsidRPr="00D970F7" w:rsidRDefault="00C2211E" w:rsidP="00C2211E">
                  <w:pPr>
                    <w:spacing w:after="0"/>
                    <w:rPr>
                      <w:rFonts w:cs="Arial"/>
                      <w:color w:val="0D0D0D" w:themeColor="text1" w:themeTint="F2"/>
                      <w:spacing w:val="-6"/>
                      <w:lang w:val="en-GB"/>
                    </w:rPr>
                  </w:pPr>
                  <w:r w:rsidRPr="00D970F7">
                    <w:rPr>
                      <w:spacing w:val="-6"/>
                      <w:lang w:val="en-GB"/>
                    </w:rPr>
                    <w:t>Value of the state debt accelerated in Q2 2020. At its end, its value was 2 157 CZK bn, quarter-on-quarter increase then 384 bn. The debt expanded by one quarter year-on-year and neared the record pace from Q3 of the crisis year 2009. To cover this year´s exceptional SB deficit, planned debt instalments (concentrated especially to the second half of year 2020) as well as strengthening liquid reserves, a record volume of state bonds (533 CZK bn)</w:t>
                  </w:r>
                  <w:r w:rsidRPr="00D970F7">
                    <w:rPr>
                      <w:rStyle w:val="Znakapoznpodarou"/>
                      <w:spacing w:val="-4"/>
                      <w:lang w:val="en-GB"/>
                    </w:rPr>
                    <w:footnoteReference w:id="68"/>
                  </w:r>
                  <w:r w:rsidRPr="00D970F7">
                    <w:rPr>
                      <w:spacing w:val="-6"/>
                      <w:lang w:val="en-GB"/>
                    </w:rPr>
                    <w:t xml:space="preserve"> was issued during H1. Similarly to the previous years, the borrowing activity was limited to the domestic market. Koruna value of the external debt thus further shrank (by 7% year-on-year).</w:t>
                  </w:r>
                  <w:r w:rsidRPr="00D970F7">
                    <w:rPr>
                      <w:rFonts w:cs="Arial"/>
                      <w:color w:val="0D0D0D" w:themeColor="text1" w:themeTint="F2"/>
                      <w:spacing w:val="-6"/>
                      <w:lang w:val="en-GB"/>
                    </w:rPr>
                    <w:t xml:space="preserve"> At the end of June 2020, the external debt constituted already less than one tenth of the total state debt (minimum in the last sixteen years). Financial institutions with 61% share remain the key holder of the domestic state bonds, non-residents owned 35% of bonds. In Q2 2020, position of financial institutions strengthened, and the weight of non-residents was one of the weakest since the end of year 2016 (when the CNB forex interventions were still in place). Net SB outlays to service the state debt</w:t>
                  </w:r>
                  <w:r w:rsidRPr="00D970F7">
                    <w:rPr>
                      <w:rStyle w:val="Znakapoznpodarou"/>
                      <w:spacing w:val="-4"/>
                      <w:lang w:val="en-GB"/>
                    </w:rPr>
                    <w:footnoteReference w:id="69"/>
                  </w:r>
                  <w:r w:rsidRPr="00D970F7">
                    <w:rPr>
                      <w:rFonts w:cs="Arial"/>
                      <w:color w:val="0D0D0D" w:themeColor="text1" w:themeTint="F2"/>
                      <w:spacing w:val="-6"/>
                      <w:lang w:val="en-GB"/>
                    </w:rPr>
                    <w:t xml:space="preserve"> were 12.5 CZK bn in H1 and decreased by one quarter year-on-year. </w:t>
                  </w:r>
                </w:p>
                <w:p w14:paraId="3888CD42" w14:textId="77777777" w:rsidR="00C2211E" w:rsidRPr="00D970F7" w:rsidRDefault="00C2211E" w:rsidP="00C2211E">
                  <w:pPr>
                    <w:spacing w:after="0"/>
                    <w:rPr>
                      <w:rFonts w:cs="Arial"/>
                      <w:color w:val="0D0D0D" w:themeColor="text1" w:themeTint="F2"/>
                      <w:spacing w:val="-6"/>
                      <w:lang w:val="en-GB"/>
                    </w:rPr>
                  </w:pPr>
                </w:p>
              </w:tc>
            </w:tr>
            <w:tr w:rsidR="00C2211E" w:rsidRPr="00D970F7" w14:paraId="0616B49E" w14:textId="77777777" w:rsidTr="00C2211E">
              <w:trPr>
                <w:trHeight w:val="170"/>
              </w:trPr>
              <w:tc>
                <w:tcPr>
                  <w:tcW w:w="1732" w:type="dxa"/>
                  <w:vMerge w:val="restart"/>
                  <w:shd w:val="clear" w:color="auto" w:fill="auto"/>
                  <w:tcMar>
                    <w:left w:w="0" w:type="dxa"/>
                  </w:tcMar>
                </w:tcPr>
                <w:p w14:paraId="27BD676B" w14:textId="77777777" w:rsidR="00C2211E" w:rsidRPr="00D970F7" w:rsidRDefault="00C2211E" w:rsidP="00C2211E">
                  <w:pPr>
                    <w:pStyle w:val="Marginlie"/>
                    <w:rPr>
                      <w:lang w:val="en-GB"/>
                    </w:rPr>
                  </w:pPr>
                </w:p>
              </w:tc>
              <w:tc>
                <w:tcPr>
                  <w:tcW w:w="217" w:type="dxa"/>
                  <w:vMerge w:val="restart"/>
                  <w:shd w:val="clear" w:color="auto" w:fill="auto"/>
                  <w:tcMar>
                    <w:left w:w="0" w:type="dxa"/>
                  </w:tcMar>
                </w:tcPr>
                <w:p w14:paraId="283546F8"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1EF05C6E" w14:textId="77777777" w:rsidR="00C2211E" w:rsidRPr="00D970F7" w:rsidRDefault="00C2211E" w:rsidP="00C2211E">
                  <w:pPr>
                    <w:spacing w:after="40" w:line="240" w:lineRule="auto"/>
                    <w:jc w:val="left"/>
                    <w:rPr>
                      <w:rFonts w:cs="Arial"/>
                      <w:bCs/>
                      <w:spacing w:val="-6"/>
                      <w:lang w:val="en-GB"/>
                    </w:rPr>
                  </w:pPr>
                  <w:r w:rsidRPr="00D970F7">
                    <w:rPr>
                      <w:b/>
                      <w:spacing w:val="-6"/>
                      <w:lang w:val="en-GB"/>
                    </w:rPr>
                    <w:t xml:space="preserve">Chart 17  </w:t>
                  </w:r>
                  <w:r w:rsidRPr="00D970F7">
                    <w:rPr>
                      <w:rFonts w:cs="Arial"/>
                      <w:b/>
                      <w:bCs/>
                      <w:spacing w:val="-6"/>
                      <w:lang w:val="en-GB"/>
                    </w:rPr>
                    <w:t xml:space="preserve">Selected expenditures of the state budget in accumulation for H1 </w:t>
                  </w:r>
                  <w:r w:rsidRPr="00D970F7">
                    <w:rPr>
                      <w:rFonts w:cs="Arial"/>
                      <w:bCs/>
                      <w:spacing w:val="-6"/>
                      <w:lang w:val="en-GB"/>
                    </w:rPr>
                    <w:t>(in CZK bn)</w:t>
                  </w:r>
                </w:p>
              </w:tc>
            </w:tr>
            <w:tr w:rsidR="00C2211E" w:rsidRPr="00D970F7" w14:paraId="0A6DF11F" w14:textId="77777777" w:rsidTr="00C2211E">
              <w:tblPrEx>
                <w:tblCellMar>
                  <w:left w:w="70" w:type="dxa"/>
                  <w:right w:w="70" w:type="dxa"/>
                </w:tblCellMar>
              </w:tblPrEx>
              <w:trPr>
                <w:trHeight w:val="170"/>
              </w:trPr>
              <w:tc>
                <w:tcPr>
                  <w:tcW w:w="1732" w:type="dxa"/>
                  <w:vMerge/>
                  <w:shd w:val="clear" w:color="auto" w:fill="auto"/>
                </w:tcPr>
                <w:p w14:paraId="301BBDE8" w14:textId="77777777" w:rsidR="00C2211E" w:rsidRPr="00D970F7" w:rsidRDefault="00C2211E" w:rsidP="00C2211E">
                  <w:pPr>
                    <w:pStyle w:val="Marginlie"/>
                    <w:rPr>
                      <w:lang w:val="en-GB"/>
                    </w:rPr>
                  </w:pPr>
                </w:p>
              </w:tc>
              <w:tc>
                <w:tcPr>
                  <w:tcW w:w="217" w:type="dxa"/>
                  <w:vMerge/>
                  <w:shd w:val="clear" w:color="auto" w:fill="auto"/>
                </w:tcPr>
                <w:p w14:paraId="33514313" w14:textId="77777777" w:rsidR="00C2211E" w:rsidRPr="00D970F7" w:rsidRDefault="00C2211E" w:rsidP="00C2211E">
                  <w:pPr>
                    <w:pStyle w:val="Textpoznpodarou"/>
                    <w:jc w:val="both"/>
                    <w:rPr>
                      <w:spacing w:val="-4"/>
                      <w:lang w:val="en-GB"/>
                    </w:rPr>
                  </w:pPr>
                </w:p>
              </w:tc>
              <w:tc>
                <w:tcPr>
                  <w:tcW w:w="7720" w:type="dxa"/>
                  <w:shd w:val="clear" w:color="auto" w:fill="auto"/>
                </w:tcPr>
                <w:p w14:paraId="4F8708EB" w14:textId="77777777" w:rsidR="00C2211E" w:rsidRPr="00D970F7" w:rsidRDefault="00C2211E" w:rsidP="00C2211E">
                  <w:pPr>
                    <w:spacing w:after="0"/>
                    <w:rPr>
                      <w:spacing w:val="-6"/>
                      <w:lang w:val="en-GB"/>
                    </w:rPr>
                  </w:pPr>
                  <w:r>
                    <w:rPr>
                      <w:noProof/>
                    </w:rPr>
                    <w:drawing>
                      <wp:inline distT="0" distB="0" distL="0" distR="0" wp14:anchorId="7080140B" wp14:editId="53B4FB0B">
                        <wp:extent cx="4769487" cy="3461740"/>
                        <wp:effectExtent l="0" t="0" r="0" b="5715"/>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r w:rsidR="00C2211E" w:rsidRPr="00D970F7" w14:paraId="0E1CF7A2" w14:textId="77777777" w:rsidTr="00C2211E">
              <w:trPr>
                <w:trHeight w:val="170"/>
              </w:trPr>
              <w:tc>
                <w:tcPr>
                  <w:tcW w:w="1732" w:type="dxa"/>
                  <w:vMerge/>
                  <w:shd w:val="clear" w:color="auto" w:fill="auto"/>
                  <w:tcMar>
                    <w:left w:w="0" w:type="dxa"/>
                  </w:tcMar>
                </w:tcPr>
                <w:p w14:paraId="36C7EC42" w14:textId="77777777" w:rsidR="00C2211E" w:rsidRPr="00D970F7" w:rsidRDefault="00C2211E" w:rsidP="00C2211E">
                  <w:pPr>
                    <w:pStyle w:val="Marginlie"/>
                    <w:rPr>
                      <w:lang w:val="en-GB"/>
                    </w:rPr>
                  </w:pPr>
                </w:p>
              </w:tc>
              <w:tc>
                <w:tcPr>
                  <w:tcW w:w="217" w:type="dxa"/>
                  <w:vMerge/>
                  <w:shd w:val="clear" w:color="auto" w:fill="auto"/>
                  <w:tcMar>
                    <w:left w:w="0" w:type="dxa"/>
                  </w:tcMar>
                </w:tcPr>
                <w:p w14:paraId="2EBF6A15"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005573C3" w14:textId="77777777" w:rsidR="00C2211E" w:rsidRPr="00D970F7" w:rsidRDefault="00C2211E" w:rsidP="00C2211E">
                  <w:pPr>
                    <w:pStyle w:val="Textpoznpodarou"/>
                    <w:rPr>
                      <w:spacing w:val="-6"/>
                      <w:sz w:val="14"/>
                      <w:szCs w:val="14"/>
                      <w:lang w:val="en-GB"/>
                    </w:rPr>
                  </w:pPr>
                  <w:r w:rsidRPr="00D970F7">
                    <w:rPr>
                      <w:spacing w:val="-6"/>
                      <w:sz w:val="14"/>
                      <w:szCs w:val="14"/>
                      <w:lang w:val="en-GB"/>
                    </w:rPr>
                    <w:t xml:space="preserve">*Covers expenditures on salaries in central government institutions. Does not include e.g. wage costs of regional education. </w:t>
                  </w:r>
                </w:p>
                <w:p w14:paraId="6946A1EE" w14:textId="77777777" w:rsidR="00C2211E" w:rsidRDefault="00C2211E" w:rsidP="00C2211E">
                  <w:pPr>
                    <w:pStyle w:val="Textpoznpodarou"/>
                    <w:rPr>
                      <w:spacing w:val="-6"/>
                      <w:sz w:val="14"/>
                      <w:szCs w:val="14"/>
                      <w:lang w:val="en-GB"/>
                    </w:rPr>
                  </w:pPr>
                  <w:r w:rsidRPr="00D970F7">
                    <w:rPr>
                      <w:spacing w:val="-6"/>
                      <w:sz w:val="14"/>
                      <w:szCs w:val="14"/>
                      <w:lang w:val="en-GB"/>
                    </w:rPr>
                    <w:t>**Also includes the foster care benefits.</w:t>
                  </w:r>
                </w:p>
                <w:p w14:paraId="55BF1A1A" w14:textId="77777777" w:rsidR="00C2211E" w:rsidRPr="00D970F7" w:rsidRDefault="00C2211E" w:rsidP="00C2211E">
                  <w:pPr>
                    <w:pStyle w:val="Textpoznpodarou"/>
                    <w:rPr>
                      <w:spacing w:val="-6"/>
                      <w:sz w:val="14"/>
                      <w:szCs w:val="14"/>
                      <w:lang w:val="en-GB"/>
                    </w:rPr>
                  </w:pPr>
                  <w:r w:rsidRPr="00D970F7">
                    <w:rPr>
                      <w:spacing w:val="-6"/>
                      <w:sz w:val="14"/>
                      <w:szCs w:val="14"/>
                      <w:lang w:val="en-GB"/>
                    </w:rPr>
                    <w:t>***Includes Material deprivation assistance benefits, Benefits for people with disabilities, Care benefits based on Act on State Social Support.</w:t>
                  </w:r>
                </w:p>
                <w:p w14:paraId="1F593C3A" w14:textId="77777777" w:rsidR="00C2211E" w:rsidRDefault="00C2211E" w:rsidP="00C2211E">
                  <w:pPr>
                    <w:pStyle w:val="Textpoznpodarou"/>
                    <w:rPr>
                      <w:spacing w:val="-6"/>
                      <w:sz w:val="14"/>
                      <w:szCs w:val="14"/>
                      <w:lang w:val="en-GB"/>
                    </w:rPr>
                  </w:pPr>
                  <w:r w:rsidRPr="00D970F7">
                    <w:rPr>
                      <w:spacing w:val="-6"/>
                      <w:sz w:val="14"/>
                      <w:szCs w:val="14"/>
                      <w:lang w:val="en-GB"/>
                    </w:rPr>
                    <w:t xml:space="preserve">****Contains mainly expenditures on purchase of services, materials, energies or other services (e.g. expenditures on repairs and maintenance).    </w:t>
                  </w:r>
                </w:p>
                <w:p w14:paraId="3D683C4F" w14:textId="77777777" w:rsidR="00C2211E" w:rsidRPr="00D970F7" w:rsidRDefault="00C2211E" w:rsidP="00C2211E">
                  <w:pPr>
                    <w:pStyle w:val="Textpoznpodarou"/>
                    <w:rPr>
                      <w:spacing w:val="-6"/>
                      <w:sz w:val="14"/>
                      <w:szCs w:val="14"/>
                      <w:lang w:val="en-GB"/>
                    </w:rPr>
                  </w:pPr>
                  <w:r w:rsidRPr="00D970F7">
                    <w:rPr>
                      <w:spacing w:val="-6"/>
                      <w:sz w:val="14"/>
                      <w:szCs w:val="14"/>
                      <w:lang w:val="en-GB"/>
                    </w:rPr>
                    <w:t xml:space="preserve">*****Corresponds to the balance of the budget chapter State debt. </w:t>
                  </w:r>
                </w:p>
                <w:p w14:paraId="62DE883A" w14:textId="77777777" w:rsidR="00C2211E" w:rsidRPr="00D970F7" w:rsidRDefault="00C2211E" w:rsidP="00C2211E">
                  <w:pPr>
                    <w:spacing w:after="220" w:line="240" w:lineRule="auto"/>
                    <w:rPr>
                      <w:spacing w:val="-6"/>
                      <w:sz w:val="14"/>
                      <w:szCs w:val="14"/>
                      <w:lang w:val="en-GB"/>
                    </w:rPr>
                  </w:pPr>
                  <w:r>
                    <w:rPr>
                      <w:spacing w:val="-6"/>
                      <w:sz w:val="14"/>
                      <w:szCs w:val="14"/>
                      <w:lang w:val="en-GB"/>
                    </w:rPr>
                    <w:t>Source: MF CR, MLS</w:t>
                  </w:r>
                </w:p>
              </w:tc>
            </w:tr>
            <w:tr w:rsidR="00C2211E" w:rsidRPr="00D970F7" w14:paraId="16E75E2C" w14:textId="77777777" w:rsidTr="00C2211E">
              <w:trPr>
                <w:trHeight w:val="170"/>
              </w:trPr>
              <w:tc>
                <w:tcPr>
                  <w:tcW w:w="1732" w:type="dxa"/>
                  <w:shd w:val="clear" w:color="auto" w:fill="auto"/>
                  <w:tcMar>
                    <w:left w:w="0" w:type="dxa"/>
                  </w:tcMar>
                </w:tcPr>
                <w:p w14:paraId="0854BE2C" w14:textId="77777777" w:rsidR="00C2211E" w:rsidRPr="00D970F7" w:rsidRDefault="00C2211E" w:rsidP="00C2211E">
                  <w:pPr>
                    <w:pStyle w:val="Marginlie"/>
                    <w:rPr>
                      <w:lang w:val="en-GB"/>
                    </w:rPr>
                  </w:pPr>
                  <w:r w:rsidRPr="00D970F7">
                    <w:rPr>
                      <w:lang w:val="en-GB"/>
                    </w:rPr>
                    <w:t xml:space="preserve">Indebtedness rate of the government institution sector so far increased only slowly compared to </w:t>
                  </w:r>
                  <w:r w:rsidRPr="00D970F7">
                    <w:rPr>
                      <w:lang w:val="en-GB"/>
                    </w:rPr>
                    <w:lastRenderedPageBreak/>
                    <w:t xml:space="preserve">the long-term minimum from the end of year 2019. Budget balance however already deepened more. </w:t>
                  </w:r>
                </w:p>
              </w:tc>
              <w:tc>
                <w:tcPr>
                  <w:tcW w:w="217" w:type="dxa"/>
                  <w:shd w:val="clear" w:color="auto" w:fill="auto"/>
                  <w:tcMar>
                    <w:left w:w="0" w:type="dxa"/>
                  </w:tcMar>
                </w:tcPr>
                <w:p w14:paraId="361059EE" w14:textId="77777777" w:rsidR="00C2211E" w:rsidRPr="00D970F7" w:rsidRDefault="00C2211E" w:rsidP="00C2211E">
                  <w:pPr>
                    <w:pStyle w:val="Textpoznpodarou"/>
                    <w:jc w:val="both"/>
                    <w:rPr>
                      <w:spacing w:val="-4"/>
                      <w:lang w:val="en-GB"/>
                    </w:rPr>
                  </w:pPr>
                </w:p>
              </w:tc>
              <w:tc>
                <w:tcPr>
                  <w:tcW w:w="7720" w:type="dxa"/>
                  <w:shd w:val="clear" w:color="auto" w:fill="auto"/>
                  <w:tcMar>
                    <w:left w:w="0" w:type="dxa"/>
                  </w:tcMar>
                </w:tcPr>
                <w:p w14:paraId="2C56BEED" w14:textId="77777777" w:rsidR="00C2211E" w:rsidRPr="00D970F7" w:rsidRDefault="00C2211E" w:rsidP="00C2211E">
                  <w:pPr>
                    <w:pStyle w:val="Textpoznpodarou"/>
                    <w:spacing w:after="200" w:line="276" w:lineRule="auto"/>
                    <w:jc w:val="both"/>
                    <w:rPr>
                      <w:rFonts w:cs="Arial"/>
                      <w:color w:val="0D0D0D" w:themeColor="text1" w:themeTint="F2"/>
                      <w:spacing w:val="-6"/>
                      <w:lang w:val="en-GB"/>
                    </w:rPr>
                  </w:pPr>
                  <w:r w:rsidRPr="00D970F7">
                    <w:rPr>
                      <w:rFonts w:cs="Arial"/>
                      <w:color w:val="0D0D0D" w:themeColor="text1" w:themeTint="F2"/>
                      <w:spacing w:val="-6"/>
                      <w:lang w:val="en-GB"/>
                    </w:rPr>
                    <w:t>Consolidated debt of the government institution sector was 1 894 CZK bn at the end of Q1 2020</w:t>
                  </w:r>
                  <w:r w:rsidRPr="00D970F7">
                    <w:rPr>
                      <w:rStyle w:val="Znakapoznpodarou"/>
                      <w:color w:val="000000" w:themeColor="text1"/>
                      <w:spacing w:val="-6"/>
                      <w:lang w:val="en-GB"/>
                    </w:rPr>
                    <w:footnoteReference w:id="70"/>
                  </w:r>
                  <w:r w:rsidRPr="00D970F7">
                    <w:rPr>
                      <w:rFonts w:cs="Arial"/>
                      <w:color w:val="0D0D0D" w:themeColor="text1" w:themeTint="F2"/>
                      <w:spacing w:val="-6"/>
                      <w:lang w:val="en-GB"/>
                    </w:rPr>
                    <w:t xml:space="preserve"> based on the CZSO data. It strengthened by 3.2% year-on-year, and in comparison to the end of the last year even by 8.9%. More significant quarter-on-quarter growth of debt at the </w:t>
                  </w:r>
                  <w:r w:rsidRPr="00D970F7">
                    <w:rPr>
                      <w:rFonts w:cs="Arial"/>
                      <w:color w:val="0D0D0D" w:themeColor="text1" w:themeTint="F2"/>
                      <w:spacing w:val="-6"/>
                      <w:lang w:val="en-GB"/>
                    </w:rPr>
                    <w:lastRenderedPageBreak/>
                    <w:t>year beginning was however apparent also in the previous three years. Indebtedness rate equalled 32.8% of GDP in Q1 and since the end of the last year, when it arrived at ten year minimum, increased by 2.6 p.p. Even though the domestic economy was only on the threshold of recession in Q1, budget deficit of government institutions already tested a boundary of 2% of GDP, which was the worst result since the end of 2014. It was connected with a fact</w:t>
                  </w:r>
                  <w:r w:rsidRPr="00D970F7">
                    <w:rPr>
                      <w:spacing w:val="-6"/>
                      <w:lang w:val="en-GB"/>
                    </w:rPr>
                    <w:t xml:space="preserve">, that a year-on-year decrease of total revenues of the sector (by 1.5%) occurred after more than three years due to the weaker collection of weight significant taxes. </w:t>
                  </w:r>
                  <w:r w:rsidRPr="00D970F7">
                    <w:rPr>
                      <w:rFonts w:cs="Arial"/>
                      <w:color w:val="0D0D0D" w:themeColor="text1" w:themeTint="F2"/>
                      <w:spacing w:val="-6"/>
                      <w:lang w:val="en-GB"/>
                    </w:rPr>
                    <w:t>Dynamics of total outlays however remained high (+9.8%).</w:t>
                  </w:r>
                </w:p>
              </w:tc>
            </w:tr>
            <w:tr w:rsidR="00C2211E" w:rsidRPr="00D970F7" w14:paraId="017C128C" w14:textId="77777777" w:rsidTr="00C2211E">
              <w:trPr>
                <w:trHeight w:val="170"/>
              </w:trPr>
              <w:tc>
                <w:tcPr>
                  <w:tcW w:w="1732" w:type="dxa"/>
                  <w:shd w:val="clear" w:color="auto" w:fill="auto"/>
                  <w:tcMar>
                    <w:left w:w="0" w:type="dxa"/>
                  </w:tcMar>
                </w:tcPr>
                <w:p w14:paraId="451469D1" w14:textId="25CA9BB9" w:rsidR="00C2211E" w:rsidRPr="00D970F7" w:rsidRDefault="00C2211E" w:rsidP="00C2211E">
                  <w:pPr>
                    <w:pStyle w:val="Marginlie"/>
                    <w:rPr>
                      <w:lang w:val="en-GB"/>
                    </w:rPr>
                  </w:pPr>
                  <w:r w:rsidRPr="00D970F7">
                    <w:rPr>
                      <w:lang w:val="en-GB"/>
                    </w:rPr>
                    <w:lastRenderedPageBreak/>
                    <w:t xml:space="preserve">Budget deficit of government institutions in the EU countries increased to </w:t>
                  </w:r>
                  <w:r w:rsidR="00FD6B56">
                    <w:rPr>
                      <w:lang w:val="en-GB"/>
                    </w:rPr>
                    <w:t>-</w:t>
                  </w:r>
                  <w:r w:rsidRPr="00D970F7">
                    <w:rPr>
                      <w:lang w:val="en-GB"/>
                    </w:rPr>
                    <w:t>2.3% of GDP at the beginning of the year.</w:t>
                  </w:r>
                </w:p>
                <w:p w14:paraId="3B2C5ABB" w14:textId="77777777" w:rsidR="00C2211E" w:rsidRPr="00D970F7" w:rsidRDefault="00C2211E" w:rsidP="00C2211E">
                  <w:pPr>
                    <w:pStyle w:val="Marginlie"/>
                    <w:rPr>
                      <w:lang w:val="en-GB"/>
                    </w:rPr>
                  </w:pPr>
                </w:p>
                <w:p w14:paraId="2FA18FAD" w14:textId="77777777" w:rsidR="00C2211E" w:rsidRPr="00D970F7" w:rsidRDefault="00C2211E" w:rsidP="00C2211E">
                  <w:pPr>
                    <w:pStyle w:val="Marginlie"/>
                    <w:rPr>
                      <w:lang w:val="en-GB"/>
                    </w:rPr>
                  </w:pPr>
                </w:p>
                <w:p w14:paraId="6411AE39" w14:textId="77777777" w:rsidR="00C2211E" w:rsidRPr="00D970F7" w:rsidRDefault="00C2211E" w:rsidP="00C2211E">
                  <w:pPr>
                    <w:pStyle w:val="Marginlie"/>
                    <w:rPr>
                      <w:lang w:val="en-GB"/>
                    </w:rPr>
                  </w:pPr>
                </w:p>
                <w:p w14:paraId="15559A66" w14:textId="77777777" w:rsidR="00C2211E" w:rsidRPr="00D970F7" w:rsidRDefault="00C2211E" w:rsidP="00C2211E">
                  <w:pPr>
                    <w:pStyle w:val="Marginlie"/>
                    <w:rPr>
                      <w:lang w:val="en-GB"/>
                    </w:rPr>
                  </w:pPr>
                </w:p>
                <w:p w14:paraId="1010FECB" w14:textId="77777777" w:rsidR="00C2211E" w:rsidRPr="00D970F7" w:rsidRDefault="00C2211E" w:rsidP="00C2211E">
                  <w:pPr>
                    <w:pStyle w:val="Marginlie"/>
                    <w:rPr>
                      <w:lang w:val="en-GB"/>
                    </w:rPr>
                  </w:pPr>
                </w:p>
                <w:p w14:paraId="770B6D03" w14:textId="77777777" w:rsidR="00C2211E" w:rsidRPr="00D970F7" w:rsidRDefault="00C2211E" w:rsidP="00C2211E">
                  <w:pPr>
                    <w:pStyle w:val="Marginlie"/>
                    <w:rPr>
                      <w:lang w:val="en-GB"/>
                    </w:rPr>
                  </w:pPr>
                  <w:r w:rsidRPr="00D970F7">
                    <w:rPr>
                      <w:lang w:val="en-GB"/>
                    </w:rPr>
                    <w:t xml:space="preserve">Quarter-on-quarter growth of the indebtedness rate reached ten year maximum in the EU in Q1. Worse position of states with fast outbreak of the covid-19 infection had an effect among other things. </w:t>
                  </w:r>
                </w:p>
              </w:tc>
              <w:tc>
                <w:tcPr>
                  <w:tcW w:w="217" w:type="dxa"/>
                  <w:shd w:val="clear" w:color="auto" w:fill="auto"/>
                  <w:tcMar>
                    <w:left w:w="0" w:type="dxa"/>
                  </w:tcMar>
                </w:tcPr>
                <w:p w14:paraId="0C61FFEF" w14:textId="77777777" w:rsidR="00C2211E" w:rsidRPr="00D970F7" w:rsidRDefault="00C2211E" w:rsidP="00C2211E">
                  <w:pPr>
                    <w:pStyle w:val="Textpoznpodarou"/>
                    <w:jc w:val="both"/>
                    <w:rPr>
                      <w:spacing w:val="-6"/>
                      <w:lang w:val="en-GB"/>
                    </w:rPr>
                  </w:pPr>
                </w:p>
              </w:tc>
              <w:tc>
                <w:tcPr>
                  <w:tcW w:w="7720" w:type="dxa"/>
                  <w:shd w:val="clear" w:color="auto" w:fill="auto"/>
                  <w:tcMar>
                    <w:left w:w="0" w:type="dxa"/>
                  </w:tcMar>
                </w:tcPr>
                <w:p w14:paraId="26A42069" w14:textId="37663DBB" w:rsidR="00C2211E" w:rsidRPr="00D970F7" w:rsidRDefault="00C2211E" w:rsidP="00C2211E">
                  <w:pPr>
                    <w:pStyle w:val="Textpoznpodarou"/>
                    <w:spacing w:line="276" w:lineRule="auto"/>
                    <w:jc w:val="both"/>
                    <w:rPr>
                      <w:spacing w:val="-6"/>
                      <w:lang w:val="en-GB"/>
                    </w:rPr>
                  </w:pPr>
                  <w:r w:rsidRPr="00D970F7">
                    <w:rPr>
                      <w:rFonts w:cs="Arial"/>
                      <w:color w:val="0D0D0D" w:themeColor="text1" w:themeTint="F2"/>
                      <w:spacing w:val="-6"/>
                      <w:lang w:val="en-GB"/>
                    </w:rPr>
                    <w:t xml:space="preserve">Worsening of the condition of public finances was apparent in the vast majority of the EU states. Seasonally adjusted budget balance decreased by </w:t>
                  </w:r>
                  <w:r w:rsidRPr="00D970F7">
                    <w:rPr>
                      <w:spacing w:val="-6"/>
                      <w:lang w:val="en-GB"/>
                    </w:rPr>
                    <w:t>1.6 p.p. to –2.3% of GDP quarter-on-quarter in Q1</w:t>
                  </w:r>
                  <w:r w:rsidR="00860903">
                    <w:rPr>
                      <w:spacing w:val="-6"/>
                      <w:lang w:val="en-GB"/>
                    </w:rPr>
                    <w:t xml:space="preserve"> 2020</w:t>
                  </w:r>
                  <w:r w:rsidRPr="00D970F7">
                    <w:rPr>
                      <w:spacing w:val="-6"/>
                      <w:lang w:val="en-GB"/>
                    </w:rPr>
                    <w:t>, that is to the lowest level since the end of year 2014. Only Germany, Netherlands and Luxembourg kept a mild surplus (up to 1% of GDP) from the monitored countries</w:t>
                  </w:r>
                  <w:r w:rsidRPr="00D970F7">
                    <w:rPr>
                      <w:rStyle w:val="Znakapoznpodarou"/>
                      <w:color w:val="000000" w:themeColor="text1"/>
                      <w:spacing w:val="-6"/>
                      <w:lang w:val="en-GB"/>
                    </w:rPr>
                    <w:footnoteReference w:id="71"/>
                  </w:r>
                  <w:r w:rsidRPr="00D970F7">
                    <w:rPr>
                      <w:spacing w:val="-6"/>
                      <w:lang w:val="en-GB"/>
                    </w:rPr>
                    <w:t>. Total nominal revenues of the government sector shrank year-on-year in half of the Union states. For outlays it concerned only Cyprus and their growth rate even strengthened in the half of states compared to the beginning of the last year (especially in countries of central and eastern Europe). The indebtedness rate in the EU continued in the descending tendency despite slowing growth of the economy for the most part of the last year. Turning point occurred already at the end of year 2020, when the indebtedness strengthened by 1.8 p.p. quarter-on-quarter (the most after year 2010) to the level of 79.5% of GDP. Negative development was more evident in the euro area countries (+2.2 p.p.), however 90% of Union states experienced at least a mild worsening. The indebtedness increased in 10 countries year-on-year – the most in Finland (+4.7 p.p.) and Romania (+3.6 p.p.), states strongly afflicted by the coronavirus epidemic (Spain, Italy, France, Belgium) were also included. In the CR, similarly to majority of its neighbours, the indebtedness mildly decreased. The CR thus held position of the fourth least indebted Union economy.</w:t>
                  </w:r>
                </w:p>
              </w:tc>
            </w:tr>
          </w:tbl>
          <w:p w14:paraId="0FE03365" w14:textId="77777777" w:rsidR="00C2211E" w:rsidRPr="00D970F7" w:rsidRDefault="00C2211E" w:rsidP="00C2211E">
            <w:pPr>
              <w:pStyle w:val="Nadpis11"/>
              <w:spacing w:after="0"/>
              <w:rPr>
                <w:b w:val="0"/>
                <w:sz w:val="2"/>
                <w:szCs w:val="2"/>
                <w:lang w:val="en-GB"/>
              </w:rPr>
            </w:pPr>
          </w:p>
          <w:p w14:paraId="2BA02236" w14:textId="2493F3E8" w:rsidR="00E42054" w:rsidRPr="00D970F7" w:rsidRDefault="00E42054" w:rsidP="00CF6F9C">
            <w:pPr>
              <w:pStyle w:val="Marginlie"/>
              <w:rPr>
                <w:lang w:val="en-GB"/>
              </w:rPr>
            </w:pPr>
          </w:p>
        </w:tc>
        <w:tc>
          <w:tcPr>
            <w:tcW w:w="217" w:type="dxa"/>
            <w:shd w:val="clear" w:color="auto" w:fill="auto"/>
            <w:tcMar>
              <w:left w:w="0" w:type="dxa"/>
            </w:tcMar>
          </w:tcPr>
          <w:p w14:paraId="394D2F49" w14:textId="77777777" w:rsidR="00E42054" w:rsidRPr="00D970F7" w:rsidRDefault="00E42054" w:rsidP="00CF6F9C">
            <w:pPr>
              <w:pStyle w:val="Textpoznpodarou"/>
              <w:jc w:val="both"/>
              <w:rPr>
                <w:spacing w:val="-4"/>
                <w:lang w:val="en-GB"/>
              </w:rPr>
            </w:pPr>
          </w:p>
        </w:tc>
        <w:tc>
          <w:tcPr>
            <w:tcW w:w="7720" w:type="dxa"/>
            <w:shd w:val="clear" w:color="auto" w:fill="auto"/>
            <w:tcMar>
              <w:left w:w="0" w:type="dxa"/>
            </w:tcMar>
          </w:tcPr>
          <w:p w14:paraId="611BC9CD" w14:textId="48209228" w:rsidR="00E42054" w:rsidRPr="00D970F7" w:rsidRDefault="00E42054" w:rsidP="00CF6F9C">
            <w:pPr>
              <w:spacing w:after="200"/>
              <w:rPr>
                <w:spacing w:val="-2"/>
                <w:lang w:val="en-GB"/>
              </w:rPr>
            </w:pPr>
          </w:p>
        </w:tc>
      </w:tr>
      <w:bookmarkEnd w:id="25"/>
    </w:tbl>
    <w:p w14:paraId="5BCF3DC5" w14:textId="004356BF" w:rsidR="00E42054" w:rsidRPr="00D970F7" w:rsidRDefault="00E42054" w:rsidP="00E42054">
      <w:pPr>
        <w:pStyle w:val="Nadpis11"/>
        <w:spacing w:after="0"/>
        <w:rPr>
          <w:b w:val="0"/>
          <w:sz w:val="2"/>
          <w:szCs w:val="2"/>
          <w:lang w:val="en-GB"/>
        </w:rPr>
      </w:pPr>
    </w:p>
    <w:sectPr w:rsidR="00E42054" w:rsidRPr="00D970F7" w:rsidSect="00A03B10">
      <w:pgSz w:w="11906" w:h="16838" w:code="9"/>
      <w:pgMar w:top="1134" w:right="1134" w:bottom="1418" w:left="1134"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54476" w14:textId="77777777" w:rsidR="00F67F13" w:rsidRDefault="00F67F13" w:rsidP="00E71A58">
      <w:r>
        <w:separator/>
      </w:r>
    </w:p>
  </w:endnote>
  <w:endnote w:type="continuationSeparator" w:id="0">
    <w:p w14:paraId="3FA9030C" w14:textId="77777777" w:rsidR="00F67F13" w:rsidRDefault="00F67F13"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0573" w14:textId="77777777" w:rsidR="00C2211E" w:rsidRDefault="00C2211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D27F9" w14:textId="77777777" w:rsidR="00C2211E" w:rsidRDefault="00C2211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080E3" w14:textId="77777777" w:rsidR="00C2211E" w:rsidRDefault="00C2211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4429B956"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E7438F">
      <w:rPr>
        <w:szCs w:val="16"/>
      </w:rPr>
      <w:t>10</w:t>
    </w:r>
    <w:r w:rsidRPr="00932443">
      <w:rPr>
        <w:szCs w:val="16"/>
      </w:rPr>
      <w:fldChar w:fldCharType="end"/>
    </w:r>
    <w:r w:rsidRPr="00932443">
      <w:rPr>
        <w:szCs w:val="16"/>
      </w:rPr>
      <w:tab/>
    </w:r>
    <w:r>
      <w:rPr>
        <w:szCs w:val="16"/>
      </w:rPr>
      <w:t>First half of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021E2956"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E7438F">
      <w:rPr>
        <w:rStyle w:val="ZpatChar"/>
        <w:szCs w:val="16"/>
      </w:rPr>
      <w:t>9</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D5DD6" w14:textId="77777777" w:rsidR="00F67F13" w:rsidRDefault="00F67F13" w:rsidP="00A21B4D">
      <w:pPr>
        <w:spacing w:after="0"/>
      </w:pPr>
      <w:r>
        <w:separator/>
      </w:r>
    </w:p>
  </w:footnote>
  <w:footnote w:type="continuationSeparator" w:id="0">
    <w:p w14:paraId="2E5D7940" w14:textId="77777777" w:rsidR="00F67F13" w:rsidRDefault="00F67F13" w:rsidP="00E71A58">
      <w:r>
        <w:continuationSeparator/>
      </w:r>
    </w:p>
  </w:footnote>
  <w:footnote w:id="1">
    <w:p w14:paraId="019FC8FB" w14:textId="7FDEA8F5" w:rsidR="00C2211E" w:rsidRPr="006479A4" w:rsidRDefault="00C2211E" w:rsidP="00883859">
      <w:pPr>
        <w:pStyle w:val="Textpoznpodarou"/>
        <w:jc w:val="both"/>
        <w:rPr>
          <w:spacing w:val="-2"/>
          <w:sz w:val="16"/>
          <w:szCs w:val="16"/>
          <w:lang w:val="en-GB"/>
        </w:rPr>
      </w:pPr>
      <w:r>
        <w:rPr>
          <w:rStyle w:val="Znakapoznpodarou"/>
          <w:spacing w:val="-2"/>
          <w:szCs w:val="16"/>
        </w:rPr>
        <w:footnoteRef/>
      </w:r>
      <w:r>
        <w:rPr>
          <w:spacing w:val="-2"/>
          <w:sz w:val="16"/>
          <w:szCs w:val="16"/>
        </w:rPr>
        <w:t xml:space="preserve"> </w:t>
      </w:r>
      <w:r w:rsidRPr="006479A4">
        <w:rPr>
          <w:spacing w:val="-2"/>
          <w:sz w:val="16"/>
          <w:szCs w:val="16"/>
          <w:lang w:val="en-GB"/>
        </w:rPr>
        <w:t xml:space="preserve">Data regarding the GDP, gross value added and their components are expressed in constant prices and adjusted for seasonal and calendar effects.  </w:t>
      </w:r>
    </w:p>
  </w:footnote>
  <w:footnote w:id="2">
    <w:p w14:paraId="69EDE447" w14:textId="5D064022" w:rsidR="00C2211E" w:rsidRPr="006479A4" w:rsidRDefault="00C2211E" w:rsidP="00883859">
      <w:pPr>
        <w:pStyle w:val="Textpoznpodarou"/>
        <w:jc w:val="both"/>
        <w:rPr>
          <w:sz w:val="16"/>
          <w:szCs w:val="16"/>
          <w:lang w:val="en-GB"/>
        </w:rPr>
      </w:pPr>
      <w:r w:rsidRPr="006479A4">
        <w:rPr>
          <w:rStyle w:val="Znakapoznpodarou"/>
          <w:spacing w:val="-2"/>
          <w:szCs w:val="16"/>
          <w:lang w:val="en-GB"/>
        </w:rPr>
        <w:footnoteRef/>
      </w:r>
      <w:r w:rsidRPr="006479A4">
        <w:rPr>
          <w:spacing w:val="-2"/>
          <w:sz w:val="16"/>
          <w:szCs w:val="16"/>
          <w:lang w:val="en-GB"/>
        </w:rPr>
        <w:t xml:space="preserve"> </w:t>
      </w:r>
      <w:r w:rsidRPr="006479A4">
        <w:rPr>
          <w:sz w:val="16"/>
          <w:szCs w:val="16"/>
          <w:lang w:val="en-GB"/>
        </w:rPr>
        <w:t xml:space="preserve">Employment data are in the national accounts conception adjusted for seasonal effects. </w:t>
      </w:r>
    </w:p>
  </w:footnote>
  <w:footnote w:id="3">
    <w:p w14:paraId="62867169" w14:textId="1EA753B1" w:rsidR="00C2211E" w:rsidRPr="00EF1EE3" w:rsidRDefault="00C2211E" w:rsidP="00640E6B">
      <w:pPr>
        <w:pStyle w:val="Textpoznpodarou"/>
        <w:rPr>
          <w:sz w:val="16"/>
          <w:szCs w:val="16"/>
        </w:rPr>
      </w:pPr>
      <w:r w:rsidRPr="00EF1EE3">
        <w:rPr>
          <w:rStyle w:val="Znakapoznpodarou"/>
          <w:sz w:val="16"/>
          <w:szCs w:val="16"/>
        </w:rPr>
        <w:footnoteRef/>
      </w:r>
      <w:r w:rsidRPr="00EF1EE3">
        <w:rPr>
          <w:sz w:val="16"/>
          <w:szCs w:val="16"/>
        </w:rPr>
        <w:t xml:space="preserve"> </w:t>
      </w:r>
      <w:r w:rsidRPr="00CE719A">
        <w:rPr>
          <w:sz w:val="16"/>
          <w:szCs w:val="16"/>
          <w:lang w:val="en-GB"/>
        </w:rPr>
        <w:t xml:space="preserve">The development of the GDP, gross value added and their components is expressed with the help of the volume indices (i.e. adjusted for changes in prices) and adjusted for seasonal and calendar effects. Data are valid as of 1st </w:t>
      </w:r>
      <w:r>
        <w:rPr>
          <w:sz w:val="16"/>
          <w:szCs w:val="16"/>
          <w:lang w:val="en-GB"/>
        </w:rPr>
        <w:t>September</w:t>
      </w:r>
      <w:r w:rsidRPr="00CE719A">
        <w:rPr>
          <w:sz w:val="16"/>
          <w:szCs w:val="16"/>
          <w:lang w:val="en-GB"/>
        </w:rPr>
        <w:t xml:space="preserve"> 2020.</w:t>
      </w:r>
      <w:r>
        <w:rPr>
          <w:sz w:val="16"/>
          <w:szCs w:val="16"/>
          <w:lang w:val="en-GB"/>
        </w:rPr>
        <w:t xml:space="preserve"> </w:t>
      </w:r>
    </w:p>
  </w:footnote>
  <w:footnote w:id="4">
    <w:p w14:paraId="5AB9BF74" w14:textId="2FD1FBAE" w:rsidR="00C2211E" w:rsidRPr="009C6EA8" w:rsidRDefault="00C2211E" w:rsidP="001F486B">
      <w:pPr>
        <w:pStyle w:val="Textpoznpodarou"/>
        <w:jc w:val="both"/>
        <w:rPr>
          <w:sz w:val="16"/>
          <w:szCs w:val="16"/>
        </w:rPr>
      </w:pPr>
      <w:r w:rsidRPr="009C6EA8">
        <w:rPr>
          <w:rStyle w:val="Znakapoznpodarou"/>
          <w:sz w:val="16"/>
          <w:szCs w:val="16"/>
        </w:rPr>
        <w:footnoteRef/>
      </w:r>
      <w:r w:rsidRPr="009C6EA8">
        <w:rPr>
          <w:sz w:val="16"/>
          <w:szCs w:val="16"/>
        </w:rPr>
        <w:t xml:space="preserve"> </w:t>
      </w:r>
      <w:r w:rsidRPr="003E68E3">
        <w:rPr>
          <w:sz w:val="16"/>
          <w:szCs w:val="16"/>
          <w:lang w:val="en-GB"/>
        </w:rPr>
        <w:t>Additions to the GDP change after exclusion of imports for final use.</w:t>
      </w:r>
    </w:p>
  </w:footnote>
  <w:footnote w:id="5">
    <w:p w14:paraId="22F2BE14" w14:textId="12B5D658" w:rsidR="00C2211E" w:rsidRPr="00D57CF3" w:rsidRDefault="00C2211E" w:rsidP="00D57CF3">
      <w:pPr>
        <w:pStyle w:val="Textpoznpodarou"/>
        <w:jc w:val="both"/>
        <w:rPr>
          <w:sz w:val="16"/>
          <w:szCs w:val="16"/>
          <w:lang w:val="en-GB"/>
        </w:rPr>
      </w:pPr>
      <w:r w:rsidRPr="00AF6B7C">
        <w:rPr>
          <w:rStyle w:val="Znakapoznpodarou"/>
          <w:sz w:val="16"/>
          <w:szCs w:val="16"/>
        </w:rPr>
        <w:footnoteRef/>
      </w:r>
      <w:r w:rsidRPr="00AF6B7C">
        <w:rPr>
          <w:sz w:val="16"/>
          <w:szCs w:val="16"/>
        </w:rPr>
        <w:t xml:space="preserve"> </w:t>
      </w:r>
      <w:r w:rsidRPr="00D57CF3">
        <w:rPr>
          <w:sz w:val="16"/>
          <w:szCs w:val="16"/>
          <w:lang w:val="en-GB"/>
        </w:rPr>
        <w:t xml:space="preserve">Data for Luxembourg not available. Data for Slovakia not adjusted for calendar effects. </w:t>
      </w:r>
    </w:p>
  </w:footnote>
  <w:footnote w:id="6">
    <w:p w14:paraId="5572BF2F" w14:textId="63B67853" w:rsidR="00C2211E" w:rsidRPr="00D57CF3" w:rsidRDefault="00C2211E" w:rsidP="00D57CF3">
      <w:pPr>
        <w:pStyle w:val="Textpoznpodarou"/>
        <w:jc w:val="both"/>
        <w:rPr>
          <w:sz w:val="16"/>
          <w:szCs w:val="16"/>
          <w:lang w:val="en-GB"/>
        </w:rPr>
      </w:pPr>
      <w:r w:rsidRPr="00D57CF3">
        <w:rPr>
          <w:rStyle w:val="Znakapoznpodarou"/>
          <w:sz w:val="16"/>
          <w:szCs w:val="16"/>
          <w:lang w:val="en-GB"/>
        </w:rPr>
        <w:footnoteRef/>
      </w:r>
      <w:r w:rsidRPr="00D57CF3">
        <w:rPr>
          <w:sz w:val="16"/>
          <w:szCs w:val="16"/>
          <w:lang w:val="en-GB"/>
        </w:rPr>
        <w:t xml:space="preserve"> Converted into the real expression using the deflator of final consumption expenditure of households. </w:t>
      </w:r>
    </w:p>
  </w:footnote>
  <w:footnote w:id="7">
    <w:p w14:paraId="2E1D5793" w14:textId="0D3188FB" w:rsidR="00C2211E" w:rsidRPr="00D57CF3" w:rsidRDefault="00C2211E" w:rsidP="00D57CF3">
      <w:pPr>
        <w:pStyle w:val="Textpoznpodarou"/>
        <w:jc w:val="both"/>
        <w:rPr>
          <w:lang w:val="en-GB"/>
        </w:rPr>
      </w:pPr>
      <w:r w:rsidRPr="00D57CF3">
        <w:rPr>
          <w:rStyle w:val="Znakapoznpodarou"/>
          <w:sz w:val="16"/>
          <w:szCs w:val="16"/>
          <w:lang w:val="en-GB"/>
        </w:rPr>
        <w:footnoteRef/>
      </w:r>
      <w:r w:rsidRPr="00D57CF3">
        <w:rPr>
          <w:sz w:val="16"/>
          <w:szCs w:val="16"/>
          <w:lang w:val="en-GB"/>
        </w:rPr>
        <w:t xml:space="preserve"> Employment in the national accounts conception (persons), figure seasonally adjusted. </w:t>
      </w:r>
    </w:p>
  </w:footnote>
  <w:footnote w:id="8">
    <w:p w14:paraId="36B572A7" w14:textId="33AB184C" w:rsidR="00C2211E" w:rsidRPr="00D57CF3" w:rsidRDefault="00C2211E" w:rsidP="00D57CF3">
      <w:pPr>
        <w:pStyle w:val="Textpoznpodarou"/>
        <w:jc w:val="both"/>
        <w:rPr>
          <w:sz w:val="16"/>
          <w:szCs w:val="16"/>
          <w:lang w:val="en-GB"/>
        </w:rPr>
      </w:pPr>
      <w:r w:rsidRPr="00D57CF3">
        <w:rPr>
          <w:rStyle w:val="Znakapoznpodarou"/>
          <w:sz w:val="16"/>
          <w:szCs w:val="16"/>
          <w:lang w:val="en-GB"/>
        </w:rPr>
        <w:footnoteRef/>
      </w:r>
      <w:r w:rsidRPr="00D57CF3">
        <w:rPr>
          <w:sz w:val="16"/>
          <w:szCs w:val="16"/>
          <w:lang w:val="en-GB"/>
        </w:rPr>
        <w:t xml:space="preserve"> Public administration, education, health and social work. </w:t>
      </w:r>
    </w:p>
  </w:footnote>
  <w:footnote w:id="9">
    <w:p w14:paraId="69FC38BF" w14:textId="5E73E5E4" w:rsidR="00C2211E" w:rsidRPr="00954992" w:rsidRDefault="00C2211E" w:rsidP="00640E6B">
      <w:pPr>
        <w:pStyle w:val="Textpoznpodarou"/>
        <w:rPr>
          <w:sz w:val="16"/>
          <w:szCs w:val="16"/>
        </w:rPr>
      </w:pPr>
      <w:r w:rsidRPr="00954992">
        <w:rPr>
          <w:rStyle w:val="Znakapoznpodarou"/>
          <w:sz w:val="16"/>
          <w:szCs w:val="16"/>
        </w:rPr>
        <w:footnoteRef/>
      </w:r>
      <w:r w:rsidRPr="00954992">
        <w:rPr>
          <w:sz w:val="16"/>
          <w:szCs w:val="16"/>
        </w:rPr>
        <w:t xml:space="preserve"> </w:t>
      </w:r>
      <w:r w:rsidRPr="004816C8">
        <w:rPr>
          <w:sz w:val="16"/>
          <w:szCs w:val="16"/>
          <w:lang w:val="en-GB"/>
        </w:rPr>
        <w:t xml:space="preserve">Data regarding consumption based on durability are in domestic conception and not seasonally adjusted. </w:t>
      </w:r>
    </w:p>
  </w:footnote>
  <w:footnote w:id="10">
    <w:p w14:paraId="0C19ED8D" w14:textId="6EE0EFB9" w:rsidR="00C2211E" w:rsidRPr="0021552C" w:rsidRDefault="00C2211E" w:rsidP="00640E6B">
      <w:pPr>
        <w:pStyle w:val="Textpoznpodarou"/>
        <w:rPr>
          <w:sz w:val="16"/>
          <w:szCs w:val="16"/>
        </w:rPr>
      </w:pPr>
      <w:r w:rsidRPr="0021552C">
        <w:rPr>
          <w:rStyle w:val="Znakapoznpodarou"/>
          <w:sz w:val="16"/>
          <w:szCs w:val="16"/>
        </w:rPr>
        <w:footnoteRef/>
      </w:r>
      <w:r w:rsidRPr="0021552C">
        <w:rPr>
          <w:sz w:val="16"/>
          <w:szCs w:val="16"/>
        </w:rPr>
        <w:t xml:space="preserve"> </w:t>
      </w:r>
      <w:r w:rsidRPr="00715E3C">
        <w:rPr>
          <w:rFonts w:cs="Arial"/>
          <w:sz w:val="16"/>
          <w:szCs w:val="16"/>
          <w:lang w:val="en-GB"/>
        </w:rPr>
        <w:t>Data regarding the type classification of gross fixed capital formation are not seasonally adjusted.</w:t>
      </w:r>
    </w:p>
  </w:footnote>
  <w:footnote w:id="11">
    <w:p w14:paraId="59BAFEDB" w14:textId="47611D1F" w:rsidR="00C2211E" w:rsidRPr="00167B30" w:rsidRDefault="00C2211E" w:rsidP="00640E6B">
      <w:pPr>
        <w:pStyle w:val="Textpoznpodarou"/>
        <w:rPr>
          <w:sz w:val="16"/>
          <w:szCs w:val="16"/>
        </w:rPr>
      </w:pPr>
      <w:r w:rsidRPr="00167B30">
        <w:rPr>
          <w:rStyle w:val="Znakapoznpodarou"/>
          <w:sz w:val="16"/>
          <w:szCs w:val="16"/>
        </w:rPr>
        <w:footnoteRef/>
      </w:r>
      <w:r w:rsidRPr="00167B30">
        <w:rPr>
          <w:sz w:val="16"/>
          <w:szCs w:val="16"/>
        </w:rPr>
        <w:t xml:space="preserve"> </w:t>
      </w:r>
      <w:r w:rsidRPr="00A00EFF">
        <w:rPr>
          <w:sz w:val="16"/>
          <w:szCs w:val="16"/>
          <w:lang w:val="en-GB"/>
        </w:rPr>
        <w:t>According to the methodology of quarterly national accounts (</w:t>
      </w:r>
      <w:r>
        <w:rPr>
          <w:sz w:val="16"/>
          <w:szCs w:val="16"/>
          <w:lang w:val="en-GB"/>
        </w:rPr>
        <w:t xml:space="preserve">export and import </w:t>
      </w:r>
      <w:r w:rsidRPr="00A00EFF">
        <w:rPr>
          <w:sz w:val="16"/>
          <w:szCs w:val="16"/>
          <w:lang w:val="en-GB"/>
        </w:rPr>
        <w:t>in FOB/FOB prices).</w:t>
      </w:r>
    </w:p>
  </w:footnote>
  <w:footnote w:id="12">
    <w:p w14:paraId="37564AC0"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FB58F4">
        <w:rPr>
          <w:rStyle w:val="Znakapoznpodarou"/>
          <w:rFonts w:cs="Arial"/>
          <w:color w:val="0D0D0D" w:themeColor="text1" w:themeTint="F2"/>
          <w:spacing w:val="-2"/>
          <w:sz w:val="16"/>
          <w:szCs w:val="16"/>
        </w:rPr>
        <w:footnoteRef/>
      </w:r>
      <w:r w:rsidRPr="00FB58F4">
        <w:rPr>
          <w:rFonts w:cs="Arial"/>
          <w:color w:val="0D0D0D" w:themeColor="text1" w:themeTint="F2"/>
          <w:spacing w:val="-2"/>
          <w:sz w:val="16"/>
          <w:szCs w:val="16"/>
        </w:rPr>
        <w:t xml:space="preserve"> </w:t>
      </w:r>
      <w:r w:rsidRPr="00851B1C">
        <w:rPr>
          <w:rFonts w:cs="Arial"/>
          <w:color w:val="0D0D0D" w:themeColor="text1" w:themeTint="F2"/>
          <w:spacing w:val="-2"/>
          <w:sz w:val="16"/>
          <w:szCs w:val="16"/>
          <w:lang w:val="en-GB"/>
        </w:rPr>
        <w:t xml:space="preserve">Data regarding the GVA are expressed in constant prices and adjusted for seasonal and calendar effects. </w:t>
      </w:r>
    </w:p>
  </w:footnote>
  <w:footnote w:id="13">
    <w:p w14:paraId="047E875D" w14:textId="446F0E7F"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Fresh data regardi</w:t>
      </w:r>
      <w:r w:rsidR="002238F3">
        <w:rPr>
          <w:rFonts w:cs="Arial"/>
          <w:color w:val="0D0D0D" w:themeColor="text1" w:themeTint="F2"/>
          <w:spacing w:val="-2"/>
          <w:sz w:val="16"/>
          <w:szCs w:val="16"/>
          <w:lang w:val="en-GB"/>
        </w:rPr>
        <w:t>ng the GVA for H1</w:t>
      </w:r>
      <w:r>
        <w:rPr>
          <w:rFonts w:cs="Arial"/>
          <w:color w:val="0D0D0D" w:themeColor="text1" w:themeTint="F2"/>
          <w:spacing w:val="-2"/>
          <w:sz w:val="16"/>
          <w:szCs w:val="16"/>
          <w:lang w:val="en-GB"/>
        </w:rPr>
        <w:t xml:space="preserve"> were not available for Ireland, Luxembourg, Croatia and Romania. </w:t>
      </w:r>
    </w:p>
  </w:footnote>
  <w:footnote w:id="14">
    <w:p w14:paraId="051BA593"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 xml:space="preserve">Planned technological shutdowns of production facilities stood behind the decrease of output in energetics (coincidentally also especially during March and April </w:t>
      </w:r>
      <w:r w:rsidRPr="00851B1C">
        <w:rPr>
          <w:rFonts w:cs="Arial"/>
          <w:color w:val="0D0D0D" w:themeColor="text1" w:themeTint="F2"/>
          <w:spacing w:val="-2"/>
          <w:sz w:val="16"/>
          <w:szCs w:val="16"/>
          <w:lang w:val="en-GB"/>
        </w:rPr>
        <w:t>2020)</w:t>
      </w:r>
      <w:r>
        <w:rPr>
          <w:rFonts w:cs="Arial"/>
          <w:color w:val="0D0D0D" w:themeColor="text1" w:themeTint="F2"/>
          <w:spacing w:val="-2"/>
          <w:sz w:val="16"/>
          <w:szCs w:val="16"/>
          <w:lang w:val="en-GB"/>
        </w:rPr>
        <w:t xml:space="preserve">. </w:t>
      </w:r>
    </w:p>
  </w:footnote>
  <w:footnote w:id="15">
    <w:p w14:paraId="10ABA104"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 xml:space="preserve">Final consumption expenditures of non-residents in the CR decreased by more than one third year-on-year, in Q2 2020 itself even by unprecedented </w:t>
      </w:r>
      <w:r w:rsidRPr="00851B1C">
        <w:rPr>
          <w:rFonts w:cs="Arial"/>
          <w:color w:val="0D0D0D" w:themeColor="text1" w:themeTint="F2"/>
          <w:spacing w:val="-2"/>
          <w:sz w:val="16"/>
          <w:szCs w:val="16"/>
          <w:lang w:val="en-GB"/>
        </w:rPr>
        <w:t>62%. N</w:t>
      </w:r>
      <w:r>
        <w:rPr>
          <w:rFonts w:cs="Arial"/>
          <w:color w:val="0D0D0D" w:themeColor="text1" w:themeTint="F2"/>
          <w:spacing w:val="-2"/>
          <w:sz w:val="16"/>
          <w:szCs w:val="16"/>
          <w:lang w:val="en-GB"/>
        </w:rPr>
        <w:t xml:space="preserve">on-residents share in the total household final consumption expenditures in the CR in the long-term roughly </w:t>
      </w:r>
      <w:r w:rsidRPr="00851B1C">
        <w:rPr>
          <w:rFonts w:cs="Arial"/>
          <w:color w:val="0D0D0D" w:themeColor="text1" w:themeTint="F2"/>
          <w:spacing w:val="-2"/>
          <w:sz w:val="16"/>
          <w:szCs w:val="16"/>
          <w:lang w:val="en-GB"/>
        </w:rPr>
        <w:t>6%.</w:t>
      </w:r>
    </w:p>
  </w:footnote>
  <w:footnote w:id="16">
    <w:p w14:paraId="234CDB2A"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 xml:space="preserve">Include cultural, amusement and recreation activities or personal services for household </w:t>
      </w:r>
      <w:r w:rsidRPr="00851B1C">
        <w:rPr>
          <w:rFonts w:cs="Arial"/>
          <w:color w:val="0D0D0D" w:themeColor="text1" w:themeTint="F2"/>
          <w:spacing w:val="-2"/>
          <w:sz w:val="16"/>
          <w:szCs w:val="16"/>
          <w:lang w:val="en-GB"/>
        </w:rPr>
        <w:t>(</w:t>
      </w:r>
      <w:r>
        <w:rPr>
          <w:rFonts w:cs="Arial"/>
          <w:color w:val="0D0D0D" w:themeColor="text1" w:themeTint="F2"/>
          <w:spacing w:val="-2"/>
          <w:sz w:val="16"/>
          <w:szCs w:val="16"/>
          <w:lang w:val="en-GB"/>
        </w:rPr>
        <w:t>among other hairdressing, cleaning services or repairs of products and equipment</w:t>
      </w:r>
      <w:r w:rsidRPr="00851B1C">
        <w:rPr>
          <w:rFonts w:cs="Arial"/>
          <w:color w:val="0D0D0D" w:themeColor="text1" w:themeTint="F2"/>
          <w:spacing w:val="-2"/>
          <w:sz w:val="16"/>
          <w:szCs w:val="16"/>
          <w:lang w:val="en-GB"/>
        </w:rPr>
        <w:t>).</w:t>
      </w:r>
    </w:p>
  </w:footnote>
  <w:footnote w:id="17">
    <w:p w14:paraId="5680A363"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Contain p</w:t>
      </w:r>
      <w:r w:rsidRPr="00DF4E3C">
        <w:rPr>
          <w:sz w:val="16"/>
          <w:szCs w:val="16"/>
          <w:lang w:val="en-GB"/>
        </w:rPr>
        <w:t xml:space="preserve">ublic administration, education, health and social work. </w:t>
      </w:r>
    </w:p>
  </w:footnote>
  <w:footnote w:id="18">
    <w:p w14:paraId="2008F199" w14:textId="77777777"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Pr>
          <w:rFonts w:cs="Arial"/>
          <w:color w:val="0D0D0D" w:themeColor="text1" w:themeTint="F2"/>
          <w:spacing w:val="-2"/>
          <w:sz w:val="16"/>
          <w:szCs w:val="16"/>
          <w:lang w:val="en-GB"/>
        </w:rPr>
        <w:t xml:space="preserve"> </w:t>
      </w:r>
      <w:r w:rsidRPr="00973752">
        <w:rPr>
          <w:rFonts w:cs="Arial"/>
          <w:color w:val="0D0D0D" w:themeColor="text1" w:themeTint="F2"/>
          <w:spacing w:val="-2"/>
          <w:sz w:val="16"/>
          <w:szCs w:val="16"/>
          <w:lang w:val="en-GB"/>
        </w:rPr>
        <w:t>Includes branches of mining and quarrying, manufacturing and also energetics (here as activities of production and distribution of electricity, gas, heat and air conditioning supply). All yea</w:t>
      </w:r>
      <w:r>
        <w:rPr>
          <w:rFonts w:cs="Arial"/>
          <w:color w:val="0D0D0D" w:themeColor="text1" w:themeTint="F2"/>
          <w:spacing w:val="-2"/>
          <w:sz w:val="16"/>
          <w:szCs w:val="16"/>
          <w:lang w:val="en-GB"/>
        </w:rPr>
        <w:t>r-</w:t>
      </w:r>
      <w:r w:rsidRPr="00973752">
        <w:rPr>
          <w:rFonts w:cs="Arial"/>
          <w:color w:val="0D0D0D" w:themeColor="text1" w:themeTint="F2"/>
          <w:spacing w:val="-2"/>
          <w:sz w:val="16"/>
          <w:szCs w:val="16"/>
          <w:lang w:val="en-GB"/>
        </w:rPr>
        <w:t>on-year rates of growth of</w:t>
      </w:r>
      <w:r>
        <w:rPr>
          <w:rFonts w:cs="Arial"/>
          <w:color w:val="0D0D0D" w:themeColor="text1" w:themeTint="F2"/>
          <w:spacing w:val="-2"/>
          <w:sz w:val="16"/>
          <w:szCs w:val="16"/>
          <w:lang w:val="en-GB"/>
        </w:rPr>
        <w:t xml:space="preserve"> </w:t>
      </w:r>
      <w:r w:rsidRPr="00973752">
        <w:rPr>
          <w:rFonts w:cs="Arial"/>
          <w:color w:val="0D0D0D" w:themeColor="text1" w:themeTint="F2"/>
          <w:spacing w:val="-2"/>
          <w:sz w:val="16"/>
          <w:szCs w:val="16"/>
          <w:lang w:val="en-GB"/>
        </w:rPr>
        <w:t>output (at the level of branch sections as well as divi</w:t>
      </w:r>
      <w:r>
        <w:rPr>
          <w:rFonts w:cs="Arial"/>
          <w:color w:val="0D0D0D" w:themeColor="text1" w:themeTint="F2"/>
          <w:spacing w:val="-2"/>
          <w:sz w:val="16"/>
          <w:szCs w:val="16"/>
          <w:lang w:val="en-GB"/>
        </w:rPr>
        <w:t>s</w:t>
      </w:r>
      <w:r w:rsidRPr="00973752">
        <w:rPr>
          <w:rFonts w:cs="Arial"/>
          <w:color w:val="0D0D0D" w:themeColor="text1" w:themeTint="F2"/>
          <w:spacing w:val="-2"/>
          <w:sz w:val="16"/>
          <w:szCs w:val="16"/>
          <w:lang w:val="en-GB"/>
        </w:rPr>
        <w:t xml:space="preserve">ions) are adjusted for calendar effects, </w:t>
      </w:r>
      <w:r>
        <w:rPr>
          <w:rFonts w:cs="Arial"/>
          <w:color w:val="0D0D0D" w:themeColor="text1" w:themeTint="F2"/>
          <w:spacing w:val="-2"/>
          <w:sz w:val="16"/>
          <w:szCs w:val="16"/>
          <w:lang w:val="en-GB"/>
        </w:rPr>
        <w:t xml:space="preserve">both </w:t>
      </w:r>
      <w:r w:rsidRPr="00973752">
        <w:rPr>
          <w:rFonts w:cs="Arial"/>
          <w:color w:val="0D0D0D" w:themeColor="text1" w:themeTint="F2"/>
          <w:spacing w:val="-2"/>
          <w:sz w:val="16"/>
          <w:szCs w:val="16"/>
          <w:lang w:val="en-GB"/>
        </w:rPr>
        <w:t>quarter-on-q</w:t>
      </w:r>
      <w:r>
        <w:rPr>
          <w:rFonts w:cs="Arial"/>
          <w:color w:val="0D0D0D" w:themeColor="text1" w:themeTint="F2"/>
          <w:spacing w:val="-2"/>
          <w:sz w:val="16"/>
          <w:szCs w:val="16"/>
          <w:lang w:val="en-GB"/>
        </w:rPr>
        <w:t>uarter and month-on-month</w:t>
      </w:r>
      <w:r w:rsidRPr="00973752">
        <w:rPr>
          <w:rFonts w:cs="Arial"/>
          <w:color w:val="0D0D0D" w:themeColor="text1" w:themeTint="F2"/>
          <w:spacing w:val="-2"/>
          <w:sz w:val="16"/>
          <w:szCs w:val="16"/>
          <w:lang w:val="en-GB"/>
        </w:rPr>
        <w:t xml:space="preserve"> rates then also for seasonal effects.</w:t>
      </w:r>
    </w:p>
  </w:footnote>
  <w:footnote w:id="19">
    <w:p w14:paraId="12292BE3" w14:textId="7887ECE3" w:rsidR="00C2211E" w:rsidRPr="00851B1C" w:rsidRDefault="00C2211E" w:rsidP="00C2211E">
      <w:pPr>
        <w:pStyle w:val="Textpoznpodarou"/>
        <w:jc w:val="both"/>
        <w:rPr>
          <w:rFonts w:cs="Arial"/>
          <w:color w:val="0D0D0D" w:themeColor="text1" w:themeTint="F2"/>
          <w:spacing w:val="-2"/>
          <w:sz w:val="16"/>
          <w:szCs w:val="16"/>
          <w:lang w:val="en-GB"/>
        </w:rPr>
      </w:pPr>
      <w:r w:rsidRPr="00851B1C">
        <w:rPr>
          <w:rStyle w:val="Znakapoznpodarou"/>
          <w:rFonts w:cs="Arial"/>
          <w:color w:val="0D0D0D" w:themeColor="text1" w:themeTint="F2"/>
          <w:spacing w:val="-2"/>
          <w:sz w:val="16"/>
          <w:szCs w:val="16"/>
          <w:lang w:val="en-GB"/>
        </w:rPr>
        <w:footnoteRef/>
      </w:r>
      <w:r w:rsidRPr="00851B1C">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Shallow quarter-on-quarter decrease of industrial production in the CR occurred already in Q</w:t>
      </w:r>
      <w:r w:rsidRPr="00851B1C">
        <w:rPr>
          <w:rFonts w:cs="Arial"/>
          <w:color w:val="0D0D0D" w:themeColor="text1" w:themeTint="F2"/>
          <w:spacing w:val="-2"/>
          <w:sz w:val="16"/>
          <w:szCs w:val="16"/>
          <w:lang w:val="en-GB"/>
        </w:rPr>
        <w:t>3</w:t>
      </w:r>
      <w:r>
        <w:rPr>
          <w:rFonts w:cs="Arial"/>
          <w:color w:val="0D0D0D" w:themeColor="text1" w:themeTint="F2"/>
          <w:spacing w:val="-2"/>
          <w:sz w:val="16"/>
          <w:szCs w:val="16"/>
          <w:lang w:val="en-GB"/>
        </w:rPr>
        <w:t xml:space="preserve"> and </w:t>
      </w:r>
      <w:r w:rsidR="00F3394D">
        <w:rPr>
          <w:rFonts w:cs="Arial"/>
          <w:color w:val="0D0D0D" w:themeColor="text1" w:themeTint="F2"/>
          <w:spacing w:val="-2"/>
          <w:sz w:val="16"/>
          <w:szCs w:val="16"/>
          <w:lang w:val="en-GB"/>
        </w:rPr>
        <w:t>Q</w:t>
      </w:r>
      <w:r w:rsidRPr="00851B1C">
        <w:rPr>
          <w:rFonts w:cs="Arial"/>
          <w:color w:val="0D0D0D" w:themeColor="text1" w:themeTint="F2"/>
          <w:spacing w:val="-2"/>
          <w:sz w:val="16"/>
          <w:szCs w:val="16"/>
          <w:lang w:val="en-GB"/>
        </w:rPr>
        <w:t>4</w:t>
      </w:r>
      <w:r>
        <w:rPr>
          <w:rFonts w:cs="Arial"/>
          <w:color w:val="0D0D0D" w:themeColor="text1" w:themeTint="F2"/>
          <w:spacing w:val="-2"/>
          <w:sz w:val="16"/>
          <w:szCs w:val="16"/>
          <w:lang w:val="en-GB"/>
        </w:rPr>
        <w:t xml:space="preserve"> </w:t>
      </w:r>
      <w:r w:rsidRPr="00851B1C">
        <w:rPr>
          <w:rFonts w:cs="Arial"/>
          <w:color w:val="0D0D0D" w:themeColor="text1" w:themeTint="F2"/>
          <w:spacing w:val="-2"/>
          <w:sz w:val="16"/>
          <w:szCs w:val="16"/>
          <w:lang w:val="en-GB"/>
        </w:rPr>
        <w:t>2019 (</w:t>
      </w:r>
      <w:r w:rsidRPr="00851B1C">
        <w:rPr>
          <w:rFonts w:cs="Arial"/>
          <w:color w:val="0D0D0D" w:themeColor="text1" w:themeTint="F2"/>
          <w:spacing w:val="-3"/>
          <w:sz w:val="16"/>
          <w:szCs w:val="16"/>
          <w:lang w:val="en-GB"/>
        </w:rPr>
        <w:t>–</w:t>
      </w:r>
      <w:r w:rsidRPr="00851B1C">
        <w:rPr>
          <w:rFonts w:cs="Arial"/>
          <w:color w:val="0D0D0D" w:themeColor="text1" w:themeTint="F2"/>
          <w:spacing w:val="-2"/>
          <w:sz w:val="16"/>
          <w:szCs w:val="16"/>
          <w:lang w:val="en-GB"/>
        </w:rPr>
        <w:t>1</w:t>
      </w:r>
      <w:r>
        <w:rPr>
          <w:rFonts w:cs="Arial"/>
          <w:color w:val="0D0D0D" w:themeColor="text1" w:themeTint="F2"/>
          <w:spacing w:val="-2"/>
          <w:sz w:val="16"/>
          <w:szCs w:val="16"/>
          <w:lang w:val="en-GB"/>
        </w:rPr>
        <w:t>.</w:t>
      </w:r>
      <w:r w:rsidRPr="00851B1C">
        <w:rPr>
          <w:rFonts w:cs="Arial"/>
          <w:color w:val="0D0D0D" w:themeColor="text1" w:themeTint="F2"/>
          <w:spacing w:val="-2"/>
          <w:sz w:val="16"/>
          <w:szCs w:val="16"/>
          <w:lang w:val="en-GB"/>
        </w:rPr>
        <w:t>6% a</w:t>
      </w:r>
      <w:r>
        <w:rPr>
          <w:rFonts w:cs="Arial"/>
          <w:color w:val="0D0D0D" w:themeColor="text1" w:themeTint="F2"/>
          <w:spacing w:val="-2"/>
          <w:sz w:val="16"/>
          <w:szCs w:val="16"/>
          <w:lang w:val="en-GB"/>
        </w:rPr>
        <w:t>nd</w:t>
      </w:r>
      <w:r w:rsidRPr="00851B1C">
        <w:rPr>
          <w:rFonts w:cs="Arial"/>
          <w:color w:val="0D0D0D" w:themeColor="text1" w:themeTint="F2"/>
          <w:spacing w:val="-2"/>
          <w:sz w:val="16"/>
          <w:szCs w:val="16"/>
          <w:lang w:val="en-GB"/>
        </w:rPr>
        <w:t> </w:t>
      </w:r>
      <w:r w:rsidRPr="00851B1C">
        <w:rPr>
          <w:rFonts w:cs="Arial"/>
          <w:color w:val="0D0D0D" w:themeColor="text1" w:themeTint="F2"/>
          <w:spacing w:val="-3"/>
          <w:sz w:val="16"/>
          <w:szCs w:val="16"/>
          <w:lang w:val="en-GB"/>
        </w:rPr>
        <w:t>–</w:t>
      </w:r>
      <w:r w:rsidRPr="00851B1C">
        <w:rPr>
          <w:rFonts w:cs="Arial"/>
          <w:color w:val="0D0D0D" w:themeColor="text1" w:themeTint="F2"/>
          <w:spacing w:val="-2"/>
          <w:sz w:val="16"/>
          <w:szCs w:val="16"/>
          <w:lang w:val="en-GB"/>
        </w:rPr>
        <w:t>0</w:t>
      </w:r>
      <w:r>
        <w:rPr>
          <w:rFonts w:cs="Arial"/>
          <w:color w:val="0D0D0D" w:themeColor="text1" w:themeTint="F2"/>
          <w:spacing w:val="-2"/>
          <w:sz w:val="16"/>
          <w:szCs w:val="16"/>
          <w:lang w:val="en-GB"/>
        </w:rPr>
        <w:t>.</w:t>
      </w:r>
      <w:r w:rsidRPr="00851B1C">
        <w:rPr>
          <w:rFonts w:cs="Arial"/>
          <w:color w:val="0D0D0D" w:themeColor="text1" w:themeTint="F2"/>
          <w:spacing w:val="-2"/>
          <w:sz w:val="16"/>
          <w:szCs w:val="16"/>
          <w:lang w:val="en-GB"/>
        </w:rPr>
        <w:t xml:space="preserve">6%). </w:t>
      </w:r>
      <w:r>
        <w:rPr>
          <w:rFonts w:cs="Arial"/>
          <w:color w:val="0D0D0D" w:themeColor="text1" w:themeTint="F2"/>
          <w:spacing w:val="-2"/>
          <w:sz w:val="16"/>
          <w:szCs w:val="16"/>
          <w:lang w:val="en-GB"/>
        </w:rPr>
        <w:t xml:space="preserve">Since it was accompanied by the reduction of employment, the domestic industry fell into technical recession at the end of last year. </w:t>
      </w:r>
    </w:p>
  </w:footnote>
  <w:footnote w:id="20">
    <w:p w14:paraId="50856ADF" w14:textId="77777777" w:rsidR="00C2211E" w:rsidRPr="00575EF7" w:rsidRDefault="00C2211E" w:rsidP="00C2211E">
      <w:pPr>
        <w:pStyle w:val="Textpoznpodarou"/>
        <w:jc w:val="both"/>
        <w:rPr>
          <w:sz w:val="16"/>
          <w:szCs w:val="16"/>
          <w:lang w:val="en-GB"/>
        </w:rPr>
      </w:pPr>
      <w:r w:rsidRPr="005813A9">
        <w:rPr>
          <w:rStyle w:val="Znakapoznpodarou"/>
          <w:rFonts w:cs="Arial"/>
          <w:color w:val="0D0D0D" w:themeColor="text1" w:themeTint="F2"/>
          <w:sz w:val="16"/>
          <w:szCs w:val="16"/>
        </w:rPr>
        <w:footnoteRef/>
      </w:r>
      <w:r w:rsidRPr="005813A9">
        <w:rPr>
          <w:rFonts w:cs="Arial"/>
          <w:color w:val="0D0D0D" w:themeColor="text1" w:themeTint="F2"/>
          <w:sz w:val="16"/>
          <w:szCs w:val="16"/>
        </w:rPr>
        <w:t xml:space="preserve"> </w:t>
      </w:r>
      <w:r w:rsidRPr="00575EF7">
        <w:rPr>
          <w:rFonts w:cs="Arial"/>
          <w:color w:val="0D0D0D" w:themeColor="text1" w:themeTint="F2"/>
          <w:sz w:val="16"/>
          <w:szCs w:val="16"/>
          <w:lang w:val="en-GB"/>
        </w:rPr>
        <w:t>In 2009 even more significant downturn occurred, when the volume of fixed investment fell by 9.2% year-on-year and machinery output slumped by 28%.</w:t>
      </w:r>
    </w:p>
  </w:footnote>
  <w:footnote w:id="21">
    <w:p w14:paraId="2961CAD3" w14:textId="77777777" w:rsidR="00C2211E" w:rsidRPr="00531BC0" w:rsidRDefault="00C2211E" w:rsidP="00C2211E">
      <w:pPr>
        <w:pStyle w:val="Textpoznpodarou"/>
        <w:jc w:val="both"/>
        <w:rPr>
          <w:rFonts w:cs="Arial"/>
          <w:color w:val="0D0D0D" w:themeColor="text1" w:themeTint="F2"/>
          <w:spacing w:val="-2"/>
          <w:sz w:val="16"/>
          <w:szCs w:val="16"/>
          <w:lang w:val="en-GB"/>
        </w:rPr>
      </w:pPr>
      <w:r w:rsidRPr="007A20EB">
        <w:rPr>
          <w:rStyle w:val="Znakapoznpodarou"/>
          <w:rFonts w:cs="Arial"/>
          <w:color w:val="0D0D0D" w:themeColor="text1" w:themeTint="F2"/>
          <w:spacing w:val="-2"/>
          <w:sz w:val="16"/>
          <w:szCs w:val="16"/>
        </w:rPr>
        <w:footnoteRef/>
      </w:r>
      <w:r w:rsidRPr="007A20EB">
        <w:rPr>
          <w:rFonts w:cs="Arial"/>
          <w:color w:val="0D0D0D" w:themeColor="text1" w:themeTint="F2"/>
          <w:spacing w:val="-2"/>
          <w:sz w:val="16"/>
          <w:szCs w:val="16"/>
        </w:rPr>
        <w:t xml:space="preserve"> </w:t>
      </w:r>
      <w:r w:rsidRPr="00AE4E7F">
        <w:rPr>
          <w:rFonts w:cs="Arial"/>
          <w:color w:val="0D0D0D" w:themeColor="text1" w:themeTint="F2"/>
          <w:spacing w:val="-2"/>
          <w:sz w:val="16"/>
          <w:szCs w:val="16"/>
          <w:lang w:val="en-GB"/>
        </w:rPr>
        <w:t xml:space="preserve">Surveying of orders is ongoing only in selected CZ-NACE sections </w:t>
      </w:r>
      <w:r w:rsidRPr="00AE4E7F">
        <w:rPr>
          <w:rFonts w:cs="Arial"/>
          <w:color w:val="0D0D0D" w:themeColor="text1" w:themeTint="F2"/>
          <w:sz w:val="16"/>
          <w:szCs w:val="16"/>
          <w:lang w:val="en-GB"/>
        </w:rPr>
        <w:t>(13, 14, 17, 20, 21, 24, 25, 26, 27, 28, 29, 30), which manufacture</w:t>
      </w:r>
      <w:r>
        <w:rPr>
          <w:rFonts w:cs="Arial"/>
          <w:color w:val="0D0D0D" w:themeColor="text1" w:themeTint="F2"/>
          <w:sz w:val="16"/>
          <w:szCs w:val="16"/>
          <w:lang w:val="en-GB"/>
        </w:rPr>
        <w:t xml:space="preserve"> mostly custom-made products, with longer production cycle and larger stocks of orders. </w:t>
      </w:r>
      <w:r w:rsidRPr="00AE4E7F">
        <w:rPr>
          <w:rFonts w:cs="Arial"/>
          <w:color w:val="0D0D0D" w:themeColor="text1" w:themeTint="F2"/>
          <w:sz w:val="16"/>
          <w:szCs w:val="16"/>
          <w:lang w:val="en-GB"/>
        </w:rPr>
        <w:t xml:space="preserve"> </w:t>
      </w:r>
    </w:p>
  </w:footnote>
  <w:footnote w:id="22">
    <w:p w14:paraId="27AEC404" w14:textId="77777777" w:rsidR="00C2211E" w:rsidRPr="00531BC0" w:rsidRDefault="00C2211E" w:rsidP="00C2211E">
      <w:pPr>
        <w:pStyle w:val="Textpoznpodarou"/>
        <w:jc w:val="both"/>
        <w:rPr>
          <w:rFonts w:cs="Arial"/>
          <w:color w:val="0D0D0D" w:themeColor="text1" w:themeTint="F2"/>
          <w:spacing w:val="-2"/>
          <w:sz w:val="16"/>
          <w:szCs w:val="16"/>
          <w:lang w:val="en-GB"/>
        </w:rPr>
      </w:pPr>
      <w:r w:rsidRPr="00531BC0">
        <w:rPr>
          <w:rStyle w:val="Znakapoznpodarou"/>
          <w:rFonts w:cs="Arial"/>
          <w:color w:val="0D0D0D" w:themeColor="text1" w:themeTint="F2"/>
          <w:spacing w:val="-2"/>
          <w:sz w:val="16"/>
          <w:szCs w:val="16"/>
          <w:lang w:val="en-GB"/>
        </w:rPr>
        <w:footnoteRef/>
      </w:r>
      <w:r w:rsidRPr="00531BC0">
        <w:rPr>
          <w:rFonts w:cs="Arial"/>
          <w:color w:val="0D0D0D" w:themeColor="text1" w:themeTint="F2"/>
          <w:spacing w:val="-2"/>
          <w:sz w:val="16"/>
          <w:szCs w:val="16"/>
          <w:lang w:val="en-GB"/>
        </w:rPr>
        <w:t xml:space="preserve"> Businesses could have stated more main barriers simultaneously. All data from business cycle surveys are seasonally adjusted. </w:t>
      </w:r>
    </w:p>
  </w:footnote>
  <w:footnote w:id="23">
    <w:p w14:paraId="76A28C3D" w14:textId="77777777" w:rsidR="00C2211E" w:rsidRPr="00763C9F" w:rsidRDefault="00C2211E" w:rsidP="00C2211E">
      <w:pPr>
        <w:pStyle w:val="Textpoznpodarou"/>
        <w:jc w:val="both"/>
        <w:rPr>
          <w:spacing w:val="-4"/>
          <w:sz w:val="16"/>
          <w:szCs w:val="16"/>
          <w:lang w:val="en-GB"/>
        </w:rPr>
      </w:pPr>
      <w:r w:rsidRPr="005813A9">
        <w:rPr>
          <w:rStyle w:val="Znakapoznpodarou"/>
          <w:rFonts w:cs="Arial"/>
          <w:color w:val="0D0D0D" w:themeColor="text1" w:themeTint="F2"/>
          <w:spacing w:val="-2"/>
          <w:sz w:val="16"/>
          <w:szCs w:val="16"/>
        </w:rPr>
        <w:footnoteRef/>
      </w:r>
      <w:r>
        <w:rPr>
          <w:rFonts w:cs="Arial"/>
          <w:color w:val="0D0D0D" w:themeColor="text1" w:themeTint="F2"/>
          <w:spacing w:val="-2"/>
          <w:sz w:val="16"/>
          <w:szCs w:val="16"/>
        </w:rPr>
        <w:t xml:space="preserve"> </w:t>
      </w:r>
      <w:r w:rsidRPr="00763C9F">
        <w:rPr>
          <w:rFonts w:cs="Arial"/>
          <w:color w:val="0D0D0D" w:themeColor="text1" w:themeTint="F2"/>
          <w:spacing w:val="-2"/>
          <w:sz w:val="16"/>
          <w:szCs w:val="16"/>
          <w:lang w:val="en-GB"/>
        </w:rPr>
        <w:t xml:space="preserve">All year-on-year data regarding the construction output are adjusted for calendar effects, quarter-on-quarter as well as month-on-month rates of growth then also for seasonality effect. </w:t>
      </w:r>
    </w:p>
  </w:footnote>
  <w:footnote w:id="24">
    <w:p w14:paraId="54EB089B" w14:textId="77777777" w:rsidR="00C2211E" w:rsidRPr="00DE3CA3" w:rsidRDefault="00C2211E" w:rsidP="00C2211E">
      <w:pPr>
        <w:pStyle w:val="Textpoznpodarou"/>
        <w:jc w:val="both"/>
        <w:rPr>
          <w:spacing w:val="-4"/>
          <w:sz w:val="16"/>
          <w:szCs w:val="16"/>
          <w:lang w:val="en-GB"/>
        </w:rPr>
      </w:pPr>
      <w:r w:rsidRPr="005813A9">
        <w:rPr>
          <w:rStyle w:val="Znakapoznpodarou"/>
          <w:rFonts w:cs="Arial"/>
          <w:color w:val="0D0D0D" w:themeColor="text1" w:themeTint="F2"/>
          <w:spacing w:val="-2"/>
          <w:sz w:val="16"/>
          <w:szCs w:val="16"/>
        </w:rPr>
        <w:footnoteRef/>
      </w:r>
      <w:r>
        <w:rPr>
          <w:rFonts w:cs="Arial"/>
          <w:color w:val="0D0D0D" w:themeColor="text1" w:themeTint="F2"/>
          <w:spacing w:val="-2"/>
          <w:sz w:val="16"/>
          <w:szCs w:val="16"/>
        </w:rPr>
        <w:t xml:space="preserve"> </w:t>
      </w:r>
      <w:r w:rsidRPr="00DE3CA3">
        <w:rPr>
          <w:rFonts w:cs="Arial"/>
          <w:color w:val="0D0D0D" w:themeColor="text1" w:themeTint="F2"/>
          <w:spacing w:val="-2"/>
          <w:sz w:val="16"/>
          <w:szCs w:val="16"/>
          <w:lang w:val="en-GB"/>
        </w:rPr>
        <w:t>Construction firms that have work ensured on average for the ten months</w:t>
      </w:r>
      <w:r>
        <w:rPr>
          <w:rFonts w:cs="Arial"/>
          <w:color w:val="0D0D0D" w:themeColor="text1" w:themeTint="F2"/>
          <w:spacing w:val="-2"/>
          <w:sz w:val="16"/>
          <w:szCs w:val="16"/>
          <w:lang w:val="en-GB"/>
        </w:rPr>
        <w:t xml:space="preserve"> ahead</w:t>
      </w:r>
      <w:r w:rsidRPr="00DE3CA3">
        <w:rPr>
          <w:rFonts w:cs="Arial"/>
          <w:color w:val="0D0D0D" w:themeColor="text1" w:themeTint="F2"/>
          <w:spacing w:val="-2"/>
          <w:sz w:val="16"/>
          <w:szCs w:val="16"/>
          <w:lang w:val="en-GB"/>
        </w:rPr>
        <w:t xml:space="preserve">. </w:t>
      </w:r>
    </w:p>
  </w:footnote>
  <w:footnote w:id="25">
    <w:p w14:paraId="57B5F34E" w14:textId="77777777" w:rsidR="00C2211E" w:rsidRPr="00301F37" w:rsidRDefault="00C2211E" w:rsidP="00C2211E">
      <w:pPr>
        <w:spacing w:after="0" w:line="240" w:lineRule="auto"/>
        <w:rPr>
          <w:lang w:val="en-GB"/>
        </w:rPr>
      </w:pPr>
      <w:r w:rsidRPr="004A26AF">
        <w:rPr>
          <w:rStyle w:val="Znakapoznpodarou"/>
          <w:color w:val="0D0D0D" w:themeColor="text1" w:themeTint="F2"/>
          <w:sz w:val="16"/>
          <w:szCs w:val="16"/>
        </w:rPr>
        <w:footnoteRef/>
      </w:r>
      <w:r>
        <w:rPr>
          <w:color w:val="0D0D0D" w:themeColor="text1" w:themeTint="F2"/>
          <w:sz w:val="16"/>
          <w:szCs w:val="16"/>
        </w:rPr>
        <w:t xml:space="preserve"> </w:t>
      </w:r>
      <w:r w:rsidRPr="00301F37">
        <w:rPr>
          <w:color w:val="0D0D0D" w:themeColor="text1" w:themeTint="F2"/>
          <w:sz w:val="16"/>
          <w:szCs w:val="16"/>
          <w:lang w:val="en-GB"/>
        </w:rPr>
        <w:t xml:space="preserve">Greece, Italy and Cyprus were not assessed for the reason of absence of current figures. </w:t>
      </w:r>
    </w:p>
  </w:footnote>
  <w:footnote w:id="26">
    <w:p w14:paraId="7A43DEBC" w14:textId="77777777" w:rsidR="00C2211E" w:rsidRPr="00301F37" w:rsidRDefault="00C2211E" w:rsidP="00C2211E">
      <w:pPr>
        <w:spacing w:after="0" w:line="240" w:lineRule="auto"/>
        <w:rPr>
          <w:lang w:val="en-GB"/>
        </w:rPr>
      </w:pPr>
      <w:r w:rsidRPr="00301F37">
        <w:rPr>
          <w:rStyle w:val="Znakapoznpodarou"/>
          <w:color w:val="0D0D0D" w:themeColor="text1" w:themeTint="F2"/>
          <w:sz w:val="16"/>
          <w:szCs w:val="16"/>
          <w:lang w:val="en-GB"/>
        </w:rPr>
        <w:footnoteRef/>
      </w:r>
      <w:r w:rsidRPr="00301F37">
        <w:rPr>
          <w:color w:val="0D0D0D" w:themeColor="text1" w:themeTint="F2"/>
          <w:sz w:val="16"/>
          <w:szCs w:val="16"/>
          <w:lang w:val="en-GB"/>
        </w:rPr>
        <w:t xml:space="preserve"> Without branches trade, financial activities, insurance activities, science, research and public services</w:t>
      </w:r>
      <w:r>
        <w:rPr>
          <w:color w:val="0D0D0D" w:themeColor="text1" w:themeTint="F2"/>
          <w:sz w:val="16"/>
          <w:szCs w:val="16"/>
          <w:lang w:val="en-GB"/>
        </w:rPr>
        <w:t xml:space="preserve">. All data for services are in constant prices, year-on-year data are adjusted for calendar effects, quarter-on-quarter and month-on-month data are adjusted for seasonal effects (including the number of working days). </w:t>
      </w:r>
    </w:p>
  </w:footnote>
  <w:footnote w:id="27">
    <w:p w14:paraId="18C4C59D" w14:textId="77777777" w:rsidR="00C2211E" w:rsidRPr="00EF0B27" w:rsidRDefault="00C2211E" w:rsidP="00C2211E">
      <w:pPr>
        <w:pStyle w:val="Textpoznpodarou"/>
        <w:jc w:val="both"/>
        <w:rPr>
          <w:color w:val="0D0D0D" w:themeColor="text1" w:themeTint="F2"/>
          <w:spacing w:val="-2"/>
          <w:sz w:val="16"/>
          <w:szCs w:val="16"/>
          <w:lang w:val="en-GB"/>
        </w:rPr>
      </w:pPr>
      <w:r w:rsidRPr="000F615E">
        <w:rPr>
          <w:rStyle w:val="Znakapoznpodarou"/>
          <w:rFonts w:cs="Arial"/>
          <w:color w:val="0D0D0D" w:themeColor="text1" w:themeTint="F2"/>
          <w:spacing w:val="-2"/>
          <w:sz w:val="16"/>
          <w:szCs w:val="16"/>
        </w:rPr>
        <w:footnoteRef/>
      </w:r>
      <w:r>
        <w:rPr>
          <w:sz w:val="16"/>
          <w:szCs w:val="16"/>
          <w:lang w:val="en-GB"/>
        </w:rPr>
        <w:t xml:space="preserve"> </w:t>
      </w:r>
      <w:r w:rsidRPr="00EF0B27">
        <w:rPr>
          <w:sz w:val="16"/>
          <w:szCs w:val="16"/>
          <w:lang w:val="en-GB"/>
        </w:rPr>
        <w:t xml:space="preserve">According to the Union of motion picture distributors, the sales from entrance fees in the cinemas in the CR decreased by 56% year-on-year in H1 2020. It was consequence of several weeks’ interruption of the cinemas operations and later also the limited offer of motion pictures. The number of visitors was lower nearly by one half - to 709 thousand year-on-year even in July </w:t>
      </w:r>
      <w:r w:rsidRPr="00EF0B27">
        <w:rPr>
          <w:color w:val="0D0D0D" w:themeColor="text1" w:themeTint="F2"/>
          <w:spacing w:val="-2"/>
          <w:sz w:val="16"/>
          <w:szCs w:val="16"/>
          <w:lang w:val="en-GB"/>
        </w:rPr>
        <w:t>(lower July figure was last recorded in 2000).</w:t>
      </w:r>
    </w:p>
  </w:footnote>
  <w:footnote w:id="28">
    <w:p w14:paraId="4FDDE07D" w14:textId="77777777" w:rsidR="00C2211E" w:rsidRPr="008D37BF" w:rsidRDefault="00C2211E" w:rsidP="00C2211E">
      <w:pPr>
        <w:spacing w:after="0" w:line="240" w:lineRule="auto"/>
        <w:rPr>
          <w:color w:val="0D0D0D" w:themeColor="text1" w:themeTint="F2"/>
          <w:sz w:val="16"/>
          <w:szCs w:val="16"/>
          <w:lang w:val="en-GB"/>
        </w:rPr>
      </w:pPr>
      <w:r w:rsidRPr="004A26AF">
        <w:rPr>
          <w:rStyle w:val="Znakapoznpodarou"/>
          <w:color w:val="0D0D0D" w:themeColor="text1" w:themeTint="F2"/>
          <w:sz w:val="16"/>
          <w:szCs w:val="16"/>
        </w:rPr>
        <w:footnoteRef/>
      </w:r>
      <w:r>
        <w:rPr>
          <w:color w:val="0D0D0D" w:themeColor="text1" w:themeTint="F2"/>
          <w:sz w:val="16"/>
          <w:szCs w:val="16"/>
        </w:rPr>
        <w:t xml:space="preserve"> </w:t>
      </w:r>
      <w:r w:rsidRPr="008D37BF">
        <w:rPr>
          <w:color w:val="0D0D0D" w:themeColor="text1" w:themeTint="F2"/>
          <w:spacing w:val="-3"/>
          <w:sz w:val="16"/>
          <w:szCs w:val="16"/>
          <w:lang w:val="en-GB"/>
        </w:rPr>
        <w:t>The number of overnight stays of non-residents in mass accommodation facilities decreased by 54% in the CR this year compared to H1 2019</w:t>
      </w:r>
      <w:r w:rsidRPr="008D37BF">
        <w:rPr>
          <w:rFonts w:eastAsia="Calibri"/>
          <w:sz w:val="16"/>
          <w:szCs w:val="16"/>
          <w:lang w:val="en-GB"/>
        </w:rPr>
        <w:t xml:space="preserve">, for non-resident tourists even by 64%. The fallout was for the most part blanket, both from the view of the type of facility and the region of accommodation. Even after easing most of the barriers connected to the across the border movement of persons, the arrival tourism in the CR remained to a large extent paralyzed. The year-on-year decrease of all overnight stays was </w:t>
      </w:r>
      <w:r w:rsidRPr="008D37BF">
        <w:rPr>
          <w:color w:val="0D0D0D" w:themeColor="text1" w:themeTint="F2"/>
          <w:sz w:val="16"/>
          <w:szCs w:val="16"/>
          <w:lang w:val="en-GB"/>
        </w:rPr>
        <w:t>60% in June, in that 90% for foreign visitors.</w:t>
      </w:r>
    </w:p>
  </w:footnote>
  <w:footnote w:id="29">
    <w:p w14:paraId="0DFA0E0E" w14:textId="77777777" w:rsidR="00C2211E" w:rsidRPr="008D37BF" w:rsidRDefault="00C2211E" w:rsidP="00C2211E">
      <w:pPr>
        <w:spacing w:after="0" w:line="240" w:lineRule="auto"/>
        <w:rPr>
          <w:lang w:val="en-GB"/>
        </w:rPr>
      </w:pPr>
      <w:r w:rsidRPr="008D37BF">
        <w:rPr>
          <w:rStyle w:val="Znakapoznpodarou"/>
          <w:color w:val="0D0D0D" w:themeColor="text1" w:themeTint="F2"/>
          <w:sz w:val="16"/>
          <w:szCs w:val="16"/>
          <w:lang w:val="en-GB"/>
        </w:rPr>
        <w:footnoteRef/>
      </w:r>
      <w:r w:rsidRPr="008D37BF">
        <w:rPr>
          <w:color w:val="0D0D0D" w:themeColor="text1" w:themeTint="F2"/>
          <w:sz w:val="16"/>
          <w:szCs w:val="16"/>
          <w:lang w:val="en-GB"/>
        </w:rPr>
        <w:t xml:space="preserve"> </w:t>
      </w:r>
      <w:r>
        <w:rPr>
          <w:color w:val="0D0D0D" w:themeColor="text1" w:themeTint="F2"/>
          <w:sz w:val="16"/>
          <w:szCs w:val="16"/>
          <w:lang w:val="en-GB"/>
        </w:rPr>
        <w:t>All year-on-year rates of growth of retail sales are stated in constant prices and adjusted for calendar effects (including the number of working days</w:t>
      </w:r>
      <w:r w:rsidRPr="008D37BF">
        <w:rPr>
          <w:color w:val="0D0D0D" w:themeColor="text1" w:themeTint="F2"/>
          <w:sz w:val="16"/>
          <w:szCs w:val="16"/>
          <w:lang w:val="en-GB"/>
        </w:rPr>
        <w:t>).</w:t>
      </w:r>
      <w:r>
        <w:rPr>
          <w:color w:val="0D0D0D" w:themeColor="text1" w:themeTint="F2"/>
          <w:sz w:val="16"/>
          <w:szCs w:val="16"/>
          <w:lang w:val="en-GB"/>
        </w:rPr>
        <w:t xml:space="preserve"> Retail includes branches </w:t>
      </w:r>
      <w:r w:rsidRPr="008D37BF">
        <w:rPr>
          <w:color w:val="0D0D0D" w:themeColor="text1" w:themeTint="F2"/>
          <w:sz w:val="16"/>
          <w:szCs w:val="16"/>
          <w:lang w:val="en-GB"/>
        </w:rPr>
        <w:t>CZ</w:t>
      </w:r>
      <w:r w:rsidRPr="008D37BF">
        <w:rPr>
          <w:color w:val="0D0D0D" w:themeColor="text1" w:themeTint="F2"/>
          <w:sz w:val="16"/>
          <w:szCs w:val="16"/>
          <w:lang w:val="en-GB"/>
        </w:rPr>
        <w:noBreakHyphen/>
        <w:t>NACE 47.</w:t>
      </w:r>
    </w:p>
  </w:footnote>
  <w:footnote w:id="30">
    <w:p w14:paraId="4CF9DF1D" w14:textId="77777777" w:rsidR="00C2211E" w:rsidRPr="008D37BF" w:rsidRDefault="00C2211E" w:rsidP="00C2211E">
      <w:pPr>
        <w:spacing w:after="0" w:line="240" w:lineRule="auto"/>
        <w:rPr>
          <w:lang w:val="en-GB"/>
        </w:rPr>
      </w:pPr>
      <w:r w:rsidRPr="008D37BF">
        <w:rPr>
          <w:rStyle w:val="Znakapoznpodarou"/>
          <w:color w:val="0D0D0D" w:themeColor="text1" w:themeTint="F2"/>
          <w:sz w:val="16"/>
          <w:szCs w:val="16"/>
          <w:lang w:val="en-GB"/>
        </w:rPr>
        <w:footnoteRef/>
      </w:r>
      <w:r w:rsidRPr="008D37BF">
        <w:rPr>
          <w:color w:val="0D0D0D" w:themeColor="text1" w:themeTint="F2"/>
          <w:sz w:val="16"/>
          <w:szCs w:val="16"/>
          <w:lang w:val="en-GB"/>
        </w:rPr>
        <w:t xml:space="preserve"> </w:t>
      </w:r>
      <w:r>
        <w:rPr>
          <w:color w:val="0D0D0D" w:themeColor="text1" w:themeTint="F2"/>
          <w:sz w:val="16"/>
          <w:szCs w:val="16"/>
          <w:lang w:val="en-GB"/>
        </w:rPr>
        <w:t xml:space="preserve">Retail sales slumped by </w:t>
      </w:r>
      <w:r w:rsidRPr="008D37BF">
        <w:rPr>
          <w:color w:val="0D0D0D" w:themeColor="text1" w:themeTint="F2"/>
          <w:sz w:val="16"/>
          <w:szCs w:val="16"/>
          <w:lang w:val="en-GB"/>
        </w:rPr>
        <w:t>10</w:t>
      </w:r>
      <w:r>
        <w:rPr>
          <w:color w:val="0D0D0D" w:themeColor="text1" w:themeTint="F2"/>
          <w:sz w:val="16"/>
          <w:szCs w:val="16"/>
          <w:lang w:val="en-GB"/>
        </w:rPr>
        <w:t>.</w:t>
      </w:r>
      <w:r w:rsidRPr="008D37BF">
        <w:rPr>
          <w:color w:val="0D0D0D" w:themeColor="text1" w:themeTint="F2"/>
          <w:sz w:val="16"/>
          <w:szCs w:val="16"/>
          <w:lang w:val="en-GB"/>
        </w:rPr>
        <w:t>5%</w:t>
      </w:r>
      <w:r>
        <w:rPr>
          <w:color w:val="0D0D0D" w:themeColor="text1" w:themeTint="F2"/>
          <w:sz w:val="16"/>
          <w:szCs w:val="16"/>
          <w:lang w:val="en-GB"/>
        </w:rPr>
        <w:t xml:space="preserve"> month-on-month in March</w:t>
      </w:r>
      <w:r w:rsidRPr="008D37BF">
        <w:rPr>
          <w:color w:val="0D0D0D" w:themeColor="text1" w:themeTint="F2"/>
          <w:sz w:val="16"/>
          <w:szCs w:val="16"/>
          <w:lang w:val="en-GB"/>
        </w:rPr>
        <w:t>,</w:t>
      </w:r>
      <w:r>
        <w:rPr>
          <w:color w:val="0D0D0D" w:themeColor="text1" w:themeTint="F2"/>
          <w:sz w:val="16"/>
          <w:szCs w:val="16"/>
          <w:lang w:val="en-GB"/>
        </w:rPr>
        <w:t xml:space="preserve"> by further </w:t>
      </w:r>
      <w:r w:rsidRPr="008D37BF">
        <w:rPr>
          <w:color w:val="0D0D0D" w:themeColor="text1" w:themeTint="F2"/>
          <w:sz w:val="16"/>
          <w:szCs w:val="16"/>
          <w:lang w:val="en-GB"/>
        </w:rPr>
        <w:t>1</w:t>
      </w:r>
      <w:r>
        <w:rPr>
          <w:color w:val="0D0D0D" w:themeColor="text1" w:themeTint="F2"/>
          <w:sz w:val="16"/>
          <w:szCs w:val="16"/>
          <w:lang w:val="en-GB"/>
        </w:rPr>
        <w:t>.</w:t>
      </w:r>
      <w:r w:rsidRPr="008D37BF">
        <w:rPr>
          <w:color w:val="0D0D0D" w:themeColor="text1" w:themeTint="F2"/>
          <w:sz w:val="16"/>
          <w:szCs w:val="16"/>
          <w:lang w:val="en-GB"/>
        </w:rPr>
        <w:t>8%</w:t>
      </w:r>
      <w:r>
        <w:rPr>
          <w:color w:val="0D0D0D" w:themeColor="text1" w:themeTint="F2"/>
          <w:sz w:val="16"/>
          <w:szCs w:val="16"/>
          <w:lang w:val="en-GB"/>
        </w:rPr>
        <w:t xml:space="preserve"> in April</w:t>
      </w:r>
      <w:r w:rsidRPr="008D37BF">
        <w:rPr>
          <w:color w:val="0D0D0D" w:themeColor="text1" w:themeTint="F2"/>
          <w:sz w:val="16"/>
          <w:szCs w:val="16"/>
          <w:lang w:val="en-GB"/>
        </w:rPr>
        <w:t>.</w:t>
      </w:r>
      <w:r>
        <w:rPr>
          <w:color w:val="0D0D0D" w:themeColor="text1" w:themeTint="F2"/>
          <w:sz w:val="16"/>
          <w:szCs w:val="16"/>
          <w:lang w:val="en-GB"/>
        </w:rPr>
        <w:t xml:space="preserve"> Sales already grew in the subsequent three months and they returned to the pre-pandemic level in July. </w:t>
      </w:r>
    </w:p>
  </w:footnote>
  <w:footnote w:id="31">
    <w:p w14:paraId="3B498098" w14:textId="11A5722C" w:rsidR="00C2211E" w:rsidRPr="00717096" w:rsidRDefault="00C2211E" w:rsidP="008F509F">
      <w:pPr>
        <w:pStyle w:val="Textpoznpodarou"/>
        <w:rPr>
          <w:sz w:val="16"/>
          <w:szCs w:val="16"/>
          <w:lang w:val="en-GB"/>
        </w:rPr>
      </w:pPr>
      <w:r w:rsidRPr="00EA508F">
        <w:rPr>
          <w:rStyle w:val="Znakapoznpodarou"/>
          <w:sz w:val="16"/>
          <w:szCs w:val="16"/>
        </w:rPr>
        <w:footnoteRef/>
      </w:r>
      <w:r w:rsidRPr="00EA508F">
        <w:rPr>
          <w:sz w:val="16"/>
          <w:szCs w:val="16"/>
        </w:rPr>
        <w:t xml:space="preserve"> </w:t>
      </w:r>
      <w:r w:rsidRPr="00717096">
        <w:rPr>
          <w:sz w:val="16"/>
          <w:szCs w:val="16"/>
          <w:lang w:val="en-GB"/>
        </w:rPr>
        <w:t>Share of export to Great Britain on the total value of export was 5.2% in Q2 2016. It was 3.2% in Q2 2020. The share was 4.2% for year 2019.</w:t>
      </w:r>
    </w:p>
  </w:footnote>
  <w:footnote w:id="32">
    <w:p w14:paraId="1FACD65F" w14:textId="1439835A" w:rsidR="00C2211E" w:rsidRPr="0068135D" w:rsidRDefault="00C2211E" w:rsidP="00295E96">
      <w:pPr>
        <w:pStyle w:val="Textpoznpodarou"/>
        <w:rPr>
          <w:sz w:val="16"/>
          <w:szCs w:val="16"/>
          <w:lang w:val="en-GB"/>
        </w:rPr>
      </w:pPr>
      <w:r>
        <w:rPr>
          <w:rStyle w:val="Znakapoznpodarou"/>
        </w:rPr>
        <w:footnoteRef/>
      </w:r>
      <w:r>
        <w:rPr>
          <w:sz w:val="16"/>
          <w:szCs w:val="16"/>
        </w:rPr>
        <w:t xml:space="preserve"> </w:t>
      </w:r>
      <w:r w:rsidRPr="0068135D">
        <w:rPr>
          <w:sz w:val="16"/>
          <w:szCs w:val="16"/>
          <w:lang w:val="en-GB"/>
        </w:rPr>
        <w:t xml:space="preserve">Gauged by the GDP deflator. </w:t>
      </w:r>
    </w:p>
  </w:footnote>
  <w:footnote w:id="33">
    <w:p w14:paraId="44A8AAB1" w14:textId="4E8F5C6E" w:rsidR="00C2211E" w:rsidRPr="001B626C" w:rsidRDefault="00C2211E" w:rsidP="00295E96">
      <w:pPr>
        <w:pStyle w:val="Textpoznpodarou"/>
        <w:rPr>
          <w:sz w:val="16"/>
          <w:szCs w:val="16"/>
          <w:lang w:val="en-GB"/>
        </w:rPr>
      </w:pPr>
      <w:r>
        <w:rPr>
          <w:rStyle w:val="Znakapoznpodarou"/>
        </w:rPr>
        <w:footnoteRef/>
      </w:r>
      <w:r>
        <w:rPr>
          <w:sz w:val="16"/>
          <w:szCs w:val="16"/>
        </w:rPr>
        <w:t xml:space="preserve"> </w:t>
      </w:r>
      <w:r w:rsidRPr="001B626C">
        <w:rPr>
          <w:sz w:val="16"/>
          <w:szCs w:val="16"/>
          <w:lang w:val="en-GB"/>
        </w:rPr>
        <w:t xml:space="preserve">Based on the harmonised index of consumer prices. The index can differ from the published national results in both methodology and numbers. </w:t>
      </w:r>
    </w:p>
  </w:footnote>
  <w:footnote w:id="34">
    <w:p w14:paraId="15A91A46" w14:textId="055C94AD" w:rsidR="00C2211E" w:rsidRPr="00531859" w:rsidRDefault="00C2211E" w:rsidP="00295E96">
      <w:pPr>
        <w:pStyle w:val="Textpoznpodarou"/>
        <w:rPr>
          <w:sz w:val="16"/>
          <w:szCs w:val="16"/>
          <w:lang w:val="en-GB"/>
        </w:rPr>
      </w:pPr>
      <w:r>
        <w:rPr>
          <w:rStyle w:val="Znakapoznpodarou"/>
        </w:rPr>
        <w:footnoteRef/>
      </w:r>
      <w:r>
        <w:rPr>
          <w:sz w:val="16"/>
          <w:szCs w:val="16"/>
        </w:rPr>
        <w:t xml:space="preserve"> </w:t>
      </w:r>
      <w:r w:rsidRPr="00531859">
        <w:rPr>
          <w:sz w:val="16"/>
          <w:szCs w:val="16"/>
          <w:lang w:val="en-GB"/>
        </w:rPr>
        <w:t>Individual data.</w:t>
      </w:r>
    </w:p>
  </w:footnote>
  <w:footnote w:id="35">
    <w:p w14:paraId="1361BE55" w14:textId="1155F31A" w:rsidR="00C2211E" w:rsidRDefault="00C2211E" w:rsidP="00295E96">
      <w:pPr>
        <w:pStyle w:val="Textpoznpodarou"/>
        <w:rPr>
          <w:sz w:val="16"/>
          <w:szCs w:val="16"/>
        </w:rPr>
      </w:pPr>
      <w:r>
        <w:rPr>
          <w:rStyle w:val="Znakapoznpodarou"/>
        </w:rPr>
        <w:footnoteRef/>
      </w:r>
      <w:r>
        <w:rPr>
          <w:sz w:val="16"/>
          <w:szCs w:val="16"/>
        </w:rPr>
        <w:t xml:space="preserve"> SITC 6 – </w:t>
      </w:r>
      <w:r w:rsidRPr="00062BF9">
        <w:rPr>
          <w:sz w:val="16"/>
          <w:szCs w:val="16"/>
          <w:lang w:val="en-GB"/>
        </w:rPr>
        <w:t>manufactured goods classified chiefly by material</w:t>
      </w:r>
    </w:p>
  </w:footnote>
  <w:footnote w:id="36">
    <w:p w14:paraId="27CF809F" w14:textId="5F48CADD" w:rsidR="00C2211E" w:rsidRDefault="00C2211E" w:rsidP="00295E96">
      <w:pPr>
        <w:pStyle w:val="Textpoznpodarou"/>
        <w:rPr>
          <w:sz w:val="16"/>
          <w:szCs w:val="16"/>
        </w:rPr>
      </w:pPr>
      <w:r>
        <w:rPr>
          <w:rStyle w:val="Znakapoznpodarou"/>
        </w:rPr>
        <w:footnoteRef/>
      </w:r>
      <w:r>
        <w:rPr>
          <w:sz w:val="16"/>
          <w:szCs w:val="16"/>
        </w:rPr>
        <w:t xml:space="preserve"> SITC 2 – </w:t>
      </w:r>
      <w:r w:rsidRPr="00062BF9">
        <w:rPr>
          <w:sz w:val="16"/>
          <w:szCs w:val="16"/>
          <w:lang w:val="en-GB"/>
        </w:rPr>
        <w:t>crude materials, inedible, except fuels.</w:t>
      </w:r>
      <w:r>
        <w:rPr>
          <w:sz w:val="16"/>
          <w:szCs w:val="16"/>
          <w:lang w:val="en-GB"/>
        </w:rPr>
        <w:t xml:space="preserve"> </w:t>
      </w:r>
    </w:p>
  </w:footnote>
  <w:footnote w:id="37">
    <w:p w14:paraId="36BA11B4" w14:textId="77777777" w:rsidR="00C2211E" w:rsidRPr="000B4EBA" w:rsidRDefault="00C2211E" w:rsidP="00C2211E">
      <w:pPr>
        <w:pStyle w:val="Textpoznpodarou"/>
        <w:jc w:val="both"/>
        <w:rPr>
          <w:spacing w:val="-4"/>
          <w:sz w:val="16"/>
          <w:szCs w:val="16"/>
          <w:lang w:val="en-GB"/>
        </w:rPr>
      </w:pPr>
      <w:r w:rsidRPr="00363D19">
        <w:rPr>
          <w:rStyle w:val="Znakapoznpodarou"/>
          <w:spacing w:val="-4"/>
          <w:sz w:val="16"/>
          <w:szCs w:val="16"/>
        </w:rPr>
        <w:footnoteRef/>
      </w:r>
      <w:r w:rsidRPr="00363D19">
        <w:rPr>
          <w:spacing w:val="-4"/>
          <w:sz w:val="16"/>
          <w:szCs w:val="16"/>
        </w:rPr>
        <w:t xml:space="preserve"> </w:t>
      </w:r>
      <w:r w:rsidRPr="000B4EBA">
        <w:rPr>
          <w:spacing w:val="-4"/>
          <w:sz w:val="16"/>
          <w:szCs w:val="16"/>
          <w:lang w:val="en-GB"/>
        </w:rPr>
        <w:t xml:space="preserve">Unless stated otherwise, data regarding employment are given in the national accounts’ conception after adjustment for seasonal effects in this chapter. </w:t>
      </w:r>
    </w:p>
  </w:footnote>
  <w:footnote w:id="38">
    <w:p w14:paraId="1B45FBBD"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Pr>
          <w:spacing w:val="-4"/>
          <w:sz w:val="16"/>
          <w:szCs w:val="16"/>
          <w:lang w:val="en-GB"/>
        </w:rPr>
        <w:t xml:space="preserve">E.g. in years </w:t>
      </w:r>
      <w:r w:rsidRPr="000B4EBA">
        <w:rPr>
          <w:spacing w:val="-4"/>
          <w:sz w:val="16"/>
          <w:szCs w:val="16"/>
          <w:lang w:val="en-GB"/>
        </w:rPr>
        <w:t>2009 a</w:t>
      </w:r>
      <w:r>
        <w:rPr>
          <w:spacing w:val="-4"/>
          <w:sz w:val="16"/>
          <w:szCs w:val="16"/>
          <w:lang w:val="en-GB"/>
        </w:rPr>
        <w:t>nd</w:t>
      </w:r>
      <w:r w:rsidRPr="000B4EBA">
        <w:rPr>
          <w:spacing w:val="-4"/>
          <w:sz w:val="16"/>
          <w:szCs w:val="16"/>
          <w:lang w:val="en-GB"/>
        </w:rPr>
        <w:t> 2010</w:t>
      </w:r>
      <w:r>
        <w:rPr>
          <w:spacing w:val="-4"/>
          <w:sz w:val="16"/>
          <w:szCs w:val="16"/>
          <w:lang w:val="en-GB"/>
        </w:rPr>
        <w:t xml:space="preserve">, the employment decrease lasted five quarters </w:t>
      </w:r>
      <w:r w:rsidRPr="000B4EBA">
        <w:rPr>
          <w:spacing w:val="-4"/>
          <w:sz w:val="16"/>
          <w:szCs w:val="16"/>
          <w:lang w:val="en-GB"/>
        </w:rPr>
        <w:t>(</w:t>
      </w:r>
      <w:r>
        <w:rPr>
          <w:spacing w:val="-4"/>
          <w:sz w:val="16"/>
          <w:szCs w:val="16"/>
          <w:lang w:val="en-GB"/>
        </w:rPr>
        <w:t xml:space="preserve">it arrived at total </w:t>
      </w:r>
      <w:r w:rsidRPr="000B4EBA">
        <w:rPr>
          <w:spacing w:val="-4"/>
          <w:sz w:val="16"/>
          <w:szCs w:val="16"/>
          <w:lang w:val="en-GB"/>
        </w:rPr>
        <w:t>–3</w:t>
      </w:r>
      <w:r>
        <w:rPr>
          <w:spacing w:val="-4"/>
          <w:sz w:val="16"/>
          <w:szCs w:val="16"/>
          <w:lang w:val="en-GB"/>
        </w:rPr>
        <w:t>.</w:t>
      </w:r>
      <w:r w:rsidRPr="000B4EBA">
        <w:rPr>
          <w:spacing w:val="-4"/>
          <w:sz w:val="16"/>
          <w:szCs w:val="16"/>
          <w:lang w:val="en-GB"/>
        </w:rPr>
        <w:t xml:space="preserve">8%), </w:t>
      </w:r>
      <w:r>
        <w:rPr>
          <w:spacing w:val="-4"/>
          <w:sz w:val="16"/>
          <w:szCs w:val="16"/>
          <w:lang w:val="en-GB"/>
        </w:rPr>
        <w:t xml:space="preserve">in period </w:t>
      </w:r>
      <w:r w:rsidRPr="000B4EBA">
        <w:rPr>
          <w:spacing w:val="-4"/>
          <w:sz w:val="16"/>
          <w:szCs w:val="16"/>
          <w:lang w:val="en-GB"/>
        </w:rPr>
        <w:t xml:space="preserve">1997 </w:t>
      </w:r>
      <w:r>
        <w:rPr>
          <w:spacing w:val="-4"/>
          <w:sz w:val="16"/>
          <w:szCs w:val="16"/>
          <w:lang w:val="en-GB"/>
        </w:rPr>
        <w:t>to</w:t>
      </w:r>
      <w:r w:rsidRPr="000B4EBA">
        <w:rPr>
          <w:spacing w:val="-4"/>
          <w:sz w:val="16"/>
          <w:szCs w:val="16"/>
          <w:lang w:val="en-GB"/>
        </w:rPr>
        <w:t xml:space="preserve"> 1999</w:t>
      </w:r>
      <w:r>
        <w:rPr>
          <w:spacing w:val="-4"/>
          <w:sz w:val="16"/>
          <w:szCs w:val="16"/>
          <w:lang w:val="en-GB"/>
        </w:rPr>
        <w:t xml:space="preserve"> even ten quarters </w:t>
      </w:r>
      <w:r w:rsidRPr="000B4EBA">
        <w:rPr>
          <w:spacing w:val="-4"/>
          <w:sz w:val="16"/>
          <w:szCs w:val="16"/>
          <w:lang w:val="en-GB"/>
        </w:rPr>
        <w:t>(–5</w:t>
      </w:r>
      <w:r>
        <w:rPr>
          <w:spacing w:val="-4"/>
          <w:sz w:val="16"/>
          <w:szCs w:val="16"/>
          <w:lang w:val="en-GB"/>
        </w:rPr>
        <w:t>.</w:t>
      </w:r>
      <w:r w:rsidRPr="000B4EBA">
        <w:rPr>
          <w:spacing w:val="-4"/>
          <w:sz w:val="16"/>
          <w:szCs w:val="16"/>
          <w:lang w:val="en-GB"/>
        </w:rPr>
        <w:t>1%).</w:t>
      </w:r>
    </w:p>
  </w:footnote>
  <w:footnote w:id="39">
    <w:p w14:paraId="66D73C54"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sidRPr="000B4EBA">
        <w:rPr>
          <w:spacing w:val="-5"/>
          <w:sz w:val="16"/>
          <w:szCs w:val="16"/>
          <w:lang w:val="en-GB"/>
        </w:rPr>
        <w:t>Situa</w:t>
      </w:r>
      <w:r>
        <w:rPr>
          <w:spacing w:val="-5"/>
          <w:sz w:val="16"/>
          <w:szCs w:val="16"/>
          <w:lang w:val="en-GB"/>
        </w:rPr>
        <w:t xml:space="preserve">tion was however different in individual branches. 7% decrease manifested similarly in manufacturing, in grouping trade transportation, accommodation and restaurants. In contrast, the number of entrepreneurs expanded by one sixth in information and communication, it was also higher in construction </w:t>
      </w:r>
      <w:r w:rsidRPr="000B4EBA">
        <w:rPr>
          <w:spacing w:val="-5"/>
          <w:sz w:val="16"/>
          <w:szCs w:val="16"/>
          <w:lang w:val="en-GB"/>
        </w:rPr>
        <w:t>(+1</w:t>
      </w:r>
      <w:r>
        <w:rPr>
          <w:spacing w:val="-5"/>
          <w:sz w:val="16"/>
          <w:szCs w:val="16"/>
          <w:lang w:val="en-GB"/>
        </w:rPr>
        <w:t>.</w:t>
      </w:r>
      <w:r w:rsidRPr="000B4EBA">
        <w:rPr>
          <w:spacing w:val="-5"/>
          <w:sz w:val="16"/>
          <w:szCs w:val="16"/>
          <w:lang w:val="en-GB"/>
        </w:rPr>
        <w:t>5%).</w:t>
      </w:r>
    </w:p>
  </w:footnote>
  <w:footnote w:id="40">
    <w:p w14:paraId="6A3244F8"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Pr>
          <w:spacing w:val="-4"/>
          <w:sz w:val="16"/>
          <w:szCs w:val="16"/>
          <w:lang w:val="en-GB"/>
        </w:rPr>
        <w:t xml:space="preserve">Small businesses were affected this way the most in accommodation, food service and restaurants </w:t>
      </w:r>
      <w:r w:rsidRPr="000B4EBA">
        <w:rPr>
          <w:spacing w:val="-4"/>
          <w:sz w:val="16"/>
          <w:szCs w:val="16"/>
          <w:lang w:val="en-GB"/>
        </w:rPr>
        <w:t>(94%</w:t>
      </w:r>
      <w:r>
        <w:rPr>
          <w:spacing w:val="-4"/>
          <w:sz w:val="16"/>
          <w:szCs w:val="16"/>
          <w:lang w:val="en-GB"/>
        </w:rPr>
        <w:t xml:space="preserve"> of entities in this branch</w:t>
      </w:r>
      <w:r w:rsidRPr="000B4EBA">
        <w:rPr>
          <w:spacing w:val="-4"/>
          <w:sz w:val="16"/>
          <w:szCs w:val="16"/>
          <w:lang w:val="en-GB"/>
        </w:rPr>
        <w:t>),</w:t>
      </w:r>
      <w:r>
        <w:rPr>
          <w:spacing w:val="-4"/>
          <w:sz w:val="16"/>
          <w:szCs w:val="16"/>
          <w:lang w:val="en-GB"/>
        </w:rPr>
        <w:t xml:space="preserve"> in education </w:t>
      </w:r>
      <w:r w:rsidRPr="000B4EBA">
        <w:rPr>
          <w:spacing w:val="-4"/>
          <w:sz w:val="16"/>
          <w:szCs w:val="16"/>
          <w:lang w:val="en-GB"/>
        </w:rPr>
        <w:t>(95%),</w:t>
      </w:r>
      <w:r>
        <w:rPr>
          <w:spacing w:val="-4"/>
          <w:sz w:val="16"/>
          <w:szCs w:val="16"/>
          <w:lang w:val="en-GB"/>
        </w:rPr>
        <w:t xml:space="preserve"> in cultural, amusement and recreational activities </w:t>
      </w:r>
      <w:r w:rsidRPr="000B4EBA">
        <w:rPr>
          <w:spacing w:val="-4"/>
          <w:sz w:val="16"/>
          <w:szCs w:val="16"/>
          <w:lang w:val="en-GB"/>
        </w:rPr>
        <w:t xml:space="preserve">(74%) </w:t>
      </w:r>
      <w:r>
        <w:rPr>
          <w:spacing w:val="-4"/>
          <w:sz w:val="16"/>
          <w:szCs w:val="16"/>
          <w:lang w:val="en-GB"/>
        </w:rPr>
        <w:t xml:space="preserve">or in other services activities </w:t>
      </w:r>
      <w:r w:rsidRPr="000B4EBA">
        <w:rPr>
          <w:spacing w:val="-4"/>
          <w:sz w:val="16"/>
          <w:szCs w:val="16"/>
          <w:lang w:val="en-GB"/>
        </w:rPr>
        <w:t xml:space="preserve">(86%), </w:t>
      </w:r>
      <w:r>
        <w:rPr>
          <w:spacing w:val="-4"/>
          <w:sz w:val="16"/>
          <w:szCs w:val="16"/>
          <w:lang w:val="en-GB"/>
        </w:rPr>
        <w:t>where is found for example hairdressing or repairs of products for personal use</w:t>
      </w:r>
      <w:r w:rsidRPr="000B4EBA">
        <w:rPr>
          <w:spacing w:val="-4"/>
          <w:sz w:val="16"/>
          <w:szCs w:val="16"/>
          <w:lang w:val="en-GB"/>
        </w:rPr>
        <w:t xml:space="preserve">. </w:t>
      </w:r>
      <w:r>
        <w:rPr>
          <w:spacing w:val="-4"/>
          <w:sz w:val="16"/>
          <w:szCs w:val="16"/>
          <w:lang w:val="en-GB"/>
        </w:rPr>
        <w:t xml:space="preserve">Impact in the two most frequent branches among entrepreneurs was also significant </w:t>
      </w:r>
      <w:r w:rsidRPr="000B4EBA">
        <w:rPr>
          <w:spacing w:val="-4"/>
          <w:sz w:val="16"/>
          <w:szCs w:val="16"/>
          <w:lang w:val="en-GB"/>
        </w:rPr>
        <w:t xml:space="preserve">– </w:t>
      </w:r>
      <w:r>
        <w:rPr>
          <w:spacing w:val="-4"/>
          <w:sz w:val="16"/>
          <w:szCs w:val="16"/>
          <w:lang w:val="en-GB"/>
        </w:rPr>
        <w:t xml:space="preserve">construction </w:t>
      </w:r>
      <w:r w:rsidRPr="000B4EBA">
        <w:rPr>
          <w:spacing w:val="-4"/>
          <w:sz w:val="16"/>
          <w:szCs w:val="16"/>
          <w:lang w:val="en-GB"/>
        </w:rPr>
        <w:t>(56%) a</w:t>
      </w:r>
      <w:r>
        <w:rPr>
          <w:spacing w:val="-4"/>
          <w:sz w:val="16"/>
          <w:szCs w:val="16"/>
          <w:lang w:val="en-GB"/>
        </w:rPr>
        <w:t xml:space="preserve">nd trade </w:t>
      </w:r>
      <w:r w:rsidRPr="000B4EBA">
        <w:rPr>
          <w:spacing w:val="-4"/>
          <w:sz w:val="16"/>
          <w:szCs w:val="16"/>
          <w:lang w:val="en-GB"/>
        </w:rPr>
        <w:t>(66%).</w:t>
      </w:r>
    </w:p>
  </w:footnote>
  <w:footnote w:id="41">
    <w:p w14:paraId="258CD1DC" w14:textId="77777777" w:rsidR="00C2211E" w:rsidRPr="002D488A" w:rsidRDefault="00C2211E" w:rsidP="00C2211E">
      <w:pPr>
        <w:pStyle w:val="Textpoznpodarou"/>
        <w:jc w:val="both"/>
        <w:rPr>
          <w:spacing w:val="-3"/>
          <w:sz w:val="16"/>
          <w:szCs w:val="16"/>
          <w:lang w:val="en-GB"/>
        </w:rPr>
      </w:pPr>
      <w:r w:rsidRPr="004E68B1">
        <w:rPr>
          <w:rStyle w:val="Znakapoznpodarou"/>
          <w:spacing w:val="-3"/>
          <w:sz w:val="16"/>
          <w:szCs w:val="16"/>
        </w:rPr>
        <w:footnoteRef/>
      </w:r>
      <w:r w:rsidRPr="004E68B1">
        <w:rPr>
          <w:spacing w:val="-3"/>
          <w:sz w:val="16"/>
          <w:szCs w:val="16"/>
        </w:rPr>
        <w:t xml:space="preserve"> </w:t>
      </w:r>
      <w:r w:rsidRPr="002D488A">
        <w:rPr>
          <w:spacing w:val="-3"/>
          <w:sz w:val="16"/>
          <w:szCs w:val="16"/>
          <w:lang w:val="en-GB"/>
        </w:rPr>
        <w:t xml:space="preserve">For persons aged 15–64, value after seasonal adjustment. </w:t>
      </w:r>
      <w:r w:rsidRPr="002D488A">
        <w:rPr>
          <w:spacing w:val="-2"/>
          <w:sz w:val="16"/>
          <w:szCs w:val="16"/>
          <w:lang w:val="en-GB"/>
        </w:rPr>
        <w:t xml:space="preserve">All given unemployment data are sourced from the data of Labour Force Sample Survey. </w:t>
      </w:r>
    </w:p>
  </w:footnote>
  <w:footnote w:id="42">
    <w:p w14:paraId="265BB0C0" w14:textId="77777777" w:rsidR="00C2211E" w:rsidRPr="002D488A" w:rsidRDefault="00C2211E" w:rsidP="00C2211E">
      <w:pPr>
        <w:pStyle w:val="Textpoznpodarou"/>
        <w:jc w:val="both"/>
        <w:rPr>
          <w:spacing w:val="-3"/>
          <w:sz w:val="16"/>
          <w:szCs w:val="16"/>
          <w:lang w:val="en-GB"/>
        </w:rPr>
      </w:pPr>
      <w:r w:rsidRPr="002D488A">
        <w:rPr>
          <w:rStyle w:val="Znakapoznpodarou"/>
          <w:spacing w:val="-3"/>
          <w:sz w:val="16"/>
          <w:szCs w:val="16"/>
          <w:lang w:val="en-GB"/>
        </w:rPr>
        <w:footnoteRef/>
      </w:r>
      <w:r w:rsidRPr="002D488A">
        <w:rPr>
          <w:spacing w:val="-3"/>
          <w:sz w:val="16"/>
          <w:szCs w:val="16"/>
          <w:lang w:val="en-GB"/>
        </w:rPr>
        <w:t xml:space="preserve"> Total drawing of care benefits was 9.1 CZK bn from March till July of this year, it was only 0.6 bn in the same period of the last year.</w:t>
      </w:r>
    </w:p>
  </w:footnote>
  <w:footnote w:id="43">
    <w:p w14:paraId="269888B3" w14:textId="77777777" w:rsidR="00C2211E" w:rsidRPr="002D488A" w:rsidRDefault="00C2211E" w:rsidP="00C2211E">
      <w:pPr>
        <w:pStyle w:val="Textpoznpodarou"/>
        <w:jc w:val="both"/>
        <w:rPr>
          <w:spacing w:val="-4"/>
          <w:sz w:val="16"/>
          <w:szCs w:val="16"/>
          <w:lang w:val="en-GB"/>
        </w:rPr>
      </w:pPr>
      <w:r w:rsidRPr="002D488A">
        <w:rPr>
          <w:rStyle w:val="Znakapoznpodarou"/>
          <w:spacing w:val="-4"/>
          <w:sz w:val="16"/>
          <w:szCs w:val="16"/>
          <w:lang w:val="en-GB"/>
        </w:rPr>
        <w:footnoteRef/>
      </w:r>
      <w:r w:rsidRPr="002D488A">
        <w:rPr>
          <w:spacing w:val="-4"/>
          <w:sz w:val="16"/>
          <w:szCs w:val="16"/>
          <w:lang w:val="en-GB"/>
        </w:rPr>
        <w:t xml:space="preserve"> </w:t>
      </w:r>
      <w:r>
        <w:rPr>
          <w:spacing w:val="-4"/>
          <w:sz w:val="16"/>
          <w:szCs w:val="16"/>
          <w:lang w:val="en-GB"/>
        </w:rPr>
        <w:t xml:space="preserve">According to data from business cycle surveys, e.g. persons with higher level of education, persons aged 50 to 64 or persons working in groups based on the classification ISCO 1-5 </w:t>
      </w:r>
      <w:r w:rsidRPr="002D488A">
        <w:rPr>
          <w:spacing w:val="-4"/>
          <w:sz w:val="16"/>
          <w:szCs w:val="16"/>
          <w:lang w:val="en-GB"/>
        </w:rPr>
        <w:t>(</w:t>
      </w:r>
      <w:r>
        <w:rPr>
          <w:spacing w:val="-4"/>
          <w:sz w:val="16"/>
          <w:szCs w:val="16"/>
          <w:lang w:val="en-GB"/>
        </w:rPr>
        <w:t>managers, specialists, technical and specialised workers, workers in services and trade</w:t>
      </w:r>
      <w:r w:rsidRPr="002D488A">
        <w:rPr>
          <w:spacing w:val="-4"/>
          <w:sz w:val="16"/>
          <w:szCs w:val="16"/>
          <w:lang w:val="en-GB"/>
        </w:rPr>
        <w:t>)</w:t>
      </w:r>
      <w:r>
        <w:rPr>
          <w:spacing w:val="-4"/>
          <w:sz w:val="16"/>
          <w:szCs w:val="16"/>
          <w:lang w:val="en-GB"/>
        </w:rPr>
        <w:t xml:space="preserve"> recorded higher than average balance </w:t>
      </w:r>
      <w:r w:rsidRPr="002D488A">
        <w:rPr>
          <w:spacing w:val="-4"/>
          <w:sz w:val="16"/>
          <w:szCs w:val="16"/>
          <w:lang w:val="en-GB"/>
        </w:rPr>
        <w:t>(+47 p.</w:t>
      </w:r>
      <w:r>
        <w:rPr>
          <w:spacing w:val="-4"/>
          <w:sz w:val="16"/>
          <w:szCs w:val="16"/>
          <w:lang w:val="en-GB"/>
        </w:rPr>
        <w:t>p.</w:t>
      </w:r>
      <w:r w:rsidRPr="002D488A">
        <w:rPr>
          <w:spacing w:val="-4"/>
          <w:sz w:val="16"/>
          <w:szCs w:val="16"/>
          <w:lang w:val="en-GB"/>
        </w:rPr>
        <w:t xml:space="preserve">) </w:t>
      </w:r>
      <w:r>
        <w:rPr>
          <w:spacing w:val="-4"/>
          <w:sz w:val="16"/>
          <w:szCs w:val="16"/>
          <w:lang w:val="en-GB"/>
        </w:rPr>
        <w:t>in August 2020</w:t>
      </w:r>
      <w:r w:rsidRPr="002D488A">
        <w:rPr>
          <w:spacing w:val="-4"/>
          <w:sz w:val="16"/>
          <w:szCs w:val="16"/>
          <w:lang w:val="en-GB"/>
        </w:rPr>
        <w:t xml:space="preserve">. </w:t>
      </w:r>
      <w:r>
        <w:rPr>
          <w:spacing w:val="-4"/>
          <w:sz w:val="16"/>
          <w:szCs w:val="16"/>
          <w:lang w:val="en-GB"/>
        </w:rPr>
        <w:t xml:space="preserve">Higher expectation of unemployment does not necessarily mean expectation of worsened financial situation of the given person or household. </w:t>
      </w:r>
    </w:p>
  </w:footnote>
  <w:footnote w:id="44">
    <w:p w14:paraId="44C0F16D" w14:textId="77777777" w:rsidR="00C2211E" w:rsidRPr="002D488A" w:rsidRDefault="00C2211E" w:rsidP="00C2211E">
      <w:pPr>
        <w:pStyle w:val="Textpoznpodarou"/>
        <w:jc w:val="both"/>
        <w:rPr>
          <w:spacing w:val="-2"/>
          <w:sz w:val="16"/>
          <w:szCs w:val="16"/>
          <w:lang w:val="en-GB"/>
        </w:rPr>
      </w:pPr>
      <w:r w:rsidRPr="002D488A">
        <w:rPr>
          <w:rStyle w:val="Znakapoznpodarou"/>
          <w:spacing w:val="-2"/>
          <w:sz w:val="16"/>
          <w:szCs w:val="16"/>
          <w:lang w:val="en-GB"/>
        </w:rPr>
        <w:footnoteRef/>
      </w:r>
      <w:r w:rsidRPr="002D488A">
        <w:rPr>
          <w:spacing w:val="-2"/>
          <w:sz w:val="16"/>
          <w:szCs w:val="16"/>
          <w:lang w:val="en-GB"/>
        </w:rPr>
        <w:t xml:space="preserve"> </w:t>
      </w:r>
      <w:r>
        <w:rPr>
          <w:spacing w:val="-2"/>
          <w:sz w:val="16"/>
          <w:szCs w:val="16"/>
          <w:lang w:val="en-GB"/>
        </w:rPr>
        <w:t xml:space="preserve">It was also valid for example about Japan. On the contrary, the labour market reacted very fiercely in the USA. While unemployment reached here </w:t>
      </w:r>
      <w:r w:rsidRPr="002D488A">
        <w:rPr>
          <w:spacing w:val="-2"/>
          <w:sz w:val="16"/>
          <w:szCs w:val="16"/>
          <w:lang w:val="en-GB"/>
        </w:rPr>
        <w:t>4</w:t>
      </w:r>
      <w:r>
        <w:rPr>
          <w:spacing w:val="-2"/>
          <w:sz w:val="16"/>
          <w:szCs w:val="16"/>
          <w:lang w:val="en-GB"/>
        </w:rPr>
        <w:t>.</w:t>
      </w:r>
      <w:r w:rsidRPr="002D488A">
        <w:rPr>
          <w:spacing w:val="-2"/>
          <w:sz w:val="16"/>
          <w:szCs w:val="16"/>
          <w:lang w:val="en-GB"/>
        </w:rPr>
        <w:t>4%</w:t>
      </w:r>
      <w:r>
        <w:rPr>
          <w:spacing w:val="-2"/>
          <w:sz w:val="16"/>
          <w:szCs w:val="16"/>
          <w:lang w:val="en-GB"/>
        </w:rPr>
        <w:t xml:space="preserve"> in March</w:t>
      </w:r>
      <w:r w:rsidRPr="002D488A">
        <w:rPr>
          <w:spacing w:val="-2"/>
          <w:sz w:val="16"/>
          <w:szCs w:val="16"/>
          <w:lang w:val="en-GB"/>
        </w:rPr>
        <w:t>,</w:t>
      </w:r>
      <w:r>
        <w:rPr>
          <w:spacing w:val="-2"/>
          <w:sz w:val="16"/>
          <w:szCs w:val="16"/>
          <w:lang w:val="en-GB"/>
        </w:rPr>
        <w:t xml:space="preserve"> it accelerated to </w:t>
      </w:r>
      <w:r w:rsidRPr="002D488A">
        <w:rPr>
          <w:spacing w:val="-2"/>
          <w:sz w:val="16"/>
          <w:szCs w:val="16"/>
          <w:lang w:val="en-GB"/>
        </w:rPr>
        <w:t>14</w:t>
      </w:r>
      <w:r>
        <w:rPr>
          <w:spacing w:val="-2"/>
          <w:sz w:val="16"/>
          <w:szCs w:val="16"/>
          <w:lang w:val="en-GB"/>
        </w:rPr>
        <w:t>.</w:t>
      </w:r>
      <w:r w:rsidRPr="002D488A">
        <w:rPr>
          <w:spacing w:val="-2"/>
          <w:sz w:val="16"/>
          <w:szCs w:val="16"/>
          <w:lang w:val="en-GB"/>
        </w:rPr>
        <w:t>7%</w:t>
      </w:r>
      <w:r>
        <w:rPr>
          <w:spacing w:val="-2"/>
          <w:sz w:val="16"/>
          <w:szCs w:val="16"/>
          <w:lang w:val="en-GB"/>
        </w:rPr>
        <w:t xml:space="preserve"> in April</w:t>
      </w:r>
      <w:r w:rsidRPr="002D488A">
        <w:rPr>
          <w:spacing w:val="-2"/>
          <w:sz w:val="16"/>
          <w:szCs w:val="16"/>
          <w:lang w:val="en-GB"/>
        </w:rPr>
        <w:t>.</w:t>
      </w:r>
      <w:r>
        <w:rPr>
          <w:spacing w:val="-2"/>
          <w:sz w:val="16"/>
          <w:szCs w:val="16"/>
          <w:lang w:val="en-GB"/>
        </w:rPr>
        <w:t xml:space="preserve"> Only small correction occurred in the subsequent months, but the June value still exceeded </w:t>
      </w:r>
      <w:r w:rsidRPr="002D488A">
        <w:rPr>
          <w:spacing w:val="-2"/>
          <w:sz w:val="16"/>
          <w:szCs w:val="16"/>
          <w:lang w:val="en-GB"/>
        </w:rPr>
        <w:t>11% a</w:t>
      </w:r>
      <w:r>
        <w:rPr>
          <w:spacing w:val="-2"/>
          <w:sz w:val="16"/>
          <w:szCs w:val="16"/>
          <w:lang w:val="en-GB"/>
        </w:rPr>
        <w:t xml:space="preserve">nd it was by more than </w:t>
      </w:r>
      <w:r w:rsidRPr="002D488A">
        <w:rPr>
          <w:spacing w:val="-2"/>
          <w:sz w:val="16"/>
          <w:szCs w:val="16"/>
          <w:lang w:val="en-GB"/>
        </w:rPr>
        <w:t>1 p.</w:t>
      </w:r>
      <w:r>
        <w:rPr>
          <w:spacing w:val="-2"/>
          <w:sz w:val="16"/>
          <w:szCs w:val="16"/>
          <w:lang w:val="en-GB"/>
        </w:rPr>
        <w:t xml:space="preserve">p. above the level from the recession peak from years </w:t>
      </w:r>
      <w:r w:rsidRPr="002D488A">
        <w:rPr>
          <w:spacing w:val="-2"/>
          <w:sz w:val="16"/>
          <w:szCs w:val="16"/>
          <w:lang w:val="en-GB"/>
        </w:rPr>
        <w:t>2009</w:t>
      </w:r>
      <w:r>
        <w:rPr>
          <w:spacing w:val="-2"/>
          <w:sz w:val="16"/>
          <w:szCs w:val="16"/>
          <w:lang w:val="en-GB"/>
        </w:rPr>
        <w:t xml:space="preserve"> to</w:t>
      </w:r>
      <w:r w:rsidRPr="002D488A">
        <w:rPr>
          <w:spacing w:val="-2"/>
          <w:sz w:val="16"/>
          <w:szCs w:val="16"/>
          <w:lang w:val="en-GB"/>
        </w:rPr>
        <w:t xml:space="preserve"> 2010.</w:t>
      </w:r>
    </w:p>
  </w:footnote>
  <w:footnote w:id="45">
    <w:p w14:paraId="38FAB77E" w14:textId="77777777" w:rsidR="00C2211E" w:rsidRPr="002D488A" w:rsidRDefault="00C2211E" w:rsidP="00C2211E">
      <w:pPr>
        <w:pStyle w:val="Textpoznpodarou"/>
        <w:jc w:val="both"/>
        <w:rPr>
          <w:spacing w:val="-2"/>
          <w:sz w:val="16"/>
          <w:szCs w:val="16"/>
          <w:lang w:val="en-GB"/>
        </w:rPr>
      </w:pPr>
      <w:r w:rsidRPr="002D488A">
        <w:rPr>
          <w:rStyle w:val="Znakapoznpodarou"/>
          <w:spacing w:val="-2"/>
          <w:sz w:val="16"/>
          <w:szCs w:val="16"/>
          <w:lang w:val="en-GB"/>
        </w:rPr>
        <w:footnoteRef/>
      </w:r>
      <w:r w:rsidRPr="002D488A">
        <w:rPr>
          <w:spacing w:val="-2"/>
          <w:sz w:val="16"/>
          <w:szCs w:val="16"/>
          <w:lang w:val="en-GB"/>
        </w:rPr>
        <w:t xml:space="preserve"> Relates to persons aged 15–74, all data regarding unemployment describe reality after seasonal adjustment. </w:t>
      </w:r>
    </w:p>
  </w:footnote>
  <w:footnote w:id="46">
    <w:p w14:paraId="055E2EE6" w14:textId="77777777" w:rsidR="00C2211E" w:rsidRPr="00D82D14" w:rsidRDefault="00C2211E" w:rsidP="00C2211E">
      <w:pPr>
        <w:pStyle w:val="Textpoznpodarou"/>
        <w:jc w:val="both"/>
        <w:rPr>
          <w:spacing w:val="-2"/>
          <w:sz w:val="16"/>
          <w:szCs w:val="16"/>
          <w:lang w:val="en-GB"/>
        </w:rPr>
      </w:pPr>
      <w:r w:rsidRPr="00D82D14">
        <w:rPr>
          <w:rStyle w:val="Znakapoznpodarou"/>
          <w:spacing w:val="-2"/>
          <w:sz w:val="16"/>
          <w:szCs w:val="16"/>
          <w:lang w:val="en-GB"/>
        </w:rPr>
        <w:footnoteRef/>
      </w:r>
      <w:r w:rsidRPr="00D82D14">
        <w:rPr>
          <w:spacing w:val="-2"/>
          <w:sz w:val="16"/>
          <w:szCs w:val="16"/>
          <w:lang w:val="en-GB"/>
        </w:rPr>
        <w:t xml:space="preserve"> It reaches high level also in Greece in the long term, for which the most current this year´s figu</w:t>
      </w:r>
      <w:r>
        <w:rPr>
          <w:spacing w:val="-2"/>
          <w:sz w:val="16"/>
          <w:szCs w:val="16"/>
          <w:lang w:val="en-GB"/>
        </w:rPr>
        <w:t>r</w:t>
      </w:r>
      <w:r w:rsidRPr="00D82D14">
        <w:rPr>
          <w:spacing w:val="-2"/>
          <w:sz w:val="16"/>
          <w:szCs w:val="16"/>
          <w:lang w:val="en-GB"/>
        </w:rPr>
        <w:t>e relates to May (37.5%).</w:t>
      </w:r>
    </w:p>
  </w:footnote>
  <w:footnote w:id="47">
    <w:p w14:paraId="0939E408" w14:textId="77777777" w:rsidR="00C2211E" w:rsidRPr="00D82D14" w:rsidRDefault="00C2211E" w:rsidP="00C2211E">
      <w:pPr>
        <w:pStyle w:val="Textpoznpodarou"/>
        <w:jc w:val="both"/>
        <w:rPr>
          <w:spacing w:val="-2"/>
          <w:sz w:val="16"/>
          <w:szCs w:val="16"/>
          <w:lang w:val="en-GB"/>
        </w:rPr>
      </w:pPr>
      <w:r w:rsidRPr="00D82D14">
        <w:rPr>
          <w:rStyle w:val="Znakapoznpodarou"/>
          <w:spacing w:val="-2"/>
          <w:sz w:val="16"/>
          <w:szCs w:val="16"/>
          <w:lang w:val="en-GB"/>
        </w:rPr>
        <w:footnoteRef/>
      </w:r>
      <w:r w:rsidRPr="00D82D14">
        <w:rPr>
          <w:spacing w:val="-2"/>
          <w:sz w:val="16"/>
          <w:szCs w:val="16"/>
          <w:lang w:val="en-GB"/>
        </w:rPr>
        <w:t xml:space="preserve"> </w:t>
      </w:r>
      <w:r>
        <w:rPr>
          <w:spacing w:val="-2"/>
          <w:sz w:val="16"/>
          <w:szCs w:val="16"/>
          <w:lang w:val="en-GB"/>
        </w:rPr>
        <w:t xml:space="preserve">According to the LFSS, it concerned </w:t>
      </w:r>
      <w:r w:rsidRPr="00D82D14">
        <w:rPr>
          <w:spacing w:val="-2"/>
          <w:sz w:val="16"/>
          <w:szCs w:val="16"/>
          <w:lang w:val="en-GB"/>
        </w:rPr>
        <w:t>3</w:t>
      </w:r>
      <w:r>
        <w:rPr>
          <w:spacing w:val="-2"/>
          <w:sz w:val="16"/>
          <w:szCs w:val="16"/>
          <w:lang w:val="en-GB"/>
        </w:rPr>
        <w:t>.</w:t>
      </w:r>
      <w:r w:rsidRPr="00D82D14">
        <w:rPr>
          <w:spacing w:val="-2"/>
          <w:sz w:val="16"/>
          <w:szCs w:val="16"/>
          <w:lang w:val="en-GB"/>
        </w:rPr>
        <w:t>9 mil</w:t>
      </w:r>
      <w:r>
        <w:rPr>
          <w:spacing w:val="-2"/>
          <w:sz w:val="16"/>
          <w:szCs w:val="16"/>
          <w:lang w:val="en-GB"/>
        </w:rPr>
        <w:t xml:space="preserve"> of citizens </w:t>
      </w:r>
      <w:r w:rsidRPr="00D82D14">
        <w:rPr>
          <w:spacing w:val="-2"/>
          <w:sz w:val="16"/>
          <w:szCs w:val="16"/>
          <w:lang w:val="en-GB"/>
        </w:rPr>
        <w:t>(</w:t>
      </w:r>
      <w:r>
        <w:rPr>
          <w:spacing w:val="-2"/>
          <w:sz w:val="16"/>
          <w:szCs w:val="16"/>
          <w:lang w:val="en-GB"/>
        </w:rPr>
        <w:t xml:space="preserve">aged </w:t>
      </w:r>
      <w:r w:rsidRPr="00D82D14">
        <w:rPr>
          <w:spacing w:val="-2"/>
          <w:sz w:val="16"/>
          <w:szCs w:val="16"/>
          <w:lang w:val="en-GB"/>
        </w:rPr>
        <w:t>15</w:t>
      </w:r>
      <w:r>
        <w:rPr>
          <w:spacing w:val="-2"/>
          <w:sz w:val="16"/>
          <w:szCs w:val="16"/>
          <w:lang w:val="en-GB"/>
        </w:rPr>
        <w:t xml:space="preserve"> to </w:t>
      </w:r>
      <w:r w:rsidRPr="00D82D14">
        <w:rPr>
          <w:spacing w:val="-2"/>
          <w:sz w:val="16"/>
          <w:szCs w:val="16"/>
          <w:lang w:val="en-GB"/>
        </w:rPr>
        <w:t>74 </w:t>
      </w:r>
      <w:r>
        <w:rPr>
          <w:spacing w:val="-2"/>
          <w:sz w:val="16"/>
          <w:szCs w:val="16"/>
          <w:lang w:val="en-GB"/>
        </w:rPr>
        <w:t>years</w:t>
      </w:r>
      <w:r w:rsidRPr="00D82D14">
        <w:rPr>
          <w:spacing w:val="-2"/>
          <w:sz w:val="16"/>
          <w:szCs w:val="16"/>
          <w:lang w:val="en-GB"/>
        </w:rPr>
        <w:t xml:space="preserve">), </w:t>
      </w:r>
      <w:r>
        <w:rPr>
          <w:spacing w:val="-2"/>
          <w:sz w:val="16"/>
          <w:szCs w:val="16"/>
          <w:lang w:val="en-GB"/>
        </w:rPr>
        <w:t>which were employed in Q</w:t>
      </w:r>
      <w:r w:rsidRPr="00D82D14">
        <w:rPr>
          <w:spacing w:val="-2"/>
          <w:sz w:val="16"/>
          <w:szCs w:val="16"/>
          <w:lang w:val="en-GB"/>
        </w:rPr>
        <w:t>4</w:t>
      </w:r>
      <w:r>
        <w:rPr>
          <w:spacing w:val="-2"/>
          <w:sz w:val="16"/>
          <w:szCs w:val="16"/>
          <w:lang w:val="en-GB"/>
        </w:rPr>
        <w:t xml:space="preserve"> </w:t>
      </w:r>
      <w:r w:rsidRPr="00D82D14">
        <w:rPr>
          <w:spacing w:val="-2"/>
          <w:sz w:val="16"/>
          <w:szCs w:val="16"/>
          <w:lang w:val="en-GB"/>
        </w:rPr>
        <w:t>2019</w:t>
      </w:r>
      <w:r>
        <w:rPr>
          <w:spacing w:val="-2"/>
          <w:sz w:val="16"/>
          <w:szCs w:val="16"/>
          <w:lang w:val="en-GB"/>
        </w:rPr>
        <w:t xml:space="preserve"> and were counted among inactive in the following quarter. The flows between inactivity and unemployment were in the same period nearly equal </w:t>
      </w:r>
      <w:r w:rsidRPr="00D82D14">
        <w:rPr>
          <w:spacing w:val="-2"/>
          <w:sz w:val="16"/>
          <w:szCs w:val="16"/>
          <w:lang w:val="en-GB"/>
        </w:rPr>
        <w:t>(3</w:t>
      </w:r>
      <w:r>
        <w:rPr>
          <w:spacing w:val="-2"/>
          <w:sz w:val="16"/>
          <w:szCs w:val="16"/>
          <w:lang w:val="en-GB"/>
        </w:rPr>
        <w:t>.</w:t>
      </w:r>
      <w:r w:rsidRPr="00D82D14">
        <w:rPr>
          <w:spacing w:val="-2"/>
          <w:sz w:val="16"/>
          <w:szCs w:val="16"/>
          <w:lang w:val="en-GB"/>
        </w:rPr>
        <w:t>2, resp. 3</w:t>
      </w:r>
      <w:r>
        <w:rPr>
          <w:spacing w:val="-2"/>
          <w:sz w:val="16"/>
          <w:szCs w:val="16"/>
          <w:lang w:val="en-GB"/>
        </w:rPr>
        <w:t>.</w:t>
      </w:r>
      <w:r w:rsidRPr="00D82D14">
        <w:rPr>
          <w:spacing w:val="-2"/>
          <w:sz w:val="16"/>
          <w:szCs w:val="16"/>
          <w:lang w:val="en-GB"/>
        </w:rPr>
        <w:t xml:space="preserve">3 mil.). </w:t>
      </w:r>
      <w:r>
        <w:rPr>
          <w:spacing w:val="-2"/>
          <w:sz w:val="16"/>
          <w:szCs w:val="16"/>
          <w:lang w:val="en-GB"/>
        </w:rPr>
        <w:t xml:space="preserve">Relations between employment and unemployment appeared still mildly in favour of employed at the beginning of the year </w:t>
      </w:r>
      <w:r w:rsidRPr="00D82D14">
        <w:rPr>
          <w:spacing w:val="-2"/>
          <w:sz w:val="16"/>
          <w:szCs w:val="16"/>
          <w:lang w:val="en-GB"/>
        </w:rPr>
        <w:t>(+0</w:t>
      </w:r>
      <w:r>
        <w:rPr>
          <w:spacing w:val="-2"/>
          <w:sz w:val="16"/>
          <w:szCs w:val="16"/>
          <w:lang w:val="en-GB"/>
        </w:rPr>
        <w:t>.</w:t>
      </w:r>
      <w:r w:rsidRPr="00D82D14">
        <w:rPr>
          <w:spacing w:val="-2"/>
          <w:sz w:val="16"/>
          <w:szCs w:val="16"/>
          <w:lang w:val="en-GB"/>
        </w:rPr>
        <w:t xml:space="preserve">4 mil.), </w:t>
      </w:r>
      <w:r>
        <w:rPr>
          <w:spacing w:val="-2"/>
          <w:sz w:val="16"/>
          <w:szCs w:val="16"/>
          <w:lang w:val="en-GB"/>
        </w:rPr>
        <w:t>however as the first estimations from the national accounts clearly indicated</w:t>
      </w:r>
      <w:r w:rsidRPr="00D82D14">
        <w:rPr>
          <w:spacing w:val="-2"/>
          <w:sz w:val="16"/>
          <w:szCs w:val="16"/>
          <w:lang w:val="en-GB"/>
        </w:rPr>
        <w:t xml:space="preserve">, </w:t>
      </w:r>
      <w:r>
        <w:rPr>
          <w:spacing w:val="-2"/>
          <w:sz w:val="16"/>
          <w:szCs w:val="16"/>
          <w:lang w:val="en-GB"/>
        </w:rPr>
        <w:t>a sharp decrease of the number of employed (year-on-year as well as quarter-on-quarter by nearly 3%) occurred in the EU in Q</w:t>
      </w:r>
      <w:r w:rsidRPr="00D82D14">
        <w:rPr>
          <w:spacing w:val="-2"/>
          <w:sz w:val="16"/>
          <w:szCs w:val="16"/>
          <w:lang w:val="en-GB"/>
        </w:rPr>
        <w:t>2.</w:t>
      </w:r>
      <w:r>
        <w:rPr>
          <w:spacing w:val="-2"/>
          <w:sz w:val="16"/>
          <w:szCs w:val="16"/>
          <w:lang w:val="en-GB"/>
        </w:rPr>
        <w:t xml:space="preserve"> </w:t>
      </w:r>
    </w:p>
  </w:footnote>
  <w:footnote w:id="48">
    <w:p w14:paraId="0CEDBC69" w14:textId="77777777" w:rsidR="00C2211E" w:rsidRPr="00B07EF7" w:rsidRDefault="00C2211E" w:rsidP="00C2211E">
      <w:pPr>
        <w:pStyle w:val="Textpoznpodarou"/>
        <w:jc w:val="both"/>
        <w:rPr>
          <w:spacing w:val="-2"/>
          <w:sz w:val="16"/>
          <w:szCs w:val="16"/>
          <w:lang w:val="en-GB"/>
        </w:rPr>
      </w:pPr>
      <w:r w:rsidRPr="006A4CF3">
        <w:rPr>
          <w:rStyle w:val="Znakapoznpodarou"/>
          <w:spacing w:val="-2"/>
          <w:sz w:val="16"/>
          <w:szCs w:val="16"/>
        </w:rPr>
        <w:footnoteRef/>
      </w:r>
      <w:r>
        <w:rPr>
          <w:spacing w:val="-2"/>
          <w:sz w:val="16"/>
          <w:szCs w:val="16"/>
        </w:rPr>
        <w:t xml:space="preserve"> It </w:t>
      </w:r>
      <w:r w:rsidRPr="00B07EF7">
        <w:rPr>
          <w:spacing w:val="-2"/>
          <w:sz w:val="16"/>
          <w:szCs w:val="16"/>
          <w:lang w:val="en-GB"/>
        </w:rPr>
        <w:t>concerns persons ready to enter employment, who however do not actively seek job, further persons who seek employment, but are not able to join it within 14 days (because of this they do not fulfil condition of being ranked among unemployed) and finally also so called underemployed i.e. those who do have a job, however work involuntarily part time (e.</w:t>
      </w:r>
      <w:r>
        <w:rPr>
          <w:spacing w:val="-2"/>
          <w:sz w:val="16"/>
          <w:szCs w:val="16"/>
          <w:lang w:val="en-GB"/>
        </w:rPr>
        <w:t>g</w:t>
      </w:r>
      <w:r w:rsidRPr="00B07EF7">
        <w:rPr>
          <w:spacing w:val="-2"/>
          <w:sz w:val="16"/>
          <w:szCs w:val="16"/>
          <w:lang w:val="en-GB"/>
        </w:rPr>
        <w:t>. for the reason of lack of work at their employer).</w:t>
      </w:r>
    </w:p>
  </w:footnote>
  <w:footnote w:id="49">
    <w:p w14:paraId="1761AFC9" w14:textId="77777777" w:rsidR="00C2211E" w:rsidRPr="00B07EF7" w:rsidRDefault="00C2211E" w:rsidP="00C2211E">
      <w:pPr>
        <w:pStyle w:val="Textpoznpodarou"/>
        <w:jc w:val="both"/>
        <w:rPr>
          <w:spacing w:val="-2"/>
          <w:sz w:val="16"/>
          <w:szCs w:val="16"/>
          <w:lang w:val="en-GB"/>
        </w:rPr>
      </w:pPr>
      <w:r w:rsidRPr="00B07EF7">
        <w:rPr>
          <w:rStyle w:val="Znakapoznpodarou"/>
          <w:spacing w:val="-2"/>
          <w:sz w:val="16"/>
          <w:szCs w:val="16"/>
          <w:lang w:val="en-GB"/>
        </w:rPr>
        <w:footnoteRef/>
      </w:r>
      <w:r w:rsidRPr="00B07EF7">
        <w:rPr>
          <w:spacing w:val="-2"/>
          <w:sz w:val="16"/>
          <w:szCs w:val="16"/>
          <w:lang w:val="en-GB"/>
        </w:rPr>
        <w:t xml:space="preserve"> </w:t>
      </w:r>
      <w:r>
        <w:rPr>
          <w:spacing w:val="-2"/>
          <w:sz w:val="16"/>
          <w:szCs w:val="16"/>
          <w:lang w:val="en-GB"/>
        </w:rPr>
        <w:t xml:space="preserve">It was a consequence of transfer of payment of non-mandatory wage components of part of high-income workers for the purpose of tax optimization. </w:t>
      </w:r>
    </w:p>
  </w:footnote>
  <w:footnote w:id="50">
    <w:p w14:paraId="19A168DF" w14:textId="77777777" w:rsidR="00C2211E" w:rsidRPr="00B07EF7" w:rsidRDefault="00C2211E" w:rsidP="00C2211E">
      <w:pPr>
        <w:pStyle w:val="Textpoznpodarou"/>
        <w:jc w:val="both"/>
        <w:rPr>
          <w:spacing w:val="-2"/>
          <w:sz w:val="16"/>
          <w:szCs w:val="16"/>
          <w:lang w:val="en-GB"/>
        </w:rPr>
      </w:pPr>
      <w:r w:rsidRPr="00B07EF7">
        <w:rPr>
          <w:rStyle w:val="Znakapoznpodarou"/>
          <w:spacing w:val="-2"/>
          <w:sz w:val="16"/>
          <w:szCs w:val="16"/>
          <w:lang w:val="en-GB"/>
        </w:rPr>
        <w:footnoteRef/>
      </w:r>
      <w:r w:rsidRPr="00B07EF7">
        <w:rPr>
          <w:spacing w:val="-2"/>
          <w:sz w:val="16"/>
          <w:szCs w:val="16"/>
          <w:lang w:val="en-GB"/>
        </w:rPr>
        <w:t xml:space="preserve"> </w:t>
      </w:r>
      <w:r>
        <w:rPr>
          <w:spacing w:val="-2"/>
          <w:sz w:val="16"/>
          <w:szCs w:val="16"/>
          <w:lang w:val="en-GB"/>
        </w:rPr>
        <w:t xml:space="preserve">State partially contributed to businesses afflicted by the impacts of the coronavirus crisis after fulfilment of certain conditions </w:t>
      </w:r>
      <w:r w:rsidRPr="00B07EF7">
        <w:rPr>
          <w:spacing w:val="-2"/>
          <w:sz w:val="16"/>
          <w:szCs w:val="16"/>
          <w:lang w:val="en-GB"/>
        </w:rPr>
        <w:t>(</w:t>
      </w:r>
      <w:r>
        <w:rPr>
          <w:spacing w:val="-2"/>
          <w:sz w:val="16"/>
          <w:szCs w:val="16"/>
          <w:lang w:val="en-GB"/>
        </w:rPr>
        <w:t xml:space="preserve">e.g. preserving job positions) on employee wages </w:t>
      </w:r>
      <w:r w:rsidRPr="00B07EF7">
        <w:rPr>
          <w:spacing w:val="-2"/>
          <w:sz w:val="16"/>
          <w:szCs w:val="16"/>
          <w:lang w:val="en-GB"/>
        </w:rPr>
        <w:t>(program</w:t>
      </w:r>
      <w:r>
        <w:rPr>
          <w:spacing w:val="-2"/>
          <w:sz w:val="16"/>
          <w:szCs w:val="16"/>
          <w:lang w:val="en-GB"/>
        </w:rPr>
        <w:t>me</w:t>
      </w:r>
      <w:r w:rsidRPr="00B07EF7">
        <w:rPr>
          <w:spacing w:val="-2"/>
          <w:sz w:val="16"/>
          <w:szCs w:val="16"/>
          <w:lang w:val="en-GB"/>
        </w:rPr>
        <w:t xml:space="preserve"> Antivirus). </w:t>
      </w:r>
      <w:r>
        <w:rPr>
          <w:spacing w:val="-2"/>
          <w:sz w:val="16"/>
          <w:szCs w:val="16"/>
          <w:lang w:val="en-GB"/>
        </w:rPr>
        <w:t>Persons were drawing these wage compensations due to work barriers caused by the pandemics</w:t>
      </w:r>
      <w:r w:rsidRPr="00B07EF7">
        <w:rPr>
          <w:spacing w:val="-2"/>
          <w:sz w:val="16"/>
          <w:szCs w:val="16"/>
          <w:lang w:val="en-GB"/>
        </w:rPr>
        <w:t xml:space="preserve">. </w:t>
      </w:r>
      <w:r>
        <w:rPr>
          <w:spacing w:val="-2"/>
          <w:sz w:val="16"/>
          <w:szCs w:val="16"/>
          <w:lang w:val="en-GB"/>
        </w:rPr>
        <w:t>On the contrary persons who did not work for the reason of drawing of care benefits or ordered quarantine received transfers from state, which are methodically not part of wages (their drawing thus worked against the growth of the average wages</w:t>
      </w:r>
      <w:r w:rsidRPr="00B07EF7">
        <w:rPr>
          <w:spacing w:val="-2"/>
          <w:sz w:val="16"/>
          <w:szCs w:val="16"/>
          <w:lang w:val="en-GB"/>
        </w:rPr>
        <w:t>).</w:t>
      </w:r>
    </w:p>
  </w:footnote>
  <w:footnote w:id="51">
    <w:p w14:paraId="6040E4FD" w14:textId="77777777" w:rsidR="00C2211E" w:rsidRPr="001E1F50" w:rsidRDefault="00C2211E" w:rsidP="00C2211E">
      <w:pPr>
        <w:pStyle w:val="Textpoznpodarou"/>
        <w:jc w:val="both"/>
        <w:rPr>
          <w:spacing w:val="-2"/>
          <w:sz w:val="16"/>
          <w:szCs w:val="16"/>
          <w:lang w:val="en-GB"/>
        </w:rPr>
      </w:pPr>
      <w:r w:rsidRPr="006A4CF3">
        <w:rPr>
          <w:rStyle w:val="Znakapoznpodarou"/>
          <w:spacing w:val="-2"/>
          <w:sz w:val="16"/>
          <w:szCs w:val="16"/>
        </w:rPr>
        <w:footnoteRef/>
      </w:r>
      <w:r>
        <w:rPr>
          <w:spacing w:val="-2"/>
          <w:sz w:val="16"/>
          <w:szCs w:val="16"/>
        </w:rPr>
        <w:t xml:space="preserve"> </w:t>
      </w:r>
      <w:r w:rsidRPr="001E1F50">
        <w:rPr>
          <w:spacing w:val="-2"/>
          <w:sz w:val="16"/>
          <w:szCs w:val="16"/>
          <w:lang w:val="en-GB"/>
        </w:rPr>
        <w:t xml:space="preserve">The average wage was falling slower here in Q2 (by 1.3%). It was also connected to the fact, that approximately half of employees belongs to the so-called wage sphere in this branch and their compensations are then tied to the public budgets. </w:t>
      </w:r>
    </w:p>
  </w:footnote>
  <w:footnote w:id="52">
    <w:p w14:paraId="349D9DAB" w14:textId="77777777" w:rsidR="00C2211E" w:rsidRPr="001E1F50" w:rsidRDefault="00C2211E" w:rsidP="00C2211E">
      <w:pPr>
        <w:pStyle w:val="Textpoznpodarou"/>
        <w:jc w:val="both"/>
        <w:rPr>
          <w:spacing w:val="-2"/>
          <w:sz w:val="16"/>
          <w:szCs w:val="16"/>
          <w:lang w:val="en-GB"/>
        </w:rPr>
      </w:pPr>
      <w:r w:rsidRPr="001E1F50">
        <w:rPr>
          <w:rStyle w:val="Znakapoznpodarou"/>
          <w:spacing w:val="-2"/>
          <w:sz w:val="16"/>
          <w:szCs w:val="16"/>
          <w:lang w:val="en-GB"/>
        </w:rPr>
        <w:footnoteRef/>
      </w:r>
      <w:r w:rsidRPr="001E1F50">
        <w:rPr>
          <w:spacing w:val="-2"/>
          <w:sz w:val="16"/>
          <w:szCs w:val="16"/>
          <w:lang w:val="en-GB"/>
        </w:rPr>
        <w:t xml:space="preserve"> </w:t>
      </w:r>
      <w:r>
        <w:rPr>
          <w:spacing w:val="-2"/>
          <w:sz w:val="16"/>
          <w:szCs w:val="16"/>
          <w:lang w:val="en-GB"/>
        </w:rPr>
        <w:t>Number of employees fell by 12% here year-on-year in H</w:t>
      </w:r>
      <w:r w:rsidRPr="001E1F50">
        <w:rPr>
          <w:spacing w:val="-2"/>
          <w:sz w:val="16"/>
          <w:szCs w:val="16"/>
          <w:lang w:val="en-GB"/>
        </w:rPr>
        <w:t>1</w:t>
      </w:r>
      <w:r>
        <w:rPr>
          <w:spacing w:val="-2"/>
          <w:sz w:val="16"/>
          <w:szCs w:val="16"/>
          <w:lang w:val="en-GB"/>
        </w:rPr>
        <w:t xml:space="preserve"> </w:t>
      </w:r>
      <w:r w:rsidRPr="001E1F50">
        <w:rPr>
          <w:spacing w:val="-2"/>
          <w:sz w:val="16"/>
          <w:szCs w:val="16"/>
          <w:lang w:val="en-GB"/>
        </w:rPr>
        <w:t xml:space="preserve">2020, </w:t>
      </w:r>
      <w:r>
        <w:rPr>
          <w:spacing w:val="-2"/>
          <w:sz w:val="16"/>
          <w:szCs w:val="16"/>
          <w:lang w:val="en-GB"/>
        </w:rPr>
        <w:t xml:space="preserve">similarly to the crisis year </w:t>
      </w:r>
      <w:r w:rsidRPr="001E1F50">
        <w:rPr>
          <w:spacing w:val="-2"/>
          <w:sz w:val="16"/>
          <w:szCs w:val="16"/>
          <w:lang w:val="en-GB"/>
        </w:rPr>
        <w:t>2009.</w:t>
      </w:r>
    </w:p>
  </w:footnote>
  <w:footnote w:id="53">
    <w:p w14:paraId="6BBC2645" w14:textId="11F7F448" w:rsidR="00C2211E" w:rsidRPr="002B7AFA" w:rsidRDefault="00C2211E" w:rsidP="00AB75C5">
      <w:pPr>
        <w:pStyle w:val="Textpoznpodarou"/>
        <w:rPr>
          <w:sz w:val="16"/>
          <w:szCs w:val="16"/>
          <w:lang w:val="en-GB"/>
        </w:rPr>
      </w:pPr>
      <w:r>
        <w:rPr>
          <w:rStyle w:val="Znakapoznpodarou"/>
          <w:sz w:val="16"/>
          <w:szCs w:val="16"/>
        </w:rPr>
        <w:footnoteRef/>
      </w:r>
      <w:r>
        <w:rPr>
          <w:sz w:val="16"/>
          <w:szCs w:val="16"/>
        </w:rPr>
        <w:t xml:space="preserve"> </w:t>
      </w:r>
      <w:r w:rsidRPr="002B7AFA">
        <w:rPr>
          <w:sz w:val="16"/>
          <w:szCs w:val="16"/>
          <w:lang w:val="en-GB"/>
        </w:rPr>
        <w:t xml:space="preserve">Unless stated otherwise, the source of data in the chapter is the Czech National Bank database ARAD. Values of foreign </w:t>
      </w:r>
      <w:r>
        <w:rPr>
          <w:sz w:val="16"/>
          <w:szCs w:val="16"/>
          <w:lang w:val="en-GB"/>
        </w:rPr>
        <w:t>e</w:t>
      </w:r>
      <w:r w:rsidRPr="002B7AFA">
        <w:rPr>
          <w:sz w:val="16"/>
          <w:szCs w:val="16"/>
          <w:lang w:val="en-GB"/>
        </w:rPr>
        <w:t xml:space="preserve">xchange rates are also sourced from the CNB. </w:t>
      </w:r>
    </w:p>
  </w:footnote>
  <w:footnote w:id="54">
    <w:p w14:paraId="69A81C08" w14:textId="77777777" w:rsidR="00C2211E" w:rsidRPr="00191468" w:rsidRDefault="00C2211E" w:rsidP="00C2211E">
      <w:pPr>
        <w:pStyle w:val="Textpoznpodarou"/>
        <w:jc w:val="both"/>
        <w:rPr>
          <w:spacing w:val="-2"/>
          <w:sz w:val="16"/>
          <w:szCs w:val="16"/>
          <w:lang w:val="en-GB"/>
        </w:rPr>
      </w:pPr>
      <w:r w:rsidRPr="006E08B8">
        <w:rPr>
          <w:rStyle w:val="Znakapoznpodarou"/>
          <w:spacing w:val="-2"/>
          <w:sz w:val="16"/>
          <w:szCs w:val="16"/>
        </w:rPr>
        <w:footnoteRef/>
      </w:r>
      <w:r w:rsidRPr="006E08B8">
        <w:rPr>
          <w:spacing w:val="-2"/>
          <w:sz w:val="16"/>
          <w:szCs w:val="16"/>
        </w:rPr>
        <w:t xml:space="preserve"> </w:t>
      </w:r>
      <w:r w:rsidRPr="00191468">
        <w:rPr>
          <w:sz w:val="16"/>
          <w:szCs w:val="16"/>
          <w:lang w:val="en-GB"/>
        </w:rPr>
        <w:t>Unless stated otherwise, all data related to the state budget stem from the data of the Ministry of Finance regarding the cash fulfilment.</w:t>
      </w:r>
      <w:r w:rsidRPr="00191468">
        <w:rPr>
          <w:color w:val="0D0D0D" w:themeColor="text1" w:themeTint="F2"/>
          <w:spacing w:val="-2"/>
          <w:sz w:val="16"/>
          <w:szCs w:val="16"/>
          <w:lang w:val="en-GB"/>
        </w:rPr>
        <w:t xml:space="preserve"> </w:t>
      </w:r>
    </w:p>
  </w:footnote>
  <w:footnote w:id="55">
    <w:p w14:paraId="71485178" w14:textId="77777777" w:rsidR="00C2211E" w:rsidRPr="00191468" w:rsidRDefault="00C2211E" w:rsidP="00C2211E">
      <w:pPr>
        <w:pStyle w:val="Textpoznpodarou"/>
        <w:jc w:val="both"/>
        <w:rPr>
          <w:spacing w:val="-2"/>
          <w:sz w:val="16"/>
          <w:szCs w:val="16"/>
          <w:lang w:val="en-GB"/>
        </w:rPr>
      </w:pPr>
      <w:r w:rsidRPr="00191468">
        <w:rPr>
          <w:rStyle w:val="Znakapoznpodarou"/>
          <w:spacing w:val="-2"/>
          <w:sz w:val="16"/>
          <w:szCs w:val="16"/>
          <w:lang w:val="en-GB"/>
        </w:rPr>
        <w:footnoteRef/>
      </w:r>
      <w:r w:rsidRPr="00191468">
        <w:rPr>
          <w:spacing w:val="-2"/>
          <w:sz w:val="16"/>
          <w:szCs w:val="16"/>
          <w:lang w:val="en-GB"/>
        </w:rPr>
        <w:t xml:space="preserve"> This deficit in the amount of 40 CZK bn stemmed from Act on the state budget of the CR (</w:t>
      </w:r>
      <w:r>
        <w:rPr>
          <w:spacing w:val="-2"/>
          <w:sz w:val="16"/>
          <w:szCs w:val="16"/>
          <w:lang w:val="en-GB"/>
        </w:rPr>
        <w:t xml:space="preserve">approved on </w:t>
      </w:r>
      <w:r w:rsidRPr="00191468">
        <w:rPr>
          <w:spacing w:val="-2"/>
          <w:sz w:val="16"/>
          <w:szCs w:val="16"/>
          <w:lang w:val="en-GB"/>
        </w:rPr>
        <w:t>4</w:t>
      </w:r>
      <w:r w:rsidRPr="00931F9B">
        <w:rPr>
          <w:spacing w:val="-2"/>
          <w:sz w:val="16"/>
          <w:szCs w:val="16"/>
          <w:vertAlign w:val="superscript"/>
          <w:lang w:val="en-GB"/>
        </w:rPr>
        <w:t>th</w:t>
      </w:r>
      <w:r>
        <w:rPr>
          <w:spacing w:val="-2"/>
          <w:sz w:val="16"/>
          <w:szCs w:val="16"/>
          <w:lang w:val="en-GB"/>
        </w:rPr>
        <w:t xml:space="preserve"> December </w:t>
      </w:r>
      <w:r w:rsidRPr="00191468">
        <w:rPr>
          <w:spacing w:val="-2"/>
          <w:sz w:val="16"/>
          <w:szCs w:val="16"/>
          <w:lang w:val="en-GB"/>
        </w:rPr>
        <w:t>2019).</w:t>
      </w:r>
      <w:r>
        <w:rPr>
          <w:spacing w:val="-2"/>
          <w:sz w:val="16"/>
          <w:szCs w:val="16"/>
          <w:lang w:val="en-GB"/>
        </w:rPr>
        <w:t xml:space="preserve"> Acts expecting deepening of the deficit to 200, resp. 300 bn were approved in the course of March and April </w:t>
      </w:r>
      <w:r w:rsidRPr="00191468">
        <w:rPr>
          <w:color w:val="0D0D0D" w:themeColor="text1" w:themeTint="F2"/>
          <w:spacing w:val="-2"/>
          <w:sz w:val="16"/>
          <w:szCs w:val="16"/>
          <w:lang w:val="en-GB"/>
        </w:rPr>
        <w:t>2020</w:t>
      </w:r>
      <w:r>
        <w:rPr>
          <w:color w:val="0D0D0D" w:themeColor="text1" w:themeTint="F2"/>
          <w:spacing w:val="-2"/>
          <w:sz w:val="16"/>
          <w:szCs w:val="16"/>
          <w:lang w:val="en-GB"/>
        </w:rPr>
        <w:t xml:space="preserve">, deficit 500 bn was approved at the beginning of July. </w:t>
      </w:r>
    </w:p>
  </w:footnote>
  <w:footnote w:id="56">
    <w:p w14:paraId="7E6A5E61" w14:textId="77777777" w:rsidR="00C2211E" w:rsidRPr="00C55FC5" w:rsidRDefault="00C2211E" w:rsidP="00C2211E">
      <w:pPr>
        <w:pStyle w:val="Textpoznpodarou"/>
        <w:jc w:val="both"/>
        <w:rPr>
          <w:spacing w:val="-2"/>
          <w:sz w:val="16"/>
          <w:szCs w:val="16"/>
          <w:lang w:val="en-GB"/>
        </w:rPr>
      </w:pPr>
      <w:r w:rsidRPr="00C55FC5">
        <w:rPr>
          <w:rStyle w:val="Znakapoznpodarou"/>
          <w:spacing w:val="-2"/>
          <w:sz w:val="16"/>
          <w:szCs w:val="16"/>
          <w:lang w:val="en-GB"/>
        </w:rPr>
        <w:footnoteRef/>
      </w:r>
      <w:r w:rsidRPr="00C55FC5">
        <w:rPr>
          <w:spacing w:val="-2"/>
          <w:sz w:val="16"/>
          <w:szCs w:val="16"/>
          <w:lang w:val="en-GB"/>
        </w:rPr>
        <w:t xml:space="preserve"> </w:t>
      </w:r>
      <w:r>
        <w:rPr>
          <w:spacing w:val="-2"/>
          <w:sz w:val="16"/>
          <w:szCs w:val="16"/>
          <w:lang w:val="en-GB"/>
        </w:rPr>
        <w:t xml:space="preserve">It was mainly the remission of the June advance payment for both the income tax of natural persons (NP) and legal persons (LP), possibility to lodge the tax returns of NP and LP for year </w:t>
      </w:r>
      <w:r w:rsidRPr="00C55FC5">
        <w:rPr>
          <w:spacing w:val="-2"/>
          <w:sz w:val="16"/>
          <w:szCs w:val="16"/>
          <w:lang w:val="en-GB"/>
        </w:rPr>
        <w:t>2019</w:t>
      </w:r>
      <w:r>
        <w:rPr>
          <w:spacing w:val="-2"/>
          <w:sz w:val="16"/>
          <w:szCs w:val="16"/>
          <w:lang w:val="en-GB"/>
        </w:rPr>
        <w:t xml:space="preserve"> and its payment only on </w:t>
      </w:r>
      <w:r w:rsidRPr="00C55FC5">
        <w:rPr>
          <w:spacing w:val="-2"/>
          <w:sz w:val="16"/>
          <w:szCs w:val="16"/>
          <w:lang w:val="en-GB"/>
        </w:rPr>
        <w:t>18</w:t>
      </w:r>
      <w:r w:rsidRPr="004B2BB0">
        <w:rPr>
          <w:spacing w:val="-2"/>
          <w:sz w:val="16"/>
          <w:szCs w:val="16"/>
          <w:vertAlign w:val="superscript"/>
          <w:lang w:val="en-GB"/>
        </w:rPr>
        <w:t>th</w:t>
      </w:r>
      <w:r>
        <w:rPr>
          <w:spacing w:val="-2"/>
          <w:sz w:val="16"/>
          <w:szCs w:val="16"/>
          <w:lang w:val="en-GB"/>
        </w:rPr>
        <w:t xml:space="preserve"> August</w:t>
      </w:r>
      <w:r w:rsidRPr="00C55FC5">
        <w:rPr>
          <w:spacing w:val="-2"/>
          <w:sz w:val="16"/>
          <w:szCs w:val="16"/>
          <w:lang w:val="en-GB"/>
        </w:rPr>
        <w:t xml:space="preserve">, </w:t>
      </w:r>
      <w:r>
        <w:rPr>
          <w:spacing w:val="-2"/>
          <w:sz w:val="16"/>
          <w:szCs w:val="16"/>
          <w:lang w:val="en-GB"/>
        </w:rPr>
        <w:t>paid out compensations bonuses (especially self-employed</w:t>
      </w:r>
      <w:r w:rsidRPr="00C55FC5">
        <w:rPr>
          <w:spacing w:val="-2"/>
          <w:sz w:val="16"/>
          <w:szCs w:val="16"/>
          <w:lang w:val="en-GB"/>
        </w:rPr>
        <w:t>) a</w:t>
      </w:r>
      <w:r>
        <w:rPr>
          <w:spacing w:val="-2"/>
          <w:sz w:val="16"/>
          <w:szCs w:val="16"/>
          <w:lang w:val="en-GB"/>
        </w:rPr>
        <w:t>nd also longer term for part of VAT payments.</w:t>
      </w:r>
      <w:r w:rsidRPr="00C55FC5">
        <w:rPr>
          <w:spacing w:val="-2"/>
          <w:sz w:val="16"/>
          <w:szCs w:val="16"/>
          <w:lang w:val="en-GB"/>
        </w:rPr>
        <w:t xml:space="preserve"> </w:t>
      </w:r>
      <w:r>
        <w:rPr>
          <w:spacing w:val="-2"/>
          <w:sz w:val="16"/>
          <w:szCs w:val="16"/>
          <w:lang w:val="en-GB"/>
        </w:rPr>
        <w:t>According to the MF estimation, the above-mentioned amendments led to decrease of the state-wide tax collection by 53 CZK bn in H1</w:t>
      </w:r>
      <w:r w:rsidRPr="00C55FC5">
        <w:rPr>
          <w:spacing w:val="-2"/>
          <w:sz w:val="16"/>
          <w:szCs w:val="16"/>
          <w:lang w:val="en-GB"/>
        </w:rPr>
        <w:t>.</w:t>
      </w:r>
    </w:p>
  </w:footnote>
  <w:footnote w:id="57">
    <w:p w14:paraId="51B39DC2" w14:textId="77777777" w:rsidR="00C2211E" w:rsidRPr="00C55FC5" w:rsidRDefault="00C2211E" w:rsidP="00C2211E">
      <w:pPr>
        <w:pStyle w:val="Textpoznpodarou"/>
        <w:jc w:val="both"/>
        <w:rPr>
          <w:spacing w:val="-2"/>
          <w:sz w:val="16"/>
          <w:szCs w:val="16"/>
          <w:lang w:val="en-GB"/>
        </w:rPr>
      </w:pPr>
      <w:r w:rsidRPr="00C55FC5">
        <w:rPr>
          <w:rStyle w:val="Znakapoznpodarou"/>
          <w:spacing w:val="-2"/>
          <w:sz w:val="16"/>
          <w:szCs w:val="16"/>
          <w:lang w:val="en-GB"/>
        </w:rPr>
        <w:footnoteRef/>
      </w:r>
      <w:r w:rsidRPr="00C55FC5">
        <w:rPr>
          <w:spacing w:val="-2"/>
          <w:sz w:val="16"/>
          <w:szCs w:val="16"/>
          <w:lang w:val="en-GB"/>
        </w:rPr>
        <w:t xml:space="preserve"> </w:t>
      </w:r>
      <w:r>
        <w:rPr>
          <w:spacing w:val="-2"/>
          <w:sz w:val="16"/>
          <w:szCs w:val="16"/>
          <w:lang w:val="en-GB"/>
        </w:rPr>
        <w:t xml:space="preserve">It concerned mainly the regular public transport, heat, air conditioning and also food services. </w:t>
      </w:r>
    </w:p>
  </w:footnote>
  <w:footnote w:id="58">
    <w:p w14:paraId="72B7F251" w14:textId="77777777" w:rsidR="00C2211E" w:rsidRPr="00C55FC5" w:rsidRDefault="00C2211E" w:rsidP="00C2211E">
      <w:pPr>
        <w:pStyle w:val="Textpoznpodarou"/>
        <w:jc w:val="both"/>
        <w:rPr>
          <w:spacing w:val="-2"/>
          <w:sz w:val="16"/>
          <w:szCs w:val="16"/>
          <w:lang w:val="en-GB"/>
        </w:rPr>
      </w:pPr>
      <w:r w:rsidRPr="00C55FC5">
        <w:rPr>
          <w:rStyle w:val="Znakapoznpodarou"/>
          <w:spacing w:val="-2"/>
          <w:sz w:val="16"/>
          <w:szCs w:val="16"/>
          <w:lang w:val="en-GB"/>
        </w:rPr>
        <w:footnoteRef/>
      </w:r>
      <w:r w:rsidRPr="00C55FC5">
        <w:rPr>
          <w:spacing w:val="-2"/>
          <w:sz w:val="16"/>
          <w:szCs w:val="16"/>
          <w:lang w:val="en-GB"/>
        </w:rPr>
        <w:t xml:space="preserve"> In April, the consumption of diesel decreased by one fifth year-on-year,</w:t>
      </w:r>
      <w:r w:rsidRPr="00C55FC5">
        <w:rPr>
          <w:color w:val="0D0D0D" w:themeColor="text1" w:themeTint="F2"/>
          <w:sz w:val="16"/>
          <w:szCs w:val="16"/>
          <w:lang w:val="en-GB"/>
        </w:rPr>
        <w:t xml:space="preserve"> for petrol even by one third. The May decrease moderated to 9%, resp. 19%, for kerosene however the unprecedented fall further deepened (from 73% to 89%). Even though the consumption of all main oil products grew for the first two months of year </w:t>
      </w:r>
      <w:r w:rsidRPr="00C55FC5">
        <w:rPr>
          <w:spacing w:val="-4"/>
          <w:sz w:val="16"/>
          <w:szCs w:val="16"/>
          <w:lang w:val="en-GB"/>
        </w:rPr>
        <w:t>2020 (e.g. diesel +1.8%, petrol +0.4%).</w:t>
      </w:r>
    </w:p>
  </w:footnote>
  <w:footnote w:id="59">
    <w:p w14:paraId="15D7FB46" w14:textId="77777777" w:rsidR="00C2211E" w:rsidRPr="00DC1E31" w:rsidRDefault="00C2211E" w:rsidP="00C2211E">
      <w:pPr>
        <w:pStyle w:val="Textpoznpodarou"/>
        <w:jc w:val="both"/>
        <w:rPr>
          <w:sz w:val="16"/>
          <w:szCs w:val="16"/>
          <w:lang w:val="en-GB"/>
        </w:rPr>
      </w:pPr>
      <w:r w:rsidRPr="007F5302">
        <w:rPr>
          <w:rStyle w:val="Znakapoznpodarou"/>
          <w:sz w:val="16"/>
          <w:szCs w:val="16"/>
        </w:rPr>
        <w:footnoteRef/>
      </w:r>
      <w:r w:rsidRPr="007F5302">
        <w:rPr>
          <w:sz w:val="16"/>
          <w:szCs w:val="16"/>
        </w:rPr>
        <w:t xml:space="preserve"> </w:t>
      </w:r>
      <w:r w:rsidRPr="00DC1E31">
        <w:rPr>
          <w:sz w:val="16"/>
          <w:szCs w:val="16"/>
          <w:lang w:val="en-GB"/>
        </w:rPr>
        <w:t xml:space="preserve">Within the first half year, the total budget outlays grew the most in the period after year </w:t>
      </w:r>
      <w:r w:rsidRPr="00DC1E31">
        <w:rPr>
          <w:color w:val="0D0D0D" w:themeColor="text1" w:themeTint="F2"/>
          <w:sz w:val="16"/>
          <w:szCs w:val="16"/>
          <w:lang w:val="en-GB"/>
        </w:rPr>
        <w:t>2000 in year 2008 (by 12.5% year-on-year), when they were however accompanied by high inflation (year-on-year growth of consumer prices was 6.3% for the whole year 2008).</w:t>
      </w:r>
    </w:p>
  </w:footnote>
  <w:footnote w:id="60">
    <w:p w14:paraId="19CF6AFF" w14:textId="77777777" w:rsidR="00C2211E" w:rsidRPr="00DC1E31" w:rsidRDefault="00C2211E" w:rsidP="00C2211E">
      <w:pPr>
        <w:pStyle w:val="Textpoznpodarou"/>
        <w:jc w:val="both"/>
        <w:rPr>
          <w:sz w:val="16"/>
          <w:szCs w:val="16"/>
          <w:lang w:val="en-GB"/>
        </w:rPr>
      </w:pPr>
      <w:r w:rsidRPr="00DC1E31">
        <w:rPr>
          <w:rStyle w:val="Znakapoznpodarou"/>
          <w:sz w:val="16"/>
          <w:szCs w:val="16"/>
          <w:lang w:val="en-GB"/>
        </w:rPr>
        <w:footnoteRef/>
      </w:r>
      <w:r w:rsidRPr="00DC1E31">
        <w:rPr>
          <w:sz w:val="16"/>
          <w:szCs w:val="16"/>
          <w:lang w:val="en-GB"/>
        </w:rPr>
        <w:t xml:space="preserve"> </w:t>
      </w:r>
      <w:r>
        <w:rPr>
          <w:sz w:val="16"/>
          <w:szCs w:val="16"/>
          <w:lang w:val="en-GB"/>
        </w:rPr>
        <w:t>For H</w:t>
      </w:r>
      <w:r w:rsidRPr="00DC1E31">
        <w:rPr>
          <w:sz w:val="16"/>
          <w:szCs w:val="16"/>
          <w:lang w:val="en-GB"/>
        </w:rPr>
        <w:t>1</w:t>
      </w:r>
      <w:r>
        <w:rPr>
          <w:sz w:val="16"/>
          <w:szCs w:val="16"/>
          <w:lang w:val="en-GB"/>
        </w:rPr>
        <w:t xml:space="preserve"> </w:t>
      </w:r>
      <w:r w:rsidRPr="00DC1E31">
        <w:rPr>
          <w:sz w:val="16"/>
          <w:szCs w:val="16"/>
          <w:lang w:val="en-GB"/>
        </w:rPr>
        <w:t>2020</w:t>
      </w:r>
      <w:r>
        <w:rPr>
          <w:sz w:val="16"/>
          <w:szCs w:val="16"/>
          <w:lang w:val="en-GB"/>
        </w:rPr>
        <w:t xml:space="preserve"> it was especially programme </w:t>
      </w:r>
      <w:r w:rsidRPr="00DC1E31">
        <w:rPr>
          <w:color w:val="0D0D0D" w:themeColor="text1" w:themeTint="F2"/>
          <w:sz w:val="16"/>
          <w:szCs w:val="16"/>
          <w:lang w:val="en-GB"/>
        </w:rPr>
        <w:t>Antivirus (13</w:t>
      </w:r>
      <w:r>
        <w:rPr>
          <w:color w:val="0D0D0D" w:themeColor="text1" w:themeTint="F2"/>
          <w:sz w:val="16"/>
          <w:szCs w:val="16"/>
          <w:lang w:val="en-GB"/>
        </w:rPr>
        <w:t>.</w:t>
      </w:r>
      <w:r w:rsidRPr="00DC1E31">
        <w:rPr>
          <w:color w:val="0D0D0D" w:themeColor="text1" w:themeTint="F2"/>
          <w:sz w:val="16"/>
          <w:szCs w:val="16"/>
          <w:lang w:val="en-GB"/>
        </w:rPr>
        <w:t>6 </w:t>
      </w:r>
      <w:r>
        <w:rPr>
          <w:color w:val="0D0D0D" w:themeColor="text1" w:themeTint="F2"/>
          <w:sz w:val="16"/>
          <w:szCs w:val="16"/>
          <w:lang w:val="en-GB"/>
        </w:rPr>
        <w:t>CZK bn</w:t>
      </w:r>
      <w:r w:rsidRPr="00DC1E31">
        <w:rPr>
          <w:color w:val="0D0D0D" w:themeColor="text1" w:themeTint="F2"/>
          <w:sz w:val="16"/>
          <w:szCs w:val="16"/>
          <w:lang w:val="en-GB"/>
        </w:rPr>
        <w:t xml:space="preserve">), </w:t>
      </w:r>
      <w:r>
        <w:rPr>
          <w:color w:val="0D0D0D" w:themeColor="text1" w:themeTint="F2"/>
          <w:sz w:val="16"/>
          <w:szCs w:val="16"/>
          <w:lang w:val="en-GB"/>
        </w:rPr>
        <w:t xml:space="preserve">care benefits for employees and self-employed </w:t>
      </w:r>
      <w:r w:rsidRPr="00DC1E31">
        <w:rPr>
          <w:color w:val="0D0D0D" w:themeColor="text1" w:themeTint="F2"/>
          <w:sz w:val="16"/>
          <w:szCs w:val="16"/>
          <w:lang w:val="en-GB"/>
        </w:rPr>
        <w:t>(7</w:t>
      </w:r>
      <w:r>
        <w:rPr>
          <w:color w:val="0D0D0D" w:themeColor="text1" w:themeTint="F2"/>
          <w:sz w:val="16"/>
          <w:szCs w:val="16"/>
          <w:lang w:val="en-GB"/>
        </w:rPr>
        <w:t>.</w:t>
      </w:r>
      <w:r w:rsidRPr="00DC1E31">
        <w:rPr>
          <w:color w:val="0D0D0D" w:themeColor="text1" w:themeTint="F2"/>
          <w:sz w:val="16"/>
          <w:szCs w:val="16"/>
          <w:lang w:val="en-GB"/>
        </w:rPr>
        <w:t>9</w:t>
      </w:r>
      <w:r>
        <w:rPr>
          <w:color w:val="0D0D0D" w:themeColor="text1" w:themeTint="F2"/>
          <w:sz w:val="16"/>
          <w:szCs w:val="16"/>
          <w:lang w:val="en-GB"/>
        </w:rPr>
        <w:t xml:space="preserve"> bn</w:t>
      </w:r>
      <w:r w:rsidRPr="00DC1E31">
        <w:rPr>
          <w:color w:val="0D0D0D" w:themeColor="text1" w:themeTint="F2"/>
          <w:sz w:val="16"/>
          <w:szCs w:val="16"/>
          <w:lang w:val="en-GB"/>
        </w:rPr>
        <w:t>),</w:t>
      </w:r>
      <w:r>
        <w:rPr>
          <w:color w:val="0D0D0D" w:themeColor="text1" w:themeTint="F2"/>
          <w:sz w:val="16"/>
          <w:szCs w:val="16"/>
          <w:lang w:val="en-GB"/>
        </w:rPr>
        <w:t xml:space="preserve"> purchase of protective aids and other outlays in connection to </w:t>
      </w:r>
      <w:r w:rsidRPr="00DC1E31">
        <w:rPr>
          <w:color w:val="0D0D0D" w:themeColor="text1" w:themeTint="F2"/>
          <w:sz w:val="16"/>
          <w:szCs w:val="16"/>
          <w:lang w:val="en-GB"/>
        </w:rPr>
        <w:t>covid-19 (9</w:t>
      </w:r>
      <w:r>
        <w:rPr>
          <w:color w:val="0D0D0D" w:themeColor="text1" w:themeTint="F2"/>
          <w:sz w:val="16"/>
          <w:szCs w:val="16"/>
          <w:lang w:val="en-GB"/>
        </w:rPr>
        <w:t>.</w:t>
      </w:r>
      <w:r w:rsidRPr="00DC1E31">
        <w:rPr>
          <w:color w:val="0D0D0D" w:themeColor="text1" w:themeTint="F2"/>
          <w:sz w:val="16"/>
          <w:szCs w:val="16"/>
          <w:lang w:val="en-GB"/>
        </w:rPr>
        <w:t>6</w:t>
      </w:r>
      <w:r>
        <w:rPr>
          <w:color w:val="0D0D0D" w:themeColor="text1" w:themeTint="F2"/>
          <w:sz w:val="16"/>
          <w:szCs w:val="16"/>
          <w:lang w:val="en-GB"/>
        </w:rPr>
        <w:t xml:space="preserve"> bn</w:t>
      </w:r>
      <w:r w:rsidRPr="00DC1E31">
        <w:rPr>
          <w:color w:val="0D0D0D" w:themeColor="text1" w:themeTint="F2"/>
          <w:sz w:val="16"/>
          <w:szCs w:val="16"/>
          <w:lang w:val="en-GB"/>
        </w:rPr>
        <w:t xml:space="preserve">), </w:t>
      </w:r>
      <w:r>
        <w:rPr>
          <w:color w:val="0D0D0D" w:themeColor="text1" w:themeTint="F2"/>
          <w:sz w:val="16"/>
          <w:szCs w:val="16"/>
          <w:lang w:val="en-GB"/>
        </w:rPr>
        <w:t xml:space="preserve">debt relief for selected hospitals </w:t>
      </w:r>
      <w:r w:rsidRPr="00DC1E31">
        <w:rPr>
          <w:color w:val="0D0D0D" w:themeColor="text1" w:themeTint="F2"/>
          <w:sz w:val="16"/>
          <w:szCs w:val="16"/>
          <w:lang w:val="en-GB"/>
        </w:rPr>
        <w:t>(6</w:t>
      </w:r>
      <w:r>
        <w:rPr>
          <w:color w:val="0D0D0D" w:themeColor="text1" w:themeTint="F2"/>
          <w:sz w:val="16"/>
          <w:szCs w:val="16"/>
          <w:lang w:val="en-GB"/>
        </w:rPr>
        <w:t>.</w:t>
      </w:r>
      <w:r w:rsidRPr="00DC1E31">
        <w:rPr>
          <w:color w:val="0D0D0D" w:themeColor="text1" w:themeTint="F2"/>
          <w:sz w:val="16"/>
          <w:szCs w:val="16"/>
          <w:lang w:val="en-GB"/>
        </w:rPr>
        <w:t>6</w:t>
      </w:r>
      <w:r>
        <w:rPr>
          <w:color w:val="0D0D0D" w:themeColor="text1" w:themeTint="F2"/>
          <w:sz w:val="16"/>
          <w:szCs w:val="16"/>
          <w:lang w:val="en-GB"/>
        </w:rPr>
        <w:t xml:space="preserve"> bn</w:t>
      </w:r>
      <w:r w:rsidRPr="00DC1E31">
        <w:rPr>
          <w:color w:val="0D0D0D" w:themeColor="text1" w:themeTint="F2"/>
          <w:sz w:val="16"/>
          <w:szCs w:val="16"/>
          <w:lang w:val="en-GB"/>
        </w:rPr>
        <w:t>) a</w:t>
      </w:r>
      <w:r>
        <w:rPr>
          <w:color w:val="0D0D0D" w:themeColor="text1" w:themeTint="F2"/>
          <w:sz w:val="16"/>
          <w:szCs w:val="16"/>
          <w:lang w:val="en-GB"/>
        </w:rPr>
        <w:t xml:space="preserve">nd increase of the state payment per insured person </w:t>
      </w:r>
      <w:r w:rsidRPr="00DC1E31">
        <w:rPr>
          <w:color w:val="0D0D0D" w:themeColor="text1" w:themeTint="F2"/>
          <w:sz w:val="16"/>
          <w:szCs w:val="16"/>
          <w:lang w:val="en-GB"/>
        </w:rPr>
        <w:t>(3</w:t>
      </w:r>
      <w:r>
        <w:rPr>
          <w:color w:val="0D0D0D" w:themeColor="text1" w:themeTint="F2"/>
          <w:sz w:val="16"/>
          <w:szCs w:val="16"/>
          <w:lang w:val="en-GB"/>
        </w:rPr>
        <w:t>.</w:t>
      </w:r>
      <w:r w:rsidRPr="00DC1E31">
        <w:rPr>
          <w:color w:val="0D0D0D" w:themeColor="text1" w:themeTint="F2"/>
          <w:sz w:val="16"/>
          <w:szCs w:val="16"/>
          <w:lang w:val="en-GB"/>
        </w:rPr>
        <w:t>0 </w:t>
      </w:r>
      <w:r>
        <w:rPr>
          <w:color w:val="0D0D0D" w:themeColor="text1" w:themeTint="F2"/>
          <w:sz w:val="16"/>
          <w:szCs w:val="16"/>
          <w:lang w:val="en-GB"/>
        </w:rPr>
        <w:t>bn</w:t>
      </w:r>
      <w:r w:rsidRPr="00DC1E31">
        <w:rPr>
          <w:color w:val="0D0D0D" w:themeColor="text1" w:themeTint="F2"/>
          <w:sz w:val="16"/>
          <w:szCs w:val="16"/>
          <w:lang w:val="en-GB"/>
        </w:rPr>
        <w:t>).</w:t>
      </w:r>
    </w:p>
  </w:footnote>
  <w:footnote w:id="61">
    <w:p w14:paraId="454885D0" w14:textId="77777777" w:rsidR="00C2211E" w:rsidRPr="007C3CFE" w:rsidRDefault="00C2211E" w:rsidP="00C2211E">
      <w:pPr>
        <w:pStyle w:val="Textpoznpodarou"/>
        <w:jc w:val="both"/>
        <w:rPr>
          <w:sz w:val="16"/>
          <w:szCs w:val="16"/>
          <w:lang w:val="en-GB"/>
        </w:rPr>
      </w:pPr>
      <w:r w:rsidRPr="007F5302">
        <w:rPr>
          <w:rStyle w:val="Znakapoznpodarou"/>
          <w:sz w:val="16"/>
          <w:szCs w:val="16"/>
        </w:rPr>
        <w:footnoteRef/>
      </w:r>
      <w:r w:rsidRPr="007F5302">
        <w:rPr>
          <w:sz w:val="16"/>
          <w:szCs w:val="16"/>
        </w:rPr>
        <w:t xml:space="preserve"> </w:t>
      </w:r>
      <w:r w:rsidRPr="007C3CFE">
        <w:rPr>
          <w:sz w:val="16"/>
          <w:szCs w:val="16"/>
          <w:lang w:val="en-GB"/>
        </w:rPr>
        <w:t>It had adverse effect on the considerable year-on-year deepening of the sickness insurance deficit (from –1.5 CZK bn to –13.0 CZK bn). It was even larger than for pension insurance for H1 2020.</w:t>
      </w:r>
    </w:p>
  </w:footnote>
  <w:footnote w:id="62">
    <w:p w14:paraId="0A4259DA" w14:textId="77777777" w:rsidR="00C2211E" w:rsidRPr="007C3CFE" w:rsidRDefault="00C2211E" w:rsidP="00C2211E">
      <w:pPr>
        <w:pStyle w:val="Textpoznpodarou"/>
        <w:jc w:val="both"/>
        <w:rPr>
          <w:sz w:val="16"/>
          <w:szCs w:val="16"/>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 xml:space="preserve">The ratio of unemployed applicants (on population in the productive age) was </w:t>
      </w:r>
      <w:r w:rsidRPr="007C3CFE">
        <w:rPr>
          <w:color w:val="0D0D0D" w:themeColor="text1" w:themeTint="F2"/>
          <w:spacing w:val="-2"/>
          <w:sz w:val="16"/>
          <w:szCs w:val="16"/>
          <w:lang w:val="en-GB"/>
        </w:rPr>
        <w:t>3</w:t>
      </w:r>
      <w:r>
        <w:rPr>
          <w:color w:val="0D0D0D" w:themeColor="text1" w:themeTint="F2"/>
          <w:spacing w:val="-2"/>
          <w:sz w:val="16"/>
          <w:szCs w:val="16"/>
          <w:lang w:val="en-GB"/>
        </w:rPr>
        <w:t>.</w:t>
      </w:r>
      <w:r w:rsidRPr="007C3CFE">
        <w:rPr>
          <w:color w:val="0D0D0D" w:themeColor="text1" w:themeTint="F2"/>
          <w:spacing w:val="-2"/>
          <w:sz w:val="16"/>
          <w:szCs w:val="16"/>
          <w:lang w:val="en-GB"/>
        </w:rPr>
        <w:t>7%</w:t>
      </w:r>
      <w:r>
        <w:rPr>
          <w:color w:val="0D0D0D" w:themeColor="text1" w:themeTint="F2"/>
          <w:spacing w:val="-2"/>
          <w:sz w:val="16"/>
          <w:szCs w:val="16"/>
          <w:lang w:val="en-GB"/>
        </w:rPr>
        <w:t xml:space="preserve"> at the end of June and it rose by </w:t>
      </w:r>
      <w:r w:rsidRPr="007C3CFE">
        <w:rPr>
          <w:color w:val="0D0D0D" w:themeColor="text1" w:themeTint="F2"/>
          <w:spacing w:val="-2"/>
          <w:sz w:val="16"/>
          <w:szCs w:val="16"/>
          <w:lang w:val="en-GB"/>
        </w:rPr>
        <w:t>1</w:t>
      </w:r>
      <w:r>
        <w:rPr>
          <w:color w:val="0D0D0D" w:themeColor="text1" w:themeTint="F2"/>
          <w:spacing w:val="-2"/>
          <w:sz w:val="16"/>
          <w:szCs w:val="16"/>
          <w:lang w:val="en-GB"/>
        </w:rPr>
        <w:t>.</w:t>
      </w:r>
      <w:r w:rsidRPr="007C3CFE">
        <w:rPr>
          <w:color w:val="0D0D0D" w:themeColor="text1" w:themeTint="F2"/>
          <w:spacing w:val="-2"/>
          <w:sz w:val="16"/>
          <w:szCs w:val="16"/>
          <w:lang w:val="en-GB"/>
        </w:rPr>
        <w:t>1</w:t>
      </w:r>
      <w:r>
        <w:rPr>
          <w:color w:val="0D0D0D" w:themeColor="text1" w:themeTint="F2"/>
          <w:spacing w:val="-2"/>
          <w:sz w:val="16"/>
          <w:szCs w:val="16"/>
          <w:lang w:val="en-GB"/>
        </w:rPr>
        <w:t xml:space="preserve"> </w:t>
      </w:r>
      <w:r w:rsidRPr="007C3CFE">
        <w:rPr>
          <w:color w:val="0D0D0D" w:themeColor="text1" w:themeTint="F2"/>
          <w:spacing w:val="-2"/>
          <w:sz w:val="16"/>
          <w:szCs w:val="16"/>
          <w:lang w:val="en-GB"/>
        </w:rPr>
        <w:t>p.</w:t>
      </w:r>
      <w:r>
        <w:rPr>
          <w:color w:val="0D0D0D" w:themeColor="text1" w:themeTint="F2"/>
          <w:spacing w:val="-2"/>
          <w:sz w:val="16"/>
          <w:szCs w:val="16"/>
          <w:lang w:val="en-GB"/>
        </w:rPr>
        <w:t xml:space="preserve">p. year-on-year. Number of applicants entitled to unemployment benefits expanded from </w:t>
      </w:r>
      <w:r w:rsidRPr="007C3CFE">
        <w:rPr>
          <w:color w:val="0D0D0D" w:themeColor="text1" w:themeTint="F2"/>
          <w:spacing w:val="-2"/>
          <w:sz w:val="16"/>
          <w:szCs w:val="16"/>
          <w:lang w:val="en-GB"/>
        </w:rPr>
        <w:t xml:space="preserve">68 </w:t>
      </w:r>
      <w:r>
        <w:rPr>
          <w:color w:val="0D0D0D" w:themeColor="text1" w:themeTint="F2"/>
          <w:spacing w:val="-2"/>
          <w:sz w:val="16"/>
          <w:szCs w:val="16"/>
          <w:lang w:val="en-GB"/>
        </w:rPr>
        <w:t>to</w:t>
      </w:r>
      <w:r w:rsidRPr="007C3CFE">
        <w:rPr>
          <w:color w:val="0D0D0D" w:themeColor="text1" w:themeTint="F2"/>
          <w:spacing w:val="-2"/>
          <w:sz w:val="16"/>
          <w:szCs w:val="16"/>
          <w:lang w:val="en-GB"/>
        </w:rPr>
        <w:t xml:space="preserve"> 93 t</w:t>
      </w:r>
      <w:r>
        <w:rPr>
          <w:color w:val="0D0D0D" w:themeColor="text1" w:themeTint="F2"/>
          <w:spacing w:val="-2"/>
          <w:sz w:val="16"/>
          <w:szCs w:val="16"/>
          <w:lang w:val="en-GB"/>
        </w:rPr>
        <w:t xml:space="preserve">housand, their proportion on all unemployed remained the same for the last two years </w:t>
      </w:r>
      <w:r w:rsidRPr="007C3CFE">
        <w:rPr>
          <w:color w:val="0D0D0D" w:themeColor="text1" w:themeTint="F2"/>
          <w:spacing w:val="-2"/>
          <w:sz w:val="16"/>
          <w:szCs w:val="16"/>
          <w:lang w:val="en-GB"/>
        </w:rPr>
        <w:t>(35%).</w:t>
      </w:r>
    </w:p>
  </w:footnote>
  <w:footnote w:id="63">
    <w:p w14:paraId="2E7DB924" w14:textId="77777777" w:rsidR="00C2211E" w:rsidRPr="007C3CFE" w:rsidRDefault="00C2211E" w:rsidP="00C2211E">
      <w:pPr>
        <w:pStyle w:val="Textpoznpodarou"/>
        <w:jc w:val="both"/>
        <w:rPr>
          <w:sz w:val="16"/>
          <w:szCs w:val="16"/>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 xml:space="preserve">It was the effect of development mainly in May and June </w:t>
      </w:r>
      <w:r w:rsidRPr="007C3CFE">
        <w:rPr>
          <w:color w:val="0D0D0D" w:themeColor="text1" w:themeTint="F2"/>
          <w:sz w:val="16"/>
          <w:szCs w:val="16"/>
          <w:lang w:val="en-GB"/>
        </w:rPr>
        <w:t xml:space="preserve">2020, </w:t>
      </w:r>
      <w:r>
        <w:rPr>
          <w:color w:val="0D0D0D" w:themeColor="text1" w:themeTint="F2"/>
          <w:sz w:val="16"/>
          <w:szCs w:val="16"/>
          <w:lang w:val="en-GB"/>
        </w:rPr>
        <w:t xml:space="preserve">when the volume of unemployment benefits enlarged by </w:t>
      </w:r>
      <w:r w:rsidRPr="007C3CFE">
        <w:rPr>
          <w:color w:val="0D0D0D" w:themeColor="text1" w:themeTint="F2"/>
          <w:sz w:val="16"/>
          <w:szCs w:val="16"/>
          <w:lang w:val="en-GB"/>
        </w:rPr>
        <w:t>47%, resp. 71%</w:t>
      </w:r>
      <w:r>
        <w:rPr>
          <w:color w:val="0D0D0D" w:themeColor="text1" w:themeTint="F2"/>
          <w:sz w:val="16"/>
          <w:szCs w:val="16"/>
          <w:lang w:val="en-GB"/>
        </w:rPr>
        <w:t xml:space="preserve"> year-on-year</w:t>
      </w:r>
      <w:r w:rsidRPr="007C3CFE">
        <w:rPr>
          <w:color w:val="0D0D0D" w:themeColor="text1" w:themeTint="F2"/>
          <w:sz w:val="16"/>
          <w:szCs w:val="16"/>
          <w:lang w:val="en-GB"/>
        </w:rPr>
        <w:t>.</w:t>
      </w:r>
    </w:p>
  </w:footnote>
  <w:footnote w:id="64">
    <w:p w14:paraId="283475B8" w14:textId="77777777" w:rsidR="00C2211E" w:rsidRPr="007C3CFE" w:rsidRDefault="00C2211E" w:rsidP="00C2211E">
      <w:pPr>
        <w:pStyle w:val="Textpoznpodarou"/>
        <w:jc w:val="both"/>
        <w:rPr>
          <w:sz w:val="16"/>
          <w:szCs w:val="16"/>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 xml:space="preserve">The development in Q1 2020 stood behind the favourable result </w:t>
      </w:r>
      <w:r w:rsidRPr="007C3CFE">
        <w:rPr>
          <w:color w:val="0D0D0D" w:themeColor="text1" w:themeTint="F2"/>
          <w:sz w:val="16"/>
          <w:szCs w:val="16"/>
          <w:lang w:val="en-GB"/>
        </w:rPr>
        <w:t xml:space="preserve">(–11%), </w:t>
      </w:r>
      <w:r>
        <w:rPr>
          <w:color w:val="0D0D0D" w:themeColor="text1" w:themeTint="F2"/>
          <w:sz w:val="16"/>
          <w:szCs w:val="16"/>
          <w:lang w:val="en-GB"/>
        </w:rPr>
        <w:t xml:space="preserve">the volume of claimed benefits already increased year-on-year in Q2 </w:t>
      </w:r>
      <w:r w:rsidRPr="007C3CFE">
        <w:rPr>
          <w:color w:val="0D0D0D" w:themeColor="text1" w:themeTint="F2"/>
          <w:sz w:val="16"/>
          <w:szCs w:val="16"/>
          <w:lang w:val="en-GB"/>
        </w:rPr>
        <w:t>(+7%).</w:t>
      </w:r>
    </w:p>
  </w:footnote>
  <w:footnote w:id="65">
    <w:p w14:paraId="7F94CCF0" w14:textId="77777777" w:rsidR="00C2211E" w:rsidRPr="007C3CFE" w:rsidRDefault="00C2211E" w:rsidP="00C2211E">
      <w:pPr>
        <w:pStyle w:val="Textpoznpodarou"/>
        <w:jc w:val="both"/>
        <w:rPr>
          <w:sz w:val="16"/>
          <w:szCs w:val="16"/>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 xml:space="preserve">Basic pension assessment increased by </w:t>
      </w:r>
      <w:r w:rsidRPr="007C3CFE">
        <w:rPr>
          <w:color w:val="0D0D0D" w:themeColor="text1" w:themeTint="F2"/>
          <w:spacing w:val="-2"/>
          <w:sz w:val="16"/>
          <w:szCs w:val="16"/>
          <w:lang w:val="en-GB"/>
        </w:rPr>
        <w:t>220 </w:t>
      </w:r>
      <w:r>
        <w:rPr>
          <w:color w:val="0D0D0D" w:themeColor="text1" w:themeTint="F2"/>
          <w:spacing w:val="-2"/>
          <w:sz w:val="16"/>
          <w:szCs w:val="16"/>
          <w:lang w:val="en-GB"/>
        </w:rPr>
        <w:t xml:space="preserve">CZK </w:t>
      </w:r>
      <w:r w:rsidRPr="007C3CFE">
        <w:rPr>
          <w:color w:val="0D0D0D" w:themeColor="text1" w:themeTint="F2"/>
          <w:spacing w:val="-2"/>
          <w:sz w:val="16"/>
          <w:szCs w:val="16"/>
          <w:lang w:val="en-GB"/>
        </w:rPr>
        <w:t>(3 490 </w:t>
      </w:r>
      <w:r>
        <w:rPr>
          <w:color w:val="0D0D0D" w:themeColor="text1" w:themeTint="F2"/>
          <w:spacing w:val="-2"/>
          <w:sz w:val="16"/>
          <w:szCs w:val="16"/>
          <w:lang w:val="en-GB"/>
        </w:rPr>
        <w:t>CZK</w:t>
      </w:r>
      <w:r w:rsidRPr="007C3CFE">
        <w:rPr>
          <w:color w:val="0D0D0D" w:themeColor="text1" w:themeTint="F2"/>
          <w:spacing w:val="-2"/>
          <w:sz w:val="16"/>
          <w:szCs w:val="16"/>
          <w:lang w:val="en-GB"/>
        </w:rPr>
        <w:t xml:space="preserve">), </w:t>
      </w:r>
      <w:r>
        <w:rPr>
          <w:color w:val="0D0D0D" w:themeColor="text1" w:themeTint="F2"/>
          <w:spacing w:val="-2"/>
          <w:sz w:val="16"/>
          <w:szCs w:val="16"/>
          <w:lang w:val="en-GB"/>
        </w:rPr>
        <w:t xml:space="preserve">percentage assessment increased by </w:t>
      </w:r>
      <w:r w:rsidRPr="007C3CFE">
        <w:rPr>
          <w:color w:val="0D0D0D" w:themeColor="text1" w:themeTint="F2"/>
          <w:spacing w:val="-2"/>
          <w:sz w:val="16"/>
          <w:szCs w:val="16"/>
          <w:lang w:val="en-GB"/>
        </w:rPr>
        <w:t>5</w:t>
      </w:r>
      <w:r>
        <w:rPr>
          <w:color w:val="0D0D0D" w:themeColor="text1" w:themeTint="F2"/>
          <w:spacing w:val="-2"/>
          <w:sz w:val="16"/>
          <w:szCs w:val="16"/>
          <w:lang w:val="en-GB"/>
        </w:rPr>
        <w:t>.</w:t>
      </w:r>
      <w:r w:rsidRPr="007C3CFE">
        <w:rPr>
          <w:color w:val="0D0D0D" w:themeColor="text1" w:themeTint="F2"/>
          <w:spacing w:val="-2"/>
          <w:sz w:val="16"/>
          <w:szCs w:val="16"/>
          <w:lang w:val="en-GB"/>
        </w:rPr>
        <w:t>2%</w:t>
      </w:r>
      <w:r>
        <w:rPr>
          <w:color w:val="0D0D0D" w:themeColor="text1" w:themeTint="F2"/>
          <w:spacing w:val="-2"/>
          <w:sz w:val="16"/>
          <w:szCs w:val="16"/>
          <w:lang w:val="en-GB"/>
        </w:rPr>
        <w:t xml:space="preserve"> and an additional amount of </w:t>
      </w:r>
      <w:r w:rsidRPr="007C3CFE">
        <w:rPr>
          <w:color w:val="0D0D0D" w:themeColor="text1" w:themeTint="F2"/>
          <w:spacing w:val="-2"/>
          <w:sz w:val="16"/>
          <w:szCs w:val="16"/>
          <w:lang w:val="en-GB"/>
        </w:rPr>
        <w:t>151 </w:t>
      </w:r>
      <w:r>
        <w:rPr>
          <w:color w:val="0D0D0D" w:themeColor="text1" w:themeTint="F2"/>
          <w:spacing w:val="-2"/>
          <w:sz w:val="16"/>
          <w:szCs w:val="16"/>
          <w:lang w:val="en-GB"/>
        </w:rPr>
        <w:t>CZK</w:t>
      </w:r>
      <w:r w:rsidRPr="007C3CFE">
        <w:rPr>
          <w:color w:val="0D0D0D" w:themeColor="text1" w:themeTint="F2"/>
          <w:spacing w:val="-2"/>
          <w:sz w:val="16"/>
          <w:szCs w:val="16"/>
          <w:lang w:val="en-GB"/>
        </w:rPr>
        <w:t xml:space="preserve">. </w:t>
      </w:r>
      <w:r>
        <w:rPr>
          <w:color w:val="0D0D0D" w:themeColor="text1" w:themeTint="F2"/>
          <w:spacing w:val="-2"/>
          <w:sz w:val="16"/>
          <w:szCs w:val="16"/>
          <w:lang w:val="en-GB"/>
        </w:rPr>
        <w:t>Based on the CSSA data, the average monthly old age pension (alone) was</w:t>
      </w:r>
      <w:r w:rsidRPr="007C3CFE">
        <w:rPr>
          <w:color w:val="0D0D0D" w:themeColor="text1" w:themeTint="F2"/>
          <w:spacing w:val="-2"/>
          <w:sz w:val="16"/>
          <w:szCs w:val="16"/>
          <w:lang w:val="en-GB"/>
        </w:rPr>
        <w:t xml:space="preserve"> 14 427 </w:t>
      </w:r>
      <w:r>
        <w:rPr>
          <w:color w:val="0D0D0D" w:themeColor="text1" w:themeTint="F2"/>
          <w:spacing w:val="-2"/>
          <w:sz w:val="16"/>
          <w:szCs w:val="16"/>
          <w:lang w:val="en-GB"/>
        </w:rPr>
        <w:t>CZK in Q2</w:t>
      </w:r>
      <w:r w:rsidRPr="007C3CFE">
        <w:rPr>
          <w:color w:val="0D0D0D" w:themeColor="text1" w:themeTint="F2"/>
          <w:spacing w:val="-2"/>
          <w:sz w:val="16"/>
          <w:szCs w:val="16"/>
          <w:lang w:val="en-GB"/>
        </w:rPr>
        <w:t xml:space="preserve">, </w:t>
      </w:r>
      <w:r>
        <w:rPr>
          <w:color w:val="0D0D0D" w:themeColor="text1" w:themeTint="F2"/>
          <w:spacing w:val="-2"/>
          <w:sz w:val="16"/>
          <w:szCs w:val="16"/>
          <w:lang w:val="en-GB"/>
        </w:rPr>
        <w:t xml:space="preserve">by </w:t>
      </w:r>
      <w:r w:rsidRPr="007C3CFE">
        <w:rPr>
          <w:color w:val="0D0D0D" w:themeColor="text1" w:themeTint="F2"/>
          <w:spacing w:val="-2"/>
          <w:sz w:val="16"/>
          <w:szCs w:val="16"/>
          <w:lang w:val="en-GB"/>
        </w:rPr>
        <w:t>1 019 </w:t>
      </w:r>
      <w:r>
        <w:rPr>
          <w:color w:val="0D0D0D" w:themeColor="text1" w:themeTint="F2"/>
          <w:spacing w:val="-2"/>
          <w:sz w:val="16"/>
          <w:szCs w:val="16"/>
          <w:lang w:val="en-GB"/>
        </w:rPr>
        <w:t>more year-on-year</w:t>
      </w:r>
      <w:r w:rsidRPr="007C3CFE">
        <w:rPr>
          <w:color w:val="0D0D0D" w:themeColor="text1" w:themeTint="F2"/>
          <w:spacing w:val="-2"/>
          <w:sz w:val="16"/>
          <w:szCs w:val="16"/>
          <w:lang w:val="en-GB"/>
        </w:rPr>
        <w:t>.</w:t>
      </w:r>
    </w:p>
  </w:footnote>
  <w:footnote w:id="66">
    <w:p w14:paraId="0A86FCC4" w14:textId="77777777" w:rsidR="00C2211E" w:rsidRPr="007C3CFE" w:rsidRDefault="00C2211E" w:rsidP="00C2211E">
      <w:pPr>
        <w:pStyle w:val="Textpoznpodarou"/>
        <w:jc w:val="both"/>
        <w:rPr>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 xml:space="preserve">It was related to the cancellation of minimal advance deposit for self-employed on social security insurance with the estimated budget impact in the amount of </w:t>
      </w:r>
      <w:r w:rsidRPr="007C3CFE">
        <w:rPr>
          <w:color w:val="0D0D0D" w:themeColor="text1" w:themeTint="F2"/>
          <w:spacing w:val="-2"/>
          <w:sz w:val="16"/>
          <w:szCs w:val="16"/>
          <w:lang w:val="en-GB"/>
        </w:rPr>
        <w:t>4</w:t>
      </w:r>
      <w:r>
        <w:rPr>
          <w:color w:val="0D0D0D" w:themeColor="text1" w:themeTint="F2"/>
          <w:spacing w:val="-2"/>
          <w:sz w:val="16"/>
          <w:szCs w:val="16"/>
          <w:lang w:val="en-GB"/>
        </w:rPr>
        <w:t>.</w:t>
      </w:r>
      <w:r w:rsidRPr="007C3CFE">
        <w:rPr>
          <w:color w:val="0D0D0D" w:themeColor="text1" w:themeTint="F2"/>
          <w:spacing w:val="-2"/>
          <w:sz w:val="16"/>
          <w:szCs w:val="16"/>
          <w:lang w:val="en-GB"/>
        </w:rPr>
        <w:t>8</w:t>
      </w:r>
      <w:r>
        <w:rPr>
          <w:color w:val="0D0D0D" w:themeColor="text1" w:themeTint="F2"/>
          <w:spacing w:val="-2"/>
          <w:sz w:val="16"/>
          <w:szCs w:val="16"/>
          <w:lang w:val="en-GB"/>
        </w:rPr>
        <w:t xml:space="preserve"> CZK bn </w:t>
      </w:r>
      <w:r w:rsidRPr="007C3CFE">
        <w:rPr>
          <w:color w:val="0D0D0D" w:themeColor="text1" w:themeTint="F2"/>
          <w:spacing w:val="-2"/>
          <w:sz w:val="16"/>
          <w:szCs w:val="16"/>
          <w:lang w:val="en-GB"/>
        </w:rPr>
        <w:t>(</w:t>
      </w:r>
      <w:r>
        <w:rPr>
          <w:color w:val="0D0D0D" w:themeColor="text1" w:themeTint="F2"/>
          <w:spacing w:val="-2"/>
          <w:sz w:val="16"/>
          <w:szCs w:val="16"/>
          <w:lang w:val="en-GB"/>
        </w:rPr>
        <w:t xml:space="preserve">based on the </w:t>
      </w:r>
      <w:r w:rsidRPr="007C3CFE">
        <w:rPr>
          <w:color w:val="0D0D0D" w:themeColor="text1" w:themeTint="F2"/>
          <w:spacing w:val="-2"/>
          <w:sz w:val="16"/>
          <w:szCs w:val="16"/>
          <w:lang w:val="en-GB"/>
        </w:rPr>
        <w:t>MF).</w:t>
      </w:r>
    </w:p>
  </w:footnote>
  <w:footnote w:id="67">
    <w:p w14:paraId="779B9C21" w14:textId="77777777" w:rsidR="00C2211E" w:rsidRPr="007C3CFE" w:rsidRDefault="00C2211E" w:rsidP="00C2211E">
      <w:pPr>
        <w:pStyle w:val="Textpoznpodarou"/>
        <w:jc w:val="both"/>
        <w:rPr>
          <w:lang w:val="en-GB"/>
        </w:rPr>
      </w:pPr>
      <w:r w:rsidRPr="007C3CFE">
        <w:rPr>
          <w:rStyle w:val="Znakapoznpodarou"/>
          <w:sz w:val="16"/>
          <w:szCs w:val="16"/>
          <w:lang w:val="en-GB"/>
        </w:rPr>
        <w:footnoteRef/>
      </w:r>
      <w:r w:rsidRPr="007C3CFE">
        <w:rPr>
          <w:sz w:val="16"/>
          <w:szCs w:val="16"/>
          <w:lang w:val="en-GB"/>
        </w:rPr>
        <w:t xml:space="preserve"> </w:t>
      </w:r>
      <w:r>
        <w:rPr>
          <w:sz w:val="16"/>
          <w:szCs w:val="16"/>
          <w:lang w:val="en-GB"/>
        </w:rPr>
        <w:t>It is expressed as the difference between revenues and expenditures on pensions from the SB. Expenditures on administration of the pension insurance system are not included in the expenditures (they arrived at 6.3 CZK bn based on the MF data in 2019).</w:t>
      </w:r>
    </w:p>
  </w:footnote>
  <w:footnote w:id="68">
    <w:p w14:paraId="27C18F48" w14:textId="77777777" w:rsidR="00C2211E" w:rsidRPr="00AE1C48" w:rsidRDefault="00C2211E" w:rsidP="00C2211E">
      <w:pPr>
        <w:pStyle w:val="Textpoznpodarou"/>
        <w:jc w:val="both"/>
        <w:rPr>
          <w:sz w:val="16"/>
          <w:szCs w:val="16"/>
          <w:lang w:val="en-GB"/>
        </w:rPr>
      </w:pPr>
      <w:r w:rsidRPr="007B46E1">
        <w:rPr>
          <w:rStyle w:val="Znakapoznpodarou"/>
          <w:sz w:val="16"/>
          <w:szCs w:val="16"/>
        </w:rPr>
        <w:footnoteRef/>
      </w:r>
      <w:r w:rsidRPr="007B46E1">
        <w:rPr>
          <w:sz w:val="16"/>
          <w:szCs w:val="16"/>
        </w:rPr>
        <w:t xml:space="preserve"> </w:t>
      </w:r>
      <w:r w:rsidRPr="00AE1C48">
        <w:rPr>
          <w:color w:val="0D0D0D" w:themeColor="text1" w:themeTint="F2"/>
          <w:sz w:val="16"/>
          <w:szCs w:val="16"/>
          <w:lang w:val="en-GB"/>
        </w:rPr>
        <w:t>Their average annual yield was 1.15%, average maturity then 5.5 years.</w:t>
      </w:r>
    </w:p>
  </w:footnote>
  <w:footnote w:id="69">
    <w:p w14:paraId="47A28935" w14:textId="77777777" w:rsidR="00C2211E" w:rsidRPr="00AE1C48" w:rsidRDefault="00C2211E" w:rsidP="00C2211E">
      <w:pPr>
        <w:pStyle w:val="Textpoznpodarou"/>
        <w:jc w:val="both"/>
        <w:rPr>
          <w:sz w:val="16"/>
          <w:szCs w:val="16"/>
          <w:lang w:val="en-GB"/>
        </w:rPr>
      </w:pPr>
      <w:r w:rsidRPr="00AE1C48">
        <w:rPr>
          <w:rStyle w:val="Znakapoznpodarou"/>
          <w:sz w:val="16"/>
          <w:szCs w:val="16"/>
          <w:lang w:val="en-GB"/>
        </w:rPr>
        <w:footnoteRef/>
      </w:r>
      <w:r w:rsidRPr="00AE1C48">
        <w:rPr>
          <w:sz w:val="16"/>
          <w:szCs w:val="16"/>
          <w:lang w:val="en-GB"/>
        </w:rPr>
        <w:t xml:space="preserve"> </w:t>
      </w:r>
      <w:r>
        <w:rPr>
          <w:sz w:val="16"/>
          <w:szCs w:val="16"/>
          <w:lang w:val="en-GB"/>
        </w:rPr>
        <w:t xml:space="preserve">Corresponds to the balance of the budget chapter State debt </w:t>
      </w:r>
      <w:r w:rsidRPr="00AE1C48">
        <w:rPr>
          <w:color w:val="0D0D0D" w:themeColor="text1" w:themeTint="F2"/>
          <w:sz w:val="16"/>
          <w:szCs w:val="16"/>
          <w:lang w:val="en-GB"/>
        </w:rPr>
        <w:t>(</w:t>
      </w:r>
      <w:r>
        <w:rPr>
          <w:color w:val="0D0D0D" w:themeColor="text1" w:themeTint="F2"/>
          <w:sz w:val="16"/>
          <w:szCs w:val="16"/>
          <w:lang w:val="en-GB"/>
        </w:rPr>
        <w:t>no.</w:t>
      </w:r>
      <w:r w:rsidRPr="00AE1C48">
        <w:rPr>
          <w:color w:val="0D0D0D" w:themeColor="text1" w:themeTint="F2"/>
          <w:sz w:val="16"/>
          <w:szCs w:val="16"/>
          <w:lang w:val="en-GB"/>
        </w:rPr>
        <w:t xml:space="preserve">396). </w:t>
      </w:r>
      <w:r>
        <w:rPr>
          <w:color w:val="0D0D0D" w:themeColor="text1" w:themeTint="F2"/>
          <w:sz w:val="16"/>
          <w:szCs w:val="16"/>
          <w:lang w:val="en-GB"/>
        </w:rPr>
        <w:t xml:space="preserve">It consists of net interest outlays and also fees. </w:t>
      </w:r>
    </w:p>
  </w:footnote>
  <w:footnote w:id="70">
    <w:p w14:paraId="41769E1B" w14:textId="77777777" w:rsidR="00C2211E" w:rsidRPr="00E67EDD" w:rsidRDefault="00C2211E" w:rsidP="00C2211E">
      <w:pPr>
        <w:pStyle w:val="Textpoznpodarou"/>
        <w:jc w:val="both"/>
        <w:rPr>
          <w:color w:val="0D0D0D" w:themeColor="text1" w:themeTint="F2"/>
          <w:spacing w:val="-4"/>
          <w:sz w:val="16"/>
          <w:szCs w:val="16"/>
          <w:lang w:val="en-GB"/>
        </w:rPr>
      </w:pPr>
      <w:r w:rsidRPr="00D815C6">
        <w:rPr>
          <w:rStyle w:val="Znakapoznpodarou"/>
          <w:color w:val="0D0D0D" w:themeColor="text1" w:themeTint="F2"/>
          <w:spacing w:val="-4"/>
          <w:sz w:val="16"/>
          <w:szCs w:val="16"/>
        </w:rPr>
        <w:footnoteRef/>
      </w:r>
      <w:r w:rsidRPr="00D815C6">
        <w:rPr>
          <w:color w:val="0D0D0D" w:themeColor="text1" w:themeTint="F2"/>
          <w:spacing w:val="-4"/>
          <w:sz w:val="16"/>
          <w:szCs w:val="16"/>
        </w:rPr>
        <w:t xml:space="preserve"> </w:t>
      </w:r>
      <w:r w:rsidRPr="00E67EDD">
        <w:rPr>
          <w:color w:val="0D0D0D" w:themeColor="text1" w:themeTint="F2"/>
          <w:spacing w:val="-2"/>
          <w:sz w:val="16"/>
          <w:szCs w:val="16"/>
          <w:lang w:val="en-GB"/>
        </w:rPr>
        <w:t>Preliminary data regarding the debt and deficit of the sector of government institutions for Q2 2020 will be published by CZSO on 5</w:t>
      </w:r>
      <w:r w:rsidRPr="00E67EDD">
        <w:rPr>
          <w:color w:val="0D0D0D" w:themeColor="text1" w:themeTint="F2"/>
          <w:spacing w:val="-2"/>
          <w:sz w:val="16"/>
          <w:szCs w:val="16"/>
          <w:vertAlign w:val="superscript"/>
          <w:lang w:val="en-GB"/>
        </w:rPr>
        <w:t>th</w:t>
      </w:r>
      <w:r w:rsidRPr="00E67EDD">
        <w:rPr>
          <w:color w:val="0D0D0D" w:themeColor="text1" w:themeTint="F2"/>
          <w:spacing w:val="-2"/>
          <w:sz w:val="16"/>
          <w:szCs w:val="16"/>
          <w:lang w:val="en-GB"/>
        </w:rPr>
        <w:t xml:space="preserve"> October, by Eurostat at the end of October 2020.</w:t>
      </w:r>
    </w:p>
  </w:footnote>
  <w:footnote w:id="71">
    <w:p w14:paraId="7E9C4234" w14:textId="77777777" w:rsidR="00C2211E" w:rsidRPr="00E67EDD" w:rsidRDefault="00C2211E" w:rsidP="00C2211E">
      <w:pPr>
        <w:pStyle w:val="Textpoznpodarou"/>
        <w:jc w:val="both"/>
        <w:rPr>
          <w:color w:val="0D0D0D" w:themeColor="text1" w:themeTint="F2"/>
          <w:spacing w:val="-4"/>
          <w:sz w:val="16"/>
          <w:szCs w:val="16"/>
          <w:lang w:val="en-GB"/>
        </w:rPr>
      </w:pPr>
      <w:r w:rsidRPr="00E67EDD">
        <w:rPr>
          <w:rStyle w:val="Znakapoznpodarou"/>
          <w:color w:val="0D0D0D" w:themeColor="text1" w:themeTint="F2"/>
          <w:spacing w:val="-4"/>
          <w:sz w:val="16"/>
          <w:szCs w:val="16"/>
          <w:lang w:val="en-GB"/>
        </w:rPr>
        <w:footnoteRef/>
      </w:r>
      <w:r w:rsidRPr="00E67EDD">
        <w:rPr>
          <w:color w:val="0D0D0D" w:themeColor="text1" w:themeTint="F2"/>
          <w:spacing w:val="-4"/>
          <w:sz w:val="16"/>
          <w:szCs w:val="16"/>
          <w:lang w:val="en-GB"/>
        </w:rPr>
        <w:t xml:space="preserve"> </w:t>
      </w:r>
      <w:r>
        <w:rPr>
          <w:color w:val="0D0D0D" w:themeColor="text1" w:themeTint="F2"/>
          <w:spacing w:val="-4"/>
          <w:sz w:val="16"/>
          <w:szCs w:val="16"/>
          <w:lang w:val="en-GB"/>
        </w:rPr>
        <w:t xml:space="preserve">It concerns </w:t>
      </w:r>
      <w:r w:rsidRPr="00E67EDD">
        <w:rPr>
          <w:color w:val="0D0D0D" w:themeColor="text1" w:themeTint="F2"/>
          <w:spacing w:val="-4"/>
          <w:sz w:val="16"/>
          <w:szCs w:val="16"/>
          <w:lang w:val="en-GB"/>
        </w:rPr>
        <w:t>21 </w:t>
      </w:r>
      <w:r>
        <w:rPr>
          <w:color w:val="0D0D0D" w:themeColor="text1" w:themeTint="F2"/>
          <w:spacing w:val="-4"/>
          <w:sz w:val="16"/>
          <w:szCs w:val="16"/>
          <w:lang w:val="en-GB"/>
        </w:rPr>
        <w:t xml:space="preserve">countries providing seasonally adjusted data. Non adjusted data suggest that only four states achieved surplus. The balance worsened in the whole </w:t>
      </w:r>
      <w:r w:rsidRPr="00E67EDD">
        <w:rPr>
          <w:color w:val="0D0D0D" w:themeColor="text1" w:themeTint="F2"/>
          <w:spacing w:val="-4"/>
          <w:sz w:val="16"/>
          <w:szCs w:val="16"/>
          <w:lang w:val="en-GB"/>
        </w:rPr>
        <w:t>EU (</w:t>
      </w:r>
      <w:r>
        <w:rPr>
          <w:color w:val="0D0D0D" w:themeColor="text1" w:themeTint="F2"/>
          <w:spacing w:val="-4"/>
          <w:sz w:val="16"/>
          <w:szCs w:val="16"/>
          <w:lang w:val="en-GB"/>
        </w:rPr>
        <w:t>apart from Cyprus</w:t>
      </w:r>
      <w:r w:rsidRPr="00E67EDD">
        <w:rPr>
          <w:color w:val="0D0D0D" w:themeColor="text1" w:themeTint="F2"/>
          <w:spacing w:val="-4"/>
          <w:sz w:val="16"/>
          <w:szCs w:val="16"/>
          <w:lang w:val="en-GB"/>
        </w:rPr>
        <w:t>)</w:t>
      </w:r>
      <w:r>
        <w:rPr>
          <w:color w:val="0D0D0D" w:themeColor="text1" w:themeTint="F2"/>
          <w:spacing w:val="-4"/>
          <w:sz w:val="16"/>
          <w:szCs w:val="16"/>
          <w:lang w:val="en-GB"/>
        </w:rPr>
        <w:t xml:space="preserve"> compared to Q1 2019. Belgium, Italy, Malta, Romania and France had the deepest deficit </w:t>
      </w:r>
      <w:r w:rsidRPr="00E67EDD">
        <w:rPr>
          <w:color w:val="0D0D0D" w:themeColor="text1" w:themeTint="F2"/>
          <w:spacing w:val="-4"/>
          <w:sz w:val="16"/>
          <w:szCs w:val="16"/>
          <w:lang w:val="en-GB"/>
        </w:rPr>
        <w:t>(</w:t>
      </w:r>
      <w:r>
        <w:rPr>
          <w:color w:val="0D0D0D" w:themeColor="text1" w:themeTint="F2"/>
          <w:spacing w:val="-4"/>
          <w:sz w:val="16"/>
          <w:szCs w:val="16"/>
          <w:lang w:val="en-GB"/>
        </w:rPr>
        <w:t xml:space="preserve">over </w:t>
      </w:r>
      <w:r w:rsidRPr="00E67EDD">
        <w:rPr>
          <w:color w:val="0D0D0D" w:themeColor="text1" w:themeTint="F2"/>
          <w:spacing w:val="-4"/>
          <w:sz w:val="16"/>
          <w:szCs w:val="16"/>
          <w:lang w:val="en-GB"/>
        </w:rPr>
        <w:t>9%</w:t>
      </w:r>
      <w:r>
        <w:rPr>
          <w:color w:val="0D0D0D" w:themeColor="text1" w:themeTint="F2"/>
          <w:spacing w:val="-4"/>
          <w:sz w:val="16"/>
          <w:szCs w:val="16"/>
          <w:lang w:val="en-GB"/>
        </w:rPr>
        <w:t xml:space="preserve"> of GDP</w:t>
      </w:r>
      <w:r w:rsidRPr="00E67EDD">
        <w:rPr>
          <w:color w:val="0D0D0D" w:themeColor="text1" w:themeTint="F2"/>
          <w:spacing w:val="-4"/>
          <w:sz w:val="16"/>
          <w:szCs w:val="16"/>
          <w:lang w:val="en-GB"/>
        </w:rPr>
        <w:t>)</w:t>
      </w:r>
      <w:r>
        <w:rPr>
          <w:color w:val="0D0D0D" w:themeColor="text1" w:themeTint="F2"/>
          <w:spacing w:val="-4"/>
          <w:sz w:val="16"/>
          <w:szCs w:val="16"/>
          <w:lang w:val="en-GB"/>
        </w:rPr>
        <w:t xml:space="preserve"> this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E83D3" w14:textId="77777777" w:rsidR="00C2211E" w:rsidRDefault="00C2211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C1D13" w14:textId="77777777" w:rsidR="00C2211E" w:rsidRDefault="00C2211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AC241" w14:textId="77777777" w:rsidR="00C2211E" w:rsidRDefault="00C2211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D7494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38F"/>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67F13"/>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chart" Target="charts/chart4.xml"/><Relationship Id="rId26" Type="http://schemas.openxmlformats.org/officeDocument/2006/relationships/header" Target="header4.xml"/><Relationship Id="rId21" Type="http://schemas.openxmlformats.org/officeDocument/2006/relationships/chart" Target="charts/chart7.xml"/><Relationship Id="rId34" Type="http://schemas.openxmlformats.org/officeDocument/2006/relationships/chart" Target="charts/chart1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5.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10.xml"/><Relationship Id="rId32" Type="http://schemas.openxmlformats.org/officeDocument/2006/relationships/chart" Target="charts/chart1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footer" Target="footer4.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hart" Target="charts/chart5.xml"/><Relationship Id="rId31" Type="http://schemas.openxmlformats.org/officeDocument/2006/relationships/chart" Target="charts/chart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8.xml"/><Relationship Id="rId27" Type="http://schemas.openxmlformats.org/officeDocument/2006/relationships/header" Target="header5.xml"/><Relationship Id="rId30" Type="http://schemas.openxmlformats.org/officeDocument/2006/relationships/chart" Target="charts/chart12.xml"/><Relationship Id="rId35" Type="http://schemas.openxmlformats.org/officeDocument/2006/relationships/chart" Target="charts/chart17.xml"/><Relationship Id="rId8" Type="http://schemas.openxmlformats.org/officeDocument/2006/relationships/endnotes" Target="endnotes.xml"/><Relationship Id="rId3" Type="http://schemas.openxmlformats.org/officeDocument/2006/relationships/numbering" Target="numbering.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JKAM%20CSU\PUBLIKACE\PUBLIKACE\2020\Q-makro\ENGL-1.pololet&#237;\ENGL-Grafy-st&#225;tn&#237;%20rozpo&#269;et-rok-1-pol-202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st&#225;tn&#237;%20rozpo&#269;et-rok-1-pol-20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JKAM%20CSU\PUBLIKACE\PUBLIKACE\2020\Q-makro\ENGL-1.pololet&#237;\ENGL-Odv&#283;tv&#237;%20grafy-rok-2q20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JKAM%20CSU\PUBLIKACE\PUBLIKACE\2020\Q-makro\ENGL-1.pololet&#237;\ENGL-Odv&#283;tv&#237;%20grafy-rok-2q20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JKAM%20CSU\PUBLIKACE\PUBLIKACE\2020\Q-makro\ENGL-1.pololet&#237;\ENGL-Odv&#283;tv&#237;%20grafy-rok-2q20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JKAM%20CSU\PUBLIKACE\PUBLIKACE\2020\Q-makro\ENGL-1.pololet&#237;\ENGL-Odv&#283;tv&#237;%20grafy-rok-2q20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zabojnikova31519\Documents\Anal&#253;za\Q\2020Q2\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2240163796014418E-2"/>
          <c:y val="2.3046636085626952E-2"/>
          <c:w val="0.93617042384329663"/>
          <c:h val="0.74192840256670856"/>
        </c:manualLayout>
      </c:layout>
      <c:barChart>
        <c:barDir val="col"/>
        <c:grouping val="clustered"/>
        <c:varyColors val="0"/>
        <c:ser>
          <c:idx val="0"/>
          <c:order val="0"/>
          <c:tx>
            <c:strRef>
              <c:f>'souhrnná výkonnost 1'!$C$4</c:f>
              <c:strCache>
                <c:ptCount val="1"/>
                <c:pt idx="0">
                  <c:v>CR year-on-year change</c:v>
                </c:pt>
              </c:strCache>
            </c:strRef>
          </c:tx>
          <c:spPr>
            <a:solidFill>
              <a:schemeClr val="bg1">
                <a:lumMod val="65000"/>
              </a:schemeClr>
            </a:solidFill>
            <a:ln>
              <a:noFill/>
            </a:ln>
          </c:spPr>
          <c:invertIfNegative val="0"/>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1'!$C$17:$C$38</c:f>
              <c:numCache>
                <c:formatCode>#\ ##0.0</c:formatCode>
                <c:ptCount val="22"/>
                <c:pt idx="0">
                  <c:v>5.3541342799457112</c:v>
                </c:pt>
                <c:pt idx="1">
                  <c:v>5.7581302882289123</c:v>
                </c:pt>
                <c:pt idx="2">
                  <c:v>5.6783705866674694</c:v>
                </c:pt>
                <c:pt idx="3">
                  <c:v>5.0736450126825758</c:v>
                </c:pt>
                <c:pt idx="4">
                  <c:v>3.4010325671467712</c:v>
                </c:pt>
                <c:pt idx="5">
                  <c:v>2.318358207366316</c:v>
                </c:pt>
                <c:pt idx="6">
                  <c:v>1.9345991649110346</c:v>
                </c:pt>
                <c:pt idx="7">
                  <c:v>2.1527896621077645</c:v>
                </c:pt>
                <c:pt idx="8">
                  <c:v>3.6789885316907771</c:v>
                </c:pt>
                <c:pt idx="9">
                  <c:v>6.0785986760951261</c:v>
                </c:pt>
                <c:pt idx="10">
                  <c:v>5.8461947005677075</c:v>
                </c:pt>
                <c:pt idx="11">
                  <c:v>5.8135548231886673</c:v>
                </c:pt>
                <c:pt idx="12">
                  <c:v>4.7768084590779267</c:v>
                </c:pt>
                <c:pt idx="13" formatCode="General">
                  <c:v>2.6475743105130789</c:v>
                </c:pt>
                <c:pt idx="14" formatCode="General">
                  <c:v>2.6903360884822547</c:v>
                </c:pt>
                <c:pt idx="15">
                  <c:v>2.5948207201504516</c:v>
                </c:pt>
                <c:pt idx="16">
                  <c:v>2.44933042272271</c:v>
                </c:pt>
                <c:pt idx="17" formatCode="General">
                  <c:v>2.3739064902964344</c:v>
                </c:pt>
                <c:pt idx="18" formatCode="General">
                  <c:v>2.282942447919396</c:v>
                </c:pt>
                <c:pt idx="19" formatCode="General">
                  <c:v>1.9682562537211652</c:v>
                </c:pt>
                <c:pt idx="20" formatCode="General">
                  <c:v>-1.9120655029700089</c:v>
                </c:pt>
                <c:pt idx="21" formatCode="General">
                  <c:v>-10.956231556106871</c:v>
                </c:pt>
              </c:numCache>
            </c:numRef>
          </c:val>
          <c:extLst>
            <c:ext xmlns:c16="http://schemas.microsoft.com/office/drawing/2014/chart" uri="{C3380CC4-5D6E-409C-BE32-E72D297353CC}">
              <c16:uniqueId val="{00000000-21C8-4CA5-AEF0-1CB325671196}"/>
            </c:ext>
          </c:extLst>
        </c:ser>
        <c:ser>
          <c:idx val="1"/>
          <c:order val="1"/>
          <c:tx>
            <c:strRef>
              <c:f>'souhrnná výkonnost 1'!$D$4</c:f>
              <c:strCache>
                <c:ptCount val="1"/>
                <c:pt idx="0">
                  <c:v>EU28 year-on-year change</c:v>
                </c:pt>
              </c:strCache>
            </c:strRef>
          </c:tx>
          <c:spPr>
            <a:solidFill>
              <a:schemeClr val="bg1">
                <a:lumMod val="50000"/>
              </a:schemeClr>
            </a:solidFill>
            <a:ln>
              <a:noFill/>
            </a:ln>
          </c:spPr>
          <c:invertIfNegative val="0"/>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1'!$D$17:$D$38</c:f>
              <c:numCache>
                <c:formatCode>#\ ##0.0</c:formatCode>
                <c:ptCount val="22"/>
                <c:pt idx="0">
                  <c:v>2.1</c:v>
                </c:pt>
                <c:pt idx="1">
                  <c:v>2.2999999999999998</c:v>
                </c:pt>
                <c:pt idx="2">
                  <c:v>2.2999999999999998</c:v>
                </c:pt>
                <c:pt idx="3">
                  <c:v>2.2999999999999998</c:v>
                </c:pt>
                <c:pt idx="4">
                  <c:v>2</c:v>
                </c:pt>
                <c:pt idx="5">
                  <c:v>1.9</c:v>
                </c:pt>
                <c:pt idx="6">
                  <c:v>1.8</c:v>
                </c:pt>
                <c:pt idx="7">
                  <c:v>2.2000000000000002</c:v>
                </c:pt>
                <c:pt idx="8">
                  <c:v>2.4</c:v>
                </c:pt>
                <c:pt idx="9">
                  <c:v>2.8</c:v>
                </c:pt>
                <c:pt idx="10">
                  <c:v>3.1</c:v>
                </c:pt>
                <c:pt idx="11">
                  <c:v>3.2</c:v>
                </c:pt>
                <c:pt idx="12">
                  <c:v>2.7</c:v>
                </c:pt>
                <c:pt idx="13">
                  <c:v>2.4</c:v>
                </c:pt>
                <c:pt idx="14">
                  <c:v>1.9</c:v>
                </c:pt>
                <c:pt idx="15">
                  <c:v>1.5</c:v>
                </c:pt>
                <c:pt idx="16">
                  <c:v>1.7</c:v>
                </c:pt>
                <c:pt idx="17">
                  <c:v>1.5</c:v>
                </c:pt>
                <c:pt idx="18">
                  <c:v>1.6</c:v>
                </c:pt>
                <c:pt idx="19">
                  <c:v>1.2</c:v>
                </c:pt>
                <c:pt idx="20">
                  <c:v>-2.5</c:v>
                </c:pt>
                <c:pt idx="21">
                  <c:v>-14.1</c:v>
                </c:pt>
              </c:numCache>
            </c:numRef>
          </c:val>
          <c:extLst>
            <c:ext xmlns:c16="http://schemas.microsoft.com/office/drawing/2014/chart" uri="{C3380CC4-5D6E-409C-BE32-E72D297353CC}">
              <c16:uniqueId val="{00000001-21C8-4CA5-AEF0-1CB325671196}"/>
            </c:ext>
          </c:extLst>
        </c:ser>
        <c:dLbls>
          <c:showLegendKey val="0"/>
          <c:showVal val="0"/>
          <c:showCatName val="0"/>
          <c:showSerName val="0"/>
          <c:showPercent val="0"/>
          <c:showBubbleSize val="0"/>
        </c:dLbls>
        <c:gapWidth val="100"/>
        <c:axId val="115054080"/>
        <c:axId val="115056000"/>
      </c:barChart>
      <c:lineChart>
        <c:grouping val="standard"/>
        <c:varyColors val="0"/>
        <c:ser>
          <c:idx val="2"/>
          <c:order val="2"/>
          <c:tx>
            <c:strRef>
              <c:f>'souhrnná výkonnost 1'!$E$4</c:f>
              <c:strCache>
                <c:ptCount val="1"/>
                <c:pt idx="0">
                  <c:v>ČR quarter-on-quarter change</c:v>
                </c:pt>
              </c:strCache>
            </c:strRef>
          </c:tx>
          <c:spPr>
            <a:ln w="19050">
              <a:noFill/>
            </a:ln>
          </c:spPr>
          <c:marker>
            <c:symbol val="dash"/>
            <c:size val="8"/>
            <c:spPr>
              <a:solidFill>
                <a:schemeClr val="accent1"/>
              </a:solidFill>
              <a:ln>
                <a:noFill/>
              </a:ln>
            </c:spPr>
          </c:marker>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1'!$E$17:$E$38</c:f>
              <c:numCache>
                <c:formatCode>#\ ##0.0</c:formatCode>
                <c:ptCount val="22"/>
                <c:pt idx="0">
                  <c:v>1.7876510932120624</c:v>
                </c:pt>
                <c:pt idx="1">
                  <c:v>1.4339927833768797</c:v>
                </c:pt>
                <c:pt idx="2">
                  <c:v>1.1102105904154485</c:v>
                </c:pt>
                <c:pt idx="3">
                  <c:v>0.65148104049788458</c:v>
                </c:pt>
                <c:pt idx="4">
                  <c:v>0.16734666768449813</c:v>
                </c:pt>
                <c:pt idx="5">
                  <c:v>0.37191457709397469</c:v>
                </c:pt>
                <c:pt idx="6">
                  <c:v>0.73098287137804618</c:v>
                </c:pt>
                <c:pt idx="7">
                  <c:v>0.86692502979816766</c:v>
                </c:pt>
                <c:pt idx="8">
                  <c:v>1.6638823155019793</c:v>
                </c:pt>
                <c:pt idx="9">
                  <c:v>2.6949837721494561</c:v>
                </c:pt>
                <c:pt idx="10">
                  <c:v>0.51029480450817744</c:v>
                </c:pt>
                <c:pt idx="11">
                  <c:v>0.83582061386817941</c:v>
                </c:pt>
                <c:pt idx="12">
                  <c:v>0.6677938604066469</c:v>
                </c:pt>
                <c:pt idx="13">
                  <c:v>0.60805566706811476</c:v>
                </c:pt>
                <c:pt idx="14">
                  <c:v>0.55216621685197254</c:v>
                </c:pt>
                <c:pt idx="15">
                  <c:v>0.74203018612357141</c:v>
                </c:pt>
                <c:pt idx="16">
                  <c:v>0.52503629070346847</c:v>
                </c:pt>
                <c:pt idx="17" formatCode="General">
                  <c:v>0.53398729433338588</c:v>
                </c:pt>
                <c:pt idx="18" formatCode="General">
                  <c:v>0.46282087659461979</c:v>
                </c:pt>
                <c:pt idx="19" formatCode="General">
                  <c:v>0.43208480015448458</c:v>
                </c:pt>
                <c:pt idx="20" formatCode="General">
                  <c:v>-3.3003648659114049</c:v>
                </c:pt>
                <c:pt idx="21" formatCode="General">
                  <c:v>-8.7357162603014018</c:v>
                </c:pt>
              </c:numCache>
            </c:numRef>
          </c:val>
          <c:smooth val="0"/>
          <c:extLst>
            <c:ext xmlns:c16="http://schemas.microsoft.com/office/drawing/2014/chart" uri="{C3380CC4-5D6E-409C-BE32-E72D297353CC}">
              <c16:uniqueId val="{00000002-21C8-4CA5-AEF0-1CB325671196}"/>
            </c:ext>
          </c:extLst>
        </c:ser>
        <c:ser>
          <c:idx val="3"/>
          <c:order val="3"/>
          <c:tx>
            <c:strRef>
              <c:f>'souhrnná výkonnost 1'!$F$4</c:f>
              <c:strCache>
                <c:ptCount val="1"/>
                <c:pt idx="0">
                  <c:v>EU28 quarter-on-quarter change</c:v>
                </c:pt>
              </c:strCache>
            </c:strRef>
          </c:tx>
          <c:spPr>
            <a:ln w="19050">
              <a:noFill/>
            </a:ln>
          </c:spPr>
          <c:marker>
            <c:symbol val="dash"/>
            <c:size val="8"/>
            <c:spPr>
              <a:solidFill>
                <a:schemeClr val="accent2"/>
              </a:solidFill>
              <a:ln>
                <a:noFill/>
              </a:ln>
            </c:spPr>
          </c:marker>
          <c:cat>
            <c:multiLvlStrRef>
              <c:f>'souhrnná výkonnost 1'!$A$17:$B$38</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1'!$F$17:$F$38</c:f>
              <c:numCache>
                <c:formatCode>#\ ##0.0</c:formatCode>
                <c:ptCount val="22"/>
                <c:pt idx="0">
                  <c:v>0.8</c:v>
                </c:pt>
                <c:pt idx="1">
                  <c:v>0.5</c:v>
                </c:pt>
                <c:pt idx="2">
                  <c:v>0.5</c:v>
                </c:pt>
                <c:pt idx="3">
                  <c:v>0.5</c:v>
                </c:pt>
                <c:pt idx="4">
                  <c:v>0.6</c:v>
                </c:pt>
                <c:pt idx="5">
                  <c:v>0.4</c:v>
                </c:pt>
                <c:pt idx="6">
                  <c:v>0.4</c:v>
                </c:pt>
                <c:pt idx="7">
                  <c:v>0.8</c:v>
                </c:pt>
                <c:pt idx="8">
                  <c:v>0.8</c:v>
                </c:pt>
                <c:pt idx="9">
                  <c:v>0.8</c:v>
                </c:pt>
                <c:pt idx="10">
                  <c:v>0.8</c:v>
                </c:pt>
                <c:pt idx="11">
                  <c:v>0.8</c:v>
                </c:pt>
                <c:pt idx="12">
                  <c:v>0.4</c:v>
                </c:pt>
                <c:pt idx="13">
                  <c:v>0.4</c:v>
                </c:pt>
                <c:pt idx="14">
                  <c:v>0.3</c:v>
                </c:pt>
                <c:pt idx="15">
                  <c:v>0.5</c:v>
                </c:pt>
                <c:pt idx="16">
                  <c:v>0.5</c:v>
                </c:pt>
                <c:pt idx="17">
                  <c:v>0.3</c:v>
                </c:pt>
                <c:pt idx="18">
                  <c:v>0.3</c:v>
                </c:pt>
                <c:pt idx="19">
                  <c:v>0.1</c:v>
                </c:pt>
                <c:pt idx="20">
                  <c:v>-3.2</c:v>
                </c:pt>
                <c:pt idx="21">
                  <c:v>-11.7</c:v>
                </c:pt>
              </c:numCache>
            </c:numRef>
          </c:val>
          <c:smooth val="0"/>
          <c:extLst>
            <c:ext xmlns:c16="http://schemas.microsoft.com/office/drawing/2014/chart" uri="{C3380CC4-5D6E-409C-BE32-E72D297353CC}">
              <c16:uniqueId val="{00000003-21C8-4CA5-AEF0-1CB325671196}"/>
            </c:ext>
          </c:extLst>
        </c:ser>
        <c:dLbls>
          <c:showLegendKey val="0"/>
          <c:showVal val="0"/>
          <c:showCatName val="0"/>
          <c:showSerName val="0"/>
          <c:showPercent val="0"/>
          <c:showBubbleSize val="0"/>
        </c:dLbls>
        <c:marker val="1"/>
        <c:smooth val="0"/>
        <c:axId val="115054080"/>
        <c:axId val="115056000"/>
      </c:lineChart>
      <c:catAx>
        <c:axId val="11505408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15056000"/>
        <c:crosses val="autoZero"/>
        <c:auto val="1"/>
        <c:lblAlgn val="ctr"/>
        <c:lblOffset val="100"/>
        <c:noMultiLvlLbl val="0"/>
      </c:catAx>
      <c:valAx>
        <c:axId val="115056000"/>
        <c:scaling>
          <c:orientation val="minMax"/>
          <c:max val="7"/>
          <c:min val="-15"/>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054080"/>
        <c:crosses val="autoZero"/>
        <c:crossBetween val="between"/>
        <c:majorUnit val="3"/>
      </c:valAx>
      <c:spPr>
        <a:ln>
          <a:solidFill>
            <a:schemeClr val="tx1"/>
          </a:solidFill>
        </a:ln>
      </c:spPr>
    </c:plotArea>
    <c:legend>
      <c:legendPos val="b"/>
      <c:layout>
        <c:manualLayout>
          <c:xMode val="edge"/>
          <c:yMode val="edge"/>
          <c:x val="3.9667131036811888E-2"/>
          <c:y val="0.89437255125717996"/>
          <c:w val="0.93714918946301962"/>
          <c:h val="9.0301755758791014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9258203189717562E-2"/>
          <c:y val="2.9569886214146503E-2"/>
          <c:w val="0.92637856314472322"/>
          <c:h val="0.73556653157716956"/>
        </c:manualLayout>
      </c:layout>
      <c:barChart>
        <c:barDir val="col"/>
        <c:grouping val="clustered"/>
        <c:varyColors val="0"/>
        <c:ser>
          <c:idx val="0"/>
          <c:order val="0"/>
          <c:tx>
            <c:strRef>
              <c:f>'Ceny 1'!$C$5</c:f>
              <c:strCache>
                <c:ptCount val="1"/>
                <c:pt idx="0">
                  <c:v>Realised prices of older flats, the CR</c:v>
                </c:pt>
              </c:strCache>
            </c:strRef>
          </c:tx>
          <c:spPr>
            <a:solidFill>
              <a:schemeClr val="bg1">
                <a:lumMod val="65000"/>
              </a:schemeClr>
            </a:solidFill>
            <a:ln w="19050">
              <a:noFill/>
            </a:ln>
          </c:spPr>
          <c:invertIfNegative val="0"/>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1'!$C$18:$C$39</c:f>
              <c:numCache>
                <c:formatCode>General</c:formatCode>
                <c:ptCount val="22"/>
                <c:pt idx="0">
                  <c:v>4.2999999999999972</c:v>
                </c:pt>
                <c:pt idx="1">
                  <c:v>4.9000000000000057</c:v>
                </c:pt>
                <c:pt idx="2">
                  <c:v>6</c:v>
                </c:pt>
                <c:pt idx="3">
                  <c:v>6.7999999999999972</c:v>
                </c:pt>
                <c:pt idx="4">
                  <c:v>8.9000000000000057</c:v>
                </c:pt>
                <c:pt idx="5">
                  <c:v>10.299999999999997</c:v>
                </c:pt>
                <c:pt idx="6">
                  <c:v>12.299999999999997</c:v>
                </c:pt>
                <c:pt idx="7">
                  <c:v>14.599999999999994</c:v>
                </c:pt>
                <c:pt idx="8">
                  <c:v>17.200000000000003</c:v>
                </c:pt>
                <c:pt idx="9">
                  <c:v>18.700000000000003</c:v>
                </c:pt>
                <c:pt idx="10">
                  <c:v>15.799999999999997</c:v>
                </c:pt>
                <c:pt idx="11">
                  <c:v>12</c:v>
                </c:pt>
                <c:pt idx="12">
                  <c:v>9.2000000000000028</c:v>
                </c:pt>
                <c:pt idx="13">
                  <c:v>8</c:v>
                </c:pt>
                <c:pt idx="14">
                  <c:v>9.4000000000000057</c:v>
                </c:pt>
                <c:pt idx="15">
                  <c:v>11.400000000000006</c:v>
                </c:pt>
                <c:pt idx="16">
                  <c:v>11.299999999999997</c:v>
                </c:pt>
                <c:pt idx="17">
                  <c:v>10.599999999999994</c:v>
                </c:pt>
                <c:pt idx="18">
                  <c:v>9.5</c:v>
                </c:pt>
                <c:pt idx="19">
                  <c:v>9.4000000000000057</c:v>
                </c:pt>
                <c:pt idx="20">
                  <c:v>10.599999999999994</c:v>
                </c:pt>
                <c:pt idx="21">
                  <c:v>10.200000000000003</c:v>
                </c:pt>
              </c:numCache>
            </c:numRef>
          </c:val>
          <c:extLst>
            <c:ext xmlns:c16="http://schemas.microsoft.com/office/drawing/2014/chart" uri="{C3380CC4-5D6E-409C-BE32-E72D297353CC}">
              <c16:uniqueId val="{00000000-3A5F-41C2-9884-AB2DB3D76309}"/>
            </c:ext>
          </c:extLst>
        </c:ser>
        <c:ser>
          <c:idx val="1"/>
          <c:order val="1"/>
          <c:tx>
            <c:strRef>
              <c:f>'Ceny 1'!$D$5</c:f>
              <c:strCache>
                <c:ptCount val="1"/>
                <c:pt idx="0">
                  <c:v>Realised prices of older flats, Prague</c:v>
                </c:pt>
              </c:strCache>
            </c:strRef>
          </c:tx>
          <c:spPr>
            <a:solidFill>
              <a:prstClr val="black">
                <a:lumMod val="50000"/>
                <a:lumOff val="50000"/>
              </a:prstClr>
            </a:solidFill>
            <a:ln w="19050">
              <a:noFill/>
            </a:ln>
          </c:spPr>
          <c:invertIfNegative val="0"/>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1'!$D$18:$D$39</c:f>
              <c:numCache>
                <c:formatCode>General</c:formatCode>
                <c:ptCount val="22"/>
                <c:pt idx="0">
                  <c:v>5</c:v>
                </c:pt>
                <c:pt idx="1">
                  <c:v>5.9000000000000057</c:v>
                </c:pt>
                <c:pt idx="2">
                  <c:v>5.5999999999999943</c:v>
                </c:pt>
                <c:pt idx="3">
                  <c:v>4.5999999999999943</c:v>
                </c:pt>
                <c:pt idx="4">
                  <c:v>5.7999999999999972</c:v>
                </c:pt>
                <c:pt idx="5">
                  <c:v>7.5</c:v>
                </c:pt>
                <c:pt idx="6">
                  <c:v>9.4000000000000057</c:v>
                </c:pt>
                <c:pt idx="7">
                  <c:v>13.900000000000006</c:v>
                </c:pt>
                <c:pt idx="8">
                  <c:v>16.200000000000003</c:v>
                </c:pt>
                <c:pt idx="9">
                  <c:v>19</c:v>
                </c:pt>
                <c:pt idx="10">
                  <c:v>16.400000000000006</c:v>
                </c:pt>
                <c:pt idx="11">
                  <c:v>11.099999999999994</c:v>
                </c:pt>
                <c:pt idx="12">
                  <c:v>8.2999999999999972</c:v>
                </c:pt>
                <c:pt idx="13">
                  <c:v>4</c:v>
                </c:pt>
                <c:pt idx="14">
                  <c:v>6</c:v>
                </c:pt>
                <c:pt idx="15">
                  <c:v>8.7000000000000028</c:v>
                </c:pt>
                <c:pt idx="16">
                  <c:v>9.4000000000000057</c:v>
                </c:pt>
                <c:pt idx="17">
                  <c:v>8.7000000000000028</c:v>
                </c:pt>
                <c:pt idx="18">
                  <c:v>6.5</c:v>
                </c:pt>
                <c:pt idx="19">
                  <c:v>7.0999999999999943</c:v>
                </c:pt>
                <c:pt idx="20">
                  <c:v>6.2000000000000028</c:v>
                </c:pt>
                <c:pt idx="21">
                  <c:v>8</c:v>
                </c:pt>
              </c:numCache>
            </c:numRef>
          </c:val>
          <c:extLst>
            <c:ext xmlns:c16="http://schemas.microsoft.com/office/drawing/2014/chart" uri="{C3380CC4-5D6E-409C-BE32-E72D297353CC}">
              <c16:uniqueId val="{00000001-3A5F-41C2-9884-AB2DB3D76309}"/>
            </c:ext>
          </c:extLst>
        </c:ser>
        <c:dLbls>
          <c:showLegendKey val="0"/>
          <c:showVal val="0"/>
          <c:showCatName val="0"/>
          <c:showSerName val="0"/>
          <c:showPercent val="0"/>
          <c:showBubbleSize val="0"/>
        </c:dLbls>
        <c:gapWidth val="95"/>
        <c:axId val="130418560"/>
        <c:axId val="130420096"/>
      </c:barChart>
      <c:lineChart>
        <c:grouping val="standard"/>
        <c:varyColors val="0"/>
        <c:ser>
          <c:idx val="2"/>
          <c:order val="2"/>
          <c:tx>
            <c:strRef>
              <c:f>'Ceny 1'!$E$5</c:f>
              <c:strCache>
                <c:ptCount val="1"/>
                <c:pt idx="0">
                  <c:v>Catalogue prices of flats, the CR</c:v>
                </c:pt>
              </c:strCache>
            </c:strRef>
          </c:tx>
          <c:spPr>
            <a:ln w="19050">
              <a:solidFill>
                <a:schemeClr val="accent2"/>
              </a:solidFill>
            </a:ln>
          </c:spPr>
          <c:marker>
            <c:symbol val="none"/>
          </c:marker>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1'!$E$18:$E$39</c:f>
              <c:numCache>
                <c:formatCode>0.0</c:formatCode>
                <c:ptCount val="22"/>
                <c:pt idx="0">
                  <c:v>3.6253776435045406</c:v>
                </c:pt>
                <c:pt idx="1">
                  <c:v>4.9701789264413518</c:v>
                </c:pt>
                <c:pt idx="2">
                  <c:v>6.0843964671246207</c:v>
                </c:pt>
                <c:pt idx="3">
                  <c:v>9.5849802371541539</c:v>
                </c:pt>
                <c:pt idx="4">
                  <c:v>10.204081632653059</c:v>
                </c:pt>
                <c:pt idx="5">
                  <c:v>10.321969696969703</c:v>
                </c:pt>
                <c:pt idx="6">
                  <c:v>9.8982423681776162</c:v>
                </c:pt>
                <c:pt idx="7">
                  <c:v>9.9188458070333638</c:v>
                </c:pt>
                <c:pt idx="8">
                  <c:v>9.5238095238095202</c:v>
                </c:pt>
                <c:pt idx="9" formatCode="General">
                  <c:v>9.5278969957081507</c:v>
                </c:pt>
                <c:pt idx="10" formatCode="General">
                  <c:v>12.542087542087534</c:v>
                </c:pt>
                <c:pt idx="11" formatCode="General">
                  <c:v>12.469237079573411</c:v>
                </c:pt>
                <c:pt idx="12" formatCode="General">
                  <c:v>12.801932367149751</c:v>
                </c:pt>
                <c:pt idx="13" formatCode="General">
                  <c:v>12.2257053291536</c:v>
                </c:pt>
                <c:pt idx="14" formatCode="General">
                  <c:v>9.4988780852655328</c:v>
                </c:pt>
                <c:pt idx="15" formatCode="General">
                  <c:v>8.4609773887673203</c:v>
                </c:pt>
                <c:pt idx="16" formatCode="General">
                  <c:v>7.4232690935046435</c:v>
                </c:pt>
                <c:pt idx="17" formatCode="General">
                  <c:v>5.7262569832402361</c:v>
                </c:pt>
                <c:pt idx="18" formatCode="General">
                  <c:v>5.1912568306010893</c:v>
                </c:pt>
                <c:pt idx="19" formatCode="General">
                  <c:v>5.5144586415601999</c:v>
                </c:pt>
                <c:pt idx="20" formatCode="General">
                  <c:v>6.0465116279069733</c:v>
                </c:pt>
                <c:pt idx="21" formatCode="General">
                  <c:v>7.1334214002641891</c:v>
                </c:pt>
              </c:numCache>
            </c:numRef>
          </c:val>
          <c:smooth val="0"/>
          <c:extLst>
            <c:ext xmlns:c16="http://schemas.microsoft.com/office/drawing/2014/chart" uri="{C3380CC4-5D6E-409C-BE32-E72D297353CC}">
              <c16:uniqueId val="{00000002-3A5F-41C2-9884-AB2DB3D76309}"/>
            </c:ext>
          </c:extLst>
        </c:ser>
        <c:ser>
          <c:idx val="3"/>
          <c:order val="3"/>
          <c:tx>
            <c:strRef>
              <c:f>'Ceny 1'!$F$5</c:f>
              <c:strCache>
                <c:ptCount val="1"/>
                <c:pt idx="0">
                  <c:v>Catalogue prices of flats, Prague</c:v>
                </c:pt>
              </c:strCache>
            </c:strRef>
          </c:tx>
          <c:spPr>
            <a:ln>
              <a:solidFill>
                <a:schemeClr val="accent1"/>
              </a:solidFill>
            </a:ln>
          </c:spPr>
          <c:marker>
            <c:symbol val="none"/>
          </c:marker>
          <c:cat>
            <c:multiLvlStrRef>
              <c:f>'Ceny 1'!$A$18:$B$39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1'!$F$18:$F$39</c:f>
              <c:numCache>
                <c:formatCode>0.0</c:formatCode>
                <c:ptCount val="22"/>
                <c:pt idx="0">
                  <c:v>5.7710501419110631</c:v>
                </c:pt>
                <c:pt idx="1">
                  <c:v>6.4995357474466111</c:v>
                </c:pt>
                <c:pt idx="2">
                  <c:v>6.7089755213055353</c:v>
                </c:pt>
                <c:pt idx="3">
                  <c:v>8.7862318840579601</c:v>
                </c:pt>
                <c:pt idx="4">
                  <c:v>10.196779964221831</c:v>
                </c:pt>
                <c:pt idx="5">
                  <c:v>10.549258936355706</c:v>
                </c:pt>
                <c:pt idx="6">
                  <c:v>9.7706032285471416</c:v>
                </c:pt>
                <c:pt idx="7">
                  <c:v>11.323896752706073</c:v>
                </c:pt>
                <c:pt idx="8">
                  <c:v>13.636363636363633</c:v>
                </c:pt>
                <c:pt idx="9" formatCode="General">
                  <c:v>14.589905362776037</c:v>
                </c:pt>
                <c:pt idx="10" formatCode="General">
                  <c:v>18.266253869969059</c:v>
                </c:pt>
                <c:pt idx="11" formatCode="General">
                  <c:v>18.773373223635023</c:v>
                </c:pt>
                <c:pt idx="12" formatCode="General">
                  <c:v>15.071428571428566</c:v>
                </c:pt>
                <c:pt idx="13" formatCode="General">
                  <c:v>14.246386785960075</c:v>
                </c:pt>
                <c:pt idx="14" formatCode="General">
                  <c:v>10.732984293193702</c:v>
                </c:pt>
                <c:pt idx="15" formatCode="General">
                  <c:v>8.7531486146095574</c:v>
                </c:pt>
                <c:pt idx="16" formatCode="General">
                  <c:v>8.3178150217256395</c:v>
                </c:pt>
                <c:pt idx="17" formatCode="General">
                  <c:v>4.9397590361445713</c:v>
                </c:pt>
                <c:pt idx="18" formatCode="General">
                  <c:v>3.3096926713948127</c:v>
                </c:pt>
                <c:pt idx="19" formatCode="General">
                  <c:v>2.9530978575564695</c:v>
                </c:pt>
                <c:pt idx="20" formatCode="General">
                  <c:v>3.553008595988532</c:v>
                </c:pt>
                <c:pt idx="21" formatCode="General">
                  <c:v>5.2812858783008139</c:v>
                </c:pt>
              </c:numCache>
            </c:numRef>
          </c:val>
          <c:smooth val="0"/>
          <c:extLst>
            <c:ext xmlns:c16="http://schemas.microsoft.com/office/drawing/2014/chart" uri="{C3380CC4-5D6E-409C-BE32-E72D297353CC}">
              <c16:uniqueId val="{00000003-3A5F-41C2-9884-AB2DB3D76309}"/>
            </c:ext>
          </c:extLst>
        </c:ser>
        <c:dLbls>
          <c:showLegendKey val="0"/>
          <c:showVal val="0"/>
          <c:showCatName val="0"/>
          <c:showSerName val="0"/>
          <c:showPercent val="0"/>
          <c:showBubbleSize val="0"/>
        </c:dLbls>
        <c:marker val="1"/>
        <c:smooth val="0"/>
        <c:axId val="130418560"/>
        <c:axId val="130420096"/>
      </c:lineChart>
      <c:catAx>
        <c:axId val="13041856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420096"/>
        <c:crosses val="autoZero"/>
        <c:auto val="1"/>
        <c:lblAlgn val="ctr"/>
        <c:lblOffset val="100"/>
        <c:noMultiLvlLbl val="0"/>
      </c:catAx>
      <c:valAx>
        <c:axId val="130420096"/>
        <c:scaling>
          <c:orientation val="minMax"/>
          <c:min val="-6"/>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418560"/>
        <c:crosses val="autoZero"/>
        <c:crossBetween val="between"/>
        <c:majorUnit val="2"/>
      </c:valAx>
      <c:spPr>
        <a:ln>
          <a:solidFill>
            <a:schemeClr val="tx1"/>
          </a:solidFill>
        </a:ln>
      </c:spPr>
    </c:plotArea>
    <c:legend>
      <c:legendPos val="b"/>
      <c:layout>
        <c:manualLayout>
          <c:xMode val="edge"/>
          <c:yMode val="edge"/>
          <c:x val="4.6528021206651497E-2"/>
          <c:y val="0.88817854328492629"/>
          <c:w val="0.9267997314289258"/>
          <c:h val="9.838061465721031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707738197712412E-2"/>
          <c:y val="2.1811315924219993E-2"/>
          <c:w val="0.91339300415866242"/>
          <c:h val="0.67731143526630222"/>
        </c:manualLayout>
      </c:layout>
      <c:barChart>
        <c:barDir val="col"/>
        <c:grouping val="clustered"/>
        <c:varyColors val="0"/>
        <c:ser>
          <c:idx val="0"/>
          <c:order val="0"/>
          <c:tx>
            <c:strRef>
              <c:f>'Ceny 4'!$C$5</c:f>
              <c:strCache>
                <c:ptCount val="1"/>
                <c:pt idx="0">
                  <c:v>Total</c:v>
                </c:pt>
              </c:strCache>
            </c:strRef>
          </c:tx>
          <c:spPr>
            <a:solidFill>
              <a:schemeClr val="bg1">
                <a:lumMod val="65000"/>
              </a:schemeClr>
            </a:solidFill>
            <a:ln w="19050">
              <a:noFill/>
            </a:ln>
          </c:spPr>
          <c:invertIfNegative val="0"/>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4'!$C$30:$C$95</c:f>
              <c:numCache>
                <c:formatCode>0.0</c:formatCode>
                <c:ptCount val="66"/>
                <c:pt idx="0">
                  <c:v>-3.5</c:v>
                </c:pt>
                <c:pt idx="1">
                  <c:v>-3.5999999999999943</c:v>
                </c:pt>
                <c:pt idx="2">
                  <c:v>-2.9000000000000057</c:v>
                </c:pt>
                <c:pt idx="3">
                  <c:v>-2.5999999999999943</c:v>
                </c:pt>
                <c:pt idx="4">
                  <c:v>-2.0999999999999943</c:v>
                </c:pt>
                <c:pt idx="5">
                  <c:v>-2.2999999999999972</c:v>
                </c:pt>
                <c:pt idx="6">
                  <c:v>-3</c:v>
                </c:pt>
                <c:pt idx="7">
                  <c:v>-3.7000000000000028</c:v>
                </c:pt>
                <c:pt idx="8">
                  <c:v>-4.2000000000000028</c:v>
                </c:pt>
                <c:pt idx="9">
                  <c:v>-3.9000000000000057</c:v>
                </c:pt>
                <c:pt idx="10">
                  <c:v>-3.7000000000000028</c:v>
                </c:pt>
                <c:pt idx="11">
                  <c:v>-2.9000000000000057</c:v>
                </c:pt>
                <c:pt idx="12">
                  <c:v>-3.4000000000000057</c:v>
                </c:pt>
                <c:pt idx="13">
                  <c:v>-4</c:v>
                </c:pt>
                <c:pt idx="14">
                  <c:v>-4.5</c:v>
                </c:pt>
                <c:pt idx="15">
                  <c:v>-4.7000000000000028</c:v>
                </c:pt>
                <c:pt idx="16">
                  <c:v>-4.7999999999999972</c:v>
                </c:pt>
                <c:pt idx="17">
                  <c:v>-4.4000000000000057</c:v>
                </c:pt>
                <c:pt idx="18">
                  <c:v>-4</c:v>
                </c:pt>
                <c:pt idx="19">
                  <c:v>-3.4000000000000057</c:v>
                </c:pt>
                <c:pt idx="20">
                  <c:v>-2.4000000000000057</c:v>
                </c:pt>
                <c:pt idx="21">
                  <c:v>-1.7000000000000028</c:v>
                </c:pt>
                <c:pt idx="22">
                  <c:v>-1.2999999999999972</c:v>
                </c:pt>
                <c:pt idx="23">
                  <c:v>-0.40000000000000568</c:v>
                </c:pt>
                <c:pt idx="24" formatCode="General">
                  <c:v>2.0999999999999943</c:v>
                </c:pt>
                <c:pt idx="25" formatCode="General">
                  <c:v>3.0999999999999943</c:v>
                </c:pt>
                <c:pt idx="26">
                  <c:v>3</c:v>
                </c:pt>
                <c:pt idx="27">
                  <c:v>3.2000000000000028</c:v>
                </c:pt>
                <c:pt idx="28" formatCode="General">
                  <c:v>2.2999999999999972</c:v>
                </c:pt>
                <c:pt idx="29" formatCode="General">
                  <c:v>1.2999999999999972</c:v>
                </c:pt>
                <c:pt idx="30" formatCode="General">
                  <c:v>1.1000000000000001</c:v>
                </c:pt>
                <c:pt idx="31" formatCode="General">
                  <c:v>1.4</c:v>
                </c:pt>
                <c:pt idx="32" formatCode="General">
                  <c:v>1.7</c:v>
                </c:pt>
                <c:pt idx="33" formatCode="General">
                  <c:v>1.1000000000000001</c:v>
                </c:pt>
                <c:pt idx="34" formatCode="General">
                  <c:v>0.9</c:v>
                </c:pt>
                <c:pt idx="35" formatCode="General">
                  <c:v>0.7</c:v>
                </c:pt>
                <c:pt idx="36" formatCode="General">
                  <c:v>0.5</c:v>
                </c:pt>
                <c:pt idx="37" formatCode="General">
                  <c:v>-0.3</c:v>
                </c:pt>
                <c:pt idx="38" formatCode="General">
                  <c:v>0.1</c:v>
                </c:pt>
                <c:pt idx="39" formatCode="General">
                  <c:v>0</c:v>
                </c:pt>
                <c:pt idx="40" formatCode="General">
                  <c:v>1.5</c:v>
                </c:pt>
                <c:pt idx="41" formatCode="General">
                  <c:v>2.9</c:v>
                </c:pt>
                <c:pt idx="42" formatCode="General">
                  <c:v>3.4</c:v>
                </c:pt>
                <c:pt idx="43" formatCode="General">
                  <c:v>3.3</c:v>
                </c:pt>
                <c:pt idx="44" formatCode="General">
                  <c:v>3.2</c:v>
                </c:pt>
                <c:pt idx="45" formatCode="General">
                  <c:v>3.9</c:v>
                </c:pt>
                <c:pt idx="46" formatCode="General">
                  <c:v>3.9</c:v>
                </c:pt>
                <c:pt idx="47" formatCode="General">
                  <c:v>2.4</c:v>
                </c:pt>
                <c:pt idx="48" formatCode="General">
                  <c:v>2.9</c:v>
                </c:pt>
                <c:pt idx="49" formatCode="General">
                  <c:v>3.6</c:v>
                </c:pt>
                <c:pt idx="50" formatCode="General">
                  <c:v>3.8</c:v>
                </c:pt>
                <c:pt idx="51" formatCode="General">
                  <c:v>4.3</c:v>
                </c:pt>
                <c:pt idx="52" formatCode="General">
                  <c:v>3.8</c:v>
                </c:pt>
                <c:pt idx="53" formatCode="General">
                  <c:v>2.5</c:v>
                </c:pt>
                <c:pt idx="54" formatCode="General">
                  <c:v>2.1</c:v>
                </c:pt>
                <c:pt idx="55" formatCode="General">
                  <c:v>2.1</c:v>
                </c:pt>
                <c:pt idx="56" formatCode="General">
                  <c:v>1.9</c:v>
                </c:pt>
                <c:pt idx="57" formatCode="General">
                  <c:v>0.9</c:v>
                </c:pt>
                <c:pt idx="58" formatCode="General">
                  <c:v>0.9</c:v>
                </c:pt>
                <c:pt idx="59" formatCode="General">
                  <c:v>2.1</c:v>
                </c:pt>
                <c:pt idx="60" formatCode="General">
                  <c:v>2.4</c:v>
                </c:pt>
                <c:pt idx="61" formatCode="General">
                  <c:v>1.4</c:v>
                </c:pt>
                <c:pt idx="62" formatCode="General">
                  <c:v>0.4</c:v>
                </c:pt>
                <c:pt idx="63" formatCode="General">
                  <c:v>-0.8</c:v>
                </c:pt>
                <c:pt idx="64" formatCode="General">
                  <c:v>-0.9</c:v>
                </c:pt>
                <c:pt idx="65" formatCode="General">
                  <c:v>-0.3</c:v>
                </c:pt>
              </c:numCache>
            </c:numRef>
          </c:val>
          <c:extLst>
            <c:ext xmlns:c16="http://schemas.microsoft.com/office/drawing/2014/chart" uri="{C3380CC4-5D6E-409C-BE32-E72D297353CC}">
              <c16:uniqueId val="{00000000-34E0-4DAA-AA29-0C7B1049FE14}"/>
            </c:ext>
          </c:extLst>
        </c:ser>
        <c:dLbls>
          <c:showLegendKey val="0"/>
          <c:showVal val="0"/>
          <c:showCatName val="0"/>
          <c:showSerName val="0"/>
          <c:showPercent val="0"/>
          <c:showBubbleSize val="0"/>
        </c:dLbls>
        <c:gapWidth val="96"/>
        <c:axId val="119381376"/>
        <c:axId val="130745472"/>
      </c:barChart>
      <c:lineChart>
        <c:grouping val="standard"/>
        <c:varyColors val="0"/>
        <c:ser>
          <c:idx val="1"/>
          <c:order val="1"/>
          <c:tx>
            <c:strRef>
              <c:f>'Ceny 4'!$D$5</c:f>
              <c:strCache>
                <c:ptCount val="1"/>
                <c:pt idx="0">
                  <c:v>Mining and quarrying,</c:v>
                </c:pt>
              </c:strCache>
            </c:strRef>
          </c:tx>
          <c:spPr>
            <a:ln w="19050">
              <a:solidFill>
                <a:srgbClr val="7DBB2D"/>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4'!$D$30:$D$95</c:f>
              <c:numCache>
                <c:formatCode>0.0</c:formatCode>
                <c:ptCount val="66"/>
                <c:pt idx="0">
                  <c:v>-0.90000000000000568</c:v>
                </c:pt>
                <c:pt idx="1">
                  <c:v>-1.5</c:v>
                </c:pt>
                <c:pt idx="2">
                  <c:v>-0.90000000000000568</c:v>
                </c:pt>
                <c:pt idx="3">
                  <c:v>-0.90000000000000568</c:v>
                </c:pt>
                <c:pt idx="4">
                  <c:v>0.29999999999999716</c:v>
                </c:pt>
                <c:pt idx="5">
                  <c:v>0.59999999999999432</c:v>
                </c:pt>
                <c:pt idx="6">
                  <c:v>0.40000000000000568</c:v>
                </c:pt>
                <c:pt idx="7">
                  <c:v>-0.29999999999999716</c:v>
                </c:pt>
                <c:pt idx="8">
                  <c:v>-1.7000000000000028</c:v>
                </c:pt>
                <c:pt idx="9">
                  <c:v>-1.4000000000000057</c:v>
                </c:pt>
                <c:pt idx="10">
                  <c:v>-0.59999999999999432</c:v>
                </c:pt>
                <c:pt idx="11">
                  <c:v>-0.5</c:v>
                </c:pt>
                <c:pt idx="12">
                  <c:v>-6.5999999999999943</c:v>
                </c:pt>
                <c:pt idx="13">
                  <c:v>-6.0999999999999943</c:v>
                </c:pt>
                <c:pt idx="14">
                  <c:v>-6.5</c:v>
                </c:pt>
                <c:pt idx="15">
                  <c:v>-7</c:v>
                </c:pt>
                <c:pt idx="16">
                  <c:v>-7.0999999999999943</c:v>
                </c:pt>
                <c:pt idx="17">
                  <c:v>-7.2999999999999972</c:v>
                </c:pt>
                <c:pt idx="18">
                  <c:v>-6.5999999999999943</c:v>
                </c:pt>
                <c:pt idx="19">
                  <c:v>-6</c:v>
                </c:pt>
                <c:pt idx="20">
                  <c:v>-4.9000000000000057</c:v>
                </c:pt>
                <c:pt idx="21">
                  <c:v>-5.2000000000000028</c:v>
                </c:pt>
                <c:pt idx="22">
                  <c:v>-5.2999999999999972</c:v>
                </c:pt>
                <c:pt idx="23">
                  <c:v>-5.0999999999999943</c:v>
                </c:pt>
                <c:pt idx="24" formatCode="General">
                  <c:v>2.2999999999999972</c:v>
                </c:pt>
                <c:pt idx="25" formatCode="General">
                  <c:v>5.7999999999999972</c:v>
                </c:pt>
                <c:pt idx="26">
                  <c:v>6.2000000000000028</c:v>
                </c:pt>
                <c:pt idx="27">
                  <c:v>6.4000000000000057</c:v>
                </c:pt>
                <c:pt idx="28" formatCode="General">
                  <c:v>4.2999999999999972</c:v>
                </c:pt>
                <c:pt idx="29" formatCode="General">
                  <c:v>4.0999999999999943</c:v>
                </c:pt>
                <c:pt idx="30" formatCode="General">
                  <c:v>2.9</c:v>
                </c:pt>
                <c:pt idx="31" formatCode="General">
                  <c:v>1.7</c:v>
                </c:pt>
                <c:pt idx="32" formatCode="General">
                  <c:v>1.9</c:v>
                </c:pt>
                <c:pt idx="33" formatCode="General">
                  <c:v>3.4</c:v>
                </c:pt>
                <c:pt idx="34" formatCode="General">
                  <c:v>3.3</c:v>
                </c:pt>
                <c:pt idx="35" formatCode="General">
                  <c:v>3.6</c:v>
                </c:pt>
                <c:pt idx="36" formatCode="General">
                  <c:v>6.7</c:v>
                </c:pt>
                <c:pt idx="37" formatCode="General">
                  <c:v>5</c:v>
                </c:pt>
                <c:pt idx="38" formatCode="General">
                  <c:v>4.3</c:v>
                </c:pt>
                <c:pt idx="39" formatCode="General">
                  <c:v>4.5999999999999996</c:v>
                </c:pt>
                <c:pt idx="40" formatCode="General">
                  <c:v>7.4</c:v>
                </c:pt>
                <c:pt idx="41" formatCode="General">
                  <c:v>8</c:v>
                </c:pt>
                <c:pt idx="42" formatCode="General">
                  <c:v>8.4</c:v>
                </c:pt>
                <c:pt idx="43" formatCode="General">
                  <c:v>10.1</c:v>
                </c:pt>
                <c:pt idx="44" formatCode="General">
                  <c:v>9.9</c:v>
                </c:pt>
                <c:pt idx="45" formatCode="General">
                  <c:v>9</c:v>
                </c:pt>
                <c:pt idx="46" formatCode="General">
                  <c:v>9.1999999999999993</c:v>
                </c:pt>
                <c:pt idx="47" formatCode="General">
                  <c:v>8.3000000000000007</c:v>
                </c:pt>
                <c:pt idx="48" formatCode="General">
                  <c:v>7.9</c:v>
                </c:pt>
                <c:pt idx="49" formatCode="General">
                  <c:v>7.4</c:v>
                </c:pt>
                <c:pt idx="50" formatCode="General">
                  <c:v>8</c:v>
                </c:pt>
                <c:pt idx="51" formatCode="General">
                  <c:v>8.4</c:v>
                </c:pt>
                <c:pt idx="52" formatCode="General">
                  <c:v>7.5</c:v>
                </c:pt>
                <c:pt idx="53" formatCode="General">
                  <c:v>7.1</c:v>
                </c:pt>
                <c:pt idx="54" formatCode="General">
                  <c:v>6.9</c:v>
                </c:pt>
                <c:pt idx="55" formatCode="General">
                  <c:v>6.8</c:v>
                </c:pt>
                <c:pt idx="56" formatCode="General">
                  <c:v>6.6</c:v>
                </c:pt>
                <c:pt idx="57" formatCode="General">
                  <c:v>3.6</c:v>
                </c:pt>
                <c:pt idx="58" formatCode="General">
                  <c:v>3.2</c:v>
                </c:pt>
                <c:pt idx="59" formatCode="General">
                  <c:v>4.3</c:v>
                </c:pt>
                <c:pt idx="60" formatCode="General">
                  <c:v>-2.1</c:v>
                </c:pt>
                <c:pt idx="61" formatCode="General">
                  <c:v>-1.8</c:v>
                </c:pt>
                <c:pt idx="62" formatCode="General">
                  <c:v>-2.6</c:v>
                </c:pt>
                <c:pt idx="63" formatCode="General">
                  <c:v>-3.7</c:v>
                </c:pt>
                <c:pt idx="64" formatCode="General">
                  <c:v>-3.1</c:v>
                </c:pt>
                <c:pt idx="65" formatCode="General">
                  <c:v>-3.6</c:v>
                </c:pt>
              </c:numCache>
            </c:numRef>
          </c:val>
          <c:smooth val="0"/>
          <c:extLst>
            <c:ext xmlns:c16="http://schemas.microsoft.com/office/drawing/2014/chart" uri="{C3380CC4-5D6E-409C-BE32-E72D297353CC}">
              <c16:uniqueId val="{00000001-34E0-4DAA-AA29-0C7B1049FE14}"/>
            </c:ext>
          </c:extLst>
        </c:ser>
        <c:ser>
          <c:idx val="2"/>
          <c:order val="2"/>
          <c:tx>
            <c:strRef>
              <c:f>'Ceny 4'!$E$5</c:f>
              <c:strCache>
                <c:ptCount val="1"/>
                <c:pt idx="0">
                  <c:v>Manufacturing</c:v>
                </c:pt>
              </c:strCache>
            </c:strRef>
          </c:tx>
          <c:spPr>
            <a:ln w="19050">
              <a:solidFill>
                <a:srgbClr val="BD1B21"/>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4'!$E$30:$E$95</c:f>
              <c:numCache>
                <c:formatCode>0.0</c:formatCode>
                <c:ptCount val="66"/>
                <c:pt idx="0">
                  <c:v>-4.2999999999999972</c:v>
                </c:pt>
                <c:pt idx="1">
                  <c:v>-4.4000000000000057</c:v>
                </c:pt>
                <c:pt idx="2">
                  <c:v>-3.5</c:v>
                </c:pt>
                <c:pt idx="3">
                  <c:v>-3.0999999999999943</c:v>
                </c:pt>
                <c:pt idx="4">
                  <c:v>-2.7000000000000028</c:v>
                </c:pt>
                <c:pt idx="5">
                  <c:v>-2.7999999999999972</c:v>
                </c:pt>
                <c:pt idx="6">
                  <c:v>-3.5999999999999943</c:v>
                </c:pt>
                <c:pt idx="7">
                  <c:v>-4.7000000000000028</c:v>
                </c:pt>
                <c:pt idx="8">
                  <c:v>-5.2000000000000028</c:v>
                </c:pt>
                <c:pt idx="9">
                  <c:v>-4.9000000000000057</c:v>
                </c:pt>
                <c:pt idx="10">
                  <c:v>-4.5999999999999943</c:v>
                </c:pt>
                <c:pt idx="11">
                  <c:v>-3.5</c:v>
                </c:pt>
                <c:pt idx="12">
                  <c:v>-3.2999999999999972</c:v>
                </c:pt>
                <c:pt idx="13">
                  <c:v>-4.0999999999999943</c:v>
                </c:pt>
                <c:pt idx="14">
                  <c:v>-4.5999999999999943</c:v>
                </c:pt>
                <c:pt idx="15">
                  <c:v>-4.9000000000000057</c:v>
                </c:pt>
                <c:pt idx="16">
                  <c:v>-5</c:v>
                </c:pt>
                <c:pt idx="17">
                  <c:v>-4.5</c:v>
                </c:pt>
                <c:pt idx="18">
                  <c:v>-4</c:v>
                </c:pt>
                <c:pt idx="19">
                  <c:v>-3.2000000000000028</c:v>
                </c:pt>
                <c:pt idx="20">
                  <c:v>-2</c:v>
                </c:pt>
                <c:pt idx="21">
                  <c:v>-1.0999999999999943</c:v>
                </c:pt>
                <c:pt idx="22">
                  <c:v>-0.59999999999999432</c:v>
                </c:pt>
                <c:pt idx="23">
                  <c:v>0.59999999999999432</c:v>
                </c:pt>
                <c:pt idx="24" formatCode="General">
                  <c:v>2.5999999999999943</c:v>
                </c:pt>
                <c:pt idx="25" formatCode="General">
                  <c:v>4</c:v>
                </c:pt>
                <c:pt idx="26">
                  <c:v>3.7999999999999972</c:v>
                </c:pt>
                <c:pt idx="27">
                  <c:v>4</c:v>
                </c:pt>
                <c:pt idx="28" formatCode="General">
                  <c:v>2.7999999999999972</c:v>
                </c:pt>
                <c:pt idx="29" formatCode="General">
                  <c:v>1.5</c:v>
                </c:pt>
                <c:pt idx="30" formatCode="General">
                  <c:v>1.4</c:v>
                </c:pt>
                <c:pt idx="31" formatCode="General">
                  <c:v>2</c:v>
                </c:pt>
                <c:pt idx="32" formatCode="General">
                  <c:v>2.1</c:v>
                </c:pt>
                <c:pt idx="33" formatCode="General">
                  <c:v>1.4</c:v>
                </c:pt>
                <c:pt idx="34" formatCode="General">
                  <c:v>1.1000000000000001</c:v>
                </c:pt>
                <c:pt idx="35" formatCode="General">
                  <c:v>0.9</c:v>
                </c:pt>
                <c:pt idx="36" formatCode="General">
                  <c:v>0.2</c:v>
                </c:pt>
                <c:pt idx="37" formatCode="General">
                  <c:v>-0.9</c:v>
                </c:pt>
                <c:pt idx="38" formatCode="General">
                  <c:v>-0.5</c:v>
                </c:pt>
                <c:pt idx="39" formatCode="General">
                  <c:v>-0.5</c:v>
                </c:pt>
                <c:pt idx="40" formatCode="General">
                  <c:v>1.3</c:v>
                </c:pt>
                <c:pt idx="41" formatCode="General">
                  <c:v>2.8</c:v>
                </c:pt>
                <c:pt idx="42" formatCode="General">
                  <c:v>3.4</c:v>
                </c:pt>
                <c:pt idx="43" formatCode="General">
                  <c:v>3.2</c:v>
                </c:pt>
                <c:pt idx="44" formatCode="General">
                  <c:v>3</c:v>
                </c:pt>
                <c:pt idx="45" formatCode="General">
                  <c:v>3.8</c:v>
                </c:pt>
                <c:pt idx="46" formatCode="General">
                  <c:v>3.9</c:v>
                </c:pt>
                <c:pt idx="47" formatCode="General">
                  <c:v>2.2000000000000002</c:v>
                </c:pt>
                <c:pt idx="48" formatCode="General">
                  <c:v>1.9</c:v>
                </c:pt>
                <c:pt idx="49" formatCode="General">
                  <c:v>2.9</c:v>
                </c:pt>
                <c:pt idx="50" formatCode="General">
                  <c:v>3</c:v>
                </c:pt>
                <c:pt idx="51" formatCode="General">
                  <c:v>3.5</c:v>
                </c:pt>
                <c:pt idx="52" formatCode="General">
                  <c:v>2.9</c:v>
                </c:pt>
                <c:pt idx="53" formatCode="General">
                  <c:v>1.4</c:v>
                </c:pt>
                <c:pt idx="54" formatCode="General">
                  <c:v>0.9</c:v>
                </c:pt>
                <c:pt idx="55" formatCode="General">
                  <c:v>0.8</c:v>
                </c:pt>
                <c:pt idx="56" formatCode="General">
                  <c:v>0.7</c:v>
                </c:pt>
                <c:pt idx="57" formatCode="General">
                  <c:v>-0.4</c:v>
                </c:pt>
                <c:pt idx="58" formatCode="General">
                  <c:v>-0.7</c:v>
                </c:pt>
                <c:pt idx="59" formatCode="General">
                  <c:v>0.8</c:v>
                </c:pt>
                <c:pt idx="60" formatCode="General">
                  <c:v>1.2</c:v>
                </c:pt>
                <c:pt idx="61" formatCode="General">
                  <c:v>-0.1</c:v>
                </c:pt>
                <c:pt idx="62" formatCode="General">
                  <c:v>-1.2</c:v>
                </c:pt>
                <c:pt idx="63" formatCode="General">
                  <c:v>-2.5</c:v>
                </c:pt>
                <c:pt idx="64" formatCode="General">
                  <c:v>-2.6</c:v>
                </c:pt>
                <c:pt idx="65" formatCode="General">
                  <c:v>-1.9</c:v>
                </c:pt>
              </c:numCache>
            </c:numRef>
          </c:val>
          <c:smooth val="0"/>
          <c:extLst>
            <c:ext xmlns:c16="http://schemas.microsoft.com/office/drawing/2014/chart" uri="{C3380CC4-5D6E-409C-BE32-E72D297353CC}">
              <c16:uniqueId val="{00000002-34E0-4DAA-AA29-0C7B1049FE14}"/>
            </c:ext>
          </c:extLst>
        </c:ser>
        <c:ser>
          <c:idx val="3"/>
          <c:order val="3"/>
          <c:tx>
            <c:strRef>
              <c:f>'Ceny 4'!$F$5</c:f>
              <c:strCache>
                <c:ptCount val="1"/>
                <c:pt idx="0">
                  <c:v>Electricity, gas, steam and air conditioning supply</c:v>
                </c:pt>
              </c:strCache>
            </c:strRef>
          </c:tx>
          <c:spPr>
            <a:ln w="19050">
              <a:solidFill>
                <a:srgbClr val="F8A124"/>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4'!$F$30:$F$95</c:f>
              <c:numCache>
                <c:formatCode>0.0</c:formatCode>
                <c:ptCount val="66"/>
                <c:pt idx="0">
                  <c:v>-0.79999999999999716</c:v>
                </c:pt>
                <c:pt idx="1">
                  <c:v>-0.79999999999999716</c:v>
                </c:pt>
                <c:pt idx="2">
                  <c:v>-0.79999999999999716</c:v>
                </c:pt>
                <c:pt idx="3">
                  <c:v>-0.70000000000000284</c:v>
                </c:pt>
                <c:pt idx="4">
                  <c:v>-0.70000000000000284</c:v>
                </c:pt>
                <c:pt idx="5">
                  <c:v>-0.70000000000000284</c:v>
                </c:pt>
                <c:pt idx="6">
                  <c:v>-0.70000000000000284</c:v>
                </c:pt>
                <c:pt idx="7">
                  <c:v>-0.79999999999999716</c:v>
                </c:pt>
                <c:pt idx="8">
                  <c:v>-0.79999999999999716</c:v>
                </c:pt>
                <c:pt idx="9">
                  <c:v>-0.90000000000000568</c:v>
                </c:pt>
                <c:pt idx="10">
                  <c:v>-0.90000000000000568</c:v>
                </c:pt>
                <c:pt idx="11">
                  <c:v>-0.90000000000000568</c:v>
                </c:pt>
                <c:pt idx="12">
                  <c:v>-4</c:v>
                </c:pt>
                <c:pt idx="13">
                  <c:v>-4.0999999999999943</c:v>
                </c:pt>
                <c:pt idx="14">
                  <c:v>-4.0999999999999943</c:v>
                </c:pt>
                <c:pt idx="15">
                  <c:v>-4</c:v>
                </c:pt>
                <c:pt idx="16">
                  <c:v>-4</c:v>
                </c:pt>
                <c:pt idx="17">
                  <c:v>-4.0999999999999943</c:v>
                </c:pt>
                <c:pt idx="18">
                  <c:v>-4</c:v>
                </c:pt>
                <c:pt idx="19">
                  <c:v>-4</c:v>
                </c:pt>
                <c:pt idx="20">
                  <c:v>-4.0999999999999943</c:v>
                </c:pt>
                <c:pt idx="21">
                  <c:v>-4.0999999999999943</c:v>
                </c:pt>
                <c:pt idx="22">
                  <c:v>-4.0999999999999943</c:v>
                </c:pt>
                <c:pt idx="23">
                  <c:v>-4.0999999999999943</c:v>
                </c:pt>
                <c:pt idx="24" formatCode="General">
                  <c:v>-1.0999999999999943</c:v>
                </c:pt>
                <c:pt idx="25" formatCode="General">
                  <c:v>-1.2000000000000028</c:v>
                </c:pt>
                <c:pt idx="26">
                  <c:v>-1.2000000000000028</c:v>
                </c:pt>
                <c:pt idx="27">
                  <c:v>-1.4000000000000057</c:v>
                </c:pt>
                <c:pt idx="28" formatCode="General">
                  <c:v>-1.2999999999999972</c:v>
                </c:pt>
                <c:pt idx="29" formatCode="General">
                  <c:v>-1.0999999999999943</c:v>
                </c:pt>
                <c:pt idx="30" formatCode="General">
                  <c:v>-1.1000000000000001</c:v>
                </c:pt>
                <c:pt idx="31" formatCode="General">
                  <c:v>-1.3</c:v>
                </c:pt>
                <c:pt idx="32" formatCode="General">
                  <c:v>-1.1000000000000001</c:v>
                </c:pt>
                <c:pt idx="33" formatCode="General">
                  <c:v>-1.1000000000000001</c:v>
                </c:pt>
                <c:pt idx="34" formatCode="General">
                  <c:v>-1.1000000000000001</c:v>
                </c:pt>
                <c:pt idx="35" formatCode="General">
                  <c:v>-1.1000000000000001</c:v>
                </c:pt>
                <c:pt idx="36" formatCode="General">
                  <c:v>1.5</c:v>
                </c:pt>
                <c:pt idx="37" formatCode="General">
                  <c:v>1.6</c:v>
                </c:pt>
                <c:pt idx="38" formatCode="General">
                  <c:v>1.6</c:v>
                </c:pt>
                <c:pt idx="39" formatCode="General">
                  <c:v>1.7</c:v>
                </c:pt>
                <c:pt idx="40" formatCode="General">
                  <c:v>1.7</c:v>
                </c:pt>
                <c:pt idx="41" formatCode="General">
                  <c:v>2.2999999999999998</c:v>
                </c:pt>
                <c:pt idx="42" formatCode="General">
                  <c:v>2.2999999999999998</c:v>
                </c:pt>
                <c:pt idx="43" formatCode="General">
                  <c:v>2.6</c:v>
                </c:pt>
                <c:pt idx="44" formatCode="General">
                  <c:v>2.7</c:v>
                </c:pt>
                <c:pt idx="45" formatCode="General">
                  <c:v>2.8</c:v>
                </c:pt>
                <c:pt idx="46" formatCode="General">
                  <c:v>2.8</c:v>
                </c:pt>
                <c:pt idx="47" formatCode="General">
                  <c:v>2.8</c:v>
                </c:pt>
                <c:pt idx="48" formatCode="General">
                  <c:v>7.2</c:v>
                </c:pt>
                <c:pt idx="49" formatCode="General">
                  <c:v>7.5</c:v>
                </c:pt>
                <c:pt idx="50" formatCode="General">
                  <c:v>8.4</c:v>
                </c:pt>
                <c:pt idx="51" formatCode="General">
                  <c:v>8.1999999999999993</c:v>
                </c:pt>
                <c:pt idx="52" formatCode="General">
                  <c:v>8.6</c:v>
                </c:pt>
                <c:pt idx="53" formatCode="General">
                  <c:v>7.9</c:v>
                </c:pt>
                <c:pt idx="54" formatCode="General">
                  <c:v>8</c:v>
                </c:pt>
                <c:pt idx="55" formatCode="General">
                  <c:v>7.7</c:v>
                </c:pt>
                <c:pt idx="56" formatCode="General">
                  <c:v>7.7</c:v>
                </c:pt>
                <c:pt idx="57" formatCode="General">
                  <c:v>7.5</c:v>
                </c:pt>
                <c:pt idx="58" formatCode="General">
                  <c:v>8.6999999999999993</c:v>
                </c:pt>
                <c:pt idx="59" formatCode="General">
                  <c:v>8.8000000000000007</c:v>
                </c:pt>
                <c:pt idx="60" formatCode="General">
                  <c:v>9.3000000000000007</c:v>
                </c:pt>
                <c:pt idx="61" formatCode="General">
                  <c:v>9</c:v>
                </c:pt>
                <c:pt idx="62" formatCode="General">
                  <c:v>8.3000000000000007</c:v>
                </c:pt>
                <c:pt idx="63" formatCode="General">
                  <c:v>8.6</c:v>
                </c:pt>
                <c:pt idx="64" formatCode="General">
                  <c:v>8</c:v>
                </c:pt>
                <c:pt idx="65" formatCode="General">
                  <c:v>8</c:v>
                </c:pt>
              </c:numCache>
            </c:numRef>
          </c:val>
          <c:smooth val="0"/>
          <c:extLst>
            <c:ext xmlns:c16="http://schemas.microsoft.com/office/drawing/2014/chart" uri="{C3380CC4-5D6E-409C-BE32-E72D297353CC}">
              <c16:uniqueId val="{00000003-34E0-4DAA-AA29-0C7B1049FE14}"/>
            </c:ext>
          </c:extLst>
        </c:ser>
        <c:ser>
          <c:idx val="4"/>
          <c:order val="4"/>
          <c:tx>
            <c:strRef>
              <c:f>'Ceny 4'!$G$5</c:f>
              <c:strCache>
                <c:ptCount val="1"/>
                <c:pt idx="0">
                  <c:v>Water supply, sewerage</c:v>
                </c:pt>
              </c:strCache>
            </c:strRef>
          </c:tx>
          <c:spPr>
            <a:ln w="19050">
              <a:solidFill>
                <a:schemeClr val="accent1"/>
              </a:solidFill>
            </a:ln>
          </c:spPr>
          <c:marker>
            <c:symbol val="none"/>
          </c:marker>
          <c:cat>
            <c:multiLvlStrRef>
              <c:f>'Ceny 4'!$A$30:$B$95</c:f>
              <c:multiLvlStrCache>
                <c:ptCount val="66"/>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lvl>
                <c:lvl>
                  <c:pt idx="0">
                    <c:v>2015</c:v>
                  </c:pt>
                  <c:pt idx="12">
                    <c:v>2016</c:v>
                  </c:pt>
                  <c:pt idx="24">
                    <c:v>2017</c:v>
                  </c:pt>
                  <c:pt idx="36">
                    <c:v>2018</c:v>
                  </c:pt>
                  <c:pt idx="48">
                    <c:v>2019</c:v>
                  </c:pt>
                  <c:pt idx="60">
                    <c:v>2020</c:v>
                  </c:pt>
                </c:lvl>
              </c:multiLvlStrCache>
            </c:multiLvlStrRef>
          </c:cat>
          <c:val>
            <c:numRef>
              <c:f>'Ceny 4'!$G$30:$G$95</c:f>
              <c:numCache>
                <c:formatCode>General</c:formatCode>
                <c:ptCount val="66"/>
                <c:pt idx="0">
                  <c:v>3.4000000000000057</c:v>
                </c:pt>
                <c:pt idx="1">
                  <c:v>3.4000000000000057</c:v>
                </c:pt>
                <c:pt idx="2">
                  <c:v>3.4000000000000057</c:v>
                </c:pt>
                <c:pt idx="3">
                  <c:v>3.4000000000000057</c:v>
                </c:pt>
                <c:pt idx="4">
                  <c:v>3.4000000000000057</c:v>
                </c:pt>
                <c:pt idx="5">
                  <c:v>3.4000000000000057</c:v>
                </c:pt>
                <c:pt idx="6">
                  <c:v>3.4000000000000057</c:v>
                </c:pt>
                <c:pt idx="7">
                  <c:v>3.4000000000000057</c:v>
                </c:pt>
                <c:pt idx="8">
                  <c:v>3.4000000000000057</c:v>
                </c:pt>
                <c:pt idx="9">
                  <c:v>3.4000000000000057</c:v>
                </c:pt>
                <c:pt idx="10">
                  <c:v>3.4000000000000057</c:v>
                </c:pt>
                <c:pt idx="11">
                  <c:v>3.4000000000000057</c:v>
                </c:pt>
                <c:pt idx="12">
                  <c:v>0.5</c:v>
                </c:pt>
                <c:pt idx="13">
                  <c:v>0.5</c:v>
                </c:pt>
                <c:pt idx="14">
                  <c:v>0.5</c:v>
                </c:pt>
                <c:pt idx="15">
                  <c:v>1.5999999999999943</c:v>
                </c:pt>
                <c:pt idx="16">
                  <c:v>1.5999999999999943</c:v>
                </c:pt>
                <c:pt idx="17">
                  <c:v>1.5999999999999943</c:v>
                </c:pt>
                <c:pt idx="18">
                  <c:v>1.5999999999999943</c:v>
                </c:pt>
                <c:pt idx="19">
                  <c:v>1.5999999999999943</c:v>
                </c:pt>
                <c:pt idx="20">
                  <c:v>1.5999999999999943</c:v>
                </c:pt>
                <c:pt idx="21">
                  <c:v>1.5999999999999943</c:v>
                </c:pt>
                <c:pt idx="22">
                  <c:v>1.5999999999999943</c:v>
                </c:pt>
                <c:pt idx="23">
                  <c:v>1.5999999999999943</c:v>
                </c:pt>
                <c:pt idx="24">
                  <c:v>2.0999999999999943</c:v>
                </c:pt>
                <c:pt idx="25">
                  <c:v>2.0999999999999943</c:v>
                </c:pt>
                <c:pt idx="26" formatCode="0.0">
                  <c:v>2.0999999999999943</c:v>
                </c:pt>
                <c:pt idx="27" formatCode="0.0">
                  <c:v>1</c:v>
                </c:pt>
                <c:pt idx="28">
                  <c:v>1</c:v>
                </c:pt>
                <c:pt idx="29">
                  <c:v>1</c:v>
                </c:pt>
                <c:pt idx="30">
                  <c:v>1</c:v>
                </c:pt>
                <c:pt idx="31">
                  <c:v>1</c:v>
                </c:pt>
                <c:pt idx="32">
                  <c:v>1</c:v>
                </c:pt>
                <c:pt idx="33">
                  <c:v>1</c:v>
                </c:pt>
                <c:pt idx="34">
                  <c:v>1</c:v>
                </c:pt>
                <c:pt idx="35">
                  <c:v>1</c:v>
                </c:pt>
                <c:pt idx="36">
                  <c:v>1.9</c:v>
                </c:pt>
                <c:pt idx="37">
                  <c:v>1.9</c:v>
                </c:pt>
                <c:pt idx="38">
                  <c:v>1.9</c:v>
                </c:pt>
                <c:pt idx="39">
                  <c:v>1.9</c:v>
                </c:pt>
                <c:pt idx="40">
                  <c:v>1.9</c:v>
                </c:pt>
                <c:pt idx="41">
                  <c:v>1.9</c:v>
                </c:pt>
                <c:pt idx="42">
                  <c:v>1.9</c:v>
                </c:pt>
                <c:pt idx="43">
                  <c:v>1.9</c:v>
                </c:pt>
                <c:pt idx="44">
                  <c:v>1.9</c:v>
                </c:pt>
                <c:pt idx="45">
                  <c:v>1.9</c:v>
                </c:pt>
                <c:pt idx="46">
                  <c:v>1.9</c:v>
                </c:pt>
                <c:pt idx="47">
                  <c:v>1.9</c:v>
                </c:pt>
                <c:pt idx="48">
                  <c:v>2.9</c:v>
                </c:pt>
                <c:pt idx="49">
                  <c:v>2.9</c:v>
                </c:pt>
                <c:pt idx="50">
                  <c:v>2.9</c:v>
                </c:pt>
                <c:pt idx="51">
                  <c:v>2.9</c:v>
                </c:pt>
                <c:pt idx="52">
                  <c:v>2.9</c:v>
                </c:pt>
                <c:pt idx="53">
                  <c:v>2.9</c:v>
                </c:pt>
                <c:pt idx="54">
                  <c:v>2.9</c:v>
                </c:pt>
                <c:pt idx="55">
                  <c:v>2.9</c:v>
                </c:pt>
                <c:pt idx="56">
                  <c:v>2.9</c:v>
                </c:pt>
                <c:pt idx="57">
                  <c:v>2.9</c:v>
                </c:pt>
                <c:pt idx="58">
                  <c:v>2.9</c:v>
                </c:pt>
                <c:pt idx="59">
                  <c:v>2.9</c:v>
                </c:pt>
                <c:pt idx="60">
                  <c:v>5.4</c:v>
                </c:pt>
                <c:pt idx="61">
                  <c:v>5.4</c:v>
                </c:pt>
                <c:pt idx="62">
                  <c:v>5.4</c:v>
                </c:pt>
                <c:pt idx="63">
                  <c:v>5.4</c:v>
                </c:pt>
                <c:pt idx="64">
                  <c:v>6.4</c:v>
                </c:pt>
                <c:pt idx="65">
                  <c:v>6.4</c:v>
                </c:pt>
              </c:numCache>
            </c:numRef>
          </c:val>
          <c:smooth val="0"/>
          <c:extLst>
            <c:ext xmlns:c16="http://schemas.microsoft.com/office/drawing/2014/chart" uri="{C3380CC4-5D6E-409C-BE32-E72D297353CC}">
              <c16:uniqueId val="{00000004-34E0-4DAA-AA29-0C7B1049FE14}"/>
            </c:ext>
          </c:extLst>
        </c:ser>
        <c:dLbls>
          <c:showLegendKey val="0"/>
          <c:showVal val="0"/>
          <c:showCatName val="0"/>
          <c:showSerName val="0"/>
          <c:showPercent val="0"/>
          <c:showBubbleSize val="0"/>
        </c:dLbls>
        <c:marker val="1"/>
        <c:smooth val="0"/>
        <c:axId val="119381376"/>
        <c:axId val="130745472"/>
      </c:lineChart>
      <c:catAx>
        <c:axId val="119381376"/>
        <c:scaling>
          <c:orientation val="minMax"/>
        </c:scaling>
        <c:delete val="0"/>
        <c:axPos val="b"/>
        <c:numFmt formatCode="General" sourceLinked="0"/>
        <c:majorTickMark val="out"/>
        <c:minorTickMark val="none"/>
        <c:tickLblPos val="low"/>
        <c:spPr>
          <a:ln>
            <a:solidFill>
              <a:schemeClr val="tx1"/>
            </a:solidFill>
          </a:ln>
        </c:spPr>
        <c:crossAx val="130745472"/>
        <c:crosses val="autoZero"/>
        <c:auto val="1"/>
        <c:lblAlgn val="ctr"/>
        <c:lblOffset val="100"/>
        <c:noMultiLvlLbl val="0"/>
      </c:catAx>
      <c:valAx>
        <c:axId val="130745472"/>
        <c:scaling>
          <c:orientation val="minMax"/>
          <c:max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9381376"/>
        <c:crosses val="autoZero"/>
        <c:crossBetween val="between"/>
        <c:majorUnit val="2"/>
      </c:valAx>
      <c:spPr>
        <a:ln>
          <a:solidFill>
            <a:schemeClr val="tx1"/>
          </a:solidFill>
        </a:ln>
      </c:spPr>
    </c:plotArea>
    <c:legend>
      <c:legendPos val="b"/>
      <c:layout>
        <c:manualLayout>
          <c:xMode val="edge"/>
          <c:yMode val="edge"/>
          <c:x val="5.0596282132642133E-2"/>
          <c:y val="0.83006762224427044"/>
          <c:w val="0.91973570327837706"/>
          <c:h val="0.16756412150894009"/>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3488731014312048E-2"/>
          <c:y val="1.6549886621315374E-2"/>
          <c:w val="0.83420125451377358"/>
          <c:h val="0.65992692395395358"/>
        </c:manualLayout>
      </c:layout>
      <c:barChart>
        <c:barDir val="col"/>
        <c:grouping val="stacked"/>
        <c:varyColors val="0"/>
        <c:ser>
          <c:idx val="0"/>
          <c:order val="0"/>
          <c:tx>
            <c:strRef>
              <c:f>'Trh práce 1'!$AC$7</c:f>
              <c:strCache>
                <c:ptCount val="1"/>
                <c:pt idx="0">
                  <c:v>Agriculture, forestry and fishing</c:v>
                </c:pt>
              </c:strCache>
            </c:strRef>
          </c:tx>
          <c:spPr>
            <a:solidFill>
              <a:srgbClr val="7DBB2D"/>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1'!$AC$8:$AC$49</c:f>
              <c:numCache>
                <c:formatCode>#\ ##0.0</c:formatCode>
                <c:ptCount val="42"/>
                <c:pt idx="0">
                  <c:v>-0.34801319299015127</c:v>
                </c:pt>
                <c:pt idx="1">
                  <c:v>-0.28304813186473832</c:v>
                </c:pt>
                <c:pt idx="2">
                  <c:v>-0.22867359271993312</c:v>
                </c:pt>
                <c:pt idx="3">
                  <c:v>-0.22614018757792589</c:v>
                </c:pt>
                <c:pt idx="4">
                  <c:v>0.24303647870326153</c:v>
                </c:pt>
                <c:pt idx="5">
                  <c:v>0.20714962121209438</c:v>
                </c:pt>
                <c:pt idx="6">
                  <c:v>0.15912159043479449</c:v>
                </c:pt>
                <c:pt idx="7">
                  <c:v>0.15468126765282239</c:v>
                </c:pt>
                <c:pt idx="8">
                  <c:v>-1.1722190046253984E-2</c:v>
                </c:pt>
                <c:pt idx="9">
                  <c:v>-2.2154046449452271E-2</c:v>
                </c:pt>
                <c:pt idx="10">
                  <c:v>1.1329788350838525E-2</c:v>
                </c:pt>
                <c:pt idx="11">
                  <c:v>2.4362123693615664E-2</c:v>
                </c:pt>
                <c:pt idx="12">
                  <c:v>8.0698015011379964E-2</c:v>
                </c:pt>
                <c:pt idx="13">
                  <c:v>0.13654969673633016</c:v>
                </c:pt>
                <c:pt idx="14">
                  <c:v>9.45338236865534E-2</c:v>
                </c:pt>
                <c:pt idx="15">
                  <c:v>7.2253196943040124E-2</c:v>
                </c:pt>
                <c:pt idx="16">
                  <c:v>-1.0016470871332192E-2</c:v>
                </c:pt>
                <c:pt idx="17">
                  <c:v>-5.5912732161514829E-2</c:v>
                </c:pt>
                <c:pt idx="18">
                  <c:v>-3.0212377088993332E-2</c:v>
                </c:pt>
                <c:pt idx="19">
                  <c:v>-3.5110597397762136E-2</c:v>
                </c:pt>
                <c:pt idx="20">
                  <c:v>-6.3775886113478369E-2</c:v>
                </c:pt>
                <c:pt idx="21">
                  <c:v>-5.3530554883726662E-2</c:v>
                </c:pt>
                <c:pt idx="22">
                  <c:v>-6.4075390166381849E-2</c:v>
                </c:pt>
                <c:pt idx="23">
                  <c:v>-0.13844304699479693</c:v>
                </c:pt>
                <c:pt idx="24">
                  <c:v>-0.13446730863002626</c:v>
                </c:pt>
                <c:pt idx="25">
                  <c:v>-4.2544545507820601E-2</c:v>
                </c:pt>
                <c:pt idx="26">
                  <c:v>-3.3191194580390673E-2</c:v>
                </c:pt>
                <c:pt idx="27">
                  <c:v>6.6309323471769377E-2</c:v>
                </c:pt>
                <c:pt idx="28">
                  <c:v>9.8066936941412233E-2</c:v>
                </c:pt>
                <c:pt idx="29">
                  <c:v>2.5196330912572437E-2</c:v>
                </c:pt>
                <c:pt idx="30">
                  <c:v>2.0639846638534198E-2</c:v>
                </c:pt>
                <c:pt idx="31">
                  <c:v>-8.3455519417103677E-2</c:v>
                </c:pt>
                <c:pt idx="32">
                  <c:v>2.5814692683709294E-2</c:v>
                </c:pt>
                <c:pt idx="33">
                  <c:v>2.6984266486121962E-2</c:v>
                </c:pt>
                <c:pt idx="34">
                  <c:v>1.9988014642478076E-2</c:v>
                </c:pt>
                <c:pt idx="35">
                  <c:v>8.7933936276959376E-2</c:v>
                </c:pt>
                <c:pt idx="36">
                  <c:v>-2.5505751222282186E-2</c:v>
                </c:pt>
                <c:pt idx="37">
                  <c:v>-7.8189986559947439E-2</c:v>
                </c:pt>
                <c:pt idx="38">
                  <c:v>-0.10869950494464604</c:v>
                </c:pt>
                <c:pt idx="39">
                  <c:v>-0.12385597955281273</c:v>
                </c:pt>
                <c:pt idx="40">
                  <c:v>-0.13740972377814739</c:v>
                </c:pt>
                <c:pt idx="41">
                  <c:v>-6.3501842656218332E-2</c:v>
                </c:pt>
              </c:numCache>
            </c:numRef>
          </c:val>
          <c:extLst>
            <c:ext xmlns:c16="http://schemas.microsoft.com/office/drawing/2014/chart" uri="{C3380CC4-5D6E-409C-BE32-E72D297353CC}">
              <c16:uniqueId val="{00000000-CB01-484F-87B7-9B522F8DEAE5}"/>
            </c:ext>
          </c:extLst>
        </c:ser>
        <c:ser>
          <c:idx val="1"/>
          <c:order val="1"/>
          <c:tx>
            <c:strRef>
              <c:f>'Trh práce 1'!$AD$7</c:f>
              <c:strCache>
                <c:ptCount val="1"/>
                <c:pt idx="0">
                  <c:v>Manufacturing </c:v>
                </c:pt>
              </c:strCache>
            </c:strRef>
          </c:tx>
          <c:spPr>
            <a:solidFill>
              <a:srgbClr val="A6CDE8"/>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1'!$AD$8:$AD$49</c:f>
              <c:numCache>
                <c:formatCode>#\ ##0.0</c:formatCode>
                <c:ptCount val="42"/>
                <c:pt idx="0">
                  <c:v>-1.9139760198365914</c:v>
                </c:pt>
                <c:pt idx="1">
                  <c:v>-0.91636368469599205</c:v>
                </c:pt>
                <c:pt idx="2">
                  <c:v>-0.36895797829775445</c:v>
                </c:pt>
                <c:pt idx="3">
                  <c:v>-0.21003805903834583</c:v>
                </c:pt>
                <c:pt idx="4">
                  <c:v>1.172571586057386</c:v>
                </c:pt>
                <c:pt idx="5">
                  <c:v>1.2683138871995925</c:v>
                </c:pt>
                <c:pt idx="6">
                  <c:v>1.1687063633645189</c:v>
                </c:pt>
                <c:pt idx="7">
                  <c:v>0.78202384386894153</c:v>
                </c:pt>
                <c:pt idx="8">
                  <c:v>4.6075545647120145E-2</c:v>
                </c:pt>
                <c:pt idx="9">
                  <c:v>2.25104118078885E-2</c:v>
                </c:pt>
                <c:pt idx="10">
                  <c:v>0.2009650919713421</c:v>
                </c:pt>
                <c:pt idx="11">
                  <c:v>0.3118192862970775</c:v>
                </c:pt>
                <c:pt idx="12">
                  <c:v>4.1132772342904023E-2</c:v>
                </c:pt>
                <c:pt idx="13">
                  <c:v>0.12923594633209709</c:v>
                </c:pt>
                <c:pt idx="14">
                  <c:v>-1.9284585181686579E-2</c:v>
                </c:pt>
                <c:pt idx="15">
                  <c:v>3.229633223946192E-2</c:v>
                </c:pt>
                <c:pt idx="16">
                  <c:v>0.21809037859691535</c:v>
                </c:pt>
                <c:pt idx="17">
                  <c:v>0.20763098853236689</c:v>
                </c:pt>
                <c:pt idx="18">
                  <c:v>0.41094336722348374</c:v>
                </c:pt>
                <c:pt idx="19">
                  <c:v>0.54832755274610478</c:v>
                </c:pt>
                <c:pt idx="20">
                  <c:v>0.87384359543532464</c:v>
                </c:pt>
                <c:pt idx="21">
                  <c:v>0.93524489787512044</c:v>
                </c:pt>
                <c:pt idx="22">
                  <c:v>0.78267698384636852</c:v>
                </c:pt>
                <c:pt idx="23">
                  <c:v>0.94962455048902517</c:v>
                </c:pt>
                <c:pt idx="24">
                  <c:v>0.84718285167324348</c:v>
                </c:pt>
                <c:pt idx="25">
                  <c:v>0.62908867154608861</c:v>
                </c:pt>
                <c:pt idx="26">
                  <c:v>0.67775956738111331</c:v>
                </c:pt>
                <c:pt idx="27">
                  <c:v>0.54172812831113937</c:v>
                </c:pt>
                <c:pt idx="28">
                  <c:v>0.26867627785059034</c:v>
                </c:pt>
                <c:pt idx="29">
                  <c:v>0.39386843676908101</c:v>
                </c:pt>
                <c:pt idx="30">
                  <c:v>0.49256509811427385</c:v>
                </c:pt>
                <c:pt idx="31">
                  <c:v>0.47713964802096459</c:v>
                </c:pt>
                <c:pt idx="32">
                  <c:v>0.36449366956327101</c:v>
                </c:pt>
                <c:pt idx="33">
                  <c:v>0.28712009104191716</c:v>
                </c:pt>
                <c:pt idx="34">
                  <c:v>9.9194946851067806E-2</c:v>
                </c:pt>
                <c:pt idx="35">
                  <c:v>7.5749869682651877E-2</c:v>
                </c:pt>
                <c:pt idx="36">
                  <c:v>1.7065666272363354E-3</c:v>
                </c:pt>
                <c:pt idx="37">
                  <c:v>-0.1672130815311223</c:v>
                </c:pt>
                <c:pt idx="38">
                  <c:v>-0.33346453087893024</c:v>
                </c:pt>
                <c:pt idx="39">
                  <c:v>-0.72163732119892665</c:v>
                </c:pt>
                <c:pt idx="40">
                  <c:v>-0.68293147360899475</c:v>
                </c:pt>
                <c:pt idx="41">
                  <c:v>-0.93418470526414155</c:v>
                </c:pt>
              </c:numCache>
            </c:numRef>
          </c:val>
          <c:extLst>
            <c:ext xmlns:c16="http://schemas.microsoft.com/office/drawing/2014/chart" uri="{C3380CC4-5D6E-409C-BE32-E72D297353CC}">
              <c16:uniqueId val="{00000001-CB01-484F-87B7-9B522F8DEAE5}"/>
            </c:ext>
          </c:extLst>
        </c:ser>
        <c:ser>
          <c:idx val="2"/>
          <c:order val="2"/>
          <c:tx>
            <c:strRef>
              <c:f>'Trh práce 1'!$AE$7</c:f>
              <c:strCache>
                <c:ptCount val="1"/>
                <c:pt idx="0">
                  <c:v>Construction</c:v>
                </c:pt>
              </c:strCache>
            </c:strRef>
          </c:tx>
          <c:spPr>
            <a:solidFill>
              <a:srgbClr val="48AEE7"/>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1'!$AE$8:$AE$49</c:f>
              <c:numCache>
                <c:formatCode>#\ ##0.0</c:formatCode>
                <c:ptCount val="42"/>
                <c:pt idx="0">
                  <c:v>0.14158792411211604</c:v>
                </c:pt>
                <c:pt idx="1">
                  <c:v>0.19166977287933318</c:v>
                </c:pt>
                <c:pt idx="2">
                  <c:v>0.2331442589457039</c:v>
                </c:pt>
                <c:pt idx="3">
                  <c:v>0.2364605469237597</c:v>
                </c:pt>
                <c:pt idx="4">
                  <c:v>-0.75774167485897592</c:v>
                </c:pt>
                <c:pt idx="5">
                  <c:v>-0.7493412384715763</c:v>
                </c:pt>
                <c:pt idx="6">
                  <c:v>-0.78071557572941186</c:v>
                </c:pt>
                <c:pt idx="7">
                  <c:v>-0.76224499233199861</c:v>
                </c:pt>
                <c:pt idx="8">
                  <c:v>-9.1238704251723063E-3</c:v>
                </c:pt>
                <c:pt idx="9">
                  <c:v>1.6274018035254481E-2</c:v>
                </c:pt>
                <c:pt idx="10">
                  <c:v>-7.4237843949200688E-2</c:v>
                </c:pt>
                <c:pt idx="11">
                  <c:v>-8.5406531513181186E-2</c:v>
                </c:pt>
                <c:pt idx="12">
                  <c:v>-0.17732927468814916</c:v>
                </c:pt>
                <c:pt idx="13">
                  <c:v>-0.28865593825139396</c:v>
                </c:pt>
                <c:pt idx="14">
                  <c:v>-0.15189562552799868</c:v>
                </c:pt>
                <c:pt idx="15">
                  <c:v>-5.0197165169749043E-2</c:v>
                </c:pt>
                <c:pt idx="16">
                  <c:v>-0.41512048510538863</c:v>
                </c:pt>
                <c:pt idx="17">
                  <c:v>-0.29008656264696037</c:v>
                </c:pt>
                <c:pt idx="18">
                  <c:v>-0.35496103153743763</c:v>
                </c:pt>
                <c:pt idx="19">
                  <c:v>-0.43034098806023929</c:v>
                </c:pt>
                <c:pt idx="20">
                  <c:v>-0.11694210540586052</c:v>
                </c:pt>
                <c:pt idx="21">
                  <c:v>-0.10810072845885586</c:v>
                </c:pt>
                <c:pt idx="22">
                  <c:v>-0.15839123886250733</c:v>
                </c:pt>
                <c:pt idx="23">
                  <c:v>-0.17189865446459995</c:v>
                </c:pt>
                <c:pt idx="24">
                  <c:v>-0.11151278826793087</c:v>
                </c:pt>
                <c:pt idx="25">
                  <c:v>-0.12826978061125432</c:v>
                </c:pt>
                <c:pt idx="26">
                  <c:v>-3.014577719148143E-2</c:v>
                </c:pt>
                <c:pt idx="27">
                  <c:v>1.7024586966207105E-2</c:v>
                </c:pt>
                <c:pt idx="28">
                  <c:v>-6.5148695688723116E-3</c:v>
                </c:pt>
                <c:pt idx="29">
                  <c:v>1.4289321905169284E-2</c:v>
                </c:pt>
                <c:pt idx="30">
                  <c:v>6.6438659970773833E-2</c:v>
                </c:pt>
                <c:pt idx="31">
                  <c:v>-6.4943430456315621E-2</c:v>
                </c:pt>
                <c:pt idx="32">
                  <c:v>0.11749356845101826</c:v>
                </c:pt>
                <c:pt idx="33">
                  <c:v>6.7179580106074471E-2</c:v>
                </c:pt>
                <c:pt idx="34">
                  <c:v>5.6406065552118925E-2</c:v>
                </c:pt>
                <c:pt idx="35">
                  <c:v>0.12562257040583413</c:v>
                </c:pt>
                <c:pt idx="36">
                  <c:v>1.8512537978063726E-2</c:v>
                </c:pt>
                <c:pt idx="37">
                  <c:v>4.2190167111752976E-2</c:v>
                </c:pt>
                <c:pt idx="38">
                  <c:v>7.6558567765870777E-2</c:v>
                </c:pt>
                <c:pt idx="39">
                  <c:v>0.13747664010699337</c:v>
                </c:pt>
                <c:pt idx="40">
                  <c:v>0.22642461038295852</c:v>
                </c:pt>
                <c:pt idx="41">
                  <c:v>-2.5731571553894547E-2</c:v>
                </c:pt>
              </c:numCache>
            </c:numRef>
          </c:val>
          <c:extLst>
            <c:ext xmlns:c16="http://schemas.microsoft.com/office/drawing/2014/chart" uri="{C3380CC4-5D6E-409C-BE32-E72D297353CC}">
              <c16:uniqueId val="{00000002-CB01-484F-87B7-9B522F8DEAE5}"/>
            </c:ext>
          </c:extLst>
        </c:ser>
        <c:ser>
          <c:idx val="3"/>
          <c:order val="3"/>
          <c:tx>
            <c:strRef>
              <c:f>'Trh práce 1'!$AF$7</c:f>
              <c:strCache>
                <c:ptCount val="1"/>
                <c:pt idx="0">
                  <c:v>Trade, transport., accommod., restaurants</c:v>
                </c:pt>
              </c:strCache>
            </c:strRef>
          </c:tx>
          <c:spPr>
            <a:solidFill>
              <a:srgbClr val="FDDEB3"/>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1'!$AF$8:$AF$49</c:f>
              <c:numCache>
                <c:formatCode>#\ ##0.0</c:formatCode>
                <c:ptCount val="42"/>
                <c:pt idx="0">
                  <c:v>-0.31619307858448276</c:v>
                </c:pt>
                <c:pt idx="1">
                  <c:v>-0.1306857129789131</c:v>
                </c:pt>
                <c:pt idx="2">
                  <c:v>0.14611397677970747</c:v>
                </c:pt>
                <c:pt idx="3">
                  <c:v>0.25532529555591477</c:v>
                </c:pt>
                <c:pt idx="4">
                  <c:v>-0.40311491753542605</c:v>
                </c:pt>
                <c:pt idx="5">
                  <c:v>-0.45802533064755391</c:v>
                </c:pt>
                <c:pt idx="6">
                  <c:v>-0.44468044313400357</c:v>
                </c:pt>
                <c:pt idx="7">
                  <c:v>-0.54392827711216207</c:v>
                </c:pt>
                <c:pt idx="8">
                  <c:v>0.10002538816118248</c:v>
                </c:pt>
                <c:pt idx="9">
                  <c:v>0.11522479922771424</c:v>
                </c:pt>
                <c:pt idx="10">
                  <c:v>0.11795260424692905</c:v>
                </c:pt>
                <c:pt idx="11">
                  <c:v>3.775533035715315E-3</c:v>
                </c:pt>
                <c:pt idx="12">
                  <c:v>2.9664010927468173E-2</c:v>
                </c:pt>
                <c:pt idx="13">
                  <c:v>-2.2474957323278432E-2</c:v>
                </c:pt>
                <c:pt idx="14">
                  <c:v>-0.17169184256144429</c:v>
                </c:pt>
                <c:pt idx="15">
                  <c:v>-0.14889790735522657</c:v>
                </c:pt>
                <c:pt idx="16">
                  <c:v>-0.11142582981126935</c:v>
                </c:pt>
                <c:pt idx="17">
                  <c:v>-0.2949357356960805</c:v>
                </c:pt>
                <c:pt idx="18">
                  <c:v>-0.15399073657460882</c:v>
                </c:pt>
                <c:pt idx="19">
                  <c:v>8.6379154696624452E-2</c:v>
                </c:pt>
                <c:pt idx="20">
                  <c:v>0.22879550024382489</c:v>
                </c:pt>
                <c:pt idx="21">
                  <c:v>0.47330112084625897</c:v>
                </c:pt>
                <c:pt idx="22">
                  <c:v>0.33213712914903176</c:v>
                </c:pt>
                <c:pt idx="23">
                  <c:v>0.17959968299057444</c:v>
                </c:pt>
                <c:pt idx="24">
                  <c:v>8.0583366917820948E-2</c:v>
                </c:pt>
                <c:pt idx="25">
                  <c:v>0.20992754897152985</c:v>
                </c:pt>
                <c:pt idx="26">
                  <c:v>-8.6158327395090793E-3</c:v>
                </c:pt>
                <c:pt idx="27">
                  <c:v>9.5260739725036819E-2</c:v>
                </c:pt>
                <c:pt idx="28">
                  <c:v>0.16015880233389024</c:v>
                </c:pt>
                <c:pt idx="29">
                  <c:v>-9.025834979993895E-3</c:v>
                </c:pt>
                <c:pt idx="30">
                  <c:v>0.34149737055569235</c:v>
                </c:pt>
                <c:pt idx="31">
                  <c:v>0.22106834398785968</c:v>
                </c:pt>
                <c:pt idx="32">
                  <c:v>0.14724354251393632</c:v>
                </c:pt>
                <c:pt idx="33">
                  <c:v>0.38773017907246493</c:v>
                </c:pt>
                <c:pt idx="34">
                  <c:v>0.20751769162833716</c:v>
                </c:pt>
                <c:pt idx="35">
                  <c:v>0.25882757980843152</c:v>
                </c:pt>
                <c:pt idx="36">
                  <c:v>0.37837550067789966</c:v>
                </c:pt>
                <c:pt idx="37">
                  <c:v>3.0454299666256623E-2</c:v>
                </c:pt>
                <c:pt idx="38">
                  <c:v>-8.7506055271335301E-2</c:v>
                </c:pt>
                <c:pt idx="39">
                  <c:v>-0.13427394424695629</c:v>
                </c:pt>
                <c:pt idx="40">
                  <c:v>-0.2600418368128985</c:v>
                </c:pt>
                <c:pt idx="41">
                  <c:v>-0.73794471277776152</c:v>
                </c:pt>
              </c:numCache>
            </c:numRef>
          </c:val>
          <c:extLst>
            <c:ext xmlns:c16="http://schemas.microsoft.com/office/drawing/2014/chart" uri="{C3380CC4-5D6E-409C-BE32-E72D297353CC}">
              <c16:uniqueId val="{00000003-CB01-484F-87B7-9B522F8DEAE5}"/>
            </c:ext>
          </c:extLst>
        </c:ser>
        <c:ser>
          <c:idx val="4"/>
          <c:order val="4"/>
          <c:tx>
            <c:strRef>
              <c:f>'Trh práce 1'!$AG$7</c:f>
              <c:strCache>
                <c:ptCount val="1"/>
                <c:pt idx="0">
                  <c:v>Information and communication</c:v>
                </c:pt>
              </c:strCache>
            </c:strRef>
          </c:tx>
          <c:spPr>
            <a:solidFill>
              <a:srgbClr val="F8A124"/>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1'!$AG$8:$AG$49</c:f>
              <c:numCache>
                <c:formatCode>#\ ##0.0</c:formatCode>
                <c:ptCount val="42"/>
                <c:pt idx="0">
                  <c:v>-5.9257239751818361E-2</c:v>
                </c:pt>
                <c:pt idx="1">
                  <c:v>-6.9818930116763017E-2</c:v>
                </c:pt>
                <c:pt idx="2">
                  <c:v>-6.0678954368281267E-2</c:v>
                </c:pt>
                <c:pt idx="3">
                  <c:v>-7.6031251547796566E-2</c:v>
                </c:pt>
                <c:pt idx="4">
                  <c:v>-2.5614138686863345E-3</c:v>
                </c:pt>
                <c:pt idx="5">
                  <c:v>-4.3706293706288056E-2</c:v>
                </c:pt>
                <c:pt idx="6">
                  <c:v>-8.6612483401411006E-2</c:v>
                </c:pt>
                <c:pt idx="7">
                  <c:v>-0.1156757159678042</c:v>
                </c:pt>
                <c:pt idx="8">
                  <c:v>-1.3626302134985595E-2</c:v>
                </c:pt>
                <c:pt idx="9">
                  <c:v>1.3462691318702005E-3</c:v>
                </c:pt>
                <c:pt idx="10">
                  <c:v>2.4699730897719655E-2</c:v>
                </c:pt>
                <c:pt idx="11">
                  <c:v>4.4948714351516011E-2</c:v>
                </c:pt>
                <c:pt idx="12">
                  <c:v>4.4644832499534035E-2</c:v>
                </c:pt>
                <c:pt idx="13">
                  <c:v>7.0548041061372663E-2</c:v>
                </c:pt>
                <c:pt idx="14">
                  <c:v>2.9163015550264803E-2</c:v>
                </c:pt>
                <c:pt idx="15">
                  <c:v>2.985441443599041E-2</c:v>
                </c:pt>
                <c:pt idx="16">
                  <c:v>0.10899579841644913</c:v>
                </c:pt>
                <c:pt idx="17">
                  <c:v>7.2835757134557588E-2</c:v>
                </c:pt>
                <c:pt idx="18">
                  <c:v>9.0086743135235167E-2</c:v>
                </c:pt>
                <c:pt idx="19">
                  <c:v>9.0807341027620239E-2</c:v>
                </c:pt>
                <c:pt idx="20">
                  <c:v>7.3874717124669956E-3</c:v>
                </c:pt>
                <c:pt idx="21">
                  <c:v>5.6060947547706408E-2</c:v>
                </c:pt>
                <c:pt idx="22">
                  <c:v>7.3237389552977303E-2</c:v>
                </c:pt>
                <c:pt idx="23">
                  <c:v>0.10393464068853153</c:v>
                </c:pt>
                <c:pt idx="24">
                  <c:v>0.12034144994565989</c:v>
                </c:pt>
                <c:pt idx="25">
                  <c:v>0.11313726215922026</c:v>
                </c:pt>
                <c:pt idx="26">
                  <c:v>0.12927604067983756</c:v>
                </c:pt>
                <c:pt idx="27">
                  <c:v>0.16693713637598337</c:v>
                </c:pt>
                <c:pt idx="28">
                  <c:v>0.13971624972775135</c:v>
                </c:pt>
                <c:pt idx="29">
                  <c:v>0.13821878661994863</c:v>
                </c:pt>
                <c:pt idx="30">
                  <c:v>0.13496598887461</c:v>
                </c:pt>
                <c:pt idx="31">
                  <c:v>0.11698506830016364</c:v>
                </c:pt>
                <c:pt idx="32">
                  <c:v>0.11067743515305851</c:v>
                </c:pt>
                <c:pt idx="33">
                  <c:v>0.13553972187091679</c:v>
                </c:pt>
                <c:pt idx="34">
                  <c:v>0.13024808795918613</c:v>
                </c:pt>
                <c:pt idx="35">
                  <c:v>0.15340000663230582</c:v>
                </c:pt>
                <c:pt idx="36">
                  <c:v>0.13609868852209775</c:v>
                </c:pt>
                <c:pt idx="37">
                  <c:v>7.0525746595541644E-2</c:v>
                </c:pt>
                <c:pt idx="38">
                  <c:v>0.12343153703463035</c:v>
                </c:pt>
                <c:pt idx="39">
                  <c:v>0.13834173611516429</c:v>
                </c:pt>
                <c:pt idx="40">
                  <c:v>0.13924773506463947</c:v>
                </c:pt>
                <c:pt idx="41">
                  <c:v>0.10053692599985942</c:v>
                </c:pt>
              </c:numCache>
            </c:numRef>
          </c:val>
          <c:extLst>
            <c:ext xmlns:c16="http://schemas.microsoft.com/office/drawing/2014/chart" uri="{C3380CC4-5D6E-409C-BE32-E72D297353CC}">
              <c16:uniqueId val="{00000004-CB01-484F-87B7-9B522F8DEAE5}"/>
            </c:ext>
          </c:extLst>
        </c:ser>
        <c:ser>
          <c:idx val="5"/>
          <c:order val="5"/>
          <c:tx>
            <c:strRef>
              <c:f>'Trh práce 1'!$AH$7</c:f>
              <c:strCache>
                <c:ptCount val="1"/>
                <c:pt idx="0">
                  <c:v>Professional, scientific, technic., admin. act.</c:v>
                </c:pt>
              </c:strCache>
            </c:strRef>
          </c:tx>
          <c:spPr>
            <a:solidFill>
              <a:srgbClr val="E8C0BE"/>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1'!$AH$8:$AH$49</c:f>
              <c:numCache>
                <c:formatCode>#\ ##0.0</c:formatCode>
                <c:ptCount val="42"/>
                <c:pt idx="0">
                  <c:v>-5.3348893266299824E-2</c:v>
                </c:pt>
                <c:pt idx="1">
                  <c:v>4.8161770382895881E-2</c:v>
                </c:pt>
                <c:pt idx="2">
                  <c:v>0.12299255762087521</c:v>
                </c:pt>
                <c:pt idx="3">
                  <c:v>8.7653988937272845E-2</c:v>
                </c:pt>
                <c:pt idx="4">
                  <c:v>-0.16428789418225373</c:v>
                </c:pt>
                <c:pt idx="5">
                  <c:v>-0.19127441851624158</c:v>
                </c:pt>
                <c:pt idx="6">
                  <c:v>-0.34396458336456504</c:v>
                </c:pt>
                <c:pt idx="7">
                  <c:v>-0.24367623972283606</c:v>
                </c:pt>
                <c:pt idx="8">
                  <c:v>5.6746507144386886E-2</c:v>
                </c:pt>
                <c:pt idx="9">
                  <c:v>6.6996687386011153E-2</c:v>
                </c:pt>
                <c:pt idx="10">
                  <c:v>0.1296587317213094</c:v>
                </c:pt>
                <c:pt idx="11">
                  <c:v>0.17425078521151366</c:v>
                </c:pt>
                <c:pt idx="12">
                  <c:v>7.8059009356963069E-2</c:v>
                </c:pt>
                <c:pt idx="13">
                  <c:v>0.19094818622943679</c:v>
                </c:pt>
                <c:pt idx="14">
                  <c:v>0.25310034143556409</c:v>
                </c:pt>
                <c:pt idx="15">
                  <c:v>0.24529458193581563</c:v>
                </c:pt>
                <c:pt idx="16">
                  <c:v>0.33538384519079939</c:v>
                </c:pt>
                <c:pt idx="17">
                  <c:v>0.24925142118068547</c:v>
                </c:pt>
                <c:pt idx="18">
                  <c:v>0.14463413833494659</c:v>
                </c:pt>
                <c:pt idx="19">
                  <c:v>0.11174774216619586</c:v>
                </c:pt>
                <c:pt idx="20">
                  <c:v>0.11379850042183202</c:v>
                </c:pt>
                <c:pt idx="21">
                  <c:v>0.11820268366776726</c:v>
                </c:pt>
                <c:pt idx="22">
                  <c:v>0.23129653035669548</c:v>
                </c:pt>
                <c:pt idx="23">
                  <c:v>0.37241784026117603</c:v>
                </c:pt>
                <c:pt idx="24">
                  <c:v>0.26699425205615607</c:v>
                </c:pt>
                <c:pt idx="25">
                  <c:v>0.23716608218519117</c:v>
                </c:pt>
                <c:pt idx="26">
                  <c:v>0.24081927124703897</c:v>
                </c:pt>
                <c:pt idx="27">
                  <c:v>0.25506101535021469</c:v>
                </c:pt>
                <c:pt idx="28">
                  <c:v>0.4253197253437988</c:v>
                </c:pt>
                <c:pt idx="29">
                  <c:v>0.3617364642403027</c:v>
                </c:pt>
                <c:pt idx="30">
                  <c:v>0.29161615885428543</c:v>
                </c:pt>
                <c:pt idx="31">
                  <c:v>0.14112634349596684</c:v>
                </c:pt>
                <c:pt idx="32">
                  <c:v>0.15174369681839037</c:v>
                </c:pt>
                <c:pt idx="33">
                  <c:v>0.15585287803130304</c:v>
                </c:pt>
                <c:pt idx="34">
                  <c:v>7.8312780575002641E-2</c:v>
                </c:pt>
                <c:pt idx="35">
                  <c:v>0.22050552325722272</c:v>
                </c:pt>
                <c:pt idx="36">
                  <c:v>0.21302403420850086</c:v>
                </c:pt>
                <c:pt idx="37">
                  <c:v>0.16787633306650354</c:v>
                </c:pt>
                <c:pt idx="38">
                  <c:v>0.15865549346030708</c:v>
                </c:pt>
                <c:pt idx="39">
                  <c:v>9.7553379644807186E-3</c:v>
                </c:pt>
                <c:pt idx="40">
                  <c:v>-0.2382797831808324</c:v>
                </c:pt>
                <c:pt idx="41">
                  <c:v>-0.39393198079615843</c:v>
                </c:pt>
              </c:numCache>
            </c:numRef>
          </c:val>
          <c:extLst>
            <c:ext xmlns:c16="http://schemas.microsoft.com/office/drawing/2014/chart" uri="{C3380CC4-5D6E-409C-BE32-E72D297353CC}">
              <c16:uniqueId val="{00000005-CB01-484F-87B7-9B522F8DEAE5}"/>
            </c:ext>
          </c:extLst>
        </c:ser>
        <c:ser>
          <c:idx val="6"/>
          <c:order val="6"/>
          <c:tx>
            <c:strRef>
              <c:f>'Trh práce 1'!$AI$7</c:f>
              <c:strCache>
                <c:ptCount val="1"/>
                <c:pt idx="0">
                  <c:v>Public admin, education, health, soc. work</c:v>
                </c:pt>
              </c:strCache>
            </c:strRef>
          </c:tx>
          <c:spPr>
            <a:solidFill>
              <a:srgbClr val="D58D8B"/>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1'!$AI$8:$AI$49</c:f>
              <c:numCache>
                <c:formatCode>#\ ##0.0</c:formatCode>
                <c:ptCount val="42"/>
                <c:pt idx="0">
                  <c:v>-1.982964653799852E-2</c:v>
                </c:pt>
                <c:pt idx="1">
                  <c:v>-5.674254034965371E-2</c:v>
                </c:pt>
                <c:pt idx="2">
                  <c:v>-5.7882326156565612E-2</c:v>
                </c:pt>
                <c:pt idx="3">
                  <c:v>-4.8365584620723941E-2</c:v>
                </c:pt>
                <c:pt idx="4">
                  <c:v>0.13327294485754013</c:v>
                </c:pt>
                <c:pt idx="5">
                  <c:v>8.2721286865297894E-2</c:v>
                </c:pt>
                <c:pt idx="6">
                  <c:v>4.487437935281486E-2</c:v>
                </c:pt>
                <c:pt idx="7">
                  <c:v>9.5956023508239882E-2</c:v>
                </c:pt>
                <c:pt idx="8">
                  <c:v>-0.4542299056671108</c:v>
                </c:pt>
                <c:pt idx="9">
                  <c:v>-0.3389628500992603</c:v>
                </c:pt>
                <c:pt idx="10">
                  <c:v>-6.0135030477527558E-2</c:v>
                </c:pt>
                <c:pt idx="11">
                  <c:v>5.663299553572973E-2</c:v>
                </c:pt>
                <c:pt idx="12">
                  <c:v>0.16798362308491338</c:v>
                </c:pt>
                <c:pt idx="13">
                  <c:v>0.39138448109139218</c:v>
                </c:pt>
                <c:pt idx="14">
                  <c:v>0.2150034466276608</c:v>
                </c:pt>
                <c:pt idx="15">
                  <c:v>0.18322260680241081</c:v>
                </c:pt>
                <c:pt idx="16">
                  <c:v>0.26639466120126881</c:v>
                </c:pt>
                <c:pt idx="17">
                  <c:v>0.16025829797557781</c:v>
                </c:pt>
                <c:pt idx="18">
                  <c:v>0.35511828528936468</c:v>
                </c:pt>
                <c:pt idx="19">
                  <c:v>0.35974585753009758</c:v>
                </c:pt>
                <c:pt idx="20">
                  <c:v>0.25561438026381811</c:v>
                </c:pt>
                <c:pt idx="21">
                  <c:v>0.23618959741845097</c:v>
                </c:pt>
                <c:pt idx="22">
                  <c:v>0.10591974557381781</c:v>
                </c:pt>
                <c:pt idx="23">
                  <c:v>9.8709639055718459E-2</c:v>
                </c:pt>
                <c:pt idx="24">
                  <c:v>0.36242141278378515</c:v>
                </c:pt>
                <c:pt idx="25">
                  <c:v>0.34758527415111612</c:v>
                </c:pt>
                <c:pt idx="26">
                  <c:v>0.42951950059780825</c:v>
                </c:pt>
                <c:pt idx="27">
                  <c:v>0.52568461923790011</c:v>
                </c:pt>
                <c:pt idx="28">
                  <c:v>0.43143338593628888</c:v>
                </c:pt>
                <c:pt idx="29">
                  <c:v>0.47637406936515148</c:v>
                </c:pt>
                <c:pt idx="30">
                  <c:v>0.54554133741649136</c:v>
                </c:pt>
                <c:pt idx="31">
                  <c:v>0.54623885355011015</c:v>
                </c:pt>
                <c:pt idx="32">
                  <c:v>0.39719981193497272</c:v>
                </c:pt>
                <c:pt idx="33">
                  <c:v>0.45187402919885078</c:v>
                </c:pt>
                <c:pt idx="34">
                  <c:v>0.32168967834198869</c:v>
                </c:pt>
                <c:pt idx="35">
                  <c:v>0.29320006125567516</c:v>
                </c:pt>
                <c:pt idx="36">
                  <c:v>0.3051229831675053</c:v>
                </c:pt>
                <c:pt idx="37">
                  <c:v>0.2171411832223234</c:v>
                </c:pt>
                <c:pt idx="38">
                  <c:v>0.30064052955563197</c:v>
                </c:pt>
                <c:pt idx="39">
                  <c:v>0.30635442468078694</c:v>
                </c:pt>
                <c:pt idx="40">
                  <c:v>0.39070605916962003</c:v>
                </c:pt>
                <c:pt idx="41">
                  <c:v>0.30232758606429394</c:v>
                </c:pt>
              </c:numCache>
            </c:numRef>
          </c:val>
          <c:extLst>
            <c:ext xmlns:c16="http://schemas.microsoft.com/office/drawing/2014/chart" uri="{C3380CC4-5D6E-409C-BE32-E72D297353CC}">
              <c16:uniqueId val="{00000006-CB01-484F-87B7-9B522F8DEAE5}"/>
            </c:ext>
          </c:extLst>
        </c:ser>
        <c:ser>
          <c:idx val="7"/>
          <c:order val="7"/>
          <c:tx>
            <c:strRef>
              <c:f>'Trh práce 1'!$AJ$7</c:f>
              <c:strCache>
                <c:ptCount val="1"/>
                <c:pt idx="0">
                  <c:v>Other branches*</c:v>
                </c:pt>
              </c:strCache>
            </c:strRef>
          </c:tx>
          <c:spPr>
            <a:solidFill>
              <a:schemeClr val="bg1">
                <a:lumMod val="85000"/>
              </a:schemeClr>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1'!$AJ$8:$AJ$49</c:f>
              <c:numCache>
                <c:formatCode>#\ ##0.0</c:formatCode>
                <c:ptCount val="42"/>
                <c:pt idx="0">
                  <c:v>-0.18883538767441632</c:v>
                </c:pt>
                <c:pt idx="1">
                  <c:v>-3.7782752495997468E-2</c:v>
                </c:pt>
                <c:pt idx="2">
                  <c:v>5.9635142430105703E-2</c:v>
                </c:pt>
                <c:pt idx="3">
                  <c:v>4.8622113629320202E-2</c:v>
                </c:pt>
                <c:pt idx="4">
                  <c:v>-0.11317875233730314</c:v>
                </c:pt>
                <c:pt idx="5">
                  <c:v>-0.13381093544135292</c:v>
                </c:pt>
                <c:pt idx="6">
                  <c:v>-0.13233503783649886</c:v>
                </c:pt>
                <c:pt idx="7">
                  <c:v>-0.12971613699901402</c:v>
                </c:pt>
                <c:pt idx="8">
                  <c:v>0.24731639202494232</c:v>
                </c:pt>
                <c:pt idx="9">
                  <c:v>0.29651577629441173</c:v>
                </c:pt>
                <c:pt idx="10">
                  <c:v>0.30620139530701529</c:v>
                </c:pt>
                <c:pt idx="11">
                  <c:v>0.37522837007059107</c:v>
                </c:pt>
                <c:pt idx="12">
                  <c:v>0.16941225772489849</c:v>
                </c:pt>
                <c:pt idx="13">
                  <c:v>7.8138527967387544E-2</c:v>
                </c:pt>
                <c:pt idx="14">
                  <c:v>-0.13991163330795056</c:v>
                </c:pt>
                <c:pt idx="15">
                  <c:v>-0.302561493004325</c:v>
                </c:pt>
                <c:pt idx="16">
                  <c:v>0.16156745322634058</c:v>
                </c:pt>
                <c:pt idx="17">
                  <c:v>3.677125959919849E-2</c:v>
                </c:pt>
                <c:pt idx="18">
                  <c:v>0.16053642399857421</c:v>
                </c:pt>
                <c:pt idx="19">
                  <c:v>0.21505240906129308</c:v>
                </c:pt>
                <c:pt idx="20">
                  <c:v>-4.1849241349879523E-2</c:v>
                </c:pt>
                <c:pt idx="21">
                  <c:v>9.7841849673883693E-2</c:v>
                </c:pt>
                <c:pt idx="22">
                  <c:v>4.8115148164572706E-2</c:v>
                </c:pt>
                <c:pt idx="23">
                  <c:v>-4.5211861143632459E-2</c:v>
                </c:pt>
                <c:pt idx="24">
                  <c:v>0.13066419283038919</c:v>
                </c:pt>
                <c:pt idx="25">
                  <c:v>8.2910779442291055E-2</c:v>
                </c:pt>
                <c:pt idx="26">
                  <c:v>0.10551022017018501</c:v>
                </c:pt>
                <c:pt idx="27">
                  <c:v>0.16861073984045796</c:v>
                </c:pt>
                <c:pt idx="28">
                  <c:v>-5.0552331024152887E-2</c:v>
                </c:pt>
                <c:pt idx="29">
                  <c:v>1.1401054711571157E-3</c:v>
                </c:pt>
                <c:pt idx="30">
                  <c:v>3.7899847185385707E-2</c:v>
                </c:pt>
                <c:pt idx="31">
                  <c:v>4.0443247413313482E-2</c:v>
                </c:pt>
                <c:pt idx="32">
                  <c:v>0.19188733270582164</c:v>
                </c:pt>
                <c:pt idx="33">
                  <c:v>0.19975852829309734</c:v>
                </c:pt>
                <c:pt idx="34">
                  <c:v>-8.9415163358709041E-3</c:v>
                </c:pt>
                <c:pt idx="35">
                  <c:v>5.0301192361819347E-4</c:v>
                </c:pt>
                <c:pt idx="36">
                  <c:v>-0.10500949648679234</c:v>
                </c:pt>
                <c:pt idx="37">
                  <c:v>-4.3608788451318478E-2</c:v>
                </c:pt>
                <c:pt idx="38">
                  <c:v>4.676220211018825E-2</c:v>
                </c:pt>
                <c:pt idx="39">
                  <c:v>5.3562327314412982E-2</c:v>
                </c:pt>
                <c:pt idx="40">
                  <c:v>9.8186562924406556E-2</c:v>
                </c:pt>
                <c:pt idx="41">
                  <c:v>-0.10793217966444846</c:v>
                </c:pt>
              </c:numCache>
            </c:numRef>
          </c:val>
          <c:extLst>
            <c:ext xmlns:c16="http://schemas.microsoft.com/office/drawing/2014/chart" uri="{C3380CC4-5D6E-409C-BE32-E72D297353CC}">
              <c16:uniqueId val="{00000007-CB01-484F-87B7-9B522F8DEAE5}"/>
            </c:ext>
          </c:extLst>
        </c:ser>
        <c:dLbls>
          <c:showLegendKey val="0"/>
          <c:showVal val="0"/>
          <c:showCatName val="0"/>
          <c:showSerName val="0"/>
          <c:showPercent val="0"/>
          <c:showBubbleSize val="0"/>
        </c:dLbls>
        <c:gapWidth val="47"/>
        <c:overlap val="100"/>
        <c:axId val="101898496"/>
        <c:axId val="101781504"/>
      </c:barChart>
      <c:lineChart>
        <c:grouping val="standard"/>
        <c:varyColors val="0"/>
        <c:ser>
          <c:idx val="8"/>
          <c:order val="8"/>
          <c:tx>
            <c:strRef>
              <c:f>'Trh práce 1'!$AK$7</c:f>
              <c:strCache>
                <c:ptCount val="1"/>
                <c:pt idx="0">
                  <c:v>Total employment</c:v>
                </c:pt>
              </c:strCache>
            </c:strRef>
          </c:tx>
          <c:spPr>
            <a:ln w="19050">
              <a:solidFill>
                <a:schemeClr val="tx1">
                  <a:lumMod val="95000"/>
                  <a:lumOff val="5000"/>
                </a:schemeClr>
              </a:solidFill>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1'!$AK$8:$AK$49</c:f>
              <c:numCache>
                <c:formatCode>#\ ##0.0</c:formatCode>
                <c:ptCount val="42"/>
                <c:pt idx="0">
                  <c:v>-2.7578655345296426</c:v>
                </c:pt>
                <c:pt idx="1">
                  <c:v>-1.2546102092398286</c:v>
                </c:pt>
                <c:pt idx="2">
                  <c:v>-0.15430691576614208</c:v>
                </c:pt>
                <c:pt idx="3">
                  <c:v>6.7486862261475267E-2</c:v>
                </c:pt>
                <c:pt idx="4">
                  <c:v>0.10799635683554243</c:v>
                </c:pt>
                <c:pt idx="5">
                  <c:v>-1.7973421506027876E-2</c:v>
                </c:pt>
                <c:pt idx="6">
                  <c:v>-0.41560579031376221</c:v>
                </c:pt>
                <c:pt idx="7">
                  <c:v>-0.76258022710381113</c:v>
                </c:pt>
                <c:pt idx="8">
                  <c:v>-3.8538435295890849E-2</c:v>
                </c:pt>
                <c:pt idx="9">
                  <c:v>0.15775106533443761</c:v>
                </c:pt>
                <c:pt idx="10">
                  <c:v>0.65643446806842576</c:v>
                </c:pt>
                <c:pt idx="11">
                  <c:v>0.90561127668257768</c:v>
                </c:pt>
                <c:pt idx="12">
                  <c:v>0.43426524625991192</c:v>
                </c:pt>
                <c:pt idx="13">
                  <c:v>0.6856739838433441</c:v>
                </c:pt>
                <c:pt idx="14">
                  <c:v>0.10901694072096291</c:v>
                </c:pt>
                <c:pt idx="15">
                  <c:v>6.1264566827418321E-2</c:v>
                </c:pt>
                <c:pt idx="16">
                  <c:v>0.55386935084378308</c:v>
                </c:pt>
                <c:pt idx="17">
                  <c:v>8.5812693917830529E-2</c:v>
                </c:pt>
                <c:pt idx="18">
                  <c:v>0.62215481278056473</c:v>
                </c:pt>
                <c:pt idx="19">
                  <c:v>0.94660847176993457</c:v>
                </c:pt>
                <c:pt idx="20">
                  <c:v>1.2568722152080483</c:v>
                </c:pt>
                <c:pt idx="21">
                  <c:v>1.755209813686605</c:v>
                </c:pt>
                <c:pt idx="22">
                  <c:v>1.3509162976145745</c:v>
                </c:pt>
                <c:pt idx="23">
                  <c:v>1.3487327908819964</c:v>
                </c:pt>
                <c:pt idx="24">
                  <c:v>1.5622074293090975</c:v>
                </c:pt>
                <c:pt idx="25">
                  <c:v>1.4490012923363622</c:v>
                </c:pt>
                <c:pt idx="26">
                  <c:v>1.510931795564602</c:v>
                </c:pt>
                <c:pt idx="27">
                  <c:v>1.8366162892787088</c:v>
                </c:pt>
                <c:pt idx="28">
                  <c:v>1.4663041775407066</c:v>
                </c:pt>
                <c:pt idx="29">
                  <c:v>1.4017976803033889</c:v>
                </c:pt>
                <c:pt idx="30">
                  <c:v>1.9311643076100466</c:v>
                </c:pt>
                <c:pt idx="31">
                  <c:v>1.3946025548949592</c:v>
                </c:pt>
                <c:pt idx="32">
                  <c:v>1.5065537498241781</c:v>
                </c:pt>
                <c:pt idx="33">
                  <c:v>1.7120392741007464</c:v>
                </c:pt>
                <c:pt idx="34">
                  <c:v>0.90441574921430856</c:v>
                </c:pt>
                <c:pt idx="35">
                  <c:v>1.2157425592426989</c:v>
                </c:pt>
                <c:pt idx="36">
                  <c:v>0.92232506347222909</c:v>
                </c:pt>
                <c:pt idx="37">
                  <c:v>0.23917587311999</c:v>
                </c:pt>
                <c:pt idx="38">
                  <c:v>0.17637823883171677</c:v>
                </c:pt>
                <c:pt idx="39">
                  <c:v>-0.33427677881685725</c:v>
                </c:pt>
                <c:pt idx="40">
                  <c:v>-0.46409784983924851</c:v>
                </c:pt>
                <c:pt idx="41">
                  <c:v>-1.860362480648476</c:v>
                </c:pt>
              </c:numCache>
            </c:numRef>
          </c:val>
          <c:smooth val="0"/>
          <c:extLst>
            <c:ext xmlns:c16="http://schemas.microsoft.com/office/drawing/2014/chart" uri="{C3380CC4-5D6E-409C-BE32-E72D297353CC}">
              <c16:uniqueId val="{00000008-CB01-484F-87B7-9B522F8DEAE5}"/>
            </c:ext>
          </c:extLst>
        </c:ser>
        <c:dLbls>
          <c:showLegendKey val="0"/>
          <c:showVal val="0"/>
          <c:showCatName val="0"/>
          <c:showSerName val="0"/>
          <c:showPercent val="0"/>
          <c:showBubbleSize val="0"/>
        </c:dLbls>
        <c:marker val="1"/>
        <c:smooth val="0"/>
        <c:axId val="101898496"/>
        <c:axId val="101781504"/>
      </c:lineChart>
      <c:lineChart>
        <c:grouping val="standard"/>
        <c:varyColors val="0"/>
        <c:ser>
          <c:idx val="9"/>
          <c:order val="9"/>
          <c:tx>
            <c:strRef>
              <c:f>'Trh práce 1'!$AL$7</c:f>
              <c:strCache>
                <c:ptCount val="1"/>
              </c:strCache>
            </c:strRef>
          </c:tx>
          <c:spPr>
            <a:ln>
              <a:noFill/>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1'!$AL$8:$AL$49</c:f>
              <c:numCache>
                <c:formatCode>General</c:formatCode>
                <c:ptCount val="42"/>
              </c:numCache>
            </c:numRef>
          </c:val>
          <c:smooth val="0"/>
          <c:extLst>
            <c:ext xmlns:c16="http://schemas.microsoft.com/office/drawing/2014/chart" uri="{C3380CC4-5D6E-409C-BE32-E72D297353CC}">
              <c16:uniqueId val="{00000009-CB01-484F-87B7-9B522F8DEAE5}"/>
            </c:ext>
          </c:extLst>
        </c:ser>
        <c:ser>
          <c:idx val="10"/>
          <c:order val="10"/>
          <c:tx>
            <c:strRef>
              <c:f>'Trh práce 1'!$AM$7</c:f>
              <c:strCache>
                <c:ptCount val="1"/>
                <c:pt idx="0">
                  <c:v>Employment expectations (industry)</c:v>
                </c:pt>
              </c:strCache>
            </c:strRef>
          </c:tx>
          <c:spPr>
            <a:ln w="15875">
              <a:solidFill>
                <a:schemeClr val="tx1">
                  <a:lumMod val="95000"/>
                  <a:lumOff val="5000"/>
                </a:schemeClr>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1'!$AM$8:$AM$49</c:f>
              <c:numCache>
                <c:formatCode>General</c:formatCode>
                <c:ptCount val="42"/>
                <c:pt idx="0">
                  <c:v>-10.9</c:v>
                </c:pt>
                <c:pt idx="1">
                  <c:v>-1.8</c:v>
                </c:pt>
                <c:pt idx="2">
                  <c:v>3.1</c:v>
                </c:pt>
                <c:pt idx="3">
                  <c:v>9.1999999999999993</c:v>
                </c:pt>
                <c:pt idx="4">
                  <c:v>12.4</c:v>
                </c:pt>
                <c:pt idx="5">
                  <c:v>1.9</c:v>
                </c:pt>
                <c:pt idx="6">
                  <c:v>3.2</c:v>
                </c:pt>
                <c:pt idx="7">
                  <c:v>-3.7</c:v>
                </c:pt>
                <c:pt idx="8">
                  <c:v>0.6</c:v>
                </c:pt>
                <c:pt idx="9">
                  <c:v>-11.6</c:v>
                </c:pt>
                <c:pt idx="10">
                  <c:v>-16.100000000000001</c:v>
                </c:pt>
                <c:pt idx="11">
                  <c:v>-12.9</c:v>
                </c:pt>
                <c:pt idx="12">
                  <c:v>-11.6</c:v>
                </c:pt>
                <c:pt idx="13">
                  <c:v>-10.9</c:v>
                </c:pt>
                <c:pt idx="14">
                  <c:v>-8</c:v>
                </c:pt>
                <c:pt idx="15">
                  <c:v>2.6</c:v>
                </c:pt>
                <c:pt idx="16">
                  <c:v>-4.8</c:v>
                </c:pt>
                <c:pt idx="17">
                  <c:v>5.3</c:v>
                </c:pt>
                <c:pt idx="18">
                  <c:v>0.6</c:v>
                </c:pt>
                <c:pt idx="19">
                  <c:v>8.1</c:v>
                </c:pt>
                <c:pt idx="20">
                  <c:v>3.3</c:v>
                </c:pt>
                <c:pt idx="21">
                  <c:v>6.6</c:v>
                </c:pt>
                <c:pt idx="22">
                  <c:v>6.4</c:v>
                </c:pt>
                <c:pt idx="23">
                  <c:v>11.1</c:v>
                </c:pt>
                <c:pt idx="24">
                  <c:v>11.1</c:v>
                </c:pt>
                <c:pt idx="25">
                  <c:v>6.1</c:v>
                </c:pt>
                <c:pt idx="26">
                  <c:v>5.3</c:v>
                </c:pt>
                <c:pt idx="27">
                  <c:v>9.1</c:v>
                </c:pt>
                <c:pt idx="28">
                  <c:v>9.6</c:v>
                </c:pt>
                <c:pt idx="29">
                  <c:v>6.7</c:v>
                </c:pt>
                <c:pt idx="30">
                  <c:v>8.6999999999999993</c:v>
                </c:pt>
                <c:pt idx="31">
                  <c:v>8.5</c:v>
                </c:pt>
                <c:pt idx="32">
                  <c:v>12.9</c:v>
                </c:pt>
                <c:pt idx="33">
                  <c:v>7.3</c:v>
                </c:pt>
                <c:pt idx="34">
                  <c:v>5.9</c:v>
                </c:pt>
                <c:pt idx="35">
                  <c:v>5.6</c:v>
                </c:pt>
                <c:pt idx="36">
                  <c:v>0.7</c:v>
                </c:pt>
                <c:pt idx="37">
                  <c:v>-2.2999999999999998</c:v>
                </c:pt>
                <c:pt idx="38">
                  <c:v>0</c:v>
                </c:pt>
                <c:pt idx="39">
                  <c:v>-6.5</c:v>
                </c:pt>
                <c:pt idx="40">
                  <c:v>-0.8</c:v>
                </c:pt>
                <c:pt idx="41">
                  <c:v>-17.7</c:v>
                </c:pt>
              </c:numCache>
            </c:numRef>
          </c:val>
          <c:smooth val="0"/>
          <c:extLst>
            <c:ext xmlns:c16="http://schemas.microsoft.com/office/drawing/2014/chart" uri="{C3380CC4-5D6E-409C-BE32-E72D297353CC}">
              <c16:uniqueId val="{0000000A-CB01-484F-87B7-9B522F8DEAE5}"/>
            </c:ext>
          </c:extLst>
        </c:ser>
        <c:ser>
          <c:idx val="11"/>
          <c:order val="11"/>
          <c:tx>
            <c:strRef>
              <c:f>'Trh práce 1'!$AN$7</c:f>
              <c:strCache>
                <c:ptCount val="1"/>
                <c:pt idx="0">
                  <c:v>Employment expectations (construction)</c:v>
                </c:pt>
              </c:strCache>
            </c:strRef>
          </c:tx>
          <c:spPr>
            <a:ln w="15875">
              <a:solidFill>
                <a:srgbClr val="00B0F0"/>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1'!$AN$8:$AN$49</c:f>
              <c:numCache>
                <c:formatCode>General</c:formatCode>
                <c:ptCount val="42"/>
                <c:pt idx="0">
                  <c:v>-21.6</c:v>
                </c:pt>
                <c:pt idx="1">
                  <c:v>-25.3</c:v>
                </c:pt>
                <c:pt idx="2">
                  <c:v>-34.5</c:v>
                </c:pt>
                <c:pt idx="3">
                  <c:v>-32.1</c:v>
                </c:pt>
                <c:pt idx="4">
                  <c:v>-29.6</c:v>
                </c:pt>
                <c:pt idx="5">
                  <c:v>-29.5</c:v>
                </c:pt>
                <c:pt idx="6">
                  <c:v>-23.6</c:v>
                </c:pt>
                <c:pt idx="7">
                  <c:v>-28.1</c:v>
                </c:pt>
                <c:pt idx="8">
                  <c:v>-31.1</c:v>
                </c:pt>
                <c:pt idx="9">
                  <c:v>-28.4</c:v>
                </c:pt>
                <c:pt idx="10">
                  <c:v>-27</c:v>
                </c:pt>
                <c:pt idx="11">
                  <c:v>-28.6</c:v>
                </c:pt>
                <c:pt idx="12">
                  <c:v>-38.9</c:v>
                </c:pt>
                <c:pt idx="13">
                  <c:v>-41.9</c:v>
                </c:pt>
                <c:pt idx="14">
                  <c:v>-32.799999999999997</c:v>
                </c:pt>
                <c:pt idx="15">
                  <c:v>-28.6</c:v>
                </c:pt>
                <c:pt idx="16">
                  <c:v>-21.8</c:v>
                </c:pt>
                <c:pt idx="17">
                  <c:v>-17.7</c:v>
                </c:pt>
                <c:pt idx="18">
                  <c:v>-8.9</c:v>
                </c:pt>
                <c:pt idx="19">
                  <c:v>-6.2</c:v>
                </c:pt>
                <c:pt idx="20">
                  <c:v>1.2</c:v>
                </c:pt>
                <c:pt idx="21">
                  <c:v>3.6</c:v>
                </c:pt>
                <c:pt idx="22">
                  <c:v>6.9</c:v>
                </c:pt>
                <c:pt idx="23">
                  <c:v>0.3</c:v>
                </c:pt>
                <c:pt idx="24">
                  <c:v>-0.6</c:v>
                </c:pt>
                <c:pt idx="25">
                  <c:v>-7.6</c:v>
                </c:pt>
                <c:pt idx="26">
                  <c:v>-14.3</c:v>
                </c:pt>
                <c:pt idx="27">
                  <c:v>-11.9</c:v>
                </c:pt>
                <c:pt idx="28">
                  <c:v>-7.6</c:v>
                </c:pt>
                <c:pt idx="29">
                  <c:v>-8.1</c:v>
                </c:pt>
                <c:pt idx="30">
                  <c:v>-9.4</c:v>
                </c:pt>
                <c:pt idx="31">
                  <c:v>0.7</c:v>
                </c:pt>
                <c:pt idx="32">
                  <c:v>6.1</c:v>
                </c:pt>
                <c:pt idx="33">
                  <c:v>3.9</c:v>
                </c:pt>
                <c:pt idx="34">
                  <c:v>9.6</c:v>
                </c:pt>
                <c:pt idx="35">
                  <c:v>15.3</c:v>
                </c:pt>
                <c:pt idx="36">
                  <c:v>10.8</c:v>
                </c:pt>
                <c:pt idx="37">
                  <c:v>14.6</c:v>
                </c:pt>
                <c:pt idx="38">
                  <c:v>6.7</c:v>
                </c:pt>
                <c:pt idx="39">
                  <c:v>15.4</c:v>
                </c:pt>
                <c:pt idx="40">
                  <c:v>6.4</c:v>
                </c:pt>
                <c:pt idx="41">
                  <c:v>-5.8</c:v>
                </c:pt>
              </c:numCache>
            </c:numRef>
          </c:val>
          <c:smooth val="0"/>
          <c:extLst>
            <c:ext xmlns:c16="http://schemas.microsoft.com/office/drawing/2014/chart" uri="{C3380CC4-5D6E-409C-BE32-E72D297353CC}">
              <c16:uniqueId val="{0000000B-CB01-484F-87B7-9B522F8DEAE5}"/>
            </c:ext>
          </c:extLst>
        </c:ser>
        <c:ser>
          <c:idx val="12"/>
          <c:order val="12"/>
          <c:tx>
            <c:strRef>
              <c:f>'Trh práce 1'!$AO$7</c:f>
              <c:strCache>
                <c:ptCount val="1"/>
                <c:pt idx="0">
                  <c:v>Employment expectations (trade)</c:v>
                </c:pt>
              </c:strCache>
            </c:strRef>
          </c:tx>
          <c:spPr>
            <a:ln w="15875">
              <a:solidFill>
                <a:schemeClr val="accent6">
                  <a:lumMod val="75000"/>
                </a:schemeClr>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1'!$AO$8:$AO$49</c:f>
              <c:numCache>
                <c:formatCode>General</c:formatCode>
                <c:ptCount val="42"/>
                <c:pt idx="0">
                  <c:v>4.2</c:v>
                </c:pt>
                <c:pt idx="1">
                  <c:v>4.7</c:v>
                </c:pt>
                <c:pt idx="2">
                  <c:v>7.7</c:v>
                </c:pt>
                <c:pt idx="3">
                  <c:v>12.5</c:v>
                </c:pt>
                <c:pt idx="4">
                  <c:v>11.6</c:v>
                </c:pt>
                <c:pt idx="5">
                  <c:v>7.3</c:v>
                </c:pt>
                <c:pt idx="6">
                  <c:v>0.8</c:v>
                </c:pt>
                <c:pt idx="7">
                  <c:v>12</c:v>
                </c:pt>
                <c:pt idx="8">
                  <c:v>9.8000000000000007</c:v>
                </c:pt>
                <c:pt idx="9">
                  <c:v>7</c:v>
                </c:pt>
                <c:pt idx="10">
                  <c:v>4.2</c:v>
                </c:pt>
                <c:pt idx="11">
                  <c:v>10.8</c:v>
                </c:pt>
                <c:pt idx="12">
                  <c:v>-2.8</c:v>
                </c:pt>
                <c:pt idx="13">
                  <c:v>10.5</c:v>
                </c:pt>
                <c:pt idx="14">
                  <c:v>1.1000000000000001</c:v>
                </c:pt>
                <c:pt idx="15">
                  <c:v>-3.4</c:v>
                </c:pt>
                <c:pt idx="16">
                  <c:v>7.4</c:v>
                </c:pt>
                <c:pt idx="17">
                  <c:v>-8.5</c:v>
                </c:pt>
                <c:pt idx="18">
                  <c:v>2.6</c:v>
                </c:pt>
                <c:pt idx="19">
                  <c:v>11.6</c:v>
                </c:pt>
                <c:pt idx="20">
                  <c:v>6</c:v>
                </c:pt>
                <c:pt idx="21">
                  <c:v>9.3000000000000007</c:v>
                </c:pt>
                <c:pt idx="22">
                  <c:v>7.9</c:v>
                </c:pt>
                <c:pt idx="23">
                  <c:v>10.199999999999999</c:v>
                </c:pt>
                <c:pt idx="24">
                  <c:v>16.5</c:v>
                </c:pt>
                <c:pt idx="25">
                  <c:v>21.3</c:v>
                </c:pt>
                <c:pt idx="26">
                  <c:v>21.6</c:v>
                </c:pt>
                <c:pt idx="27">
                  <c:v>15.3</c:v>
                </c:pt>
                <c:pt idx="28">
                  <c:v>14</c:v>
                </c:pt>
                <c:pt idx="29">
                  <c:v>17</c:v>
                </c:pt>
                <c:pt idx="30">
                  <c:v>18</c:v>
                </c:pt>
                <c:pt idx="31">
                  <c:v>11.6</c:v>
                </c:pt>
                <c:pt idx="32">
                  <c:v>29.9</c:v>
                </c:pt>
                <c:pt idx="33">
                  <c:v>29.3</c:v>
                </c:pt>
                <c:pt idx="34">
                  <c:v>18.3</c:v>
                </c:pt>
                <c:pt idx="35">
                  <c:v>18.100000000000001</c:v>
                </c:pt>
                <c:pt idx="36">
                  <c:v>16.600000000000001</c:v>
                </c:pt>
                <c:pt idx="37">
                  <c:v>14.9</c:v>
                </c:pt>
                <c:pt idx="38">
                  <c:v>17.100000000000001</c:v>
                </c:pt>
                <c:pt idx="39">
                  <c:v>15.1</c:v>
                </c:pt>
                <c:pt idx="40">
                  <c:v>9.6999999999999993</c:v>
                </c:pt>
                <c:pt idx="41">
                  <c:v>-0.8</c:v>
                </c:pt>
              </c:numCache>
            </c:numRef>
          </c:val>
          <c:smooth val="0"/>
          <c:extLst>
            <c:ext xmlns:c16="http://schemas.microsoft.com/office/drawing/2014/chart" uri="{C3380CC4-5D6E-409C-BE32-E72D297353CC}">
              <c16:uniqueId val="{0000000C-CB01-484F-87B7-9B522F8DEAE5}"/>
            </c:ext>
          </c:extLst>
        </c:ser>
        <c:ser>
          <c:idx val="13"/>
          <c:order val="13"/>
          <c:tx>
            <c:strRef>
              <c:f>'Trh práce 1'!$AP$7</c:f>
              <c:strCache>
                <c:ptCount val="1"/>
                <c:pt idx="0">
                  <c:v>Employment expectations (selected services)</c:v>
                </c:pt>
              </c:strCache>
            </c:strRef>
          </c:tx>
          <c:spPr>
            <a:ln w="15875">
              <a:solidFill>
                <a:srgbClr val="C00000"/>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1'!$AP$8:$AP$49</c:f>
              <c:numCache>
                <c:formatCode>General</c:formatCode>
                <c:ptCount val="42"/>
                <c:pt idx="0">
                  <c:v>-8.6999999999999993</c:v>
                </c:pt>
                <c:pt idx="1">
                  <c:v>-3.9</c:v>
                </c:pt>
                <c:pt idx="2">
                  <c:v>-3.5</c:v>
                </c:pt>
                <c:pt idx="3">
                  <c:v>-9.9</c:v>
                </c:pt>
                <c:pt idx="4">
                  <c:v>-25</c:v>
                </c:pt>
                <c:pt idx="5">
                  <c:v>-9.9</c:v>
                </c:pt>
                <c:pt idx="6">
                  <c:v>-7.8</c:v>
                </c:pt>
                <c:pt idx="7">
                  <c:v>-0.4</c:v>
                </c:pt>
                <c:pt idx="8">
                  <c:v>-3.6</c:v>
                </c:pt>
                <c:pt idx="9">
                  <c:v>-11.9</c:v>
                </c:pt>
                <c:pt idx="10">
                  <c:v>-13.6</c:v>
                </c:pt>
                <c:pt idx="11">
                  <c:v>-8.4</c:v>
                </c:pt>
                <c:pt idx="12">
                  <c:v>-12.7</c:v>
                </c:pt>
                <c:pt idx="13">
                  <c:v>-33.5</c:v>
                </c:pt>
                <c:pt idx="14">
                  <c:v>-22.9</c:v>
                </c:pt>
                <c:pt idx="15">
                  <c:v>-15.8</c:v>
                </c:pt>
                <c:pt idx="16">
                  <c:v>-11.2</c:v>
                </c:pt>
                <c:pt idx="17">
                  <c:v>-10.4</c:v>
                </c:pt>
                <c:pt idx="18">
                  <c:v>-11.6</c:v>
                </c:pt>
                <c:pt idx="19">
                  <c:v>-10.9</c:v>
                </c:pt>
                <c:pt idx="20">
                  <c:v>-14.5</c:v>
                </c:pt>
                <c:pt idx="21">
                  <c:v>-11.6</c:v>
                </c:pt>
                <c:pt idx="22">
                  <c:v>3.4</c:v>
                </c:pt>
                <c:pt idx="23">
                  <c:v>-0.6</c:v>
                </c:pt>
                <c:pt idx="24">
                  <c:v>6.1</c:v>
                </c:pt>
                <c:pt idx="25">
                  <c:v>20</c:v>
                </c:pt>
                <c:pt idx="26">
                  <c:v>-1</c:v>
                </c:pt>
                <c:pt idx="27">
                  <c:v>12.3</c:v>
                </c:pt>
                <c:pt idx="28">
                  <c:v>13.4</c:v>
                </c:pt>
                <c:pt idx="29">
                  <c:v>8.6999999999999993</c:v>
                </c:pt>
                <c:pt idx="30">
                  <c:v>16.399999999999999</c:v>
                </c:pt>
                <c:pt idx="31">
                  <c:v>6.3</c:v>
                </c:pt>
                <c:pt idx="32">
                  <c:v>9.1</c:v>
                </c:pt>
                <c:pt idx="33">
                  <c:v>9.6</c:v>
                </c:pt>
                <c:pt idx="34">
                  <c:v>2.5</c:v>
                </c:pt>
                <c:pt idx="35">
                  <c:v>-11.2</c:v>
                </c:pt>
                <c:pt idx="36">
                  <c:v>-13.2</c:v>
                </c:pt>
                <c:pt idx="37">
                  <c:v>-1.8</c:v>
                </c:pt>
                <c:pt idx="38">
                  <c:v>-2.6</c:v>
                </c:pt>
                <c:pt idx="39">
                  <c:v>-12</c:v>
                </c:pt>
                <c:pt idx="40">
                  <c:v>-20.9</c:v>
                </c:pt>
                <c:pt idx="41">
                  <c:v>-34.9</c:v>
                </c:pt>
              </c:numCache>
            </c:numRef>
          </c:val>
          <c:smooth val="0"/>
          <c:extLst>
            <c:ext xmlns:c16="http://schemas.microsoft.com/office/drawing/2014/chart" uri="{C3380CC4-5D6E-409C-BE32-E72D297353CC}">
              <c16:uniqueId val="{0000000D-CB01-484F-87B7-9B522F8DEAE5}"/>
            </c:ext>
          </c:extLst>
        </c:ser>
        <c:dLbls>
          <c:showLegendKey val="0"/>
          <c:showVal val="0"/>
          <c:showCatName val="0"/>
          <c:showSerName val="0"/>
          <c:showPercent val="0"/>
          <c:showBubbleSize val="0"/>
        </c:dLbls>
        <c:marker val="1"/>
        <c:smooth val="0"/>
        <c:axId val="332941824"/>
        <c:axId val="332936832"/>
      </c:lineChart>
      <c:catAx>
        <c:axId val="101898496"/>
        <c:scaling>
          <c:orientation val="minMax"/>
        </c:scaling>
        <c:delete val="0"/>
        <c:axPos val="b"/>
        <c:numFmt formatCode="General" sourceLinked="1"/>
        <c:majorTickMark val="out"/>
        <c:minorTickMark val="none"/>
        <c:tickLblPos val="low"/>
        <c:spPr>
          <a:ln>
            <a:solidFill>
              <a:schemeClr val="tx1"/>
            </a:solidFill>
          </a:ln>
        </c:spPr>
        <c:crossAx val="101781504"/>
        <c:crosses val="autoZero"/>
        <c:auto val="1"/>
        <c:lblAlgn val="ctr"/>
        <c:lblOffset val="10"/>
        <c:noMultiLvlLbl val="0"/>
      </c:catAx>
      <c:valAx>
        <c:axId val="101781504"/>
        <c:scaling>
          <c:orientation val="minMax"/>
          <c:max val="2"/>
          <c:min val="-5"/>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Contribution to the employment change, number of econ. inactive</a:t>
                </a:r>
                <a:endParaRPr lang="cs-CZ" sz="700">
                  <a:effectLst/>
                </a:endParaRPr>
              </a:p>
            </c:rich>
          </c:tx>
          <c:layout>
            <c:manualLayout>
              <c:xMode val="edge"/>
              <c:yMode val="edge"/>
              <c:x val="0"/>
              <c:y val="1.3859527635509062E-2"/>
            </c:manualLayout>
          </c:layout>
          <c:overlay val="0"/>
        </c:title>
        <c:numFmt formatCode="0.0" sourceLinked="0"/>
        <c:majorTickMark val="out"/>
        <c:minorTickMark val="none"/>
        <c:tickLblPos val="nextTo"/>
        <c:spPr>
          <a:ln>
            <a:solidFill>
              <a:schemeClr val="tx1"/>
            </a:solidFill>
          </a:ln>
        </c:spPr>
        <c:crossAx val="101898496"/>
        <c:crosses val="autoZero"/>
        <c:crossBetween val="between"/>
        <c:majorUnit val="0.5"/>
      </c:valAx>
      <c:valAx>
        <c:axId val="332936832"/>
        <c:scaling>
          <c:orientation val="minMax"/>
          <c:max val="100"/>
          <c:min val="-4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Expectations of the employment</a:t>
                </a:r>
                <a:endParaRPr lang="cs-CZ" sz="700">
                  <a:effectLst/>
                </a:endParaRPr>
              </a:p>
            </c:rich>
          </c:tx>
          <c:layout>
            <c:manualLayout>
              <c:xMode val="edge"/>
              <c:yMode val="edge"/>
              <c:x val="0.97040343782834393"/>
              <c:y val="0.19420735772001382"/>
            </c:manualLayout>
          </c:layout>
          <c:overlay val="0"/>
        </c:title>
        <c:numFmt formatCode="#,##0" sourceLinked="0"/>
        <c:majorTickMark val="out"/>
        <c:minorTickMark val="none"/>
        <c:tickLblPos val="nextTo"/>
        <c:crossAx val="332941824"/>
        <c:crosses val="max"/>
        <c:crossBetween val="between"/>
        <c:majorUnit val="10"/>
      </c:valAx>
      <c:catAx>
        <c:axId val="332941824"/>
        <c:scaling>
          <c:orientation val="minMax"/>
        </c:scaling>
        <c:delete val="1"/>
        <c:axPos val="b"/>
        <c:numFmt formatCode="General" sourceLinked="1"/>
        <c:majorTickMark val="out"/>
        <c:minorTickMark val="none"/>
        <c:tickLblPos val="nextTo"/>
        <c:crossAx val="332936832"/>
        <c:crosses val="autoZero"/>
        <c:auto val="1"/>
        <c:lblAlgn val="ctr"/>
        <c:lblOffset val="100"/>
        <c:noMultiLvlLbl val="0"/>
      </c:catAx>
      <c:spPr>
        <a:ln>
          <a:solidFill>
            <a:schemeClr val="tx1"/>
          </a:solidFill>
        </a:ln>
      </c:spPr>
    </c:plotArea>
    <c:legend>
      <c:legendPos val="b"/>
      <c:layout>
        <c:manualLayout>
          <c:xMode val="edge"/>
          <c:yMode val="edge"/>
          <c:x val="4.692510837063792E-3"/>
          <c:y val="0.7737351285059999"/>
          <c:w val="0.98684114511605581"/>
          <c:h val="0.21194618315349945"/>
        </c:manualLayout>
      </c:layout>
      <c:overlay val="0"/>
      <c:spPr>
        <a:ln w="6350">
          <a:solidFill>
            <a:schemeClr val="tx1"/>
          </a:solidFill>
        </a:ln>
      </c:spPr>
      <c:txPr>
        <a:bodyPr/>
        <a:lstStyle/>
        <a:p>
          <a:pPr>
            <a:defRPr sz="750"/>
          </a:pPr>
          <a:endParaRPr lang="cs-CZ"/>
        </a:p>
      </c:tx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2697263565753378E-2"/>
          <c:y val="1.643251153889452E-2"/>
          <c:w val="0.85454194986526066"/>
          <c:h val="0.71056751873612889"/>
        </c:manualLayout>
      </c:layout>
      <c:barChart>
        <c:barDir val="col"/>
        <c:grouping val="clustered"/>
        <c:varyColors val="0"/>
        <c:ser>
          <c:idx val="0"/>
          <c:order val="0"/>
          <c:tx>
            <c:strRef>
              <c:f>'Trh práce-2b'!$A$31</c:f>
              <c:strCache>
                <c:ptCount val="1"/>
                <c:pt idx="0">
                  <c:v>Male unemployment rate (left axis)</c:v>
                </c:pt>
              </c:strCache>
            </c:strRef>
          </c:tx>
          <c:spPr>
            <a:solidFill>
              <a:srgbClr val="BCBCBC"/>
            </a:solidFill>
          </c:spPr>
          <c:invertIfNegative val="0"/>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práce-2b'!$B$31:$AQ$31</c:f>
              <c:numCache>
                <c:formatCode>0.0</c:formatCode>
                <c:ptCount val="42"/>
                <c:pt idx="0">
                  <c:v>7.1604523424740121</c:v>
                </c:pt>
                <c:pt idx="1">
                  <c:v>6.4121281921519087</c:v>
                </c:pt>
                <c:pt idx="2">
                  <c:v>6.1709609297865953</c:v>
                </c:pt>
                <c:pt idx="3">
                  <c:v>6.1131978148148862</c:v>
                </c:pt>
                <c:pt idx="4">
                  <c:v>6.1002560146375542</c:v>
                </c:pt>
                <c:pt idx="5">
                  <c:v>5.9756597559482572</c:v>
                </c:pt>
                <c:pt idx="6">
                  <c:v>5.7159156023412754</c:v>
                </c:pt>
                <c:pt idx="7">
                  <c:v>5.7087133678667357</c:v>
                </c:pt>
                <c:pt idx="8">
                  <c:v>6.0583134966740291</c:v>
                </c:pt>
                <c:pt idx="9">
                  <c:v>5.9076668314324969</c:v>
                </c:pt>
                <c:pt idx="10">
                  <c:v>6.0369877832219485</c:v>
                </c:pt>
                <c:pt idx="11">
                  <c:v>6.2934312325361077</c:v>
                </c:pt>
                <c:pt idx="12">
                  <c:v>6.339947701148259</c:v>
                </c:pt>
                <c:pt idx="13">
                  <c:v>5.8433685002783831</c:v>
                </c:pt>
                <c:pt idx="14">
                  <c:v>5.950995992187015</c:v>
                </c:pt>
                <c:pt idx="15">
                  <c:v>5.8003662111322711</c:v>
                </c:pt>
                <c:pt idx="16">
                  <c:v>5.5825662119501507</c:v>
                </c:pt>
                <c:pt idx="17">
                  <c:v>5.1855428921860183</c:v>
                </c:pt>
                <c:pt idx="18">
                  <c:v>4.9090276875315224</c:v>
                </c:pt>
                <c:pt idx="19">
                  <c:v>5.01427710395091</c:v>
                </c:pt>
                <c:pt idx="20">
                  <c:v>5.0330762578903592</c:v>
                </c:pt>
                <c:pt idx="21">
                  <c:v>4.3060346271489651</c:v>
                </c:pt>
                <c:pt idx="22">
                  <c:v>4.0523390052961128</c:v>
                </c:pt>
                <c:pt idx="23">
                  <c:v>3.7950726270580621</c:v>
                </c:pt>
                <c:pt idx="24">
                  <c:v>3.6601535610942104</c:v>
                </c:pt>
                <c:pt idx="25">
                  <c:v>3.5567858585943148</c:v>
                </c:pt>
                <c:pt idx="26">
                  <c:v>3.3839743172069432</c:v>
                </c:pt>
                <c:pt idx="27">
                  <c:v>3.1605576804507014</c:v>
                </c:pt>
                <c:pt idx="28">
                  <c:v>2.701002398194706</c:v>
                </c:pt>
                <c:pt idx="29">
                  <c:v>2.4790867169033795</c:v>
                </c:pt>
                <c:pt idx="30">
                  <c:v>2.2470636598397857</c:v>
                </c:pt>
                <c:pt idx="31">
                  <c:v>2.0873237649062149</c:v>
                </c:pt>
                <c:pt idx="32">
                  <c:v>1.8992751907258054</c:v>
                </c:pt>
                <c:pt idx="33">
                  <c:v>1.819406765814735</c:v>
                </c:pt>
                <c:pt idx="34">
                  <c:v>1.8867419084423347</c:v>
                </c:pt>
                <c:pt idx="35">
                  <c:v>1.6871547982289037</c:v>
                </c:pt>
                <c:pt idx="36">
                  <c:v>1.8069218975596295</c:v>
                </c:pt>
                <c:pt idx="37">
                  <c:v>1.6642655006825746</c:v>
                </c:pt>
                <c:pt idx="38">
                  <c:v>1.7647900079859269</c:v>
                </c:pt>
                <c:pt idx="39">
                  <c:v>1.8646873027168176</c:v>
                </c:pt>
                <c:pt idx="40">
                  <c:v>1.847584661918835</c:v>
                </c:pt>
                <c:pt idx="41">
                  <c:v>2.2641497037862206</c:v>
                </c:pt>
              </c:numCache>
            </c:numRef>
          </c:val>
          <c:extLst>
            <c:ext xmlns:c16="http://schemas.microsoft.com/office/drawing/2014/chart" uri="{C3380CC4-5D6E-409C-BE32-E72D297353CC}">
              <c16:uniqueId val="{00000000-F8DF-437E-9347-E9819B5B9105}"/>
            </c:ext>
          </c:extLst>
        </c:ser>
        <c:ser>
          <c:idx val="1"/>
          <c:order val="1"/>
          <c:tx>
            <c:strRef>
              <c:f>'Trh práce-2b'!$A$32</c:f>
              <c:strCache>
                <c:ptCount val="1"/>
                <c:pt idx="0">
                  <c:v>Female unemployment rate (left axis)</c:v>
                </c:pt>
              </c:strCache>
            </c:strRef>
          </c:tx>
          <c:spPr>
            <a:solidFill>
              <a:srgbClr val="DBDBDB"/>
            </a:solidFill>
          </c:spPr>
          <c:invertIfNegative val="0"/>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práce-2b'!$B$32:$AQ$32</c:f>
              <c:numCache>
                <c:formatCode>0.0</c:formatCode>
                <c:ptCount val="42"/>
                <c:pt idx="0">
                  <c:v>8.787375444491941</c:v>
                </c:pt>
                <c:pt idx="1">
                  <c:v>8.5493867745332306</c:v>
                </c:pt>
                <c:pt idx="2">
                  <c:v>8.4851706560801059</c:v>
                </c:pt>
                <c:pt idx="3">
                  <c:v>8.3316826167265656</c:v>
                </c:pt>
                <c:pt idx="4">
                  <c:v>8.1886034834779746</c:v>
                </c:pt>
                <c:pt idx="5">
                  <c:v>8.0979101002516849</c:v>
                </c:pt>
                <c:pt idx="6">
                  <c:v>7.8320022168199896</c:v>
                </c:pt>
                <c:pt idx="7">
                  <c:v>7.7524354005664939</c:v>
                </c:pt>
                <c:pt idx="8">
                  <c:v>8.0738066673159938</c:v>
                </c:pt>
                <c:pt idx="9">
                  <c:v>8.1711410197693812</c:v>
                </c:pt>
                <c:pt idx="10">
                  <c:v>8.2963303124937013</c:v>
                </c:pt>
                <c:pt idx="11">
                  <c:v>8.5183736871594675</c:v>
                </c:pt>
                <c:pt idx="12">
                  <c:v>8.5065056824537137</c:v>
                </c:pt>
                <c:pt idx="13">
                  <c:v>8.4153419080279672</c:v>
                </c:pt>
                <c:pt idx="14">
                  <c:v>8.3799582003740412</c:v>
                </c:pt>
                <c:pt idx="15">
                  <c:v>8.2020121513754454</c:v>
                </c:pt>
                <c:pt idx="16">
                  <c:v>7.992304444813314</c:v>
                </c:pt>
                <c:pt idx="17">
                  <c:v>7.7067021117074717</c:v>
                </c:pt>
                <c:pt idx="18">
                  <c:v>7.3530522730084833</c:v>
                </c:pt>
                <c:pt idx="19">
                  <c:v>6.9713852345370251</c:v>
                </c:pt>
                <c:pt idx="20">
                  <c:v>6.806233418877973</c:v>
                </c:pt>
                <c:pt idx="21">
                  <c:v>6.2592777875158978</c:v>
                </c:pt>
                <c:pt idx="22">
                  <c:v>5.9742610021571307</c:v>
                </c:pt>
                <c:pt idx="23">
                  <c:v>5.6260945601636445</c:v>
                </c:pt>
                <c:pt idx="24">
                  <c:v>5.1207660814356979</c:v>
                </c:pt>
                <c:pt idx="25">
                  <c:v>4.8399895375634827</c:v>
                </c:pt>
                <c:pt idx="26">
                  <c:v>4.769536500403329</c:v>
                </c:pt>
                <c:pt idx="27">
                  <c:v>4.3664894782953736</c:v>
                </c:pt>
                <c:pt idx="28">
                  <c:v>4.2621638864718649</c:v>
                </c:pt>
                <c:pt idx="29">
                  <c:v>3.8834986595447045</c:v>
                </c:pt>
                <c:pt idx="30">
                  <c:v>3.3826881858082167</c:v>
                </c:pt>
                <c:pt idx="31">
                  <c:v>3.0327195730384719</c:v>
                </c:pt>
                <c:pt idx="32">
                  <c:v>3.0339448138877629</c:v>
                </c:pt>
                <c:pt idx="33">
                  <c:v>2.9074650812819249</c:v>
                </c:pt>
                <c:pt idx="34">
                  <c:v>2.6981069151197463</c:v>
                </c:pt>
                <c:pt idx="35">
                  <c:v>2.5781736488946954</c:v>
                </c:pt>
                <c:pt idx="36">
                  <c:v>2.4970362507687027</c:v>
                </c:pt>
                <c:pt idx="37">
                  <c:v>2.4564558844213482</c:v>
                </c:pt>
                <c:pt idx="38">
                  <c:v>2.4108125319601847</c:v>
                </c:pt>
                <c:pt idx="39">
                  <c:v>2.3486141561978333</c:v>
                </c:pt>
                <c:pt idx="40">
                  <c:v>2.3454577464264221</c:v>
                </c:pt>
                <c:pt idx="41">
                  <c:v>2.6669240565652168</c:v>
                </c:pt>
              </c:numCache>
            </c:numRef>
          </c:val>
          <c:extLst>
            <c:ext xmlns:c16="http://schemas.microsoft.com/office/drawing/2014/chart" uri="{C3380CC4-5D6E-409C-BE32-E72D297353CC}">
              <c16:uniqueId val="{00000001-F8DF-437E-9347-E9819B5B9105}"/>
            </c:ext>
          </c:extLst>
        </c:ser>
        <c:dLbls>
          <c:showLegendKey val="0"/>
          <c:showVal val="0"/>
          <c:showCatName val="0"/>
          <c:showSerName val="0"/>
          <c:showPercent val="0"/>
          <c:showBubbleSize val="0"/>
        </c:dLbls>
        <c:gapWidth val="68"/>
        <c:axId val="100654464"/>
        <c:axId val="101647488"/>
      </c:barChart>
      <c:lineChart>
        <c:grouping val="standard"/>
        <c:varyColors val="0"/>
        <c:ser>
          <c:idx val="2"/>
          <c:order val="2"/>
          <c:tx>
            <c:strRef>
              <c:f>'Trh práce-2b'!$A$33</c:f>
              <c:strCache>
                <c:ptCount val="1"/>
                <c:pt idx="0">
                  <c:v>Ratio of unemployed more than 1 year (in %, right axis)</c:v>
                </c:pt>
              </c:strCache>
            </c:strRef>
          </c:tx>
          <c:spPr>
            <a:ln w="19050">
              <a:solidFill>
                <a:srgbClr val="00B050"/>
              </a:solidFill>
              <a:prstDash val="sysDash"/>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práce-2b'!$B$33:$AQ$33</c:f>
              <c:numCache>
                <c:formatCode>0.0</c:formatCode>
                <c:ptCount val="42"/>
                <c:pt idx="0">
                  <c:v>35.786982248520715</c:v>
                </c:pt>
                <c:pt idx="1">
                  <c:v>41.548731642189587</c:v>
                </c:pt>
                <c:pt idx="2">
                  <c:v>43.063352044907781</c:v>
                </c:pt>
                <c:pt idx="3">
                  <c:v>44.061724993111056</c:v>
                </c:pt>
                <c:pt idx="4">
                  <c:v>40.032197477864237</c:v>
                </c:pt>
                <c:pt idx="5">
                  <c:v>39.10073989755265</c:v>
                </c:pt>
                <c:pt idx="6">
                  <c:v>40.443536620951271</c:v>
                </c:pt>
                <c:pt idx="7">
                  <c:v>42.797494780793315</c:v>
                </c:pt>
                <c:pt idx="8">
                  <c:v>43.093174431202605</c:v>
                </c:pt>
                <c:pt idx="9">
                  <c:v>44.343117697349683</c:v>
                </c:pt>
                <c:pt idx="10">
                  <c:v>43.272628431639035</c:v>
                </c:pt>
                <c:pt idx="11">
                  <c:v>42.710255734247298</c:v>
                </c:pt>
                <c:pt idx="12">
                  <c:v>43.264578558696208</c:v>
                </c:pt>
                <c:pt idx="13">
                  <c:v>44.41340782122905</c:v>
                </c:pt>
                <c:pt idx="14">
                  <c:v>43.695887445887443</c:v>
                </c:pt>
                <c:pt idx="15">
                  <c:v>42.290377039954983</c:v>
                </c:pt>
                <c:pt idx="16">
                  <c:v>41.140301844605929</c:v>
                </c:pt>
                <c:pt idx="17">
                  <c:v>43.188951663527931</c:v>
                </c:pt>
                <c:pt idx="18">
                  <c:v>43.811960345378957</c:v>
                </c:pt>
                <c:pt idx="19">
                  <c:v>46.249590566655755</c:v>
                </c:pt>
                <c:pt idx="20">
                  <c:v>45.762175838077162</c:v>
                </c:pt>
                <c:pt idx="21">
                  <c:v>46.715049656226128</c:v>
                </c:pt>
                <c:pt idx="22">
                  <c:v>48.521400778210108</c:v>
                </c:pt>
                <c:pt idx="23">
                  <c:v>48.542458808618512</c:v>
                </c:pt>
                <c:pt idx="24">
                  <c:v>45.847750865051907</c:v>
                </c:pt>
                <c:pt idx="25">
                  <c:v>43.490701001430608</c:v>
                </c:pt>
                <c:pt idx="26">
                  <c:v>39.295774647887328</c:v>
                </c:pt>
                <c:pt idx="27">
                  <c:v>39.196242171189979</c:v>
                </c:pt>
                <c:pt idx="28">
                  <c:v>37.093275488069416</c:v>
                </c:pt>
                <c:pt idx="29">
                  <c:v>37.366099558916197</c:v>
                </c:pt>
                <c:pt idx="30">
                  <c:v>32.798931195724784</c:v>
                </c:pt>
                <c:pt idx="31">
                  <c:v>31.546231546231553</c:v>
                </c:pt>
                <c:pt idx="32">
                  <c:v>31.741140215716484</c:v>
                </c:pt>
                <c:pt idx="33">
                  <c:v>30.28764805414551</c:v>
                </c:pt>
                <c:pt idx="34">
                  <c:v>28.796223446105422</c:v>
                </c:pt>
                <c:pt idx="35">
                  <c:v>31.317689530685922</c:v>
                </c:pt>
                <c:pt idx="36">
                  <c:v>32.360984503190522</c:v>
                </c:pt>
                <c:pt idx="37">
                  <c:v>32.2265625</c:v>
                </c:pt>
                <c:pt idx="38">
                  <c:v>26.979982593559615</c:v>
                </c:pt>
                <c:pt idx="39">
                  <c:v>28.623853211009177</c:v>
                </c:pt>
                <c:pt idx="40">
                  <c:v>27.049952874646561</c:v>
                </c:pt>
                <c:pt idx="41">
                  <c:v>20.823436262866192</c:v>
                </c:pt>
              </c:numCache>
            </c:numRef>
          </c:val>
          <c:smooth val="0"/>
          <c:extLst>
            <c:ext xmlns:c16="http://schemas.microsoft.com/office/drawing/2014/chart" uri="{C3380CC4-5D6E-409C-BE32-E72D297353CC}">
              <c16:uniqueId val="{00000002-F8DF-437E-9347-E9819B5B9105}"/>
            </c:ext>
          </c:extLst>
        </c:ser>
        <c:ser>
          <c:idx val="3"/>
          <c:order val="3"/>
          <c:tx>
            <c:strRef>
              <c:f>'Trh práce-2b'!$A$34</c:f>
              <c:strCache>
                <c:ptCount val="1"/>
                <c:pt idx="0">
                  <c:v>Ratio of unemployed aged 50+ (right axis)</c:v>
                </c:pt>
              </c:strCache>
            </c:strRef>
          </c:tx>
          <c:spPr>
            <a:ln w="19050">
              <a:prstDash val="sysDash"/>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práce-2b'!$B$34:$AQ$34</c:f>
              <c:numCache>
                <c:formatCode>0.0</c:formatCode>
                <c:ptCount val="42"/>
                <c:pt idx="0">
                  <c:v>22.485207100591715</c:v>
                </c:pt>
                <c:pt idx="1">
                  <c:v>23.791722296395193</c:v>
                </c:pt>
                <c:pt idx="2">
                  <c:v>23.656776263031272</c:v>
                </c:pt>
                <c:pt idx="3">
                  <c:v>24.221548635987876</c:v>
                </c:pt>
                <c:pt idx="4">
                  <c:v>24.577408103031928</c:v>
                </c:pt>
                <c:pt idx="5">
                  <c:v>23.107569721115539</c:v>
                </c:pt>
                <c:pt idx="6">
                  <c:v>22.935512109716953</c:v>
                </c:pt>
                <c:pt idx="7">
                  <c:v>22.875037280047721</c:v>
                </c:pt>
                <c:pt idx="8">
                  <c:v>22.914409534127845</c:v>
                </c:pt>
                <c:pt idx="9">
                  <c:v>22.969506982046166</c:v>
                </c:pt>
                <c:pt idx="10">
                  <c:v>20.76651263930416</c:v>
                </c:pt>
                <c:pt idx="11">
                  <c:v>23.912470340100185</c:v>
                </c:pt>
                <c:pt idx="12">
                  <c:v>22.969187675070028</c:v>
                </c:pt>
                <c:pt idx="13">
                  <c:v>22.793296089385471</c:v>
                </c:pt>
                <c:pt idx="14">
                  <c:v>21.13095238095238</c:v>
                </c:pt>
                <c:pt idx="15">
                  <c:v>22.059651097355097</c:v>
                </c:pt>
                <c:pt idx="16">
                  <c:v>23.141419787590831</c:v>
                </c:pt>
                <c:pt idx="17">
                  <c:v>21.720025109855616</c:v>
                </c:pt>
                <c:pt idx="18">
                  <c:v>22.161816437480013</c:v>
                </c:pt>
                <c:pt idx="19">
                  <c:v>20.962987225679658</c:v>
                </c:pt>
                <c:pt idx="20">
                  <c:v>23.213156230234031</c:v>
                </c:pt>
                <c:pt idx="21">
                  <c:v>24.140565317035907</c:v>
                </c:pt>
                <c:pt idx="22">
                  <c:v>22.451361867704282</c:v>
                </c:pt>
                <c:pt idx="23">
                  <c:v>23.954372623574148</c:v>
                </c:pt>
                <c:pt idx="24">
                  <c:v>28.157439446366784</c:v>
                </c:pt>
                <c:pt idx="25">
                  <c:v>26.180257510729614</c:v>
                </c:pt>
                <c:pt idx="26">
                  <c:v>22.86384976525822</c:v>
                </c:pt>
                <c:pt idx="27">
                  <c:v>24.947807933194156</c:v>
                </c:pt>
                <c:pt idx="28">
                  <c:v>26.138828633405641</c:v>
                </c:pt>
                <c:pt idx="29">
                  <c:v>24.763705103969755</c:v>
                </c:pt>
                <c:pt idx="30">
                  <c:v>23.380093520374086</c:v>
                </c:pt>
                <c:pt idx="31">
                  <c:v>23.931623931623935</c:v>
                </c:pt>
                <c:pt idx="32">
                  <c:v>25.808936825885976</c:v>
                </c:pt>
                <c:pt idx="33">
                  <c:v>24.957698815566832</c:v>
                </c:pt>
                <c:pt idx="34">
                  <c:v>24.311565696302122</c:v>
                </c:pt>
                <c:pt idx="35">
                  <c:v>23.285198555956679</c:v>
                </c:pt>
                <c:pt idx="36">
                  <c:v>26.253418413855972</c:v>
                </c:pt>
                <c:pt idx="37">
                  <c:v>24.609374999999996</c:v>
                </c:pt>
                <c:pt idx="38">
                  <c:v>26.02262837249782</c:v>
                </c:pt>
                <c:pt idx="39">
                  <c:v>25.596330275229356</c:v>
                </c:pt>
                <c:pt idx="40">
                  <c:v>24.976437323279928</c:v>
                </c:pt>
              </c:numCache>
            </c:numRef>
          </c:val>
          <c:smooth val="0"/>
          <c:extLst>
            <c:ext xmlns:c16="http://schemas.microsoft.com/office/drawing/2014/chart" uri="{C3380CC4-5D6E-409C-BE32-E72D297353CC}">
              <c16:uniqueId val="{00000003-F8DF-437E-9347-E9819B5B9105}"/>
            </c:ext>
          </c:extLst>
        </c:ser>
        <c:ser>
          <c:idx val="6"/>
          <c:order val="4"/>
          <c:tx>
            <c:strRef>
              <c:f>'Trh práce-2b'!$A$35</c:f>
              <c:strCache>
                <c:ptCount val="1"/>
                <c:pt idx="0">
                  <c:v>Economically inactive seeking empl. (right axis)</c:v>
                </c:pt>
              </c:strCache>
            </c:strRef>
          </c:tx>
          <c:spPr>
            <a:ln w="19050">
              <a:solidFill>
                <a:srgbClr val="00B0F0"/>
              </a:solidFill>
              <a:prstDash val="solid"/>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práce-2b'!$B$35:$AQ$35</c:f>
              <c:numCache>
                <c:formatCode>0.0</c:formatCode>
                <c:ptCount val="42"/>
                <c:pt idx="0">
                  <c:v>183.00000000000003</c:v>
                </c:pt>
                <c:pt idx="1">
                  <c:v>183.20000000000002</c:v>
                </c:pt>
                <c:pt idx="2">
                  <c:v>172.5</c:v>
                </c:pt>
                <c:pt idx="3">
                  <c:v>172.00000000000003</c:v>
                </c:pt>
                <c:pt idx="4">
                  <c:v>193.70000000000002</c:v>
                </c:pt>
                <c:pt idx="5">
                  <c:v>184.4</c:v>
                </c:pt>
                <c:pt idx="6">
                  <c:v>188.9</c:v>
                </c:pt>
                <c:pt idx="7">
                  <c:v>183.20000000000002</c:v>
                </c:pt>
                <c:pt idx="8">
                  <c:v>196.60000000000002</c:v>
                </c:pt>
                <c:pt idx="9">
                  <c:v>176.5</c:v>
                </c:pt>
                <c:pt idx="10">
                  <c:v>166.9</c:v>
                </c:pt>
                <c:pt idx="11">
                  <c:v>154.60000000000002</c:v>
                </c:pt>
                <c:pt idx="12">
                  <c:v>167.8</c:v>
                </c:pt>
                <c:pt idx="13">
                  <c:v>147.19999999999999</c:v>
                </c:pt>
                <c:pt idx="14">
                  <c:v>138.80000000000001</c:v>
                </c:pt>
                <c:pt idx="15">
                  <c:v>139.30000000000001</c:v>
                </c:pt>
                <c:pt idx="16">
                  <c:v>145.4</c:v>
                </c:pt>
                <c:pt idx="17">
                  <c:v>137.1</c:v>
                </c:pt>
                <c:pt idx="18">
                  <c:v>129</c:v>
                </c:pt>
                <c:pt idx="19">
                  <c:v>127.10000000000001</c:v>
                </c:pt>
                <c:pt idx="20" formatCode="General">
                  <c:v>138.5</c:v>
                </c:pt>
                <c:pt idx="21" formatCode="General">
                  <c:v>141.4</c:v>
                </c:pt>
                <c:pt idx="22" formatCode="General">
                  <c:v>137.1</c:v>
                </c:pt>
                <c:pt idx="23" formatCode="General">
                  <c:v>130.4</c:v>
                </c:pt>
                <c:pt idx="24" formatCode="General">
                  <c:v>141</c:v>
                </c:pt>
                <c:pt idx="25" formatCode="General">
                  <c:v>126.4</c:v>
                </c:pt>
                <c:pt idx="26" formatCode="General">
                  <c:v>129.69999999999999</c:v>
                </c:pt>
                <c:pt idx="27" formatCode="General">
                  <c:v>127.1</c:v>
                </c:pt>
                <c:pt idx="28">
                  <c:v>133.1</c:v>
                </c:pt>
                <c:pt idx="29">
                  <c:v>120.1</c:v>
                </c:pt>
                <c:pt idx="30">
                  <c:v>121.3</c:v>
                </c:pt>
                <c:pt idx="31">
                  <c:v>119.1</c:v>
                </c:pt>
                <c:pt idx="32">
                  <c:v>113.5</c:v>
                </c:pt>
                <c:pt idx="33">
                  <c:v>108.4</c:v>
                </c:pt>
                <c:pt idx="34">
                  <c:v>110.3</c:v>
                </c:pt>
                <c:pt idx="35">
                  <c:v>101.7</c:v>
                </c:pt>
                <c:pt idx="36">
                  <c:v>104.6</c:v>
                </c:pt>
                <c:pt idx="37">
                  <c:v>104.6</c:v>
                </c:pt>
                <c:pt idx="38">
                  <c:v>98</c:v>
                </c:pt>
                <c:pt idx="39">
                  <c:v>99.9</c:v>
                </c:pt>
                <c:pt idx="40">
                  <c:v>93.4</c:v>
                </c:pt>
                <c:pt idx="41">
                  <c:v>109.3</c:v>
                </c:pt>
              </c:numCache>
            </c:numRef>
          </c:val>
          <c:smooth val="0"/>
          <c:extLst>
            <c:ext xmlns:c16="http://schemas.microsoft.com/office/drawing/2014/chart" uri="{C3380CC4-5D6E-409C-BE32-E72D297353CC}">
              <c16:uniqueId val="{00000004-F8DF-437E-9347-E9819B5B9105}"/>
            </c:ext>
          </c:extLst>
        </c:ser>
        <c:ser>
          <c:idx val="7"/>
          <c:order val="5"/>
          <c:tx>
            <c:strRef>
              <c:f>'Trh práce-2b'!$A$36</c:f>
              <c:strCache>
                <c:ptCount val="1"/>
                <c:pt idx="0">
                  <c:v>Balance of unemployment development expectations (right axis)</c:v>
                </c:pt>
              </c:strCache>
            </c:strRef>
          </c:tx>
          <c:spPr>
            <a:ln w="6350">
              <a:solidFill>
                <a:schemeClr val="accent6">
                  <a:lumMod val="75000"/>
                </a:schemeClr>
              </a:solidFill>
              <a:prstDash val="sysDot"/>
            </a:ln>
          </c:spPr>
          <c:marker>
            <c:symbol val="circle"/>
            <c:size val="4"/>
            <c:spPr>
              <a:solidFill>
                <a:schemeClr val="accent6">
                  <a:lumMod val="75000"/>
                </a:schemeClr>
              </a:solidFill>
              <a:ln>
                <a:solidFill>
                  <a:schemeClr val="accent6">
                    <a:lumMod val="75000"/>
                  </a:schemeClr>
                </a:solidFill>
              </a:ln>
            </c:spPr>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práce-2b'!$B$36:$AQ$36</c:f>
              <c:numCache>
                <c:formatCode>#\ ##0.0</c:formatCode>
                <c:ptCount val="42"/>
                <c:pt idx="0">
                  <c:v>27.5</c:v>
                </c:pt>
                <c:pt idx="1">
                  <c:v>12.9</c:v>
                </c:pt>
                <c:pt idx="2">
                  <c:v>32.299999999999997</c:v>
                </c:pt>
                <c:pt idx="3">
                  <c:v>26.7</c:v>
                </c:pt>
                <c:pt idx="4">
                  <c:v>24.4</c:v>
                </c:pt>
                <c:pt idx="5">
                  <c:v>20.5</c:v>
                </c:pt>
                <c:pt idx="6">
                  <c:v>30.9</c:v>
                </c:pt>
                <c:pt idx="7">
                  <c:v>48.3</c:v>
                </c:pt>
                <c:pt idx="8">
                  <c:v>42.5</c:v>
                </c:pt>
                <c:pt idx="9">
                  <c:v>36</c:v>
                </c:pt>
                <c:pt idx="10">
                  <c:v>42.2</c:v>
                </c:pt>
                <c:pt idx="11">
                  <c:v>44.4</c:v>
                </c:pt>
                <c:pt idx="12">
                  <c:v>37</c:v>
                </c:pt>
                <c:pt idx="13">
                  <c:v>30.8</c:v>
                </c:pt>
                <c:pt idx="14">
                  <c:v>28.3</c:v>
                </c:pt>
                <c:pt idx="15">
                  <c:v>30.2</c:v>
                </c:pt>
                <c:pt idx="16">
                  <c:v>17.3</c:v>
                </c:pt>
                <c:pt idx="17">
                  <c:v>14.3</c:v>
                </c:pt>
                <c:pt idx="18">
                  <c:v>24.7</c:v>
                </c:pt>
                <c:pt idx="19">
                  <c:v>12.9</c:v>
                </c:pt>
                <c:pt idx="20">
                  <c:v>11.6</c:v>
                </c:pt>
                <c:pt idx="21">
                  <c:v>4.2</c:v>
                </c:pt>
                <c:pt idx="22">
                  <c:v>10.1</c:v>
                </c:pt>
                <c:pt idx="23">
                  <c:v>2.1</c:v>
                </c:pt>
                <c:pt idx="24">
                  <c:v>2.1</c:v>
                </c:pt>
                <c:pt idx="25">
                  <c:v>3.7</c:v>
                </c:pt>
                <c:pt idx="26">
                  <c:v>7.1</c:v>
                </c:pt>
                <c:pt idx="27">
                  <c:v>4.5999999999999996</c:v>
                </c:pt>
                <c:pt idx="28">
                  <c:v>-3.6</c:v>
                </c:pt>
                <c:pt idx="29">
                  <c:v>0</c:v>
                </c:pt>
                <c:pt idx="30">
                  <c:v>0.4</c:v>
                </c:pt>
                <c:pt idx="31">
                  <c:v>1</c:v>
                </c:pt>
                <c:pt idx="32">
                  <c:v>-0.6</c:v>
                </c:pt>
                <c:pt idx="33">
                  <c:v>-1.6</c:v>
                </c:pt>
                <c:pt idx="34">
                  <c:v>2.2999999999999998</c:v>
                </c:pt>
                <c:pt idx="35">
                  <c:v>3.3</c:v>
                </c:pt>
                <c:pt idx="36">
                  <c:v>8.5</c:v>
                </c:pt>
                <c:pt idx="37">
                  <c:v>6.1</c:v>
                </c:pt>
                <c:pt idx="38">
                  <c:v>14.4</c:v>
                </c:pt>
                <c:pt idx="39">
                  <c:v>17.5</c:v>
                </c:pt>
                <c:pt idx="40">
                  <c:v>16.899999999999999</c:v>
                </c:pt>
                <c:pt idx="41">
                  <c:v>45.1</c:v>
                </c:pt>
              </c:numCache>
            </c:numRef>
          </c:val>
          <c:smooth val="0"/>
          <c:extLst>
            <c:ext xmlns:c16="http://schemas.microsoft.com/office/drawing/2014/chart" uri="{C3380CC4-5D6E-409C-BE32-E72D297353CC}">
              <c16:uniqueId val="{00000005-F8DF-437E-9347-E9819B5B9105}"/>
            </c:ext>
          </c:extLst>
        </c:ser>
        <c:dLbls>
          <c:showLegendKey val="0"/>
          <c:showVal val="0"/>
          <c:showCatName val="0"/>
          <c:showSerName val="0"/>
          <c:showPercent val="0"/>
          <c:showBubbleSize val="0"/>
        </c:dLbls>
        <c:marker val="1"/>
        <c:smooth val="0"/>
        <c:axId val="331670576"/>
        <c:axId val="323971328"/>
      </c:lineChart>
      <c:catAx>
        <c:axId val="100654464"/>
        <c:scaling>
          <c:orientation val="minMax"/>
        </c:scaling>
        <c:delete val="0"/>
        <c:axPos val="b"/>
        <c:numFmt formatCode="General" sourceLinked="0"/>
        <c:majorTickMark val="out"/>
        <c:minorTickMark val="none"/>
        <c:tickLblPos val="low"/>
        <c:spPr>
          <a:ln>
            <a:solidFill>
              <a:schemeClr val="tx1"/>
            </a:solidFill>
          </a:ln>
        </c:spPr>
        <c:crossAx val="101647488"/>
        <c:crossesAt val="-50"/>
        <c:auto val="1"/>
        <c:lblAlgn val="ctr"/>
        <c:lblOffset val="0"/>
        <c:noMultiLvlLbl val="0"/>
      </c:catAx>
      <c:valAx>
        <c:axId val="101647488"/>
        <c:scaling>
          <c:orientation val="minMax"/>
          <c:max val="11"/>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Unemployment rate</a:t>
                </a:r>
                <a:endParaRPr lang="cs-CZ" sz="700">
                  <a:effectLst/>
                </a:endParaRPr>
              </a:p>
            </c:rich>
          </c:tx>
          <c:overlay val="0"/>
        </c:title>
        <c:numFmt formatCode="0" sourceLinked="0"/>
        <c:majorTickMark val="out"/>
        <c:minorTickMark val="none"/>
        <c:tickLblPos val="nextTo"/>
        <c:spPr>
          <a:ln>
            <a:solidFill>
              <a:schemeClr val="tx1"/>
            </a:solidFill>
          </a:ln>
        </c:spPr>
        <c:txPr>
          <a:bodyPr/>
          <a:lstStyle/>
          <a:p>
            <a:pPr>
              <a:defRPr sz="700"/>
            </a:pPr>
            <a:endParaRPr lang="cs-CZ"/>
          </a:p>
        </c:txPr>
        <c:crossAx val="100654464"/>
        <c:crosses val="autoZero"/>
        <c:crossBetween val="between"/>
        <c:majorUnit val="1"/>
      </c:valAx>
      <c:valAx>
        <c:axId val="323971328"/>
        <c:scaling>
          <c:orientation val="minMax"/>
          <c:max val="200"/>
          <c:min val="-2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Number of ec</a:t>
                </a:r>
                <a:r>
                  <a:rPr lang="cs-CZ" sz="700" i="1">
                    <a:effectLst/>
                  </a:rPr>
                  <a:t>onomically</a:t>
                </a:r>
                <a:r>
                  <a:rPr lang="en-GB" sz="700" i="1">
                    <a:effectLst/>
                  </a:rPr>
                  <a:t> inactive, Unemployment expectations</a:t>
                </a:r>
                <a:endParaRPr lang="cs-CZ" sz="700">
                  <a:effectLst/>
                </a:endParaRPr>
              </a:p>
            </c:rich>
          </c:tx>
          <c:layout>
            <c:manualLayout>
              <c:xMode val="edge"/>
              <c:yMode val="edge"/>
              <c:x val="0.97024135178715176"/>
              <c:y val="6.2217010033898533E-2"/>
            </c:manualLayout>
          </c:layout>
          <c:overlay val="0"/>
        </c:title>
        <c:numFmt formatCode="#,##0" sourceLinked="0"/>
        <c:majorTickMark val="out"/>
        <c:minorTickMark val="none"/>
        <c:tickLblPos val="nextTo"/>
        <c:crossAx val="331670576"/>
        <c:crosses val="max"/>
        <c:crossBetween val="between"/>
        <c:majorUnit val="20"/>
      </c:valAx>
      <c:catAx>
        <c:axId val="331670576"/>
        <c:scaling>
          <c:orientation val="minMax"/>
        </c:scaling>
        <c:delete val="1"/>
        <c:axPos val="b"/>
        <c:numFmt formatCode="General" sourceLinked="1"/>
        <c:majorTickMark val="out"/>
        <c:minorTickMark val="none"/>
        <c:tickLblPos val="nextTo"/>
        <c:crossAx val="323971328"/>
        <c:crosses val="autoZero"/>
        <c:auto val="1"/>
        <c:lblAlgn val="ctr"/>
        <c:lblOffset val="100"/>
        <c:noMultiLvlLbl val="0"/>
      </c:catAx>
      <c:spPr>
        <a:ln>
          <a:solidFill>
            <a:schemeClr val="tx1"/>
          </a:solidFill>
        </a:ln>
      </c:spPr>
    </c:plotArea>
    <c:legend>
      <c:legendPos val="b"/>
      <c:layout>
        <c:manualLayout>
          <c:xMode val="edge"/>
          <c:yMode val="edge"/>
          <c:x val="6.0808071297764187E-2"/>
          <c:y val="0.81669649909493669"/>
          <c:w val="0.85505660579010168"/>
          <c:h val="0.1760458961584839"/>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0091348527306885E-2"/>
          <c:y val="1.6549886621315273E-2"/>
          <c:w val="0.94100987714831696"/>
          <c:h val="0.76395209750566906"/>
        </c:manualLayout>
      </c:layout>
      <c:barChart>
        <c:barDir val="col"/>
        <c:grouping val="clustered"/>
        <c:varyColors val="0"/>
        <c:ser>
          <c:idx val="4"/>
          <c:order val="1"/>
          <c:tx>
            <c:strRef>
              <c:f>'Trh práce 3'!$D$8</c:f>
              <c:strCache>
                <c:ptCount val="1"/>
                <c:pt idx="0">
                  <c:v>Total average wage (real)</c:v>
                </c:pt>
              </c:strCache>
            </c:strRef>
          </c:tx>
          <c:spPr>
            <a:solidFill>
              <a:srgbClr val="DBDBDB"/>
            </a:solidFill>
            <a:ln w="19050">
              <a:noFill/>
            </a:ln>
          </c:spPr>
          <c:invertIfNegative val="0"/>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3'!$D$17:$D$50</c:f>
              <c:numCache>
                <c:formatCode>#\ ##0.0</c:formatCode>
                <c:ptCount val="34"/>
                <c:pt idx="0">
                  <c:v>-0.5</c:v>
                </c:pt>
                <c:pt idx="1">
                  <c:v>-1.2999999999999972</c:v>
                </c:pt>
                <c:pt idx="2">
                  <c:v>-1.7999999999999972</c:v>
                </c:pt>
                <c:pt idx="3">
                  <c:v>0.40000000000000568</c:v>
                </c:pt>
                <c:pt idx="4">
                  <c:v>-2.4000000000000057</c:v>
                </c:pt>
                <c:pt idx="5">
                  <c:v>-0.5</c:v>
                </c:pt>
                <c:pt idx="6">
                  <c:v>0</c:v>
                </c:pt>
                <c:pt idx="7">
                  <c:v>-3.0999999999999943</c:v>
                </c:pt>
                <c:pt idx="8">
                  <c:v>3.7000000000000028</c:v>
                </c:pt>
                <c:pt idx="9">
                  <c:v>2.5999999999999943</c:v>
                </c:pt>
                <c:pt idx="10">
                  <c:v>1.5999999999999943</c:v>
                </c:pt>
                <c:pt idx="11">
                  <c:v>2.2999999999999972</c:v>
                </c:pt>
                <c:pt idx="12">
                  <c:v>2.2000000000000028</c:v>
                </c:pt>
                <c:pt idx="13">
                  <c:v>2.5999999999999943</c:v>
                </c:pt>
                <c:pt idx="14">
                  <c:v>3.0999999999999943</c:v>
                </c:pt>
                <c:pt idx="15">
                  <c:v>3.5999999999999943</c:v>
                </c:pt>
                <c:pt idx="16">
                  <c:v>4.2000000000000028</c:v>
                </c:pt>
                <c:pt idx="17">
                  <c:v>3.7999999999999972</c:v>
                </c:pt>
                <c:pt idx="18">
                  <c:v>4.2000000000000028</c:v>
                </c:pt>
                <c:pt idx="19">
                  <c:v>3</c:v>
                </c:pt>
                <c:pt idx="20">
                  <c:v>2.5999999999999943</c:v>
                </c:pt>
                <c:pt idx="21">
                  <c:v>4.9000000000000057</c:v>
                </c:pt>
                <c:pt idx="22">
                  <c:v>4.0999999999999943</c:v>
                </c:pt>
                <c:pt idx="23">
                  <c:v>5.0999999999999943</c:v>
                </c:pt>
                <c:pt idx="24">
                  <c:v>6.5</c:v>
                </c:pt>
                <c:pt idx="25">
                  <c:v>6.2999999999999972</c:v>
                </c:pt>
                <c:pt idx="26">
                  <c:v>5.9000000000000057</c:v>
                </c:pt>
                <c:pt idx="27">
                  <c:v>4.9000000000000057</c:v>
                </c:pt>
                <c:pt idx="28">
                  <c:v>3.9000000000000057</c:v>
                </c:pt>
                <c:pt idx="29">
                  <c:v>3.7000000000000028</c:v>
                </c:pt>
                <c:pt idx="30">
                  <c:v>3.4000000000000057</c:v>
                </c:pt>
                <c:pt idx="31">
                  <c:v>3.0999999999999943</c:v>
                </c:pt>
                <c:pt idx="32">
                  <c:v>1.4000000000000057</c:v>
                </c:pt>
                <c:pt idx="33">
                  <c:v>-2.5</c:v>
                </c:pt>
              </c:numCache>
            </c:numRef>
          </c:val>
          <c:extLst>
            <c:ext xmlns:c16="http://schemas.microsoft.com/office/drawing/2014/chart" uri="{C3380CC4-5D6E-409C-BE32-E72D297353CC}">
              <c16:uniqueId val="{00000000-F149-44E3-9EDF-735D1EBF364E}"/>
            </c:ext>
          </c:extLst>
        </c:ser>
        <c:dLbls>
          <c:showLegendKey val="0"/>
          <c:showVal val="0"/>
          <c:showCatName val="0"/>
          <c:showSerName val="0"/>
          <c:showPercent val="0"/>
          <c:showBubbleSize val="0"/>
        </c:dLbls>
        <c:gapWidth val="37"/>
        <c:axId val="100688640"/>
        <c:axId val="100690560"/>
      </c:barChart>
      <c:lineChart>
        <c:grouping val="standard"/>
        <c:varyColors val="0"/>
        <c:ser>
          <c:idx val="0"/>
          <c:order val="0"/>
          <c:tx>
            <c:strRef>
              <c:f>'Trh práce 3'!$C$8</c:f>
              <c:strCache>
                <c:ptCount val="1"/>
                <c:pt idx="0">
                  <c:v>Total average wage (nominal)</c:v>
                </c:pt>
              </c:strCache>
            </c:strRef>
          </c:tx>
          <c:spPr>
            <a:ln w="19050">
              <a:solidFill>
                <a:schemeClr val="tx1">
                  <a:lumMod val="95000"/>
                  <a:lumOff val="5000"/>
                </a:schemeClr>
              </a:solidFill>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3'!$C$17:$C$50</c:f>
              <c:numCache>
                <c:formatCode>0.0</c:formatCode>
                <c:ptCount val="34"/>
                <c:pt idx="0">
                  <c:v>3.2000000000000028</c:v>
                </c:pt>
                <c:pt idx="1">
                  <c:v>2.0999999999999943</c:v>
                </c:pt>
                <c:pt idx="2">
                  <c:v>1.4000000000000057</c:v>
                </c:pt>
                <c:pt idx="3">
                  <c:v>3.2000000000000028</c:v>
                </c:pt>
                <c:pt idx="4">
                  <c:v>-0.59999999999999432</c:v>
                </c:pt>
                <c:pt idx="5">
                  <c:v>1</c:v>
                </c:pt>
                <c:pt idx="6">
                  <c:v>1.2000000000000028</c:v>
                </c:pt>
                <c:pt idx="7">
                  <c:v>-2</c:v>
                </c:pt>
                <c:pt idx="8">
                  <c:v>3.9000000000000057</c:v>
                </c:pt>
                <c:pt idx="9">
                  <c:v>2.7999999999999972</c:v>
                </c:pt>
                <c:pt idx="10">
                  <c:v>2.2000000000000028</c:v>
                </c:pt>
                <c:pt idx="11">
                  <c:v>2.7999999999999972</c:v>
                </c:pt>
                <c:pt idx="12">
                  <c:v>2.2999999999999972</c:v>
                </c:pt>
                <c:pt idx="13">
                  <c:v>3.2999999999999972</c:v>
                </c:pt>
                <c:pt idx="14">
                  <c:v>3.5</c:v>
                </c:pt>
                <c:pt idx="15">
                  <c:v>3.7000000000000028</c:v>
                </c:pt>
                <c:pt idx="16">
                  <c:v>4.7000000000000028</c:v>
                </c:pt>
                <c:pt idx="17">
                  <c:v>4</c:v>
                </c:pt>
                <c:pt idx="18">
                  <c:v>4.7000000000000028</c:v>
                </c:pt>
                <c:pt idx="19">
                  <c:v>4.4000000000000057</c:v>
                </c:pt>
                <c:pt idx="20">
                  <c:v>5.0999999999999943</c:v>
                </c:pt>
                <c:pt idx="21">
                  <c:v>7.2000000000000028</c:v>
                </c:pt>
                <c:pt idx="22">
                  <c:v>6.7000000000000028</c:v>
                </c:pt>
                <c:pt idx="23">
                  <c:v>7.7999999999999972</c:v>
                </c:pt>
                <c:pt idx="24">
                  <c:v>8.5</c:v>
                </c:pt>
                <c:pt idx="25">
                  <c:v>8.7000000000000028</c:v>
                </c:pt>
                <c:pt idx="26">
                  <c:v>8.4000000000000057</c:v>
                </c:pt>
                <c:pt idx="27">
                  <c:v>7.0999999999999943</c:v>
                </c:pt>
                <c:pt idx="28">
                  <c:v>6.7000000000000028</c:v>
                </c:pt>
                <c:pt idx="29">
                  <c:v>6.5999999999999943</c:v>
                </c:pt>
                <c:pt idx="30">
                  <c:v>6.2999999999999972</c:v>
                </c:pt>
                <c:pt idx="31">
                  <c:v>6.2000000000000028</c:v>
                </c:pt>
                <c:pt idx="32">
                  <c:v>5.0999999999999943</c:v>
                </c:pt>
                <c:pt idx="33">
                  <c:v>0.5</c:v>
                </c:pt>
              </c:numCache>
            </c:numRef>
          </c:val>
          <c:smooth val="0"/>
          <c:extLst>
            <c:ext xmlns:c16="http://schemas.microsoft.com/office/drawing/2014/chart" uri="{C3380CC4-5D6E-409C-BE32-E72D297353CC}">
              <c16:uniqueId val="{00000001-F149-44E3-9EDF-735D1EBF364E}"/>
            </c:ext>
          </c:extLst>
        </c:ser>
        <c:ser>
          <c:idx val="5"/>
          <c:order val="2"/>
          <c:tx>
            <c:strRef>
              <c:f>'Trh práce 3'!$E$8</c:f>
              <c:strCache>
                <c:ptCount val="1"/>
                <c:pt idx="0">
                  <c:v>Average wage in industry (nominal)</c:v>
                </c:pt>
              </c:strCache>
            </c:strRef>
          </c:tx>
          <c:spPr>
            <a:ln w="9525">
              <a:solidFill>
                <a:srgbClr val="C0000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3'!$E$17:$E$50</c:f>
              <c:numCache>
                <c:formatCode>0.0</c:formatCode>
                <c:ptCount val="34"/>
                <c:pt idx="0">
                  <c:v>3.7769088643492523</c:v>
                </c:pt>
                <c:pt idx="1">
                  <c:v>2.921477585569292</c:v>
                </c:pt>
                <c:pt idx="2">
                  <c:v>1.9451664291104294</c:v>
                </c:pt>
                <c:pt idx="3">
                  <c:v>3.5035265256056363</c:v>
                </c:pt>
                <c:pt idx="4">
                  <c:v>0.11593242795626679</c:v>
                </c:pt>
                <c:pt idx="5">
                  <c:v>1.5370488661769315</c:v>
                </c:pt>
                <c:pt idx="6">
                  <c:v>2.0725388601036343</c:v>
                </c:pt>
                <c:pt idx="7">
                  <c:v>-0.40737723131620385</c:v>
                </c:pt>
                <c:pt idx="8">
                  <c:v>4.5202646815549912</c:v>
                </c:pt>
                <c:pt idx="9">
                  <c:v>3.1140644045138259</c:v>
                </c:pt>
                <c:pt idx="10">
                  <c:v>2.521956329062931</c:v>
                </c:pt>
                <c:pt idx="11">
                  <c:v>3.1124497991967814</c:v>
                </c:pt>
                <c:pt idx="12">
                  <c:v>1.6381118189372046</c:v>
                </c:pt>
                <c:pt idx="13">
                  <c:v>2.6920877025738719</c:v>
                </c:pt>
                <c:pt idx="14">
                  <c:v>3.010059729644766</c:v>
                </c:pt>
                <c:pt idx="15">
                  <c:v>2.9788308269320822</c:v>
                </c:pt>
                <c:pt idx="16">
                  <c:v>4.6482656596722052</c:v>
                </c:pt>
                <c:pt idx="17">
                  <c:v>3.9508373250157831</c:v>
                </c:pt>
                <c:pt idx="18">
                  <c:v>4.6540016784924205</c:v>
                </c:pt>
                <c:pt idx="19">
                  <c:v>3.8977412011906836</c:v>
                </c:pt>
                <c:pt idx="20">
                  <c:v>5.1746586808526445</c:v>
                </c:pt>
                <c:pt idx="21">
                  <c:v>8.0728701553848907</c:v>
                </c:pt>
                <c:pt idx="22">
                  <c:v>6.8272945979441602</c:v>
                </c:pt>
                <c:pt idx="23">
                  <c:v>7.0884454631252538</c:v>
                </c:pt>
                <c:pt idx="24">
                  <c:v>7.9018109790605564</c:v>
                </c:pt>
                <c:pt idx="25">
                  <c:v>8.1936869938853221</c:v>
                </c:pt>
                <c:pt idx="26">
                  <c:v>7.3566042242467802</c:v>
                </c:pt>
                <c:pt idx="27">
                  <c:v>7.6170092222467076</c:v>
                </c:pt>
                <c:pt idx="28">
                  <c:v>5.8906444633842483</c:v>
                </c:pt>
                <c:pt idx="29">
                  <c:v>5.883790554163852</c:v>
                </c:pt>
                <c:pt idx="30">
                  <c:v>5.5271271016749779</c:v>
                </c:pt>
                <c:pt idx="31">
                  <c:v>4.4163668801731433</c:v>
                </c:pt>
                <c:pt idx="32">
                  <c:v>4.4918428628919855</c:v>
                </c:pt>
                <c:pt idx="33">
                  <c:v>-4.2094633583381409</c:v>
                </c:pt>
              </c:numCache>
            </c:numRef>
          </c:val>
          <c:smooth val="0"/>
          <c:extLst>
            <c:ext xmlns:c16="http://schemas.microsoft.com/office/drawing/2014/chart" uri="{C3380CC4-5D6E-409C-BE32-E72D297353CC}">
              <c16:uniqueId val="{00000002-F149-44E3-9EDF-735D1EBF364E}"/>
            </c:ext>
          </c:extLst>
        </c:ser>
        <c:ser>
          <c:idx val="1"/>
          <c:order val="3"/>
          <c:tx>
            <c:strRef>
              <c:f>'Trh práce 3'!$F$8</c:f>
              <c:strCache>
                <c:ptCount val="1"/>
                <c:pt idx="0">
                  <c:v>Wage in trade (nominal)</c:v>
                </c:pt>
              </c:strCache>
            </c:strRef>
          </c:tx>
          <c:spPr>
            <a:ln w="9525">
              <a:solidFill>
                <a:srgbClr val="0070C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3'!$F$17:$F$50</c:f>
              <c:numCache>
                <c:formatCode>0.0</c:formatCode>
                <c:ptCount val="34"/>
                <c:pt idx="0">
                  <c:v>4.0793724042454897</c:v>
                </c:pt>
                <c:pt idx="1">
                  <c:v>0.74380901478710371</c:v>
                </c:pt>
                <c:pt idx="2">
                  <c:v>0.80315938942136711</c:v>
                </c:pt>
                <c:pt idx="3">
                  <c:v>3.3521825800414859</c:v>
                </c:pt>
                <c:pt idx="4">
                  <c:v>-0.36357187195176266</c:v>
                </c:pt>
                <c:pt idx="5">
                  <c:v>0.83115964454663072</c:v>
                </c:pt>
                <c:pt idx="6">
                  <c:v>1.2941849716071658</c:v>
                </c:pt>
                <c:pt idx="7">
                  <c:v>-4.6290100373942096</c:v>
                </c:pt>
                <c:pt idx="8">
                  <c:v>3.4576361694553128</c:v>
                </c:pt>
                <c:pt idx="9">
                  <c:v>4.1785416758012985</c:v>
                </c:pt>
                <c:pt idx="10">
                  <c:v>2.8899222111164136</c:v>
                </c:pt>
                <c:pt idx="11">
                  <c:v>2.761153989021409</c:v>
                </c:pt>
                <c:pt idx="12">
                  <c:v>3.1055099144049194</c:v>
                </c:pt>
                <c:pt idx="13">
                  <c:v>3.9141414141414117</c:v>
                </c:pt>
                <c:pt idx="14">
                  <c:v>3.949146815340427</c:v>
                </c:pt>
                <c:pt idx="15">
                  <c:v>5.7916298497871423</c:v>
                </c:pt>
                <c:pt idx="16">
                  <c:v>5.6443202202661524</c:v>
                </c:pt>
                <c:pt idx="17">
                  <c:v>3.9570676387201189</c:v>
                </c:pt>
                <c:pt idx="18">
                  <c:v>4.9977652269310511</c:v>
                </c:pt>
                <c:pt idx="19">
                  <c:v>4.4950645406226215</c:v>
                </c:pt>
                <c:pt idx="20">
                  <c:v>5.6231243089559229</c:v>
                </c:pt>
                <c:pt idx="21">
                  <c:v>7.9284684614485457</c:v>
                </c:pt>
                <c:pt idx="22">
                  <c:v>7.693200727526019</c:v>
                </c:pt>
                <c:pt idx="23">
                  <c:v>8.3926754832146457</c:v>
                </c:pt>
                <c:pt idx="24">
                  <c:v>7.2416629280693883</c:v>
                </c:pt>
                <c:pt idx="25">
                  <c:v>7.0392029456356937</c:v>
                </c:pt>
                <c:pt idx="26">
                  <c:v>6.8381903769449082</c:v>
                </c:pt>
                <c:pt idx="27">
                  <c:v>6.6970570490044992</c:v>
                </c:pt>
                <c:pt idx="28">
                  <c:v>7.819417814188597</c:v>
                </c:pt>
                <c:pt idx="29">
                  <c:v>5.5341966815054491</c:v>
                </c:pt>
                <c:pt idx="30">
                  <c:v>6.4442351674963021</c:v>
                </c:pt>
                <c:pt idx="31">
                  <c:v>4.3541090726313172</c:v>
                </c:pt>
                <c:pt idx="32">
                  <c:v>4.3261769270563946</c:v>
                </c:pt>
                <c:pt idx="33">
                  <c:v>-0.71901064135748527</c:v>
                </c:pt>
              </c:numCache>
            </c:numRef>
          </c:val>
          <c:smooth val="0"/>
          <c:extLst>
            <c:ext xmlns:c16="http://schemas.microsoft.com/office/drawing/2014/chart" uri="{C3380CC4-5D6E-409C-BE32-E72D297353CC}">
              <c16:uniqueId val="{00000003-F149-44E3-9EDF-735D1EBF364E}"/>
            </c:ext>
          </c:extLst>
        </c:ser>
        <c:ser>
          <c:idx val="2"/>
          <c:order val="4"/>
          <c:tx>
            <c:strRef>
              <c:f>'Trh práce 3'!$G$8</c:f>
              <c:strCache>
                <c:ptCount val="1"/>
                <c:pt idx="0">
                  <c:v>Average wage in public services (nominal)*</c:v>
                </c:pt>
              </c:strCache>
            </c:strRef>
          </c:tx>
          <c:spPr>
            <a:ln w="9525">
              <a:solidFill>
                <a:srgbClr val="00B05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3'!$G$17:$G$50</c:f>
              <c:numCache>
                <c:formatCode>0.0</c:formatCode>
                <c:ptCount val="34"/>
                <c:pt idx="0">
                  <c:v>3.2279568792092874</c:v>
                </c:pt>
                <c:pt idx="1">
                  <c:v>1.7574406830760552</c:v>
                </c:pt>
                <c:pt idx="2">
                  <c:v>1.8920783570674899</c:v>
                </c:pt>
                <c:pt idx="3">
                  <c:v>1.0598177996607347</c:v>
                </c:pt>
                <c:pt idx="4">
                  <c:v>2.4966291616919989E-2</c:v>
                </c:pt>
                <c:pt idx="5">
                  <c:v>1.6016040487051129</c:v>
                </c:pt>
                <c:pt idx="6">
                  <c:v>0.63880459502811959</c:v>
                </c:pt>
                <c:pt idx="7">
                  <c:v>0.17964165062383586</c:v>
                </c:pt>
                <c:pt idx="8">
                  <c:v>2.2807600057714694</c:v>
                </c:pt>
                <c:pt idx="9">
                  <c:v>1.7741806147294028</c:v>
                </c:pt>
                <c:pt idx="10">
                  <c:v>2.0112509376191809</c:v>
                </c:pt>
                <c:pt idx="11">
                  <c:v>4.0222566728863143</c:v>
                </c:pt>
                <c:pt idx="12">
                  <c:v>3.2925091204842687</c:v>
                </c:pt>
                <c:pt idx="13">
                  <c:v>4.3135889286729565</c:v>
                </c:pt>
                <c:pt idx="14">
                  <c:v>3.8145419077079765</c:v>
                </c:pt>
                <c:pt idx="15">
                  <c:v>3.6381766938736746</c:v>
                </c:pt>
                <c:pt idx="16">
                  <c:v>4.64178325585614</c:v>
                </c:pt>
                <c:pt idx="17">
                  <c:v>3.8061258933532116</c:v>
                </c:pt>
                <c:pt idx="18">
                  <c:v>4.8526374704253925</c:v>
                </c:pt>
                <c:pt idx="19">
                  <c:v>6.1351981806606233</c:v>
                </c:pt>
                <c:pt idx="20">
                  <c:v>5.4566112929362163</c:v>
                </c:pt>
                <c:pt idx="21">
                  <c:v>7.3192456135909225</c:v>
                </c:pt>
                <c:pt idx="22">
                  <c:v>7.9981713137873953</c:v>
                </c:pt>
                <c:pt idx="23">
                  <c:v>10.484072576559427</c:v>
                </c:pt>
                <c:pt idx="24">
                  <c:v>12.179699393983398</c:v>
                </c:pt>
                <c:pt idx="25">
                  <c:v>11.89217733254111</c:v>
                </c:pt>
                <c:pt idx="26">
                  <c:v>11.361326321628667</c:v>
                </c:pt>
                <c:pt idx="27">
                  <c:v>6.1282038917470629</c:v>
                </c:pt>
                <c:pt idx="28">
                  <c:v>8.2546748266468626</c:v>
                </c:pt>
                <c:pt idx="29">
                  <c:v>8.1369829157287512</c:v>
                </c:pt>
                <c:pt idx="30">
                  <c:v>7.2135483258725941</c:v>
                </c:pt>
                <c:pt idx="31">
                  <c:v>10.00176307206651</c:v>
                </c:pt>
                <c:pt idx="32">
                  <c:v>5.052780952700985</c:v>
                </c:pt>
                <c:pt idx="33">
                  <c:v>5.0731796240498568</c:v>
                </c:pt>
              </c:numCache>
            </c:numRef>
          </c:val>
          <c:smooth val="0"/>
          <c:extLst>
            <c:ext xmlns:c16="http://schemas.microsoft.com/office/drawing/2014/chart" uri="{C3380CC4-5D6E-409C-BE32-E72D297353CC}">
              <c16:uniqueId val="{00000004-F149-44E3-9EDF-735D1EBF364E}"/>
            </c:ext>
          </c:extLst>
        </c:ser>
        <c:ser>
          <c:idx val="3"/>
          <c:order val="5"/>
          <c:tx>
            <c:strRef>
              <c:f>'Trh práce 3'!$H$8</c:f>
              <c:strCache>
                <c:ptCount val="1"/>
                <c:pt idx="0">
                  <c:v>Total median wage (nominal) </c:v>
                </c:pt>
              </c:strCache>
            </c:strRef>
          </c:tx>
          <c:spPr>
            <a:ln w="19050">
              <a:noFill/>
            </a:ln>
          </c:spPr>
          <c:marker>
            <c:symbol val="circle"/>
            <c:size val="5"/>
            <c:spPr>
              <a:solidFill>
                <a:srgbClr val="FFFF00"/>
              </a:solidFill>
              <a:ln w="6350">
                <a:solidFill>
                  <a:schemeClr val="bg1">
                    <a:lumMod val="50000"/>
                  </a:schemeClr>
                </a:solidFill>
              </a:ln>
            </c:spPr>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3'!$H$17:$H$50</c:f>
              <c:numCache>
                <c:formatCode>0.0</c:formatCode>
                <c:ptCount val="34"/>
                <c:pt idx="0">
                  <c:v>1.4000000000000057</c:v>
                </c:pt>
                <c:pt idx="1">
                  <c:v>1.2999999999999972</c:v>
                </c:pt>
                <c:pt idx="2">
                  <c:v>-0.40000000000000568</c:v>
                </c:pt>
                <c:pt idx="3">
                  <c:v>-0.59999999999999432</c:v>
                </c:pt>
                <c:pt idx="4">
                  <c:v>0.59999999999999432</c:v>
                </c:pt>
                <c:pt idx="5">
                  <c:v>1.4000000000000057</c:v>
                </c:pt>
                <c:pt idx="6">
                  <c:v>2.2999999999999972</c:v>
                </c:pt>
                <c:pt idx="7">
                  <c:v>1.2000000000000028</c:v>
                </c:pt>
                <c:pt idx="8">
                  <c:v>4.7000000000000028</c:v>
                </c:pt>
                <c:pt idx="9">
                  <c:v>3.2999999999999972</c:v>
                </c:pt>
                <c:pt idx="10">
                  <c:v>2.5999999999999943</c:v>
                </c:pt>
                <c:pt idx="11">
                  <c:v>2.2999999999999972</c:v>
                </c:pt>
                <c:pt idx="12">
                  <c:v>0.70000000000000284</c:v>
                </c:pt>
                <c:pt idx="13">
                  <c:v>2.2999999999999972</c:v>
                </c:pt>
                <c:pt idx="14">
                  <c:v>3.7999999999999972</c:v>
                </c:pt>
                <c:pt idx="15">
                  <c:v>4.7000000000000028</c:v>
                </c:pt>
                <c:pt idx="16">
                  <c:v>6.7000000000000028</c:v>
                </c:pt>
                <c:pt idx="17">
                  <c:v>4.5999999999999943</c:v>
                </c:pt>
                <c:pt idx="18">
                  <c:v>5.2999999999999972</c:v>
                </c:pt>
                <c:pt idx="19">
                  <c:v>6.2000000000000028</c:v>
                </c:pt>
                <c:pt idx="20">
                  <c:v>4.9000000000000057</c:v>
                </c:pt>
                <c:pt idx="21">
                  <c:v>7.7000000000000028</c:v>
                </c:pt>
                <c:pt idx="22">
                  <c:v>7</c:v>
                </c:pt>
                <c:pt idx="23">
                  <c:v>8.9000000000000057</c:v>
                </c:pt>
                <c:pt idx="24">
                  <c:v>8.2999999999999972</c:v>
                </c:pt>
                <c:pt idx="25">
                  <c:v>9.5999999999999943</c:v>
                </c:pt>
                <c:pt idx="26">
                  <c:v>10</c:v>
                </c:pt>
                <c:pt idx="27">
                  <c:v>7.2000000000000028</c:v>
                </c:pt>
                <c:pt idx="28">
                  <c:v>7.4000000000000057</c:v>
                </c:pt>
                <c:pt idx="29">
                  <c:v>6.5999999999999943</c:v>
                </c:pt>
                <c:pt idx="30">
                  <c:v>6</c:v>
                </c:pt>
                <c:pt idx="31">
                  <c:v>6.0999999999999943</c:v>
                </c:pt>
                <c:pt idx="32">
                  <c:v>6</c:v>
                </c:pt>
                <c:pt idx="33">
                  <c:v>-0.20000000000000284</c:v>
                </c:pt>
              </c:numCache>
            </c:numRef>
          </c:val>
          <c:smooth val="0"/>
          <c:extLst>
            <c:ext xmlns:c16="http://schemas.microsoft.com/office/drawing/2014/chart" uri="{C3380CC4-5D6E-409C-BE32-E72D297353CC}">
              <c16:uniqueId val="{00000005-F149-44E3-9EDF-735D1EBF364E}"/>
            </c:ext>
          </c:extLst>
        </c:ser>
        <c:dLbls>
          <c:showLegendKey val="0"/>
          <c:showVal val="0"/>
          <c:showCatName val="0"/>
          <c:showSerName val="0"/>
          <c:showPercent val="0"/>
          <c:showBubbleSize val="0"/>
        </c:dLbls>
        <c:marker val="1"/>
        <c:smooth val="0"/>
        <c:axId val="100688640"/>
        <c:axId val="100690560"/>
      </c:lineChart>
      <c:catAx>
        <c:axId val="100688640"/>
        <c:scaling>
          <c:orientation val="minMax"/>
        </c:scaling>
        <c:delete val="0"/>
        <c:axPos val="b"/>
        <c:numFmt formatCode="General" sourceLinked="1"/>
        <c:majorTickMark val="out"/>
        <c:minorTickMark val="none"/>
        <c:tickLblPos val="low"/>
        <c:spPr>
          <a:ln>
            <a:solidFill>
              <a:schemeClr val="tx1"/>
            </a:solidFill>
          </a:ln>
        </c:spPr>
        <c:txPr>
          <a:bodyPr rot="0" vert="horz"/>
          <a:lstStyle/>
          <a:p>
            <a:pPr>
              <a:defRPr/>
            </a:pPr>
            <a:endParaRPr lang="cs-CZ"/>
          </a:p>
        </c:txPr>
        <c:crossAx val="100690560"/>
        <c:crosses val="autoZero"/>
        <c:auto val="1"/>
        <c:lblAlgn val="ctr"/>
        <c:lblOffset val="0"/>
        <c:tickMarkSkip val="4"/>
        <c:noMultiLvlLbl val="0"/>
      </c:catAx>
      <c:valAx>
        <c:axId val="100690560"/>
        <c:scaling>
          <c:orientation val="minMax"/>
          <c:max val="12.2"/>
          <c:min val="-5"/>
        </c:scaling>
        <c:delete val="0"/>
        <c:axPos val="l"/>
        <c:majorGridlines>
          <c:spPr>
            <a:ln>
              <a:solidFill>
                <a:schemeClr val="bg1">
                  <a:lumMod val="75000"/>
                </a:schemeClr>
              </a:solidFill>
            </a:ln>
          </c:spPr>
        </c:majorGridlines>
        <c:numFmt formatCode="0" sourceLinked="0"/>
        <c:majorTickMark val="out"/>
        <c:minorTickMark val="none"/>
        <c:tickLblPos val="nextTo"/>
        <c:spPr>
          <a:ln>
            <a:solidFill>
              <a:schemeClr val="tx1"/>
            </a:solidFill>
          </a:ln>
        </c:spPr>
        <c:crossAx val="100688640"/>
        <c:crosses val="autoZero"/>
        <c:crossBetween val="between"/>
        <c:majorUnit val="1"/>
      </c:valAx>
      <c:spPr>
        <a:ln>
          <a:solidFill>
            <a:schemeClr val="tx1"/>
          </a:solidFill>
        </a:ln>
      </c:spPr>
    </c:plotArea>
    <c:legend>
      <c:legendPos val="b"/>
      <c:layout>
        <c:manualLayout>
          <c:xMode val="edge"/>
          <c:yMode val="edge"/>
          <c:x val="2.8578402807508143E-2"/>
          <c:y val="0.87578174603174608"/>
          <c:w val="0.95799535246990908"/>
          <c:h val="0.11341893424036281"/>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557159743329959E-2"/>
          <c:y val="2.1711264016309892E-2"/>
          <c:w val="0.93757303275920301"/>
          <c:h val="0.73130361364404473"/>
        </c:manualLayout>
      </c:layout>
      <c:barChart>
        <c:barDir val="col"/>
        <c:grouping val="clustered"/>
        <c:varyColors val="0"/>
        <c:ser>
          <c:idx val="0"/>
          <c:order val="0"/>
          <c:tx>
            <c:strRef>
              <c:f>'Měnové podmínky 1'!$C$5</c:f>
              <c:strCache>
                <c:ptCount val="1"/>
                <c:pt idx="0">
                  <c:v>2W repo rate</c:v>
                </c:pt>
              </c:strCache>
            </c:strRef>
          </c:tx>
          <c:spPr>
            <a:solidFill>
              <a:schemeClr val="bg1">
                <a:lumMod val="65000"/>
              </a:schemeClr>
            </a:solidFill>
          </c:spPr>
          <c:invertIfNegative val="0"/>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1'!$C$42:$C$108</c:f>
              <c:numCache>
                <c:formatCode>0.00</c:formatCode>
                <c:ptCount val="67"/>
                <c:pt idx="0">
                  <c:v>0.05</c:v>
                </c:pt>
                <c:pt idx="1">
                  <c:v>0.05</c:v>
                </c:pt>
                <c:pt idx="2">
                  <c:v>0.05</c:v>
                </c:pt>
                <c:pt idx="3">
                  <c:v>0.05</c:v>
                </c:pt>
                <c:pt idx="4">
                  <c:v>0.05</c:v>
                </c:pt>
                <c:pt idx="5">
                  <c:v>0.05</c:v>
                </c:pt>
                <c:pt idx="6">
                  <c:v>0.05</c:v>
                </c:pt>
                <c:pt idx="7">
                  <c:v>0.05</c:v>
                </c:pt>
                <c:pt idx="8">
                  <c:v>0.05</c:v>
                </c:pt>
                <c:pt idx="9">
                  <c:v>0.05</c:v>
                </c:pt>
                <c:pt idx="10">
                  <c:v>0.05</c:v>
                </c:pt>
                <c:pt idx="11">
                  <c:v>0.05</c:v>
                </c:pt>
                <c:pt idx="12" formatCode="General">
                  <c:v>0.05</c:v>
                </c:pt>
                <c:pt idx="13" formatCode="General">
                  <c:v>0.05</c:v>
                </c:pt>
                <c:pt idx="14" formatCode="General">
                  <c:v>0.05</c:v>
                </c:pt>
                <c:pt idx="15" formatCode="General">
                  <c:v>0.05</c:v>
                </c:pt>
                <c:pt idx="16" formatCode="General">
                  <c:v>0.05</c:v>
                </c:pt>
                <c:pt idx="17" formatCode="General">
                  <c:v>0.05</c:v>
                </c:pt>
                <c:pt idx="18" formatCode="General">
                  <c:v>0.05</c:v>
                </c:pt>
                <c:pt idx="19" formatCode="General">
                  <c:v>0.05</c:v>
                </c:pt>
                <c:pt idx="20" formatCode="General">
                  <c:v>0.05</c:v>
                </c:pt>
                <c:pt idx="21" formatCode="General">
                  <c:v>0.05</c:v>
                </c:pt>
                <c:pt idx="22" formatCode="General">
                  <c:v>0.05</c:v>
                </c:pt>
                <c:pt idx="23" formatCode="General">
                  <c:v>0.05</c:v>
                </c:pt>
                <c:pt idx="24" formatCode="General">
                  <c:v>0.05</c:v>
                </c:pt>
                <c:pt idx="25" formatCode="General">
                  <c:v>0.05</c:v>
                </c:pt>
                <c:pt idx="26" formatCode="General">
                  <c:v>0.05</c:v>
                </c:pt>
                <c:pt idx="27" formatCode="General">
                  <c:v>0.05</c:v>
                </c:pt>
                <c:pt idx="28" formatCode="General">
                  <c:v>0.05</c:v>
                </c:pt>
                <c:pt idx="29" formatCode="General">
                  <c:v>0.05</c:v>
                </c:pt>
                <c:pt idx="30" formatCode="General">
                  <c:v>0.05</c:v>
                </c:pt>
                <c:pt idx="31" formatCode="General">
                  <c:v>0.25</c:v>
                </c:pt>
                <c:pt idx="32" formatCode="General">
                  <c:v>0.25</c:v>
                </c:pt>
                <c:pt idx="33" formatCode="General">
                  <c:v>0.25</c:v>
                </c:pt>
                <c:pt idx="34" formatCode="General">
                  <c:v>0.5</c:v>
                </c:pt>
                <c:pt idx="35" formatCode="General">
                  <c:v>0.5</c:v>
                </c:pt>
                <c:pt idx="36" formatCode="General">
                  <c:v>0.5</c:v>
                </c:pt>
                <c:pt idx="37" formatCode="General">
                  <c:v>0.75</c:v>
                </c:pt>
                <c:pt idx="38" formatCode="General">
                  <c:v>0.75</c:v>
                </c:pt>
                <c:pt idx="39" formatCode="General">
                  <c:v>0.75</c:v>
                </c:pt>
                <c:pt idx="40" formatCode="General">
                  <c:v>0.75</c:v>
                </c:pt>
                <c:pt idx="41" formatCode="General">
                  <c:v>1</c:v>
                </c:pt>
                <c:pt idx="42" formatCode="General">
                  <c:v>1</c:v>
                </c:pt>
                <c:pt idx="43" formatCode="General">
                  <c:v>1.25</c:v>
                </c:pt>
                <c:pt idx="44" formatCode="General">
                  <c:v>1.5</c:v>
                </c:pt>
                <c:pt idx="45" formatCode="General">
                  <c:v>1.5</c:v>
                </c:pt>
                <c:pt idx="46" formatCode="General">
                  <c:v>1.75</c:v>
                </c:pt>
                <c:pt idx="47" formatCode="General">
                  <c:v>1.75</c:v>
                </c:pt>
                <c:pt idx="48" formatCode="General">
                  <c:v>1.75</c:v>
                </c:pt>
                <c:pt idx="49" formatCode="General">
                  <c:v>1.75</c:v>
                </c:pt>
                <c:pt idx="50" formatCode="General">
                  <c:v>1.75</c:v>
                </c:pt>
                <c:pt idx="51" formatCode="General">
                  <c:v>1.75</c:v>
                </c:pt>
                <c:pt idx="52" formatCode="General">
                  <c:v>2</c:v>
                </c:pt>
                <c:pt idx="53" formatCode="General">
                  <c:v>2</c:v>
                </c:pt>
                <c:pt idx="54" formatCode="General">
                  <c:v>2</c:v>
                </c:pt>
                <c:pt idx="55" formatCode="General">
                  <c:v>2</c:v>
                </c:pt>
                <c:pt idx="56" formatCode="General">
                  <c:v>2</c:v>
                </c:pt>
                <c:pt idx="57" formatCode="General">
                  <c:v>2</c:v>
                </c:pt>
                <c:pt idx="58" formatCode="General">
                  <c:v>2</c:v>
                </c:pt>
                <c:pt idx="59" formatCode="General">
                  <c:v>2</c:v>
                </c:pt>
                <c:pt idx="60" formatCode="General">
                  <c:v>2</c:v>
                </c:pt>
                <c:pt idx="61" formatCode="General">
                  <c:v>2.25</c:v>
                </c:pt>
                <c:pt idx="62" formatCode="General">
                  <c:v>1</c:v>
                </c:pt>
                <c:pt idx="63" formatCode="General">
                  <c:v>1</c:v>
                </c:pt>
                <c:pt idx="64" formatCode="General">
                  <c:v>0.25</c:v>
                </c:pt>
                <c:pt idx="65" formatCode="General">
                  <c:v>0.25</c:v>
                </c:pt>
                <c:pt idx="66" formatCode="General">
                  <c:v>0.25</c:v>
                </c:pt>
              </c:numCache>
            </c:numRef>
          </c:val>
          <c:extLst>
            <c:ext xmlns:c16="http://schemas.microsoft.com/office/drawing/2014/chart" uri="{C3380CC4-5D6E-409C-BE32-E72D297353CC}">
              <c16:uniqueId val="{00000000-526E-4743-94F5-EFF6B5C86702}"/>
            </c:ext>
          </c:extLst>
        </c:ser>
        <c:dLbls>
          <c:showLegendKey val="0"/>
          <c:showVal val="0"/>
          <c:showCatName val="0"/>
          <c:showSerName val="0"/>
          <c:showPercent val="0"/>
          <c:showBubbleSize val="0"/>
        </c:dLbls>
        <c:gapWidth val="31"/>
        <c:axId val="131001344"/>
        <c:axId val="131027712"/>
      </c:barChart>
      <c:lineChart>
        <c:grouping val="standard"/>
        <c:varyColors val="0"/>
        <c:ser>
          <c:idx val="3"/>
          <c:order val="1"/>
          <c:tx>
            <c:strRef>
              <c:f>'Měnové podmínky 1'!$F$5</c:f>
              <c:strCache>
                <c:ptCount val="1"/>
                <c:pt idx="0">
                  <c:v>Average yield of government bonds (2Y)</c:v>
                </c:pt>
              </c:strCache>
            </c:strRef>
          </c:tx>
          <c:spPr>
            <a:ln w="19050">
              <a:solidFill>
                <a:srgbClr val="7DBB2D"/>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1'!$F$42:$F$108</c:f>
              <c:numCache>
                <c:formatCode>General</c:formatCode>
                <c:ptCount val="67"/>
                <c:pt idx="0">
                  <c:v>0.09</c:v>
                </c:pt>
                <c:pt idx="1">
                  <c:v>0.06</c:v>
                </c:pt>
                <c:pt idx="2">
                  <c:v>0.04</c:v>
                </c:pt>
                <c:pt idx="3">
                  <c:v>-0.03</c:v>
                </c:pt>
                <c:pt idx="4">
                  <c:v>0.04</c:v>
                </c:pt>
                <c:pt idx="5">
                  <c:v>0.11</c:v>
                </c:pt>
                <c:pt idx="6">
                  <c:v>0.02</c:v>
                </c:pt>
                <c:pt idx="7">
                  <c:v>-7.0000000000000007E-2</c:v>
                </c:pt>
                <c:pt idx="8">
                  <c:v>-0.3</c:v>
                </c:pt>
                <c:pt idx="9">
                  <c:v>-0.28000000000000003</c:v>
                </c:pt>
                <c:pt idx="10">
                  <c:v>-0.33</c:v>
                </c:pt>
                <c:pt idx="11">
                  <c:v>-0.38</c:v>
                </c:pt>
                <c:pt idx="12">
                  <c:v>-0.21</c:v>
                </c:pt>
                <c:pt idx="13">
                  <c:v>-0.18</c:v>
                </c:pt>
                <c:pt idx="14">
                  <c:v>-0.17</c:v>
                </c:pt>
                <c:pt idx="15">
                  <c:v>-0.08</c:v>
                </c:pt>
                <c:pt idx="16">
                  <c:v>-0.04</c:v>
                </c:pt>
                <c:pt idx="17">
                  <c:v>-0.05</c:v>
                </c:pt>
                <c:pt idx="18">
                  <c:v>-0.13</c:v>
                </c:pt>
                <c:pt idx="19">
                  <c:v>-0.22</c:v>
                </c:pt>
                <c:pt idx="20">
                  <c:v>-0.5</c:v>
                </c:pt>
                <c:pt idx="21">
                  <c:v>-0.74</c:v>
                </c:pt>
                <c:pt idx="22">
                  <c:v>-0.73</c:v>
                </c:pt>
                <c:pt idx="23">
                  <c:v>-0.81</c:v>
                </c:pt>
                <c:pt idx="24">
                  <c:v>-0.88</c:v>
                </c:pt>
                <c:pt idx="25">
                  <c:v>-0.53</c:v>
                </c:pt>
                <c:pt idx="26">
                  <c:v>-0.44</c:v>
                </c:pt>
                <c:pt idx="27">
                  <c:v>-0.23</c:v>
                </c:pt>
                <c:pt idx="28">
                  <c:v>-0.24</c:v>
                </c:pt>
                <c:pt idx="29">
                  <c:v>-0.25</c:v>
                </c:pt>
                <c:pt idx="30">
                  <c:v>-0.28999999999999998</c:v>
                </c:pt>
                <c:pt idx="31">
                  <c:v>-0.33</c:v>
                </c:pt>
                <c:pt idx="32">
                  <c:v>-0.28999999999999998</c:v>
                </c:pt>
                <c:pt idx="33">
                  <c:v>0.12</c:v>
                </c:pt>
                <c:pt idx="34">
                  <c:v>0.31</c:v>
                </c:pt>
                <c:pt idx="35">
                  <c:v>0.19</c:v>
                </c:pt>
                <c:pt idx="36">
                  <c:v>0.46</c:v>
                </c:pt>
                <c:pt idx="37">
                  <c:v>0.55000000000000004</c:v>
                </c:pt>
                <c:pt idx="38">
                  <c:v>0.62</c:v>
                </c:pt>
                <c:pt idx="39">
                  <c:v>0.6</c:v>
                </c:pt>
                <c:pt idx="40">
                  <c:v>0.7</c:v>
                </c:pt>
                <c:pt idx="41">
                  <c:v>0.89</c:v>
                </c:pt>
                <c:pt idx="42">
                  <c:v>1.0900000000000001</c:v>
                </c:pt>
                <c:pt idx="43">
                  <c:v>1.26</c:v>
                </c:pt>
                <c:pt idx="44">
                  <c:v>1.34</c:v>
                </c:pt>
                <c:pt idx="45">
                  <c:v>1.44</c:v>
                </c:pt>
                <c:pt idx="46">
                  <c:v>1.49</c:v>
                </c:pt>
                <c:pt idx="47">
                  <c:v>1.52</c:v>
                </c:pt>
                <c:pt idx="48">
                  <c:v>1.66</c:v>
                </c:pt>
                <c:pt idx="49">
                  <c:v>1.74</c:v>
                </c:pt>
                <c:pt idx="50">
                  <c:v>1.71</c:v>
                </c:pt>
                <c:pt idx="51">
                  <c:v>1.63</c:v>
                </c:pt>
                <c:pt idx="52">
                  <c:v>1.62</c:v>
                </c:pt>
                <c:pt idx="53">
                  <c:v>1.52</c:v>
                </c:pt>
                <c:pt idx="54">
                  <c:v>1.35</c:v>
                </c:pt>
                <c:pt idx="55">
                  <c:v>0.85</c:v>
                </c:pt>
                <c:pt idx="56">
                  <c:v>1.07</c:v>
                </c:pt>
                <c:pt idx="57">
                  <c:v>1.17</c:v>
                </c:pt>
                <c:pt idx="58">
                  <c:v>1.33</c:v>
                </c:pt>
                <c:pt idx="59">
                  <c:v>1.36</c:v>
                </c:pt>
                <c:pt idx="60">
                  <c:v>1.55</c:v>
                </c:pt>
                <c:pt idx="61">
                  <c:v>1.57</c:v>
                </c:pt>
                <c:pt idx="62">
                  <c:v>1.27</c:v>
                </c:pt>
                <c:pt idx="63">
                  <c:v>0.71</c:v>
                </c:pt>
                <c:pt idx="64">
                  <c:v>0.13</c:v>
                </c:pt>
                <c:pt idx="65">
                  <c:v>0.08</c:v>
                </c:pt>
                <c:pt idx="66">
                  <c:v>0.02</c:v>
                </c:pt>
              </c:numCache>
            </c:numRef>
          </c:val>
          <c:smooth val="0"/>
          <c:extLst>
            <c:ext xmlns:c16="http://schemas.microsoft.com/office/drawing/2014/chart" uri="{C3380CC4-5D6E-409C-BE32-E72D297353CC}">
              <c16:uniqueId val="{00000001-526E-4743-94F5-EFF6B5C86702}"/>
            </c:ext>
          </c:extLst>
        </c:ser>
        <c:ser>
          <c:idx val="1"/>
          <c:order val="2"/>
          <c:tx>
            <c:strRef>
              <c:f>'Měnové podmínky 1'!$D$5</c:f>
              <c:strCache>
                <c:ptCount val="1"/>
                <c:pt idx="0">
                  <c:v>PRIBOR (3M)</c:v>
                </c:pt>
              </c:strCache>
            </c:strRef>
          </c:tx>
          <c:spPr>
            <a:ln w="19050">
              <a:solidFill>
                <a:srgbClr val="0071BC"/>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1'!$D$42:$D$108</c:f>
              <c:numCache>
                <c:formatCode>General</c:formatCode>
                <c:ptCount val="67"/>
                <c:pt idx="0">
                  <c:v>0.33</c:v>
                </c:pt>
                <c:pt idx="1">
                  <c:v>0.33</c:v>
                </c:pt>
                <c:pt idx="2">
                  <c:v>0.32</c:v>
                </c:pt>
                <c:pt idx="3">
                  <c:v>0.31</c:v>
                </c:pt>
                <c:pt idx="4">
                  <c:v>0.31</c:v>
                </c:pt>
                <c:pt idx="5">
                  <c:v>0.31</c:v>
                </c:pt>
                <c:pt idx="6">
                  <c:v>0.31</c:v>
                </c:pt>
                <c:pt idx="7">
                  <c:v>0.31</c:v>
                </c:pt>
                <c:pt idx="8">
                  <c:v>0.3</c:v>
                </c:pt>
                <c:pt idx="9">
                  <c:v>0.28999999999999998</c:v>
                </c:pt>
                <c:pt idx="10">
                  <c:v>0.28999999999999998</c:v>
                </c:pt>
                <c:pt idx="11">
                  <c:v>0.28999999999999998</c:v>
                </c:pt>
                <c:pt idx="12">
                  <c:v>0.28999999999999998</c:v>
                </c:pt>
                <c:pt idx="13">
                  <c:v>0.28000000000000003</c:v>
                </c:pt>
                <c:pt idx="14">
                  <c:v>0.28999999999999998</c:v>
                </c:pt>
                <c:pt idx="15">
                  <c:v>0.28999999999999998</c:v>
                </c:pt>
                <c:pt idx="16">
                  <c:v>0.28999999999999998</c:v>
                </c:pt>
                <c:pt idx="17">
                  <c:v>0.28999999999999998</c:v>
                </c:pt>
                <c:pt idx="18">
                  <c:v>0.28999999999999998</c:v>
                </c:pt>
                <c:pt idx="19">
                  <c:v>0.28999999999999998</c:v>
                </c:pt>
                <c:pt idx="20">
                  <c:v>0.28999999999999998</c:v>
                </c:pt>
                <c:pt idx="21">
                  <c:v>0.28999999999999998</c:v>
                </c:pt>
                <c:pt idx="22">
                  <c:v>0.28999999999999998</c:v>
                </c:pt>
                <c:pt idx="23">
                  <c:v>0.28999999999999998</c:v>
                </c:pt>
                <c:pt idx="24">
                  <c:v>0.28000000000000003</c:v>
                </c:pt>
                <c:pt idx="25">
                  <c:v>0.28000000000000003</c:v>
                </c:pt>
                <c:pt idx="26">
                  <c:v>0.28000000000000003</c:v>
                </c:pt>
                <c:pt idx="27">
                  <c:v>0.28999999999999998</c:v>
                </c:pt>
                <c:pt idx="28">
                  <c:v>0.3</c:v>
                </c:pt>
                <c:pt idx="29">
                  <c:v>0.3</c:v>
                </c:pt>
                <c:pt idx="30">
                  <c:v>0.3</c:v>
                </c:pt>
                <c:pt idx="31">
                  <c:v>0.43</c:v>
                </c:pt>
                <c:pt idx="32">
                  <c:v>0.46</c:v>
                </c:pt>
                <c:pt idx="33">
                  <c:v>0.51</c:v>
                </c:pt>
                <c:pt idx="34">
                  <c:v>0.71</c:v>
                </c:pt>
                <c:pt idx="35">
                  <c:v>0.75</c:v>
                </c:pt>
                <c:pt idx="36">
                  <c:v>0.77</c:v>
                </c:pt>
                <c:pt idx="37">
                  <c:v>0.9</c:v>
                </c:pt>
                <c:pt idx="38">
                  <c:v>0.9</c:v>
                </c:pt>
                <c:pt idx="39">
                  <c:v>0.9</c:v>
                </c:pt>
                <c:pt idx="40">
                  <c:v>0.9</c:v>
                </c:pt>
                <c:pt idx="41">
                  <c:v>0.93</c:v>
                </c:pt>
                <c:pt idx="42">
                  <c:v>1.18</c:v>
                </c:pt>
                <c:pt idx="43">
                  <c:v>1.45</c:v>
                </c:pt>
                <c:pt idx="44">
                  <c:v>1.54</c:v>
                </c:pt>
                <c:pt idx="45">
                  <c:v>1.76</c:v>
                </c:pt>
                <c:pt idx="46">
                  <c:v>1.99</c:v>
                </c:pt>
                <c:pt idx="47">
                  <c:v>2.0099999999999998</c:v>
                </c:pt>
                <c:pt idx="48">
                  <c:v>2.0099999999999998</c:v>
                </c:pt>
                <c:pt idx="49">
                  <c:v>2.0099999999999998</c:v>
                </c:pt>
                <c:pt idx="50">
                  <c:v>2.0299999999999998</c:v>
                </c:pt>
                <c:pt idx="51">
                  <c:v>2.02</c:v>
                </c:pt>
                <c:pt idx="52">
                  <c:v>2.19</c:v>
                </c:pt>
                <c:pt idx="53">
                  <c:v>2.17</c:v>
                </c:pt>
                <c:pt idx="54">
                  <c:v>2.16</c:v>
                </c:pt>
                <c:pt idx="55">
                  <c:v>2.14</c:v>
                </c:pt>
                <c:pt idx="56">
                  <c:v>2.14</c:v>
                </c:pt>
                <c:pt idx="57">
                  <c:v>2.17</c:v>
                </c:pt>
                <c:pt idx="58">
                  <c:v>2.1800000000000002</c:v>
                </c:pt>
                <c:pt idx="59">
                  <c:v>2.1800000000000002</c:v>
                </c:pt>
                <c:pt idx="60">
                  <c:v>2.17</c:v>
                </c:pt>
                <c:pt idx="61">
                  <c:v>2.34</c:v>
                </c:pt>
                <c:pt idx="62">
                  <c:v>2</c:v>
                </c:pt>
                <c:pt idx="63">
                  <c:v>0.97</c:v>
                </c:pt>
                <c:pt idx="64">
                  <c:v>0.46</c:v>
                </c:pt>
                <c:pt idx="65">
                  <c:v>0.34</c:v>
                </c:pt>
                <c:pt idx="66">
                  <c:v>0.34</c:v>
                </c:pt>
              </c:numCache>
            </c:numRef>
          </c:val>
          <c:smooth val="0"/>
          <c:extLst>
            <c:ext xmlns:c16="http://schemas.microsoft.com/office/drawing/2014/chart" uri="{C3380CC4-5D6E-409C-BE32-E72D297353CC}">
              <c16:uniqueId val="{00000002-526E-4743-94F5-EFF6B5C86702}"/>
            </c:ext>
          </c:extLst>
        </c:ser>
        <c:ser>
          <c:idx val="4"/>
          <c:order val="3"/>
          <c:tx>
            <c:strRef>
              <c:f>'Měnové podmínky 1'!$G$5</c:f>
              <c:strCache>
                <c:ptCount val="1"/>
                <c:pt idx="0">
                  <c:v>Average yield of government bonds (5Y)</c:v>
                </c:pt>
              </c:strCache>
            </c:strRef>
          </c:tx>
          <c:spPr>
            <a:ln w="19050">
              <a:solidFill>
                <a:srgbClr val="F8A124"/>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1'!$G$42:$G$108</c:f>
              <c:numCache>
                <c:formatCode>General</c:formatCode>
                <c:ptCount val="67"/>
                <c:pt idx="0">
                  <c:v>0.13</c:v>
                </c:pt>
                <c:pt idx="1">
                  <c:v>0.17</c:v>
                </c:pt>
                <c:pt idx="2">
                  <c:v>0.14000000000000001</c:v>
                </c:pt>
                <c:pt idx="3">
                  <c:v>0.05</c:v>
                </c:pt>
                <c:pt idx="4">
                  <c:v>0.22</c:v>
                </c:pt>
                <c:pt idx="5">
                  <c:v>0.43</c:v>
                </c:pt>
                <c:pt idx="6">
                  <c:v>0.35</c:v>
                </c:pt>
                <c:pt idx="7">
                  <c:v>0.2</c:v>
                </c:pt>
                <c:pt idx="8">
                  <c:v>0.06</c:v>
                </c:pt>
                <c:pt idx="9">
                  <c:v>-0.05</c:v>
                </c:pt>
                <c:pt idx="10">
                  <c:v>-0.05</c:v>
                </c:pt>
                <c:pt idx="11">
                  <c:v>-0.11</c:v>
                </c:pt>
                <c:pt idx="12">
                  <c:v>0.04</c:v>
                </c:pt>
                <c:pt idx="13">
                  <c:v>-0.08</c:v>
                </c:pt>
                <c:pt idx="14">
                  <c:v>-0.1</c:v>
                </c:pt>
                <c:pt idx="15">
                  <c:v>0.04</c:v>
                </c:pt>
                <c:pt idx="16">
                  <c:v>7.0000000000000007E-2</c:v>
                </c:pt>
                <c:pt idx="17">
                  <c:v>0.05</c:v>
                </c:pt>
                <c:pt idx="18">
                  <c:v>-0.02</c:v>
                </c:pt>
                <c:pt idx="19">
                  <c:v>-0.09</c:v>
                </c:pt>
                <c:pt idx="20">
                  <c:v>-0.19</c:v>
                </c:pt>
                <c:pt idx="21">
                  <c:v>-0.17</c:v>
                </c:pt>
                <c:pt idx="22">
                  <c:v>-0.17</c:v>
                </c:pt>
                <c:pt idx="23">
                  <c:v>-0.21</c:v>
                </c:pt>
                <c:pt idx="24">
                  <c:v>-0.22</c:v>
                </c:pt>
                <c:pt idx="25">
                  <c:v>0.09</c:v>
                </c:pt>
                <c:pt idx="26">
                  <c:v>0.1</c:v>
                </c:pt>
                <c:pt idx="27">
                  <c:v>0.16</c:v>
                </c:pt>
                <c:pt idx="28">
                  <c:v>0.04</c:v>
                </c:pt>
                <c:pt idx="29">
                  <c:v>-0.03</c:v>
                </c:pt>
                <c:pt idx="30">
                  <c:v>0.14000000000000001</c:v>
                </c:pt>
                <c:pt idx="31">
                  <c:v>0.09</c:v>
                </c:pt>
                <c:pt idx="32">
                  <c:v>0.1</c:v>
                </c:pt>
                <c:pt idx="33">
                  <c:v>0.63</c:v>
                </c:pt>
                <c:pt idx="34">
                  <c:v>0.87</c:v>
                </c:pt>
                <c:pt idx="35">
                  <c:v>0.68</c:v>
                </c:pt>
                <c:pt idx="36">
                  <c:v>0.99</c:v>
                </c:pt>
                <c:pt idx="37">
                  <c:v>1.07</c:v>
                </c:pt>
                <c:pt idx="38">
                  <c:v>1.0900000000000001</c:v>
                </c:pt>
                <c:pt idx="39">
                  <c:v>1.05</c:v>
                </c:pt>
                <c:pt idx="40">
                  <c:v>1.21</c:v>
                </c:pt>
                <c:pt idx="41">
                  <c:v>1.41</c:v>
                </c:pt>
                <c:pt idx="42">
                  <c:v>1.44</c:v>
                </c:pt>
                <c:pt idx="43">
                  <c:v>1.55</c:v>
                </c:pt>
                <c:pt idx="44">
                  <c:v>1.7</c:v>
                </c:pt>
                <c:pt idx="45">
                  <c:v>1.81</c:v>
                </c:pt>
                <c:pt idx="46">
                  <c:v>1.79</c:v>
                </c:pt>
                <c:pt idx="47">
                  <c:v>1.71</c:v>
                </c:pt>
                <c:pt idx="48">
                  <c:v>1.6</c:v>
                </c:pt>
                <c:pt idx="49">
                  <c:v>1.61</c:v>
                </c:pt>
                <c:pt idx="50">
                  <c:v>1.7</c:v>
                </c:pt>
                <c:pt idx="51">
                  <c:v>1.63</c:v>
                </c:pt>
                <c:pt idx="52">
                  <c:v>1.57</c:v>
                </c:pt>
                <c:pt idx="53">
                  <c:v>1.43</c:v>
                </c:pt>
                <c:pt idx="54">
                  <c:v>1.31</c:v>
                </c:pt>
                <c:pt idx="55">
                  <c:v>0.89</c:v>
                </c:pt>
                <c:pt idx="56">
                  <c:v>1.1299999999999999</c:v>
                </c:pt>
                <c:pt idx="57">
                  <c:v>1.23</c:v>
                </c:pt>
                <c:pt idx="58">
                  <c:v>1.32</c:v>
                </c:pt>
                <c:pt idx="59">
                  <c:v>1.31</c:v>
                </c:pt>
                <c:pt idx="60">
                  <c:v>1.51</c:v>
                </c:pt>
                <c:pt idx="61">
                  <c:v>1.52</c:v>
                </c:pt>
                <c:pt idx="62">
                  <c:v>1.23</c:v>
                </c:pt>
                <c:pt idx="63">
                  <c:v>1.06</c:v>
                </c:pt>
                <c:pt idx="64">
                  <c:v>0.56999999999999995</c:v>
                </c:pt>
                <c:pt idx="65">
                  <c:v>0.52</c:v>
                </c:pt>
                <c:pt idx="66">
                  <c:v>0.52</c:v>
                </c:pt>
              </c:numCache>
            </c:numRef>
          </c:val>
          <c:smooth val="0"/>
          <c:extLst>
            <c:ext xmlns:c16="http://schemas.microsoft.com/office/drawing/2014/chart" uri="{C3380CC4-5D6E-409C-BE32-E72D297353CC}">
              <c16:uniqueId val="{00000003-526E-4743-94F5-EFF6B5C86702}"/>
            </c:ext>
          </c:extLst>
        </c:ser>
        <c:ser>
          <c:idx val="2"/>
          <c:order val="4"/>
          <c:tx>
            <c:strRef>
              <c:f>'Měnové podmínky 1'!$E$5</c:f>
              <c:strCache>
                <c:ptCount val="1"/>
                <c:pt idx="0">
                  <c:v>PRIBOR (1Y)</c:v>
                </c:pt>
              </c:strCache>
            </c:strRef>
          </c:tx>
          <c:spPr>
            <a:ln w="19050">
              <a:solidFill>
                <a:srgbClr val="BD1B21"/>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1'!$E$42:$E$108</c:f>
              <c:numCache>
                <c:formatCode>General</c:formatCode>
                <c:ptCount val="67"/>
                <c:pt idx="0">
                  <c:v>0.51</c:v>
                </c:pt>
                <c:pt idx="1">
                  <c:v>0.51</c:v>
                </c:pt>
                <c:pt idx="2">
                  <c:v>0.49</c:v>
                </c:pt>
                <c:pt idx="3">
                  <c:v>0.48</c:v>
                </c:pt>
                <c:pt idx="4">
                  <c:v>0.48</c:v>
                </c:pt>
                <c:pt idx="5">
                  <c:v>0.48</c:v>
                </c:pt>
                <c:pt idx="6">
                  <c:v>0.48</c:v>
                </c:pt>
                <c:pt idx="7">
                  <c:v>0.48</c:v>
                </c:pt>
                <c:pt idx="8">
                  <c:v>0.47</c:v>
                </c:pt>
                <c:pt idx="9">
                  <c:v>0.46</c:v>
                </c:pt>
                <c:pt idx="10">
                  <c:v>0.46</c:v>
                </c:pt>
                <c:pt idx="11">
                  <c:v>0.46</c:v>
                </c:pt>
                <c:pt idx="12">
                  <c:v>0.45</c:v>
                </c:pt>
                <c:pt idx="13">
                  <c:v>0.45</c:v>
                </c:pt>
                <c:pt idx="14">
                  <c:v>0.45</c:v>
                </c:pt>
                <c:pt idx="15">
                  <c:v>0.45</c:v>
                </c:pt>
                <c:pt idx="16">
                  <c:v>0.45</c:v>
                </c:pt>
                <c:pt idx="17">
                  <c:v>0.45</c:v>
                </c:pt>
                <c:pt idx="18">
                  <c:v>0.45</c:v>
                </c:pt>
                <c:pt idx="19">
                  <c:v>0.45</c:v>
                </c:pt>
                <c:pt idx="20">
                  <c:v>0.45</c:v>
                </c:pt>
                <c:pt idx="21">
                  <c:v>0.45</c:v>
                </c:pt>
                <c:pt idx="22">
                  <c:v>0.45</c:v>
                </c:pt>
                <c:pt idx="23">
                  <c:v>0.45</c:v>
                </c:pt>
                <c:pt idx="24">
                  <c:v>0.44</c:v>
                </c:pt>
                <c:pt idx="25">
                  <c:v>0.44</c:v>
                </c:pt>
                <c:pt idx="26">
                  <c:v>0.44</c:v>
                </c:pt>
                <c:pt idx="27">
                  <c:v>0.45</c:v>
                </c:pt>
                <c:pt idx="28">
                  <c:v>0.46</c:v>
                </c:pt>
                <c:pt idx="29">
                  <c:v>0.46</c:v>
                </c:pt>
                <c:pt idx="30">
                  <c:v>0.47</c:v>
                </c:pt>
                <c:pt idx="31">
                  <c:v>0.6</c:v>
                </c:pt>
                <c:pt idx="32">
                  <c:v>0.64</c:v>
                </c:pt>
                <c:pt idx="33">
                  <c:v>0.69</c:v>
                </c:pt>
                <c:pt idx="34">
                  <c:v>0.91</c:v>
                </c:pt>
                <c:pt idx="35">
                  <c:v>0.96</c:v>
                </c:pt>
                <c:pt idx="36">
                  <c:v>0.98</c:v>
                </c:pt>
                <c:pt idx="37">
                  <c:v>1.1100000000000001</c:v>
                </c:pt>
                <c:pt idx="38">
                  <c:v>1.1200000000000001</c:v>
                </c:pt>
                <c:pt idx="39">
                  <c:v>1.1200000000000001</c:v>
                </c:pt>
                <c:pt idx="40">
                  <c:v>1.1200000000000001</c:v>
                </c:pt>
                <c:pt idx="41">
                  <c:v>1.1499999999999999</c:v>
                </c:pt>
                <c:pt idx="42">
                  <c:v>1.39</c:v>
                </c:pt>
                <c:pt idx="43">
                  <c:v>1.67</c:v>
                </c:pt>
                <c:pt idx="44">
                  <c:v>1.79</c:v>
                </c:pt>
                <c:pt idx="45">
                  <c:v>1.95</c:v>
                </c:pt>
                <c:pt idx="46">
                  <c:v>2.1800000000000002</c:v>
                </c:pt>
                <c:pt idx="47">
                  <c:v>2.21</c:v>
                </c:pt>
                <c:pt idx="48">
                  <c:v>2.21</c:v>
                </c:pt>
                <c:pt idx="49">
                  <c:v>2.2000000000000002</c:v>
                </c:pt>
                <c:pt idx="50">
                  <c:v>2.2000000000000002</c:v>
                </c:pt>
                <c:pt idx="51">
                  <c:v>2.21</c:v>
                </c:pt>
                <c:pt idx="52">
                  <c:v>2.3199999999999998</c:v>
                </c:pt>
                <c:pt idx="53">
                  <c:v>2.29</c:v>
                </c:pt>
                <c:pt idx="54">
                  <c:v>2.2799999999999998</c:v>
                </c:pt>
                <c:pt idx="55">
                  <c:v>2.2200000000000002</c:v>
                </c:pt>
                <c:pt idx="56">
                  <c:v>2.2000000000000002</c:v>
                </c:pt>
                <c:pt idx="57">
                  <c:v>2.2799999999999998</c:v>
                </c:pt>
                <c:pt idx="58">
                  <c:v>2.2799999999999998</c:v>
                </c:pt>
                <c:pt idx="59">
                  <c:v>2.27</c:v>
                </c:pt>
                <c:pt idx="60">
                  <c:v>2.27</c:v>
                </c:pt>
                <c:pt idx="61">
                  <c:v>2.42</c:v>
                </c:pt>
                <c:pt idx="62">
                  <c:v>2.0099999999999998</c:v>
                </c:pt>
                <c:pt idx="63">
                  <c:v>0.92</c:v>
                </c:pt>
                <c:pt idx="64">
                  <c:v>0.51</c:v>
                </c:pt>
                <c:pt idx="65">
                  <c:v>0.43</c:v>
                </c:pt>
                <c:pt idx="66">
                  <c:v>0.43</c:v>
                </c:pt>
              </c:numCache>
            </c:numRef>
          </c:val>
          <c:smooth val="0"/>
          <c:extLst>
            <c:ext xmlns:c16="http://schemas.microsoft.com/office/drawing/2014/chart" uri="{C3380CC4-5D6E-409C-BE32-E72D297353CC}">
              <c16:uniqueId val="{00000004-526E-4743-94F5-EFF6B5C86702}"/>
            </c:ext>
          </c:extLst>
        </c:ser>
        <c:ser>
          <c:idx val="5"/>
          <c:order val="5"/>
          <c:tx>
            <c:strRef>
              <c:f>'Měnové podmínky 1'!$H$5</c:f>
              <c:strCache>
                <c:ptCount val="1"/>
                <c:pt idx="0">
                  <c:v>Average yield of government bonds (10Y)</c:v>
                </c:pt>
              </c:strCache>
            </c:strRef>
          </c:tx>
          <c:spPr>
            <a:ln w="19050">
              <a:solidFill>
                <a:srgbClr val="48AEE7"/>
              </a:solidFill>
            </a:ln>
          </c:spPr>
          <c:marker>
            <c:symbol val="none"/>
          </c:marker>
          <c:cat>
            <c:multiLvlStrRef>
              <c:f>'Měnové podmínky 1'!$A$42:$B$108</c:f>
              <c:multiLvlStrCache>
                <c:ptCount val="67"/>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lvl>
                <c:lvl>
                  <c:pt idx="0">
                    <c:v>2015</c:v>
                  </c:pt>
                  <c:pt idx="12">
                    <c:v>2016</c:v>
                  </c:pt>
                  <c:pt idx="24">
                    <c:v>2017</c:v>
                  </c:pt>
                  <c:pt idx="36">
                    <c:v>2018</c:v>
                  </c:pt>
                  <c:pt idx="48">
                    <c:v>2019</c:v>
                  </c:pt>
                  <c:pt idx="60">
                    <c:v>2020</c:v>
                  </c:pt>
                </c:lvl>
              </c:multiLvlStrCache>
            </c:multiLvlStrRef>
          </c:cat>
          <c:val>
            <c:numRef>
              <c:f>'Měnové podmínky 1'!$H$42:$H$108</c:f>
              <c:numCache>
                <c:formatCode>General</c:formatCode>
                <c:ptCount val="67"/>
                <c:pt idx="0">
                  <c:v>0.35</c:v>
                </c:pt>
                <c:pt idx="1">
                  <c:v>0.4</c:v>
                </c:pt>
                <c:pt idx="2">
                  <c:v>0.35</c:v>
                </c:pt>
                <c:pt idx="3">
                  <c:v>0.26</c:v>
                </c:pt>
                <c:pt idx="4">
                  <c:v>0.6</c:v>
                </c:pt>
                <c:pt idx="5">
                  <c:v>1.01</c:v>
                </c:pt>
                <c:pt idx="6">
                  <c:v>0.97</c:v>
                </c:pt>
                <c:pt idx="7">
                  <c:v>0.74</c:v>
                </c:pt>
                <c:pt idx="8">
                  <c:v>0.68</c:v>
                </c:pt>
                <c:pt idx="9">
                  <c:v>0.56000000000000005</c:v>
                </c:pt>
                <c:pt idx="10">
                  <c:v>0.49</c:v>
                </c:pt>
                <c:pt idx="11">
                  <c:v>0.49</c:v>
                </c:pt>
                <c:pt idx="12">
                  <c:v>0.62</c:v>
                </c:pt>
                <c:pt idx="13">
                  <c:v>0.46</c:v>
                </c:pt>
                <c:pt idx="14">
                  <c:v>0.35</c:v>
                </c:pt>
                <c:pt idx="15">
                  <c:v>0.43</c:v>
                </c:pt>
                <c:pt idx="16">
                  <c:v>0.46</c:v>
                </c:pt>
                <c:pt idx="17">
                  <c:v>0.45</c:v>
                </c:pt>
                <c:pt idx="18">
                  <c:v>0.37</c:v>
                </c:pt>
                <c:pt idx="19">
                  <c:v>0.28999999999999998</c:v>
                </c:pt>
                <c:pt idx="20">
                  <c:v>0.25</c:v>
                </c:pt>
                <c:pt idx="21">
                  <c:v>0.37</c:v>
                </c:pt>
                <c:pt idx="22">
                  <c:v>0.55000000000000004</c:v>
                </c:pt>
                <c:pt idx="23">
                  <c:v>0.53</c:v>
                </c:pt>
                <c:pt idx="24">
                  <c:v>0.47</c:v>
                </c:pt>
                <c:pt idx="25">
                  <c:v>0.63</c:v>
                </c:pt>
                <c:pt idx="26">
                  <c:v>0.87</c:v>
                </c:pt>
                <c:pt idx="27">
                  <c:v>0.96</c:v>
                </c:pt>
                <c:pt idx="28">
                  <c:v>0.74</c:v>
                </c:pt>
                <c:pt idx="29">
                  <c:v>0.77</c:v>
                </c:pt>
                <c:pt idx="30">
                  <c:v>0.9</c:v>
                </c:pt>
                <c:pt idx="31">
                  <c:v>0.83</c:v>
                </c:pt>
                <c:pt idx="32">
                  <c:v>0.97</c:v>
                </c:pt>
                <c:pt idx="33">
                  <c:v>1.45</c:v>
                </c:pt>
                <c:pt idx="34">
                  <c:v>1.68</c:v>
                </c:pt>
                <c:pt idx="35">
                  <c:v>1.5</c:v>
                </c:pt>
                <c:pt idx="36">
                  <c:v>1.77</c:v>
                </c:pt>
                <c:pt idx="37">
                  <c:v>1.82</c:v>
                </c:pt>
                <c:pt idx="38">
                  <c:v>1.81</c:v>
                </c:pt>
                <c:pt idx="39">
                  <c:v>1.74</c:v>
                </c:pt>
                <c:pt idx="40">
                  <c:v>1.89</c:v>
                </c:pt>
                <c:pt idx="41">
                  <c:v>2.14</c:v>
                </c:pt>
                <c:pt idx="42">
                  <c:v>2.11</c:v>
                </c:pt>
                <c:pt idx="43">
                  <c:v>2.14</c:v>
                </c:pt>
                <c:pt idx="44">
                  <c:v>2.14</c:v>
                </c:pt>
                <c:pt idx="45">
                  <c:v>2.14</c:v>
                </c:pt>
                <c:pt idx="46">
                  <c:v>2.0699999999999998</c:v>
                </c:pt>
                <c:pt idx="47">
                  <c:v>2.0099999999999998</c:v>
                </c:pt>
                <c:pt idx="48">
                  <c:v>1.85</c:v>
                </c:pt>
                <c:pt idx="49">
                  <c:v>1.76</c:v>
                </c:pt>
                <c:pt idx="50">
                  <c:v>1.82</c:v>
                </c:pt>
                <c:pt idx="51">
                  <c:v>1.82</c:v>
                </c:pt>
                <c:pt idx="52">
                  <c:v>1.86</c:v>
                </c:pt>
                <c:pt idx="53">
                  <c:v>1.58</c:v>
                </c:pt>
                <c:pt idx="54">
                  <c:v>1.36</c:v>
                </c:pt>
                <c:pt idx="55">
                  <c:v>0.99</c:v>
                </c:pt>
                <c:pt idx="56">
                  <c:v>1.24</c:v>
                </c:pt>
                <c:pt idx="57">
                  <c:v>1.32</c:v>
                </c:pt>
                <c:pt idx="58">
                  <c:v>1.47</c:v>
                </c:pt>
                <c:pt idx="59">
                  <c:v>1.51</c:v>
                </c:pt>
                <c:pt idx="60">
                  <c:v>1.62</c:v>
                </c:pt>
                <c:pt idx="61">
                  <c:v>1.47</c:v>
                </c:pt>
                <c:pt idx="62">
                  <c:v>1.28</c:v>
                </c:pt>
                <c:pt idx="63">
                  <c:v>1.28</c:v>
                </c:pt>
                <c:pt idx="64">
                  <c:v>0.92</c:v>
                </c:pt>
                <c:pt idx="65">
                  <c:v>0.86</c:v>
                </c:pt>
                <c:pt idx="66">
                  <c:v>0.86</c:v>
                </c:pt>
              </c:numCache>
            </c:numRef>
          </c:val>
          <c:smooth val="0"/>
          <c:extLst>
            <c:ext xmlns:c16="http://schemas.microsoft.com/office/drawing/2014/chart" uri="{C3380CC4-5D6E-409C-BE32-E72D297353CC}">
              <c16:uniqueId val="{00000005-526E-4743-94F5-EFF6B5C86702}"/>
            </c:ext>
          </c:extLst>
        </c:ser>
        <c:dLbls>
          <c:showLegendKey val="0"/>
          <c:showVal val="0"/>
          <c:showCatName val="0"/>
          <c:showSerName val="0"/>
          <c:showPercent val="0"/>
          <c:showBubbleSize val="0"/>
        </c:dLbls>
        <c:marker val="1"/>
        <c:smooth val="0"/>
        <c:axId val="131001344"/>
        <c:axId val="131027712"/>
      </c:lineChart>
      <c:catAx>
        <c:axId val="131001344"/>
        <c:scaling>
          <c:orientation val="minMax"/>
        </c:scaling>
        <c:delete val="0"/>
        <c:axPos val="b"/>
        <c:numFmt formatCode="General" sourceLinked="0"/>
        <c:majorTickMark val="out"/>
        <c:minorTickMark val="none"/>
        <c:tickLblPos val="low"/>
        <c:spPr>
          <a:ln>
            <a:solidFill>
              <a:schemeClr val="tx1"/>
            </a:solidFill>
          </a:ln>
        </c:spPr>
        <c:crossAx val="131027712"/>
        <c:crosses val="autoZero"/>
        <c:auto val="1"/>
        <c:lblAlgn val="ctr"/>
        <c:lblOffset val="100"/>
        <c:noMultiLvlLbl val="0"/>
      </c:catAx>
      <c:valAx>
        <c:axId val="131027712"/>
        <c:scaling>
          <c:orientation val="minMax"/>
          <c:min val="-1"/>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1001344"/>
        <c:crosses val="autoZero"/>
        <c:crossBetween val="between"/>
        <c:majorUnit val="1"/>
      </c:valAx>
      <c:spPr>
        <a:ln>
          <a:solidFill>
            <a:schemeClr val="tx1"/>
          </a:solidFill>
        </a:ln>
      </c:spPr>
    </c:plotArea>
    <c:legend>
      <c:legendPos val="b"/>
      <c:layout>
        <c:manualLayout>
          <c:xMode val="edge"/>
          <c:yMode val="edge"/>
          <c:x val="4.2139690982776527E-2"/>
          <c:y val="0.87558269120103249"/>
          <c:w val="0.93886651469098281"/>
          <c:h val="0.11015705924459968"/>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7249254434649833E-2"/>
          <c:y val="1.7107238390107405E-2"/>
          <c:w val="0.8384774170920607"/>
          <c:h val="0.76773300827841073"/>
        </c:manualLayout>
      </c:layout>
      <c:barChart>
        <c:barDir val="col"/>
        <c:grouping val="clustered"/>
        <c:varyColors val="0"/>
        <c:ser>
          <c:idx val="4"/>
          <c:order val="3"/>
          <c:tx>
            <c:strRef>
              <c:f>'G1-Státní rozpočet-příjmy'!$A$38</c:f>
              <c:strCache>
                <c:ptCount val="1"/>
                <c:pt idx="0">
                  <c:v>State budget balance (SB, right axis)</c:v>
                </c:pt>
              </c:strCache>
            </c:strRef>
          </c:tx>
          <c:spPr>
            <a:solidFill>
              <a:schemeClr val="bg1">
                <a:lumMod val="65000"/>
              </a:schemeClr>
            </a:solidFill>
          </c:spPr>
          <c:invertIfNegative val="0"/>
          <c:cat>
            <c:numRef>
              <c:f>'G1-Státní rozpočet-příjmy'!$B$34:$Q$34</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'G1-Státní rozpočet-příjmy'!$B$38:$Q$38</c:f>
              <c:numCache>
                <c:formatCode>#\ ##0.0</c:formatCode>
                <c:ptCount val="16"/>
                <c:pt idx="0">
                  <c:v>3.76</c:v>
                </c:pt>
                <c:pt idx="1">
                  <c:v>7.64</c:v>
                </c:pt>
                <c:pt idx="2">
                  <c:v>1.2749999999999999</c:v>
                </c:pt>
                <c:pt idx="3">
                  <c:v>-5.6520000000000001</c:v>
                </c:pt>
                <c:pt idx="4">
                  <c:v>-68.259</c:v>
                </c:pt>
                <c:pt idx="5">
                  <c:v>-75.662000000000006</c:v>
                </c:pt>
                <c:pt idx="6">
                  <c:v>-62.856000000000002</c:v>
                </c:pt>
                <c:pt idx="7">
                  <c:v>-71.721999999999994</c:v>
                </c:pt>
                <c:pt idx="8">
                  <c:v>-31.52</c:v>
                </c:pt>
                <c:pt idx="9">
                  <c:v>1.45</c:v>
                </c:pt>
                <c:pt idx="10">
                  <c:v>22.65</c:v>
                </c:pt>
                <c:pt idx="11">
                  <c:v>40.65</c:v>
                </c:pt>
                <c:pt idx="12">
                  <c:v>4.62</c:v>
                </c:pt>
                <c:pt idx="13">
                  <c:v>-5.88</c:v>
                </c:pt>
                <c:pt idx="14">
                  <c:v>-20.68</c:v>
                </c:pt>
                <c:pt idx="15">
                  <c:v>-195.24722774568022</c:v>
                </c:pt>
              </c:numCache>
            </c:numRef>
          </c:val>
          <c:extLst>
            <c:ext xmlns:c16="http://schemas.microsoft.com/office/drawing/2014/chart" uri="{C3380CC4-5D6E-409C-BE32-E72D297353CC}">
              <c16:uniqueId val="{00000000-5359-4460-A9DB-ED351C0BE53A}"/>
            </c:ext>
          </c:extLst>
        </c:ser>
        <c:ser>
          <c:idx val="2"/>
          <c:order val="4"/>
          <c:tx>
            <c:strRef>
              <c:f>'G1-Státní rozpočet-příjmy'!$A$39</c:f>
              <c:strCache>
                <c:ptCount val="1"/>
                <c:pt idx="0">
                  <c:v>SB balance adjusted for effect of EU and FM* (right axis)</c:v>
                </c:pt>
              </c:strCache>
            </c:strRef>
          </c:tx>
          <c:spPr>
            <a:solidFill>
              <a:schemeClr val="bg1">
                <a:lumMod val="85000"/>
              </a:schemeClr>
            </a:solidFill>
            <a:ln w="28575">
              <a:noFill/>
            </a:ln>
          </c:spPr>
          <c:invertIfNegative val="0"/>
          <c:cat>
            <c:numRef>
              <c:f>'G1-Státní rozpočet-příjmy'!$B$34:$Q$34</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'G1-Státní rozpočet-příjmy'!$B$39:$Q$39</c:f>
              <c:numCache>
                <c:formatCode>General</c:formatCode>
                <c:ptCount val="16"/>
                <c:pt idx="8" formatCode="#\ ##0.0">
                  <c:v>-69.3</c:v>
                </c:pt>
                <c:pt idx="9" formatCode="#\ ##0.0">
                  <c:v>-42.6</c:v>
                </c:pt>
                <c:pt idx="10" formatCode="#\ ##0.0">
                  <c:v>-47.7</c:v>
                </c:pt>
                <c:pt idx="11" formatCode="#\ ##0.0">
                  <c:v>-30.8</c:v>
                </c:pt>
                <c:pt idx="12" formatCode="#\ ##0.0">
                  <c:v>-13.2</c:v>
                </c:pt>
                <c:pt idx="13" formatCode="#\ ##0.0">
                  <c:v>-28.4</c:v>
                </c:pt>
                <c:pt idx="14" formatCode="#\ ##0.0">
                  <c:v>-22.810324545670142</c:v>
                </c:pt>
                <c:pt idx="15" formatCode="#\ ##0.0">
                  <c:v>-196.10355120125018</c:v>
                </c:pt>
              </c:numCache>
            </c:numRef>
          </c:val>
          <c:extLst>
            <c:ext xmlns:c16="http://schemas.microsoft.com/office/drawing/2014/chart" uri="{C3380CC4-5D6E-409C-BE32-E72D297353CC}">
              <c16:uniqueId val="{00000001-5359-4460-A9DB-ED351C0BE53A}"/>
            </c:ext>
          </c:extLst>
        </c:ser>
        <c:dLbls>
          <c:showLegendKey val="0"/>
          <c:showVal val="0"/>
          <c:showCatName val="0"/>
          <c:showSerName val="0"/>
          <c:showPercent val="0"/>
          <c:showBubbleSize val="0"/>
        </c:dLbls>
        <c:gapWidth val="150"/>
        <c:axId val="337259904"/>
        <c:axId val="337258656"/>
      </c:barChart>
      <c:lineChart>
        <c:grouping val="standard"/>
        <c:varyColors val="0"/>
        <c:ser>
          <c:idx val="0"/>
          <c:order val="0"/>
          <c:tx>
            <c:strRef>
              <c:f>'G1-Státní rozpočet-příjmy'!$A$35</c:f>
              <c:strCache>
                <c:ptCount val="1"/>
                <c:pt idx="0">
                  <c:v>Value added taxes and consumption taxes</c:v>
                </c:pt>
              </c:strCache>
            </c:strRef>
          </c:tx>
          <c:spPr>
            <a:ln w="19050">
              <a:noFill/>
            </a:ln>
          </c:spPr>
          <c:marker>
            <c:symbol val="diamond"/>
            <c:size val="6"/>
            <c:spPr>
              <a:solidFill>
                <a:srgbClr val="00B050"/>
              </a:solidFill>
              <a:ln>
                <a:noFill/>
              </a:ln>
            </c:spPr>
          </c:marker>
          <c:cat>
            <c:numRef>
              <c:f>'G1-Státní rozpočet-příjmy'!$B$34:$Q$34</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'G1-Státní rozpočet-příjmy'!$B$35:$Q$35</c:f>
              <c:numCache>
                <c:formatCode>#\ ##0.0</c:formatCode>
                <c:ptCount val="16"/>
                <c:pt idx="0">
                  <c:v>26.071458881439384</c:v>
                </c:pt>
                <c:pt idx="1">
                  <c:v>14.762706159542233</c:v>
                </c:pt>
                <c:pt idx="2">
                  <c:v>1.7362740497419082</c:v>
                </c:pt>
                <c:pt idx="3">
                  <c:v>4.3646217712176991</c:v>
                </c:pt>
                <c:pt idx="4">
                  <c:v>-2.5247223910281065</c:v>
                </c:pt>
                <c:pt idx="5">
                  <c:v>9.1022443890274189</c:v>
                </c:pt>
                <c:pt idx="6">
                  <c:v>6.7532467532467564</c:v>
                </c:pt>
                <c:pt idx="7">
                  <c:v>-4.4720194647201907</c:v>
                </c:pt>
                <c:pt idx="8">
                  <c:v>8.0077428556874395</c:v>
                </c:pt>
                <c:pt idx="9">
                  <c:v>8.055463849455279</c:v>
                </c:pt>
                <c:pt idx="10">
                  <c:v>-4.5087512548557385</c:v>
                </c:pt>
                <c:pt idx="11">
                  <c:v>6.5682420696590071</c:v>
                </c:pt>
                <c:pt idx="12">
                  <c:v>9.761955822431915</c:v>
                </c:pt>
                <c:pt idx="13">
                  <c:v>6.0607244734476922</c:v>
                </c:pt>
                <c:pt idx="14">
                  <c:v>3.1611524574460077</c:v>
                </c:pt>
                <c:pt idx="15">
                  <c:v>-6.2418802907821487</c:v>
                </c:pt>
              </c:numCache>
            </c:numRef>
          </c:val>
          <c:smooth val="0"/>
          <c:extLst>
            <c:ext xmlns:c16="http://schemas.microsoft.com/office/drawing/2014/chart" uri="{C3380CC4-5D6E-409C-BE32-E72D297353CC}">
              <c16:uniqueId val="{00000002-5359-4460-A9DB-ED351C0BE53A}"/>
            </c:ext>
          </c:extLst>
        </c:ser>
        <c:ser>
          <c:idx val="1"/>
          <c:order val="1"/>
          <c:tx>
            <c:strRef>
              <c:f>'G1-Státní rozpočet-příjmy'!$A$36</c:f>
              <c:strCache>
                <c:ptCount val="1"/>
                <c:pt idx="0">
                  <c:v>Income tax of natural persons from employment</c:v>
                </c:pt>
              </c:strCache>
            </c:strRef>
          </c:tx>
          <c:spPr>
            <a:ln w="19050">
              <a:solidFill>
                <a:srgbClr val="BD1B25"/>
              </a:solidFill>
              <a:prstDash val="solid"/>
            </a:ln>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3-5359-4460-A9DB-ED351C0BE53A}"/>
                </c:ext>
              </c:extLst>
            </c:dLbl>
            <c:dLbl>
              <c:idx val="1"/>
              <c:delete val="1"/>
              <c:extLst>
                <c:ext xmlns:c15="http://schemas.microsoft.com/office/drawing/2012/chart" uri="{CE6537A1-D6FC-4f65-9D91-7224C49458BB}"/>
                <c:ext xmlns:c16="http://schemas.microsoft.com/office/drawing/2014/chart" uri="{C3380CC4-5D6E-409C-BE32-E72D297353CC}">
                  <c16:uniqueId val="{00000004-5359-4460-A9DB-ED351C0BE53A}"/>
                </c:ext>
              </c:extLst>
            </c:dLbl>
            <c:dLbl>
              <c:idx val="2"/>
              <c:delete val="1"/>
              <c:extLst>
                <c:ext xmlns:c15="http://schemas.microsoft.com/office/drawing/2012/chart" uri="{CE6537A1-D6FC-4f65-9D91-7224C49458BB}"/>
                <c:ext xmlns:c16="http://schemas.microsoft.com/office/drawing/2014/chart" uri="{C3380CC4-5D6E-409C-BE32-E72D297353CC}">
                  <c16:uniqueId val="{00000005-5359-4460-A9DB-ED351C0BE53A}"/>
                </c:ext>
              </c:extLst>
            </c:dLbl>
            <c:dLbl>
              <c:idx val="3"/>
              <c:delete val="1"/>
              <c:extLst>
                <c:ext xmlns:c15="http://schemas.microsoft.com/office/drawing/2012/chart" uri="{CE6537A1-D6FC-4f65-9D91-7224C49458BB}"/>
                <c:ext xmlns:c16="http://schemas.microsoft.com/office/drawing/2014/chart" uri="{C3380CC4-5D6E-409C-BE32-E72D297353CC}">
                  <c16:uniqueId val="{00000006-5359-4460-A9DB-ED351C0BE53A}"/>
                </c:ext>
              </c:extLst>
            </c:dLbl>
            <c:dLbl>
              <c:idx val="4"/>
              <c:delete val="1"/>
              <c:extLst>
                <c:ext xmlns:c15="http://schemas.microsoft.com/office/drawing/2012/chart" uri="{CE6537A1-D6FC-4f65-9D91-7224C49458BB}"/>
                <c:ext xmlns:c16="http://schemas.microsoft.com/office/drawing/2014/chart" uri="{C3380CC4-5D6E-409C-BE32-E72D297353CC}">
                  <c16:uniqueId val="{00000007-5359-4460-A9DB-ED351C0BE53A}"/>
                </c:ext>
              </c:extLst>
            </c:dLbl>
            <c:dLbl>
              <c:idx val="5"/>
              <c:delete val="1"/>
              <c:extLst>
                <c:ext xmlns:c15="http://schemas.microsoft.com/office/drawing/2012/chart" uri="{CE6537A1-D6FC-4f65-9D91-7224C49458BB}"/>
                <c:ext xmlns:c16="http://schemas.microsoft.com/office/drawing/2014/chart" uri="{C3380CC4-5D6E-409C-BE32-E72D297353CC}">
                  <c16:uniqueId val="{00000008-5359-4460-A9DB-ED351C0BE53A}"/>
                </c:ext>
              </c:extLst>
            </c:dLbl>
            <c:dLbl>
              <c:idx val="6"/>
              <c:delete val="1"/>
              <c:extLst>
                <c:ext xmlns:c15="http://schemas.microsoft.com/office/drawing/2012/chart" uri="{CE6537A1-D6FC-4f65-9D91-7224C49458BB}"/>
                <c:ext xmlns:c16="http://schemas.microsoft.com/office/drawing/2014/chart" uri="{C3380CC4-5D6E-409C-BE32-E72D297353CC}">
                  <c16:uniqueId val="{00000009-5359-4460-A9DB-ED351C0BE53A}"/>
                </c:ext>
              </c:extLst>
            </c:dLbl>
            <c:dLbl>
              <c:idx val="7"/>
              <c:delete val="1"/>
              <c:extLst>
                <c:ext xmlns:c15="http://schemas.microsoft.com/office/drawing/2012/chart" uri="{CE6537A1-D6FC-4f65-9D91-7224C49458BB}"/>
                <c:ext xmlns:c16="http://schemas.microsoft.com/office/drawing/2014/chart" uri="{C3380CC4-5D6E-409C-BE32-E72D297353CC}">
                  <c16:uniqueId val="{0000000A-5359-4460-A9DB-ED351C0BE53A}"/>
                </c:ext>
              </c:extLst>
            </c:dLbl>
            <c:dLbl>
              <c:idx val="8"/>
              <c:delete val="1"/>
              <c:extLst>
                <c:ext xmlns:c15="http://schemas.microsoft.com/office/drawing/2012/chart" uri="{CE6537A1-D6FC-4f65-9D91-7224C49458BB}"/>
                <c:ext xmlns:c16="http://schemas.microsoft.com/office/drawing/2014/chart" uri="{C3380CC4-5D6E-409C-BE32-E72D297353CC}">
                  <c16:uniqueId val="{0000000B-5359-4460-A9DB-ED351C0BE53A}"/>
                </c:ext>
              </c:extLst>
            </c:dLbl>
            <c:dLbl>
              <c:idx val="9"/>
              <c:delete val="1"/>
              <c:extLst>
                <c:ext xmlns:c15="http://schemas.microsoft.com/office/drawing/2012/chart" uri="{CE6537A1-D6FC-4f65-9D91-7224C49458BB}"/>
                <c:ext xmlns:c16="http://schemas.microsoft.com/office/drawing/2014/chart" uri="{C3380CC4-5D6E-409C-BE32-E72D297353CC}">
                  <c16:uniqueId val="{0000000C-5359-4460-A9DB-ED351C0BE53A}"/>
                </c:ext>
              </c:extLst>
            </c:dLbl>
            <c:dLbl>
              <c:idx val="10"/>
              <c:delete val="1"/>
              <c:extLst>
                <c:ext xmlns:c15="http://schemas.microsoft.com/office/drawing/2012/chart" uri="{CE6537A1-D6FC-4f65-9D91-7224C49458BB}"/>
                <c:ext xmlns:c16="http://schemas.microsoft.com/office/drawing/2014/chart" uri="{C3380CC4-5D6E-409C-BE32-E72D297353CC}">
                  <c16:uniqueId val="{0000000D-5359-4460-A9DB-ED351C0BE53A}"/>
                </c:ext>
              </c:extLst>
            </c:dLbl>
            <c:dLbl>
              <c:idx val="11"/>
              <c:delete val="1"/>
              <c:extLst>
                <c:ext xmlns:c15="http://schemas.microsoft.com/office/drawing/2012/chart" uri="{CE6537A1-D6FC-4f65-9D91-7224C49458BB}"/>
                <c:ext xmlns:c16="http://schemas.microsoft.com/office/drawing/2014/chart" uri="{C3380CC4-5D6E-409C-BE32-E72D297353CC}">
                  <c16:uniqueId val="{0000000E-5359-4460-A9DB-ED351C0BE53A}"/>
                </c:ext>
              </c:extLst>
            </c:dLbl>
            <c:dLbl>
              <c:idx val="12"/>
              <c:delete val="1"/>
              <c:extLst>
                <c:ext xmlns:c15="http://schemas.microsoft.com/office/drawing/2012/chart" uri="{CE6537A1-D6FC-4f65-9D91-7224C49458BB}"/>
                <c:ext xmlns:c16="http://schemas.microsoft.com/office/drawing/2014/chart" uri="{C3380CC4-5D6E-409C-BE32-E72D297353CC}">
                  <c16:uniqueId val="{0000000F-5359-4460-A9DB-ED351C0BE53A}"/>
                </c:ext>
              </c:extLst>
            </c:dLbl>
            <c:dLbl>
              <c:idx val="13"/>
              <c:layout>
                <c:manualLayout>
                  <c:x val="5.0596335760102994E-3"/>
                  <c:y val="0.53197838245568341"/>
                </c:manualLayout>
              </c:layout>
              <c:tx>
                <c:rich>
                  <a:bodyPr/>
                  <a:lstStyle/>
                  <a:p>
                    <a:r>
                      <a:rPr lang="en-US"/>
                      <a:t>-195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5359-4460-A9DB-ED351C0BE53A}"/>
                </c:ext>
              </c:extLst>
            </c:dLbl>
            <c:dLbl>
              <c:idx val="14"/>
              <c:layout>
                <c:manualLayout>
                  <c:x val="-4.6014983335943768E-2"/>
                  <c:y val="0.55175502061631188"/>
                </c:manualLayout>
              </c:layout>
              <c:tx>
                <c:rich>
                  <a:bodyPr/>
                  <a:lstStyle/>
                  <a:p>
                    <a:r>
                      <a:rPr lang="en-US"/>
                      <a:t>-196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5359-4460-A9DB-ED351C0BE53A}"/>
                </c:ext>
              </c:extLst>
            </c:dLbl>
            <c:dLbl>
              <c:idx val="15"/>
              <c:delete val="1"/>
              <c:extLst>
                <c:ext xmlns:c15="http://schemas.microsoft.com/office/drawing/2012/chart" uri="{CE6537A1-D6FC-4f65-9D91-7224C49458BB}"/>
                <c:ext xmlns:c16="http://schemas.microsoft.com/office/drawing/2014/chart" uri="{C3380CC4-5D6E-409C-BE32-E72D297353CC}">
                  <c16:uniqueId val="{00000012-5359-4460-A9DB-ED351C0BE53A}"/>
                </c:ext>
              </c:extLst>
            </c:dLbl>
            <c:spPr>
              <a:noFill/>
              <a:ln>
                <a:noFill/>
              </a:ln>
              <a:effectLst/>
            </c:spPr>
            <c:txPr>
              <a:bodyPr wrap="square" lIns="38100" tIns="19050" rIns="38100" bIns="19050" anchor="ctr">
                <a:spAutoFit/>
              </a:bodyPr>
              <a:lstStyle/>
              <a:p>
                <a:pPr>
                  <a:defRPr sz="700"/>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'G1-Státní rozpočet-příjmy'!$B$34:$Q$34</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'G1-Státní rozpočet-příjmy'!$B$36:$Q$36</c:f>
              <c:numCache>
                <c:formatCode>#\ ##0.0</c:formatCode>
                <c:ptCount val="16"/>
                <c:pt idx="0">
                  <c:v>7.2278911564625901</c:v>
                </c:pt>
                <c:pt idx="1">
                  <c:v>2.2997620935765468</c:v>
                </c:pt>
                <c:pt idx="2">
                  <c:v>12.20930232558139</c:v>
                </c:pt>
                <c:pt idx="3">
                  <c:v>-5.4749568221070746</c:v>
                </c:pt>
                <c:pt idx="4">
                  <c:v>-6.0661428832450213</c:v>
                </c:pt>
                <c:pt idx="5">
                  <c:v>-0.11670881151526658</c:v>
                </c:pt>
                <c:pt idx="6">
                  <c:v>6.6601752677702137</c:v>
                </c:pt>
                <c:pt idx="7">
                  <c:v>2.2092386342888375</c:v>
                </c:pt>
                <c:pt idx="8">
                  <c:v>5.4841014648088731</c:v>
                </c:pt>
                <c:pt idx="9">
                  <c:v>4.7417442845046622</c:v>
                </c:pt>
                <c:pt idx="10">
                  <c:v>1.0509296685529534</c:v>
                </c:pt>
                <c:pt idx="11">
                  <c:v>10.704000000000008</c:v>
                </c:pt>
                <c:pt idx="12">
                  <c:v>12.559618441971381</c:v>
                </c:pt>
                <c:pt idx="13">
                  <c:v>15.382639958911156</c:v>
                </c:pt>
                <c:pt idx="14">
                  <c:v>13.265079011796118</c:v>
                </c:pt>
                <c:pt idx="15">
                  <c:v>-15.472154279151113</c:v>
                </c:pt>
              </c:numCache>
            </c:numRef>
          </c:val>
          <c:smooth val="0"/>
          <c:extLst>
            <c:ext xmlns:c16="http://schemas.microsoft.com/office/drawing/2014/chart" uri="{C3380CC4-5D6E-409C-BE32-E72D297353CC}">
              <c16:uniqueId val="{00000013-5359-4460-A9DB-ED351C0BE53A}"/>
            </c:ext>
          </c:extLst>
        </c:ser>
        <c:ser>
          <c:idx val="3"/>
          <c:order val="2"/>
          <c:tx>
            <c:strRef>
              <c:f>'G1-Státní rozpočet-příjmy'!$A$37</c:f>
              <c:strCache>
                <c:ptCount val="1"/>
                <c:pt idx="0">
                  <c:v>Income tax of legal persons (corporate tax)</c:v>
                </c:pt>
              </c:strCache>
            </c:strRef>
          </c:tx>
          <c:spPr>
            <a:ln w="19050">
              <a:solidFill>
                <a:srgbClr val="0071BC"/>
              </a:solidFill>
              <a:prstDash val="solid"/>
            </a:ln>
          </c:spPr>
          <c:marker>
            <c:symbol val="none"/>
          </c:marker>
          <c:cat>
            <c:numRef>
              <c:f>'G1-Státní rozpočet-příjmy'!$B$34:$Q$34</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'G1-Státní rozpočet-příjmy'!$B$37:$Q$37</c:f>
              <c:numCache>
                <c:formatCode>#\ ##0.0</c:formatCode>
                <c:ptCount val="16"/>
                <c:pt idx="0">
                  <c:v>26.596315507064944</c:v>
                </c:pt>
                <c:pt idx="1">
                  <c:v>5.9197513421870553</c:v>
                </c:pt>
                <c:pt idx="2">
                  <c:v>-1.3872215552887752</c:v>
                </c:pt>
                <c:pt idx="3">
                  <c:v>26.565670228594598</c:v>
                </c:pt>
                <c:pt idx="4">
                  <c:v>-22.293470129314954</c:v>
                </c:pt>
                <c:pt idx="5">
                  <c:v>10.16366387016916</c:v>
                </c:pt>
                <c:pt idx="6">
                  <c:v>-13.508114856429458</c:v>
                </c:pt>
                <c:pt idx="7">
                  <c:v>-1.8042725173210101</c:v>
                </c:pt>
                <c:pt idx="8">
                  <c:v>-2.6458915184477405</c:v>
                </c:pt>
                <c:pt idx="9">
                  <c:v>8.3949871659368966</c:v>
                </c:pt>
                <c:pt idx="10">
                  <c:v>8.3855690207549856</c:v>
                </c:pt>
                <c:pt idx="11">
                  <c:v>11.425266675234539</c:v>
                </c:pt>
                <c:pt idx="12">
                  <c:v>7.5778546712802779</c:v>
                </c:pt>
                <c:pt idx="13">
                  <c:v>-7.5050927415020396E-2</c:v>
                </c:pt>
                <c:pt idx="14">
                  <c:v>6.2982832618025668</c:v>
                </c:pt>
                <c:pt idx="15">
                  <c:v>-24.910920731765415</c:v>
                </c:pt>
              </c:numCache>
            </c:numRef>
          </c:val>
          <c:smooth val="0"/>
          <c:extLst>
            <c:ext xmlns:c16="http://schemas.microsoft.com/office/drawing/2014/chart" uri="{C3380CC4-5D6E-409C-BE32-E72D297353CC}">
              <c16:uniqueId val="{00000014-5359-4460-A9DB-ED351C0BE53A}"/>
            </c:ext>
          </c:extLst>
        </c:ser>
        <c:dLbls>
          <c:showLegendKey val="0"/>
          <c:showVal val="0"/>
          <c:showCatName val="0"/>
          <c:showSerName val="0"/>
          <c:showPercent val="0"/>
          <c:showBubbleSize val="0"/>
        </c:dLbls>
        <c:marker val="1"/>
        <c:smooth val="0"/>
        <c:axId val="79288576"/>
        <c:axId val="66855296"/>
      </c:lineChart>
      <c:catAx>
        <c:axId val="79288576"/>
        <c:scaling>
          <c:orientation val="minMax"/>
        </c:scaling>
        <c:delete val="0"/>
        <c:axPos val="b"/>
        <c:numFmt formatCode="General" sourceLinked="1"/>
        <c:majorTickMark val="out"/>
        <c:minorTickMark val="none"/>
        <c:tickLblPos val="low"/>
        <c:spPr>
          <a:ln w="6350">
            <a:solidFill>
              <a:schemeClr val="tx1"/>
            </a:solidFill>
          </a:ln>
        </c:spPr>
        <c:crossAx val="66855296"/>
        <c:crosses val="autoZero"/>
        <c:auto val="1"/>
        <c:lblAlgn val="ctr"/>
        <c:lblOffset val="0"/>
        <c:noMultiLvlLbl val="0"/>
      </c:catAx>
      <c:valAx>
        <c:axId val="66855296"/>
        <c:scaling>
          <c:orientation val="minMax"/>
          <c:max val="30"/>
          <c:min val="-40"/>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Individual types of income (change in %)</a:t>
                </a:r>
                <a:endParaRPr lang="cs-CZ" sz="700">
                  <a:effectLst/>
                </a:endParaRPr>
              </a:p>
            </c:rich>
          </c:tx>
          <c:overlay val="0"/>
        </c:title>
        <c:numFmt formatCode="0" sourceLinked="0"/>
        <c:majorTickMark val="out"/>
        <c:minorTickMark val="none"/>
        <c:tickLblPos val="nextTo"/>
        <c:spPr>
          <a:ln w="6350">
            <a:solidFill>
              <a:schemeClr val="tx1"/>
            </a:solidFill>
          </a:ln>
        </c:spPr>
        <c:crossAx val="79288576"/>
        <c:crosses val="autoZero"/>
        <c:crossBetween val="between"/>
        <c:majorUnit val="5"/>
      </c:valAx>
      <c:valAx>
        <c:axId val="337258656"/>
        <c:scaling>
          <c:orientation val="minMax"/>
          <c:max val="90"/>
          <c:min val="-12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State budget balance (in CZK bn)</a:t>
                </a:r>
                <a:endParaRPr lang="cs-CZ" sz="700">
                  <a:effectLst/>
                </a:endParaRPr>
              </a:p>
            </c:rich>
          </c:tx>
          <c:layout>
            <c:manualLayout>
              <c:xMode val="edge"/>
              <c:yMode val="edge"/>
              <c:x val="0.97027241952391585"/>
              <c:y val="0.19370288341385586"/>
            </c:manualLayout>
          </c:layout>
          <c:overlay val="0"/>
        </c:title>
        <c:numFmt formatCode="#,##0" sourceLinked="0"/>
        <c:majorTickMark val="out"/>
        <c:minorTickMark val="none"/>
        <c:tickLblPos val="nextTo"/>
        <c:spPr>
          <a:ln w="6350"/>
        </c:spPr>
        <c:crossAx val="337259904"/>
        <c:crosses val="max"/>
        <c:crossBetween val="between"/>
        <c:majorUnit val="15"/>
      </c:valAx>
      <c:catAx>
        <c:axId val="337259904"/>
        <c:scaling>
          <c:orientation val="minMax"/>
        </c:scaling>
        <c:delete val="1"/>
        <c:axPos val="b"/>
        <c:numFmt formatCode="General" sourceLinked="1"/>
        <c:majorTickMark val="out"/>
        <c:minorTickMark val="none"/>
        <c:tickLblPos val="nextTo"/>
        <c:crossAx val="337258656"/>
        <c:crosses val="autoZero"/>
        <c:auto val="1"/>
        <c:lblAlgn val="ctr"/>
        <c:lblOffset val="100"/>
        <c:noMultiLvlLbl val="0"/>
      </c:catAx>
      <c:spPr>
        <a:ln w="6350">
          <a:solidFill>
            <a:schemeClr val="tx1"/>
          </a:solidFill>
        </a:ln>
      </c:spPr>
    </c:plotArea>
    <c:legend>
      <c:legendPos val="b"/>
      <c:layout>
        <c:manualLayout>
          <c:xMode val="edge"/>
          <c:yMode val="edge"/>
          <c:x val="1.4383830153176014E-2"/>
          <c:y val="0.82946836330105023"/>
          <c:w val="0.96954720742731881"/>
          <c:h val="0.15612741618407747"/>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userShapes r:id="rId2"/>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261536239710156E-2"/>
          <c:y val="1.7112323287741892E-2"/>
          <c:w val="0.84586291999023488"/>
          <c:h val="0.74947716015410026"/>
        </c:manualLayout>
      </c:layout>
      <c:barChart>
        <c:barDir val="col"/>
        <c:grouping val="clustered"/>
        <c:varyColors val="0"/>
        <c:ser>
          <c:idx val="0"/>
          <c:order val="0"/>
          <c:tx>
            <c:strRef>
              <c:f>'G2-Stání rozpočet-výdaje'!$B$31</c:f>
              <c:strCache>
                <c:ptCount val="1"/>
                <c:pt idx="0">
                  <c:v>Current expenditures, in total (right axis)</c:v>
                </c:pt>
              </c:strCache>
            </c:strRef>
          </c:tx>
          <c:spPr>
            <a:solidFill>
              <a:schemeClr val="bg1">
                <a:lumMod val="85000"/>
              </a:schemeClr>
            </a:solidFill>
            <a:ln>
              <a:noFill/>
            </a:ln>
          </c:spPr>
          <c:invertIfNegative val="0"/>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rozpočet-výdaje'!$B$32:$B$47</c:f>
              <c:numCache>
                <c:formatCode>0.0</c:formatCode>
                <c:ptCount val="16"/>
                <c:pt idx="0">
                  <c:v>402.04</c:v>
                </c:pt>
                <c:pt idx="1">
                  <c:v>437.53300000000002</c:v>
                </c:pt>
                <c:pt idx="2">
                  <c:v>455.274</c:v>
                </c:pt>
                <c:pt idx="3">
                  <c:v>488.71899999999999</c:v>
                </c:pt>
                <c:pt idx="4">
                  <c:v>523.79999999999995</c:v>
                </c:pt>
                <c:pt idx="5">
                  <c:v>527.73400000000004</c:v>
                </c:pt>
                <c:pt idx="6">
                  <c:v>523.22</c:v>
                </c:pt>
                <c:pt idx="7">
                  <c:v>534.42999999999995</c:v>
                </c:pt>
                <c:pt idx="8">
                  <c:v>544.65</c:v>
                </c:pt>
                <c:pt idx="9">
                  <c:v>552.71100000000001</c:v>
                </c:pt>
                <c:pt idx="10">
                  <c:v>564.13</c:v>
                </c:pt>
                <c:pt idx="11">
                  <c:v>575.57000000000005</c:v>
                </c:pt>
                <c:pt idx="12">
                  <c:v>609.53</c:v>
                </c:pt>
                <c:pt idx="13">
                  <c:v>660.76</c:v>
                </c:pt>
                <c:pt idx="14">
                  <c:v>718.74153402592015</c:v>
                </c:pt>
                <c:pt idx="15">
                  <c:v>830.41205201672994</c:v>
                </c:pt>
              </c:numCache>
            </c:numRef>
          </c:val>
          <c:extLst>
            <c:ext xmlns:c16="http://schemas.microsoft.com/office/drawing/2014/chart" uri="{C3380CC4-5D6E-409C-BE32-E72D297353CC}">
              <c16:uniqueId val="{00000000-3EB3-48D6-B643-9C94F82029EC}"/>
            </c:ext>
          </c:extLst>
        </c:ser>
        <c:dLbls>
          <c:showLegendKey val="0"/>
          <c:showVal val="0"/>
          <c:showCatName val="0"/>
          <c:showSerName val="0"/>
          <c:showPercent val="0"/>
          <c:showBubbleSize val="0"/>
        </c:dLbls>
        <c:gapWidth val="70"/>
        <c:axId val="72836608"/>
        <c:axId val="72835072"/>
      </c:barChart>
      <c:lineChart>
        <c:grouping val="standard"/>
        <c:varyColors val="0"/>
        <c:ser>
          <c:idx val="1"/>
          <c:order val="1"/>
          <c:tx>
            <c:strRef>
              <c:f>'G2-Stání rozpočet-výdaje'!$C$31</c:f>
              <c:strCache>
                <c:ptCount val="1"/>
                <c:pt idx="0">
                  <c:v>Wages of employees in publ. admin.*</c:v>
                </c:pt>
              </c:strCache>
            </c:strRef>
          </c:tx>
          <c:spPr>
            <a:ln w="15875">
              <a:solidFill>
                <a:srgbClr val="984807"/>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rozpočet-výdaje'!$C$32:$C$47</c:f>
              <c:numCache>
                <c:formatCode>0.0</c:formatCode>
                <c:ptCount val="16"/>
                <c:pt idx="0">
                  <c:v>34.159999999999997</c:v>
                </c:pt>
                <c:pt idx="1">
                  <c:v>35.65</c:v>
                </c:pt>
                <c:pt idx="2">
                  <c:v>37.92</c:v>
                </c:pt>
                <c:pt idx="3">
                  <c:v>37.729999999999997</c:v>
                </c:pt>
                <c:pt idx="4">
                  <c:v>38.979999999999997</c:v>
                </c:pt>
                <c:pt idx="5">
                  <c:v>39.36</c:v>
                </c:pt>
                <c:pt idx="6">
                  <c:v>35.700000000000003</c:v>
                </c:pt>
                <c:pt idx="7">
                  <c:v>36.299999999999997</c:v>
                </c:pt>
                <c:pt idx="8">
                  <c:v>36.880000000000003</c:v>
                </c:pt>
                <c:pt idx="9">
                  <c:v>38.090000000000003</c:v>
                </c:pt>
                <c:pt idx="10">
                  <c:v>41.88</c:v>
                </c:pt>
                <c:pt idx="11">
                  <c:v>43.22</c:v>
                </c:pt>
                <c:pt idx="12">
                  <c:v>46.52</c:v>
                </c:pt>
                <c:pt idx="13">
                  <c:v>53.13</c:v>
                </c:pt>
                <c:pt idx="14">
                  <c:v>57.572759809109989</c:v>
                </c:pt>
                <c:pt idx="15">
                  <c:v>59.911420432</c:v>
                </c:pt>
              </c:numCache>
            </c:numRef>
          </c:val>
          <c:smooth val="0"/>
          <c:extLst>
            <c:ext xmlns:c16="http://schemas.microsoft.com/office/drawing/2014/chart" uri="{C3380CC4-5D6E-409C-BE32-E72D297353CC}">
              <c16:uniqueId val="{00000001-3EB3-48D6-B643-9C94F82029EC}"/>
            </c:ext>
          </c:extLst>
        </c:ser>
        <c:ser>
          <c:idx val="6"/>
          <c:order val="2"/>
          <c:tx>
            <c:strRef>
              <c:f>'G2-Stání rozpočet-výdaje'!$D$31</c:f>
              <c:strCache>
                <c:ptCount val="1"/>
                <c:pt idx="0">
                  <c:v>Unemployment benefits</c:v>
                </c:pt>
              </c:strCache>
            </c:strRef>
          </c:tx>
          <c:spPr>
            <a:ln w="15875">
              <a:solidFill>
                <a:srgbClr val="48AEE7"/>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rozpočet-výdaje'!$D$32:$D$47</c:f>
              <c:numCache>
                <c:formatCode>0.0</c:formatCode>
                <c:ptCount val="16"/>
                <c:pt idx="0">
                  <c:v>3.69</c:v>
                </c:pt>
                <c:pt idx="1">
                  <c:v>3.8959999999999999</c:v>
                </c:pt>
                <c:pt idx="2">
                  <c:v>3.78</c:v>
                </c:pt>
                <c:pt idx="3">
                  <c:v>3.56</c:v>
                </c:pt>
                <c:pt idx="4">
                  <c:v>7.3049999999999997</c:v>
                </c:pt>
                <c:pt idx="5">
                  <c:v>7.77</c:v>
                </c:pt>
                <c:pt idx="6">
                  <c:v>6.2279999999999998</c:v>
                </c:pt>
                <c:pt idx="7">
                  <c:v>4.8410000000000002</c:v>
                </c:pt>
                <c:pt idx="8">
                  <c:v>5.3579999999999997</c:v>
                </c:pt>
                <c:pt idx="9">
                  <c:v>5.2690000000000001</c:v>
                </c:pt>
                <c:pt idx="10">
                  <c:v>4.6150000000000002</c:v>
                </c:pt>
                <c:pt idx="11">
                  <c:v>4.4829999999999997</c:v>
                </c:pt>
                <c:pt idx="12">
                  <c:v>4.3310000000000004</c:v>
                </c:pt>
                <c:pt idx="13">
                  <c:v>3.98</c:v>
                </c:pt>
                <c:pt idx="14">
                  <c:v>4.2361097359899995</c:v>
                </c:pt>
                <c:pt idx="15">
                  <c:v>5.1431777073900005</c:v>
                </c:pt>
              </c:numCache>
            </c:numRef>
          </c:val>
          <c:smooth val="0"/>
          <c:extLst>
            <c:ext xmlns:c16="http://schemas.microsoft.com/office/drawing/2014/chart" uri="{C3380CC4-5D6E-409C-BE32-E72D297353CC}">
              <c16:uniqueId val="{00000002-3EB3-48D6-B643-9C94F82029EC}"/>
            </c:ext>
          </c:extLst>
        </c:ser>
        <c:ser>
          <c:idx val="7"/>
          <c:order val="3"/>
          <c:tx>
            <c:strRef>
              <c:f>'G2-Stání rozpočet-výdaje'!$E$31</c:f>
              <c:strCache>
                <c:ptCount val="1"/>
                <c:pt idx="0">
                  <c:v>State social support**</c:v>
                </c:pt>
              </c:strCache>
            </c:strRef>
          </c:tx>
          <c:spPr>
            <a:ln w="15875">
              <a:solidFill>
                <a:srgbClr val="00B050"/>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rozpočet-výdaje'!$E$32:$E$47</c:f>
              <c:numCache>
                <c:formatCode>0.0</c:formatCode>
                <c:ptCount val="16"/>
                <c:pt idx="0">
                  <c:v>16.649999999999999</c:v>
                </c:pt>
                <c:pt idx="1">
                  <c:v>17.04</c:v>
                </c:pt>
                <c:pt idx="2">
                  <c:v>23.83</c:v>
                </c:pt>
                <c:pt idx="3">
                  <c:v>21.52</c:v>
                </c:pt>
                <c:pt idx="4">
                  <c:v>20.594999999999999</c:v>
                </c:pt>
                <c:pt idx="5">
                  <c:v>20.64</c:v>
                </c:pt>
                <c:pt idx="6">
                  <c:v>18.405999999999999</c:v>
                </c:pt>
                <c:pt idx="7">
                  <c:v>17.881</c:v>
                </c:pt>
                <c:pt idx="8">
                  <c:v>18.681999999999999</c:v>
                </c:pt>
                <c:pt idx="9">
                  <c:v>18.91</c:v>
                </c:pt>
                <c:pt idx="10">
                  <c:v>18.873999999999999</c:v>
                </c:pt>
                <c:pt idx="11">
                  <c:v>18.963999999999999</c:v>
                </c:pt>
                <c:pt idx="12">
                  <c:v>18.742000000000001</c:v>
                </c:pt>
                <c:pt idx="13">
                  <c:v>19.53</c:v>
                </c:pt>
                <c:pt idx="14">
                  <c:v>19.01942501061</c:v>
                </c:pt>
                <c:pt idx="15">
                  <c:v>25.66026027677</c:v>
                </c:pt>
              </c:numCache>
            </c:numRef>
          </c:val>
          <c:smooth val="0"/>
          <c:extLst>
            <c:ext xmlns:c16="http://schemas.microsoft.com/office/drawing/2014/chart" uri="{C3380CC4-5D6E-409C-BE32-E72D297353CC}">
              <c16:uniqueId val="{00000003-3EB3-48D6-B643-9C94F82029EC}"/>
            </c:ext>
          </c:extLst>
        </c:ser>
        <c:ser>
          <c:idx val="2"/>
          <c:order val="4"/>
          <c:tx>
            <c:strRef>
              <c:f>'G2-Stání rozpočet-výdaje'!$F$31</c:f>
              <c:strCache>
                <c:ptCount val="1"/>
                <c:pt idx="0">
                  <c:v>Sickness benefits</c:v>
                </c:pt>
              </c:strCache>
            </c:strRef>
          </c:tx>
          <c:spPr>
            <a:ln w="15875">
              <a:solidFill>
                <a:srgbClr val="0071BC"/>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rozpočet-výdaje'!$F$32:$F$47</c:f>
              <c:numCache>
                <c:formatCode>0.00</c:formatCode>
                <c:ptCount val="16"/>
                <c:pt idx="0">
                  <c:v>17.497</c:v>
                </c:pt>
                <c:pt idx="1">
                  <c:v>17.936</c:v>
                </c:pt>
                <c:pt idx="2">
                  <c:v>18.398</c:v>
                </c:pt>
                <c:pt idx="3">
                  <c:v>16.734000000000002</c:v>
                </c:pt>
                <c:pt idx="4">
                  <c:v>14.089</c:v>
                </c:pt>
                <c:pt idx="5">
                  <c:v>11.56</c:v>
                </c:pt>
                <c:pt idx="6">
                  <c:v>11.773</c:v>
                </c:pt>
                <c:pt idx="7">
                  <c:v>10.244</c:v>
                </c:pt>
                <c:pt idx="8">
                  <c:v>10.609</c:v>
                </c:pt>
                <c:pt idx="9">
                  <c:v>11.201000000000001</c:v>
                </c:pt>
                <c:pt idx="10">
                  <c:v>12.429</c:v>
                </c:pt>
                <c:pt idx="11">
                  <c:v>13.566000000000001</c:v>
                </c:pt>
                <c:pt idx="12">
                  <c:v>14.757999999999999</c:v>
                </c:pt>
                <c:pt idx="13">
                  <c:v>17.3</c:v>
                </c:pt>
                <c:pt idx="14">
                  <c:v>19.93</c:v>
                </c:pt>
                <c:pt idx="15">
                  <c:v>30.15</c:v>
                </c:pt>
              </c:numCache>
            </c:numRef>
          </c:val>
          <c:smooth val="0"/>
          <c:extLst>
            <c:ext xmlns:c16="http://schemas.microsoft.com/office/drawing/2014/chart" uri="{C3380CC4-5D6E-409C-BE32-E72D297353CC}">
              <c16:uniqueId val="{00000004-3EB3-48D6-B643-9C94F82029EC}"/>
            </c:ext>
          </c:extLst>
        </c:ser>
        <c:ser>
          <c:idx val="3"/>
          <c:order val="5"/>
          <c:tx>
            <c:strRef>
              <c:f>'G2-Stání rozpočet-výdaje'!$G$31</c:f>
              <c:strCache>
                <c:ptCount val="1"/>
                <c:pt idx="0">
                  <c:v>Social care benefits***</c:v>
                </c:pt>
              </c:strCache>
            </c:strRef>
          </c:tx>
          <c:spPr>
            <a:ln w="15875">
              <a:solidFill>
                <a:srgbClr val="7030A0"/>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rozpočet-výdaje'!$G$32:$G$47</c:f>
              <c:numCache>
                <c:formatCode>General</c:formatCode>
                <c:ptCount val="16"/>
                <c:pt idx="2" formatCode="0.00">
                  <c:v>11.690999999999999</c:v>
                </c:pt>
                <c:pt idx="3" formatCode="0.00">
                  <c:v>13.247</c:v>
                </c:pt>
                <c:pt idx="4" formatCode="0.00">
                  <c:v>13.003</c:v>
                </c:pt>
                <c:pt idx="5" formatCode="0.00">
                  <c:v>13.486000000000001</c:v>
                </c:pt>
                <c:pt idx="6" formatCode="0.00">
                  <c:v>12.911000000000001</c:v>
                </c:pt>
                <c:pt idx="7" formatCode="0.00">
                  <c:v>13.282</c:v>
                </c:pt>
                <c:pt idx="8" formatCode="0.00">
                  <c:v>15.668000000000001</c:v>
                </c:pt>
                <c:pt idx="9" formatCode="0.00">
                  <c:v>16.734999999999999</c:v>
                </c:pt>
                <c:pt idx="10" formatCode="0.00">
                  <c:v>16.93</c:v>
                </c:pt>
                <c:pt idx="11" formatCode="0.00">
                  <c:v>16.78</c:v>
                </c:pt>
                <c:pt idx="12" formatCode="0.00">
                  <c:v>17.489999999999998</c:v>
                </c:pt>
                <c:pt idx="13" formatCode="0.00">
                  <c:v>17.100000000000001</c:v>
                </c:pt>
                <c:pt idx="14" formatCode="0.00">
                  <c:v>17.32</c:v>
                </c:pt>
                <c:pt idx="15" formatCode="0.00">
                  <c:v>20.09</c:v>
                </c:pt>
              </c:numCache>
            </c:numRef>
          </c:val>
          <c:smooth val="0"/>
          <c:extLst>
            <c:ext xmlns:c16="http://schemas.microsoft.com/office/drawing/2014/chart" uri="{C3380CC4-5D6E-409C-BE32-E72D297353CC}">
              <c16:uniqueId val="{00000005-3EB3-48D6-B643-9C94F82029EC}"/>
            </c:ext>
          </c:extLst>
        </c:ser>
        <c:ser>
          <c:idx val="4"/>
          <c:order val="6"/>
          <c:tx>
            <c:strRef>
              <c:f>'G2-Stání rozpočet-výdaje'!$H$31</c:f>
              <c:strCache>
                <c:ptCount val="1"/>
                <c:pt idx="0">
                  <c:v>Non-investment purchases****</c:v>
                </c:pt>
              </c:strCache>
            </c:strRef>
          </c:tx>
          <c:spPr>
            <a:ln w="15875">
              <a:solidFill>
                <a:srgbClr val="F8A124"/>
              </a:solidFill>
              <a:prstDash val="solid"/>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rozpočet-výdaje'!$H$32:$H$47</c:f>
              <c:numCache>
                <c:formatCode>0.0</c:formatCode>
                <c:ptCount val="16"/>
                <c:pt idx="0">
                  <c:v>29.280999999999999</c:v>
                </c:pt>
                <c:pt idx="1">
                  <c:v>31.251000000000005</c:v>
                </c:pt>
                <c:pt idx="2">
                  <c:v>33.647000000000006</c:v>
                </c:pt>
                <c:pt idx="3">
                  <c:v>31.934000000000005</c:v>
                </c:pt>
                <c:pt idx="4">
                  <c:v>32.001999999999995</c:v>
                </c:pt>
                <c:pt idx="5">
                  <c:v>31.84</c:v>
                </c:pt>
                <c:pt idx="6">
                  <c:v>29.076999999999998</c:v>
                </c:pt>
                <c:pt idx="7">
                  <c:v>26.950000000000003</c:v>
                </c:pt>
                <c:pt idx="8">
                  <c:v>23.5</c:v>
                </c:pt>
                <c:pt idx="9">
                  <c:v>22.14</c:v>
                </c:pt>
                <c:pt idx="10">
                  <c:v>25.509999999999998</c:v>
                </c:pt>
                <c:pt idx="11">
                  <c:v>25.499999999999996</c:v>
                </c:pt>
                <c:pt idx="12">
                  <c:v>29.889999999999997</c:v>
                </c:pt>
                <c:pt idx="13">
                  <c:v>30.75</c:v>
                </c:pt>
                <c:pt idx="14">
                  <c:v>27.947201055630007</c:v>
                </c:pt>
                <c:pt idx="15">
                  <c:v>35.609426507660004</c:v>
                </c:pt>
              </c:numCache>
            </c:numRef>
          </c:val>
          <c:smooth val="0"/>
          <c:extLst>
            <c:ext xmlns:c16="http://schemas.microsoft.com/office/drawing/2014/chart" uri="{C3380CC4-5D6E-409C-BE32-E72D297353CC}">
              <c16:uniqueId val="{00000006-3EB3-48D6-B643-9C94F82029EC}"/>
            </c:ext>
          </c:extLst>
        </c:ser>
        <c:ser>
          <c:idx val="5"/>
          <c:order val="7"/>
          <c:tx>
            <c:strRef>
              <c:f>'G2-Stání rozpočet-výdaje'!$I$31</c:f>
              <c:strCache>
                <c:ptCount val="1"/>
                <c:pt idx="0">
                  <c:v>State debt (net expenditures) ****</c:v>
                </c:pt>
              </c:strCache>
            </c:strRef>
          </c:tx>
          <c:spPr>
            <a:ln w="15875">
              <a:solidFill>
                <a:srgbClr val="BD1B25"/>
              </a:solidFill>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rozpočet-výdaje'!$I$32:$I$47</c:f>
              <c:numCache>
                <c:formatCode>0.0</c:formatCode>
                <c:ptCount val="16"/>
                <c:pt idx="0">
                  <c:v>14.81</c:v>
                </c:pt>
                <c:pt idx="1">
                  <c:v>17.16</c:v>
                </c:pt>
                <c:pt idx="2">
                  <c:v>17.05</c:v>
                </c:pt>
                <c:pt idx="3">
                  <c:v>16.5</c:v>
                </c:pt>
                <c:pt idx="4">
                  <c:v>25.770000000000003</c:v>
                </c:pt>
                <c:pt idx="5">
                  <c:v>21.27</c:v>
                </c:pt>
                <c:pt idx="6">
                  <c:v>25.81</c:v>
                </c:pt>
                <c:pt idx="7">
                  <c:v>26.419999999999998</c:v>
                </c:pt>
                <c:pt idx="8">
                  <c:v>30.400000000000002</c:v>
                </c:pt>
                <c:pt idx="9">
                  <c:v>26.86</c:v>
                </c:pt>
                <c:pt idx="10">
                  <c:v>23.55</c:v>
                </c:pt>
                <c:pt idx="11">
                  <c:v>23.76</c:v>
                </c:pt>
                <c:pt idx="12">
                  <c:v>18.739999999999998</c:v>
                </c:pt>
                <c:pt idx="13">
                  <c:v>20.11</c:v>
                </c:pt>
                <c:pt idx="14">
                  <c:v>16.91954772339</c:v>
                </c:pt>
                <c:pt idx="15">
                  <c:v>12.518656263610001</c:v>
                </c:pt>
              </c:numCache>
            </c:numRef>
          </c:val>
          <c:smooth val="0"/>
          <c:extLst>
            <c:ext xmlns:c16="http://schemas.microsoft.com/office/drawing/2014/chart" uri="{C3380CC4-5D6E-409C-BE32-E72D297353CC}">
              <c16:uniqueId val="{00000007-3EB3-48D6-B643-9C94F82029EC}"/>
            </c:ext>
          </c:extLst>
        </c:ser>
        <c:ser>
          <c:idx val="8"/>
          <c:order val="8"/>
          <c:tx>
            <c:strRef>
              <c:f>'G2-Stání rozpočet-výdaje'!$J$31</c:f>
              <c:strCache>
                <c:ptCount val="1"/>
                <c:pt idx="0">
                  <c:v>Capital expenditures, in total</c:v>
                </c:pt>
              </c:strCache>
            </c:strRef>
          </c:tx>
          <c:spPr>
            <a:ln w="15875">
              <a:solidFill>
                <a:schemeClr val="tx1">
                  <a:lumMod val="95000"/>
                  <a:lumOff val="5000"/>
                </a:schemeClr>
              </a:solidFill>
              <a:prstDash val="sysDash"/>
            </a:ln>
          </c:spPr>
          <c:marker>
            <c:symbol val="none"/>
          </c:marker>
          <c:cat>
            <c:numRef>
              <c:f>'G2-Stání rozpočet-výdaje'!$A$32:$A$47</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'G2-Stání rozpočet-výdaje'!$J$32:$J$47</c:f>
              <c:numCache>
                <c:formatCode>0.0</c:formatCode>
                <c:ptCount val="16"/>
                <c:pt idx="0">
                  <c:v>20.45</c:v>
                </c:pt>
                <c:pt idx="1">
                  <c:v>23.643000000000001</c:v>
                </c:pt>
                <c:pt idx="2">
                  <c:v>26.771000000000001</c:v>
                </c:pt>
                <c:pt idx="3">
                  <c:v>53.505000000000003</c:v>
                </c:pt>
                <c:pt idx="4">
                  <c:v>51.149000000000001</c:v>
                </c:pt>
                <c:pt idx="5">
                  <c:v>55.872999999999998</c:v>
                </c:pt>
                <c:pt idx="6">
                  <c:v>47.277000000000001</c:v>
                </c:pt>
                <c:pt idx="7">
                  <c:v>41.93</c:v>
                </c:pt>
                <c:pt idx="8">
                  <c:v>36.779000000000003</c:v>
                </c:pt>
                <c:pt idx="9">
                  <c:v>34.893999999999998</c:v>
                </c:pt>
                <c:pt idx="10">
                  <c:v>54.02</c:v>
                </c:pt>
                <c:pt idx="11">
                  <c:v>39.090000000000003</c:v>
                </c:pt>
                <c:pt idx="12">
                  <c:v>20.309999999999999</c:v>
                </c:pt>
                <c:pt idx="13">
                  <c:v>33.25</c:v>
                </c:pt>
                <c:pt idx="14">
                  <c:v>45.820505926130004</c:v>
                </c:pt>
                <c:pt idx="15">
                  <c:v>64.502125553789995</c:v>
                </c:pt>
              </c:numCache>
            </c:numRef>
          </c:val>
          <c:smooth val="0"/>
          <c:extLst>
            <c:ext xmlns:c16="http://schemas.microsoft.com/office/drawing/2014/chart" uri="{C3380CC4-5D6E-409C-BE32-E72D297353CC}">
              <c16:uniqueId val="{00000008-3EB3-48D6-B643-9C94F82029EC}"/>
            </c:ext>
          </c:extLst>
        </c:ser>
        <c:dLbls>
          <c:showLegendKey val="0"/>
          <c:showVal val="0"/>
          <c:showCatName val="0"/>
          <c:showSerName val="0"/>
          <c:showPercent val="0"/>
          <c:showBubbleSize val="0"/>
        </c:dLbls>
        <c:marker val="1"/>
        <c:smooth val="0"/>
        <c:axId val="72827648"/>
        <c:axId val="72829184"/>
      </c:lineChart>
      <c:catAx>
        <c:axId val="72827648"/>
        <c:scaling>
          <c:orientation val="minMax"/>
        </c:scaling>
        <c:delete val="0"/>
        <c:axPos val="b"/>
        <c:numFmt formatCode="General" sourceLinked="1"/>
        <c:majorTickMark val="out"/>
        <c:minorTickMark val="none"/>
        <c:tickLblPos val="low"/>
        <c:spPr>
          <a:ln w="6350">
            <a:solidFill>
              <a:schemeClr val="bg1">
                <a:lumMod val="50000"/>
              </a:schemeClr>
            </a:solidFill>
          </a:ln>
        </c:spPr>
        <c:crossAx val="72829184"/>
        <c:crosses val="autoZero"/>
        <c:auto val="1"/>
        <c:lblAlgn val="ctr"/>
        <c:lblOffset val="20"/>
        <c:noMultiLvlLbl val="0"/>
      </c:catAx>
      <c:valAx>
        <c:axId val="72829184"/>
        <c:scaling>
          <c:orientation val="minMax"/>
          <c:max val="85"/>
          <c:min val="0"/>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b="0" i="1">
                    <a:effectLst/>
                  </a:rPr>
                  <a:t>Other expenditures (in CZK bn)</a:t>
                </a:r>
                <a:endParaRPr lang="cs-CZ" sz="700" b="0">
                  <a:effectLst/>
                </a:endParaRPr>
              </a:p>
            </c:rich>
          </c:tx>
          <c:layout>
            <c:manualLayout>
              <c:xMode val="edge"/>
              <c:yMode val="edge"/>
              <c:x val="0"/>
              <c:y val="0.22613499913827934"/>
            </c:manualLayout>
          </c:layout>
          <c:overlay val="0"/>
        </c:title>
        <c:numFmt formatCode="0" sourceLinked="0"/>
        <c:majorTickMark val="out"/>
        <c:minorTickMark val="none"/>
        <c:tickLblPos val="nextTo"/>
        <c:spPr>
          <a:ln w="6350">
            <a:solidFill>
              <a:schemeClr val="tx1"/>
            </a:solidFill>
          </a:ln>
        </c:spPr>
        <c:crossAx val="72827648"/>
        <c:crosses val="autoZero"/>
        <c:crossBetween val="between"/>
        <c:majorUnit val="5"/>
      </c:valAx>
      <c:valAx>
        <c:axId val="72835072"/>
        <c:scaling>
          <c:orientation val="minMax"/>
          <c:max val="850"/>
          <c:min val="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b="0" i="1">
                    <a:effectLst/>
                  </a:rPr>
                  <a:t>Current expenditures </a:t>
                </a:r>
                <a:r>
                  <a:rPr lang="cs-CZ" sz="700" b="0" i="1">
                    <a:effectLst/>
                  </a:rPr>
                  <a:t>, total</a:t>
                </a:r>
                <a:r>
                  <a:rPr lang="cs-CZ" sz="700" b="0" i="1" baseline="0">
                    <a:effectLst/>
                  </a:rPr>
                  <a:t> </a:t>
                </a:r>
                <a:r>
                  <a:rPr lang="en-GB" sz="700" b="0" i="1">
                    <a:effectLst/>
                  </a:rPr>
                  <a:t>(in CZK bn)</a:t>
                </a:r>
                <a:endParaRPr lang="cs-CZ" sz="700" b="0">
                  <a:effectLst/>
                </a:endParaRPr>
              </a:p>
            </c:rich>
          </c:tx>
          <c:layout>
            <c:manualLayout>
              <c:xMode val="edge"/>
              <c:yMode val="edge"/>
              <c:x val="0.97053250319037876"/>
              <c:y val="0.18723657086670256"/>
            </c:manualLayout>
          </c:layout>
          <c:overlay val="0"/>
        </c:title>
        <c:numFmt formatCode="0" sourceLinked="0"/>
        <c:majorTickMark val="out"/>
        <c:minorTickMark val="none"/>
        <c:tickLblPos val="nextTo"/>
        <c:spPr>
          <a:ln w="6350">
            <a:solidFill>
              <a:schemeClr val="tx1"/>
            </a:solidFill>
          </a:ln>
        </c:spPr>
        <c:crossAx val="72836608"/>
        <c:crosses val="max"/>
        <c:crossBetween val="between"/>
        <c:majorUnit val="50"/>
      </c:valAx>
      <c:catAx>
        <c:axId val="72836608"/>
        <c:scaling>
          <c:orientation val="minMax"/>
        </c:scaling>
        <c:delete val="1"/>
        <c:axPos val="b"/>
        <c:numFmt formatCode="General" sourceLinked="1"/>
        <c:majorTickMark val="out"/>
        <c:minorTickMark val="none"/>
        <c:tickLblPos val="none"/>
        <c:crossAx val="72835072"/>
        <c:crosses val="autoZero"/>
        <c:auto val="1"/>
        <c:lblAlgn val="ctr"/>
        <c:lblOffset val="100"/>
        <c:noMultiLvlLbl val="0"/>
      </c:catAx>
      <c:spPr>
        <a:ln w="6350">
          <a:solidFill>
            <a:schemeClr val="tx1"/>
          </a:solidFill>
        </a:ln>
      </c:spPr>
    </c:plotArea>
    <c:legend>
      <c:legendPos val="b"/>
      <c:layout>
        <c:manualLayout>
          <c:xMode val="edge"/>
          <c:yMode val="edge"/>
          <c:x val="3.9731107349700291E-2"/>
          <c:y val="0.81923680838739421"/>
          <c:w val="0.93147250427561701"/>
          <c:h val="0.17717936606300658"/>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948352704928246E-2"/>
          <c:y val="2.8458510079622041E-2"/>
          <c:w val="0.93956464282120367"/>
          <c:h val="0.6497469886299676"/>
        </c:manualLayout>
      </c:layout>
      <c:barChart>
        <c:barDir val="col"/>
        <c:grouping val="stacked"/>
        <c:varyColors val="0"/>
        <c:ser>
          <c:idx val="5"/>
          <c:order val="1"/>
          <c:tx>
            <c:strRef>
              <c:f>'souhrnná výkonnost 3'!$D$5</c:f>
              <c:strCache>
                <c:ptCount val="1"/>
                <c:pt idx="0">
                  <c:v>Final consumption expenditure of households (inc. non-profit inst.)</c:v>
                </c:pt>
              </c:strCache>
            </c:strRef>
          </c:tx>
          <c:spPr>
            <a:solidFill>
              <a:srgbClr val="0071BC"/>
            </a:solidFill>
            <a:ln>
              <a:noFill/>
            </a:ln>
          </c:spPr>
          <c:invertIfNegative val="0"/>
          <c:val>
            <c:numRef>
              <c:f>'souhrnná výkonnost 3'!$D$18:$D$39</c:f>
              <c:numCache>
                <c:formatCode>#\ ##0.0</c:formatCode>
                <c:ptCount val="22"/>
                <c:pt idx="0">
                  <c:v>1.0004416838991848</c:v>
                </c:pt>
                <c:pt idx="1">
                  <c:v>1.1245121794719866</c:v>
                </c:pt>
                <c:pt idx="2">
                  <c:v>1.2521979797185689</c:v>
                </c:pt>
                <c:pt idx="3">
                  <c:v>1.5140922770621217</c:v>
                </c:pt>
                <c:pt idx="4">
                  <c:v>1.011033178528604</c:v>
                </c:pt>
                <c:pt idx="5">
                  <c:v>0.84092037321111202</c:v>
                </c:pt>
                <c:pt idx="6">
                  <c:v>1.0599389176360645</c:v>
                </c:pt>
                <c:pt idx="7">
                  <c:v>0.97961312874423945</c:v>
                </c:pt>
                <c:pt idx="8">
                  <c:v>1.0820067439812537</c:v>
                </c:pt>
                <c:pt idx="9">
                  <c:v>1.4390025136660056</c:v>
                </c:pt>
                <c:pt idx="10">
                  <c:v>1.3061872269069228</c:v>
                </c:pt>
                <c:pt idx="11">
                  <c:v>1.0872722376357689</c:v>
                </c:pt>
                <c:pt idx="12">
                  <c:v>1.4841358084274829</c:v>
                </c:pt>
                <c:pt idx="13">
                  <c:v>1.2073185637569239</c:v>
                </c:pt>
                <c:pt idx="14">
                  <c:v>1.0110919461066379</c:v>
                </c:pt>
                <c:pt idx="15">
                  <c:v>0.91827339775759576</c:v>
                </c:pt>
                <c:pt idx="16">
                  <c:v>0.95709419842434051</c:v>
                </c:pt>
                <c:pt idx="17">
                  <c:v>1.3452005145206245</c:v>
                </c:pt>
                <c:pt idx="18">
                  <c:v>1.1867517998339108</c:v>
                </c:pt>
                <c:pt idx="19">
                  <c:v>1.3517576838625602</c:v>
                </c:pt>
                <c:pt idx="20">
                  <c:v>9.1271052179358977E-2</c:v>
                </c:pt>
                <c:pt idx="21">
                  <c:v>-2.0048459354575745</c:v>
                </c:pt>
              </c:numCache>
            </c:numRef>
          </c:val>
          <c:extLst>
            <c:ext xmlns:c16="http://schemas.microsoft.com/office/drawing/2014/chart" uri="{C3380CC4-5D6E-409C-BE32-E72D297353CC}">
              <c16:uniqueId val="{00000000-CED6-431A-B96A-CE3D0DA9B571}"/>
            </c:ext>
          </c:extLst>
        </c:ser>
        <c:ser>
          <c:idx val="4"/>
          <c:order val="2"/>
          <c:tx>
            <c:strRef>
              <c:f>'souhrnná výkonnost 3'!$E$5</c:f>
              <c:strCache>
                <c:ptCount val="1"/>
                <c:pt idx="0">
                  <c:v>Final consumption expenditure of government institutions</c:v>
                </c:pt>
              </c:strCache>
            </c:strRef>
          </c:tx>
          <c:spPr>
            <a:solidFill>
              <a:srgbClr val="A6CDE8"/>
            </a:solidFill>
            <a:ln>
              <a:noFill/>
            </a:ln>
          </c:spPr>
          <c:invertIfNegative val="0"/>
          <c:val>
            <c:numRef>
              <c:f>'souhrnná výkonnost 3'!$E$18:$E$39</c:f>
              <c:numCache>
                <c:formatCode>#\ ##0.0</c:formatCode>
                <c:ptCount val="22"/>
                <c:pt idx="0">
                  <c:v>0.36711313994295081</c:v>
                </c:pt>
                <c:pt idx="1">
                  <c:v>0.38184726381267609</c:v>
                </c:pt>
                <c:pt idx="2">
                  <c:v>0.5911601763482196</c:v>
                </c:pt>
                <c:pt idx="3">
                  <c:v>0.43670380992842678</c:v>
                </c:pt>
                <c:pt idx="4">
                  <c:v>0.42501610259126504</c:v>
                </c:pt>
                <c:pt idx="5">
                  <c:v>0.47017789747807115</c:v>
                </c:pt>
                <c:pt idx="6">
                  <c:v>0.42973407124759544</c:v>
                </c:pt>
                <c:pt idx="7">
                  <c:v>0.47700779378045444</c:v>
                </c:pt>
                <c:pt idx="8">
                  <c:v>0.4285629075979569</c:v>
                </c:pt>
                <c:pt idx="9">
                  <c:v>0.36487116628719296</c:v>
                </c:pt>
                <c:pt idx="10">
                  <c:v>0.22397478701370191</c:v>
                </c:pt>
                <c:pt idx="11">
                  <c:v>0.25198788808759842</c:v>
                </c:pt>
                <c:pt idx="12">
                  <c:v>0.55090223595657939</c:v>
                </c:pt>
                <c:pt idx="13">
                  <c:v>0.5614476104031324</c:v>
                </c:pt>
                <c:pt idx="14">
                  <c:v>0.87498347752231842</c:v>
                </c:pt>
                <c:pt idx="15">
                  <c:v>0.79469994126147958</c:v>
                </c:pt>
                <c:pt idx="16">
                  <c:v>0.36969712355591594</c:v>
                </c:pt>
                <c:pt idx="17">
                  <c:v>0.50543252930386484</c:v>
                </c:pt>
                <c:pt idx="18">
                  <c:v>0.40522723257515153</c:v>
                </c:pt>
                <c:pt idx="19">
                  <c:v>0.4012060779431087</c:v>
                </c:pt>
                <c:pt idx="20">
                  <c:v>0.94126963734477176</c:v>
                </c:pt>
                <c:pt idx="21">
                  <c:v>0.42787942241144838</c:v>
                </c:pt>
              </c:numCache>
            </c:numRef>
          </c:val>
          <c:extLst>
            <c:ext xmlns:c16="http://schemas.microsoft.com/office/drawing/2014/chart" uri="{C3380CC4-5D6E-409C-BE32-E72D297353CC}">
              <c16:uniqueId val="{00000001-CED6-431A-B96A-CE3D0DA9B571}"/>
            </c:ext>
          </c:extLst>
        </c:ser>
        <c:ser>
          <c:idx val="3"/>
          <c:order val="3"/>
          <c:tx>
            <c:strRef>
              <c:f>'souhrnná výkonnost 3'!$G$5</c:f>
              <c:strCache>
                <c:ptCount val="1"/>
                <c:pt idx="0">
                  <c:v>Gross capital formation</c:v>
                </c:pt>
              </c:strCache>
            </c:strRef>
          </c:tx>
          <c:spPr>
            <a:solidFill>
              <a:srgbClr val="BD1B21"/>
            </a:solidFill>
            <a:ln>
              <a:noFill/>
            </a:ln>
          </c:spPr>
          <c:invertIfNegative val="0"/>
          <c:val>
            <c:numRef>
              <c:f>'souhrnná výkonnost 3'!$G$18:$G$39</c:f>
              <c:numCache>
                <c:formatCode>#\ ##0.0</c:formatCode>
                <c:ptCount val="22"/>
                <c:pt idx="0">
                  <c:v>3.1310050244124823</c:v>
                </c:pt>
                <c:pt idx="1">
                  <c:v>3.7310848346723087</c:v>
                </c:pt>
                <c:pt idx="2">
                  <c:v>2.34505813454797</c:v>
                </c:pt>
                <c:pt idx="3">
                  <c:v>1.0284887473308018</c:v>
                </c:pt>
                <c:pt idx="4">
                  <c:v>0.1426787206126395</c:v>
                </c:pt>
                <c:pt idx="5">
                  <c:v>-1.4507925661177268</c:v>
                </c:pt>
                <c:pt idx="6">
                  <c:v>-0.98123446043739548</c:v>
                </c:pt>
                <c:pt idx="7">
                  <c:v>-0.61353806390597054</c:v>
                </c:pt>
                <c:pt idx="8">
                  <c:v>-0.96942712410588472</c:v>
                </c:pt>
                <c:pt idx="9">
                  <c:v>0.73262216993952523</c:v>
                </c:pt>
                <c:pt idx="10">
                  <c:v>1.5238713260674783</c:v>
                </c:pt>
                <c:pt idx="11">
                  <c:v>2.2323726403134958</c:v>
                </c:pt>
                <c:pt idx="12">
                  <c:v>3.1139088122024097</c:v>
                </c:pt>
                <c:pt idx="13">
                  <c:v>1.5785709692492593</c:v>
                </c:pt>
                <c:pt idx="14">
                  <c:v>1.7413269758016987</c:v>
                </c:pt>
                <c:pt idx="15">
                  <c:v>0.51220455181690849</c:v>
                </c:pt>
                <c:pt idx="16">
                  <c:v>0.91852512375984641</c:v>
                </c:pt>
                <c:pt idx="17">
                  <c:v>-1.1054000753810638</c:v>
                </c:pt>
                <c:pt idx="18">
                  <c:v>-1.1725505853239804</c:v>
                </c:pt>
                <c:pt idx="19">
                  <c:v>1.02328337892609</c:v>
                </c:pt>
                <c:pt idx="20">
                  <c:v>-2.3907338546449148</c:v>
                </c:pt>
                <c:pt idx="21">
                  <c:v>-1.4644242049377132</c:v>
                </c:pt>
              </c:numCache>
            </c:numRef>
          </c:val>
          <c:extLst>
            <c:ext xmlns:c16="http://schemas.microsoft.com/office/drawing/2014/chart" uri="{C3380CC4-5D6E-409C-BE32-E72D297353CC}">
              <c16:uniqueId val="{00000002-CED6-431A-B96A-CE3D0DA9B571}"/>
            </c:ext>
          </c:extLst>
        </c:ser>
        <c:ser>
          <c:idx val="1"/>
          <c:order val="4"/>
          <c:tx>
            <c:strRef>
              <c:f>'souhrnná výkonnost 3'!$F$5</c:f>
              <c:strCache>
                <c:ptCount val="1"/>
                <c:pt idx="0">
                  <c:v>Foreign trade balance</c:v>
                </c:pt>
              </c:strCache>
            </c:strRef>
          </c:tx>
          <c:spPr>
            <a:solidFill>
              <a:srgbClr val="7DBB2D"/>
            </a:solidFill>
            <a:ln>
              <a:noFill/>
            </a:ln>
          </c:spPr>
          <c:invertIfNegative val="0"/>
          <c:val>
            <c:numRef>
              <c:f>'souhrnná výkonnost 3'!$F$18:$F$39</c:f>
              <c:numCache>
                <c:formatCode>#\ ##0.0</c:formatCode>
                <c:ptCount val="22"/>
                <c:pt idx="0">
                  <c:v>0.85358800053760486</c:v>
                </c:pt>
                <c:pt idx="1">
                  <c:v>0.50682849323072787</c:v>
                </c:pt>
                <c:pt idx="2">
                  <c:v>1.4713169429104394</c:v>
                </c:pt>
                <c:pt idx="3">
                  <c:v>2.0731040792572153</c:v>
                </c:pt>
                <c:pt idx="4">
                  <c:v>1.7620830562499514</c:v>
                </c:pt>
                <c:pt idx="5">
                  <c:v>2.3990552594367274</c:v>
                </c:pt>
                <c:pt idx="6">
                  <c:v>1.370993307029881</c:v>
                </c:pt>
                <c:pt idx="7">
                  <c:v>1.2526206333504177</c:v>
                </c:pt>
                <c:pt idx="8">
                  <c:v>3.0648181369329626</c:v>
                </c:pt>
                <c:pt idx="9">
                  <c:v>3.4601141630489307</c:v>
                </c:pt>
                <c:pt idx="10">
                  <c:v>2.7091491429512415</c:v>
                </c:pt>
                <c:pt idx="11">
                  <c:v>2.1602088091475098</c:v>
                </c:pt>
                <c:pt idx="12">
                  <c:v>-0.49012514161118581</c:v>
                </c:pt>
                <c:pt idx="13">
                  <c:v>-0.81047776037827601</c:v>
                </c:pt>
                <c:pt idx="14">
                  <c:v>-1.04647898349734</c:v>
                </c:pt>
                <c:pt idx="15">
                  <c:v>0.26106115108900063</c:v>
                </c:pt>
                <c:pt idx="16">
                  <c:v>0.12604869637815186</c:v>
                </c:pt>
                <c:pt idx="17">
                  <c:v>1.5557019835323573</c:v>
                </c:pt>
                <c:pt idx="18">
                  <c:v>1.7857076729316352</c:v>
                </c:pt>
                <c:pt idx="19">
                  <c:v>-0.89056835169597359</c:v>
                </c:pt>
                <c:pt idx="20">
                  <c:v>-0.57748920340632015</c:v>
                </c:pt>
                <c:pt idx="21">
                  <c:v>-7.9030153426816998</c:v>
                </c:pt>
              </c:numCache>
            </c:numRef>
          </c:val>
          <c:extLst>
            <c:ext xmlns:c16="http://schemas.microsoft.com/office/drawing/2014/chart" uri="{C3380CC4-5D6E-409C-BE32-E72D297353CC}">
              <c16:uniqueId val="{00000003-CED6-431A-B96A-CE3D0DA9B571}"/>
            </c:ext>
          </c:extLst>
        </c:ser>
        <c:dLbls>
          <c:showLegendKey val="0"/>
          <c:showVal val="0"/>
          <c:showCatName val="0"/>
          <c:showSerName val="0"/>
          <c:showPercent val="0"/>
          <c:showBubbleSize val="0"/>
        </c:dLbls>
        <c:gapWidth val="40"/>
        <c:overlap val="100"/>
        <c:axId val="115206784"/>
        <c:axId val="115286400"/>
      </c:barChart>
      <c:lineChart>
        <c:grouping val="standard"/>
        <c:varyColors val="0"/>
        <c:ser>
          <c:idx val="0"/>
          <c:order val="0"/>
          <c:tx>
            <c:strRef>
              <c:f>'souhrnná výkonnost 3'!$C$5</c:f>
              <c:strCache>
                <c:ptCount val="1"/>
                <c:pt idx="0">
                  <c:v>GDP</c:v>
                </c:pt>
              </c:strCache>
            </c:strRef>
          </c:tx>
          <c:spPr>
            <a:ln>
              <a:solidFill>
                <a:prstClr val="black"/>
              </a:solidFill>
            </a:ln>
          </c:spPr>
          <c:marker>
            <c:symbol val="none"/>
          </c:marker>
          <c:cat>
            <c:multiLvlStrRef>
              <c:f>'souhrnná výkonnost 3'!$A$18:$B$39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3'!$C$18:$C$39</c:f>
              <c:numCache>
                <c:formatCode>#\ ##0.0</c:formatCode>
                <c:ptCount val="22"/>
                <c:pt idx="0">
                  <c:v>5.3541479116968844</c:v>
                </c:pt>
                <c:pt idx="1">
                  <c:v>5.7580987456543795</c:v>
                </c:pt>
                <c:pt idx="2">
                  <c:v>5.6783364148190572</c:v>
                </c:pt>
                <c:pt idx="3">
                  <c:v>5.0736477020698771</c:v>
                </c:pt>
                <c:pt idx="4">
                  <c:v>3.4010558338826229</c:v>
                </c:pt>
                <c:pt idx="5">
                  <c:v>2.3184007606832324</c:v>
                </c:pt>
                <c:pt idx="6">
                  <c:v>1.9346258296187244</c:v>
                </c:pt>
                <c:pt idx="7">
                  <c:v>2.1527861842497913</c:v>
                </c:pt>
                <c:pt idx="8">
                  <c:v>3.6789755923611835</c:v>
                </c:pt>
                <c:pt idx="9">
                  <c:v>6.0785791748313187</c:v>
                </c:pt>
                <c:pt idx="10">
                  <c:v>5.8461673142579968</c:v>
                </c:pt>
                <c:pt idx="11">
                  <c:v>5.8135294348367665</c:v>
                </c:pt>
                <c:pt idx="12">
                  <c:v>4.7768522995265954</c:v>
                </c:pt>
                <c:pt idx="13">
                  <c:v>2.647594839576044</c:v>
                </c:pt>
                <c:pt idx="14">
                  <c:v>2.6903782593896892</c:v>
                </c:pt>
                <c:pt idx="15">
                  <c:v>2.5948102218219304</c:v>
                </c:pt>
                <c:pt idx="16">
                  <c:v>2.4492683454218138</c:v>
                </c:pt>
                <c:pt idx="17">
                  <c:v>2.3738828500299576</c:v>
                </c:pt>
                <c:pt idx="18">
                  <c:v>2.2829391747994663</c:v>
                </c:pt>
                <c:pt idx="19">
                  <c:v>1.9683208351430466</c:v>
                </c:pt>
                <c:pt idx="20">
                  <c:v>-1.9120048023797693</c:v>
                </c:pt>
                <c:pt idx="21">
                  <c:v>-10.956226210723926</c:v>
                </c:pt>
              </c:numCache>
            </c:numRef>
          </c:val>
          <c:smooth val="0"/>
          <c:extLst>
            <c:ext xmlns:c16="http://schemas.microsoft.com/office/drawing/2014/chart" uri="{C3380CC4-5D6E-409C-BE32-E72D297353CC}">
              <c16:uniqueId val="{00000004-CED6-431A-B96A-CE3D0DA9B571}"/>
            </c:ext>
          </c:extLst>
        </c:ser>
        <c:dLbls>
          <c:showLegendKey val="0"/>
          <c:showVal val="0"/>
          <c:showCatName val="0"/>
          <c:showSerName val="0"/>
          <c:showPercent val="0"/>
          <c:showBubbleSize val="0"/>
        </c:dLbls>
        <c:marker val="1"/>
        <c:smooth val="0"/>
        <c:axId val="115206784"/>
        <c:axId val="115286400"/>
      </c:lineChart>
      <c:catAx>
        <c:axId val="11520678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286400"/>
        <c:crosses val="autoZero"/>
        <c:auto val="1"/>
        <c:lblAlgn val="ctr"/>
        <c:lblOffset val="100"/>
        <c:noMultiLvlLbl val="0"/>
      </c:catAx>
      <c:valAx>
        <c:axId val="115286400"/>
        <c:scaling>
          <c:orientation val="minMax"/>
          <c:max val="7"/>
          <c:min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206784"/>
        <c:crosses val="autoZero"/>
        <c:crossBetween val="between"/>
        <c:majorUnit val="3"/>
      </c:valAx>
      <c:spPr>
        <a:ln>
          <a:solidFill>
            <a:schemeClr val="tx1"/>
          </a:solidFill>
        </a:ln>
      </c:spPr>
    </c:plotArea>
    <c:legend>
      <c:legendPos val="b"/>
      <c:layout>
        <c:manualLayout>
          <c:xMode val="edge"/>
          <c:yMode val="edge"/>
          <c:x val="4.4891184424094004E-2"/>
          <c:y val="0.79301446583361457"/>
          <c:w val="0.94049666651103803"/>
          <c:h val="0.19014325115388939"/>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404035346808687E-2"/>
          <c:y val="3.7154479717354444E-2"/>
          <c:w val="0.93674937195830332"/>
          <c:h val="0.63445260610154264"/>
        </c:manualLayout>
      </c:layout>
      <c:barChart>
        <c:barDir val="col"/>
        <c:grouping val="stacked"/>
        <c:varyColors val="0"/>
        <c:ser>
          <c:idx val="4"/>
          <c:order val="0"/>
          <c:tx>
            <c:strRef>
              <c:f>'souhrnná výkonnost 4'!$C$5</c:f>
              <c:strCache>
                <c:ptCount val="1"/>
                <c:pt idx="0">
                  <c:v>Agriculture, forestry and fishing</c:v>
                </c:pt>
              </c:strCache>
            </c:strRef>
          </c:tx>
          <c:spPr>
            <a:solidFill>
              <a:srgbClr val="0071BC"/>
            </a:solidFill>
            <a:ln>
              <a:noFill/>
            </a:ln>
          </c:spPr>
          <c:invertIfNegative val="0"/>
          <c:val>
            <c:numRef>
              <c:f>'souhrnná výkonnost 4'!$C$18:$C$39</c:f>
              <c:numCache>
                <c:formatCode>#\ ##0.0</c:formatCode>
                <c:ptCount val="22"/>
                <c:pt idx="0">
                  <c:v>0.30368485614942081</c:v>
                </c:pt>
                <c:pt idx="1">
                  <c:v>0.2304988905076614</c:v>
                </c:pt>
                <c:pt idx="2">
                  <c:v>0.11798809635792069</c:v>
                </c:pt>
                <c:pt idx="3">
                  <c:v>7.2282252647939291E-2</c:v>
                </c:pt>
                <c:pt idx="4">
                  <c:v>5.3855687366031392E-2</c:v>
                </c:pt>
                <c:pt idx="5">
                  <c:v>0.14849879547587463</c:v>
                </c:pt>
                <c:pt idx="6">
                  <c:v>0.21032935295139474</c:v>
                </c:pt>
                <c:pt idx="7">
                  <c:v>0.10195129284322399</c:v>
                </c:pt>
                <c:pt idx="8">
                  <c:v>-9.6443702202456318E-3</c:v>
                </c:pt>
                <c:pt idx="9">
                  <c:v>-0.1183984267345688</c:v>
                </c:pt>
                <c:pt idx="10">
                  <c:v>-0.19416190528766372</c:v>
                </c:pt>
                <c:pt idx="11">
                  <c:v>-3.0322150838633197E-2</c:v>
                </c:pt>
                <c:pt idx="12">
                  <c:v>4.7508651359557938E-2</c:v>
                </c:pt>
                <c:pt idx="13">
                  <c:v>7.2085897061104368E-2</c:v>
                </c:pt>
                <c:pt idx="14">
                  <c:v>0.13381218456459662</c:v>
                </c:pt>
                <c:pt idx="15">
                  <c:v>0.11519772003582743</c:v>
                </c:pt>
                <c:pt idx="16">
                  <c:v>7.457032591061126E-2</c:v>
                </c:pt>
                <c:pt idx="17">
                  <c:v>6.6379351512401832E-2</c:v>
                </c:pt>
                <c:pt idx="18">
                  <c:v>0.13821919543862568</c:v>
                </c:pt>
                <c:pt idx="19">
                  <c:v>0.18322443828145188</c:v>
                </c:pt>
                <c:pt idx="20">
                  <c:v>0.15102733828836876</c:v>
                </c:pt>
                <c:pt idx="21">
                  <c:v>2.1948637813096139E-2</c:v>
                </c:pt>
              </c:numCache>
            </c:numRef>
          </c:val>
          <c:extLst>
            <c:ext xmlns:c16="http://schemas.microsoft.com/office/drawing/2014/chart" uri="{C3380CC4-5D6E-409C-BE32-E72D297353CC}">
              <c16:uniqueId val="{00000000-5BBD-4A01-86B2-E2E188965EE6}"/>
            </c:ext>
          </c:extLst>
        </c:ser>
        <c:ser>
          <c:idx val="3"/>
          <c:order val="1"/>
          <c:tx>
            <c:strRef>
              <c:f>'souhrnná výkonnost 4'!$D$5</c:f>
              <c:strCache>
                <c:ptCount val="1"/>
                <c:pt idx="0">
                  <c:v>Manufacturing (CZ-NACE C)</c:v>
                </c:pt>
              </c:strCache>
            </c:strRef>
          </c:tx>
          <c:spPr>
            <a:solidFill>
              <a:srgbClr val="A6CDE8"/>
            </a:solidFill>
            <a:ln>
              <a:noFill/>
            </a:ln>
          </c:spPr>
          <c:invertIfNegative val="0"/>
          <c:val>
            <c:numRef>
              <c:f>'souhrnná výkonnost 4'!$D$18:$D$39</c:f>
              <c:numCache>
                <c:formatCode>#\ ##0.0</c:formatCode>
                <c:ptCount val="22"/>
                <c:pt idx="0">
                  <c:v>2.2974970288931655</c:v>
                </c:pt>
                <c:pt idx="1">
                  <c:v>2.1003819539683337</c:v>
                </c:pt>
                <c:pt idx="2">
                  <c:v>2.161753605301608</c:v>
                </c:pt>
                <c:pt idx="3">
                  <c:v>1.6515907003433452</c:v>
                </c:pt>
                <c:pt idx="4">
                  <c:v>1.5749274984416446</c:v>
                </c:pt>
                <c:pt idx="5">
                  <c:v>0.83208666717303936</c:v>
                </c:pt>
                <c:pt idx="6">
                  <c:v>0.93499427724552242</c:v>
                </c:pt>
                <c:pt idx="7">
                  <c:v>1.2180600651181106</c:v>
                </c:pt>
                <c:pt idx="8">
                  <c:v>1.3791245235480027</c:v>
                </c:pt>
                <c:pt idx="9">
                  <c:v>3.156295399272143</c:v>
                </c:pt>
                <c:pt idx="10">
                  <c:v>3.0056722211992475</c:v>
                </c:pt>
                <c:pt idx="11">
                  <c:v>2.3263082145418474</c:v>
                </c:pt>
                <c:pt idx="12">
                  <c:v>1.5546773349415703</c:v>
                </c:pt>
                <c:pt idx="13">
                  <c:v>0.22194728168834105</c:v>
                </c:pt>
                <c:pt idx="14">
                  <c:v>2.6880525117532916E-2</c:v>
                </c:pt>
                <c:pt idx="15">
                  <c:v>0.25993633689265211</c:v>
                </c:pt>
                <c:pt idx="16">
                  <c:v>0.65103012374599667</c:v>
                </c:pt>
                <c:pt idx="17">
                  <c:v>0.89397063689155354</c:v>
                </c:pt>
                <c:pt idx="18">
                  <c:v>0.93507380037800703</c:v>
                </c:pt>
                <c:pt idx="19">
                  <c:v>0.4321570928817503</c:v>
                </c:pt>
                <c:pt idx="20">
                  <c:v>-0.75731848079224195</c:v>
                </c:pt>
                <c:pt idx="21">
                  <c:v>-4.5502768630054469</c:v>
                </c:pt>
              </c:numCache>
            </c:numRef>
          </c:val>
          <c:extLst>
            <c:ext xmlns:c16="http://schemas.microsoft.com/office/drawing/2014/chart" uri="{C3380CC4-5D6E-409C-BE32-E72D297353CC}">
              <c16:uniqueId val="{00000001-5BBD-4A01-86B2-E2E188965EE6}"/>
            </c:ext>
          </c:extLst>
        </c:ser>
        <c:ser>
          <c:idx val="2"/>
          <c:order val="2"/>
          <c:tx>
            <c:strRef>
              <c:f>'souhrnná výkonnost 4'!$E$5</c:f>
              <c:strCache>
                <c:ptCount val="1"/>
                <c:pt idx="0">
                  <c:v>Other industrial branches (CZ-NACE B,D,E)</c:v>
                </c:pt>
              </c:strCache>
            </c:strRef>
          </c:tx>
          <c:spPr>
            <a:solidFill>
              <a:srgbClr val="BD1B21"/>
            </a:solidFill>
            <a:ln>
              <a:noFill/>
            </a:ln>
          </c:spPr>
          <c:invertIfNegative val="0"/>
          <c:val>
            <c:numRef>
              <c:f>'souhrnná výkonnost 4'!$E$18:$E$39</c:f>
              <c:numCache>
                <c:formatCode>#\ ##0.0</c:formatCode>
                <c:ptCount val="22"/>
                <c:pt idx="0">
                  <c:v>-0.2238083391325838</c:v>
                </c:pt>
                <c:pt idx="1">
                  <c:v>-0.23838971368947015</c:v>
                </c:pt>
                <c:pt idx="2">
                  <c:v>-0.2053609549377069</c:v>
                </c:pt>
                <c:pt idx="3">
                  <c:v>-0.35147060330963598</c:v>
                </c:pt>
                <c:pt idx="4">
                  <c:v>-0.61869060635239537</c:v>
                </c:pt>
                <c:pt idx="5">
                  <c:v>-0.25512934357205408</c:v>
                </c:pt>
                <c:pt idx="6">
                  <c:v>-0.19959002476284948</c:v>
                </c:pt>
                <c:pt idx="7">
                  <c:v>3.2746825671393198E-2</c:v>
                </c:pt>
                <c:pt idx="8">
                  <c:v>0.18450614676852783</c:v>
                </c:pt>
                <c:pt idx="9">
                  <c:v>9.0995210938591864E-2</c:v>
                </c:pt>
                <c:pt idx="10">
                  <c:v>9.3791960410576802E-2</c:v>
                </c:pt>
                <c:pt idx="11">
                  <c:v>9.7481504130754182E-3</c:v>
                </c:pt>
                <c:pt idx="12">
                  <c:v>-2.2551156456915189E-2</c:v>
                </c:pt>
                <c:pt idx="13">
                  <c:v>-2.698234320952228E-2</c:v>
                </c:pt>
                <c:pt idx="14" formatCode="General">
                  <c:v>6.5626615130826169E-2</c:v>
                </c:pt>
                <c:pt idx="15" formatCode="General">
                  <c:v>-0.13276822997746235</c:v>
                </c:pt>
                <c:pt idx="16" formatCode="General">
                  <c:v>-0.16605613821776544</c:v>
                </c:pt>
                <c:pt idx="17" formatCode="General">
                  <c:v>-0.17578686521880382</c:v>
                </c:pt>
                <c:pt idx="18" formatCode="General">
                  <c:v>-0.17747063964733789</c:v>
                </c:pt>
                <c:pt idx="19" formatCode="General">
                  <c:v>8.7594056433330181E-2</c:v>
                </c:pt>
                <c:pt idx="20" formatCode="General">
                  <c:v>-0.24297407898359524</c:v>
                </c:pt>
                <c:pt idx="21" formatCode="General">
                  <c:v>-0.72377713934564358</c:v>
                </c:pt>
              </c:numCache>
            </c:numRef>
          </c:val>
          <c:extLst>
            <c:ext xmlns:c16="http://schemas.microsoft.com/office/drawing/2014/chart" uri="{C3380CC4-5D6E-409C-BE32-E72D297353CC}">
              <c16:uniqueId val="{00000002-5BBD-4A01-86B2-E2E188965EE6}"/>
            </c:ext>
          </c:extLst>
        </c:ser>
        <c:ser>
          <c:idx val="1"/>
          <c:order val="3"/>
          <c:tx>
            <c:strRef>
              <c:f>'souhrnná výkonnost 4'!$F$5</c:f>
              <c:strCache>
                <c:ptCount val="1"/>
                <c:pt idx="0">
                  <c:v>Construction</c:v>
                </c:pt>
              </c:strCache>
            </c:strRef>
          </c:tx>
          <c:spPr>
            <a:solidFill>
              <a:srgbClr val="E8AFB2"/>
            </a:solidFill>
            <a:ln>
              <a:noFill/>
            </a:ln>
          </c:spPr>
          <c:invertIfNegative val="0"/>
          <c:val>
            <c:numRef>
              <c:f>'souhrnná výkonnost 4'!$F$18:$F$39</c:f>
              <c:numCache>
                <c:formatCode>#\ ##0.0</c:formatCode>
                <c:ptCount val="22"/>
                <c:pt idx="0">
                  <c:v>0.13087923173458302</c:v>
                </c:pt>
                <c:pt idx="1">
                  <c:v>0.16519036862091754</c:v>
                </c:pt>
                <c:pt idx="2">
                  <c:v>0.21120786680843179</c:v>
                </c:pt>
                <c:pt idx="3">
                  <c:v>-1.2415147928913664E-2</c:v>
                </c:pt>
                <c:pt idx="4">
                  <c:v>-0.10952448541686127</c:v>
                </c:pt>
                <c:pt idx="5">
                  <c:v>-0.28214741197780213</c:v>
                </c:pt>
                <c:pt idx="6">
                  <c:v>-0.27168672817032663</c:v>
                </c:pt>
                <c:pt idx="7">
                  <c:v>-0.20754684715757324</c:v>
                </c:pt>
                <c:pt idx="8">
                  <c:v>-8.524394743114426E-2</c:v>
                </c:pt>
                <c:pt idx="9">
                  <c:v>0.11383434006711636</c:v>
                </c:pt>
                <c:pt idx="10">
                  <c:v>4.3349635308544285E-2</c:v>
                </c:pt>
                <c:pt idx="11">
                  <c:v>0.17858744375528909</c:v>
                </c:pt>
                <c:pt idx="12">
                  <c:v>0.11808587682306973</c:v>
                </c:pt>
                <c:pt idx="13">
                  <c:v>6.8021503066315213E-3</c:v>
                </c:pt>
                <c:pt idx="14">
                  <c:v>-1.6571363358896852E-2</c:v>
                </c:pt>
                <c:pt idx="15">
                  <c:v>-0.14898361382784628</c:v>
                </c:pt>
                <c:pt idx="16">
                  <c:v>-0.20748910270418172</c:v>
                </c:pt>
                <c:pt idx="17">
                  <c:v>-0.16731055129880157</c:v>
                </c:pt>
                <c:pt idx="18">
                  <c:v>-0.12605835918279604</c:v>
                </c:pt>
                <c:pt idx="19">
                  <c:v>-7.4487643149214286E-2</c:v>
                </c:pt>
                <c:pt idx="20">
                  <c:v>3.8553744056270094E-2</c:v>
                </c:pt>
                <c:pt idx="21">
                  <c:v>-0.34659476754864965</c:v>
                </c:pt>
              </c:numCache>
            </c:numRef>
          </c:val>
          <c:extLst>
            <c:ext xmlns:c16="http://schemas.microsoft.com/office/drawing/2014/chart" uri="{C3380CC4-5D6E-409C-BE32-E72D297353CC}">
              <c16:uniqueId val="{00000003-5BBD-4A01-86B2-E2E188965EE6}"/>
            </c:ext>
          </c:extLst>
        </c:ser>
        <c:ser>
          <c:idx val="0"/>
          <c:order val="4"/>
          <c:tx>
            <c:strRef>
              <c:f>'souhrnná výkonnost 4'!$G$5</c:f>
              <c:strCache>
                <c:ptCount val="1"/>
                <c:pt idx="0">
                  <c:v>Services (CZ-NACE G to U)</c:v>
                </c:pt>
              </c:strCache>
            </c:strRef>
          </c:tx>
          <c:spPr>
            <a:solidFill>
              <a:srgbClr val="7DBB2D"/>
            </a:solidFill>
            <a:ln>
              <a:noFill/>
            </a:ln>
          </c:spPr>
          <c:invertIfNegative val="0"/>
          <c:val>
            <c:numRef>
              <c:f>'souhrnná výkonnost 4'!$G$18:$G$39</c:f>
              <c:numCache>
                <c:formatCode>#\ ##0.0</c:formatCode>
                <c:ptCount val="22"/>
                <c:pt idx="0">
                  <c:v>2.2069915595993166</c:v>
                </c:pt>
                <c:pt idx="1">
                  <c:v>2.8395836710030271</c:v>
                </c:pt>
                <c:pt idx="2">
                  <c:v>2.9673304933717439</c:v>
                </c:pt>
                <c:pt idx="3">
                  <c:v>3.1996488393000861</c:v>
                </c:pt>
                <c:pt idx="4">
                  <c:v>2.2669828358604827</c:v>
                </c:pt>
                <c:pt idx="5">
                  <c:v>1.7472095584606271</c:v>
                </c:pt>
                <c:pt idx="6">
                  <c:v>1.2199893940422677</c:v>
                </c:pt>
                <c:pt idx="7">
                  <c:v>1.2038927401746593</c:v>
                </c:pt>
                <c:pt idx="8">
                  <c:v>2.1828063096576567</c:v>
                </c:pt>
                <c:pt idx="9">
                  <c:v>3.1402341655549573</c:v>
                </c:pt>
                <c:pt idx="10">
                  <c:v>2.9649621789836469</c:v>
                </c:pt>
                <c:pt idx="11">
                  <c:v>3.2019367955598788</c:v>
                </c:pt>
                <c:pt idx="12">
                  <c:v>3.1991581139545291</c:v>
                </c:pt>
                <c:pt idx="13">
                  <c:v>2.4596297734516672</c:v>
                </c:pt>
                <c:pt idx="14" formatCode="General">
                  <c:v>2.8096801810569541</c:v>
                </c:pt>
                <c:pt idx="15" formatCode="General">
                  <c:v>2.633591469545653</c:v>
                </c:pt>
                <c:pt idx="16" formatCode="General">
                  <c:v>2.1778121572999853</c:v>
                </c:pt>
                <c:pt idx="17" formatCode="General">
                  <c:v>1.5872692836963305</c:v>
                </c:pt>
                <c:pt idx="18" formatCode="General">
                  <c:v>1.2887133109854405</c:v>
                </c:pt>
                <c:pt idx="19" formatCode="General">
                  <c:v>1.0856896115678327</c:v>
                </c:pt>
                <c:pt idx="20" formatCode="General">
                  <c:v>-0.48143959136323056</c:v>
                </c:pt>
                <c:pt idx="21" formatCode="General">
                  <c:v>-5.3137430791844009</c:v>
                </c:pt>
              </c:numCache>
            </c:numRef>
          </c:val>
          <c:extLst>
            <c:ext xmlns:c16="http://schemas.microsoft.com/office/drawing/2014/chart" uri="{C3380CC4-5D6E-409C-BE32-E72D297353CC}">
              <c16:uniqueId val="{00000004-5BBD-4A01-86B2-E2E188965EE6}"/>
            </c:ext>
          </c:extLst>
        </c:ser>
        <c:dLbls>
          <c:showLegendKey val="0"/>
          <c:showVal val="0"/>
          <c:showCatName val="0"/>
          <c:showSerName val="0"/>
          <c:showPercent val="0"/>
          <c:showBubbleSize val="0"/>
        </c:dLbls>
        <c:gapWidth val="70"/>
        <c:overlap val="100"/>
        <c:axId val="115446144"/>
        <c:axId val="115447680"/>
      </c:barChart>
      <c:lineChart>
        <c:grouping val="standard"/>
        <c:varyColors val="0"/>
        <c:ser>
          <c:idx val="5"/>
          <c:order val="5"/>
          <c:tx>
            <c:strRef>
              <c:f>'souhrnná výkonnost 4'!$H$5</c:f>
              <c:strCache>
                <c:ptCount val="1"/>
                <c:pt idx="0">
                  <c:v>Total gross value added</c:v>
                </c:pt>
              </c:strCache>
            </c:strRef>
          </c:tx>
          <c:spPr>
            <a:ln w="19050">
              <a:solidFill>
                <a:prstClr val="black"/>
              </a:solidFill>
            </a:ln>
          </c:spPr>
          <c:marker>
            <c:symbol val="none"/>
          </c:marker>
          <c:cat>
            <c:multiLvlStrRef>
              <c:f>'souhrnná výkonnost 4'!$A$18:$B$39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'souhrnná výkonnost 4'!$H$18:$H$39</c:f>
              <c:numCache>
                <c:formatCode>#\ ##0.0</c:formatCode>
                <c:ptCount val="22"/>
                <c:pt idx="0">
                  <c:v>4.715513587220201</c:v>
                </c:pt>
                <c:pt idx="1">
                  <c:v>5.0971004057791305</c:v>
                </c:pt>
                <c:pt idx="2">
                  <c:v>5.2530196431134613</c:v>
                </c:pt>
                <c:pt idx="3">
                  <c:v>4.5592485406007199</c:v>
                </c:pt>
                <c:pt idx="4">
                  <c:v>3.1674424411731508</c:v>
                </c:pt>
                <c:pt idx="5">
                  <c:v>2.1906580742636379</c:v>
                </c:pt>
                <c:pt idx="6">
                  <c:v>1.8939325302629584</c:v>
                </c:pt>
                <c:pt idx="7">
                  <c:v>2.3492580716968376</c:v>
                </c:pt>
                <c:pt idx="8">
                  <c:v>3.6516543205207768</c:v>
                </c:pt>
                <c:pt idx="9">
                  <c:v>6.3830027976023729</c:v>
                </c:pt>
                <c:pt idx="10">
                  <c:v>5.9135095065788903</c:v>
                </c:pt>
                <c:pt idx="11">
                  <c:v>5.6861848632479877</c:v>
                </c:pt>
                <c:pt idx="12">
                  <c:v>4.9690415467186284</c:v>
                </c:pt>
                <c:pt idx="13">
                  <c:v>2.7334464292361815</c:v>
                </c:pt>
                <c:pt idx="14">
                  <c:v>3.0193557965321673</c:v>
                </c:pt>
                <c:pt idx="15">
                  <c:v>2.7273005906640861</c:v>
                </c:pt>
                <c:pt idx="16">
                  <c:v>2.5300143206718104</c:v>
                </c:pt>
                <c:pt idx="17">
                  <c:v>2.204495611197089</c:v>
                </c:pt>
                <c:pt idx="18">
                  <c:v>2.0584748568752218</c:v>
                </c:pt>
                <c:pt idx="19">
                  <c:v>1.7139510638243536</c:v>
                </c:pt>
                <c:pt idx="20">
                  <c:v>-1.2922292501307311</c:v>
                </c:pt>
                <c:pt idx="21">
                  <c:v>-10.912447515612371</c:v>
                </c:pt>
              </c:numCache>
            </c:numRef>
          </c:val>
          <c:smooth val="0"/>
          <c:extLst>
            <c:ext xmlns:c16="http://schemas.microsoft.com/office/drawing/2014/chart" uri="{C3380CC4-5D6E-409C-BE32-E72D297353CC}">
              <c16:uniqueId val="{00000005-5BBD-4A01-86B2-E2E188965EE6}"/>
            </c:ext>
          </c:extLst>
        </c:ser>
        <c:dLbls>
          <c:showLegendKey val="0"/>
          <c:showVal val="0"/>
          <c:showCatName val="0"/>
          <c:showSerName val="0"/>
          <c:showPercent val="0"/>
          <c:showBubbleSize val="0"/>
        </c:dLbls>
        <c:marker val="1"/>
        <c:smooth val="0"/>
        <c:axId val="115446144"/>
        <c:axId val="115447680"/>
      </c:lineChart>
      <c:catAx>
        <c:axId val="11544614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447680"/>
        <c:crosses val="autoZero"/>
        <c:auto val="1"/>
        <c:lblAlgn val="ctr"/>
        <c:lblOffset val="100"/>
        <c:noMultiLvlLbl val="0"/>
      </c:catAx>
      <c:valAx>
        <c:axId val="115447680"/>
        <c:scaling>
          <c:orientation val="minMax"/>
          <c:max val="7"/>
          <c:min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446144"/>
        <c:crosses val="autoZero"/>
        <c:crossBetween val="between"/>
        <c:majorUnit val="3"/>
      </c:valAx>
      <c:spPr>
        <a:ln>
          <a:solidFill>
            <a:schemeClr val="tx1"/>
          </a:solidFill>
        </a:ln>
      </c:spPr>
    </c:plotArea>
    <c:legend>
      <c:legendPos val="b"/>
      <c:layout>
        <c:manualLayout>
          <c:xMode val="edge"/>
          <c:yMode val="edge"/>
          <c:x val="4.8782884397989404E-2"/>
          <c:y val="0.79016604750647301"/>
          <c:w val="0.92922619274506457"/>
          <c:h val="0.19462484520995055"/>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391949014465353E-2"/>
          <c:y val="1.6203558522131581E-2"/>
          <c:w val="0.86585205378005858"/>
          <c:h val="0.72271963362571756"/>
        </c:manualLayout>
      </c:layout>
      <c:barChart>
        <c:barDir val="col"/>
        <c:grouping val="stacked"/>
        <c:varyColors val="0"/>
        <c:ser>
          <c:idx val="0"/>
          <c:order val="0"/>
          <c:tx>
            <c:strRef>
              <c:f>'GRAF příspěvky IPP'!$A$27</c:f>
              <c:strCache>
                <c:ptCount val="1"/>
                <c:pt idx="0">
                  <c:v>Manufact. of transport equipment (29+30)</c:v>
                </c:pt>
              </c:strCache>
            </c:strRef>
          </c:tx>
          <c:spPr>
            <a:solidFill>
              <a:srgbClr val="E8AFB2"/>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IPP'!$B$27:$AN$27</c:f>
              <c:numCache>
                <c:formatCode>0.0</c:formatCode>
                <c:ptCount val="39"/>
                <c:pt idx="0">
                  <c:v>5.2078736853779173</c:v>
                </c:pt>
                <c:pt idx="1">
                  <c:v>4.1223648273779991</c:v>
                </c:pt>
                <c:pt idx="2">
                  <c:v>3.63477216157156</c:v>
                </c:pt>
                <c:pt idx="3">
                  <c:v>3.2216361743132538</c:v>
                </c:pt>
                <c:pt idx="4">
                  <c:v>2.2277089061298581</c:v>
                </c:pt>
                <c:pt idx="5">
                  <c:v>1.0445407965040034</c:v>
                </c:pt>
                <c:pt idx="6">
                  <c:v>-0.44415991740409522</c:v>
                </c:pt>
                <c:pt idx="7">
                  <c:v>-1.7046426167277111</c:v>
                </c:pt>
                <c:pt idx="8">
                  <c:v>-2.8402152771046563</c:v>
                </c:pt>
                <c:pt idx="9">
                  <c:v>-1.1163342815363446</c:v>
                </c:pt>
                <c:pt idx="10">
                  <c:v>0.6644282664004616</c:v>
                </c:pt>
                <c:pt idx="11">
                  <c:v>1.8881189084849743</c:v>
                </c:pt>
                <c:pt idx="12">
                  <c:v>3.5567942882522487</c:v>
                </c:pt>
                <c:pt idx="13">
                  <c:v>2.2505867525367846</c:v>
                </c:pt>
                <c:pt idx="14">
                  <c:v>1.7903943475924651</c:v>
                </c:pt>
                <c:pt idx="15">
                  <c:v>1.535644409665273</c:v>
                </c:pt>
                <c:pt idx="16">
                  <c:v>1.5449159659659168</c:v>
                </c:pt>
                <c:pt idx="17">
                  <c:v>2.1749281656592205</c:v>
                </c:pt>
                <c:pt idx="18">
                  <c:v>2.3300582377623109</c:v>
                </c:pt>
                <c:pt idx="19">
                  <c:v>2.8883547821003916</c:v>
                </c:pt>
                <c:pt idx="20">
                  <c:v>3.2974613335821723</c:v>
                </c:pt>
                <c:pt idx="21">
                  <c:v>2.7788016600022574</c:v>
                </c:pt>
                <c:pt idx="22">
                  <c:v>1.4641693240331413</c:v>
                </c:pt>
                <c:pt idx="23">
                  <c:v>1.0301621596218218</c:v>
                </c:pt>
                <c:pt idx="24">
                  <c:v>1.8188073708028707</c:v>
                </c:pt>
                <c:pt idx="25">
                  <c:v>2.0559452389437172</c:v>
                </c:pt>
                <c:pt idx="26">
                  <c:v>1.5681820744985684</c:v>
                </c:pt>
                <c:pt idx="27">
                  <c:v>1.6876490608562387</c:v>
                </c:pt>
                <c:pt idx="28">
                  <c:v>0.71498061102748001</c:v>
                </c:pt>
                <c:pt idx="29">
                  <c:v>0.55787229008071415</c:v>
                </c:pt>
                <c:pt idx="30">
                  <c:v>0.24148179021483879</c:v>
                </c:pt>
                <c:pt idx="31">
                  <c:v>0.98792003638593584</c:v>
                </c:pt>
                <c:pt idx="32">
                  <c:v>-0.23163009858912853</c:v>
                </c:pt>
                <c:pt idx="33">
                  <c:v>0.48241016929709246</c:v>
                </c:pt>
                <c:pt idx="34">
                  <c:v>0.86708468495670088</c:v>
                </c:pt>
                <c:pt idx="35">
                  <c:v>-1.1073234743952267</c:v>
                </c:pt>
                <c:pt idx="36">
                  <c:v>-1.6293997985981499</c:v>
                </c:pt>
                <c:pt idx="37">
                  <c:v>-9.4500607448497416</c:v>
                </c:pt>
              </c:numCache>
            </c:numRef>
          </c:val>
          <c:extLst>
            <c:ext xmlns:c16="http://schemas.microsoft.com/office/drawing/2014/chart" uri="{C3380CC4-5D6E-409C-BE32-E72D297353CC}">
              <c16:uniqueId val="{00000000-F8B4-47F1-B227-E162DF5D547E}"/>
            </c:ext>
          </c:extLst>
        </c:ser>
        <c:ser>
          <c:idx val="1"/>
          <c:order val="1"/>
          <c:tx>
            <c:strRef>
              <c:f>'GRAF příspěvky IPP'!$A$28</c:f>
              <c:strCache>
                <c:ptCount val="1"/>
                <c:pt idx="0">
                  <c:v>Rubber, electro technical ind. (22+27)</c:v>
                </c:pt>
              </c:strCache>
            </c:strRef>
          </c:tx>
          <c:spPr>
            <a:solidFill>
              <a:srgbClr val="BD1B21"/>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IPP'!$B$28:$AN$28</c:f>
              <c:numCache>
                <c:formatCode>0.0</c:formatCode>
                <c:ptCount val="39"/>
                <c:pt idx="0">
                  <c:v>1.8195799141685121</c:v>
                </c:pt>
                <c:pt idx="1">
                  <c:v>1.4264054755235898</c:v>
                </c:pt>
                <c:pt idx="2">
                  <c:v>0.48607353269968806</c:v>
                </c:pt>
                <c:pt idx="3">
                  <c:v>0.58156552967788966</c:v>
                </c:pt>
                <c:pt idx="4">
                  <c:v>0.85798481430169571</c:v>
                </c:pt>
                <c:pt idx="5">
                  <c:v>0.68171577064529831</c:v>
                </c:pt>
                <c:pt idx="6">
                  <c:v>1.072037862747427</c:v>
                </c:pt>
                <c:pt idx="7">
                  <c:v>-0.46173310094024295</c:v>
                </c:pt>
                <c:pt idx="8">
                  <c:v>-0.34213672064681983</c:v>
                </c:pt>
                <c:pt idx="9">
                  <c:v>-0.29940942958869421</c:v>
                </c:pt>
                <c:pt idx="10">
                  <c:v>0.37461822657534871</c:v>
                </c:pt>
                <c:pt idx="11">
                  <c:v>0.67650313777163307</c:v>
                </c:pt>
                <c:pt idx="12">
                  <c:v>1.189030233896462</c:v>
                </c:pt>
                <c:pt idx="13">
                  <c:v>1.3176011911030265</c:v>
                </c:pt>
                <c:pt idx="14">
                  <c:v>0.16521296223436649</c:v>
                </c:pt>
                <c:pt idx="15">
                  <c:v>0.7937264559340933</c:v>
                </c:pt>
                <c:pt idx="16">
                  <c:v>1.0321564707423598</c:v>
                </c:pt>
                <c:pt idx="17">
                  <c:v>1.2396893147517036</c:v>
                </c:pt>
                <c:pt idx="18">
                  <c:v>1.4257126645761891</c:v>
                </c:pt>
                <c:pt idx="19">
                  <c:v>0.62646054654871031</c:v>
                </c:pt>
                <c:pt idx="20">
                  <c:v>0.70239864046330858</c:v>
                </c:pt>
                <c:pt idx="21">
                  <c:v>0.14957031030982187</c:v>
                </c:pt>
                <c:pt idx="22">
                  <c:v>0.27646532302098098</c:v>
                </c:pt>
                <c:pt idx="23">
                  <c:v>0.42916912474109054</c:v>
                </c:pt>
                <c:pt idx="24">
                  <c:v>0.91361476755678694</c:v>
                </c:pt>
                <c:pt idx="25">
                  <c:v>1.458720321695594</c:v>
                </c:pt>
                <c:pt idx="26">
                  <c:v>0.87170226971120912</c:v>
                </c:pt>
                <c:pt idx="27">
                  <c:v>1.646875240438054</c:v>
                </c:pt>
                <c:pt idx="28">
                  <c:v>0.99783080896461818</c:v>
                </c:pt>
                <c:pt idx="29">
                  <c:v>0.32761654080678082</c:v>
                </c:pt>
                <c:pt idx="30">
                  <c:v>0.42786481660655967</c:v>
                </c:pt>
                <c:pt idx="31">
                  <c:v>-5.3703633303731985E-2</c:v>
                </c:pt>
                <c:pt idx="32">
                  <c:v>0.49489561375904689</c:v>
                </c:pt>
                <c:pt idx="33">
                  <c:v>0.42003944775979141</c:v>
                </c:pt>
                <c:pt idx="34">
                  <c:v>0.20199509108281688</c:v>
                </c:pt>
                <c:pt idx="35">
                  <c:v>0.40892655322579557</c:v>
                </c:pt>
                <c:pt idx="36">
                  <c:v>-0.53423122372633514</c:v>
                </c:pt>
                <c:pt idx="37">
                  <c:v>-4.1268662042132576</c:v>
                </c:pt>
              </c:numCache>
            </c:numRef>
          </c:val>
          <c:extLst>
            <c:ext xmlns:c16="http://schemas.microsoft.com/office/drawing/2014/chart" uri="{C3380CC4-5D6E-409C-BE32-E72D297353CC}">
              <c16:uniqueId val="{00000001-F8B4-47F1-B227-E162DF5D547E}"/>
            </c:ext>
          </c:extLst>
        </c:ser>
        <c:ser>
          <c:idx val="2"/>
          <c:order val="2"/>
          <c:tx>
            <c:strRef>
              <c:f>'GRAF příspěvky IPP'!$A$29</c:f>
              <c:strCache>
                <c:ptCount val="1"/>
                <c:pt idx="0">
                  <c:v>Machinery (28)</c:v>
                </c:pt>
              </c:strCache>
            </c:strRef>
          </c:tx>
          <c:spPr>
            <a:solidFill>
              <a:srgbClr val="BFE3F7"/>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IPP'!$B$29:$AN$29</c:f>
              <c:numCache>
                <c:formatCode>0.0</c:formatCode>
                <c:ptCount val="39"/>
                <c:pt idx="0">
                  <c:v>1.2645058188207068</c:v>
                </c:pt>
                <c:pt idx="1">
                  <c:v>1.2866524900119543</c:v>
                </c:pt>
                <c:pt idx="2">
                  <c:v>0.321758166889757</c:v>
                </c:pt>
                <c:pt idx="3">
                  <c:v>0.69985382932741536</c:v>
                </c:pt>
                <c:pt idx="4">
                  <c:v>0.51520520797066272</c:v>
                </c:pt>
                <c:pt idx="5">
                  <c:v>0.26610955621310539</c:v>
                </c:pt>
                <c:pt idx="6">
                  <c:v>0.23285855695515315</c:v>
                </c:pt>
                <c:pt idx="7">
                  <c:v>-0.14103398862933006</c:v>
                </c:pt>
                <c:pt idx="8">
                  <c:v>8.1772139521772438E-2</c:v>
                </c:pt>
                <c:pt idx="9">
                  <c:v>0.2046260235658918</c:v>
                </c:pt>
                <c:pt idx="10">
                  <c:v>-2.2418720279356572E-2</c:v>
                </c:pt>
                <c:pt idx="11">
                  <c:v>0.65142852885825009</c:v>
                </c:pt>
                <c:pt idx="12">
                  <c:v>0.21304347589519865</c:v>
                </c:pt>
                <c:pt idx="13">
                  <c:v>0.40549290927749476</c:v>
                </c:pt>
                <c:pt idx="14">
                  <c:v>0.20916730701816877</c:v>
                </c:pt>
                <c:pt idx="15">
                  <c:v>0.32933361982312465</c:v>
                </c:pt>
                <c:pt idx="16">
                  <c:v>0.27334106694035171</c:v>
                </c:pt>
                <c:pt idx="17">
                  <c:v>0.29428298533741609</c:v>
                </c:pt>
                <c:pt idx="18">
                  <c:v>0.38533015320769515</c:v>
                </c:pt>
                <c:pt idx="19">
                  <c:v>1.9183488529804775E-2</c:v>
                </c:pt>
                <c:pt idx="20">
                  <c:v>0.36307045023871931</c:v>
                </c:pt>
                <c:pt idx="21">
                  <c:v>-6.7572945378872373E-2</c:v>
                </c:pt>
                <c:pt idx="22">
                  <c:v>0.19574075945275773</c:v>
                </c:pt>
                <c:pt idx="23">
                  <c:v>0.31979046599858157</c:v>
                </c:pt>
                <c:pt idx="24">
                  <c:v>0.3600654733750322</c:v>
                </c:pt>
                <c:pt idx="25">
                  <c:v>1.0705741294559918</c:v>
                </c:pt>
                <c:pt idx="26">
                  <c:v>0.84942343358716554</c:v>
                </c:pt>
                <c:pt idx="27">
                  <c:v>0.80110319510701655</c:v>
                </c:pt>
                <c:pt idx="28">
                  <c:v>0.47293555109852903</c:v>
                </c:pt>
                <c:pt idx="29">
                  <c:v>0.1452079187580578</c:v>
                </c:pt>
                <c:pt idx="30">
                  <c:v>0.18970333111993243</c:v>
                </c:pt>
                <c:pt idx="31">
                  <c:v>-0.19465162699433602</c:v>
                </c:pt>
                <c:pt idx="32">
                  <c:v>0.14644501292152765</c:v>
                </c:pt>
                <c:pt idx="33">
                  <c:v>-1.7290955551125375E-2</c:v>
                </c:pt>
                <c:pt idx="34">
                  <c:v>-0.27153097339988502</c:v>
                </c:pt>
                <c:pt idx="35">
                  <c:v>-0.12691952861474254</c:v>
                </c:pt>
                <c:pt idx="36">
                  <c:v>-0.76418531682893287</c:v>
                </c:pt>
                <c:pt idx="37">
                  <c:v>-2.1211317843565176</c:v>
                </c:pt>
              </c:numCache>
            </c:numRef>
          </c:val>
          <c:extLst>
            <c:ext xmlns:c16="http://schemas.microsoft.com/office/drawing/2014/chart" uri="{C3380CC4-5D6E-409C-BE32-E72D297353CC}">
              <c16:uniqueId val="{00000002-F8B4-47F1-B227-E162DF5D547E}"/>
            </c:ext>
          </c:extLst>
        </c:ser>
        <c:ser>
          <c:idx val="3"/>
          <c:order val="3"/>
          <c:tx>
            <c:strRef>
              <c:f>'GRAF příspěvky IPP'!$A$30</c:f>
              <c:strCache>
                <c:ptCount val="1"/>
                <c:pt idx="0">
                  <c:v>Fabricated metal product industry (25)</c:v>
                </c:pt>
              </c:strCache>
            </c:strRef>
          </c:tx>
          <c:spPr>
            <a:solidFill>
              <a:srgbClr val="48AEE7"/>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IPP'!$B$30:$AN$30</c:f>
              <c:numCache>
                <c:formatCode>0.0</c:formatCode>
                <c:ptCount val="39"/>
                <c:pt idx="0">
                  <c:v>1.3551101221058057</c:v>
                </c:pt>
                <c:pt idx="1">
                  <c:v>0.61003571461144745</c:v>
                </c:pt>
                <c:pt idx="2">
                  <c:v>6.5190052068116996E-2</c:v>
                </c:pt>
                <c:pt idx="3">
                  <c:v>-5.751285551196901E-2</c:v>
                </c:pt>
                <c:pt idx="4">
                  <c:v>-6.6831949774716279E-2</c:v>
                </c:pt>
                <c:pt idx="5">
                  <c:v>-7.2108739074927916E-2</c:v>
                </c:pt>
                <c:pt idx="6">
                  <c:v>0.10129802746367376</c:v>
                </c:pt>
                <c:pt idx="7">
                  <c:v>-0.16202794402787471</c:v>
                </c:pt>
                <c:pt idx="8">
                  <c:v>-7.7218113950844339E-2</c:v>
                </c:pt>
                <c:pt idx="9">
                  <c:v>9.8842007123154413E-2</c:v>
                </c:pt>
                <c:pt idx="10">
                  <c:v>0.38425831802453603</c:v>
                </c:pt>
                <c:pt idx="11">
                  <c:v>0.56826070473463075</c:v>
                </c:pt>
                <c:pt idx="12">
                  <c:v>0.72466030311448937</c:v>
                </c:pt>
                <c:pt idx="13">
                  <c:v>0.64070763768823902</c:v>
                </c:pt>
                <c:pt idx="14">
                  <c:v>0.13471783746278831</c:v>
                </c:pt>
                <c:pt idx="15">
                  <c:v>0.34715049391068614</c:v>
                </c:pt>
                <c:pt idx="16">
                  <c:v>0.7002997305470311</c:v>
                </c:pt>
                <c:pt idx="17">
                  <c:v>0.78598516282691366</c:v>
                </c:pt>
                <c:pt idx="18">
                  <c:v>0.92607458938072496</c:v>
                </c:pt>
                <c:pt idx="19">
                  <c:v>0.625152359437114</c:v>
                </c:pt>
                <c:pt idx="20">
                  <c:v>0.76444806762191553</c:v>
                </c:pt>
                <c:pt idx="21">
                  <c:v>0.38468982602991308</c:v>
                </c:pt>
                <c:pt idx="22">
                  <c:v>0.20052528439839029</c:v>
                </c:pt>
                <c:pt idx="23">
                  <c:v>0.2505464784956295</c:v>
                </c:pt>
                <c:pt idx="24">
                  <c:v>0.5110945332466369</c:v>
                </c:pt>
                <c:pt idx="25">
                  <c:v>0.91827111587790722</c:v>
                </c:pt>
                <c:pt idx="26">
                  <c:v>0.82344311009183468</c:v>
                </c:pt>
                <c:pt idx="27">
                  <c:v>0.97625242210301566</c:v>
                </c:pt>
                <c:pt idx="28">
                  <c:v>0.6543071266859497</c:v>
                </c:pt>
                <c:pt idx="29">
                  <c:v>0.44399142916192974</c:v>
                </c:pt>
                <c:pt idx="30">
                  <c:v>0.43632885025014273</c:v>
                </c:pt>
                <c:pt idx="31">
                  <c:v>0.16425112174648246</c:v>
                </c:pt>
                <c:pt idx="32">
                  <c:v>0.22813318351264544</c:v>
                </c:pt>
                <c:pt idx="33">
                  <c:v>0</c:v>
                </c:pt>
                <c:pt idx="34">
                  <c:v>-0.22418998862127987</c:v>
                </c:pt>
                <c:pt idx="35">
                  <c:v>-0.36099363648711907</c:v>
                </c:pt>
                <c:pt idx="36">
                  <c:v>-0.6830389638650618</c:v>
                </c:pt>
                <c:pt idx="37">
                  <c:v>-2.2504115636172499</c:v>
                </c:pt>
              </c:numCache>
            </c:numRef>
          </c:val>
          <c:extLst>
            <c:ext xmlns:c16="http://schemas.microsoft.com/office/drawing/2014/chart" uri="{C3380CC4-5D6E-409C-BE32-E72D297353CC}">
              <c16:uniqueId val="{00000003-F8B4-47F1-B227-E162DF5D547E}"/>
            </c:ext>
          </c:extLst>
        </c:ser>
        <c:ser>
          <c:idx val="4"/>
          <c:order val="4"/>
          <c:tx>
            <c:strRef>
              <c:f>'GRAF příspěvky IPP'!$A$31</c:f>
              <c:strCache>
                <c:ptCount val="1"/>
                <c:pt idx="0">
                  <c:v>Manufact. of PC, electron., optic.prod. (26)</c:v>
                </c:pt>
              </c:strCache>
            </c:strRef>
          </c:tx>
          <c:spPr>
            <a:solidFill>
              <a:srgbClr val="FDDEB3"/>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IPP'!$B$31:$AN$31</c:f>
              <c:numCache>
                <c:formatCode>0.0</c:formatCode>
                <c:ptCount val="39"/>
                <c:pt idx="0">
                  <c:v>0.46663673326552113</c:v>
                </c:pt>
                <c:pt idx="1">
                  <c:v>0.23034504225594873</c:v>
                </c:pt>
                <c:pt idx="2">
                  <c:v>-0.24128462562357822</c:v>
                </c:pt>
                <c:pt idx="3">
                  <c:v>-0.7801555412140766</c:v>
                </c:pt>
                <c:pt idx="4">
                  <c:v>-0.63255602460385418</c:v>
                </c:pt>
                <c:pt idx="5">
                  <c:v>-0.77384972458303802</c:v>
                </c:pt>
                <c:pt idx="6">
                  <c:v>-0.66432699677878693</c:v>
                </c:pt>
                <c:pt idx="7">
                  <c:v>-0.43948160779128104</c:v>
                </c:pt>
                <c:pt idx="8">
                  <c:v>0.1743274886505129</c:v>
                </c:pt>
                <c:pt idx="9">
                  <c:v>0.20848577844563423</c:v>
                </c:pt>
                <c:pt idx="10">
                  <c:v>0.28708284874337209</c:v>
                </c:pt>
                <c:pt idx="11">
                  <c:v>0.3710677945253662</c:v>
                </c:pt>
                <c:pt idx="12">
                  <c:v>0.25462016960863021</c:v>
                </c:pt>
                <c:pt idx="13">
                  <c:v>0.35946957764943493</c:v>
                </c:pt>
                <c:pt idx="14">
                  <c:v>0.24902596442701128</c:v>
                </c:pt>
                <c:pt idx="15">
                  <c:v>0.43266401321765158</c:v>
                </c:pt>
                <c:pt idx="16">
                  <c:v>0.10098933939964477</c:v>
                </c:pt>
                <c:pt idx="17">
                  <c:v>1.4989983457542287E-2</c:v>
                </c:pt>
                <c:pt idx="18">
                  <c:v>4.8131776575975969E-2</c:v>
                </c:pt>
                <c:pt idx="19">
                  <c:v>-7.7003986202186223E-2</c:v>
                </c:pt>
                <c:pt idx="20">
                  <c:v>2.5800791974177746E-4</c:v>
                </c:pt>
                <c:pt idx="21">
                  <c:v>4.8125354447826493E-2</c:v>
                </c:pt>
                <c:pt idx="22">
                  <c:v>5.4761934658599951E-2</c:v>
                </c:pt>
                <c:pt idx="23">
                  <c:v>0.16221619241546678</c:v>
                </c:pt>
                <c:pt idx="24">
                  <c:v>0.1266562574913582</c:v>
                </c:pt>
                <c:pt idx="25">
                  <c:v>0.37648265280216536</c:v>
                </c:pt>
                <c:pt idx="26">
                  <c:v>0.23505971681229232</c:v>
                </c:pt>
                <c:pt idx="27">
                  <c:v>0.23512493906047929</c:v>
                </c:pt>
                <c:pt idx="28">
                  <c:v>0.40852046691006588</c:v>
                </c:pt>
                <c:pt idx="29">
                  <c:v>0.15033665549578873</c:v>
                </c:pt>
                <c:pt idx="30">
                  <c:v>0.63742581900112127</c:v>
                </c:pt>
                <c:pt idx="31">
                  <c:v>0.30596497918419047</c:v>
                </c:pt>
                <c:pt idx="32">
                  <c:v>-0.11284031378710398</c:v>
                </c:pt>
                <c:pt idx="33">
                  <c:v>-3.9673324167303896E-2</c:v>
                </c:pt>
                <c:pt idx="34">
                  <c:v>-0.62307029350559606</c:v>
                </c:pt>
                <c:pt idx="35">
                  <c:v>-0.34200440969372159</c:v>
                </c:pt>
                <c:pt idx="36">
                  <c:v>-0.12945937652719841</c:v>
                </c:pt>
                <c:pt idx="37">
                  <c:v>-0.30159247761277497</c:v>
                </c:pt>
              </c:numCache>
            </c:numRef>
          </c:val>
          <c:extLst>
            <c:ext xmlns:c16="http://schemas.microsoft.com/office/drawing/2014/chart" uri="{C3380CC4-5D6E-409C-BE32-E72D297353CC}">
              <c16:uniqueId val="{00000004-F8B4-47F1-B227-E162DF5D547E}"/>
            </c:ext>
          </c:extLst>
        </c:ser>
        <c:ser>
          <c:idx val="5"/>
          <c:order val="5"/>
          <c:tx>
            <c:strRef>
              <c:f>'GRAF příspěvky IPP'!$A$32</c:f>
              <c:strCache>
                <c:ptCount val="1"/>
                <c:pt idx="0">
                  <c:v>Chemical and pharmaceutical ind. (20+21)</c:v>
                </c:pt>
              </c:strCache>
            </c:strRef>
          </c:tx>
          <c:spPr>
            <a:solidFill>
              <a:srgbClr val="F8A124"/>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IPP'!$B$32:$AN$32</c:f>
              <c:numCache>
                <c:formatCode>0.0</c:formatCode>
                <c:ptCount val="39"/>
                <c:pt idx="0">
                  <c:v>0.11043784960432593</c:v>
                </c:pt>
                <c:pt idx="1">
                  <c:v>-0.10773555193592807</c:v>
                </c:pt>
                <c:pt idx="2">
                  <c:v>-0.35112289109297956</c:v>
                </c:pt>
                <c:pt idx="3">
                  <c:v>-0.27826739460014194</c:v>
                </c:pt>
                <c:pt idx="4">
                  <c:v>8.4154385689483149E-2</c:v>
                </c:pt>
                <c:pt idx="5">
                  <c:v>-9.8833863523717924E-2</c:v>
                </c:pt>
                <c:pt idx="6">
                  <c:v>0.29519930148431078</c:v>
                </c:pt>
                <c:pt idx="7">
                  <c:v>8.1663941155752748E-2</c:v>
                </c:pt>
                <c:pt idx="8">
                  <c:v>-0.16442793114609983</c:v>
                </c:pt>
                <c:pt idx="9">
                  <c:v>2.7522300233105406E-2</c:v>
                </c:pt>
                <c:pt idx="10">
                  <c:v>-0.19879397802963492</c:v>
                </c:pt>
                <c:pt idx="11">
                  <c:v>0.22116665497939436</c:v>
                </c:pt>
                <c:pt idx="12">
                  <c:v>0.41666566499041086</c:v>
                </c:pt>
                <c:pt idx="13">
                  <c:v>0.29995274809874523</c:v>
                </c:pt>
                <c:pt idx="14">
                  <c:v>0.37241621238378653</c:v>
                </c:pt>
                <c:pt idx="15">
                  <c:v>0.12288921584121683</c:v>
                </c:pt>
                <c:pt idx="16">
                  <c:v>7.7350431314437765E-2</c:v>
                </c:pt>
                <c:pt idx="17">
                  <c:v>0.23593761593130141</c:v>
                </c:pt>
                <c:pt idx="18">
                  <c:v>-0.16669952986343833</c:v>
                </c:pt>
                <c:pt idx="19">
                  <c:v>-0.33320285815360856</c:v>
                </c:pt>
                <c:pt idx="20">
                  <c:v>-0.42004567083081795</c:v>
                </c:pt>
                <c:pt idx="21">
                  <c:v>-0.42026397840181545</c:v>
                </c:pt>
                <c:pt idx="22">
                  <c:v>-0.10965943805062672</c:v>
                </c:pt>
                <c:pt idx="23">
                  <c:v>0.23764174190673226</c:v>
                </c:pt>
                <c:pt idx="24">
                  <c:v>0.52969781101036639</c:v>
                </c:pt>
                <c:pt idx="25">
                  <c:v>0.81629581332897672</c:v>
                </c:pt>
                <c:pt idx="26">
                  <c:v>0.6490077008448305</c:v>
                </c:pt>
                <c:pt idx="27">
                  <c:v>0.50550039995300478</c:v>
                </c:pt>
                <c:pt idx="28">
                  <c:v>0.39836280707384325</c:v>
                </c:pt>
                <c:pt idx="29">
                  <c:v>8.2769801878325527E-2</c:v>
                </c:pt>
                <c:pt idx="30">
                  <c:v>-5.1200962998572921E-2</c:v>
                </c:pt>
                <c:pt idx="31">
                  <c:v>-6.7051149583539513E-2</c:v>
                </c:pt>
                <c:pt idx="32">
                  <c:v>0.10347687791544462</c:v>
                </c:pt>
                <c:pt idx="33">
                  <c:v>5.1169406501742065E-2</c:v>
                </c:pt>
                <c:pt idx="34">
                  <c:v>0.23125923115734595</c:v>
                </c:pt>
                <c:pt idx="35">
                  <c:v>2.9465242599488156E-2</c:v>
                </c:pt>
                <c:pt idx="36">
                  <c:v>-6.3954323515944531E-2</c:v>
                </c:pt>
                <c:pt idx="37">
                  <c:v>-0.59623991586590874</c:v>
                </c:pt>
              </c:numCache>
            </c:numRef>
          </c:val>
          <c:extLst>
            <c:ext xmlns:c16="http://schemas.microsoft.com/office/drawing/2014/chart" uri="{C3380CC4-5D6E-409C-BE32-E72D297353CC}">
              <c16:uniqueId val="{00000005-F8B4-47F1-B227-E162DF5D547E}"/>
            </c:ext>
          </c:extLst>
        </c:ser>
        <c:ser>
          <c:idx val="6"/>
          <c:order val="6"/>
          <c:tx>
            <c:strRef>
              <c:f>'GRAF příspěvky IPP'!$A$33</c:f>
              <c:strCache>
                <c:ptCount val="1"/>
                <c:pt idx="0">
                  <c:v>Remaining manufacturing industries</c:v>
                </c:pt>
              </c:strCache>
            </c:strRef>
          </c:tx>
          <c:spPr>
            <a:solidFill>
              <a:schemeClr val="bg1">
                <a:lumMod val="85000"/>
              </a:schemeClr>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IPP'!$B$33:$AN$33</c:f>
              <c:numCache>
                <c:formatCode>0.0</c:formatCode>
                <c:ptCount val="39"/>
                <c:pt idx="0">
                  <c:v>0.37508837128330441</c:v>
                </c:pt>
                <c:pt idx="1">
                  <c:v>-0.21037755903979605</c:v>
                </c:pt>
                <c:pt idx="2">
                  <c:v>-1.5665549835303916</c:v>
                </c:pt>
                <c:pt idx="3">
                  <c:v>-0.30113263223401887</c:v>
                </c:pt>
                <c:pt idx="4">
                  <c:v>-1.2532623819644968</c:v>
                </c:pt>
                <c:pt idx="5">
                  <c:v>-0.98265973266456974</c:v>
                </c:pt>
                <c:pt idx="6">
                  <c:v>-0.65808893522855183</c:v>
                </c:pt>
                <c:pt idx="7">
                  <c:v>-1.4388407277993178</c:v>
                </c:pt>
                <c:pt idx="8">
                  <c:v>-0.1559553406211569</c:v>
                </c:pt>
                <c:pt idx="9">
                  <c:v>-0.10101620467744854</c:v>
                </c:pt>
                <c:pt idx="10">
                  <c:v>0.61701582414311784</c:v>
                </c:pt>
                <c:pt idx="11">
                  <c:v>1.4236339159262827</c:v>
                </c:pt>
                <c:pt idx="12">
                  <c:v>1.236545341304258</c:v>
                </c:pt>
                <c:pt idx="13">
                  <c:v>1.2187062503030845</c:v>
                </c:pt>
                <c:pt idx="14">
                  <c:v>0.52934645905596056</c:v>
                </c:pt>
                <c:pt idx="15">
                  <c:v>1.351822855883333</c:v>
                </c:pt>
                <c:pt idx="16">
                  <c:v>0.99830218869293763</c:v>
                </c:pt>
                <c:pt idx="17">
                  <c:v>0.90243657634684393</c:v>
                </c:pt>
                <c:pt idx="18">
                  <c:v>0.97767572263990776</c:v>
                </c:pt>
                <c:pt idx="19">
                  <c:v>-0.22132414773784082</c:v>
                </c:pt>
                <c:pt idx="20">
                  <c:v>3.75697389584283E-2</c:v>
                </c:pt>
                <c:pt idx="21">
                  <c:v>-0.30016704241038428</c:v>
                </c:pt>
                <c:pt idx="22">
                  <c:v>4.1230596798872976E-2</c:v>
                </c:pt>
                <c:pt idx="23">
                  <c:v>0.57694869576717844</c:v>
                </c:pt>
                <c:pt idx="24">
                  <c:v>0.33188448583664354</c:v>
                </c:pt>
                <c:pt idx="25">
                  <c:v>1.4323707076505112</c:v>
                </c:pt>
                <c:pt idx="26">
                  <c:v>0.74281336901524031</c:v>
                </c:pt>
                <c:pt idx="27">
                  <c:v>0.99254851716260917</c:v>
                </c:pt>
                <c:pt idx="28">
                  <c:v>1.1174634788597515</c:v>
                </c:pt>
                <c:pt idx="29">
                  <c:v>0.68739640698572724</c:v>
                </c:pt>
                <c:pt idx="30">
                  <c:v>1.0605384736132097</c:v>
                </c:pt>
                <c:pt idx="31">
                  <c:v>0.51351046269380185</c:v>
                </c:pt>
                <c:pt idx="32">
                  <c:v>-0.14309532338947323</c:v>
                </c:pt>
                <c:pt idx="33">
                  <c:v>-3.4143637355314435E-2</c:v>
                </c:pt>
                <c:pt idx="34">
                  <c:v>-0.51022275275070428</c:v>
                </c:pt>
                <c:pt idx="35">
                  <c:v>-0.27505439724231884</c:v>
                </c:pt>
                <c:pt idx="36">
                  <c:v>-0.22294283563754264</c:v>
                </c:pt>
                <c:pt idx="37">
                  <c:v>-3.0516682768317906</c:v>
                </c:pt>
              </c:numCache>
            </c:numRef>
          </c:val>
          <c:extLst>
            <c:ext xmlns:c16="http://schemas.microsoft.com/office/drawing/2014/chart" uri="{C3380CC4-5D6E-409C-BE32-E72D297353CC}">
              <c16:uniqueId val="{00000006-F8B4-47F1-B227-E162DF5D547E}"/>
            </c:ext>
          </c:extLst>
        </c:ser>
        <c:ser>
          <c:idx val="7"/>
          <c:order val="7"/>
          <c:tx>
            <c:strRef>
              <c:f>'GRAF příspěvky IPP'!$A$34</c:f>
              <c:strCache>
                <c:ptCount val="1"/>
                <c:pt idx="0">
                  <c:v>Mining and energetics (B+D)</c:v>
                </c:pt>
              </c:strCache>
            </c:strRef>
          </c:tx>
          <c:spPr>
            <a:solidFill>
              <a:srgbClr val="808080"/>
            </a:solidFill>
          </c:spPr>
          <c:invertIfNegative val="0"/>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IPP'!$B$34:$AN$34</c:f>
              <c:numCache>
                <c:formatCode>0.0</c:formatCode>
                <c:ptCount val="39"/>
                <c:pt idx="0">
                  <c:v>-0.42452386212609627</c:v>
                </c:pt>
                <c:pt idx="1">
                  <c:v>0.37437263889478795</c:v>
                </c:pt>
                <c:pt idx="2">
                  <c:v>-0.30609467148217906</c:v>
                </c:pt>
                <c:pt idx="3">
                  <c:v>-6.2790064258354317E-2</c:v>
                </c:pt>
                <c:pt idx="4">
                  <c:v>4.5234196251372455E-2</c:v>
                </c:pt>
                <c:pt idx="5">
                  <c:v>0.33849893288383998</c:v>
                </c:pt>
                <c:pt idx="6">
                  <c:v>-0.14594055443913137</c:v>
                </c:pt>
                <c:pt idx="7">
                  <c:v>-1.0820656656400016</c:v>
                </c:pt>
                <c:pt idx="8">
                  <c:v>-0.90111641450271041</c:v>
                </c:pt>
                <c:pt idx="9">
                  <c:v>-1.4080716141653054</c:v>
                </c:pt>
                <c:pt idx="10">
                  <c:v>-0.87454103397784222</c:v>
                </c:pt>
                <c:pt idx="11">
                  <c:v>0.52275262781946252</c:v>
                </c:pt>
                <c:pt idx="12">
                  <c:v>-0.48831445126169903</c:v>
                </c:pt>
                <c:pt idx="13">
                  <c:v>-0.36279609225680959</c:v>
                </c:pt>
                <c:pt idx="14">
                  <c:v>-0.47490528997454834</c:v>
                </c:pt>
                <c:pt idx="15">
                  <c:v>-0.68045051057538275</c:v>
                </c:pt>
                <c:pt idx="16">
                  <c:v>0.14603886659731855</c:v>
                </c:pt>
                <c:pt idx="17">
                  <c:v>-0.34005382041093413</c:v>
                </c:pt>
                <c:pt idx="18">
                  <c:v>-0.37898483167936881</c:v>
                </c:pt>
                <c:pt idx="19">
                  <c:v>-1.1248323803223828</c:v>
                </c:pt>
                <c:pt idx="20">
                  <c:v>-0.66857701045346751</c:v>
                </c:pt>
                <c:pt idx="21">
                  <c:v>0.10137361870125999</c:v>
                </c:pt>
                <c:pt idx="22">
                  <c:v>-0.46808235891211047</c:v>
                </c:pt>
                <c:pt idx="23">
                  <c:v>0.50534236475350525</c:v>
                </c:pt>
                <c:pt idx="24">
                  <c:v>0.66795249028030279</c:v>
                </c:pt>
                <c:pt idx="25">
                  <c:v>-0.18424188685486914</c:v>
                </c:pt>
                <c:pt idx="26">
                  <c:v>0.78008174883886461</c:v>
                </c:pt>
                <c:pt idx="27">
                  <c:v>0.73049787951958134</c:v>
                </c:pt>
                <c:pt idx="28">
                  <c:v>-0.53969025522024028</c:v>
                </c:pt>
                <c:pt idx="29">
                  <c:v>9.9992532326696609E-3</c:v>
                </c:pt>
                <c:pt idx="30">
                  <c:v>0.78144454779276418</c:v>
                </c:pt>
                <c:pt idx="31">
                  <c:v>0.32566803227119129</c:v>
                </c:pt>
                <c:pt idx="32">
                  <c:v>0.21461504765704126</c:v>
                </c:pt>
                <c:pt idx="33">
                  <c:v>3.748889351511786E-2</c:v>
                </c:pt>
                <c:pt idx="34">
                  <c:v>-0.67132499891939867</c:v>
                </c:pt>
                <c:pt idx="35">
                  <c:v>-0.32609634939215498</c:v>
                </c:pt>
                <c:pt idx="36">
                  <c:v>-0.97278816130083445</c:v>
                </c:pt>
                <c:pt idx="37">
                  <c:v>-1.5878023608406293</c:v>
                </c:pt>
              </c:numCache>
            </c:numRef>
          </c:val>
          <c:extLst>
            <c:ext xmlns:c16="http://schemas.microsoft.com/office/drawing/2014/chart" uri="{C3380CC4-5D6E-409C-BE32-E72D297353CC}">
              <c16:uniqueId val="{00000007-F8B4-47F1-B227-E162DF5D547E}"/>
            </c:ext>
          </c:extLst>
        </c:ser>
        <c:dLbls>
          <c:showLegendKey val="0"/>
          <c:showVal val="0"/>
          <c:showCatName val="0"/>
          <c:showSerName val="0"/>
          <c:showPercent val="0"/>
          <c:showBubbleSize val="0"/>
        </c:dLbls>
        <c:gapWidth val="15"/>
        <c:overlap val="100"/>
        <c:axId val="112768128"/>
        <c:axId val="112769664"/>
      </c:barChart>
      <c:lineChart>
        <c:grouping val="standard"/>
        <c:varyColors val="0"/>
        <c:ser>
          <c:idx val="8"/>
          <c:order val="8"/>
          <c:tx>
            <c:strRef>
              <c:f>'GRAF příspěvky IPP'!$A$35</c:f>
              <c:strCache>
                <c:ptCount val="1"/>
                <c:pt idx="0">
                  <c:v>Total industry (NACE B+C+D)</c:v>
                </c:pt>
              </c:strCache>
            </c:strRef>
          </c:tx>
          <c:spPr>
            <a:ln w="19050">
              <a:noFill/>
            </a:ln>
          </c:spPr>
          <c:marker>
            <c:symbol val="circle"/>
            <c:size val="4"/>
            <c:spPr>
              <a:solidFill>
                <a:schemeClr val="bg1"/>
              </a:solidFill>
              <a:ln>
                <a:solidFill>
                  <a:schemeClr val="tx1">
                    <a:lumMod val="95000"/>
                    <a:lumOff val="5000"/>
                  </a:schemeClr>
                </a:solidFill>
              </a:ln>
            </c:spPr>
          </c:marker>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IPP'!$B$35:$AN$35</c:f>
              <c:numCache>
                <c:formatCode>#\ ##0.0</c:formatCode>
                <c:ptCount val="39"/>
                <c:pt idx="0">
                  <c:v>10.1747086325</c:v>
                </c:pt>
                <c:pt idx="1">
                  <c:v>7.7320630777000048</c:v>
                </c:pt>
                <c:pt idx="2">
                  <c:v>2.0427367414999935</c:v>
                </c:pt>
                <c:pt idx="3">
                  <c:v>3.0231970454999981</c:v>
                </c:pt>
                <c:pt idx="4">
                  <c:v>1.7776371540000042</c:v>
                </c:pt>
                <c:pt idx="5">
                  <c:v>0.40341299639999306</c:v>
                </c:pt>
                <c:pt idx="6">
                  <c:v>-0.21112265520000051</c:v>
                </c:pt>
                <c:pt idx="7">
                  <c:v>-5.3481617104000065</c:v>
                </c:pt>
                <c:pt idx="8">
                  <c:v>-4.2249701698000024</c:v>
                </c:pt>
                <c:pt idx="9">
                  <c:v>-2.3853554206000069</c:v>
                </c:pt>
                <c:pt idx="10">
                  <c:v>1.2316497516000027</c:v>
                </c:pt>
                <c:pt idx="11">
                  <c:v>6.3229322730999939</c:v>
                </c:pt>
                <c:pt idx="12">
                  <c:v>7.1030450258000002</c:v>
                </c:pt>
                <c:pt idx="13">
                  <c:v>6.1297209744000014</c:v>
                </c:pt>
                <c:pt idx="14">
                  <c:v>2.9753758001999984</c:v>
                </c:pt>
                <c:pt idx="15">
                  <c:v>4.2327805536999961</c:v>
                </c:pt>
                <c:pt idx="16">
                  <c:v>4.873394060199999</c:v>
                </c:pt>
                <c:pt idx="17">
                  <c:v>5.3081959839000064</c:v>
                </c:pt>
                <c:pt idx="18">
                  <c:v>5.5472987825999951</c:v>
                </c:pt>
                <c:pt idx="19">
                  <c:v>2.4027878042000026</c:v>
                </c:pt>
                <c:pt idx="20">
                  <c:v>4.0765835575000011</c:v>
                </c:pt>
                <c:pt idx="21">
                  <c:v>2.6745568033000069</c:v>
                </c:pt>
                <c:pt idx="22">
                  <c:v>1.6551514254000068</c:v>
                </c:pt>
                <c:pt idx="23">
                  <c:v>3.5118172237000067</c:v>
                </c:pt>
                <c:pt idx="24">
                  <c:v>5.2597731895999971</c:v>
                </c:pt>
                <c:pt idx="25">
                  <c:v>7.9444180928999941</c:v>
                </c:pt>
                <c:pt idx="26">
                  <c:v>6.519713423400006</c:v>
                </c:pt>
                <c:pt idx="27">
                  <c:v>7.5755516541999981</c:v>
                </c:pt>
                <c:pt idx="28">
                  <c:v>4.2247105953999977</c:v>
                </c:pt>
                <c:pt idx="29">
                  <c:v>2.4051902963999936</c:v>
                </c:pt>
                <c:pt idx="30">
                  <c:v>3.7235866655999956</c:v>
                </c:pt>
                <c:pt idx="31">
                  <c:v>1.9819082223999942</c:v>
                </c:pt>
                <c:pt idx="32">
                  <c:v>0.7</c:v>
                </c:pt>
                <c:pt idx="33">
                  <c:v>0.9</c:v>
                </c:pt>
                <c:pt idx="34">
                  <c:v>-1</c:v>
                </c:pt>
                <c:pt idx="35">
                  <c:v>-2.1</c:v>
                </c:pt>
                <c:pt idx="36">
                  <c:v>-5</c:v>
                </c:pt>
                <c:pt idx="37">
                  <c:v>-23.485773328187875</c:v>
                </c:pt>
              </c:numCache>
            </c:numRef>
          </c:val>
          <c:smooth val="0"/>
          <c:extLst>
            <c:ext xmlns:c16="http://schemas.microsoft.com/office/drawing/2014/chart" uri="{C3380CC4-5D6E-409C-BE32-E72D297353CC}">
              <c16:uniqueId val="{00000008-F8B4-47F1-B227-E162DF5D547E}"/>
            </c:ext>
          </c:extLst>
        </c:ser>
        <c:dLbls>
          <c:showLegendKey val="0"/>
          <c:showVal val="0"/>
          <c:showCatName val="0"/>
          <c:showSerName val="0"/>
          <c:showPercent val="0"/>
          <c:showBubbleSize val="0"/>
        </c:dLbls>
        <c:marker val="1"/>
        <c:smooth val="0"/>
        <c:axId val="112768128"/>
        <c:axId val="112769664"/>
      </c:lineChart>
      <c:lineChart>
        <c:grouping val="standard"/>
        <c:varyColors val="0"/>
        <c:ser>
          <c:idx val="9"/>
          <c:order val="9"/>
          <c:tx>
            <c:strRef>
              <c:f>'GRAF příspěvky IPP'!$A$36</c:f>
              <c:strCache>
                <c:ptCount val="1"/>
                <c:pt idx="0">
                  <c:v>Balance of confidence indicator in industry</c:v>
                </c:pt>
              </c:strCache>
            </c:strRef>
          </c:tx>
          <c:spPr>
            <a:ln w="15875">
              <a:solidFill>
                <a:schemeClr val="bg1">
                  <a:lumMod val="65000"/>
                </a:schemeClr>
              </a:solidFill>
              <a:prstDash val="sysDot"/>
            </a:ln>
          </c:spPr>
          <c:marker>
            <c:symbol val="circle"/>
            <c:size val="5"/>
            <c:spPr>
              <a:solidFill>
                <a:srgbClr val="FFFF00"/>
              </a:solidFill>
              <a:ln>
                <a:solidFill>
                  <a:schemeClr val="tx1">
                    <a:lumMod val="50000"/>
                    <a:lumOff val="50000"/>
                  </a:schemeClr>
                </a:solidFill>
              </a:ln>
            </c:spPr>
          </c:marker>
          <c:cat>
            <c:multiLvlStrRef>
              <c:f>'GRAF příspěvky IPP'!$B$25:$AN$26</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'GRAF příspěvky IPP'!$B$36:$AN$36</c:f>
              <c:numCache>
                <c:formatCode>0.0</c:formatCode>
                <c:ptCount val="39"/>
                <c:pt idx="0">
                  <c:v>15</c:v>
                </c:pt>
                <c:pt idx="1">
                  <c:v>7.7</c:v>
                </c:pt>
                <c:pt idx="2">
                  <c:v>4</c:v>
                </c:pt>
                <c:pt idx="3">
                  <c:v>4</c:v>
                </c:pt>
                <c:pt idx="4">
                  <c:v>1.3</c:v>
                </c:pt>
                <c:pt idx="5">
                  <c:v>-0.7</c:v>
                </c:pt>
                <c:pt idx="6">
                  <c:v>-8</c:v>
                </c:pt>
                <c:pt idx="7">
                  <c:v>-8.3000000000000007</c:v>
                </c:pt>
                <c:pt idx="8">
                  <c:v>-10.7</c:v>
                </c:pt>
                <c:pt idx="9">
                  <c:v>-11</c:v>
                </c:pt>
                <c:pt idx="10">
                  <c:v>-7.7</c:v>
                </c:pt>
                <c:pt idx="11">
                  <c:v>-0.3</c:v>
                </c:pt>
                <c:pt idx="12">
                  <c:v>1.3</c:v>
                </c:pt>
                <c:pt idx="13">
                  <c:v>3.3</c:v>
                </c:pt>
                <c:pt idx="14">
                  <c:v>2</c:v>
                </c:pt>
                <c:pt idx="15">
                  <c:v>3</c:v>
                </c:pt>
                <c:pt idx="16">
                  <c:v>2.7</c:v>
                </c:pt>
                <c:pt idx="17">
                  <c:v>3</c:v>
                </c:pt>
                <c:pt idx="18">
                  <c:v>5.3</c:v>
                </c:pt>
                <c:pt idx="19">
                  <c:v>0.3</c:v>
                </c:pt>
                <c:pt idx="20">
                  <c:v>3.7</c:v>
                </c:pt>
                <c:pt idx="21">
                  <c:v>1.7</c:v>
                </c:pt>
                <c:pt idx="22">
                  <c:v>2</c:v>
                </c:pt>
                <c:pt idx="23">
                  <c:v>3.7</c:v>
                </c:pt>
                <c:pt idx="24">
                  <c:v>5.3</c:v>
                </c:pt>
                <c:pt idx="25">
                  <c:v>0.7</c:v>
                </c:pt>
                <c:pt idx="26">
                  <c:v>3.3</c:v>
                </c:pt>
                <c:pt idx="27">
                  <c:v>6.7</c:v>
                </c:pt>
                <c:pt idx="28">
                  <c:v>4</c:v>
                </c:pt>
                <c:pt idx="29">
                  <c:v>4.3</c:v>
                </c:pt>
                <c:pt idx="30">
                  <c:v>1.3</c:v>
                </c:pt>
                <c:pt idx="31">
                  <c:v>3</c:v>
                </c:pt>
                <c:pt idx="32">
                  <c:v>0</c:v>
                </c:pt>
                <c:pt idx="33">
                  <c:v>0.3</c:v>
                </c:pt>
                <c:pt idx="34">
                  <c:v>-3</c:v>
                </c:pt>
                <c:pt idx="35">
                  <c:v>-6</c:v>
                </c:pt>
                <c:pt idx="36">
                  <c:v>-6.7</c:v>
                </c:pt>
                <c:pt idx="37">
                  <c:v>-26.3</c:v>
                </c:pt>
                <c:pt idx="38">
                  <c:v>-8</c:v>
                </c:pt>
              </c:numCache>
            </c:numRef>
          </c:val>
          <c:smooth val="0"/>
          <c:extLst>
            <c:ext xmlns:c16="http://schemas.microsoft.com/office/drawing/2014/chart" uri="{C3380CC4-5D6E-409C-BE32-E72D297353CC}">
              <c16:uniqueId val="{00000009-F8B4-47F1-B227-E162DF5D547E}"/>
            </c:ext>
          </c:extLst>
        </c:ser>
        <c:dLbls>
          <c:showLegendKey val="0"/>
          <c:showVal val="0"/>
          <c:showCatName val="0"/>
          <c:showSerName val="0"/>
          <c:showPercent val="0"/>
          <c:showBubbleSize val="0"/>
        </c:dLbls>
        <c:marker val="1"/>
        <c:smooth val="0"/>
        <c:axId val="1513731104"/>
        <c:axId val="1513729024"/>
      </c:lineChart>
      <c:catAx>
        <c:axId val="112768128"/>
        <c:scaling>
          <c:orientation val="minMax"/>
        </c:scaling>
        <c:delete val="0"/>
        <c:axPos val="b"/>
        <c:numFmt formatCode="General" sourceLinked="1"/>
        <c:majorTickMark val="out"/>
        <c:minorTickMark val="none"/>
        <c:tickLblPos val="low"/>
        <c:txPr>
          <a:bodyPr/>
          <a:lstStyle/>
          <a:p>
            <a:pPr>
              <a:defRPr sz="800">
                <a:latin typeface="Arial" pitchFamily="34" charset="0"/>
                <a:cs typeface="Arial" pitchFamily="34" charset="0"/>
              </a:defRPr>
            </a:pPr>
            <a:endParaRPr lang="cs-CZ"/>
          </a:p>
        </c:txPr>
        <c:crossAx val="112769664"/>
        <c:crosses val="autoZero"/>
        <c:auto val="1"/>
        <c:lblAlgn val="ctr"/>
        <c:lblOffset val="0"/>
        <c:noMultiLvlLbl val="0"/>
      </c:catAx>
      <c:valAx>
        <c:axId val="112769664"/>
        <c:scaling>
          <c:orientation val="minMax"/>
          <c:max val="12"/>
          <c:min val="-27"/>
        </c:scaling>
        <c:delete val="0"/>
        <c:axPos val="l"/>
        <c:majorGridlines>
          <c:spPr>
            <a:ln>
              <a:solidFill>
                <a:srgbClr val="BEBEBE"/>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Industrial production</a:t>
                </a:r>
                <a:endParaRPr lang="cs-CZ" sz="700">
                  <a:effectLst/>
                </a:endParaRPr>
              </a:p>
            </c:rich>
          </c:tx>
          <c:layout>
            <c:manualLayout>
              <c:xMode val="edge"/>
              <c:yMode val="edge"/>
              <c:x val="0"/>
              <c:y val="0.20244534603198014"/>
            </c:manualLayout>
          </c:layout>
          <c:overlay val="0"/>
        </c:title>
        <c:numFmt formatCode="0" sourceLinked="0"/>
        <c:majorTickMark val="out"/>
        <c:minorTickMark val="none"/>
        <c:tickLblPos val="nextTo"/>
        <c:txPr>
          <a:bodyPr/>
          <a:lstStyle/>
          <a:p>
            <a:pPr>
              <a:defRPr sz="800">
                <a:latin typeface="Arial" pitchFamily="34" charset="0"/>
                <a:cs typeface="Arial" pitchFamily="34" charset="0"/>
              </a:defRPr>
            </a:pPr>
            <a:endParaRPr lang="cs-CZ"/>
          </a:p>
        </c:txPr>
        <c:crossAx val="112768128"/>
        <c:crosses val="autoZero"/>
        <c:crossBetween val="between"/>
        <c:majorUnit val="3"/>
      </c:valAx>
      <c:valAx>
        <c:axId val="1513729024"/>
        <c:scaling>
          <c:orientation val="minMax"/>
          <c:max val="35"/>
        </c:scaling>
        <c:delete val="0"/>
        <c:axPos val="r"/>
        <c:title>
          <c:tx>
            <c:rich>
              <a:bodyPr/>
              <a:lstStyle/>
              <a:p>
                <a:pPr>
                  <a:defRPr sz="700" b="0" i="1">
                    <a:latin typeface="Arial" panose="020B0604020202020204" pitchFamily="34" charset="0"/>
                    <a:cs typeface="Arial" panose="020B0604020202020204" pitchFamily="34" charset="0"/>
                  </a:defRPr>
                </a:pPr>
                <a:r>
                  <a:rPr lang="en-GB" sz="700" i="1">
                    <a:effectLst/>
                  </a:rPr>
                  <a:t>Balance of confidence indicator</a:t>
                </a:r>
                <a:endParaRPr lang="cs-CZ" sz="700">
                  <a:effectLst/>
                </a:endParaRPr>
              </a:p>
            </c:rich>
          </c:tx>
          <c:layout>
            <c:manualLayout>
              <c:xMode val="edge"/>
              <c:yMode val="edge"/>
              <c:x val="0.97058785927359026"/>
              <c:y val="0.14186479410384856"/>
            </c:manualLayout>
          </c:layout>
          <c:overlay val="0"/>
        </c:title>
        <c:numFmt formatCode="0" sourceLinked="0"/>
        <c:majorTickMark val="out"/>
        <c:minorTickMark val="none"/>
        <c:tickLblPos val="nextTo"/>
        <c:txPr>
          <a:bodyPr/>
          <a:lstStyle/>
          <a:p>
            <a:pPr>
              <a:defRPr sz="800">
                <a:latin typeface="Arial" panose="020B0604020202020204" pitchFamily="34" charset="0"/>
                <a:cs typeface="Arial" panose="020B0604020202020204" pitchFamily="34" charset="0"/>
              </a:defRPr>
            </a:pPr>
            <a:endParaRPr lang="cs-CZ"/>
          </a:p>
        </c:txPr>
        <c:crossAx val="1513731104"/>
        <c:crosses val="max"/>
        <c:crossBetween val="between"/>
        <c:majorUnit val="5"/>
      </c:valAx>
      <c:catAx>
        <c:axId val="1513731104"/>
        <c:scaling>
          <c:orientation val="minMax"/>
        </c:scaling>
        <c:delete val="1"/>
        <c:axPos val="b"/>
        <c:numFmt formatCode="General" sourceLinked="1"/>
        <c:majorTickMark val="out"/>
        <c:minorTickMark val="none"/>
        <c:tickLblPos val="nextTo"/>
        <c:crossAx val="1513729024"/>
        <c:crosses val="autoZero"/>
        <c:auto val="1"/>
        <c:lblAlgn val="ctr"/>
        <c:lblOffset val="100"/>
        <c:noMultiLvlLbl val="0"/>
      </c:catAx>
      <c:spPr>
        <a:noFill/>
        <a:ln w="6350">
          <a:solidFill>
            <a:prstClr val="black">
              <a:lumMod val="95000"/>
              <a:lumOff val="5000"/>
            </a:prstClr>
          </a:solidFill>
        </a:ln>
      </c:spPr>
    </c:plotArea>
    <c:legend>
      <c:legendPos val="r"/>
      <c:layout>
        <c:manualLayout>
          <c:xMode val="edge"/>
          <c:yMode val="edge"/>
          <c:x val="0"/>
          <c:y val="0.8245301077934194"/>
          <c:w val="0.99065961293212845"/>
          <c:h val="0.17197591189447189"/>
        </c:manualLayout>
      </c:layout>
      <c:overlay val="0"/>
      <c:spPr>
        <a:ln w="6350">
          <a:solidFill>
            <a:prstClr val="black">
              <a:lumMod val="95000"/>
              <a:lumOff val="5000"/>
            </a:prstClr>
          </a:solidFill>
        </a:ln>
      </c:spPr>
      <c:txPr>
        <a:bodyPr/>
        <a:lstStyle/>
        <a:p>
          <a:pPr>
            <a:defRPr sz="800">
              <a:latin typeface="Arial" pitchFamily="34" charset="0"/>
              <a:cs typeface="Arial" pitchFamily="34" charset="0"/>
            </a:defRPr>
          </a:pPr>
          <a:endParaRPr lang="cs-CZ"/>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015582501720615E-2"/>
          <c:y val="1.643251153889452E-2"/>
          <c:w val="0.86254083709606399"/>
          <c:h val="0.68473432398964318"/>
        </c:manualLayout>
      </c:layout>
      <c:barChart>
        <c:barDir val="col"/>
        <c:grouping val="clustered"/>
        <c:varyColors val="0"/>
        <c:ser>
          <c:idx val="0"/>
          <c:order val="0"/>
          <c:tx>
            <c:strRef>
              <c:f>'výkonnost odvětví 2'!$A$31</c:f>
              <c:strCache>
                <c:ptCount val="1"/>
                <c:pt idx="0">
                  <c:v>Total industry orders</c:v>
                </c:pt>
              </c:strCache>
            </c:strRef>
          </c:tx>
          <c:spPr>
            <a:solidFill>
              <a:schemeClr val="bg1">
                <a:lumMod val="65000"/>
              </a:schemeClr>
            </a:solidFill>
            <a:ln w="12700">
              <a:noFill/>
              <a:prstDash val="solid"/>
            </a:ln>
          </c:spPr>
          <c:invertIfNegative val="0"/>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2'!$B$31:$AN$31</c:f>
              <c:numCache>
                <c:formatCode>#\ ##0.0__</c:formatCode>
                <c:ptCount val="39"/>
                <c:pt idx="0">
                  <c:v>12.043107093421796</c:v>
                </c:pt>
                <c:pt idx="1">
                  <c:v>5.329290402096305</c:v>
                </c:pt>
                <c:pt idx="2">
                  <c:v>-1.5038236293274423</c:v>
                </c:pt>
                <c:pt idx="3">
                  <c:v>0.49985199872995167</c:v>
                </c:pt>
                <c:pt idx="4">
                  <c:v>7.8919882289544319</c:v>
                </c:pt>
                <c:pt idx="5">
                  <c:v>0.24363263911027389</c:v>
                </c:pt>
                <c:pt idx="6">
                  <c:v>2.6780600325356119</c:v>
                </c:pt>
                <c:pt idx="7">
                  <c:v>-2.2927798243121345</c:v>
                </c:pt>
                <c:pt idx="8">
                  <c:v>-6.7566875441004868</c:v>
                </c:pt>
                <c:pt idx="9">
                  <c:v>-0.77743908810788298</c:v>
                </c:pt>
                <c:pt idx="10">
                  <c:v>12.110592029586002</c:v>
                </c:pt>
                <c:pt idx="11">
                  <c:v>12.611542535334834</c:v>
                </c:pt>
                <c:pt idx="12">
                  <c:v>18.454576257258609</c:v>
                </c:pt>
                <c:pt idx="13">
                  <c:v>13.812603337719324</c:v>
                </c:pt>
                <c:pt idx="14">
                  <c:v>11.164927309703884</c:v>
                </c:pt>
                <c:pt idx="15">
                  <c:v>7.3250322249586759</c:v>
                </c:pt>
                <c:pt idx="16">
                  <c:v>8.5397251010390391</c:v>
                </c:pt>
                <c:pt idx="17">
                  <c:v>6.4894834031568251</c:v>
                </c:pt>
                <c:pt idx="18">
                  <c:v>4.1045761314248068</c:v>
                </c:pt>
                <c:pt idx="19">
                  <c:v>6.0151063810169205</c:v>
                </c:pt>
                <c:pt idx="20">
                  <c:v>1.3550678522953064</c:v>
                </c:pt>
                <c:pt idx="21">
                  <c:v>10.856046878525433</c:v>
                </c:pt>
                <c:pt idx="22">
                  <c:v>1.6431282237439291</c:v>
                </c:pt>
                <c:pt idx="23">
                  <c:v>6.7220844736941103</c:v>
                </c:pt>
                <c:pt idx="24">
                  <c:v>10.841479121555906</c:v>
                </c:pt>
                <c:pt idx="25">
                  <c:v>4.5315942367003714</c:v>
                </c:pt>
                <c:pt idx="26">
                  <c:v>6.9082617878945598</c:v>
                </c:pt>
                <c:pt idx="27">
                  <c:v>7.5112613571588724</c:v>
                </c:pt>
                <c:pt idx="28">
                  <c:v>1.6339188767607453</c:v>
                </c:pt>
                <c:pt idx="29">
                  <c:v>4.6301209797549205</c:v>
                </c:pt>
                <c:pt idx="30">
                  <c:v>3.6945404784506337</c:v>
                </c:pt>
                <c:pt idx="31">
                  <c:v>4.2467023509658759</c:v>
                </c:pt>
                <c:pt idx="32">
                  <c:v>3.2159327201169816</c:v>
                </c:pt>
                <c:pt idx="33">
                  <c:v>0.65858715061426665</c:v>
                </c:pt>
                <c:pt idx="34">
                  <c:v>2.2747163836690305</c:v>
                </c:pt>
                <c:pt idx="35">
                  <c:v>-4.7832000111320241</c:v>
                </c:pt>
                <c:pt idx="36">
                  <c:v>-5.4552563188195791</c:v>
                </c:pt>
                <c:pt idx="37">
                  <c:v>-27.840083401835727</c:v>
                </c:pt>
              </c:numCache>
            </c:numRef>
          </c:val>
          <c:extLst>
            <c:ext xmlns:c16="http://schemas.microsoft.com/office/drawing/2014/chart" uri="{C3380CC4-5D6E-409C-BE32-E72D297353CC}">
              <c16:uniqueId val="{00000000-40AD-46F3-80FA-240AEE5E4942}"/>
            </c:ext>
          </c:extLst>
        </c:ser>
        <c:dLbls>
          <c:showLegendKey val="0"/>
          <c:showVal val="0"/>
          <c:showCatName val="0"/>
          <c:showSerName val="0"/>
          <c:showPercent val="0"/>
          <c:showBubbleSize val="0"/>
        </c:dLbls>
        <c:gapWidth val="34"/>
        <c:overlap val="28"/>
        <c:axId val="139174272"/>
        <c:axId val="139175808"/>
      </c:barChart>
      <c:lineChart>
        <c:grouping val="standard"/>
        <c:varyColors val="0"/>
        <c:ser>
          <c:idx val="2"/>
          <c:order val="1"/>
          <c:tx>
            <c:strRef>
              <c:f>'výkonnost odvětví 2'!$A$32</c:f>
              <c:strCache>
                <c:ptCount val="1"/>
                <c:pt idx="0">
                  <c:v>Total industry orders (domestic only)</c:v>
                </c:pt>
              </c:strCache>
            </c:strRef>
          </c:tx>
          <c:spPr>
            <a:ln w="15875">
              <a:solidFill>
                <a:srgbClr val="0070C0"/>
              </a:solidFill>
              <a:prstDash val="solid"/>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2'!$B$32:$AN$32</c:f>
              <c:numCache>
                <c:formatCode>#\ ##0.0__</c:formatCode>
                <c:ptCount val="39"/>
                <c:pt idx="0">
                  <c:v>2.8145814762462464</c:v>
                </c:pt>
                <c:pt idx="1">
                  <c:v>-0.65160361804250044</c:v>
                </c:pt>
                <c:pt idx="2">
                  <c:v>-11.671782921579478</c:v>
                </c:pt>
                <c:pt idx="3">
                  <c:v>-10.696553890943122</c:v>
                </c:pt>
                <c:pt idx="4">
                  <c:v>2.6214056871317126</c:v>
                </c:pt>
                <c:pt idx="5">
                  <c:v>-9.2467743432498821</c:v>
                </c:pt>
                <c:pt idx="6">
                  <c:v>-2.8571545096936291</c:v>
                </c:pt>
                <c:pt idx="7">
                  <c:v>-4.0487324448534139</c:v>
                </c:pt>
                <c:pt idx="8">
                  <c:v>-7.112663177047466</c:v>
                </c:pt>
                <c:pt idx="9">
                  <c:v>-0.59561460542927591</c:v>
                </c:pt>
                <c:pt idx="10">
                  <c:v>9.3847374388735147</c:v>
                </c:pt>
                <c:pt idx="11">
                  <c:v>7.0782158358476011</c:v>
                </c:pt>
                <c:pt idx="12">
                  <c:v>14.18383964594139</c:v>
                </c:pt>
                <c:pt idx="13">
                  <c:v>7.7929541685002164</c:v>
                </c:pt>
                <c:pt idx="14">
                  <c:v>16.845115352064937</c:v>
                </c:pt>
                <c:pt idx="15">
                  <c:v>9.6787104542652713</c:v>
                </c:pt>
                <c:pt idx="16">
                  <c:v>4.341961301010727</c:v>
                </c:pt>
                <c:pt idx="17">
                  <c:v>10.024449168168019</c:v>
                </c:pt>
                <c:pt idx="18">
                  <c:v>-4.7604240586837108</c:v>
                </c:pt>
                <c:pt idx="19">
                  <c:v>0.56107209694786775</c:v>
                </c:pt>
                <c:pt idx="20">
                  <c:v>0.20304376106223287</c:v>
                </c:pt>
                <c:pt idx="21">
                  <c:v>4.9376200007964286</c:v>
                </c:pt>
                <c:pt idx="22">
                  <c:v>-0.65834656713856532</c:v>
                </c:pt>
                <c:pt idx="23">
                  <c:v>2.873089889380708</c:v>
                </c:pt>
                <c:pt idx="24">
                  <c:v>16.722989365311648</c:v>
                </c:pt>
                <c:pt idx="25">
                  <c:v>11.567742610098009</c:v>
                </c:pt>
                <c:pt idx="26">
                  <c:v>14.702871802754672</c:v>
                </c:pt>
                <c:pt idx="27">
                  <c:v>15.641374658030259</c:v>
                </c:pt>
                <c:pt idx="28">
                  <c:v>-0.54655499165191657</c:v>
                </c:pt>
                <c:pt idx="29">
                  <c:v>3.3862320433243838</c:v>
                </c:pt>
                <c:pt idx="30">
                  <c:v>4.5707977831681177</c:v>
                </c:pt>
                <c:pt idx="31">
                  <c:v>4.8009732818449038</c:v>
                </c:pt>
                <c:pt idx="32">
                  <c:v>8.0074778782798006</c:v>
                </c:pt>
                <c:pt idx="33">
                  <c:v>4.3685672275757952</c:v>
                </c:pt>
                <c:pt idx="34">
                  <c:v>3.2795252635021939</c:v>
                </c:pt>
                <c:pt idx="35">
                  <c:v>-2.4886565019466786</c:v>
                </c:pt>
                <c:pt idx="36">
                  <c:v>-4.1287288035399854</c:v>
                </c:pt>
                <c:pt idx="37">
                  <c:v>-25.915339029383787</c:v>
                </c:pt>
              </c:numCache>
            </c:numRef>
          </c:val>
          <c:smooth val="0"/>
          <c:extLst>
            <c:ext xmlns:c16="http://schemas.microsoft.com/office/drawing/2014/chart" uri="{C3380CC4-5D6E-409C-BE32-E72D297353CC}">
              <c16:uniqueId val="{00000001-40AD-46F3-80FA-240AEE5E4942}"/>
            </c:ext>
          </c:extLst>
        </c:ser>
        <c:ser>
          <c:idx val="5"/>
          <c:order val="2"/>
          <c:tx>
            <c:strRef>
              <c:f>'výkonnost odvětví 2'!$A$33</c:f>
              <c:strCache>
                <c:ptCount val="1"/>
                <c:pt idx="0">
                  <c:v>Total orders (motor vehicles)</c:v>
                </c:pt>
              </c:strCache>
            </c:strRef>
          </c:tx>
          <c:spPr>
            <a:ln w="15875">
              <a:solidFill>
                <a:srgbClr val="BD1B21"/>
              </a:solidFill>
              <a:prstDash val="solid"/>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2'!$B$33:$AN$33</c:f>
              <c:numCache>
                <c:formatCode>#\ ##0.0__</c:formatCode>
                <c:ptCount val="39"/>
                <c:pt idx="0">
                  <c:v>11.429400379513879</c:v>
                </c:pt>
                <c:pt idx="1">
                  <c:v>9.2048286805521258</c:v>
                </c:pt>
                <c:pt idx="2">
                  <c:v>4.4139955552265207</c:v>
                </c:pt>
                <c:pt idx="3">
                  <c:v>5.3718735076924133</c:v>
                </c:pt>
                <c:pt idx="4">
                  <c:v>19.54636851917148</c:v>
                </c:pt>
                <c:pt idx="5">
                  <c:v>4.6887564118292033</c:v>
                </c:pt>
                <c:pt idx="6">
                  <c:v>1.3322326875189248</c:v>
                </c:pt>
                <c:pt idx="7">
                  <c:v>-2.0219087809167178</c:v>
                </c:pt>
                <c:pt idx="8">
                  <c:v>-15.423726227988496</c:v>
                </c:pt>
                <c:pt idx="9">
                  <c:v>-3.0233686336023169</c:v>
                </c:pt>
                <c:pt idx="10">
                  <c:v>24.654149056071944</c:v>
                </c:pt>
                <c:pt idx="11">
                  <c:v>18.470996489023392</c:v>
                </c:pt>
                <c:pt idx="12">
                  <c:v>33.791068906341536</c:v>
                </c:pt>
                <c:pt idx="13">
                  <c:v>22.39294364855138</c:v>
                </c:pt>
                <c:pt idx="14">
                  <c:v>16.969041222835131</c:v>
                </c:pt>
                <c:pt idx="15">
                  <c:v>12.211301534151133</c:v>
                </c:pt>
                <c:pt idx="16">
                  <c:v>15.316352438277931</c:v>
                </c:pt>
                <c:pt idx="17">
                  <c:v>5.584343456517459</c:v>
                </c:pt>
                <c:pt idx="18">
                  <c:v>13.898535777390734</c:v>
                </c:pt>
                <c:pt idx="19">
                  <c:v>18.975191723154538</c:v>
                </c:pt>
                <c:pt idx="20">
                  <c:v>11.460497347422447</c:v>
                </c:pt>
                <c:pt idx="21">
                  <c:v>33.085131031292235</c:v>
                </c:pt>
                <c:pt idx="22">
                  <c:v>5.912380139380474</c:v>
                </c:pt>
                <c:pt idx="23">
                  <c:v>12.001000805244416</c:v>
                </c:pt>
                <c:pt idx="24">
                  <c:v>7.9804719471503205</c:v>
                </c:pt>
                <c:pt idx="25">
                  <c:v>-1.7592612473364966</c:v>
                </c:pt>
                <c:pt idx="26">
                  <c:v>3.8626497182263222</c:v>
                </c:pt>
                <c:pt idx="27">
                  <c:v>0.37376710568412364</c:v>
                </c:pt>
                <c:pt idx="28">
                  <c:v>0.60861960894675349</c:v>
                </c:pt>
                <c:pt idx="29">
                  <c:v>3.6675371997157811</c:v>
                </c:pt>
                <c:pt idx="30">
                  <c:v>0.69699979014031044</c:v>
                </c:pt>
                <c:pt idx="31">
                  <c:v>1.0371076901644045</c:v>
                </c:pt>
                <c:pt idx="32">
                  <c:v>2.3844519038519962</c:v>
                </c:pt>
                <c:pt idx="33">
                  <c:v>3.1505861553301884</c:v>
                </c:pt>
                <c:pt idx="34">
                  <c:v>7.8772894879504776</c:v>
                </c:pt>
                <c:pt idx="35">
                  <c:v>-0.27078960340936931</c:v>
                </c:pt>
                <c:pt idx="36">
                  <c:v>-6.8002473186692924</c:v>
                </c:pt>
                <c:pt idx="37">
                  <c:v>-43.589067662393489</c:v>
                </c:pt>
              </c:numCache>
            </c:numRef>
          </c:val>
          <c:smooth val="0"/>
          <c:extLst>
            <c:ext xmlns:c16="http://schemas.microsoft.com/office/drawing/2014/chart" uri="{C3380CC4-5D6E-409C-BE32-E72D297353CC}">
              <c16:uniqueId val="{00000002-40AD-46F3-80FA-240AEE5E4942}"/>
            </c:ext>
          </c:extLst>
        </c:ser>
        <c:dLbls>
          <c:showLegendKey val="0"/>
          <c:showVal val="0"/>
          <c:showCatName val="0"/>
          <c:showSerName val="0"/>
          <c:showPercent val="0"/>
          <c:showBubbleSize val="0"/>
        </c:dLbls>
        <c:marker val="1"/>
        <c:smooth val="0"/>
        <c:axId val="139174272"/>
        <c:axId val="139175808"/>
      </c:lineChart>
      <c:lineChart>
        <c:grouping val="standard"/>
        <c:varyColors val="0"/>
        <c:ser>
          <c:idx val="3"/>
          <c:order val="3"/>
          <c:tx>
            <c:strRef>
              <c:f>'výkonnost odvětví 2'!$A$34</c:f>
              <c:strCache>
                <c:ptCount val="1"/>
                <c:pt idx="0">
                  <c:v>Utilisation of production capacities in industry (right axis)</c:v>
                </c:pt>
              </c:strCache>
            </c:strRef>
          </c:tx>
          <c:spPr>
            <a:ln w="15875">
              <a:solidFill>
                <a:srgbClr val="00B050"/>
              </a:solidFill>
              <a:prstDash val="solid"/>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2'!$B$34:$AN$34</c:f>
              <c:numCache>
                <c:formatCode>#\ ##0.0</c:formatCode>
                <c:ptCount val="39"/>
                <c:pt idx="0">
                  <c:v>83.7</c:v>
                </c:pt>
                <c:pt idx="1">
                  <c:v>85.5</c:v>
                </c:pt>
                <c:pt idx="2">
                  <c:v>84.7</c:v>
                </c:pt>
                <c:pt idx="3">
                  <c:v>82.8</c:v>
                </c:pt>
                <c:pt idx="4">
                  <c:v>84.6</c:v>
                </c:pt>
                <c:pt idx="5">
                  <c:v>83.6</c:v>
                </c:pt>
                <c:pt idx="6">
                  <c:v>81.2</c:v>
                </c:pt>
                <c:pt idx="7">
                  <c:v>81.2</c:v>
                </c:pt>
                <c:pt idx="8">
                  <c:v>80.900000000000006</c:v>
                </c:pt>
                <c:pt idx="9">
                  <c:v>82.2</c:v>
                </c:pt>
                <c:pt idx="10">
                  <c:v>80.7</c:v>
                </c:pt>
                <c:pt idx="11">
                  <c:v>82.2</c:v>
                </c:pt>
                <c:pt idx="12">
                  <c:v>81.2</c:v>
                </c:pt>
                <c:pt idx="13">
                  <c:v>83.5</c:v>
                </c:pt>
                <c:pt idx="14">
                  <c:v>82.8</c:v>
                </c:pt>
                <c:pt idx="15">
                  <c:v>84.4</c:v>
                </c:pt>
                <c:pt idx="16">
                  <c:v>86.2</c:v>
                </c:pt>
                <c:pt idx="17">
                  <c:v>85</c:v>
                </c:pt>
                <c:pt idx="18">
                  <c:v>85.6</c:v>
                </c:pt>
                <c:pt idx="19">
                  <c:v>83.9</c:v>
                </c:pt>
                <c:pt idx="20">
                  <c:v>84.5</c:v>
                </c:pt>
                <c:pt idx="21">
                  <c:v>84.7</c:v>
                </c:pt>
                <c:pt idx="22">
                  <c:v>84.7</c:v>
                </c:pt>
                <c:pt idx="23">
                  <c:v>84.1</c:v>
                </c:pt>
                <c:pt idx="24">
                  <c:v>84.9</c:v>
                </c:pt>
                <c:pt idx="25">
                  <c:v>83.1</c:v>
                </c:pt>
                <c:pt idx="26">
                  <c:v>84.4</c:v>
                </c:pt>
                <c:pt idx="27">
                  <c:v>84.3</c:v>
                </c:pt>
                <c:pt idx="28">
                  <c:v>85.8</c:v>
                </c:pt>
                <c:pt idx="29">
                  <c:v>85.4</c:v>
                </c:pt>
                <c:pt idx="30">
                  <c:v>86.2</c:v>
                </c:pt>
                <c:pt idx="31">
                  <c:v>85.8</c:v>
                </c:pt>
                <c:pt idx="32">
                  <c:v>85.8</c:v>
                </c:pt>
                <c:pt idx="33">
                  <c:v>85.9</c:v>
                </c:pt>
                <c:pt idx="34">
                  <c:v>84.8</c:v>
                </c:pt>
                <c:pt idx="35">
                  <c:v>84.1</c:v>
                </c:pt>
                <c:pt idx="36">
                  <c:v>84.2</c:v>
                </c:pt>
                <c:pt idx="37">
                  <c:v>71</c:v>
                </c:pt>
                <c:pt idx="38">
                  <c:v>75.5</c:v>
                </c:pt>
              </c:numCache>
            </c:numRef>
          </c:val>
          <c:smooth val="0"/>
          <c:extLst>
            <c:ext xmlns:c16="http://schemas.microsoft.com/office/drawing/2014/chart" uri="{C3380CC4-5D6E-409C-BE32-E72D297353CC}">
              <c16:uniqueId val="{00000003-40AD-46F3-80FA-240AEE5E4942}"/>
            </c:ext>
          </c:extLst>
        </c:ser>
        <c:ser>
          <c:idx val="1"/>
          <c:order val="4"/>
          <c:tx>
            <c:strRef>
              <c:f>'výkonnost odvětví 2'!$A$35</c:f>
              <c:strCache>
                <c:ptCount val="1"/>
                <c:pt idx="0">
                  <c:v>Utilisation of production capacities in motor vehicles industry (right axis)</c:v>
                </c:pt>
              </c:strCache>
            </c:strRef>
          </c:tx>
          <c:spPr>
            <a:ln w="15875">
              <a:solidFill>
                <a:srgbClr val="00B050"/>
              </a:solidFill>
              <a:prstDash val="sysDash"/>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2'!$B$35:$AN$35</c:f>
              <c:numCache>
                <c:formatCode>0.0</c:formatCode>
                <c:ptCount val="39"/>
                <c:pt idx="0">
                  <c:v>92.5</c:v>
                </c:pt>
                <c:pt idx="1">
                  <c:v>92.3</c:v>
                </c:pt>
                <c:pt idx="2">
                  <c:v>92.4</c:v>
                </c:pt>
                <c:pt idx="3">
                  <c:v>91.8</c:v>
                </c:pt>
                <c:pt idx="4">
                  <c:v>92.3</c:v>
                </c:pt>
                <c:pt idx="5">
                  <c:v>89.5</c:v>
                </c:pt>
                <c:pt idx="6">
                  <c:v>85.9</c:v>
                </c:pt>
                <c:pt idx="7">
                  <c:v>86.1</c:v>
                </c:pt>
                <c:pt idx="8">
                  <c:v>86.4</c:v>
                </c:pt>
                <c:pt idx="9">
                  <c:v>89.9</c:v>
                </c:pt>
                <c:pt idx="10">
                  <c:v>80.2</c:v>
                </c:pt>
                <c:pt idx="11">
                  <c:v>84.8</c:v>
                </c:pt>
                <c:pt idx="12">
                  <c:v>78.900000000000006</c:v>
                </c:pt>
                <c:pt idx="13">
                  <c:v>85</c:v>
                </c:pt>
                <c:pt idx="14">
                  <c:v>87.1</c:v>
                </c:pt>
                <c:pt idx="15">
                  <c:v>89.2</c:v>
                </c:pt>
                <c:pt idx="16">
                  <c:v>92.8</c:v>
                </c:pt>
                <c:pt idx="17">
                  <c:v>91.1</c:v>
                </c:pt>
                <c:pt idx="18">
                  <c:v>93.1</c:v>
                </c:pt>
                <c:pt idx="19">
                  <c:v>88.7</c:v>
                </c:pt>
                <c:pt idx="20">
                  <c:v>91.6</c:v>
                </c:pt>
                <c:pt idx="21">
                  <c:v>90.3</c:v>
                </c:pt>
                <c:pt idx="22">
                  <c:v>93.1</c:v>
                </c:pt>
                <c:pt idx="23">
                  <c:v>90.9</c:v>
                </c:pt>
                <c:pt idx="24">
                  <c:v>93.2</c:v>
                </c:pt>
                <c:pt idx="25">
                  <c:v>87.3</c:v>
                </c:pt>
                <c:pt idx="26">
                  <c:v>90.7</c:v>
                </c:pt>
                <c:pt idx="27">
                  <c:v>90.5</c:v>
                </c:pt>
                <c:pt idx="28">
                  <c:v>91.1</c:v>
                </c:pt>
                <c:pt idx="29">
                  <c:v>91.6</c:v>
                </c:pt>
                <c:pt idx="30">
                  <c:v>92.1</c:v>
                </c:pt>
                <c:pt idx="31">
                  <c:v>93</c:v>
                </c:pt>
                <c:pt idx="32">
                  <c:v>92.8</c:v>
                </c:pt>
                <c:pt idx="33">
                  <c:v>93.6</c:v>
                </c:pt>
                <c:pt idx="34">
                  <c:v>92.3</c:v>
                </c:pt>
                <c:pt idx="35">
                  <c:v>93.4</c:v>
                </c:pt>
                <c:pt idx="36">
                  <c:v>90.5</c:v>
                </c:pt>
                <c:pt idx="37">
                  <c:v>50.8</c:v>
                </c:pt>
                <c:pt idx="38" formatCode="General">
                  <c:v>75.3</c:v>
                </c:pt>
              </c:numCache>
            </c:numRef>
          </c:val>
          <c:smooth val="0"/>
          <c:extLst>
            <c:ext xmlns:c16="http://schemas.microsoft.com/office/drawing/2014/chart" uri="{C3380CC4-5D6E-409C-BE32-E72D297353CC}">
              <c16:uniqueId val="{00000004-40AD-46F3-80FA-240AEE5E4942}"/>
            </c:ext>
          </c:extLst>
        </c:ser>
        <c:ser>
          <c:idx val="4"/>
          <c:order val="5"/>
          <c:tx>
            <c:strRef>
              <c:f>'výkonnost odvětví 2'!$A$36</c:f>
              <c:strCache>
                <c:ptCount val="1"/>
                <c:pt idx="0">
                  <c:v>Growth barrier: inadequate demand (right axis)</c:v>
                </c:pt>
              </c:strCache>
            </c:strRef>
          </c:tx>
          <c:spPr>
            <a:ln w="15875">
              <a:solidFill>
                <a:srgbClr val="D2CD00"/>
              </a:solidFill>
              <a:prstDash val="solid"/>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2'!$B$36:$AN$36</c:f>
              <c:numCache>
                <c:formatCode>#\ ##0.0</c:formatCode>
                <c:ptCount val="39"/>
                <c:pt idx="0">
                  <c:v>41.1</c:v>
                </c:pt>
                <c:pt idx="1">
                  <c:v>36</c:v>
                </c:pt>
                <c:pt idx="2">
                  <c:v>37.799999999999997</c:v>
                </c:pt>
                <c:pt idx="3">
                  <c:v>47</c:v>
                </c:pt>
                <c:pt idx="4">
                  <c:v>41.1</c:v>
                </c:pt>
                <c:pt idx="5">
                  <c:v>50.7</c:v>
                </c:pt>
                <c:pt idx="6">
                  <c:v>54.6</c:v>
                </c:pt>
                <c:pt idx="7">
                  <c:v>55.7</c:v>
                </c:pt>
                <c:pt idx="8">
                  <c:v>59.7</c:v>
                </c:pt>
                <c:pt idx="9">
                  <c:v>64.3</c:v>
                </c:pt>
                <c:pt idx="10">
                  <c:v>68.400000000000006</c:v>
                </c:pt>
                <c:pt idx="11">
                  <c:v>56.6</c:v>
                </c:pt>
                <c:pt idx="12">
                  <c:v>57.6</c:v>
                </c:pt>
                <c:pt idx="13">
                  <c:v>52.2</c:v>
                </c:pt>
                <c:pt idx="14">
                  <c:v>48.4</c:v>
                </c:pt>
                <c:pt idx="15">
                  <c:v>45.9</c:v>
                </c:pt>
                <c:pt idx="16">
                  <c:v>43.6</c:v>
                </c:pt>
                <c:pt idx="17">
                  <c:v>49.6</c:v>
                </c:pt>
                <c:pt idx="18">
                  <c:v>47.8</c:v>
                </c:pt>
                <c:pt idx="19">
                  <c:v>47.8</c:v>
                </c:pt>
                <c:pt idx="20">
                  <c:v>45.7</c:v>
                </c:pt>
                <c:pt idx="21">
                  <c:v>45.5</c:v>
                </c:pt>
                <c:pt idx="22">
                  <c:v>43</c:v>
                </c:pt>
                <c:pt idx="23">
                  <c:v>43.8</c:v>
                </c:pt>
                <c:pt idx="24">
                  <c:v>42.7</c:v>
                </c:pt>
                <c:pt idx="25">
                  <c:v>41.6</c:v>
                </c:pt>
                <c:pt idx="26">
                  <c:v>40.299999999999997</c:v>
                </c:pt>
                <c:pt idx="27">
                  <c:v>37.299999999999997</c:v>
                </c:pt>
                <c:pt idx="28">
                  <c:v>35.4</c:v>
                </c:pt>
                <c:pt idx="29">
                  <c:v>36</c:v>
                </c:pt>
                <c:pt idx="30">
                  <c:v>31.6</c:v>
                </c:pt>
                <c:pt idx="31">
                  <c:v>33.4</c:v>
                </c:pt>
                <c:pt idx="32">
                  <c:v>33.700000000000003</c:v>
                </c:pt>
                <c:pt idx="33">
                  <c:v>35.299999999999997</c:v>
                </c:pt>
                <c:pt idx="34">
                  <c:v>40.1</c:v>
                </c:pt>
                <c:pt idx="35">
                  <c:v>47.3</c:v>
                </c:pt>
                <c:pt idx="36">
                  <c:v>50.4</c:v>
                </c:pt>
                <c:pt idx="37">
                  <c:v>58.4</c:v>
                </c:pt>
                <c:pt idx="38">
                  <c:v>63.2</c:v>
                </c:pt>
              </c:numCache>
            </c:numRef>
          </c:val>
          <c:smooth val="0"/>
          <c:extLst>
            <c:ext xmlns:c16="http://schemas.microsoft.com/office/drawing/2014/chart" uri="{C3380CC4-5D6E-409C-BE32-E72D297353CC}">
              <c16:uniqueId val="{00000005-40AD-46F3-80FA-240AEE5E4942}"/>
            </c:ext>
          </c:extLst>
        </c:ser>
        <c:ser>
          <c:idx val="6"/>
          <c:order val="6"/>
          <c:tx>
            <c:strRef>
              <c:f>'výkonnost odvětví 2'!$A$37</c:f>
              <c:strCache>
                <c:ptCount val="1"/>
                <c:pt idx="0">
                  <c:v>Growth barrier: lack of labour force (right axis)</c:v>
                </c:pt>
              </c:strCache>
            </c:strRef>
          </c:tx>
          <c:spPr>
            <a:ln w="19050">
              <a:solidFill>
                <a:srgbClr val="D2CD00"/>
              </a:solidFill>
              <a:prstDash val="sysDash"/>
            </a:ln>
          </c:spPr>
          <c:marker>
            <c:symbol val="none"/>
          </c:marker>
          <c:cat>
            <c:multiLvlStrRef>
              <c:f>'výkonnost odvětví 2'!$B$29:$AN$30</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2'!$B$37:$AN$37</c:f>
              <c:numCache>
                <c:formatCode>#\ ##0.0</c:formatCode>
                <c:ptCount val="39"/>
                <c:pt idx="0">
                  <c:v>9.4</c:v>
                </c:pt>
                <c:pt idx="1">
                  <c:v>15.4</c:v>
                </c:pt>
                <c:pt idx="2">
                  <c:v>13.9</c:v>
                </c:pt>
                <c:pt idx="3">
                  <c:v>6.7</c:v>
                </c:pt>
                <c:pt idx="4">
                  <c:v>4.8</c:v>
                </c:pt>
                <c:pt idx="5">
                  <c:v>3.8</c:v>
                </c:pt>
                <c:pt idx="6">
                  <c:v>3.1</c:v>
                </c:pt>
                <c:pt idx="7">
                  <c:v>1.5</c:v>
                </c:pt>
                <c:pt idx="8">
                  <c:v>2.7</c:v>
                </c:pt>
                <c:pt idx="9">
                  <c:v>2.1</c:v>
                </c:pt>
                <c:pt idx="10">
                  <c:v>2.1</c:v>
                </c:pt>
                <c:pt idx="11">
                  <c:v>1.8</c:v>
                </c:pt>
                <c:pt idx="12">
                  <c:v>4.4000000000000004</c:v>
                </c:pt>
                <c:pt idx="13">
                  <c:v>3.6</c:v>
                </c:pt>
                <c:pt idx="14">
                  <c:v>5.3</c:v>
                </c:pt>
                <c:pt idx="15">
                  <c:v>5</c:v>
                </c:pt>
                <c:pt idx="16">
                  <c:v>6.7</c:v>
                </c:pt>
                <c:pt idx="17">
                  <c:v>6.9</c:v>
                </c:pt>
                <c:pt idx="18">
                  <c:v>8.1</c:v>
                </c:pt>
                <c:pt idx="19">
                  <c:v>13.9</c:v>
                </c:pt>
                <c:pt idx="20">
                  <c:v>15.4</c:v>
                </c:pt>
                <c:pt idx="21">
                  <c:v>16.899999999999999</c:v>
                </c:pt>
                <c:pt idx="22">
                  <c:v>18.8</c:v>
                </c:pt>
                <c:pt idx="23">
                  <c:v>28.8</c:v>
                </c:pt>
                <c:pt idx="24">
                  <c:v>32.799999999999997</c:v>
                </c:pt>
                <c:pt idx="25">
                  <c:v>34.700000000000003</c:v>
                </c:pt>
                <c:pt idx="26">
                  <c:v>41.3</c:v>
                </c:pt>
                <c:pt idx="27">
                  <c:v>38.299999999999997</c:v>
                </c:pt>
                <c:pt idx="28">
                  <c:v>43.4</c:v>
                </c:pt>
                <c:pt idx="29">
                  <c:v>43.7</c:v>
                </c:pt>
                <c:pt idx="30">
                  <c:v>43.7</c:v>
                </c:pt>
                <c:pt idx="31">
                  <c:v>44.8</c:v>
                </c:pt>
                <c:pt idx="32">
                  <c:v>38.799999999999997</c:v>
                </c:pt>
                <c:pt idx="33">
                  <c:v>36.4</c:v>
                </c:pt>
                <c:pt idx="34">
                  <c:v>39.5</c:v>
                </c:pt>
                <c:pt idx="35">
                  <c:v>37.200000000000003</c:v>
                </c:pt>
                <c:pt idx="36">
                  <c:v>28.2</c:v>
                </c:pt>
                <c:pt idx="37">
                  <c:v>16.600000000000001</c:v>
                </c:pt>
                <c:pt idx="38">
                  <c:v>15.1</c:v>
                </c:pt>
              </c:numCache>
            </c:numRef>
          </c:val>
          <c:smooth val="0"/>
          <c:extLst>
            <c:ext xmlns:c16="http://schemas.microsoft.com/office/drawing/2014/chart" uri="{C3380CC4-5D6E-409C-BE32-E72D297353CC}">
              <c16:uniqueId val="{00000006-40AD-46F3-80FA-240AEE5E4942}"/>
            </c:ext>
          </c:extLst>
        </c:ser>
        <c:dLbls>
          <c:showLegendKey val="0"/>
          <c:showVal val="0"/>
          <c:showCatName val="0"/>
          <c:showSerName val="0"/>
          <c:showPercent val="0"/>
          <c:showBubbleSize val="0"/>
        </c:dLbls>
        <c:marker val="1"/>
        <c:smooth val="0"/>
        <c:axId val="146478208"/>
        <c:axId val="139177344"/>
      </c:lineChart>
      <c:catAx>
        <c:axId val="139174272"/>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139175808"/>
        <c:crossesAt val="0"/>
        <c:auto val="0"/>
        <c:lblAlgn val="ctr"/>
        <c:lblOffset val="0"/>
        <c:tickLblSkip val="1"/>
        <c:tickMarkSkip val="4"/>
        <c:noMultiLvlLbl val="0"/>
      </c:catAx>
      <c:valAx>
        <c:axId val="139175808"/>
        <c:scaling>
          <c:orientation val="minMax"/>
          <c:max val="50"/>
          <c:min val="-50"/>
        </c:scaling>
        <c:delete val="0"/>
        <c:axPos val="l"/>
        <c:majorGridlines>
          <c:spPr>
            <a:ln w="6350">
              <a:solidFill>
                <a:schemeClr val="bg1">
                  <a:lumMod val="75000"/>
                </a:schemeClr>
              </a:solidFill>
            </a:ln>
          </c:spPr>
        </c:majorGridlines>
        <c:title>
          <c:tx>
            <c:rich>
              <a:bodyPr/>
              <a:lstStyle/>
              <a:p>
                <a:pPr>
                  <a:defRPr sz="700" i="1"/>
                </a:pPr>
                <a:r>
                  <a:rPr lang="cs-CZ" sz="700" i="1"/>
                  <a:t>Orders</a:t>
                </a:r>
              </a:p>
            </c:rich>
          </c:tx>
          <c:overlay val="0"/>
        </c:title>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139174272"/>
        <c:crosses val="autoZero"/>
        <c:crossBetween val="between"/>
        <c:majorUnit val="10"/>
      </c:valAx>
      <c:valAx>
        <c:axId val="139177344"/>
        <c:scaling>
          <c:orientation val="minMax"/>
          <c:max val="100"/>
          <c:min val="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rgbClr val="000000"/>
                    </a:solidFill>
                    <a:latin typeface="Arial CE"/>
                    <a:ea typeface="Arial CE"/>
                    <a:cs typeface="Arial CE"/>
                  </a:defRPr>
                </a:pPr>
                <a:r>
                  <a:rPr lang="en-GB" sz="700" i="1">
                    <a:effectLst/>
                  </a:rPr>
                  <a:t>Utilisation of production capacities, growth barriers</a:t>
                </a:r>
                <a:endParaRPr lang="cs-CZ" sz="700">
                  <a:effectLst/>
                </a:endParaRPr>
              </a:p>
            </c:rich>
          </c:tx>
          <c:layout>
            <c:manualLayout>
              <c:xMode val="edge"/>
              <c:yMode val="edge"/>
              <c:x val="0.97031017808604048"/>
              <c:y val="0.10001697503729533"/>
            </c:manualLayout>
          </c:layout>
          <c:overlay val="0"/>
        </c:title>
        <c:numFmt formatCode="0" sourceLinked="0"/>
        <c:majorTickMark val="out"/>
        <c:minorTickMark val="none"/>
        <c:tickLblPos val="nextTo"/>
        <c:crossAx val="146478208"/>
        <c:crosses val="max"/>
        <c:crossBetween val="between"/>
      </c:valAx>
      <c:catAx>
        <c:axId val="146478208"/>
        <c:scaling>
          <c:orientation val="minMax"/>
        </c:scaling>
        <c:delete val="1"/>
        <c:axPos val="b"/>
        <c:numFmt formatCode="General" sourceLinked="1"/>
        <c:majorTickMark val="out"/>
        <c:minorTickMark val="none"/>
        <c:tickLblPos val="none"/>
        <c:crossAx val="139177344"/>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8.1990961748686711E-3"/>
          <c:y val="0.79317910615782938"/>
          <c:w val="0.98379594369130352"/>
          <c:h val="0.19967240797028032"/>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7565768642631747E-2"/>
          <c:y val="1.6563187842952781E-2"/>
          <c:w val="0.84505789345006321"/>
          <c:h val="0.69179078558082585"/>
        </c:manualLayout>
      </c:layout>
      <c:barChart>
        <c:barDir val="col"/>
        <c:grouping val="stacked"/>
        <c:varyColors val="0"/>
        <c:ser>
          <c:idx val="1"/>
          <c:order val="1"/>
          <c:tx>
            <c:strRef>
              <c:f>'výkonnost odvětví 3'!$Y$10</c:f>
              <c:strCache>
                <c:ptCount val="1"/>
                <c:pt idx="0">
                  <c:v>Building construction (contribution in p.p.)</c:v>
                </c:pt>
              </c:strCache>
            </c:strRef>
          </c:tx>
          <c:spPr>
            <a:solidFill>
              <a:srgbClr val="A6CDE9"/>
            </a:solidFill>
            <a:ln w="19050">
              <a:noFill/>
              <a:prstDash val="solid"/>
            </a:ln>
          </c:spPr>
          <c:invertIfNegative val="0"/>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3'!$Y$15:$Y$53</c:f>
              <c:numCache>
                <c:formatCode>0.0</c:formatCode>
                <c:ptCount val="39"/>
                <c:pt idx="0">
                  <c:v>6.2047732527820312</c:v>
                </c:pt>
                <c:pt idx="1">
                  <c:v>-1.142609385309763</c:v>
                </c:pt>
                <c:pt idx="2">
                  <c:v>-4.2496583310797469</c:v>
                </c:pt>
                <c:pt idx="3">
                  <c:v>1.4325486942131775</c:v>
                </c:pt>
                <c:pt idx="4">
                  <c:v>-5.3017304136874612</c:v>
                </c:pt>
                <c:pt idx="5">
                  <c:v>-1.5772154566583525</c:v>
                </c:pt>
                <c:pt idx="6">
                  <c:v>-3.5093635043390679</c:v>
                </c:pt>
                <c:pt idx="7">
                  <c:v>-6.7584810940500368</c:v>
                </c:pt>
                <c:pt idx="8">
                  <c:v>-7.3668578508046387</c:v>
                </c:pt>
                <c:pt idx="9">
                  <c:v>-7.3115997076220323</c:v>
                </c:pt>
                <c:pt idx="10">
                  <c:v>-1.046316947083143</c:v>
                </c:pt>
                <c:pt idx="11">
                  <c:v>-1.9461283088151891</c:v>
                </c:pt>
                <c:pt idx="12">
                  <c:v>12.371583397752481</c:v>
                </c:pt>
                <c:pt idx="13">
                  <c:v>3.6348701582896989</c:v>
                </c:pt>
                <c:pt idx="14">
                  <c:v>-0.4470402552287821</c:v>
                </c:pt>
                <c:pt idx="15">
                  <c:v>-0.35554011674100472</c:v>
                </c:pt>
                <c:pt idx="16">
                  <c:v>6.0406500842435085</c:v>
                </c:pt>
                <c:pt idx="17">
                  <c:v>5.0351990706688206</c:v>
                </c:pt>
                <c:pt idx="18">
                  <c:v>0.8190237902909806</c:v>
                </c:pt>
                <c:pt idx="19">
                  <c:v>-1.7586108979905719</c:v>
                </c:pt>
                <c:pt idx="20">
                  <c:v>-4.9770437869163535</c:v>
                </c:pt>
                <c:pt idx="21">
                  <c:v>-4.9700016274723584</c:v>
                </c:pt>
                <c:pt idx="22">
                  <c:v>0.78239199885766197</c:v>
                </c:pt>
                <c:pt idx="23">
                  <c:v>3.9332788568802517</c:v>
                </c:pt>
                <c:pt idx="24">
                  <c:v>2.3068633791469697</c:v>
                </c:pt>
                <c:pt idx="25">
                  <c:v>9.9255198092832533</c:v>
                </c:pt>
                <c:pt idx="26">
                  <c:v>3.4173683660831449</c:v>
                </c:pt>
                <c:pt idx="27">
                  <c:v>2.6449439222433253</c:v>
                </c:pt>
                <c:pt idx="28">
                  <c:v>13.611853478375235</c:v>
                </c:pt>
                <c:pt idx="29">
                  <c:v>6.2900956792886875</c:v>
                </c:pt>
                <c:pt idx="30">
                  <c:v>7.6969034240443159</c:v>
                </c:pt>
                <c:pt idx="31">
                  <c:v>2.4763373565569382</c:v>
                </c:pt>
                <c:pt idx="32">
                  <c:v>2.9012271914063752</c:v>
                </c:pt>
                <c:pt idx="33">
                  <c:v>2.4324724742263082</c:v>
                </c:pt>
                <c:pt idx="34">
                  <c:v>-0.71205347442938227</c:v>
                </c:pt>
                <c:pt idx="35">
                  <c:v>2.4332088670338217</c:v>
                </c:pt>
                <c:pt idx="36">
                  <c:v>-0.65663999999999767</c:v>
                </c:pt>
                <c:pt idx="37">
                  <c:v>-9.2204187524945613</c:v>
                </c:pt>
              </c:numCache>
            </c:numRef>
          </c:val>
          <c:extLst>
            <c:ext xmlns:c16="http://schemas.microsoft.com/office/drawing/2014/chart" uri="{C3380CC4-5D6E-409C-BE32-E72D297353CC}">
              <c16:uniqueId val="{00000000-5290-4626-8753-2AAE92924284}"/>
            </c:ext>
          </c:extLst>
        </c:ser>
        <c:ser>
          <c:idx val="2"/>
          <c:order val="2"/>
          <c:tx>
            <c:strRef>
              <c:f>'výkonnost odvětví 3'!$Z$10</c:f>
              <c:strCache>
                <c:ptCount val="1"/>
                <c:pt idx="0">
                  <c:v>Civil engineering construction (contribution in p.p.)</c:v>
                </c:pt>
              </c:strCache>
            </c:strRef>
          </c:tx>
          <c:spPr>
            <a:solidFill>
              <a:srgbClr val="E8AFB2"/>
            </a:solidFill>
            <a:ln w="19050">
              <a:noFill/>
              <a:prstDash val="solid"/>
            </a:ln>
          </c:spPr>
          <c:invertIfNegative val="0"/>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3'!$Z$15:$Z$53</c:f>
              <c:numCache>
                <c:formatCode>0.0</c:formatCode>
                <c:ptCount val="39"/>
                <c:pt idx="0">
                  <c:v>-0.79042212761240505</c:v>
                </c:pt>
                <c:pt idx="1">
                  <c:v>-4.1501396425306893</c:v>
                </c:pt>
                <c:pt idx="2">
                  <c:v>-4.845304760215198</c:v>
                </c:pt>
                <c:pt idx="3">
                  <c:v>-1.9017157182009561</c:v>
                </c:pt>
                <c:pt idx="4">
                  <c:v>-4.5301506238094307</c:v>
                </c:pt>
                <c:pt idx="5">
                  <c:v>-3.436948273961975</c:v>
                </c:pt>
                <c:pt idx="6">
                  <c:v>-2.1433566998748379</c:v>
                </c:pt>
                <c:pt idx="7">
                  <c:v>-2.7528798984220209</c:v>
                </c:pt>
                <c:pt idx="8">
                  <c:v>-3.2410153986319687</c:v>
                </c:pt>
                <c:pt idx="9">
                  <c:v>-4.3924048251383914</c:v>
                </c:pt>
                <c:pt idx="10">
                  <c:v>-4.1374576667557275</c:v>
                </c:pt>
                <c:pt idx="11">
                  <c:v>-0.65314984057794534</c:v>
                </c:pt>
                <c:pt idx="12">
                  <c:v>0.50263566485864819</c:v>
                </c:pt>
                <c:pt idx="13">
                  <c:v>1.9367914476888961</c:v>
                </c:pt>
                <c:pt idx="14">
                  <c:v>3.0475325886284614</c:v>
                </c:pt>
                <c:pt idx="15">
                  <c:v>1.5687973126903687</c:v>
                </c:pt>
                <c:pt idx="16">
                  <c:v>3.2355496515016471</c:v>
                </c:pt>
                <c:pt idx="17">
                  <c:v>7.2127365572123514</c:v>
                </c:pt>
                <c:pt idx="18">
                  <c:v>7.4049722612595534</c:v>
                </c:pt>
                <c:pt idx="19">
                  <c:v>2.8517321017249642</c:v>
                </c:pt>
                <c:pt idx="20">
                  <c:v>-1.2715496259536494</c:v>
                </c:pt>
                <c:pt idx="21">
                  <c:v>-5.4264140722862431</c:v>
                </c:pt>
                <c:pt idx="22">
                  <c:v>-7.0587854977868805</c:v>
                </c:pt>
                <c:pt idx="23">
                  <c:v>-5.9121381011794369</c:v>
                </c:pt>
                <c:pt idx="24">
                  <c:v>-3.4016080209496309</c:v>
                </c:pt>
                <c:pt idx="25">
                  <c:v>-1.1866728525072219</c:v>
                </c:pt>
                <c:pt idx="26">
                  <c:v>-1.5260463084640261</c:v>
                </c:pt>
                <c:pt idx="27">
                  <c:v>0.24705424395699707</c:v>
                </c:pt>
                <c:pt idx="28">
                  <c:v>1.7580186589547353</c:v>
                </c:pt>
                <c:pt idx="29">
                  <c:v>1.2030375486852778</c:v>
                </c:pt>
                <c:pt idx="30">
                  <c:v>4.716307137200463</c:v>
                </c:pt>
                <c:pt idx="31">
                  <c:v>1.893880018835757</c:v>
                </c:pt>
                <c:pt idx="32">
                  <c:v>0.7361981062889752</c:v>
                </c:pt>
                <c:pt idx="33">
                  <c:v>1.8748631261527227</c:v>
                </c:pt>
                <c:pt idx="34">
                  <c:v>0.74581313444005137</c:v>
                </c:pt>
                <c:pt idx="35">
                  <c:v>0.84928321883930058</c:v>
                </c:pt>
                <c:pt idx="36">
                  <c:v>2.7776000000000005</c:v>
                </c:pt>
                <c:pt idx="37">
                  <c:v>0.45894381009551932</c:v>
                </c:pt>
              </c:numCache>
            </c:numRef>
          </c:val>
          <c:extLst>
            <c:ext xmlns:c16="http://schemas.microsoft.com/office/drawing/2014/chart" uri="{C3380CC4-5D6E-409C-BE32-E72D297353CC}">
              <c16:uniqueId val="{00000001-5290-4626-8753-2AAE92924284}"/>
            </c:ext>
          </c:extLst>
        </c:ser>
        <c:dLbls>
          <c:showLegendKey val="0"/>
          <c:showVal val="0"/>
          <c:showCatName val="0"/>
          <c:showSerName val="0"/>
          <c:showPercent val="0"/>
          <c:showBubbleSize val="0"/>
        </c:dLbls>
        <c:gapWidth val="24"/>
        <c:overlap val="100"/>
        <c:axId val="147432960"/>
        <c:axId val="147434496"/>
      </c:barChart>
      <c:lineChart>
        <c:grouping val="standard"/>
        <c:varyColors val="0"/>
        <c:ser>
          <c:idx val="0"/>
          <c:order val="0"/>
          <c:tx>
            <c:strRef>
              <c:f>'výkonnost odvětví 3'!$X$10</c:f>
              <c:strCache>
                <c:ptCount val="1"/>
                <c:pt idx="0">
                  <c:v>Total construction output</c:v>
                </c:pt>
              </c:strCache>
            </c:strRef>
          </c:tx>
          <c:spPr>
            <a:ln>
              <a:noFill/>
            </a:ln>
          </c:spPr>
          <c:marker>
            <c:symbol val="dash"/>
            <c:size val="7"/>
            <c:spPr>
              <a:solidFill>
                <a:schemeClr val="tx1">
                  <a:lumMod val="95000"/>
                  <a:lumOff val="5000"/>
                </a:schemeClr>
              </a:solidFill>
              <a:ln>
                <a:noFill/>
              </a:ln>
            </c:spPr>
          </c:marker>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3'!$X$15:$X$53</c:f>
              <c:numCache>
                <c:formatCode>0.0</c:formatCode>
                <c:ptCount val="39"/>
                <c:pt idx="0">
                  <c:v>5.449552626231366</c:v>
                </c:pt>
                <c:pt idx="1">
                  <c:v>-5.1742495430582807</c:v>
                </c:pt>
                <c:pt idx="2">
                  <c:v>-9.0574948964693647</c:v>
                </c:pt>
                <c:pt idx="3">
                  <c:v>-0.48980413887058205</c:v>
                </c:pt>
                <c:pt idx="4">
                  <c:v>-9.8142381556388472</c:v>
                </c:pt>
                <c:pt idx="5">
                  <c:v>-4.9279824117982827</c:v>
                </c:pt>
                <c:pt idx="6">
                  <c:v>-5.6445213670269254</c:v>
                </c:pt>
                <c:pt idx="7">
                  <c:v>-9.5084133075025932</c:v>
                </c:pt>
                <c:pt idx="8">
                  <c:v>-10.565899650388715</c:v>
                </c:pt>
                <c:pt idx="9">
                  <c:v>-11.626450345727534</c:v>
                </c:pt>
                <c:pt idx="10">
                  <c:v>-4.9557475457158091</c:v>
                </c:pt>
                <c:pt idx="11">
                  <c:v>-2.6129229379002652</c:v>
                </c:pt>
                <c:pt idx="12">
                  <c:v>13.065209405176972</c:v>
                </c:pt>
                <c:pt idx="13">
                  <c:v>5.5558831897877639</c:v>
                </c:pt>
                <c:pt idx="14">
                  <c:v>2.4409719869598234</c:v>
                </c:pt>
                <c:pt idx="15">
                  <c:v>1.1282392268827266</c:v>
                </c:pt>
                <c:pt idx="16">
                  <c:v>9.1934692334480417</c:v>
                </c:pt>
                <c:pt idx="17">
                  <c:v>11.978213260497213</c:v>
                </c:pt>
                <c:pt idx="18">
                  <c:v>7.8643449491626143</c:v>
                </c:pt>
                <c:pt idx="19">
                  <c:v>0.93025171200444845</c:v>
                </c:pt>
                <c:pt idx="20">
                  <c:v>-6.259378834780378</c:v>
                </c:pt>
                <c:pt idx="21">
                  <c:v>-10.250813266432374</c:v>
                </c:pt>
                <c:pt idx="22">
                  <c:v>-5.9054170412823055</c:v>
                </c:pt>
                <c:pt idx="23">
                  <c:v>-1.6501920995212487</c:v>
                </c:pt>
                <c:pt idx="24">
                  <c:v>-0.86803632191472957</c:v>
                </c:pt>
                <c:pt idx="25">
                  <c:v>9.0229519438482555</c:v>
                </c:pt>
                <c:pt idx="26">
                  <c:v>2.0635301151802281</c:v>
                </c:pt>
                <c:pt idx="27">
                  <c:v>2.9356341105847292</c:v>
                </c:pt>
                <c:pt idx="28">
                  <c:v>15.368475923945851</c:v>
                </c:pt>
                <c:pt idx="29">
                  <c:v>7.4934507683530569</c:v>
                </c:pt>
                <c:pt idx="30">
                  <c:v>12.408779797485622</c:v>
                </c:pt>
                <c:pt idx="31">
                  <c:v>4.2961492214048604</c:v>
                </c:pt>
                <c:pt idx="32">
                  <c:v>3.6370622013393756</c:v>
                </c:pt>
                <c:pt idx="33">
                  <c:v>4.3087555395366905</c:v>
                </c:pt>
                <c:pt idx="34">
                  <c:v>3.4829206961674686E-2</c:v>
                </c:pt>
                <c:pt idx="35">
                  <c:v>3.2825247381577611</c:v>
                </c:pt>
                <c:pt idx="36">
                  <c:v>2.0764541407305614</c:v>
                </c:pt>
                <c:pt idx="37">
                  <c:v>-8.7983437882331685</c:v>
                </c:pt>
              </c:numCache>
            </c:numRef>
          </c:val>
          <c:smooth val="0"/>
          <c:extLst>
            <c:ext xmlns:c16="http://schemas.microsoft.com/office/drawing/2014/chart" uri="{C3380CC4-5D6E-409C-BE32-E72D297353CC}">
              <c16:uniqueId val="{00000002-5290-4626-8753-2AAE92924284}"/>
            </c:ext>
          </c:extLst>
        </c:ser>
        <c:dLbls>
          <c:showLegendKey val="0"/>
          <c:showVal val="0"/>
          <c:showCatName val="0"/>
          <c:showSerName val="0"/>
          <c:showPercent val="0"/>
          <c:showBubbleSize val="0"/>
        </c:dLbls>
        <c:marker val="1"/>
        <c:smooth val="0"/>
        <c:axId val="147432960"/>
        <c:axId val="147434496"/>
      </c:lineChart>
      <c:lineChart>
        <c:grouping val="standard"/>
        <c:varyColors val="0"/>
        <c:ser>
          <c:idx val="3"/>
          <c:order val="3"/>
          <c:tx>
            <c:strRef>
              <c:f>'výkonnost odvětví 3'!$AA$10</c:f>
              <c:strCache>
                <c:ptCount val="1"/>
                <c:pt idx="0">
                  <c:v>New construction orders (right axis)</c:v>
                </c:pt>
              </c:strCache>
            </c:strRef>
          </c:tx>
          <c:spPr>
            <a:ln w="15875">
              <a:solidFill>
                <a:srgbClr val="984807"/>
              </a:solidFill>
              <a:prstDash val="solid"/>
            </a:ln>
          </c:spPr>
          <c:marker>
            <c:symbol val="none"/>
          </c:marker>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3'!$AA$15:$AA$53</c:f>
              <c:numCache>
                <c:formatCode>0.0</c:formatCode>
                <c:ptCount val="39"/>
                <c:pt idx="0">
                  <c:v>37.795405718063137</c:v>
                </c:pt>
                <c:pt idx="1">
                  <c:v>-23.565672566981206</c:v>
                </c:pt>
                <c:pt idx="2">
                  <c:v>-23.360716461156017</c:v>
                </c:pt>
                <c:pt idx="3">
                  <c:v>-9.1653963414634205</c:v>
                </c:pt>
                <c:pt idx="4">
                  <c:v>-46.3220596465979</c:v>
                </c:pt>
                <c:pt idx="5">
                  <c:v>-13.7148006307727</c:v>
                </c:pt>
                <c:pt idx="6">
                  <c:v>-7.6729748888363787</c:v>
                </c:pt>
                <c:pt idx="7">
                  <c:v>7.5624082232011745</c:v>
                </c:pt>
                <c:pt idx="8">
                  <c:v>-17.695687793252404</c:v>
                </c:pt>
                <c:pt idx="9">
                  <c:v>-1.584773641063137</c:v>
                </c:pt>
                <c:pt idx="10">
                  <c:v>-1.3308205951467045</c:v>
                </c:pt>
                <c:pt idx="11">
                  <c:v>16.153096050706978</c:v>
                </c:pt>
                <c:pt idx="12">
                  <c:v>67.509727626459153</c:v>
                </c:pt>
                <c:pt idx="13">
                  <c:v>18.978644382544104</c:v>
                </c:pt>
                <c:pt idx="14">
                  <c:v>34.050931384107542</c:v>
                </c:pt>
                <c:pt idx="15">
                  <c:v>-1</c:v>
                </c:pt>
                <c:pt idx="16">
                  <c:v>-3.1547956675580053</c:v>
                </c:pt>
                <c:pt idx="17">
                  <c:v>9.7504961091663205</c:v>
                </c:pt>
                <c:pt idx="18">
                  <c:v>-1.097606022761255</c:v>
                </c:pt>
                <c:pt idx="19">
                  <c:v>-2.3987783410040464</c:v>
                </c:pt>
                <c:pt idx="20">
                  <c:v>-6.6406358945753823</c:v>
                </c:pt>
                <c:pt idx="21">
                  <c:v>-0.49977652269311079</c:v>
                </c:pt>
                <c:pt idx="22">
                  <c:v>-7.0322087253454839</c:v>
                </c:pt>
                <c:pt idx="23">
                  <c:v>10.122126124559955</c:v>
                </c:pt>
                <c:pt idx="24">
                  <c:v>16.177217458847437</c:v>
                </c:pt>
                <c:pt idx="25">
                  <c:v>9.5350878984013008</c:v>
                </c:pt>
                <c:pt idx="26">
                  <c:v>-1.2817324431350698</c:v>
                </c:pt>
                <c:pt idx="27">
                  <c:v>15.620806693503823</c:v>
                </c:pt>
                <c:pt idx="28">
                  <c:v>30.10697387368856</c:v>
                </c:pt>
                <c:pt idx="29">
                  <c:v>32.836878110611963</c:v>
                </c:pt>
                <c:pt idx="30">
                  <c:v>5.2768249907951201</c:v>
                </c:pt>
                <c:pt idx="31">
                  <c:v>1.8944565811032277</c:v>
                </c:pt>
                <c:pt idx="32">
                  <c:v>14.157245632065781</c:v>
                </c:pt>
                <c:pt idx="33">
                  <c:v>-9.3849543241233135</c:v>
                </c:pt>
                <c:pt idx="34">
                  <c:v>17.407871000993993</c:v>
                </c:pt>
                <c:pt idx="35">
                  <c:v>5.8323004254463768</c:v>
                </c:pt>
                <c:pt idx="36">
                  <c:v>-13.192451392856526</c:v>
                </c:pt>
                <c:pt idx="37">
                  <c:v>6.9046194347657632</c:v>
                </c:pt>
              </c:numCache>
            </c:numRef>
          </c:val>
          <c:smooth val="0"/>
          <c:extLst>
            <c:ext xmlns:c16="http://schemas.microsoft.com/office/drawing/2014/chart" uri="{C3380CC4-5D6E-409C-BE32-E72D297353CC}">
              <c16:uniqueId val="{00000003-5290-4626-8753-2AAE92924284}"/>
            </c:ext>
          </c:extLst>
        </c:ser>
        <c:ser>
          <c:idx val="4"/>
          <c:order val="4"/>
          <c:tx>
            <c:strRef>
              <c:f>'výkonnost odvětví 3'!$AB$10</c:f>
              <c:strCache>
                <c:ptCount val="1"/>
                <c:pt idx="0">
                  <c:v>Growth barrier: inadequate demand (right axis)</c:v>
                </c:pt>
              </c:strCache>
            </c:strRef>
          </c:tx>
          <c:spPr>
            <a:ln w="15875">
              <a:solidFill>
                <a:srgbClr val="00B050"/>
              </a:solidFill>
            </a:ln>
          </c:spPr>
          <c:marker>
            <c:symbol val="none"/>
          </c:marker>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3'!$AB$15:$AB$53</c:f>
              <c:numCache>
                <c:formatCode>#\ ##0.0</c:formatCode>
                <c:ptCount val="39"/>
                <c:pt idx="0">
                  <c:v>54.2</c:v>
                </c:pt>
                <c:pt idx="1">
                  <c:v>60.6</c:v>
                </c:pt>
                <c:pt idx="2">
                  <c:v>67.7</c:v>
                </c:pt>
                <c:pt idx="3">
                  <c:v>69.400000000000006</c:v>
                </c:pt>
                <c:pt idx="4">
                  <c:v>70.400000000000006</c:v>
                </c:pt>
                <c:pt idx="5">
                  <c:v>63.6</c:v>
                </c:pt>
                <c:pt idx="6">
                  <c:v>69.099999999999994</c:v>
                </c:pt>
                <c:pt idx="7">
                  <c:v>71</c:v>
                </c:pt>
                <c:pt idx="8">
                  <c:v>79.400000000000006</c:v>
                </c:pt>
                <c:pt idx="9">
                  <c:v>71.7</c:v>
                </c:pt>
                <c:pt idx="10">
                  <c:v>72.599999999999994</c:v>
                </c:pt>
                <c:pt idx="11">
                  <c:v>78.5</c:v>
                </c:pt>
                <c:pt idx="12">
                  <c:v>80.099999999999994</c:v>
                </c:pt>
                <c:pt idx="13">
                  <c:v>82.1</c:v>
                </c:pt>
                <c:pt idx="14">
                  <c:v>76.099999999999994</c:v>
                </c:pt>
                <c:pt idx="15">
                  <c:v>68.2</c:v>
                </c:pt>
                <c:pt idx="16">
                  <c:v>66.8</c:v>
                </c:pt>
                <c:pt idx="17">
                  <c:v>65.099999999999994</c:v>
                </c:pt>
                <c:pt idx="18">
                  <c:v>59.3</c:v>
                </c:pt>
                <c:pt idx="19">
                  <c:v>56.2</c:v>
                </c:pt>
                <c:pt idx="20">
                  <c:v>53.4</c:v>
                </c:pt>
                <c:pt idx="21">
                  <c:v>60.8</c:v>
                </c:pt>
                <c:pt idx="22">
                  <c:v>59.6</c:v>
                </c:pt>
                <c:pt idx="23">
                  <c:v>60.5</c:v>
                </c:pt>
                <c:pt idx="24">
                  <c:v>53.7</c:v>
                </c:pt>
                <c:pt idx="25">
                  <c:v>55</c:v>
                </c:pt>
                <c:pt idx="26">
                  <c:v>52.7</c:v>
                </c:pt>
                <c:pt idx="27">
                  <c:v>51.3</c:v>
                </c:pt>
                <c:pt idx="28">
                  <c:v>48.4</c:v>
                </c:pt>
                <c:pt idx="29">
                  <c:v>38.5</c:v>
                </c:pt>
                <c:pt idx="30">
                  <c:v>35.200000000000003</c:v>
                </c:pt>
                <c:pt idx="31">
                  <c:v>24.5</c:v>
                </c:pt>
                <c:pt idx="32">
                  <c:v>23.1</c:v>
                </c:pt>
                <c:pt idx="33">
                  <c:v>24.5</c:v>
                </c:pt>
                <c:pt idx="34">
                  <c:v>17.100000000000001</c:v>
                </c:pt>
                <c:pt idx="35">
                  <c:v>22.8</c:v>
                </c:pt>
                <c:pt idx="36">
                  <c:v>28.9</c:v>
                </c:pt>
                <c:pt idx="37">
                  <c:v>27.4</c:v>
                </c:pt>
                <c:pt idx="38">
                  <c:v>29.7</c:v>
                </c:pt>
              </c:numCache>
            </c:numRef>
          </c:val>
          <c:smooth val="0"/>
          <c:extLst>
            <c:ext xmlns:c16="http://schemas.microsoft.com/office/drawing/2014/chart" uri="{C3380CC4-5D6E-409C-BE32-E72D297353CC}">
              <c16:uniqueId val="{00000004-5290-4626-8753-2AAE92924284}"/>
            </c:ext>
          </c:extLst>
        </c:ser>
        <c:ser>
          <c:idx val="5"/>
          <c:order val="5"/>
          <c:tx>
            <c:strRef>
              <c:f>'výkonnost odvětví 3'!$AC$10</c:f>
              <c:strCache>
                <c:ptCount val="1"/>
                <c:pt idx="0">
                  <c:v>Growth barrier: shortage of labour (right axis)</c:v>
                </c:pt>
              </c:strCache>
            </c:strRef>
          </c:tx>
          <c:spPr>
            <a:ln w="15875">
              <a:solidFill>
                <a:srgbClr val="00B050"/>
              </a:solidFill>
              <a:prstDash val="sysDash"/>
            </a:ln>
          </c:spPr>
          <c:marker>
            <c:symbol val="none"/>
          </c:marker>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3'!$AC$15:$AC$53</c:f>
              <c:numCache>
                <c:formatCode>#\ ##0.0</c:formatCode>
                <c:ptCount val="39"/>
                <c:pt idx="0">
                  <c:v>1</c:v>
                </c:pt>
                <c:pt idx="1">
                  <c:v>0.8</c:v>
                </c:pt>
                <c:pt idx="2">
                  <c:v>1.3</c:v>
                </c:pt>
                <c:pt idx="3">
                  <c:v>1.3</c:v>
                </c:pt>
                <c:pt idx="4">
                  <c:v>1.6</c:v>
                </c:pt>
                <c:pt idx="5">
                  <c:v>2.1</c:v>
                </c:pt>
                <c:pt idx="6">
                  <c:v>1.5</c:v>
                </c:pt>
                <c:pt idx="7">
                  <c:v>1.1000000000000001</c:v>
                </c:pt>
                <c:pt idx="8">
                  <c:v>1.2</c:v>
                </c:pt>
                <c:pt idx="9">
                  <c:v>1</c:v>
                </c:pt>
                <c:pt idx="10">
                  <c:v>0.8</c:v>
                </c:pt>
                <c:pt idx="11">
                  <c:v>1.1000000000000001</c:v>
                </c:pt>
                <c:pt idx="12">
                  <c:v>1.3</c:v>
                </c:pt>
                <c:pt idx="13">
                  <c:v>2</c:v>
                </c:pt>
                <c:pt idx="14">
                  <c:v>2.2999999999999998</c:v>
                </c:pt>
                <c:pt idx="15">
                  <c:v>2.5</c:v>
                </c:pt>
                <c:pt idx="16">
                  <c:v>6.4</c:v>
                </c:pt>
                <c:pt idx="17">
                  <c:v>7.4</c:v>
                </c:pt>
                <c:pt idx="18">
                  <c:v>7</c:v>
                </c:pt>
                <c:pt idx="19">
                  <c:v>7.1</c:v>
                </c:pt>
                <c:pt idx="20">
                  <c:v>6.5</c:v>
                </c:pt>
                <c:pt idx="21">
                  <c:v>5.9</c:v>
                </c:pt>
                <c:pt idx="22">
                  <c:v>8.1</c:v>
                </c:pt>
                <c:pt idx="23">
                  <c:v>8.4</c:v>
                </c:pt>
                <c:pt idx="24">
                  <c:v>11.4</c:v>
                </c:pt>
                <c:pt idx="25">
                  <c:v>14.1</c:v>
                </c:pt>
                <c:pt idx="26">
                  <c:v>18.399999999999999</c:v>
                </c:pt>
                <c:pt idx="27">
                  <c:v>22.2</c:v>
                </c:pt>
                <c:pt idx="28">
                  <c:v>25.4</c:v>
                </c:pt>
                <c:pt idx="29">
                  <c:v>25.9</c:v>
                </c:pt>
                <c:pt idx="30">
                  <c:v>30.7</c:v>
                </c:pt>
                <c:pt idx="31">
                  <c:v>40.4</c:v>
                </c:pt>
                <c:pt idx="32">
                  <c:v>40.4</c:v>
                </c:pt>
                <c:pt idx="33">
                  <c:v>42</c:v>
                </c:pt>
                <c:pt idx="34">
                  <c:v>53.7</c:v>
                </c:pt>
                <c:pt idx="35">
                  <c:v>50.2</c:v>
                </c:pt>
                <c:pt idx="36">
                  <c:v>48.4</c:v>
                </c:pt>
                <c:pt idx="37">
                  <c:v>50.4</c:v>
                </c:pt>
                <c:pt idx="38">
                  <c:v>43.7</c:v>
                </c:pt>
              </c:numCache>
            </c:numRef>
          </c:val>
          <c:smooth val="0"/>
          <c:extLst>
            <c:ext xmlns:c16="http://schemas.microsoft.com/office/drawing/2014/chart" uri="{C3380CC4-5D6E-409C-BE32-E72D297353CC}">
              <c16:uniqueId val="{00000005-5290-4626-8753-2AAE92924284}"/>
            </c:ext>
          </c:extLst>
        </c:ser>
        <c:ser>
          <c:idx val="6"/>
          <c:order val="6"/>
          <c:tx>
            <c:strRef>
              <c:f>'výkonnost odvětví 3'!$AD$10</c:f>
              <c:strCache>
                <c:ptCount val="1"/>
                <c:pt idx="0">
                  <c:v>Balance of confidence indicator in construction (right axis)</c:v>
                </c:pt>
              </c:strCache>
            </c:strRef>
          </c:tx>
          <c:spPr>
            <a:ln w="6350">
              <a:solidFill>
                <a:schemeClr val="bg1">
                  <a:lumMod val="50000"/>
                </a:schemeClr>
              </a:solidFill>
              <a:prstDash val="sysDash"/>
            </a:ln>
          </c:spPr>
          <c:marker>
            <c:symbol val="diamond"/>
            <c:size val="5"/>
            <c:spPr>
              <a:solidFill>
                <a:srgbClr val="FFFF00"/>
              </a:solidFill>
              <a:ln>
                <a:solidFill>
                  <a:prstClr val="black">
                    <a:lumMod val="95000"/>
                    <a:lumOff val="5000"/>
                  </a:prstClr>
                </a:solidFill>
              </a:ln>
            </c:spPr>
          </c:marker>
          <c:cat>
            <c:multiLvlStrRef>
              <c:f>'výkonnost odvětví 3'!$V$15:$W$53</c:f>
              <c:multiLvlStrCache>
                <c:ptCount val="39"/>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lvl>
                <c:lvl>
                  <c:pt idx="0">
                    <c:v>2011</c:v>
                  </c:pt>
                  <c:pt idx="4">
                    <c:v>2012</c:v>
                  </c:pt>
                  <c:pt idx="8">
                    <c:v>2013</c:v>
                  </c:pt>
                  <c:pt idx="12">
                    <c:v>2014</c:v>
                  </c:pt>
                  <c:pt idx="16">
                    <c:v>2015</c:v>
                  </c:pt>
                  <c:pt idx="20">
                    <c:v>2016</c:v>
                  </c:pt>
                  <c:pt idx="24">
                    <c:v>2017</c:v>
                  </c:pt>
                  <c:pt idx="28">
                    <c:v>2018</c:v>
                  </c:pt>
                  <c:pt idx="32">
                    <c:v>2019</c:v>
                  </c:pt>
                  <c:pt idx="36">
                    <c:v>2020</c:v>
                  </c:pt>
                </c:lvl>
              </c:multiLvlStrCache>
            </c:multiLvlStrRef>
          </c:cat>
          <c:val>
            <c:numRef>
              <c:f>'výkonnost odvětví 3'!$AD$15:$AD$53</c:f>
              <c:numCache>
                <c:formatCode>0.0</c:formatCode>
                <c:ptCount val="39"/>
                <c:pt idx="0">
                  <c:v>-38</c:v>
                </c:pt>
                <c:pt idx="1">
                  <c:v>-40</c:v>
                </c:pt>
                <c:pt idx="2">
                  <c:v>-40</c:v>
                </c:pt>
                <c:pt idx="3">
                  <c:v>-36.5</c:v>
                </c:pt>
                <c:pt idx="4">
                  <c:v>-46.5</c:v>
                </c:pt>
                <c:pt idx="5">
                  <c:v>-44</c:v>
                </c:pt>
                <c:pt idx="6">
                  <c:v>-43</c:v>
                </c:pt>
                <c:pt idx="7">
                  <c:v>-41</c:v>
                </c:pt>
                <c:pt idx="8">
                  <c:v>-45.5</c:v>
                </c:pt>
                <c:pt idx="9">
                  <c:v>-53.5</c:v>
                </c:pt>
                <c:pt idx="10">
                  <c:v>-48</c:v>
                </c:pt>
                <c:pt idx="11">
                  <c:v>-48</c:v>
                </c:pt>
                <c:pt idx="12">
                  <c:v>-48</c:v>
                </c:pt>
                <c:pt idx="13">
                  <c:v>-39</c:v>
                </c:pt>
                <c:pt idx="14">
                  <c:v>-36.5</c:v>
                </c:pt>
                <c:pt idx="15">
                  <c:v>-30</c:v>
                </c:pt>
                <c:pt idx="16">
                  <c:v>-20.5</c:v>
                </c:pt>
                <c:pt idx="17">
                  <c:v>-16</c:v>
                </c:pt>
                <c:pt idx="18">
                  <c:v>-20</c:v>
                </c:pt>
                <c:pt idx="19">
                  <c:v>-16</c:v>
                </c:pt>
                <c:pt idx="20">
                  <c:v>-14.5</c:v>
                </c:pt>
                <c:pt idx="21">
                  <c:v>-21.5</c:v>
                </c:pt>
                <c:pt idx="22">
                  <c:v>-26</c:v>
                </c:pt>
                <c:pt idx="23">
                  <c:v>-27.5</c:v>
                </c:pt>
                <c:pt idx="24">
                  <c:v>-27</c:v>
                </c:pt>
                <c:pt idx="25">
                  <c:v>-23</c:v>
                </c:pt>
                <c:pt idx="26">
                  <c:v>-24</c:v>
                </c:pt>
                <c:pt idx="27">
                  <c:v>-17.5</c:v>
                </c:pt>
                <c:pt idx="28">
                  <c:v>-14.5</c:v>
                </c:pt>
                <c:pt idx="29">
                  <c:v>-5.5</c:v>
                </c:pt>
                <c:pt idx="30">
                  <c:v>-5</c:v>
                </c:pt>
                <c:pt idx="31">
                  <c:v>-1.5</c:v>
                </c:pt>
                <c:pt idx="32">
                  <c:v>5.5</c:v>
                </c:pt>
                <c:pt idx="33">
                  <c:v>3</c:v>
                </c:pt>
                <c:pt idx="34">
                  <c:v>2</c:v>
                </c:pt>
                <c:pt idx="35">
                  <c:v>1.5</c:v>
                </c:pt>
                <c:pt idx="36">
                  <c:v>1</c:v>
                </c:pt>
                <c:pt idx="37">
                  <c:v>-12.5</c:v>
                </c:pt>
                <c:pt idx="38">
                  <c:v>-16</c:v>
                </c:pt>
              </c:numCache>
            </c:numRef>
          </c:val>
          <c:smooth val="0"/>
          <c:extLst>
            <c:ext xmlns:c16="http://schemas.microsoft.com/office/drawing/2014/chart" uri="{C3380CC4-5D6E-409C-BE32-E72D297353CC}">
              <c16:uniqueId val="{00000006-5290-4626-8753-2AAE92924284}"/>
            </c:ext>
          </c:extLst>
        </c:ser>
        <c:dLbls>
          <c:showLegendKey val="0"/>
          <c:showVal val="0"/>
          <c:showCatName val="0"/>
          <c:showSerName val="0"/>
          <c:showPercent val="0"/>
          <c:showBubbleSize val="0"/>
        </c:dLbls>
        <c:marker val="1"/>
        <c:smooth val="0"/>
        <c:axId val="147650816"/>
        <c:axId val="147649280"/>
      </c:lineChart>
      <c:catAx>
        <c:axId val="147432960"/>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147434496"/>
        <c:crossesAt val="0"/>
        <c:auto val="0"/>
        <c:lblAlgn val="ctr"/>
        <c:lblOffset val="0"/>
        <c:tickLblSkip val="1"/>
        <c:tickMarkSkip val="4"/>
        <c:noMultiLvlLbl val="0"/>
      </c:catAx>
      <c:valAx>
        <c:axId val="147434496"/>
        <c:scaling>
          <c:orientation val="minMax"/>
          <c:max val="30"/>
          <c:min val="-20"/>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rgbClr val="000000"/>
                    </a:solidFill>
                    <a:latin typeface="Arial CE"/>
                    <a:ea typeface="Arial CE"/>
                    <a:cs typeface="Arial CE"/>
                  </a:defRPr>
                </a:pPr>
                <a:r>
                  <a:rPr lang="en-GB" sz="700" i="1">
                    <a:effectLst/>
                  </a:rPr>
                  <a:t>Contribution to the change of construction output</a:t>
                </a:r>
                <a:endParaRPr lang="cs-CZ" sz="700">
                  <a:effectLst/>
                </a:endParaRPr>
              </a:p>
            </c:rich>
          </c:tx>
          <c:layout>
            <c:manualLayout>
              <c:xMode val="edge"/>
              <c:yMode val="edge"/>
              <c:x val="2.6741797680802462E-3"/>
              <c:y val="8.5153532098112758E-2"/>
            </c:manualLayout>
          </c:layout>
          <c:overlay val="0"/>
        </c:title>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147432960"/>
        <c:crosses val="autoZero"/>
        <c:crossBetween val="between"/>
        <c:majorUnit val="5"/>
      </c:valAx>
      <c:valAx>
        <c:axId val="147649280"/>
        <c:scaling>
          <c:orientation val="minMax"/>
          <c:max val="90"/>
          <c:min val="-6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rgbClr val="000000"/>
                    </a:solidFill>
                    <a:latin typeface="Arial CE"/>
                    <a:ea typeface="Arial CE"/>
                    <a:cs typeface="Arial CE"/>
                  </a:defRPr>
                </a:pPr>
                <a:r>
                  <a:rPr lang="en-GB" sz="700" i="1">
                    <a:effectLst/>
                  </a:rPr>
                  <a:t>Orders, Balance of confidence indicator, Growth barriers</a:t>
                </a:r>
                <a:endParaRPr lang="cs-CZ" sz="700">
                  <a:effectLst/>
                </a:endParaRPr>
              </a:p>
            </c:rich>
          </c:tx>
          <c:overlay val="0"/>
        </c:title>
        <c:numFmt formatCode="0" sourceLinked="0"/>
        <c:majorTickMark val="out"/>
        <c:minorTickMark val="none"/>
        <c:tickLblPos val="nextTo"/>
        <c:crossAx val="147650816"/>
        <c:crosses val="max"/>
        <c:crossBetween val="between"/>
        <c:majorUnit val="15"/>
      </c:valAx>
      <c:catAx>
        <c:axId val="147650816"/>
        <c:scaling>
          <c:orientation val="minMax"/>
        </c:scaling>
        <c:delete val="1"/>
        <c:axPos val="b"/>
        <c:numFmt formatCode="General" sourceLinked="1"/>
        <c:majorTickMark val="out"/>
        <c:minorTickMark val="none"/>
        <c:tickLblPos val="none"/>
        <c:crossAx val="147649280"/>
        <c:crosses val="autoZero"/>
        <c:auto val="0"/>
        <c:lblAlgn val="ctr"/>
        <c:lblOffset val="100"/>
        <c:noMultiLvlLbl val="0"/>
      </c:catAx>
      <c:spPr>
        <a:solidFill>
          <a:srgbClr val="FFFFFF"/>
        </a:solidFill>
        <a:ln w="9525">
          <a:solidFill>
            <a:schemeClr val="tx1"/>
          </a:solidFill>
        </a:ln>
      </c:spPr>
    </c:plotArea>
    <c:legend>
      <c:legendPos val="b"/>
      <c:layout>
        <c:manualLayout>
          <c:xMode val="edge"/>
          <c:yMode val="edge"/>
          <c:x val="8.0289395857067181E-3"/>
          <c:y val="0.79093363620461055"/>
          <c:w val="0.98289481343746343"/>
          <c:h val="0.19956952391576055"/>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121841398004213E-2"/>
          <c:y val="1.5803328678987455E-2"/>
          <c:w val="0.86647319020345381"/>
          <c:h val="0.69973786924546955"/>
        </c:manualLayout>
      </c:layout>
      <c:barChart>
        <c:barDir val="col"/>
        <c:grouping val="stacked"/>
        <c:varyColors val="0"/>
        <c:ser>
          <c:idx val="0"/>
          <c:order val="1"/>
          <c:tx>
            <c:strRef>
              <c:f>'Služby-příspěvkyk růstu'!$D$25</c:f>
              <c:strCache>
                <c:ptCount val="1"/>
                <c:pt idx="0">
                  <c:v>Transporting and storage</c:v>
                </c:pt>
              </c:strCache>
            </c:strRef>
          </c:tx>
          <c:spPr>
            <a:ln>
              <a:noFill/>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růstu'!$D$26:$D$60</c:f>
              <c:numCache>
                <c:formatCode>0.0</c:formatCode>
                <c:ptCount val="35"/>
                <c:pt idx="0">
                  <c:v>0.43250355480835656</c:v>
                </c:pt>
                <c:pt idx="1">
                  <c:v>0.66710922477796986</c:v>
                </c:pt>
                <c:pt idx="2">
                  <c:v>1.2810740041826509</c:v>
                </c:pt>
                <c:pt idx="3">
                  <c:v>-0.53452520432314288</c:v>
                </c:pt>
                <c:pt idx="4">
                  <c:v>0.90431756716453426</c:v>
                </c:pt>
                <c:pt idx="5">
                  <c:v>0.8070031938602803</c:v>
                </c:pt>
                <c:pt idx="6">
                  <c:v>0.57330492199423877</c:v>
                </c:pt>
                <c:pt idx="7">
                  <c:v>2.8078133034979835</c:v>
                </c:pt>
                <c:pt idx="8">
                  <c:v>0.97825827078215699</c:v>
                </c:pt>
                <c:pt idx="9">
                  <c:v>0.72315708551034086</c:v>
                </c:pt>
                <c:pt idx="10">
                  <c:v>1.2171504933227022</c:v>
                </c:pt>
                <c:pt idx="11">
                  <c:v>-0.13022666291925639</c:v>
                </c:pt>
                <c:pt idx="12">
                  <c:v>0.17664665608652994</c:v>
                </c:pt>
                <c:pt idx="13">
                  <c:v>-4.1191806268856823E-2</c:v>
                </c:pt>
                <c:pt idx="14">
                  <c:v>0.20050592493597819</c:v>
                </c:pt>
                <c:pt idx="15">
                  <c:v>4.2621733225056455E-2</c:v>
                </c:pt>
                <c:pt idx="16">
                  <c:v>0.2847890086816679</c:v>
                </c:pt>
                <c:pt idx="17">
                  <c:v>0.2013437768354992</c:v>
                </c:pt>
                <c:pt idx="18">
                  <c:v>0.13973435240156135</c:v>
                </c:pt>
                <c:pt idx="19">
                  <c:v>0.86054675864751384</c:v>
                </c:pt>
                <c:pt idx="20">
                  <c:v>1.6292630224051583</c:v>
                </c:pt>
                <c:pt idx="21">
                  <c:v>1.0923510311792821</c:v>
                </c:pt>
                <c:pt idx="22">
                  <c:v>1.1372534149644835</c:v>
                </c:pt>
                <c:pt idx="23">
                  <c:v>0.60479588760532188</c:v>
                </c:pt>
                <c:pt idx="24">
                  <c:v>1.7511692205268421</c:v>
                </c:pt>
                <c:pt idx="25">
                  <c:v>1.919432195003689</c:v>
                </c:pt>
                <c:pt idx="26">
                  <c:v>1.468778873734859</c:v>
                </c:pt>
                <c:pt idx="27">
                  <c:v>0.4982794536687275</c:v>
                </c:pt>
                <c:pt idx="28">
                  <c:v>0.78783162617261848</c:v>
                </c:pt>
                <c:pt idx="29">
                  <c:v>-7.9684741233977965E-2</c:v>
                </c:pt>
                <c:pt idx="30">
                  <c:v>-0.67460760242187034</c:v>
                </c:pt>
                <c:pt idx="31">
                  <c:v>-0.53847934288416444</c:v>
                </c:pt>
                <c:pt idx="32">
                  <c:v>-1.8202064381633429</c:v>
                </c:pt>
                <c:pt idx="33">
                  <c:v>-6.9006102563318397</c:v>
                </c:pt>
              </c:numCache>
            </c:numRef>
          </c:val>
          <c:extLst>
            <c:ext xmlns:c16="http://schemas.microsoft.com/office/drawing/2014/chart" uri="{C3380CC4-5D6E-409C-BE32-E72D297353CC}">
              <c16:uniqueId val="{00000000-C085-4166-925C-9BFC07962CEF}"/>
            </c:ext>
          </c:extLst>
        </c:ser>
        <c:ser>
          <c:idx val="1"/>
          <c:order val="2"/>
          <c:tx>
            <c:strRef>
              <c:f>'Služby-příspěvkyk růstu'!$E$25</c:f>
              <c:strCache>
                <c:ptCount val="1"/>
                <c:pt idx="0">
                  <c:v>Accommodation, food service activities</c:v>
                </c:pt>
              </c:strCache>
            </c:strRef>
          </c:tx>
          <c:spPr>
            <a:solidFill>
              <a:srgbClr val="FF2525"/>
            </a:solidFill>
            <a:ln>
              <a:noFill/>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růstu'!$E$26:$E$60</c:f>
              <c:numCache>
                <c:formatCode>0.0</c:formatCode>
                <c:ptCount val="35"/>
                <c:pt idx="0">
                  <c:v>-0.18595640865133076</c:v>
                </c:pt>
                <c:pt idx="1">
                  <c:v>-0.23369100363405482</c:v>
                </c:pt>
                <c:pt idx="2">
                  <c:v>-0.16641354323754717</c:v>
                </c:pt>
                <c:pt idx="3">
                  <c:v>-0.30755374216978426</c:v>
                </c:pt>
                <c:pt idx="4">
                  <c:v>4.282103578544303E-2</c:v>
                </c:pt>
                <c:pt idx="5">
                  <c:v>3.8782132313988714E-2</c:v>
                </c:pt>
                <c:pt idx="6">
                  <c:v>0.1379529668215739</c:v>
                </c:pt>
                <c:pt idx="7">
                  <c:v>5.4285433713091295E-2</c:v>
                </c:pt>
                <c:pt idx="8">
                  <c:v>-8.1292792613758116E-2</c:v>
                </c:pt>
                <c:pt idx="9">
                  <c:v>-5.1930094471250646E-2</c:v>
                </c:pt>
                <c:pt idx="10">
                  <c:v>-7.8120503560380292E-2</c:v>
                </c:pt>
                <c:pt idx="11">
                  <c:v>0.62816109127223863</c:v>
                </c:pt>
                <c:pt idx="12">
                  <c:v>0.23129656285271435</c:v>
                </c:pt>
                <c:pt idx="13">
                  <c:v>0.65512527744013138</c:v>
                </c:pt>
                <c:pt idx="14">
                  <c:v>0.65435384244755412</c:v>
                </c:pt>
                <c:pt idx="15">
                  <c:v>0.4022878434054255</c:v>
                </c:pt>
                <c:pt idx="16">
                  <c:v>0.42778529924397274</c:v>
                </c:pt>
                <c:pt idx="17">
                  <c:v>0.19282991881639683</c:v>
                </c:pt>
                <c:pt idx="18">
                  <c:v>0.56722386353934195</c:v>
                </c:pt>
                <c:pt idx="19">
                  <c:v>0.59850713498642405</c:v>
                </c:pt>
                <c:pt idx="20">
                  <c:v>0.95344619394002372</c:v>
                </c:pt>
                <c:pt idx="21">
                  <c:v>1.2083424521444015</c:v>
                </c:pt>
                <c:pt idx="22">
                  <c:v>0.55138916431274998</c:v>
                </c:pt>
                <c:pt idx="23">
                  <c:v>0.45464922880720454</c:v>
                </c:pt>
                <c:pt idx="24">
                  <c:v>0.18144865877241922</c:v>
                </c:pt>
                <c:pt idx="25">
                  <c:v>6.8047966010392827E-2</c:v>
                </c:pt>
                <c:pt idx="26">
                  <c:v>5.8849522681225439E-2</c:v>
                </c:pt>
                <c:pt idx="27">
                  <c:v>-3.63484737997853E-2</c:v>
                </c:pt>
                <c:pt idx="28">
                  <c:v>0.21874428606442176</c:v>
                </c:pt>
                <c:pt idx="29">
                  <c:v>0.16786751321595339</c:v>
                </c:pt>
                <c:pt idx="30">
                  <c:v>-1.62262007320669E-2</c:v>
                </c:pt>
                <c:pt idx="31">
                  <c:v>-1.9909725695237513E-2</c:v>
                </c:pt>
                <c:pt idx="32">
                  <c:v>-1.0877903639291033</c:v>
                </c:pt>
                <c:pt idx="33">
                  <c:v>-4.953438114611</c:v>
                </c:pt>
              </c:numCache>
            </c:numRef>
          </c:val>
          <c:extLst>
            <c:ext xmlns:c16="http://schemas.microsoft.com/office/drawing/2014/chart" uri="{C3380CC4-5D6E-409C-BE32-E72D297353CC}">
              <c16:uniqueId val="{00000001-C085-4166-925C-9BFC07962CEF}"/>
            </c:ext>
          </c:extLst>
        </c:ser>
        <c:ser>
          <c:idx val="2"/>
          <c:order val="3"/>
          <c:tx>
            <c:strRef>
              <c:f>'Služby-příspěvkyk růstu'!$F$25</c:f>
              <c:strCache>
                <c:ptCount val="1"/>
                <c:pt idx="0">
                  <c:v>Information and communication</c:v>
                </c:pt>
              </c:strCache>
            </c:strRef>
          </c:tx>
          <c:spPr>
            <a:solidFill>
              <a:srgbClr val="92D050"/>
            </a:solidFill>
            <a:ln>
              <a:noFill/>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růstu'!$F$26:$F$60</c:f>
              <c:numCache>
                <c:formatCode>0.0</c:formatCode>
                <c:ptCount val="35"/>
                <c:pt idx="0">
                  <c:v>0.14688752851300535</c:v>
                </c:pt>
                <c:pt idx="1">
                  <c:v>-1.2165780077942969E-2</c:v>
                </c:pt>
                <c:pt idx="2">
                  <c:v>0.26678466181917887</c:v>
                </c:pt>
                <c:pt idx="3">
                  <c:v>-6.6241709196293921E-2</c:v>
                </c:pt>
                <c:pt idx="4">
                  <c:v>-0.355941591832305</c:v>
                </c:pt>
                <c:pt idx="5">
                  <c:v>5.0506014828826556E-4</c:v>
                </c:pt>
                <c:pt idx="6">
                  <c:v>-0.43952535721592695</c:v>
                </c:pt>
                <c:pt idx="7">
                  <c:v>6.4906590241254072E-2</c:v>
                </c:pt>
                <c:pt idx="8">
                  <c:v>5.5030325289738329E-2</c:v>
                </c:pt>
                <c:pt idx="9">
                  <c:v>0.20771805886687944</c:v>
                </c:pt>
                <c:pt idx="10">
                  <c:v>0.5544641813467347</c:v>
                </c:pt>
                <c:pt idx="11">
                  <c:v>0.39028735795878133</c:v>
                </c:pt>
                <c:pt idx="12">
                  <c:v>1.406135426754914</c:v>
                </c:pt>
                <c:pt idx="13">
                  <c:v>0.82436921704224986</c:v>
                </c:pt>
                <c:pt idx="14">
                  <c:v>0.81882390944147387</c:v>
                </c:pt>
                <c:pt idx="15">
                  <c:v>1.3066587801814382</c:v>
                </c:pt>
                <c:pt idx="16">
                  <c:v>0.37006165311793565</c:v>
                </c:pt>
                <c:pt idx="17">
                  <c:v>0.13188818524752718</c:v>
                </c:pt>
                <c:pt idx="18">
                  <c:v>0.33340534388535614</c:v>
                </c:pt>
                <c:pt idx="19">
                  <c:v>0.17729116925865968</c:v>
                </c:pt>
                <c:pt idx="20">
                  <c:v>0.73514247229341834</c:v>
                </c:pt>
                <c:pt idx="21">
                  <c:v>1.0091673493229187</c:v>
                </c:pt>
                <c:pt idx="22">
                  <c:v>0.7782751393660321</c:v>
                </c:pt>
                <c:pt idx="23">
                  <c:v>0.59050679451815402</c:v>
                </c:pt>
                <c:pt idx="24">
                  <c:v>1.4571786542074963</c:v>
                </c:pt>
                <c:pt idx="25">
                  <c:v>0.76023226586947656</c:v>
                </c:pt>
                <c:pt idx="26">
                  <c:v>1.4180945031018091</c:v>
                </c:pt>
                <c:pt idx="27">
                  <c:v>0.98127037080708135</c:v>
                </c:pt>
                <c:pt idx="28">
                  <c:v>1.2376549564823249</c:v>
                </c:pt>
                <c:pt idx="29">
                  <c:v>1.1682128839304382</c:v>
                </c:pt>
                <c:pt idx="30">
                  <c:v>0.89301215449621985</c:v>
                </c:pt>
                <c:pt idx="31">
                  <c:v>1.1680607244795</c:v>
                </c:pt>
                <c:pt idx="32">
                  <c:v>0.70143991010007567</c:v>
                </c:pt>
                <c:pt idx="33">
                  <c:v>-1.2424728309274571E-2</c:v>
                </c:pt>
              </c:numCache>
            </c:numRef>
          </c:val>
          <c:extLst>
            <c:ext xmlns:c16="http://schemas.microsoft.com/office/drawing/2014/chart" uri="{C3380CC4-5D6E-409C-BE32-E72D297353CC}">
              <c16:uniqueId val="{00000002-C085-4166-925C-9BFC07962CEF}"/>
            </c:ext>
          </c:extLst>
        </c:ser>
        <c:ser>
          <c:idx val="4"/>
          <c:order val="4"/>
          <c:tx>
            <c:strRef>
              <c:f>'Služby-příspěvkyk růstu'!$G$25</c:f>
              <c:strCache>
                <c:ptCount val="1"/>
                <c:pt idx="0">
                  <c:v>Real estate activities</c:v>
                </c:pt>
              </c:strCache>
            </c:strRef>
          </c:tx>
          <c:spPr>
            <a:solidFill>
              <a:srgbClr val="7030A0"/>
            </a:solidFill>
            <a:ln>
              <a:noFill/>
              <a:prstDash val="sysDash"/>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růstu'!$G$26:$G$60</c:f>
              <c:numCache>
                <c:formatCode>0.0</c:formatCode>
                <c:ptCount val="35"/>
                <c:pt idx="0">
                  <c:v>-0.34137236158909179</c:v>
                </c:pt>
                <c:pt idx="1">
                  <c:v>-0.32388973194562126</c:v>
                </c:pt>
                <c:pt idx="2">
                  <c:v>-0.37058828980655789</c:v>
                </c:pt>
                <c:pt idx="3">
                  <c:v>-0.30099897115709839</c:v>
                </c:pt>
                <c:pt idx="4">
                  <c:v>-0.12420970825265641</c:v>
                </c:pt>
                <c:pt idx="5">
                  <c:v>-0.28603737777812438</c:v>
                </c:pt>
                <c:pt idx="6">
                  <c:v>0.14203788124466329</c:v>
                </c:pt>
                <c:pt idx="7">
                  <c:v>-0.4964721024754466</c:v>
                </c:pt>
                <c:pt idx="8">
                  <c:v>-0.27243920620683193</c:v>
                </c:pt>
                <c:pt idx="9">
                  <c:v>0.13121599842368425</c:v>
                </c:pt>
                <c:pt idx="10">
                  <c:v>-2.3565265518776128E-2</c:v>
                </c:pt>
                <c:pt idx="11">
                  <c:v>-0.14403624877141019</c:v>
                </c:pt>
                <c:pt idx="12">
                  <c:v>4.5114687229023245E-2</c:v>
                </c:pt>
                <c:pt idx="13">
                  <c:v>-4.6332032044239775E-3</c:v>
                </c:pt>
                <c:pt idx="14">
                  <c:v>8.501573906631088E-2</c:v>
                </c:pt>
                <c:pt idx="15">
                  <c:v>4.2208307670905748E-2</c:v>
                </c:pt>
                <c:pt idx="16">
                  <c:v>0.22367935728325808</c:v>
                </c:pt>
                <c:pt idx="17">
                  <c:v>6.8179121728202077E-2</c:v>
                </c:pt>
                <c:pt idx="18">
                  <c:v>0.11569139996329859</c:v>
                </c:pt>
                <c:pt idx="19">
                  <c:v>-7.0466111464403208E-2</c:v>
                </c:pt>
                <c:pt idx="20">
                  <c:v>0.28170347429286569</c:v>
                </c:pt>
                <c:pt idx="21">
                  <c:v>0.36183937476132333</c:v>
                </c:pt>
                <c:pt idx="22">
                  <c:v>-3.8722622297636566E-2</c:v>
                </c:pt>
                <c:pt idx="23">
                  <c:v>0.13751786345915923</c:v>
                </c:pt>
                <c:pt idx="24">
                  <c:v>-1.6524920273683675E-2</c:v>
                </c:pt>
                <c:pt idx="25">
                  <c:v>-0.22648211104296087</c:v>
                </c:pt>
                <c:pt idx="26">
                  <c:v>-0.12424593628184907</c:v>
                </c:pt>
                <c:pt idx="27">
                  <c:v>-0.20693626254554429</c:v>
                </c:pt>
                <c:pt idx="28">
                  <c:v>0.14696794950550035</c:v>
                </c:pt>
                <c:pt idx="29">
                  <c:v>-2.7570979798889395E-2</c:v>
                </c:pt>
                <c:pt idx="30">
                  <c:v>-0.16565733749784456</c:v>
                </c:pt>
                <c:pt idx="31">
                  <c:v>-0.11837811878645006</c:v>
                </c:pt>
                <c:pt idx="32">
                  <c:v>0.19249038617600897</c:v>
                </c:pt>
                <c:pt idx="33">
                  <c:v>-0.41025731878421701</c:v>
                </c:pt>
              </c:numCache>
            </c:numRef>
          </c:val>
          <c:extLst>
            <c:ext xmlns:c16="http://schemas.microsoft.com/office/drawing/2014/chart" uri="{C3380CC4-5D6E-409C-BE32-E72D297353CC}">
              <c16:uniqueId val="{00000003-C085-4166-925C-9BFC07962CEF}"/>
            </c:ext>
          </c:extLst>
        </c:ser>
        <c:ser>
          <c:idx val="5"/>
          <c:order val="5"/>
          <c:tx>
            <c:strRef>
              <c:f>'Služby-příspěvkyk růstu'!$H$25</c:f>
              <c:strCache>
                <c:ptCount val="1"/>
                <c:pt idx="0">
                  <c:v>Professional, scientific and technic. act.</c:v>
                </c:pt>
              </c:strCache>
            </c:strRef>
          </c:tx>
          <c:spPr>
            <a:ln>
              <a:noFill/>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růstu'!$H$26:$H$60</c:f>
              <c:numCache>
                <c:formatCode>0.0</c:formatCode>
                <c:ptCount val="35"/>
                <c:pt idx="0">
                  <c:v>0.26095144122624392</c:v>
                </c:pt>
                <c:pt idx="1">
                  <c:v>-1.2761261764398377</c:v>
                </c:pt>
                <c:pt idx="2">
                  <c:v>-0.34687216013581235</c:v>
                </c:pt>
                <c:pt idx="3">
                  <c:v>5.1433001103990822E-3</c:v>
                </c:pt>
                <c:pt idx="4">
                  <c:v>-1.0934860836771783</c:v>
                </c:pt>
                <c:pt idx="5">
                  <c:v>-1.5487628894732857</c:v>
                </c:pt>
                <c:pt idx="6">
                  <c:v>-1.8262585690782731</c:v>
                </c:pt>
                <c:pt idx="7">
                  <c:v>-1.3231901294817801</c:v>
                </c:pt>
                <c:pt idx="8">
                  <c:v>-1.4955642892436161</c:v>
                </c:pt>
                <c:pt idx="9">
                  <c:v>0.15973936238801459</c:v>
                </c:pt>
                <c:pt idx="10">
                  <c:v>0.74595859727617964</c:v>
                </c:pt>
                <c:pt idx="11">
                  <c:v>-0.99979833905942905</c:v>
                </c:pt>
                <c:pt idx="12">
                  <c:v>1.0479591562413866</c:v>
                </c:pt>
                <c:pt idx="13">
                  <c:v>0.71969962293987355</c:v>
                </c:pt>
                <c:pt idx="14">
                  <c:v>1.1295672614701802</c:v>
                </c:pt>
                <c:pt idx="15">
                  <c:v>-6.0066108957639967E-2</c:v>
                </c:pt>
                <c:pt idx="16">
                  <c:v>-0.35082040507946849</c:v>
                </c:pt>
                <c:pt idx="17">
                  <c:v>-1.3959582370116637</c:v>
                </c:pt>
                <c:pt idx="18">
                  <c:v>2.5986068888917958E-2</c:v>
                </c:pt>
                <c:pt idx="19">
                  <c:v>-0.33300568911978784</c:v>
                </c:pt>
                <c:pt idx="20">
                  <c:v>0.85547754285117605</c:v>
                </c:pt>
                <c:pt idx="21">
                  <c:v>0.67059702934732313</c:v>
                </c:pt>
                <c:pt idx="22">
                  <c:v>0.30942289865299605</c:v>
                </c:pt>
                <c:pt idx="23">
                  <c:v>0.4286605627369825</c:v>
                </c:pt>
                <c:pt idx="24">
                  <c:v>1.1045103780905805</c:v>
                </c:pt>
                <c:pt idx="25">
                  <c:v>0.53164385977728257</c:v>
                </c:pt>
                <c:pt idx="26">
                  <c:v>0.35977038412315243</c:v>
                </c:pt>
                <c:pt idx="27">
                  <c:v>-0.26571599613923336</c:v>
                </c:pt>
                <c:pt idx="28">
                  <c:v>0.75328605452031216</c:v>
                </c:pt>
                <c:pt idx="29">
                  <c:v>0.6104400615647213</c:v>
                </c:pt>
                <c:pt idx="30">
                  <c:v>-0.82295233758345143</c:v>
                </c:pt>
                <c:pt idx="31">
                  <c:v>-0.54798296545929903</c:v>
                </c:pt>
                <c:pt idx="32">
                  <c:v>-0.34767767576626724</c:v>
                </c:pt>
                <c:pt idx="33">
                  <c:v>-3.2743486437706193</c:v>
                </c:pt>
              </c:numCache>
            </c:numRef>
          </c:val>
          <c:extLst>
            <c:ext xmlns:c16="http://schemas.microsoft.com/office/drawing/2014/chart" uri="{C3380CC4-5D6E-409C-BE32-E72D297353CC}">
              <c16:uniqueId val="{00000004-C085-4166-925C-9BFC07962CEF}"/>
            </c:ext>
          </c:extLst>
        </c:ser>
        <c:ser>
          <c:idx val="6"/>
          <c:order val="6"/>
          <c:tx>
            <c:strRef>
              <c:f>'Služby-příspěvkyk růstu'!$I$25</c:f>
              <c:strCache>
                <c:ptCount val="1"/>
                <c:pt idx="0">
                  <c:v>Administrative and support service act.</c:v>
                </c:pt>
              </c:strCache>
            </c:strRef>
          </c:tx>
          <c:spPr>
            <a:solidFill>
              <a:srgbClr val="A8B9D8"/>
            </a:solidFill>
            <a:ln>
              <a:noFill/>
            </a:ln>
          </c:spPr>
          <c:invertIfNegative val="0"/>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růstu'!$I$26:$I$60</c:f>
              <c:numCache>
                <c:formatCode>0.0</c:formatCode>
                <c:ptCount val="35"/>
                <c:pt idx="0">
                  <c:v>0.5093792525943468</c:v>
                </c:pt>
                <c:pt idx="1">
                  <c:v>0.24610790591298709</c:v>
                </c:pt>
                <c:pt idx="2">
                  <c:v>0.43289250594228512</c:v>
                </c:pt>
                <c:pt idx="3">
                  <c:v>-0.19574201571646982</c:v>
                </c:pt>
                <c:pt idx="4">
                  <c:v>-4.5930733129257675E-2</c:v>
                </c:pt>
                <c:pt idx="5">
                  <c:v>0.11161152934719085</c:v>
                </c:pt>
                <c:pt idx="6">
                  <c:v>9.4969838881061877E-2</c:v>
                </c:pt>
                <c:pt idx="7">
                  <c:v>0.39285183218946634</c:v>
                </c:pt>
                <c:pt idx="8">
                  <c:v>-0.17140946223459813</c:v>
                </c:pt>
                <c:pt idx="9">
                  <c:v>0.54518014457247954</c:v>
                </c:pt>
                <c:pt idx="10">
                  <c:v>0.386531836524309</c:v>
                </c:pt>
                <c:pt idx="11">
                  <c:v>0.5290022333733051</c:v>
                </c:pt>
                <c:pt idx="12">
                  <c:v>0.51440215318243465</c:v>
                </c:pt>
                <c:pt idx="13">
                  <c:v>0.62115960470863207</c:v>
                </c:pt>
                <c:pt idx="14">
                  <c:v>0.43401453891286046</c:v>
                </c:pt>
                <c:pt idx="15">
                  <c:v>0.50281220016564265</c:v>
                </c:pt>
                <c:pt idx="16">
                  <c:v>0.52419839920051392</c:v>
                </c:pt>
                <c:pt idx="17">
                  <c:v>0.16599789347818159</c:v>
                </c:pt>
                <c:pt idx="18">
                  <c:v>0.26955520094101676</c:v>
                </c:pt>
                <c:pt idx="19">
                  <c:v>0.51433346571065852</c:v>
                </c:pt>
                <c:pt idx="20">
                  <c:v>1.2357717194790949</c:v>
                </c:pt>
                <c:pt idx="21">
                  <c:v>1.0863857236804175</c:v>
                </c:pt>
                <c:pt idx="22">
                  <c:v>0.64106908989186184</c:v>
                </c:pt>
                <c:pt idx="23">
                  <c:v>0.30440747123981599</c:v>
                </c:pt>
                <c:pt idx="24">
                  <c:v>0.53272062163062639</c:v>
                </c:pt>
                <c:pt idx="25">
                  <c:v>0.37833296302356378</c:v>
                </c:pt>
                <c:pt idx="26">
                  <c:v>0.43545533031232775</c:v>
                </c:pt>
                <c:pt idx="27">
                  <c:v>-1.2584742734802987E-2</c:v>
                </c:pt>
                <c:pt idx="28">
                  <c:v>0.48672782972125456</c:v>
                </c:pt>
                <c:pt idx="29">
                  <c:v>0.12967209975939339</c:v>
                </c:pt>
                <c:pt idx="30">
                  <c:v>-0.12264649424558488</c:v>
                </c:pt>
                <c:pt idx="31">
                  <c:v>-0.21576986456963893</c:v>
                </c:pt>
                <c:pt idx="32">
                  <c:v>-1.17918936432502</c:v>
                </c:pt>
                <c:pt idx="33">
                  <c:v>-4.4490618763164536</c:v>
                </c:pt>
              </c:numCache>
            </c:numRef>
          </c:val>
          <c:extLst>
            <c:ext xmlns:c16="http://schemas.microsoft.com/office/drawing/2014/chart" uri="{C3380CC4-5D6E-409C-BE32-E72D297353CC}">
              <c16:uniqueId val="{00000005-C085-4166-925C-9BFC07962CEF}"/>
            </c:ext>
          </c:extLst>
        </c:ser>
        <c:dLbls>
          <c:showLegendKey val="0"/>
          <c:showVal val="0"/>
          <c:showCatName val="0"/>
          <c:showSerName val="0"/>
          <c:showPercent val="0"/>
          <c:showBubbleSize val="0"/>
        </c:dLbls>
        <c:gapWidth val="32"/>
        <c:overlap val="100"/>
        <c:axId val="156100864"/>
        <c:axId val="156573696"/>
      </c:barChart>
      <c:lineChart>
        <c:grouping val="standard"/>
        <c:varyColors val="0"/>
        <c:ser>
          <c:idx val="3"/>
          <c:order val="0"/>
          <c:tx>
            <c:strRef>
              <c:f>'Služby-příspěvkyk růstu'!$C$25</c:f>
              <c:strCache>
                <c:ptCount val="1"/>
                <c:pt idx="0">
                  <c:v>Total services</c:v>
                </c:pt>
              </c:strCache>
            </c:strRef>
          </c:tx>
          <c:spPr>
            <a:ln>
              <a:noFill/>
            </a:ln>
          </c:spPr>
          <c:marker>
            <c:symbol val="dash"/>
            <c:size val="9"/>
            <c:spPr>
              <a:solidFill>
                <a:schemeClr val="tx1">
                  <a:lumMod val="95000"/>
                  <a:lumOff val="5000"/>
                </a:schemeClr>
              </a:solidFill>
              <a:ln>
                <a:noFill/>
              </a:ln>
            </c:spPr>
          </c:marker>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růstu'!$C$26:$C$60</c:f>
              <c:numCache>
                <c:formatCode>0.0</c:formatCode>
                <c:ptCount val="35"/>
                <c:pt idx="0">
                  <c:v>0.44963721183368932</c:v>
                </c:pt>
                <c:pt idx="1">
                  <c:v>-1.2180166338930718</c:v>
                </c:pt>
                <c:pt idx="2">
                  <c:v>1.1048392019405071</c:v>
                </c:pt>
                <c:pt idx="3">
                  <c:v>-1.3666360726043365</c:v>
                </c:pt>
                <c:pt idx="4">
                  <c:v>-0.23113332649610641</c:v>
                </c:pt>
                <c:pt idx="5">
                  <c:v>-0.88454578849733423</c:v>
                </c:pt>
                <c:pt idx="6">
                  <c:v>-1.3424601583175928</c:v>
                </c:pt>
                <c:pt idx="7">
                  <c:v>1.6230087206376993</c:v>
                </c:pt>
                <c:pt idx="8">
                  <c:v>-0.7830856818772105</c:v>
                </c:pt>
                <c:pt idx="9">
                  <c:v>1.5830850388114186</c:v>
                </c:pt>
                <c:pt idx="10">
                  <c:v>2.5910000544725023</c:v>
                </c:pt>
                <c:pt idx="11">
                  <c:v>0.42786697654824479</c:v>
                </c:pt>
                <c:pt idx="12">
                  <c:v>3.2630436418782125</c:v>
                </c:pt>
                <c:pt idx="13">
                  <c:v>2.7083930316927507</c:v>
                </c:pt>
                <c:pt idx="14">
                  <c:v>3.2834766720431787</c:v>
                </c:pt>
                <c:pt idx="15">
                  <c:v>2.1952204214378668</c:v>
                </c:pt>
                <c:pt idx="16">
                  <c:v>1.4416768598931355</c:v>
                </c:pt>
                <c:pt idx="17">
                  <c:v>-0.87800438726691254</c:v>
                </c:pt>
                <c:pt idx="18">
                  <c:v>1.4338212037315827</c:v>
                </c:pt>
                <c:pt idx="19">
                  <c:v>1.5962966747226091</c:v>
                </c:pt>
                <c:pt idx="20">
                  <c:v>5.5396791241765868</c:v>
                </c:pt>
                <c:pt idx="21">
                  <c:v>5.4410534556716499</c:v>
                </c:pt>
                <c:pt idx="22">
                  <c:v>3.3891437532498117</c:v>
                </c:pt>
                <c:pt idx="23">
                  <c:v>2.5129490213521706</c:v>
                </c:pt>
                <c:pt idx="24">
                  <c:v>5.0690832594039676</c:v>
                </c:pt>
                <c:pt idx="25">
                  <c:v>3.5044634886154569</c:v>
                </c:pt>
                <c:pt idx="26">
                  <c:v>3.6982171521688656</c:v>
                </c:pt>
                <c:pt idx="27">
                  <c:v>1.0797281635264397</c:v>
                </c:pt>
                <c:pt idx="28">
                  <c:v>3.6898776025982443</c:v>
                </c:pt>
                <c:pt idx="29">
                  <c:v>1.9603423994405205</c:v>
                </c:pt>
                <c:pt idx="30">
                  <c:v>-0.82019941806260022</c:v>
                </c:pt>
                <c:pt idx="31">
                  <c:v>-0.14219947543891465</c:v>
                </c:pt>
                <c:pt idx="32">
                  <c:v>-3.5762066775777583</c:v>
                </c:pt>
                <c:pt idx="33">
                  <c:v>-20.010501209194601</c:v>
                </c:pt>
              </c:numCache>
            </c:numRef>
          </c:val>
          <c:smooth val="0"/>
          <c:extLst>
            <c:ext xmlns:c16="http://schemas.microsoft.com/office/drawing/2014/chart" uri="{C3380CC4-5D6E-409C-BE32-E72D297353CC}">
              <c16:uniqueId val="{00000006-C085-4166-925C-9BFC07962CEF}"/>
            </c:ext>
          </c:extLst>
        </c:ser>
        <c:dLbls>
          <c:showLegendKey val="0"/>
          <c:showVal val="0"/>
          <c:showCatName val="0"/>
          <c:showSerName val="0"/>
          <c:showPercent val="0"/>
          <c:showBubbleSize val="0"/>
        </c:dLbls>
        <c:marker val="1"/>
        <c:smooth val="0"/>
        <c:axId val="156100864"/>
        <c:axId val="156573696"/>
      </c:lineChart>
      <c:lineChart>
        <c:grouping val="standard"/>
        <c:varyColors val="0"/>
        <c:ser>
          <c:idx val="7"/>
          <c:order val="7"/>
          <c:tx>
            <c:strRef>
              <c:f>'Služby-příspěvkyk růstu'!$J$25</c:f>
              <c:strCache>
                <c:ptCount val="1"/>
                <c:pt idx="0">
                  <c:v>Balance of confidence in services (r. a.)</c:v>
                </c:pt>
              </c:strCache>
            </c:strRef>
          </c:tx>
          <c:spPr>
            <a:ln w="3175">
              <a:solidFill>
                <a:schemeClr val="bg1">
                  <a:lumMod val="50000"/>
                </a:schemeClr>
              </a:solidFill>
              <a:prstDash val="sysDash"/>
            </a:ln>
          </c:spPr>
          <c:marker>
            <c:symbol val="diamond"/>
            <c:size val="5"/>
            <c:spPr>
              <a:solidFill>
                <a:srgbClr val="FFFF00"/>
              </a:solidFill>
              <a:ln w="6350">
                <a:solidFill>
                  <a:schemeClr val="tx1">
                    <a:lumMod val="95000"/>
                    <a:lumOff val="5000"/>
                  </a:schemeClr>
                </a:solidFill>
              </a:ln>
            </c:spPr>
          </c:marker>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růstu'!$J$26:$J$60</c:f>
              <c:numCache>
                <c:formatCode>0.0</c:formatCode>
                <c:ptCount val="35"/>
                <c:pt idx="0">
                  <c:v>24</c:v>
                </c:pt>
                <c:pt idx="1">
                  <c:v>27</c:v>
                </c:pt>
                <c:pt idx="2">
                  <c:v>22.3</c:v>
                </c:pt>
                <c:pt idx="3">
                  <c:v>23</c:v>
                </c:pt>
                <c:pt idx="4">
                  <c:v>24.6</c:v>
                </c:pt>
                <c:pt idx="5">
                  <c:v>21.7</c:v>
                </c:pt>
                <c:pt idx="6">
                  <c:v>19.7</c:v>
                </c:pt>
                <c:pt idx="7">
                  <c:v>26</c:v>
                </c:pt>
                <c:pt idx="8">
                  <c:v>26.7</c:v>
                </c:pt>
                <c:pt idx="9">
                  <c:v>26</c:v>
                </c:pt>
                <c:pt idx="10">
                  <c:v>27.7</c:v>
                </c:pt>
                <c:pt idx="11">
                  <c:v>29</c:v>
                </c:pt>
                <c:pt idx="12">
                  <c:v>32</c:v>
                </c:pt>
                <c:pt idx="13">
                  <c:v>27</c:v>
                </c:pt>
                <c:pt idx="14">
                  <c:v>29.3</c:v>
                </c:pt>
                <c:pt idx="15">
                  <c:v>31</c:v>
                </c:pt>
                <c:pt idx="16">
                  <c:v>34.700000000000003</c:v>
                </c:pt>
                <c:pt idx="17">
                  <c:v>32</c:v>
                </c:pt>
                <c:pt idx="18">
                  <c:v>33.299999999999997</c:v>
                </c:pt>
                <c:pt idx="19">
                  <c:v>34.700000000000003</c:v>
                </c:pt>
                <c:pt idx="20">
                  <c:v>37.299999999999997</c:v>
                </c:pt>
                <c:pt idx="21">
                  <c:v>37.700000000000003</c:v>
                </c:pt>
                <c:pt idx="22">
                  <c:v>37.299999999999997</c:v>
                </c:pt>
                <c:pt idx="23">
                  <c:v>35.700000000000003</c:v>
                </c:pt>
                <c:pt idx="24">
                  <c:v>37</c:v>
                </c:pt>
                <c:pt idx="25">
                  <c:v>37.700000000000003</c:v>
                </c:pt>
                <c:pt idx="26">
                  <c:v>37.299999999999997</c:v>
                </c:pt>
                <c:pt idx="27">
                  <c:v>38</c:v>
                </c:pt>
                <c:pt idx="28">
                  <c:v>36.700000000000003</c:v>
                </c:pt>
                <c:pt idx="29">
                  <c:v>37.299999999999997</c:v>
                </c:pt>
                <c:pt idx="30">
                  <c:v>32</c:v>
                </c:pt>
                <c:pt idx="31">
                  <c:v>33</c:v>
                </c:pt>
                <c:pt idx="32">
                  <c:v>32.6</c:v>
                </c:pt>
                <c:pt idx="33">
                  <c:v>-6</c:v>
                </c:pt>
                <c:pt idx="34">
                  <c:v>2.7</c:v>
                </c:pt>
              </c:numCache>
            </c:numRef>
          </c:val>
          <c:smooth val="0"/>
          <c:extLst>
            <c:ext xmlns:c16="http://schemas.microsoft.com/office/drawing/2014/chart" uri="{C3380CC4-5D6E-409C-BE32-E72D297353CC}">
              <c16:uniqueId val="{00000007-C085-4166-925C-9BFC07962CEF}"/>
            </c:ext>
          </c:extLst>
        </c:ser>
        <c:ser>
          <c:idx val="8"/>
          <c:order val="8"/>
          <c:tx>
            <c:strRef>
              <c:f>'Služby-příspěvkyk růstu'!$K$25</c:f>
              <c:strCache>
                <c:ptCount val="1"/>
                <c:pt idx="0">
                  <c:v>Barrier: inadequate demand (right axis)</c:v>
                </c:pt>
              </c:strCache>
            </c:strRef>
          </c:tx>
          <c:spPr>
            <a:ln w="19050">
              <a:solidFill>
                <a:srgbClr val="00B050"/>
              </a:solidFill>
            </a:ln>
          </c:spPr>
          <c:marker>
            <c:symbol val="none"/>
          </c:marker>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růstu'!$K$26:$K$60</c:f>
              <c:numCache>
                <c:formatCode>#\ ##0.0</c:formatCode>
                <c:ptCount val="35"/>
                <c:pt idx="0">
                  <c:v>32.200000000000003</c:v>
                </c:pt>
                <c:pt idx="1">
                  <c:v>27.5</c:v>
                </c:pt>
                <c:pt idx="2">
                  <c:v>25.1</c:v>
                </c:pt>
                <c:pt idx="3">
                  <c:v>38.299999999999997</c:v>
                </c:pt>
                <c:pt idx="4">
                  <c:v>37.200000000000003</c:v>
                </c:pt>
                <c:pt idx="5">
                  <c:v>34.5</c:v>
                </c:pt>
                <c:pt idx="6">
                  <c:v>37.4</c:v>
                </c:pt>
                <c:pt idx="7">
                  <c:v>35.5</c:v>
                </c:pt>
                <c:pt idx="8">
                  <c:v>33.9</c:v>
                </c:pt>
                <c:pt idx="9">
                  <c:v>34.200000000000003</c:v>
                </c:pt>
                <c:pt idx="10">
                  <c:v>31.4</c:v>
                </c:pt>
                <c:pt idx="11">
                  <c:v>24.7</c:v>
                </c:pt>
                <c:pt idx="12">
                  <c:v>26.2</c:v>
                </c:pt>
                <c:pt idx="13">
                  <c:v>29</c:v>
                </c:pt>
                <c:pt idx="14">
                  <c:v>26.9</c:v>
                </c:pt>
                <c:pt idx="15">
                  <c:v>23.3</c:v>
                </c:pt>
                <c:pt idx="16">
                  <c:v>24</c:v>
                </c:pt>
                <c:pt idx="17">
                  <c:v>24.5</c:v>
                </c:pt>
                <c:pt idx="18">
                  <c:v>21</c:v>
                </c:pt>
                <c:pt idx="19">
                  <c:v>23.3</c:v>
                </c:pt>
                <c:pt idx="20">
                  <c:v>26.2</c:v>
                </c:pt>
                <c:pt idx="21">
                  <c:v>20.5</c:v>
                </c:pt>
                <c:pt idx="22">
                  <c:v>19.899999999999999</c:v>
                </c:pt>
                <c:pt idx="23">
                  <c:v>20.9</c:v>
                </c:pt>
                <c:pt idx="24">
                  <c:v>17.3</c:v>
                </c:pt>
                <c:pt idx="25">
                  <c:v>18.600000000000001</c:v>
                </c:pt>
                <c:pt idx="26">
                  <c:v>18.899999999999999</c:v>
                </c:pt>
                <c:pt idx="27">
                  <c:v>19.8</c:v>
                </c:pt>
                <c:pt idx="28">
                  <c:v>20.7</c:v>
                </c:pt>
                <c:pt idx="29">
                  <c:v>17.100000000000001</c:v>
                </c:pt>
                <c:pt idx="30">
                  <c:v>21.7</c:v>
                </c:pt>
                <c:pt idx="31">
                  <c:v>14.1</c:v>
                </c:pt>
                <c:pt idx="32">
                  <c:v>20.399999999999999</c:v>
                </c:pt>
                <c:pt idx="33">
                  <c:v>29.1</c:v>
                </c:pt>
                <c:pt idx="34" formatCode="0.0">
                  <c:v>30.9</c:v>
                </c:pt>
              </c:numCache>
            </c:numRef>
          </c:val>
          <c:smooth val="0"/>
          <c:extLst>
            <c:ext xmlns:c16="http://schemas.microsoft.com/office/drawing/2014/chart" uri="{C3380CC4-5D6E-409C-BE32-E72D297353CC}">
              <c16:uniqueId val="{00000008-C085-4166-925C-9BFC07962CEF}"/>
            </c:ext>
          </c:extLst>
        </c:ser>
        <c:ser>
          <c:idx val="9"/>
          <c:order val="9"/>
          <c:tx>
            <c:strRef>
              <c:f>'Služby-příspěvkyk růstu'!$L$25</c:f>
              <c:strCache>
                <c:ptCount val="1"/>
                <c:pt idx="0">
                  <c:v>Barrier: shortage of labour (right axis)</c:v>
                </c:pt>
              </c:strCache>
            </c:strRef>
          </c:tx>
          <c:spPr>
            <a:ln w="19050">
              <a:solidFill>
                <a:srgbClr val="00B050"/>
              </a:solidFill>
              <a:prstDash val="sysDash"/>
            </a:ln>
          </c:spPr>
          <c:marker>
            <c:symbol val="none"/>
          </c:marker>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růstu'!$L$26:$L$60</c:f>
              <c:numCache>
                <c:formatCode>#\ ##0.0</c:formatCode>
                <c:ptCount val="35"/>
                <c:pt idx="0">
                  <c:v>0.8</c:v>
                </c:pt>
                <c:pt idx="1">
                  <c:v>2.6</c:v>
                </c:pt>
                <c:pt idx="2">
                  <c:v>3.7</c:v>
                </c:pt>
                <c:pt idx="3">
                  <c:v>1.5</c:v>
                </c:pt>
                <c:pt idx="4">
                  <c:v>0.8</c:v>
                </c:pt>
                <c:pt idx="5">
                  <c:v>0.3</c:v>
                </c:pt>
                <c:pt idx="6">
                  <c:v>0.1</c:v>
                </c:pt>
                <c:pt idx="7">
                  <c:v>2.1</c:v>
                </c:pt>
                <c:pt idx="8">
                  <c:v>0.8</c:v>
                </c:pt>
                <c:pt idx="9">
                  <c:v>2.6</c:v>
                </c:pt>
                <c:pt idx="10">
                  <c:v>2.5</c:v>
                </c:pt>
                <c:pt idx="11">
                  <c:v>3.8</c:v>
                </c:pt>
                <c:pt idx="12">
                  <c:v>2.8</c:v>
                </c:pt>
                <c:pt idx="13">
                  <c:v>5.7</c:v>
                </c:pt>
                <c:pt idx="14">
                  <c:v>5.9</c:v>
                </c:pt>
                <c:pt idx="15">
                  <c:v>5.8</c:v>
                </c:pt>
                <c:pt idx="16">
                  <c:v>8.6999999999999993</c:v>
                </c:pt>
                <c:pt idx="17">
                  <c:v>4.5999999999999996</c:v>
                </c:pt>
                <c:pt idx="18">
                  <c:v>7.1</c:v>
                </c:pt>
                <c:pt idx="19">
                  <c:v>9.1</c:v>
                </c:pt>
                <c:pt idx="20">
                  <c:v>10.1</c:v>
                </c:pt>
                <c:pt idx="21">
                  <c:v>10</c:v>
                </c:pt>
                <c:pt idx="22">
                  <c:v>9.3000000000000007</c:v>
                </c:pt>
                <c:pt idx="23">
                  <c:v>12.2</c:v>
                </c:pt>
                <c:pt idx="24">
                  <c:v>14.2</c:v>
                </c:pt>
                <c:pt idx="25">
                  <c:v>16.600000000000001</c:v>
                </c:pt>
                <c:pt idx="26">
                  <c:v>17.3</c:v>
                </c:pt>
                <c:pt idx="27">
                  <c:v>18.600000000000001</c:v>
                </c:pt>
                <c:pt idx="28">
                  <c:v>19.600000000000001</c:v>
                </c:pt>
                <c:pt idx="29">
                  <c:v>16.600000000000001</c:v>
                </c:pt>
                <c:pt idx="30">
                  <c:v>21.2</c:v>
                </c:pt>
                <c:pt idx="31">
                  <c:v>19.100000000000001</c:v>
                </c:pt>
                <c:pt idx="32">
                  <c:v>19.7</c:v>
                </c:pt>
                <c:pt idx="33">
                  <c:v>12.1</c:v>
                </c:pt>
                <c:pt idx="34" formatCode="0.0">
                  <c:v>9.8000000000000007</c:v>
                </c:pt>
              </c:numCache>
            </c:numRef>
          </c:val>
          <c:smooth val="0"/>
          <c:extLst>
            <c:ext xmlns:c16="http://schemas.microsoft.com/office/drawing/2014/chart" uri="{C3380CC4-5D6E-409C-BE32-E72D297353CC}">
              <c16:uniqueId val="{00000009-C085-4166-925C-9BFC07962CEF}"/>
            </c:ext>
          </c:extLst>
        </c:ser>
        <c:ser>
          <c:idx val="10"/>
          <c:order val="10"/>
          <c:tx>
            <c:strRef>
              <c:f>'Služby-příspěvkyk růstu'!$M$25</c:f>
              <c:strCache>
                <c:ptCount val="1"/>
                <c:pt idx="0">
                  <c:v>Barrier: none (right axis)</c:v>
                </c:pt>
              </c:strCache>
            </c:strRef>
          </c:tx>
          <c:spPr>
            <a:ln w="19050">
              <a:solidFill>
                <a:srgbClr val="00B050"/>
              </a:solidFill>
              <a:prstDash val="sysDot"/>
            </a:ln>
          </c:spPr>
          <c:marker>
            <c:symbol val="none"/>
          </c:marker>
          <c:cat>
            <c:multiLvlStrRef>
              <c:f>'Služby-příspěvkyk růstu'!$A$26:$B$60</c:f>
              <c:multiLvlStrCache>
                <c:ptCount val="35"/>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'Služby-příspěvkyk růstu'!$M$26:$M$60</c:f>
              <c:numCache>
                <c:formatCode>#\ ##0.0</c:formatCode>
                <c:ptCount val="35"/>
                <c:pt idx="0">
                  <c:v>46.6</c:v>
                </c:pt>
                <c:pt idx="1">
                  <c:v>49.7</c:v>
                </c:pt>
                <c:pt idx="2">
                  <c:v>40</c:v>
                </c:pt>
                <c:pt idx="3">
                  <c:v>36.799999999999997</c:v>
                </c:pt>
                <c:pt idx="4">
                  <c:v>41.3</c:v>
                </c:pt>
                <c:pt idx="5">
                  <c:v>45.1</c:v>
                </c:pt>
                <c:pt idx="6">
                  <c:v>41</c:v>
                </c:pt>
                <c:pt idx="7">
                  <c:v>44.9</c:v>
                </c:pt>
                <c:pt idx="8">
                  <c:v>45.6</c:v>
                </c:pt>
                <c:pt idx="9">
                  <c:v>47.4</c:v>
                </c:pt>
                <c:pt idx="10">
                  <c:v>48.5</c:v>
                </c:pt>
                <c:pt idx="11">
                  <c:v>47.7</c:v>
                </c:pt>
                <c:pt idx="12">
                  <c:v>43.8</c:v>
                </c:pt>
                <c:pt idx="13">
                  <c:v>42.8</c:v>
                </c:pt>
                <c:pt idx="14">
                  <c:v>46.2</c:v>
                </c:pt>
                <c:pt idx="15">
                  <c:v>50.3</c:v>
                </c:pt>
                <c:pt idx="16">
                  <c:v>47</c:v>
                </c:pt>
                <c:pt idx="17">
                  <c:v>46.5</c:v>
                </c:pt>
                <c:pt idx="18">
                  <c:v>51.8</c:v>
                </c:pt>
                <c:pt idx="19">
                  <c:v>48.6</c:v>
                </c:pt>
                <c:pt idx="20">
                  <c:v>45.5</c:v>
                </c:pt>
                <c:pt idx="21">
                  <c:v>47.7</c:v>
                </c:pt>
                <c:pt idx="22">
                  <c:v>48.2</c:v>
                </c:pt>
                <c:pt idx="23">
                  <c:v>46.6</c:v>
                </c:pt>
                <c:pt idx="24">
                  <c:v>49.6</c:v>
                </c:pt>
                <c:pt idx="25">
                  <c:v>45.4</c:v>
                </c:pt>
                <c:pt idx="26">
                  <c:v>43.4</c:v>
                </c:pt>
                <c:pt idx="27">
                  <c:v>46.4</c:v>
                </c:pt>
                <c:pt idx="28">
                  <c:v>45</c:v>
                </c:pt>
                <c:pt idx="29">
                  <c:v>46.4</c:v>
                </c:pt>
                <c:pt idx="30">
                  <c:v>45.9</c:v>
                </c:pt>
                <c:pt idx="31">
                  <c:v>47.5</c:v>
                </c:pt>
                <c:pt idx="32">
                  <c:v>44.4</c:v>
                </c:pt>
                <c:pt idx="33">
                  <c:v>32.9</c:v>
                </c:pt>
                <c:pt idx="34" formatCode="0.0">
                  <c:v>27.1</c:v>
                </c:pt>
              </c:numCache>
            </c:numRef>
          </c:val>
          <c:smooth val="0"/>
          <c:extLst>
            <c:ext xmlns:c16="http://schemas.microsoft.com/office/drawing/2014/chart" uri="{C3380CC4-5D6E-409C-BE32-E72D297353CC}">
              <c16:uniqueId val="{0000000A-C085-4166-925C-9BFC07962CEF}"/>
            </c:ext>
          </c:extLst>
        </c:ser>
        <c:dLbls>
          <c:showLegendKey val="0"/>
          <c:showVal val="0"/>
          <c:showCatName val="0"/>
          <c:showSerName val="0"/>
          <c:showPercent val="0"/>
          <c:showBubbleSize val="0"/>
        </c:dLbls>
        <c:marker val="1"/>
        <c:smooth val="0"/>
        <c:axId val="156576768"/>
        <c:axId val="156575232"/>
      </c:lineChart>
      <c:catAx>
        <c:axId val="156100864"/>
        <c:scaling>
          <c:orientation val="minMax"/>
        </c:scaling>
        <c:delete val="0"/>
        <c:axPos val="b"/>
        <c:numFmt formatCode="General" sourceLinked="0"/>
        <c:majorTickMark val="out"/>
        <c:minorTickMark val="none"/>
        <c:tickLblPos val="low"/>
        <c:txPr>
          <a:bodyPr/>
          <a:lstStyle/>
          <a:p>
            <a:pPr>
              <a:defRPr sz="800"/>
            </a:pPr>
            <a:endParaRPr lang="cs-CZ"/>
          </a:p>
        </c:txPr>
        <c:crossAx val="156573696"/>
        <c:crosses val="autoZero"/>
        <c:auto val="1"/>
        <c:lblAlgn val="ctr"/>
        <c:lblOffset val="0"/>
        <c:noMultiLvlLbl val="0"/>
      </c:catAx>
      <c:valAx>
        <c:axId val="156573696"/>
        <c:scaling>
          <c:orientation val="minMax"/>
          <c:max val="6"/>
          <c:min val="-21"/>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itchFamily="34" charset="0"/>
                    <a:ea typeface="+mn-ea"/>
                    <a:cs typeface="+mn-cs"/>
                  </a:defRPr>
                </a:pPr>
                <a:r>
                  <a:rPr lang="en-GB" sz="700" i="1">
                    <a:effectLst/>
                  </a:rPr>
                  <a:t>Contribution to the growth of sales</a:t>
                </a:r>
                <a:endParaRPr lang="cs-CZ" sz="700">
                  <a:effectLst/>
                </a:endParaRPr>
              </a:p>
            </c:rich>
          </c:tx>
          <c:layout>
            <c:manualLayout>
              <c:xMode val="edge"/>
              <c:yMode val="edge"/>
              <c:x val="0"/>
              <c:y val="0.21427956658597461"/>
            </c:manualLayout>
          </c:layout>
          <c:overlay val="0"/>
        </c:title>
        <c:numFmt formatCode="0" sourceLinked="0"/>
        <c:majorTickMark val="out"/>
        <c:minorTickMark val="none"/>
        <c:tickLblPos val="nextTo"/>
        <c:txPr>
          <a:bodyPr/>
          <a:lstStyle/>
          <a:p>
            <a:pPr>
              <a:defRPr sz="800"/>
            </a:pPr>
            <a:endParaRPr lang="cs-CZ"/>
          </a:p>
        </c:txPr>
        <c:crossAx val="156100864"/>
        <c:crosses val="autoZero"/>
        <c:crossBetween val="between"/>
        <c:majorUnit val="3"/>
      </c:valAx>
      <c:valAx>
        <c:axId val="156575232"/>
        <c:scaling>
          <c:orientation val="minMax"/>
          <c:max val="80"/>
          <c:min val="-1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itchFamily="34" charset="0"/>
                    <a:ea typeface="+mn-ea"/>
                    <a:cs typeface="+mn-cs"/>
                  </a:defRPr>
                </a:pPr>
                <a:r>
                  <a:rPr lang="en-GB" sz="700" i="1">
                    <a:effectLst/>
                  </a:rPr>
                  <a:t>Balance of confidence indicator, Growth barriers</a:t>
                </a:r>
                <a:endParaRPr lang="cs-CZ" sz="700">
                  <a:effectLst/>
                </a:endParaRPr>
              </a:p>
            </c:rich>
          </c:tx>
          <c:overlay val="0"/>
        </c:title>
        <c:numFmt formatCode="0" sourceLinked="0"/>
        <c:majorTickMark val="out"/>
        <c:minorTickMark val="none"/>
        <c:tickLblPos val="nextTo"/>
        <c:txPr>
          <a:bodyPr/>
          <a:lstStyle/>
          <a:p>
            <a:pPr>
              <a:defRPr sz="800"/>
            </a:pPr>
            <a:endParaRPr lang="cs-CZ"/>
          </a:p>
        </c:txPr>
        <c:crossAx val="156576768"/>
        <c:crosses val="max"/>
        <c:crossBetween val="between"/>
        <c:majorUnit val="10"/>
      </c:valAx>
      <c:catAx>
        <c:axId val="156576768"/>
        <c:scaling>
          <c:orientation val="minMax"/>
        </c:scaling>
        <c:delete val="1"/>
        <c:axPos val="b"/>
        <c:numFmt formatCode="General" sourceLinked="1"/>
        <c:majorTickMark val="out"/>
        <c:minorTickMark val="none"/>
        <c:tickLblPos val="none"/>
        <c:crossAx val="156575232"/>
        <c:crosses val="autoZero"/>
        <c:auto val="1"/>
        <c:lblAlgn val="ctr"/>
        <c:lblOffset val="100"/>
        <c:noMultiLvlLbl val="0"/>
      </c:catAx>
      <c:spPr>
        <a:ln>
          <a:solidFill>
            <a:schemeClr val="tx1"/>
          </a:solidFill>
        </a:ln>
      </c:spPr>
    </c:plotArea>
    <c:legend>
      <c:legendPos val="r"/>
      <c:layout>
        <c:manualLayout>
          <c:xMode val="edge"/>
          <c:yMode val="edge"/>
          <c:x val="2.1343815382732945E-2"/>
          <c:y val="0.80760282246664739"/>
          <c:w val="0.96189306281477471"/>
          <c:h val="0.18178493468178453"/>
        </c:manualLayout>
      </c:layout>
      <c:overlay val="0"/>
      <c:spPr>
        <a:ln w="6350">
          <a:solidFill>
            <a:schemeClr val="tx1"/>
          </a:solidFill>
        </a:ln>
      </c:spPr>
      <c:txPr>
        <a:bodyPr/>
        <a:lstStyle/>
        <a:p>
          <a:pPr>
            <a:defRPr sz="800"/>
          </a:pPr>
          <a:endParaRPr lang="cs-CZ"/>
        </a:p>
      </c:txPr>
    </c:legend>
    <c:plotVisOnly val="1"/>
    <c:dispBlanksAs val="gap"/>
    <c:showDLblsOverMax val="0"/>
  </c:chart>
  <c:spPr>
    <a:ln>
      <a:noFill/>
    </a:ln>
  </c:spPr>
  <c:txPr>
    <a:bodyPr/>
    <a:lstStyle/>
    <a:p>
      <a:pPr>
        <a:defRPr sz="1500" baseline="0">
          <a:latin typeface="Arial" pitchFamily="34" charset="0"/>
        </a:defRPr>
      </a:pPr>
      <a:endParaRPr lang="cs-CZ"/>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8656266097578916E-2"/>
          <c:y val="2.3304908251716772E-2"/>
          <c:w val="0.92389825103638334"/>
          <c:h val="0.65344337498592808"/>
        </c:manualLayout>
      </c:layout>
      <c:barChart>
        <c:barDir val="col"/>
        <c:grouping val="clustered"/>
        <c:varyColors val="0"/>
        <c:ser>
          <c:idx val="0"/>
          <c:order val="0"/>
          <c:tx>
            <c:strRef>
              <c:f>'Vnější vztahy 2'!$A$6</c:f>
              <c:strCache>
                <c:ptCount val="1"/>
                <c:pt idx="0">
                  <c:v>2019</c:v>
                </c:pt>
              </c:strCache>
            </c:strRef>
          </c:tx>
          <c:spPr>
            <a:solidFill>
              <a:schemeClr val="tx1">
                <a:lumMod val="50000"/>
                <a:lumOff val="50000"/>
              </a:schemeClr>
            </a:solidFill>
            <a:ln>
              <a:noFill/>
            </a:ln>
          </c:spPr>
          <c:invertIfNegative val="0"/>
          <c:cat>
            <c:strRef>
              <c:f>'Vnější vztahy 2'!$B$5:$N$5</c:f>
              <c:strCache>
                <c:ptCount val="13"/>
                <c:pt idx="0">
                  <c:v>Oil and natural gas</c:v>
                </c:pt>
                <c:pt idx="1">
                  <c:v>Food products</c:v>
                </c:pt>
                <c:pt idx="2">
                  <c:v>Clothing</c:v>
                </c:pt>
                <c:pt idx="3">
                  <c:v>Coke, refined                                                               oil products</c:v>
                </c:pt>
                <c:pt idx="4">
                  <c:v>Chemical subst.                                           and prod.</c:v>
                </c:pt>
                <c:pt idx="5">
                  <c:v>Pharmaceutical                                       products</c:v>
                </c:pt>
                <c:pt idx="6">
                  <c:v>Other non-metal                                        prod.</c:v>
                </c:pt>
                <c:pt idx="7">
                  <c:v>Basic metals</c:v>
                </c:pt>
                <c:pt idx="8">
                  <c:v>Metal products</c:v>
                </c:pt>
                <c:pt idx="9">
                  <c:v>Computers,                                           el. appliances</c:v>
                </c:pt>
                <c:pt idx="10">
                  <c:v>Electrical                                       equipment</c:v>
                </c:pt>
                <c:pt idx="11">
                  <c:v>Machines                                        and appl. n.e.c.</c:v>
                </c:pt>
                <c:pt idx="12">
                  <c:v>Motor vehicles</c:v>
                </c:pt>
              </c:strCache>
            </c:strRef>
          </c:cat>
          <c:val>
            <c:numRef>
              <c:f>'Vnější vztahy 2'!$B$6:$N$6</c:f>
              <c:numCache>
                <c:formatCode>General</c:formatCode>
                <c:ptCount val="13"/>
                <c:pt idx="0">
                  <c:v>-62.231999999999999</c:v>
                </c:pt>
                <c:pt idx="1">
                  <c:v>-20.748999999999999</c:v>
                </c:pt>
                <c:pt idx="2">
                  <c:v>-14.545</c:v>
                </c:pt>
                <c:pt idx="3">
                  <c:v>-11.065</c:v>
                </c:pt>
                <c:pt idx="4">
                  <c:v>-57.859000000000002</c:v>
                </c:pt>
                <c:pt idx="5">
                  <c:v>-26.305</c:v>
                </c:pt>
                <c:pt idx="6">
                  <c:v>11.78</c:v>
                </c:pt>
                <c:pt idx="7">
                  <c:v>-63.96</c:v>
                </c:pt>
                <c:pt idx="8">
                  <c:v>30.105</c:v>
                </c:pt>
                <c:pt idx="9">
                  <c:v>1.355</c:v>
                </c:pt>
                <c:pt idx="10">
                  <c:v>23.167000000000002</c:v>
                </c:pt>
                <c:pt idx="11">
                  <c:v>35.110999999999997</c:v>
                </c:pt>
                <c:pt idx="12">
                  <c:v>241.45599999999999</c:v>
                </c:pt>
              </c:numCache>
            </c:numRef>
          </c:val>
          <c:extLst>
            <c:ext xmlns:c16="http://schemas.microsoft.com/office/drawing/2014/chart" uri="{C3380CC4-5D6E-409C-BE32-E72D297353CC}">
              <c16:uniqueId val="{00000000-2842-4CE7-9C5F-7DC78CB2EBC5}"/>
            </c:ext>
          </c:extLst>
        </c:ser>
        <c:ser>
          <c:idx val="1"/>
          <c:order val="1"/>
          <c:tx>
            <c:strRef>
              <c:f>'Vnější vztahy 2'!$A$7</c:f>
              <c:strCache>
                <c:ptCount val="1"/>
                <c:pt idx="0">
                  <c:v>2020</c:v>
                </c:pt>
              </c:strCache>
            </c:strRef>
          </c:tx>
          <c:spPr>
            <a:solidFill>
              <a:schemeClr val="bg1">
                <a:lumMod val="65000"/>
              </a:schemeClr>
            </a:solidFill>
          </c:spPr>
          <c:invertIfNegative val="0"/>
          <c:val>
            <c:numRef>
              <c:f>'Vnější vztahy 2'!$B$7:$N$7</c:f>
              <c:numCache>
                <c:formatCode>General</c:formatCode>
                <c:ptCount val="13"/>
                <c:pt idx="0">
                  <c:v>-33.6</c:v>
                </c:pt>
                <c:pt idx="1">
                  <c:v>-21.645</c:v>
                </c:pt>
                <c:pt idx="2">
                  <c:v>-13.169</c:v>
                </c:pt>
                <c:pt idx="3">
                  <c:v>-12.314</c:v>
                </c:pt>
                <c:pt idx="4">
                  <c:v>-49.216000000000001</c:v>
                </c:pt>
                <c:pt idx="5">
                  <c:v>-30.611000000000001</c:v>
                </c:pt>
                <c:pt idx="6">
                  <c:v>11.629</c:v>
                </c:pt>
                <c:pt idx="7">
                  <c:v>-47.884</c:v>
                </c:pt>
                <c:pt idx="8">
                  <c:v>27.850999999999999</c:v>
                </c:pt>
                <c:pt idx="9">
                  <c:v>-20.216999999999999</c:v>
                </c:pt>
                <c:pt idx="10">
                  <c:v>10.4</c:v>
                </c:pt>
                <c:pt idx="11">
                  <c:v>29.024000000000001</c:v>
                </c:pt>
                <c:pt idx="12">
                  <c:v>183.31700000000001</c:v>
                </c:pt>
              </c:numCache>
            </c:numRef>
          </c:val>
          <c:extLst>
            <c:ext xmlns:c16="http://schemas.microsoft.com/office/drawing/2014/chart" uri="{C3380CC4-5D6E-409C-BE32-E72D297353CC}">
              <c16:uniqueId val="{00000001-2842-4CE7-9C5F-7DC78CB2EBC5}"/>
            </c:ext>
          </c:extLst>
        </c:ser>
        <c:dLbls>
          <c:showLegendKey val="0"/>
          <c:showVal val="0"/>
          <c:showCatName val="0"/>
          <c:showSerName val="0"/>
          <c:showPercent val="0"/>
          <c:showBubbleSize val="0"/>
        </c:dLbls>
        <c:gapWidth val="97"/>
        <c:axId val="130226048"/>
        <c:axId val="130227584"/>
      </c:barChart>
      <c:catAx>
        <c:axId val="130226048"/>
        <c:scaling>
          <c:orientation val="minMax"/>
        </c:scaling>
        <c:delete val="0"/>
        <c:axPos val="b"/>
        <c:numFmt formatCode="General" sourceLinked="0"/>
        <c:majorTickMark val="out"/>
        <c:minorTickMark val="none"/>
        <c:tickLblPos val="low"/>
        <c:spPr>
          <a:ln>
            <a:solidFill>
              <a:schemeClr val="tx1"/>
            </a:solidFill>
          </a:ln>
        </c:spPr>
        <c:txPr>
          <a:bodyPr rot="-5400000" vert="horz"/>
          <a:lstStyle/>
          <a:p>
            <a:pPr>
              <a:defRPr/>
            </a:pPr>
            <a:endParaRPr lang="cs-CZ"/>
          </a:p>
        </c:txPr>
        <c:crossAx val="130227584"/>
        <c:crosses val="autoZero"/>
        <c:auto val="1"/>
        <c:lblAlgn val="ctr"/>
        <c:lblOffset val="100"/>
        <c:noMultiLvlLbl val="0"/>
      </c:catAx>
      <c:valAx>
        <c:axId val="130227584"/>
        <c:scaling>
          <c:orientation val="minMax"/>
          <c:max val="250"/>
        </c:scaling>
        <c:delete val="0"/>
        <c:axPos val="l"/>
        <c:majorGridlines>
          <c:spPr>
            <a:ln w="6350">
              <a:solidFill>
                <a:schemeClr val="bg1">
                  <a:lumMod val="75000"/>
                </a:schemeClr>
              </a:solidFill>
            </a:ln>
          </c:spPr>
        </c:majorGridlines>
        <c:numFmt formatCode="General" sourceLinked="1"/>
        <c:majorTickMark val="out"/>
        <c:minorTickMark val="none"/>
        <c:tickLblPos val="nextTo"/>
        <c:crossAx val="130226048"/>
        <c:crosses val="autoZero"/>
        <c:crossBetween val="between"/>
      </c:valAx>
      <c:spPr>
        <a:ln>
          <a:solidFill>
            <a:schemeClr val="tx1"/>
          </a:solidFill>
        </a:ln>
      </c:spPr>
    </c:plotArea>
    <c:legend>
      <c:legendPos val="b"/>
      <c:layout>
        <c:manualLayout>
          <c:xMode val="edge"/>
          <c:yMode val="edge"/>
          <c:x val="5.5873075264417107E-2"/>
          <c:y val="0.93271781816746591"/>
          <c:w val="0.92593890471149387"/>
          <c:h val="5.4750853511732103E-2"/>
        </c:manualLayout>
      </c:layout>
      <c:overlay val="1"/>
      <c:spPr>
        <a:ln w="6350">
          <a:solidFill>
            <a:sysClr val="windowText" lastClr="000000"/>
          </a:solidFill>
        </a:ln>
      </c:spPr>
    </c:legend>
    <c:plotVisOnly val="1"/>
    <c:dispBlanksAs val="gap"/>
    <c:showDLblsOverMax val="0"/>
  </c:chart>
  <c:spPr>
    <a:ln>
      <a:noFill/>
    </a:ln>
  </c:spPr>
  <c:txPr>
    <a:bodyPr/>
    <a:lstStyle/>
    <a:p>
      <a:pPr>
        <a:defRPr sz="800" baseline="0">
          <a:latin typeface="Arial" panose="020B0604020202020204" pitchFamily="34" charset="0"/>
          <a:cs typeface="Arial" panose="020B0604020202020204" pitchFamily="34" charset="0"/>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249577845322527E-2"/>
          <c:y val="2.1811335019919161E-2"/>
          <c:w val="0.92237743255066085"/>
          <c:h val="0.73318107621299466"/>
        </c:manualLayout>
      </c:layout>
      <c:barChart>
        <c:barDir val="col"/>
        <c:grouping val="clustered"/>
        <c:varyColors val="0"/>
        <c:ser>
          <c:idx val="0"/>
          <c:order val="0"/>
          <c:tx>
            <c:strRef>
              <c:f>'Ceny 2'!$C$5</c:f>
              <c:strCache>
                <c:ptCount val="1"/>
                <c:pt idx="0">
                  <c:v>Total</c:v>
                </c:pt>
              </c:strCache>
            </c:strRef>
          </c:tx>
          <c:spPr>
            <a:solidFill>
              <a:schemeClr val="bg1">
                <a:lumMod val="65000"/>
              </a:schemeClr>
            </a:solidFill>
            <a:ln w="19050">
              <a:noFill/>
            </a:ln>
          </c:spPr>
          <c:invertIfNegative val="0"/>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2'!$C$18:$C$39</c:f>
              <c:numCache>
                <c:formatCode>0.0</c:formatCode>
                <c:ptCount val="22"/>
                <c:pt idx="0">
                  <c:v>9.9999999999994316E-2</c:v>
                </c:pt>
                <c:pt idx="1">
                  <c:v>0.70000000000000284</c:v>
                </c:pt>
                <c:pt idx="2">
                  <c:v>0.40000000000000568</c:v>
                </c:pt>
                <c:pt idx="3">
                  <c:v>9.9999999999994316E-2</c:v>
                </c:pt>
                <c:pt idx="4">
                  <c:v>0.5</c:v>
                </c:pt>
                <c:pt idx="5">
                  <c:v>0.20000000000000284</c:v>
                </c:pt>
                <c:pt idx="6">
                  <c:v>0.5</c:v>
                </c:pt>
                <c:pt idx="7">
                  <c:v>1.4000000000000057</c:v>
                </c:pt>
                <c:pt idx="8" formatCode="General">
                  <c:v>2.4000000000000057</c:v>
                </c:pt>
                <c:pt idx="9" formatCode="General">
                  <c:v>2.2000000000000028</c:v>
                </c:pt>
                <c:pt idx="10">
                  <c:v>2.5</c:v>
                </c:pt>
                <c:pt idx="11">
                  <c:v>2.6</c:v>
                </c:pt>
                <c:pt idx="12">
                  <c:v>1.9</c:v>
                </c:pt>
                <c:pt idx="13">
                  <c:v>2.2999999999999998</c:v>
                </c:pt>
                <c:pt idx="14">
                  <c:v>2.4</c:v>
                </c:pt>
                <c:pt idx="15">
                  <c:v>2.1</c:v>
                </c:pt>
                <c:pt idx="16">
                  <c:v>2.7</c:v>
                </c:pt>
                <c:pt idx="17">
                  <c:v>2.8</c:v>
                </c:pt>
                <c:pt idx="18">
                  <c:v>2.8</c:v>
                </c:pt>
                <c:pt idx="19">
                  <c:v>3</c:v>
                </c:pt>
                <c:pt idx="20">
                  <c:v>3.6</c:v>
                </c:pt>
                <c:pt idx="21">
                  <c:v>3.1</c:v>
                </c:pt>
              </c:numCache>
            </c:numRef>
          </c:val>
          <c:extLst>
            <c:ext xmlns:c16="http://schemas.microsoft.com/office/drawing/2014/chart" uri="{C3380CC4-5D6E-409C-BE32-E72D297353CC}">
              <c16:uniqueId val="{00000000-1D2B-4DC0-B6E3-C002D5C334C3}"/>
            </c:ext>
          </c:extLst>
        </c:ser>
        <c:dLbls>
          <c:showLegendKey val="0"/>
          <c:showVal val="0"/>
          <c:showCatName val="0"/>
          <c:showSerName val="0"/>
          <c:showPercent val="0"/>
          <c:showBubbleSize val="0"/>
        </c:dLbls>
        <c:gapWidth val="95"/>
        <c:axId val="130513536"/>
        <c:axId val="130531712"/>
      </c:barChart>
      <c:lineChart>
        <c:grouping val="standard"/>
        <c:varyColors val="0"/>
        <c:ser>
          <c:idx val="1"/>
          <c:order val="1"/>
          <c:tx>
            <c:strRef>
              <c:f>'Ceny 2'!$D$5</c:f>
              <c:strCache>
                <c:ptCount val="1"/>
                <c:pt idx="0">
                  <c:v>Food</c:v>
                </c:pt>
              </c:strCache>
            </c:strRef>
          </c:tx>
          <c:spPr>
            <a:ln w="19050">
              <a:solidFill>
                <a:srgbClr val="0071BC"/>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2'!$D$18:$D$39</c:f>
              <c:numCache>
                <c:formatCode>0.0</c:formatCode>
                <c:ptCount val="22"/>
                <c:pt idx="0">
                  <c:v>-1.5999999999999943</c:v>
                </c:pt>
                <c:pt idx="1">
                  <c:v>-9.9999999999994316E-2</c:v>
                </c:pt>
                <c:pt idx="2">
                  <c:v>-0.90000000000000568</c:v>
                </c:pt>
                <c:pt idx="3">
                  <c:v>-1.5999999999999943</c:v>
                </c:pt>
                <c:pt idx="4">
                  <c:v>-1.7000000000000028</c:v>
                </c:pt>
                <c:pt idx="5">
                  <c:v>-2.4000000000000057</c:v>
                </c:pt>
                <c:pt idx="6">
                  <c:v>-0.79999999999999716</c:v>
                </c:pt>
                <c:pt idx="7">
                  <c:v>1.2000000000000028</c:v>
                </c:pt>
                <c:pt idx="8" formatCode="General">
                  <c:v>4.2000000000000028</c:v>
                </c:pt>
                <c:pt idx="9" formatCode="General">
                  <c:v>4.5</c:v>
                </c:pt>
                <c:pt idx="10">
                  <c:v>5.7</c:v>
                </c:pt>
                <c:pt idx="11">
                  <c:v>6.3</c:v>
                </c:pt>
                <c:pt idx="12">
                  <c:v>2.9</c:v>
                </c:pt>
                <c:pt idx="13" formatCode="#\ ##0.0_ ;\-#\ ##0.0\ ">
                  <c:v>2.2999999999999998</c:v>
                </c:pt>
                <c:pt idx="14">
                  <c:v>0.6</c:v>
                </c:pt>
                <c:pt idx="15">
                  <c:v>-0.5</c:v>
                </c:pt>
                <c:pt idx="16">
                  <c:v>1</c:v>
                </c:pt>
                <c:pt idx="17">
                  <c:v>2.5</c:v>
                </c:pt>
                <c:pt idx="18">
                  <c:v>3.5</c:v>
                </c:pt>
                <c:pt idx="19">
                  <c:v>4.3</c:v>
                </c:pt>
                <c:pt idx="20">
                  <c:v>6.1</c:v>
                </c:pt>
                <c:pt idx="21">
                  <c:v>6.5</c:v>
                </c:pt>
              </c:numCache>
            </c:numRef>
          </c:val>
          <c:smooth val="0"/>
          <c:extLst>
            <c:ext xmlns:c16="http://schemas.microsoft.com/office/drawing/2014/chart" uri="{C3380CC4-5D6E-409C-BE32-E72D297353CC}">
              <c16:uniqueId val="{00000001-1D2B-4DC0-B6E3-C002D5C334C3}"/>
            </c:ext>
          </c:extLst>
        </c:ser>
        <c:ser>
          <c:idx val="3"/>
          <c:order val="2"/>
          <c:tx>
            <c:strRef>
              <c:f>'Ceny 2'!$F$5</c:f>
              <c:strCache>
                <c:ptCount val="1"/>
                <c:pt idx="0">
                  <c:v>Housing and energy</c:v>
                </c:pt>
              </c:strCache>
            </c:strRef>
          </c:tx>
          <c:spPr>
            <a:ln w="19050">
              <a:solidFill>
                <a:srgbClr val="7DBB2D"/>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2'!$F$18:$F$39</c:f>
              <c:numCache>
                <c:formatCode>0.0</c:formatCode>
                <c:ptCount val="22"/>
                <c:pt idx="0">
                  <c:v>1.0999999999999943</c:v>
                </c:pt>
                <c:pt idx="1">
                  <c:v>1.2000000000000028</c:v>
                </c:pt>
                <c:pt idx="2">
                  <c:v>0.79999999999999716</c:v>
                </c:pt>
                <c:pt idx="3">
                  <c:v>0.90000000000000568</c:v>
                </c:pt>
                <c:pt idx="4">
                  <c:v>0.90000000000000568</c:v>
                </c:pt>
                <c:pt idx="5">
                  <c:v>0.5</c:v>
                </c:pt>
                <c:pt idx="6">
                  <c:v>0.40000000000000568</c:v>
                </c:pt>
                <c:pt idx="7">
                  <c:v>0.59999999999999432</c:v>
                </c:pt>
                <c:pt idx="8" formatCode="General">
                  <c:v>0.79999999999999716</c:v>
                </c:pt>
                <c:pt idx="9" formatCode="General">
                  <c:v>1.5</c:v>
                </c:pt>
                <c:pt idx="10">
                  <c:v>2.1</c:v>
                </c:pt>
                <c:pt idx="11">
                  <c:v>2.2000000000000002</c:v>
                </c:pt>
                <c:pt idx="12">
                  <c:v>2.2999999999999998</c:v>
                </c:pt>
                <c:pt idx="13">
                  <c:v>2.6</c:v>
                </c:pt>
                <c:pt idx="14">
                  <c:v>3.2</c:v>
                </c:pt>
                <c:pt idx="15">
                  <c:v>3.8</c:v>
                </c:pt>
                <c:pt idx="16">
                  <c:v>5.4</c:v>
                </c:pt>
                <c:pt idx="17">
                  <c:v>5.7</c:v>
                </c:pt>
                <c:pt idx="18">
                  <c:v>5.2</c:v>
                </c:pt>
                <c:pt idx="19">
                  <c:v>5</c:v>
                </c:pt>
                <c:pt idx="20">
                  <c:v>4.2</c:v>
                </c:pt>
                <c:pt idx="21">
                  <c:v>3.2</c:v>
                </c:pt>
              </c:numCache>
            </c:numRef>
          </c:val>
          <c:smooth val="0"/>
          <c:extLst>
            <c:ext xmlns:c16="http://schemas.microsoft.com/office/drawing/2014/chart" uri="{C3380CC4-5D6E-409C-BE32-E72D297353CC}">
              <c16:uniqueId val="{00000002-1D2B-4DC0-B6E3-C002D5C334C3}"/>
            </c:ext>
          </c:extLst>
        </c:ser>
        <c:ser>
          <c:idx val="4"/>
          <c:order val="3"/>
          <c:tx>
            <c:strRef>
              <c:f>'Ceny 2'!$G$5</c:f>
              <c:strCache>
                <c:ptCount val="1"/>
                <c:pt idx="0">
                  <c:v>Transportation</c:v>
                </c:pt>
              </c:strCache>
            </c:strRef>
          </c:tx>
          <c:spPr>
            <a:ln w="19050">
              <a:solidFill>
                <a:srgbClr val="FFC000"/>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2'!$G$18:$G$39</c:f>
              <c:numCache>
                <c:formatCode>General</c:formatCode>
                <c:ptCount val="22"/>
                <c:pt idx="0">
                  <c:v>-4.9000000000000057</c:v>
                </c:pt>
                <c:pt idx="1">
                  <c:v>-3.2999999999999972</c:v>
                </c:pt>
                <c:pt idx="2">
                  <c:v>-3.7999999999999972</c:v>
                </c:pt>
                <c:pt idx="3">
                  <c:v>-4.7000000000000028</c:v>
                </c:pt>
                <c:pt idx="4">
                  <c:v>-2.7000000000000028</c:v>
                </c:pt>
                <c:pt idx="5">
                  <c:v>-2.9000000000000057</c:v>
                </c:pt>
                <c:pt idx="6">
                  <c:v>-2.2999999999999972</c:v>
                </c:pt>
                <c:pt idx="7">
                  <c:v>1.0999999999999943</c:v>
                </c:pt>
                <c:pt idx="8">
                  <c:v>6</c:v>
                </c:pt>
                <c:pt idx="9">
                  <c:v>3.9000000000000057</c:v>
                </c:pt>
                <c:pt idx="10" formatCode="0.0">
                  <c:v>2.5</c:v>
                </c:pt>
                <c:pt idx="11" formatCode="0.0">
                  <c:v>2.5</c:v>
                </c:pt>
                <c:pt idx="12" formatCode="0.0">
                  <c:v>1</c:v>
                </c:pt>
                <c:pt idx="13" formatCode="0.0">
                  <c:v>3</c:v>
                </c:pt>
                <c:pt idx="14" formatCode="0.0">
                  <c:v>4.5</c:v>
                </c:pt>
                <c:pt idx="15" formatCode="0.0">
                  <c:v>2.6</c:v>
                </c:pt>
                <c:pt idx="16" formatCode="0.0">
                  <c:v>0.6</c:v>
                </c:pt>
                <c:pt idx="17" formatCode="0.0">
                  <c:v>0.8</c:v>
                </c:pt>
                <c:pt idx="18" formatCode="0.0">
                  <c:v>-0.2</c:v>
                </c:pt>
                <c:pt idx="19" formatCode="0.0">
                  <c:v>0.5</c:v>
                </c:pt>
                <c:pt idx="20">
                  <c:v>1.7</c:v>
                </c:pt>
                <c:pt idx="21" formatCode="0.0">
                  <c:v>-3.4</c:v>
                </c:pt>
              </c:numCache>
            </c:numRef>
          </c:val>
          <c:smooth val="0"/>
          <c:extLst>
            <c:ext xmlns:c16="http://schemas.microsoft.com/office/drawing/2014/chart" uri="{C3380CC4-5D6E-409C-BE32-E72D297353CC}">
              <c16:uniqueId val="{00000003-1D2B-4DC0-B6E3-C002D5C334C3}"/>
            </c:ext>
          </c:extLst>
        </c:ser>
        <c:ser>
          <c:idx val="5"/>
          <c:order val="4"/>
          <c:tx>
            <c:strRef>
              <c:f>'Ceny 2'!$E$5</c:f>
              <c:strCache>
                <c:ptCount val="1"/>
                <c:pt idx="0">
                  <c:v>Alcoholic beverages and tobacco</c:v>
                </c:pt>
              </c:strCache>
            </c:strRef>
          </c:tx>
          <c:spPr>
            <a:ln w="22225">
              <a:solidFill>
                <a:schemeClr val="accent2"/>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2'!$E$18:$E$39</c:f>
              <c:numCache>
                <c:formatCode>0.0</c:formatCode>
                <c:ptCount val="22"/>
                <c:pt idx="0">
                  <c:v>3.4000000000000057</c:v>
                </c:pt>
                <c:pt idx="1">
                  <c:v>5.4000000000000057</c:v>
                </c:pt>
                <c:pt idx="2">
                  <c:v>5.2000000000000028</c:v>
                </c:pt>
                <c:pt idx="3">
                  <c:v>4.7000000000000028</c:v>
                </c:pt>
                <c:pt idx="4">
                  <c:v>3.5</c:v>
                </c:pt>
                <c:pt idx="5">
                  <c:v>4.4000000000000057</c:v>
                </c:pt>
                <c:pt idx="6">
                  <c:v>4.5</c:v>
                </c:pt>
                <c:pt idx="7">
                  <c:v>5.2000000000000028</c:v>
                </c:pt>
                <c:pt idx="8" formatCode="General">
                  <c:v>3.4000000000000057</c:v>
                </c:pt>
                <c:pt idx="9" formatCode="General">
                  <c:v>0.79999999999999716</c:v>
                </c:pt>
                <c:pt idx="10">
                  <c:v>1.3</c:v>
                </c:pt>
                <c:pt idx="11">
                  <c:v>1.5</c:v>
                </c:pt>
                <c:pt idx="12">
                  <c:v>2.5</c:v>
                </c:pt>
                <c:pt idx="13">
                  <c:v>3.6</c:v>
                </c:pt>
                <c:pt idx="14">
                  <c:v>2.8</c:v>
                </c:pt>
                <c:pt idx="15">
                  <c:v>3.1</c:v>
                </c:pt>
                <c:pt idx="16">
                  <c:v>3.3</c:v>
                </c:pt>
                <c:pt idx="17">
                  <c:v>1.7</c:v>
                </c:pt>
                <c:pt idx="18">
                  <c:v>1.9</c:v>
                </c:pt>
                <c:pt idx="19">
                  <c:v>1.8</c:v>
                </c:pt>
                <c:pt idx="20" formatCode="General">
                  <c:v>3.5</c:v>
                </c:pt>
                <c:pt idx="21">
                  <c:v>6.6</c:v>
                </c:pt>
              </c:numCache>
            </c:numRef>
          </c:val>
          <c:smooth val="0"/>
          <c:extLst>
            <c:ext xmlns:c16="http://schemas.microsoft.com/office/drawing/2014/chart" uri="{C3380CC4-5D6E-409C-BE32-E72D297353CC}">
              <c16:uniqueId val="{00000004-1D2B-4DC0-B6E3-C002D5C334C3}"/>
            </c:ext>
          </c:extLst>
        </c:ser>
        <c:ser>
          <c:idx val="2"/>
          <c:order val="5"/>
          <c:tx>
            <c:strRef>
              <c:f>'Ceny 2'!$H$5</c:f>
              <c:strCache>
                <c:ptCount val="1"/>
                <c:pt idx="0">
                  <c:v>Restaurants and hotels</c:v>
                </c:pt>
              </c:strCache>
              <c:extLst xmlns:c15="http://schemas.microsoft.com/office/drawing/2012/chart"/>
            </c:strRef>
          </c:tx>
          <c:spPr>
            <a:ln w="19050">
              <a:solidFill>
                <a:srgbClr val="7030A0"/>
              </a:solidFill>
            </a:ln>
          </c:spPr>
          <c:marker>
            <c:symbol val="none"/>
          </c:marker>
          <c:cat>
            <c:multiLvlStrRef>
              <c:f>'Ceny 2'!$A$18:$B$39</c:f>
              <c:multiLvlStrCache>
                <c:ptCount val="2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lvl>
                <c:lvl>
                  <c:pt idx="0">
                    <c:v>2015</c:v>
                  </c:pt>
                  <c:pt idx="4">
                    <c:v>2016</c:v>
                  </c:pt>
                  <c:pt idx="8">
                    <c:v>2017</c:v>
                  </c:pt>
                  <c:pt idx="12">
                    <c:v>2018</c:v>
                  </c:pt>
                  <c:pt idx="16">
                    <c:v>2019</c:v>
                  </c:pt>
                  <c:pt idx="20">
                    <c:v>2020</c:v>
                  </c:pt>
                </c:lvl>
              </c:multiLvlStrCache>
            </c:multiLvlStrRef>
          </c:cat>
          <c:val>
            <c:numRef>
              <c:f>'Ceny 2'!$H$18:$H$39</c:f>
              <c:numCache>
                <c:formatCode>###\ ###\ ##0.0</c:formatCode>
                <c:ptCount val="22"/>
                <c:pt idx="0">
                  <c:v>1.7000000000000028</c:v>
                </c:pt>
                <c:pt idx="1">
                  <c:v>1.5999999999999943</c:v>
                </c:pt>
                <c:pt idx="2">
                  <c:v>1.4000000000000057</c:v>
                </c:pt>
                <c:pt idx="3">
                  <c:v>1.2999999999999972</c:v>
                </c:pt>
                <c:pt idx="4">
                  <c:v>1.2000000000000028</c:v>
                </c:pt>
                <c:pt idx="5">
                  <c:v>1.0999999999999943</c:v>
                </c:pt>
                <c:pt idx="6">
                  <c:v>1.2000000000000028</c:v>
                </c:pt>
                <c:pt idx="7">
                  <c:v>2.7000000000000028</c:v>
                </c:pt>
                <c:pt idx="8">
                  <c:v>5.2000000000000028</c:v>
                </c:pt>
                <c:pt idx="9">
                  <c:v>5.7999999999999972</c:v>
                </c:pt>
                <c:pt idx="10">
                  <c:v>6.2999999999999972</c:v>
                </c:pt>
                <c:pt idx="11" formatCode="0.0">
                  <c:v>5.6</c:v>
                </c:pt>
                <c:pt idx="12" formatCode="0.0">
                  <c:v>3.5</c:v>
                </c:pt>
                <c:pt idx="13" formatCode="0.0">
                  <c:v>3.6</c:v>
                </c:pt>
                <c:pt idx="14" formatCode="0.0">
                  <c:v>3.5</c:v>
                </c:pt>
                <c:pt idx="15" formatCode="0.0">
                  <c:v>3.7</c:v>
                </c:pt>
                <c:pt idx="16" formatCode="0.0">
                  <c:v>3.8</c:v>
                </c:pt>
                <c:pt idx="17" formatCode="0.0">
                  <c:v>4</c:v>
                </c:pt>
                <c:pt idx="18" formatCode="0.0">
                  <c:v>4.5</c:v>
                </c:pt>
                <c:pt idx="19" formatCode="0.0">
                  <c:v>4.5999999999999996</c:v>
                </c:pt>
                <c:pt idx="20" formatCode="0.0">
                  <c:v>5.5</c:v>
                </c:pt>
                <c:pt idx="21" formatCode="0.0">
                  <c:v>5.0999999999999996</c:v>
                </c:pt>
              </c:numCache>
            </c:numRef>
          </c:val>
          <c:smooth val="0"/>
          <c:extLst xmlns:c15="http://schemas.microsoft.com/office/drawing/2012/chart">
            <c:ext xmlns:c16="http://schemas.microsoft.com/office/drawing/2014/chart" uri="{C3380CC4-5D6E-409C-BE32-E72D297353CC}">
              <c16:uniqueId val="{00000005-1D2B-4DC0-B6E3-C002D5C334C3}"/>
            </c:ext>
          </c:extLst>
        </c:ser>
        <c:dLbls>
          <c:showLegendKey val="0"/>
          <c:showVal val="0"/>
          <c:showCatName val="0"/>
          <c:showSerName val="0"/>
          <c:showPercent val="0"/>
          <c:showBubbleSize val="0"/>
        </c:dLbls>
        <c:marker val="1"/>
        <c:smooth val="0"/>
        <c:axId val="130513536"/>
        <c:axId val="130531712"/>
        <c:extLst/>
      </c:lineChart>
      <c:catAx>
        <c:axId val="130513536"/>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531712"/>
        <c:crosses val="autoZero"/>
        <c:auto val="1"/>
        <c:lblAlgn val="ctr"/>
        <c:lblOffset val="100"/>
        <c:noMultiLvlLbl val="0"/>
      </c:catAx>
      <c:valAx>
        <c:axId val="130531712"/>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513536"/>
        <c:crosses val="autoZero"/>
        <c:crossBetween val="between"/>
        <c:majorUnit val="1"/>
      </c:valAx>
      <c:spPr>
        <a:ln>
          <a:solidFill>
            <a:schemeClr val="tx1"/>
          </a:solidFill>
        </a:ln>
      </c:spPr>
    </c:plotArea>
    <c:legend>
      <c:legendPos val="b"/>
      <c:layout>
        <c:manualLayout>
          <c:xMode val="edge"/>
          <c:yMode val="edge"/>
          <c:x val="5.6562816616008108E-2"/>
          <c:y val="0.87970674321738151"/>
          <c:w val="0.92175447483958117"/>
          <c:h val="0.1095705279747833"/>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0.84956</cdr:x>
      <cdr:y>0.66448</cdr:y>
    </cdr:from>
    <cdr:to>
      <cdr:x>0.91536</cdr:x>
      <cdr:y>0.69507</cdr:y>
    </cdr:to>
    <cdr:sp macro="" textlink="">
      <cdr:nvSpPr>
        <cdr:cNvPr id="2" name="Kosoúhelník 1"/>
        <cdr:cNvSpPr/>
      </cdr:nvSpPr>
      <cdr:spPr bwMode="auto">
        <a:xfrm xmlns:a="http://schemas.openxmlformats.org/drawingml/2006/main" rot="19738280">
          <a:off x="4035720" y="2459530"/>
          <a:ext cx="312572" cy="113227"/>
        </a:xfrm>
        <a:prstGeom xmlns:a="http://schemas.openxmlformats.org/drawingml/2006/main" prst="parallelogram">
          <a:avLst/>
        </a:prstGeom>
        <a:solidFill xmlns:a="http://schemas.openxmlformats.org/drawingml/2006/main">
          <a:srgbClr val="FFFFFF"/>
        </a:solidFill>
        <a:ln xmlns:a="http://schemas.openxmlformats.org/drawingml/2006/main" w="9525" cap="flat" cmpd="sng" algn="ctr">
          <a:noFill/>
          <a:prstDash val="solid"/>
          <a:round/>
          <a:headEnd type="none" w="med" len="med"/>
          <a:tailEnd type="none" w="med" len="med"/>
        </a:ln>
        <a:effectLst xmlns:a="http://schemas.openxmlformats.org/drawingml/2006/main"/>
      </cdr:spPr>
      <cdr:txBody>
        <a:bodyPr xmlns:a="http://schemas.openxmlformats.org/drawingml/2006/main" vertOverflow="clip" wrap="square" lIns="18288" tIns="0" rIns="0" bIns="0" upright="1"/>
        <a:lstStyle xmlns:a="http://schemas.openxmlformats.org/drawingml/2006/main"/>
        <a:p xmlns:a="http://schemas.openxmlformats.org/drawingml/2006/main">
          <a:endParaRPr lang="cs-CZ"/>
        </a:p>
      </cdr:txBody>
    </cdr:sp>
  </cdr:relSizeAnchor>
  <cdr:relSizeAnchor xmlns:cdr="http://schemas.openxmlformats.org/drawingml/2006/chartDrawing">
    <cdr:from>
      <cdr:x>0.8524</cdr:x>
      <cdr:y>0.70815</cdr:y>
    </cdr:from>
    <cdr:to>
      <cdr:x>0.88659</cdr:x>
      <cdr:y>0.72726</cdr:y>
    </cdr:to>
    <cdr:cxnSp macro="">
      <cdr:nvCxnSpPr>
        <cdr:cNvPr id="4" name="Přímá spojnice se šipkou 3"/>
        <cdr:cNvCxnSpPr/>
      </cdr:nvCxnSpPr>
      <cdr:spPr bwMode="auto">
        <a:xfrm xmlns:a="http://schemas.openxmlformats.org/drawingml/2006/main">
          <a:off x="4049206" y="2621168"/>
          <a:ext cx="162409" cy="70747"/>
        </a:xfrm>
        <a:prstGeom xmlns:a="http://schemas.openxmlformats.org/drawingml/2006/main" prst="straightConnector1">
          <a:avLst/>
        </a:prstGeom>
        <a:solidFill xmlns:a="http://schemas.openxmlformats.org/drawingml/2006/main">
          <a:srgbClr val="FFFFFF"/>
        </a:solidFill>
        <a:ln xmlns:a="http://schemas.openxmlformats.org/drawingml/2006/main" w="6350" cap="flat" cmpd="sng" algn="ctr">
          <a:solidFill>
            <a:schemeClr val="bg1">
              <a:lumMod val="50000"/>
            </a:schemeClr>
          </a:solidFill>
          <a:prstDash val="solid"/>
          <a:round/>
          <a:headEnd type="none" w="med" len="med"/>
          <a:tailEnd type="triangle" w="sm" len="med"/>
        </a:ln>
        <a:effectLst xmlns:a="http://schemas.openxmlformats.org/drawingml/2006/main"/>
      </cdr:spPr>
    </cdr:cxnSp>
  </cdr:relSizeAnchor>
  <cdr:relSizeAnchor xmlns:cdr="http://schemas.openxmlformats.org/drawingml/2006/chartDrawing">
    <cdr:from>
      <cdr:x>0.85725</cdr:x>
      <cdr:y>0.75632</cdr:y>
    </cdr:from>
    <cdr:to>
      <cdr:x>0.89947</cdr:x>
      <cdr:y>0.76078</cdr:y>
    </cdr:to>
    <cdr:cxnSp macro="">
      <cdr:nvCxnSpPr>
        <cdr:cNvPr id="5" name="Přímá spojnice se šipkou 4"/>
        <cdr:cNvCxnSpPr/>
      </cdr:nvCxnSpPr>
      <cdr:spPr bwMode="auto">
        <a:xfrm xmlns:a="http://schemas.openxmlformats.org/drawingml/2006/main">
          <a:off x="4072219" y="2799486"/>
          <a:ext cx="200560" cy="16509"/>
        </a:xfrm>
        <a:prstGeom xmlns:a="http://schemas.openxmlformats.org/drawingml/2006/main" prst="straightConnector1">
          <a:avLst/>
        </a:prstGeom>
        <a:solidFill xmlns:a="http://schemas.openxmlformats.org/drawingml/2006/main">
          <a:srgbClr val="FFFFFF"/>
        </a:solidFill>
        <a:ln xmlns:a="http://schemas.openxmlformats.org/drawingml/2006/main" w="6350" cap="flat" cmpd="sng" algn="ctr">
          <a:solidFill>
            <a:schemeClr val="bg1">
              <a:lumMod val="50000"/>
            </a:schemeClr>
          </a:solidFill>
          <a:prstDash val="solid"/>
          <a:round/>
          <a:headEnd type="none" w="med" len="med"/>
          <a:tailEnd type="triangle" w="sm" len="med"/>
        </a:ln>
        <a:effectLst xmlns:a="http://schemas.openxmlformats.org/drawingml/2006/main"/>
      </cdr:spPr>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E1FA-4341-492B-8639-9A631A3FA554}">
  <ds:schemaRefs>
    <ds:schemaRef ds:uri="http://schemas.openxmlformats.org/officeDocument/2006/bibliography"/>
  </ds:schemaRefs>
</ds:datastoreItem>
</file>

<file path=customXml/itemProps2.xml><?xml version="1.0" encoding="utf-8"?>
<ds:datastoreItem xmlns:ds="http://schemas.openxmlformats.org/officeDocument/2006/customXml" ds:itemID="{2038143B-56B9-42F1-B2D4-ABBA511E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1</Pages>
  <Words>15142</Words>
  <Characters>89338</Characters>
  <Application>Microsoft Office Word</Application>
  <DocSecurity>0</DocSecurity>
  <Lines>744</Lines>
  <Paragraphs>208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104272</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4</cp:revision>
  <cp:lastPrinted>2019-04-08T10:52:00Z</cp:lastPrinted>
  <dcterms:created xsi:type="dcterms:W3CDTF">2020-10-13T05:41:00Z</dcterms:created>
  <dcterms:modified xsi:type="dcterms:W3CDTF">2020-10-13T05:56:00Z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