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97" w:rsidRPr="00A17559" w:rsidRDefault="004A5D4E" w:rsidP="00965797">
      <w:pPr>
        <w:pStyle w:val="Nadpis11"/>
        <w:rPr>
          <w:lang w:val="en-GB"/>
        </w:rPr>
      </w:pPr>
      <w:bookmarkStart w:id="0" w:name="_Toc19179087"/>
      <w:r w:rsidRPr="00A17559">
        <w:rPr>
          <w:lang w:val="en-GB"/>
        </w:rPr>
        <w:t>8. </w:t>
      </w:r>
      <w:r w:rsidR="00AE2BA8" w:rsidRPr="00A17559">
        <w:rPr>
          <w:lang w:val="en-GB"/>
        </w:rPr>
        <w:t>State Budget</w:t>
      </w:r>
      <w:bookmarkEnd w:id="0"/>
    </w:p>
    <w:tbl>
      <w:tblPr>
        <w:tblW w:w="96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32"/>
        <w:gridCol w:w="217"/>
        <w:gridCol w:w="7720"/>
      </w:tblGrid>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7641B8" w:rsidP="008337CB">
            <w:pPr>
              <w:pStyle w:val="Marginlie"/>
              <w:rPr>
                <w:lang w:val="en-GB"/>
              </w:rPr>
            </w:pPr>
            <w:r w:rsidRPr="00A17559">
              <w:rPr>
                <w:lang w:val="en-GB"/>
              </w:rPr>
              <w:t>State budget ended in deficit in H</w:t>
            </w:r>
            <w:r w:rsidR="00A45CED" w:rsidRPr="00A17559">
              <w:rPr>
                <w:lang w:val="en-GB"/>
              </w:rPr>
              <w:t>1</w:t>
            </w:r>
            <w:r w:rsidRPr="00A17559">
              <w:rPr>
                <w:lang w:val="en-GB"/>
              </w:rPr>
              <w:t xml:space="preserve">, which deepened year-on-year. </w:t>
            </w:r>
            <w:r w:rsidR="00291FE4" w:rsidRPr="00A17559">
              <w:rPr>
                <w:lang w:val="en-GB"/>
              </w:rPr>
              <w:t xml:space="preserve">Brisk growth of current as well as capital expenditures stood in the background, together with mild slowdown of economic growth.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A45CED" w:rsidP="008337CB">
            <w:pPr>
              <w:spacing w:after="220"/>
              <w:rPr>
                <w:spacing w:val="-4"/>
                <w:lang w:val="en-GB"/>
              </w:rPr>
            </w:pPr>
            <w:r w:rsidRPr="00A17559">
              <w:rPr>
                <w:spacing w:val="-2"/>
                <w:lang w:val="en-GB"/>
              </w:rPr>
              <w:t>St</w:t>
            </w:r>
            <w:r w:rsidR="00AE2BA8" w:rsidRPr="00A17559">
              <w:rPr>
                <w:spacing w:val="-2"/>
                <w:lang w:val="en-GB"/>
              </w:rPr>
              <w:t xml:space="preserve">ate budget </w:t>
            </w:r>
            <w:r w:rsidRPr="00A17559">
              <w:rPr>
                <w:spacing w:val="-2"/>
                <w:lang w:val="en-GB"/>
              </w:rPr>
              <w:t>(S</w:t>
            </w:r>
            <w:r w:rsidR="00AE2BA8" w:rsidRPr="00A17559">
              <w:rPr>
                <w:spacing w:val="-2"/>
                <w:lang w:val="en-GB"/>
              </w:rPr>
              <w:t>B</w:t>
            </w:r>
            <w:r w:rsidRPr="00A17559">
              <w:rPr>
                <w:spacing w:val="-2"/>
                <w:lang w:val="en-GB"/>
              </w:rPr>
              <w:t>)</w:t>
            </w:r>
            <w:r w:rsidRPr="00A17559">
              <w:rPr>
                <w:rStyle w:val="Znakapoznpodarou"/>
                <w:spacing w:val="-2"/>
                <w:lang w:val="en-GB"/>
              </w:rPr>
              <w:footnoteReference w:id="1"/>
            </w:r>
            <w:r w:rsidRPr="00A17559">
              <w:rPr>
                <w:spacing w:val="-2"/>
                <w:lang w:val="en-GB"/>
              </w:rPr>
              <w:t xml:space="preserve"> </w:t>
            </w:r>
            <w:r w:rsidR="00291FE4" w:rsidRPr="00A17559">
              <w:rPr>
                <w:spacing w:val="-2"/>
                <w:lang w:val="en-GB"/>
              </w:rPr>
              <w:t xml:space="preserve">ended in deficit </w:t>
            </w:r>
            <w:r w:rsidR="005F42C7">
              <w:rPr>
                <w:spacing w:val="-2"/>
                <w:lang w:val="en-GB"/>
              </w:rPr>
              <w:t>of 20,7</w:t>
            </w:r>
            <w:r w:rsidR="00291FE4" w:rsidRPr="00A17559">
              <w:rPr>
                <w:spacing w:val="-2"/>
                <w:lang w:val="en-GB"/>
              </w:rPr>
              <w:t xml:space="preserve"> bn in H1 2019. Budget balance worsened year-on-year for the third time in a row and thus moved into deficit similarly to the last</w:t>
            </w:r>
            <w:r w:rsidR="00FD67AF">
              <w:rPr>
                <w:spacing w:val="-2"/>
                <w:lang w:val="en-GB"/>
              </w:rPr>
              <w:t xml:space="preserve"> year. While total SB revenues </w:t>
            </w:r>
            <w:r w:rsidR="00291FE4" w:rsidRPr="00A17559">
              <w:rPr>
                <w:spacing w:val="-2"/>
                <w:lang w:val="en-GB"/>
              </w:rPr>
              <w:t xml:space="preserve">strengthened by </w:t>
            </w:r>
            <w:r w:rsidRPr="00A17559">
              <w:rPr>
                <w:rFonts w:cs="Arial"/>
                <w:color w:val="0D0D0D" w:themeColor="text1" w:themeTint="F2"/>
                <w:spacing w:val="-2"/>
                <w:lang w:val="en-GB"/>
              </w:rPr>
              <w:t>8</w:t>
            </w:r>
            <w:r w:rsidR="00291FE4" w:rsidRPr="00A17559">
              <w:rPr>
                <w:rFonts w:cs="Arial"/>
                <w:color w:val="0D0D0D" w:themeColor="text1" w:themeTint="F2"/>
                <w:spacing w:val="-2"/>
                <w:lang w:val="en-GB"/>
              </w:rPr>
              <w:t>.</w:t>
            </w:r>
            <w:r w:rsidRPr="00A17559">
              <w:rPr>
                <w:rFonts w:cs="Arial"/>
                <w:color w:val="0D0D0D" w:themeColor="text1" w:themeTint="F2"/>
                <w:spacing w:val="-2"/>
                <w:lang w:val="en-GB"/>
              </w:rPr>
              <w:t>1</w:t>
            </w:r>
            <w:r w:rsidR="00403F57" w:rsidRPr="00A17559">
              <w:rPr>
                <w:rFonts w:cs="Arial"/>
                <w:color w:val="0D0D0D" w:themeColor="text1" w:themeTint="F2"/>
                <w:spacing w:val="-2"/>
                <w:lang w:val="en-GB"/>
              </w:rPr>
              <w:t>%</w:t>
            </w:r>
            <w:r w:rsidR="00291FE4" w:rsidRPr="00A17559">
              <w:rPr>
                <w:rFonts w:cs="Arial"/>
                <w:color w:val="0D0D0D" w:themeColor="text1" w:themeTint="F2"/>
                <w:spacing w:val="-2"/>
                <w:lang w:val="en-GB"/>
              </w:rPr>
              <w:t xml:space="preserve"> year-on-year and expenditures by </w:t>
            </w:r>
            <w:r w:rsidRPr="00A17559">
              <w:rPr>
                <w:rFonts w:cs="Arial"/>
                <w:color w:val="0D0D0D" w:themeColor="text1" w:themeTint="F2"/>
                <w:spacing w:val="-2"/>
                <w:lang w:val="en-GB"/>
              </w:rPr>
              <w:t>10</w:t>
            </w:r>
            <w:r w:rsidR="00291FE4" w:rsidRPr="00A17559">
              <w:rPr>
                <w:rFonts w:cs="Arial"/>
                <w:color w:val="0D0D0D" w:themeColor="text1" w:themeTint="F2"/>
                <w:spacing w:val="-2"/>
                <w:lang w:val="en-GB"/>
              </w:rPr>
              <w:t>.</w:t>
            </w:r>
            <w:r w:rsidRPr="00A17559">
              <w:rPr>
                <w:rFonts w:cs="Arial"/>
                <w:color w:val="0D0D0D" w:themeColor="text1" w:themeTint="F2"/>
                <w:spacing w:val="-2"/>
                <w:lang w:val="en-GB"/>
              </w:rPr>
              <w:t>2</w:t>
            </w:r>
            <w:r w:rsidR="00403F57" w:rsidRPr="00A17559">
              <w:rPr>
                <w:rFonts w:cs="Arial"/>
                <w:color w:val="0D0D0D" w:themeColor="text1" w:themeTint="F2"/>
                <w:spacing w:val="-2"/>
                <w:lang w:val="en-GB"/>
              </w:rPr>
              <w:t>%</w:t>
            </w:r>
            <w:r w:rsidRPr="00A17559">
              <w:rPr>
                <w:rFonts w:cs="Arial"/>
                <w:color w:val="0D0D0D" w:themeColor="text1" w:themeTint="F2"/>
                <w:spacing w:val="-2"/>
                <w:lang w:val="en-GB"/>
              </w:rPr>
              <w:t>,</w:t>
            </w:r>
            <w:r w:rsidR="00291FE4" w:rsidRPr="00A17559">
              <w:rPr>
                <w:rFonts w:cs="Arial"/>
                <w:color w:val="0D0D0D" w:themeColor="text1" w:themeTint="F2"/>
                <w:spacing w:val="-2"/>
                <w:lang w:val="en-GB"/>
              </w:rPr>
              <w:t xml:space="preserve"> their rates of growth perceptibly exceeded the annual budget anticipations. </w:t>
            </w:r>
            <w:r w:rsidR="00ED4604" w:rsidRPr="00A17559">
              <w:rPr>
                <w:rFonts w:cs="Arial"/>
                <w:color w:val="0D0D0D" w:themeColor="text1" w:themeTint="F2"/>
                <w:spacing w:val="-2"/>
                <w:lang w:val="en-GB"/>
              </w:rPr>
              <w:t xml:space="preserve">SB balance, which presents a dominant item of the budget deficit or surplus of the government institutions sector, </w:t>
            </w:r>
            <w:r w:rsidR="00655CDE" w:rsidRPr="00A17559">
              <w:rPr>
                <w:rFonts w:cs="Arial"/>
                <w:color w:val="0D0D0D" w:themeColor="text1" w:themeTint="F2"/>
                <w:spacing w:val="-2"/>
                <w:lang w:val="en-GB"/>
              </w:rPr>
              <w:t xml:space="preserve">attained </w:t>
            </w:r>
            <w:r w:rsidRPr="00A17559">
              <w:rPr>
                <w:rFonts w:cs="Arial"/>
                <w:color w:val="0D0D0D" w:themeColor="text1" w:themeTint="F2"/>
                <w:spacing w:val="-2"/>
                <w:lang w:val="en-GB"/>
              </w:rPr>
              <w:t>–</w:t>
            </w:r>
            <w:r w:rsidRPr="00A17559">
              <w:rPr>
                <w:rFonts w:cs="Arial"/>
                <w:color w:val="000000" w:themeColor="text1"/>
                <w:spacing w:val="-2"/>
                <w:lang w:val="en-GB"/>
              </w:rPr>
              <w:t>0</w:t>
            </w:r>
            <w:r w:rsidR="008337CB" w:rsidRPr="00A17559">
              <w:rPr>
                <w:rFonts w:cs="Arial"/>
                <w:color w:val="000000" w:themeColor="text1"/>
                <w:spacing w:val="-2"/>
                <w:lang w:val="en-GB"/>
              </w:rPr>
              <w:t>.</w:t>
            </w:r>
            <w:r w:rsidRPr="00A17559">
              <w:rPr>
                <w:rFonts w:cs="Arial"/>
                <w:color w:val="000000" w:themeColor="text1"/>
                <w:spacing w:val="-2"/>
                <w:lang w:val="en-GB"/>
              </w:rPr>
              <w:t>8%</w:t>
            </w:r>
            <w:r w:rsidR="00655CDE" w:rsidRPr="00A17559">
              <w:rPr>
                <w:rFonts w:cs="Arial"/>
                <w:color w:val="000000" w:themeColor="text1"/>
                <w:spacing w:val="-2"/>
                <w:lang w:val="en-GB"/>
              </w:rPr>
              <w:t xml:space="preserve"> in relation to the nominal GDP in H1</w:t>
            </w:r>
            <w:r w:rsidRPr="00A17559">
              <w:rPr>
                <w:rFonts w:cs="Arial"/>
                <w:color w:val="000000" w:themeColor="text1"/>
                <w:spacing w:val="-2"/>
                <w:lang w:val="en-GB"/>
              </w:rPr>
              <w:t xml:space="preserve"> (</w:t>
            </w:r>
            <w:r w:rsidRPr="00A17559">
              <w:rPr>
                <w:rFonts w:cs="Arial"/>
                <w:color w:val="0D0D0D" w:themeColor="text1" w:themeTint="F2"/>
                <w:spacing w:val="-2"/>
                <w:lang w:val="en-GB"/>
              </w:rPr>
              <w:t>–</w:t>
            </w:r>
            <w:r w:rsidRPr="00A17559">
              <w:rPr>
                <w:rFonts w:cs="Arial"/>
                <w:color w:val="000000" w:themeColor="text1"/>
                <w:spacing w:val="-2"/>
                <w:lang w:val="en-GB"/>
              </w:rPr>
              <w:t>0</w:t>
            </w:r>
            <w:r w:rsidR="00655CDE" w:rsidRPr="00A17559">
              <w:rPr>
                <w:rFonts w:cs="Arial"/>
                <w:color w:val="000000" w:themeColor="text1"/>
                <w:spacing w:val="-2"/>
                <w:lang w:val="en-GB"/>
              </w:rPr>
              <w:t>.</w:t>
            </w:r>
            <w:r w:rsidRPr="00A17559">
              <w:rPr>
                <w:rFonts w:cs="Arial"/>
                <w:color w:val="000000" w:themeColor="text1"/>
                <w:spacing w:val="-2"/>
                <w:lang w:val="en-GB"/>
              </w:rPr>
              <w:t>2</w:t>
            </w:r>
            <w:r w:rsidR="00403F57" w:rsidRPr="00A17559">
              <w:rPr>
                <w:rFonts w:cs="Arial"/>
                <w:color w:val="000000" w:themeColor="text1"/>
                <w:spacing w:val="-2"/>
                <w:lang w:val="en-GB"/>
              </w:rPr>
              <w:t>%</w:t>
            </w:r>
            <w:r w:rsidR="00655CDE" w:rsidRPr="00A17559">
              <w:rPr>
                <w:rFonts w:cs="Arial"/>
                <w:color w:val="000000" w:themeColor="text1"/>
                <w:spacing w:val="-2"/>
                <w:lang w:val="en-GB"/>
              </w:rPr>
              <w:t xml:space="preserve"> a year ago</w:t>
            </w:r>
            <w:r w:rsidRPr="00A17559">
              <w:rPr>
                <w:rFonts w:cs="Arial"/>
                <w:color w:val="000000" w:themeColor="text1"/>
                <w:spacing w:val="-2"/>
                <w:lang w:val="en-GB"/>
              </w:rPr>
              <w:t>).</w:t>
            </w:r>
            <w:r w:rsidR="00655CDE" w:rsidRPr="00A17559">
              <w:rPr>
                <w:rFonts w:cs="Arial"/>
                <w:color w:val="000000" w:themeColor="text1"/>
                <w:spacing w:val="-2"/>
                <w:lang w:val="en-GB"/>
              </w:rPr>
              <w:t xml:space="preserve"> Deeper deficit reflected this year´s brisk growth of weight significant current expenditures, as well as the acceleration of the investment activity. </w:t>
            </w:r>
            <w:r w:rsidR="00826265" w:rsidRPr="00A17559">
              <w:rPr>
                <w:rFonts w:cs="Arial"/>
                <w:color w:val="000000" w:themeColor="text1"/>
                <w:spacing w:val="-2"/>
                <w:lang w:val="en-GB"/>
              </w:rPr>
              <w:t xml:space="preserve">Moderate slowdown of the economic performance also played a role, since the dynamics of total tax incomes </w:t>
            </w:r>
            <w:r w:rsidRPr="00A17559">
              <w:rPr>
                <w:rFonts w:cs="Arial"/>
                <w:color w:val="000000" w:themeColor="text1"/>
                <w:spacing w:val="-2"/>
                <w:lang w:val="en-GB"/>
              </w:rPr>
              <w:t>(</w:t>
            </w:r>
            <w:r w:rsidR="00826265" w:rsidRPr="00A17559">
              <w:rPr>
                <w:rFonts w:cs="Arial"/>
                <w:color w:val="000000" w:themeColor="text1"/>
                <w:spacing w:val="-2"/>
                <w:lang w:val="en-GB"/>
              </w:rPr>
              <w:t>including insurance</w:t>
            </w:r>
            <w:r w:rsidRPr="00A17559">
              <w:rPr>
                <w:rFonts w:cs="Arial"/>
                <w:color w:val="000000" w:themeColor="text1"/>
                <w:spacing w:val="-2"/>
                <w:lang w:val="en-GB"/>
              </w:rPr>
              <w:t>)</w:t>
            </w:r>
            <w:r w:rsidR="00826265" w:rsidRPr="00A17559">
              <w:rPr>
                <w:rFonts w:cs="Arial"/>
                <w:color w:val="000000" w:themeColor="text1"/>
                <w:spacing w:val="-2"/>
                <w:lang w:val="en-GB"/>
              </w:rPr>
              <w:t xml:space="preserve"> eased its pace to the four-year minimum </w:t>
            </w:r>
            <w:r w:rsidRPr="00A17559">
              <w:rPr>
                <w:rFonts w:cs="Arial"/>
                <w:color w:val="000000" w:themeColor="text1"/>
                <w:spacing w:val="-2"/>
                <w:lang w:val="en-GB"/>
              </w:rPr>
              <w:t>(+5</w:t>
            </w:r>
            <w:r w:rsidR="00826265" w:rsidRPr="00A17559">
              <w:rPr>
                <w:rFonts w:cs="Arial"/>
                <w:color w:val="000000" w:themeColor="text1"/>
                <w:spacing w:val="-2"/>
                <w:lang w:val="en-GB"/>
              </w:rPr>
              <w:t>.</w:t>
            </w:r>
            <w:r w:rsidRPr="00A17559">
              <w:rPr>
                <w:rFonts w:cs="Arial"/>
                <w:color w:val="000000" w:themeColor="text1"/>
                <w:spacing w:val="-2"/>
                <w:lang w:val="en-GB"/>
              </w:rPr>
              <w:t>9</w:t>
            </w:r>
            <w:r w:rsidR="00403F57" w:rsidRPr="00A17559">
              <w:rPr>
                <w:rFonts w:cs="Arial"/>
                <w:color w:val="000000" w:themeColor="text1"/>
                <w:spacing w:val="-2"/>
                <w:lang w:val="en-GB"/>
              </w:rPr>
              <w:t>%</w:t>
            </w:r>
            <w:r w:rsidRPr="00A17559">
              <w:rPr>
                <w:rFonts w:cs="Arial"/>
                <w:color w:val="000000" w:themeColor="text1"/>
                <w:spacing w:val="-2"/>
                <w:lang w:val="en-GB"/>
              </w:rPr>
              <w:t>, +6</w:t>
            </w:r>
            <w:r w:rsidR="00826265" w:rsidRPr="00A17559">
              <w:rPr>
                <w:rFonts w:cs="Arial"/>
                <w:color w:val="000000" w:themeColor="text1"/>
                <w:spacing w:val="-2"/>
                <w:lang w:val="en-GB"/>
              </w:rPr>
              <w:t>.</w:t>
            </w:r>
            <w:r w:rsidRPr="00A17559">
              <w:rPr>
                <w:rFonts w:cs="Arial"/>
                <w:color w:val="000000" w:themeColor="text1"/>
                <w:spacing w:val="-2"/>
                <w:lang w:val="en-GB"/>
              </w:rPr>
              <w:t>2</w:t>
            </w:r>
            <w:r w:rsidR="00403F57" w:rsidRPr="00A17559">
              <w:rPr>
                <w:rFonts w:cs="Arial"/>
                <w:color w:val="000000" w:themeColor="text1"/>
                <w:spacing w:val="-2"/>
                <w:lang w:val="en-GB"/>
              </w:rPr>
              <w:t>%</w:t>
            </w:r>
            <w:r w:rsidR="00826265" w:rsidRPr="00A17559">
              <w:rPr>
                <w:rFonts w:cs="Arial"/>
                <w:color w:val="000000" w:themeColor="text1"/>
                <w:spacing w:val="-2"/>
                <w:lang w:val="en-GB"/>
              </w:rPr>
              <w:t xml:space="preserve"> a year ago</w:t>
            </w:r>
            <w:r w:rsidRPr="00A17559">
              <w:rPr>
                <w:rFonts w:cs="Arial"/>
                <w:color w:val="000000" w:themeColor="text1"/>
                <w:spacing w:val="-2"/>
                <w:lang w:val="en-GB"/>
              </w:rPr>
              <w:t>).</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2E7A3C" w:rsidP="002E7A3C">
            <w:pPr>
              <w:pStyle w:val="Marginlie"/>
              <w:rPr>
                <w:lang w:val="en-GB"/>
              </w:rPr>
            </w:pPr>
            <w:r w:rsidRPr="00A17559">
              <w:rPr>
                <w:lang w:val="en-GB"/>
              </w:rPr>
              <w:t>Insurance</w:t>
            </w:r>
            <w:r w:rsidR="00291FE4" w:rsidRPr="00A17559">
              <w:rPr>
                <w:lang w:val="en-GB"/>
              </w:rPr>
              <w:t xml:space="preserve"> receipts as well as higher tax collection positively affected the growth of total revenues, </w:t>
            </w:r>
            <w:r w:rsidRPr="00A17559">
              <w:rPr>
                <w:lang w:val="en-GB"/>
              </w:rPr>
              <w:t xml:space="preserve"> moderate decrease of revenues from the EU budget then negatively.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5F42C7" w:rsidP="00891E07">
            <w:pPr>
              <w:spacing w:after="220"/>
              <w:rPr>
                <w:spacing w:val="-4"/>
                <w:lang w:val="en-GB"/>
              </w:rPr>
            </w:pPr>
            <w:r>
              <w:rPr>
                <w:spacing w:val="-4"/>
                <w:lang w:val="en-GB"/>
              </w:rPr>
              <w:t>Year-on-year growth of total</w:t>
            </w:r>
            <w:r w:rsidR="004A3CDE" w:rsidRPr="00A17559">
              <w:rPr>
                <w:spacing w:val="-4"/>
                <w:lang w:val="en-GB"/>
              </w:rPr>
              <w:t xml:space="preserve"> SB revenues </w:t>
            </w:r>
            <w:r w:rsidR="00A45CED" w:rsidRPr="00A17559">
              <w:rPr>
                <w:spacing w:val="-4"/>
                <w:lang w:val="en-GB"/>
              </w:rPr>
              <w:t>(</w:t>
            </w:r>
            <w:r w:rsidR="004A3CDE" w:rsidRPr="00A17559">
              <w:rPr>
                <w:spacing w:val="-4"/>
                <w:lang w:val="en-GB"/>
              </w:rPr>
              <w:t xml:space="preserve">by </w:t>
            </w:r>
            <w:r w:rsidR="00A45CED" w:rsidRPr="00A17559">
              <w:rPr>
                <w:spacing w:val="-4"/>
                <w:lang w:val="en-GB"/>
              </w:rPr>
              <w:t>55</w:t>
            </w:r>
            <w:r w:rsidR="004A3CDE" w:rsidRPr="00A17559">
              <w:rPr>
                <w:spacing w:val="-4"/>
                <w:lang w:val="en-GB"/>
              </w:rPr>
              <w:t>.</w:t>
            </w:r>
            <w:r w:rsidR="00A45CED" w:rsidRPr="00A17559">
              <w:rPr>
                <w:spacing w:val="-4"/>
                <w:lang w:val="en-GB"/>
              </w:rPr>
              <w:t>8</w:t>
            </w:r>
            <w:r w:rsidR="004A3CDE" w:rsidRPr="00A17559">
              <w:rPr>
                <w:spacing w:val="-4"/>
                <w:lang w:val="en-GB"/>
              </w:rPr>
              <w:t xml:space="preserve"> CZK bn</w:t>
            </w:r>
            <w:r w:rsidR="00A45CED" w:rsidRPr="00A17559">
              <w:rPr>
                <w:spacing w:val="-4"/>
                <w:lang w:val="en-GB"/>
              </w:rPr>
              <w:t xml:space="preserve">) </w:t>
            </w:r>
            <w:r w:rsidR="004A3CDE" w:rsidRPr="00A17559">
              <w:rPr>
                <w:spacing w:val="-4"/>
                <w:lang w:val="en-GB"/>
              </w:rPr>
              <w:t xml:space="preserve">was by nearly three </w:t>
            </w:r>
            <w:r w:rsidR="002E7A3C" w:rsidRPr="00A17559">
              <w:rPr>
                <w:spacing w:val="-4"/>
                <w:lang w:val="en-GB"/>
              </w:rPr>
              <w:t>quarters</w:t>
            </w:r>
            <w:r w:rsidR="004A3CDE" w:rsidRPr="00A17559">
              <w:rPr>
                <w:spacing w:val="-4"/>
                <w:lang w:val="en-GB"/>
              </w:rPr>
              <w:t xml:space="preserve"> pulled by </w:t>
            </w:r>
            <w:r w:rsidR="002E7A3C" w:rsidRPr="00A17559">
              <w:rPr>
                <w:spacing w:val="-4"/>
                <w:lang w:val="en-GB"/>
              </w:rPr>
              <w:t>higher</w:t>
            </w:r>
            <w:r w:rsidR="004A3CDE" w:rsidRPr="00A17559">
              <w:rPr>
                <w:spacing w:val="-4"/>
                <w:lang w:val="en-GB"/>
              </w:rPr>
              <w:t xml:space="preserve"> tax incomes </w:t>
            </w:r>
            <w:r w:rsidR="00A45CED" w:rsidRPr="00A17559">
              <w:rPr>
                <w:rFonts w:cs="Arial"/>
                <w:color w:val="000000" w:themeColor="text1"/>
                <w:spacing w:val="-2"/>
                <w:lang w:val="en-GB"/>
              </w:rPr>
              <w:t>(</w:t>
            </w:r>
            <w:r w:rsidR="004A3CDE" w:rsidRPr="00A17559">
              <w:rPr>
                <w:rFonts w:cs="Arial"/>
                <w:color w:val="000000" w:themeColor="text1"/>
                <w:spacing w:val="-2"/>
                <w:lang w:val="en-GB"/>
              </w:rPr>
              <w:t>including insurance</w:t>
            </w:r>
            <w:r w:rsidR="00A45CED" w:rsidRPr="00A17559">
              <w:rPr>
                <w:rFonts w:cs="Arial"/>
                <w:color w:val="000000" w:themeColor="text1"/>
                <w:spacing w:val="-2"/>
                <w:lang w:val="en-GB"/>
              </w:rPr>
              <w:t>)</w:t>
            </w:r>
            <w:r w:rsidR="00A45CED" w:rsidRPr="00A17559">
              <w:rPr>
                <w:spacing w:val="-4"/>
                <w:lang w:val="en-GB"/>
              </w:rPr>
              <w:t xml:space="preserve">. </w:t>
            </w:r>
            <w:r w:rsidR="002E7A3C" w:rsidRPr="00A17559">
              <w:rPr>
                <w:spacing w:val="-4"/>
                <w:lang w:val="en-GB"/>
              </w:rPr>
              <w:t xml:space="preserve">Non-tax and capital revenues also had a favourable impact </w:t>
            </w:r>
            <w:r w:rsidR="00A45CED" w:rsidRPr="00A17559">
              <w:rPr>
                <w:spacing w:val="-4"/>
                <w:lang w:val="en-GB"/>
              </w:rPr>
              <w:t>(</w:t>
            </w:r>
            <w:r w:rsidR="002E7A3C" w:rsidRPr="00A17559">
              <w:rPr>
                <w:spacing w:val="-4"/>
                <w:lang w:val="en-GB"/>
              </w:rPr>
              <w:t>by one sixth higher year-on-year</w:t>
            </w:r>
            <w:r w:rsidR="00A45CED" w:rsidRPr="00A17559">
              <w:rPr>
                <w:spacing w:val="-4"/>
                <w:lang w:val="en-GB"/>
              </w:rPr>
              <w:t>),</w:t>
            </w:r>
            <w:r w:rsidR="002E7A3C" w:rsidRPr="00A17559">
              <w:rPr>
                <w:spacing w:val="-4"/>
                <w:lang w:val="en-GB"/>
              </w:rPr>
              <w:t xml:space="preserve"> since the moderate decrease of revenues from the EU budget </w:t>
            </w:r>
            <w:r w:rsidR="00A45CED" w:rsidRPr="00A17559">
              <w:rPr>
                <w:spacing w:val="-4"/>
                <w:lang w:val="en-GB"/>
              </w:rPr>
              <w:t>(</w:t>
            </w:r>
            <w:r w:rsidR="002E7A3C" w:rsidRPr="00A17559">
              <w:rPr>
                <w:spacing w:val="-4"/>
                <w:lang w:val="en-GB"/>
              </w:rPr>
              <w:t>by one tenth</w:t>
            </w:r>
            <w:r w:rsidR="00A45CED" w:rsidRPr="00A17559">
              <w:rPr>
                <w:spacing w:val="-4"/>
                <w:lang w:val="en-GB"/>
              </w:rPr>
              <w:t>, resp. 6</w:t>
            </w:r>
            <w:r w:rsidR="002E7A3C" w:rsidRPr="00A17559">
              <w:rPr>
                <w:spacing w:val="-4"/>
                <w:lang w:val="en-GB"/>
              </w:rPr>
              <w:t>.</w:t>
            </w:r>
            <w:r w:rsidR="00A45CED" w:rsidRPr="00A17559">
              <w:rPr>
                <w:spacing w:val="-4"/>
                <w:lang w:val="en-GB"/>
              </w:rPr>
              <w:t>6</w:t>
            </w:r>
            <w:r w:rsidR="002E7A3C" w:rsidRPr="00A17559">
              <w:rPr>
                <w:spacing w:val="-4"/>
                <w:lang w:val="en-GB"/>
              </w:rPr>
              <w:t xml:space="preserve"> CZK bn</w:t>
            </w:r>
            <w:r w:rsidR="00A45CED" w:rsidRPr="00A17559">
              <w:rPr>
                <w:spacing w:val="-4"/>
                <w:lang w:val="en-GB"/>
              </w:rPr>
              <w:t>)</w:t>
            </w:r>
            <w:r w:rsidR="00A45CED" w:rsidRPr="00A17559">
              <w:rPr>
                <w:rStyle w:val="Znakapoznpodarou"/>
                <w:bCs/>
                <w:lang w:val="en-GB"/>
              </w:rPr>
              <w:footnoteReference w:id="2"/>
            </w:r>
            <w:r w:rsidR="002E7A3C" w:rsidRPr="00A17559">
              <w:rPr>
                <w:spacing w:val="-4"/>
                <w:lang w:val="en-GB"/>
              </w:rPr>
              <w:t xml:space="preserve"> was offset by a </w:t>
            </w:r>
            <w:r w:rsidR="00D464E4" w:rsidRPr="00A17559">
              <w:rPr>
                <w:spacing w:val="-4"/>
                <w:lang w:val="en-GB"/>
              </w:rPr>
              <w:t>onetime</w:t>
            </w:r>
            <w:r w:rsidR="002E7A3C" w:rsidRPr="00A17559">
              <w:rPr>
                <w:spacing w:val="-4"/>
                <w:lang w:val="en-GB"/>
              </w:rPr>
              <w:t xml:space="preserve"> transfer of </w:t>
            </w:r>
            <w:r w:rsidR="00A45CED" w:rsidRPr="00A17559">
              <w:rPr>
                <w:spacing w:val="-4"/>
                <w:lang w:val="en-GB"/>
              </w:rPr>
              <w:t>18</w:t>
            </w:r>
            <w:r w:rsidR="002E7A3C" w:rsidRPr="00A17559">
              <w:rPr>
                <w:spacing w:val="-4"/>
                <w:lang w:val="en-GB"/>
              </w:rPr>
              <w:t>.</w:t>
            </w:r>
            <w:r w:rsidR="00A45CED" w:rsidRPr="00A17559">
              <w:rPr>
                <w:spacing w:val="-4"/>
                <w:lang w:val="en-GB"/>
              </w:rPr>
              <w:t>0 </w:t>
            </w:r>
            <w:r w:rsidR="002E7A3C" w:rsidRPr="00A17559">
              <w:rPr>
                <w:spacing w:val="-4"/>
                <w:lang w:val="en-GB"/>
              </w:rPr>
              <w:t>CZK bn from the</w:t>
            </w:r>
            <w:r w:rsidR="008A76B8" w:rsidRPr="00A17559">
              <w:rPr>
                <w:spacing w:val="-4"/>
                <w:lang w:val="en-GB"/>
              </w:rPr>
              <w:t xml:space="preserve"> privatization account. </w:t>
            </w:r>
            <w:r w:rsidR="00D464E4" w:rsidRPr="00A17559">
              <w:rPr>
                <w:spacing w:val="-4"/>
                <w:lang w:val="en-GB"/>
              </w:rPr>
              <w:t xml:space="preserve">Mainly higher collection of insurance on social </w:t>
            </w:r>
            <w:r w:rsidR="00891E07" w:rsidRPr="00A17559">
              <w:rPr>
                <w:spacing w:val="-4"/>
                <w:lang w:val="en-GB"/>
              </w:rPr>
              <w:t>security</w:t>
            </w:r>
            <w:r w:rsidR="00D464E4" w:rsidRPr="00A17559">
              <w:rPr>
                <w:spacing w:val="-4"/>
                <w:lang w:val="en-GB"/>
              </w:rPr>
              <w:t xml:space="preserve"> (+20.8 CZK bn) </w:t>
            </w:r>
            <w:r w:rsidR="00891E07" w:rsidRPr="00A17559">
              <w:rPr>
                <w:spacing w:val="-4"/>
                <w:lang w:val="en-GB"/>
              </w:rPr>
              <w:t>contributed to the stronger all tax incomes (similarly to year 2018)</w:t>
            </w:r>
            <w:r w:rsidR="00A45CED" w:rsidRPr="00A17559">
              <w:rPr>
                <w:spacing w:val="-4"/>
                <w:lang w:val="en-GB"/>
              </w:rPr>
              <w:t xml:space="preserve">, </w:t>
            </w:r>
            <w:r w:rsidR="00D464E4" w:rsidRPr="00A17559">
              <w:rPr>
                <w:spacing w:val="-4"/>
                <w:lang w:val="en-GB"/>
              </w:rPr>
              <w:t xml:space="preserve">total tax collection enjoyed only slightly weaker effect. </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EB1DE7" w:rsidP="00EB1DE7">
            <w:pPr>
              <w:pStyle w:val="Marginlie"/>
              <w:rPr>
                <w:lang w:val="en-GB"/>
              </w:rPr>
            </w:pPr>
            <w:r w:rsidRPr="00A17559">
              <w:rPr>
                <w:lang w:val="en-GB"/>
              </w:rPr>
              <w:t xml:space="preserve">Collection of VAT </w:t>
            </w:r>
            <w:r w:rsidR="00A012F7" w:rsidRPr="00A17559">
              <w:rPr>
                <w:lang w:val="en-GB"/>
              </w:rPr>
              <w:t>strengthened</w:t>
            </w:r>
            <w:r w:rsidRPr="00A17559">
              <w:rPr>
                <w:lang w:val="en-GB"/>
              </w:rPr>
              <w:t xml:space="preserve"> during the half-year, but lagged behind both the budget anticipations and final consumption dynamics of government as well as households.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A012F7" w:rsidP="003D03B4">
            <w:pPr>
              <w:spacing w:after="220"/>
              <w:rPr>
                <w:spacing w:val="-4"/>
                <w:lang w:val="en-GB"/>
              </w:rPr>
            </w:pPr>
            <w:r w:rsidRPr="00A17559">
              <w:rPr>
                <w:spacing w:val="-4"/>
                <w:lang w:val="en-GB"/>
              </w:rPr>
              <w:t xml:space="preserve">SB raised on the weight dominant tax – VAT – by 3.0% </w:t>
            </w:r>
            <w:r w:rsidR="00153EC7" w:rsidRPr="00A17559">
              <w:rPr>
                <w:spacing w:val="-4"/>
                <w:lang w:val="en-GB"/>
              </w:rPr>
              <w:t xml:space="preserve">more </w:t>
            </w:r>
            <w:r w:rsidRPr="00A17559">
              <w:rPr>
                <w:spacing w:val="-4"/>
                <w:lang w:val="en-GB"/>
              </w:rPr>
              <w:t>year-on-year in H</w:t>
            </w:r>
            <w:r w:rsidR="004A5D4E" w:rsidRPr="00A17559">
              <w:rPr>
                <w:spacing w:val="-4"/>
                <w:lang w:val="en-GB"/>
              </w:rPr>
              <w:t>1</w:t>
            </w:r>
            <w:r w:rsidR="00153EC7" w:rsidRPr="00A17559">
              <w:rPr>
                <w:spacing w:val="-4"/>
                <w:lang w:val="en-GB"/>
              </w:rPr>
              <w:t>, and even though the growth rate strengthened during the year</w:t>
            </w:r>
            <w:r w:rsidR="00A45CED" w:rsidRPr="00A17559">
              <w:rPr>
                <w:rStyle w:val="Znakapoznpodarou"/>
                <w:spacing w:val="-2"/>
                <w:lang w:val="en-GB"/>
              </w:rPr>
              <w:footnoteReference w:id="3"/>
            </w:r>
            <w:r w:rsidR="00A45CED" w:rsidRPr="00A17559">
              <w:rPr>
                <w:spacing w:val="-4"/>
                <w:lang w:val="en-GB"/>
              </w:rPr>
              <w:t xml:space="preserve">, </w:t>
            </w:r>
            <w:r w:rsidR="00EB1DE7" w:rsidRPr="00A17559">
              <w:rPr>
                <w:spacing w:val="-4"/>
                <w:lang w:val="en-GB"/>
              </w:rPr>
              <w:t xml:space="preserve">it still lagged behind the budget anticipations. Pace of VAT collection was slowing already third year in a row and </w:t>
            </w:r>
            <w:r w:rsidR="00303939" w:rsidRPr="00A17559">
              <w:rPr>
                <w:spacing w:val="-4"/>
                <w:lang w:val="en-GB"/>
              </w:rPr>
              <w:t xml:space="preserve">did not approach the growth dynamics of final consumption expenditure of households </w:t>
            </w:r>
            <w:r w:rsidR="00A45CED" w:rsidRPr="00A17559">
              <w:rPr>
                <w:spacing w:val="-4"/>
                <w:lang w:val="en-GB"/>
              </w:rPr>
              <w:t>(5</w:t>
            </w:r>
            <w:r w:rsidR="00303939" w:rsidRPr="00A17559">
              <w:rPr>
                <w:spacing w:val="-4"/>
                <w:lang w:val="en-GB"/>
              </w:rPr>
              <w:t>.</w:t>
            </w:r>
            <w:r w:rsidR="00A45CED" w:rsidRPr="00A17559">
              <w:rPr>
                <w:spacing w:val="-4"/>
                <w:lang w:val="en-GB"/>
              </w:rPr>
              <w:t>7</w:t>
            </w:r>
            <w:r w:rsidR="00403F57" w:rsidRPr="00A17559">
              <w:rPr>
                <w:spacing w:val="-4"/>
                <w:lang w:val="en-GB"/>
              </w:rPr>
              <w:t>%</w:t>
            </w:r>
            <w:r w:rsidR="00A45CED" w:rsidRPr="00A17559">
              <w:rPr>
                <w:spacing w:val="-4"/>
                <w:lang w:val="en-GB"/>
              </w:rPr>
              <w:t>)</w:t>
            </w:r>
            <w:r w:rsidR="00303939" w:rsidRPr="00A17559">
              <w:rPr>
                <w:spacing w:val="-4"/>
                <w:lang w:val="en-GB"/>
              </w:rPr>
              <w:t xml:space="preserve"> or government institutions </w:t>
            </w:r>
            <w:r w:rsidR="00A45CED" w:rsidRPr="00A17559">
              <w:rPr>
                <w:spacing w:val="-4"/>
                <w:lang w:val="en-GB"/>
              </w:rPr>
              <w:t>(8</w:t>
            </w:r>
            <w:r w:rsidR="00303939" w:rsidRPr="00A17559">
              <w:rPr>
                <w:spacing w:val="-4"/>
                <w:lang w:val="en-GB"/>
              </w:rPr>
              <w:t>.</w:t>
            </w:r>
            <w:r w:rsidR="00A45CED" w:rsidRPr="00A17559">
              <w:rPr>
                <w:spacing w:val="-4"/>
                <w:lang w:val="en-GB"/>
              </w:rPr>
              <w:t>5</w:t>
            </w:r>
            <w:r w:rsidR="00403F57" w:rsidRPr="00A17559">
              <w:rPr>
                <w:spacing w:val="-4"/>
                <w:lang w:val="en-GB"/>
              </w:rPr>
              <w:t>%</w:t>
            </w:r>
            <w:r w:rsidR="00A45CED" w:rsidRPr="00A17559">
              <w:rPr>
                <w:spacing w:val="-4"/>
                <w:lang w:val="en-GB"/>
              </w:rPr>
              <w:t>)</w:t>
            </w:r>
            <w:r w:rsidR="00A45CED" w:rsidRPr="00A17559">
              <w:rPr>
                <w:rStyle w:val="Znakapoznpodarou"/>
                <w:spacing w:val="-2"/>
                <w:lang w:val="en-GB"/>
              </w:rPr>
              <w:footnoteReference w:id="4"/>
            </w:r>
            <w:r w:rsidR="00303939" w:rsidRPr="00A17559">
              <w:rPr>
                <w:spacing w:val="-4"/>
                <w:lang w:val="en-GB"/>
              </w:rPr>
              <w:t xml:space="preserve"> so far</w:t>
            </w:r>
            <w:r w:rsidR="00A45CED" w:rsidRPr="00A17559">
              <w:rPr>
                <w:spacing w:val="-4"/>
                <w:lang w:val="en-GB"/>
              </w:rPr>
              <w:t xml:space="preserve">. </w:t>
            </w:r>
            <w:r w:rsidR="00EB1DE7" w:rsidRPr="00A17559">
              <w:rPr>
                <w:spacing w:val="-4"/>
                <w:lang w:val="en-GB"/>
              </w:rPr>
              <w:t xml:space="preserve">Collection of all consumption taxes rose by </w:t>
            </w:r>
            <w:r w:rsidR="00A45CED" w:rsidRPr="00A17559">
              <w:rPr>
                <w:spacing w:val="-4"/>
                <w:lang w:val="en-GB"/>
              </w:rPr>
              <w:t>3</w:t>
            </w:r>
            <w:r w:rsidR="00EB1DE7" w:rsidRPr="00A17559">
              <w:rPr>
                <w:spacing w:val="-4"/>
                <w:lang w:val="en-GB"/>
              </w:rPr>
              <w:t>.</w:t>
            </w:r>
            <w:r w:rsidR="00A45CED" w:rsidRPr="00A17559">
              <w:rPr>
                <w:spacing w:val="-4"/>
                <w:lang w:val="en-GB"/>
              </w:rPr>
              <w:t>9</w:t>
            </w:r>
            <w:r w:rsidR="00403F57" w:rsidRPr="00A17559">
              <w:rPr>
                <w:spacing w:val="-4"/>
                <w:lang w:val="en-GB"/>
              </w:rPr>
              <w:t>%</w:t>
            </w:r>
            <w:r w:rsidR="00EB1DE7" w:rsidRPr="00A17559">
              <w:rPr>
                <w:spacing w:val="-4"/>
                <w:lang w:val="en-GB"/>
              </w:rPr>
              <w:t xml:space="preserve"> due to higher collection of all main types of tax. </w:t>
            </w:r>
            <w:r w:rsidR="00957300" w:rsidRPr="00A17559">
              <w:rPr>
                <w:spacing w:val="-4"/>
                <w:lang w:val="en-GB"/>
              </w:rPr>
              <w:t xml:space="preserve">For the most significant tax by volume on mineral oils, it strengthened by </w:t>
            </w:r>
            <w:r w:rsidR="00A45CED" w:rsidRPr="00A17559">
              <w:rPr>
                <w:iCs/>
                <w:spacing w:val="-4"/>
                <w:lang w:val="en-GB"/>
              </w:rPr>
              <w:t>2</w:t>
            </w:r>
            <w:r w:rsidR="00957300" w:rsidRPr="00A17559">
              <w:rPr>
                <w:iCs/>
                <w:spacing w:val="-4"/>
                <w:lang w:val="en-GB"/>
              </w:rPr>
              <w:t>.</w:t>
            </w:r>
            <w:r w:rsidR="00A45CED" w:rsidRPr="00A17559">
              <w:rPr>
                <w:iCs/>
                <w:spacing w:val="-4"/>
                <w:lang w:val="en-GB"/>
              </w:rPr>
              <w:t>3</w:t>
            </w:r>
            <w:r w:rsidR="00403F57" w:rsidRPr="00A17559">
              <w:rPr>
                <w:iCs/>
                <w:spacing w:val="-4"/>
                <w:lang w:val="en-GB"/>
              </w:rPr>
              <w:t>%</w:t>
            </w:r>
            <w:r w:rsidR="00A45CED" w:rsidRPr="00A17559">
              <w:rPr>
                <w:rStyle w:val="Znakapoznpodarou"/>
                <w:color w:val="000000" w:themeColor="text1"/>
                <w:spacing w:val="-4"/>
                <w:lang w:val="en-GB"/>
              </w:rPr>
              <w:footnoteReference w:id="5"/>
            </w:r>
            <w:r w:rsidR="00A45CED" w:rsidRPr="00A17559">
              <w:rPr>
                <w:iCs/>
                <w:spacing w:val="-4"/>
                <w:lang w:val="en-GB"/>
              </w:rPr>
              <w:t xml:space="preserve"> </w:t>
            </w:r>
            <w:r w:rsidR="002F1B09" w:rsidRPr="00A17559">
              <w:rPr>
                <w:iCs/>
                <w:spacing w:val="-4"/>
                <w:lang w:val="en-GB"/>
              </w:rPr>
              <w:t>a</w:t>
            </w:r>
            <w:r w:rsidR="00957300" w:rsidRPr="00A17559">
              <w:rPr>
                <w:iCs/>
                <w:spacing w:val="-4"/>
                <w:lang w:val="en-GB"/>
              </w:rPr>
              <w:t>nd manage</w:t>
            </w:r>
            <w:r w:rsidR="00BF064A" w:rsidRPr="00A17559">
              <w:rPr>
                <w:iCs/>
                <w:spacing w:val="-4"/>
                <w:lang w:val="en-GB"/>
              </w:rPr>
              <w:t>d</w:t>
            </w:r>
            <w:r w:rsidR="00957300" w:rsidRPr="00A17559">
              <w:rPr>
                <w:iCs/>
                <w:spacing w:val="-4"/>
                <w:lang w:val="en-GB"/>
              </w:rPr>
              <w:t xml:space="preserve"> to stay on the level of budget anticipations thanks to higher dynamics in Q2 itself. </w:t>
            </w:r>
            <w:r w:rsidR="003D03B4" w:rsidRPr="00A17559">
              <w:rPr>
                <w:iCs/>
                <w:spacing w:val="-4"/>
                <w:lang w:val="en-GB"/>
              </w:rPr>
              <w:t xml:space="preserve">Collection of tax on tobacco products recorded higher rate of growth despite the fact, that the rates were not raised </w:t>
            </w:r>
            <w:r w:rsidR="003D03B4" w:rsidRPr="00A17559">
              <w:rPr>
                <w:lang w:val="en-GB"/>
              </w:rPr>
              <w:t>this year (for the first time since 2011)</w:t>
            </w:r>
            <w:r w:rsidR="00A45CED" w:rsidRPr="00A17559">
              <w:rPr>
                <w:lang w:val="en-GB"/>
              </w:rPr>
              <w:t>.</w:t>
            </w:r>
            <w:r w:rsidR="003D03B4" w:rsidRPr="00A17559">
              <w:rPr>
                <w:lang w:val="en-GB"/>
              </w:rPr>
              <w:t xml:space="preserve"> Its collection however fluctuates during the year, mainly for the reasons of frequent prestocking. </w:t>
            </w:r>
            <w:r w:rsidR="00957300" w:rsidRPr="00A17559">
              <w:rPr>
                <w:lang w:val="en-GB"/>
              </w:rPr>
              <w:t xml:space="preserve"> </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957300" w:rsidP="003D03B4">
            <w:pPr>
              <w:pStyle w:val="Marginlie"/>
              <w:rPr>
                <w:lang w:val="en-GB"/>
              </w:rPr>
            </w:pPr>
            <w:r w:rsidRPr="00A17559">
              <w:rPr>
                <w:lang w:val="en-GB"/>
              </w:rPr>
              <w:t>Growth of income tax of natural persons from dependent activity</w:t>
            </w:r>
            <w:r w:rsidR="009F3210" w:rsidRPr="00A17559">
              <w:rPr>
                <w:lang w:val="en-GB"/>
              </w:rPr>
              <w:t xml:space="preserve"> </w:t>
            </w:r>
            <w:r w:rsidR="003D03B4" w:rsidRPr="00A17559">
              <w:rPr>
                <w:lang w:val="en-GB"/>
              </w:rPr>
              <w:t>stopped accelerating</w:t>
            </w:r>
            <w:r w:rsidR="00A45CED" w:rsidRPr="00A17559">
              <w:rPr>
                <w:lang w:val="en-GB"/>
              </w:rPr>
              <w:t xml:space="preserve">, </w:t>
            </w:r>
            <w:r w:rsidRPr="00A17559">
              <w:rPr>
                <w:lang w:val="en-GB"/>
              </w:rPr>
              <w:t xml:space="preserve">its pace still overtook the level of business cycle peak in the last decade.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D46B51" w:rsidP="0098717C">
            <w:pPr>
              <w:spacing w:after="200"/>
              <w:rPr>
                <w:spacing w:val="-4"/>
                <w:lang w:val="en-GB"/>
              </w:rPr>
            </w:pPr>
            <w:r w:rsidRPr="00A17559">
              <w:rPr>
                <w:rFonts w:cs="Arial"/>
                <w:color w:val="000000" w:themeColor="text1"/>
                <w:spacing w:val="-4"/>
                <w:lang w:val="en-GB"/>
              </w:rPr>
              <w:t>Income tax of natural p</w:t>
            </w:r>
            <w:r w:rsidR="00B677A6">
              <w:rPr>
                <w:rFonts w:cs="Arial"/>
                <w:color w:val="000000" w:themeColor="text1"/>
                <w:spacing w:val="-4"/>
                <w:lang w:val="en-GB"/>
              </w:rPr>
              <w:t>ersons from dependent activity</w:t>
            </w:r>
            <w:r w:rsidRPr="00A17559">
              <w:rPr>
                <w:rFonts w:cs="Arial"/>
                <w:color w:val="000000" w:themeColor="text1"/>
                <w:spacing w:val="-4"/>
                <w:lang w:val="en-GB"/>
              </w:rPr>
              <w:t xml:space="preserve"> </w:t>
            </w:r>
            <w:r w:rsidR="00B677A6">
              <w:rPr>
                <w:rFonts w:cs="Arial"/>
                <w:color w:val="000000" w:themeColor="text1"/>
                <w:spacing w:val="-4"/>
                <w:lang w:val="en-GB"/>
              </w:rPr>
              <w:t xml:space="preserve">(employment) </w:t>
            </w:r>
            <w:r w:rsidRPr="00A17559">
              <w:rPr>
                <w:rFonts w:cs="Arial"/>
                <w:color w:val="000000" w:themeColor="text1"/>
                <w:spacing w:val="-4"/>
                <w:lang w:val="en-GB"/>
              </w:rPr>
              <w:t xml:space="preserve">further added the most to the growth of the </w:t>
            </w:r>
            <w:r w:rsidR="00941BC7" w:rsidRPr="00A17559">
              <w:rPr>
                <w:rFonts w:cs="Arial"/>
                <w:color w:val="000000" w:themeColor="text1"/>
                <w:spacing w:val="-4"/>
                <w:lang w:val="en-GB"/>
              </w:rPr>
              <w:t>state-wide</w:t>
            </w:r>
            <w:r w:rsidRPr="00A17559">
              <w:rPr>
                <w:rFonts w:cs="Arial"/>
                <w:color w:val="000000" w:themeColor="text1"/>
                <w:spacing w:val="-4"/>
                <w:lang w:val="en-GB"/>
              </w:rPr>
              <w:t xml:space="preserve"> collection of direct taxes. It </w:t>
            </w:r>
            <w:r w:rsidR="00941BC7" w:rsidRPr="00A17559">
              <w:rPr>
                <w:rFonts w:cs="Arial"/>
                <w:color w:val="000000" w:themeColor="text1"/>
                <w:spacing w:val="-4"/>
                <w:lang w:val="en-GB"/>
              </w:rPr>
              <w:t>strengthened</w:t>
            </w:r>
            <w:r w:rsidRPr="00A17559">
              <w:rPr>
                <w:rFonts w:cs="Arial"/>
                <w:color w:val="000000" w:themeColor="text1"/>
                <w:spacing w:val="-4"/>
                <w:lang w:val="en-GB"/>
              </w:rPr>
              <w:t xml:space="preserve"> by 13.3% year-on-year, slightly below the level of budget anticipations. </w:t>
            </w:r>
            <w:r w:rsidR="00223605" w:rsidRPr="00A17559">
              <w:rPr>
                <w:rFonts w:cs="Arial"/>
                <w:color w:val="000000" w:themeColor="text1"/>
                <w:spacing w:val="-4"/>
                <w:lang w:val="en-GB"/>
              </w:rPr>
              <w:t xml:space="preserve">Despite the pace of collection not strengthening any more in contrast to years </w:t>
            </w:r>
            <w:r w:rsidR="00A45CED" w:rsidRPr="00A17559">
              <w:rPr>
                <w:rFonts w:cs="Arial"/>
                <w:color w:val="0D0D0D" w:themeColor="text1" w:themeTint="F2"/>
                <w:spacing w:val="-4"/>
                <w:lang w:val="en-GB"/>
              </w:rPr>
              <w:t>2016</w:t>
            </w:r>
            <w:r w:rsidR="00223605" w:rsidRPr="00A17559">
              <w:rPr>
                <w:rFonts w:cs="Arial"/>
                <w:color w:val="0D0D0D" w:themeColor="text1" w:themeTint="F2"/>
                <w:spacing w:val="-4"/>
                <w:lang w:val="en-GB"/>
              </w:rPr>
              <w:t xml:space="preserve"> till </w:t>
            </w:r>
            <w:r w:rsidR="00A45CED" w:rsidRPr="00A17559">
              <w:rPr>
                <w:rFonts w:cs="Arial"/>
                <w:color w:val="0D0D0D" w:themeColor="text1" w:themeTint="F2"/>
                <w:spacing w:val="-4"/>
                <w:lang w:val="en-GB"/>
              </w:rPr>
              <w:t xml:space="preserve">2018, </w:t>
            </w:r>
            <w:r w:rsidR="000804D8" w:rsidRPr="00A17559">
              <w:rPr>
                <w:rFonts w:cs="Arial"/>
                <w:color w:val="0D0D0D" w:themeColor="text1" w:themeTint="F2"/>
                <w:spacing w:val="-4"/>
                <w:lang w:val="en-GB"/>
              </w:rPr>
              <w:t xml:space="preserve">it still exceeded the dynamics from the business cycle peak period in the last decade. </w:t>
            </w:r>
            <w:r w:rsidR="00EB2251" w:rsidRPr="00A17559">
              <w:rPr>
                <w:rFonts w:cs="Arial"/>
                <w:color w:val="0D0D0D" w:themeColor="text1" w:themeTint="F2"/>
                <w:spacing w:val="-4"/>
                <w:lang w:val="en-GB"/>
              </w:rPr>
              <w:t>Record number of working persons and further also the brisk growth of average earnings, especially in services was also instrumental in this</w:t>
            </w:r>
            <w:r w:rsidR="00A45CED" w:rsidRPr="00A17559">
              <w:rPr>
                <w:rFonts w:cs="Arial"/>
                <w:color w:val="0D0D0D" w:themeColor="text1" w:themeTint="F2"/>
                <w:spacing w:val="-4"/>
                <w:lang w:val="en-GB"/>
              </w:rPr>
              <w:t xml:space="preserve">. </w:t>
            </w:r>
            <w:r w:rsidR="00EB2251" w:rsidRPr="00A17559">
              <w:rPr>
                <w:rFonts w:cs="Arial"/>
                <w:color w:val="0D0D0D" w:themeColor="text1" w:themeTint="F2"/>
                <w:spacing w:val="-4"/>
                <w:lang w:val="en-GB"/>
              </w:rPr>
              <w:t xml:space="preserve">Tax on capital income also recorded a double-digit growth exceeding the budget anticipation. </w:t>
            </w:r>
            <w:r w:rsidR="001A15AF" w:rsidRPr="00A17559">
              <w:rPr>
                <w:rFonts w:cs="Arial"/>
                <w:color w:val="0D0D0D" w:themeColor="text1" w:themeTint="F2"/>
                <w:spacing w:val="-4"/>
                <w:lang w:val="en-GB"/>
              </w:rPr>
              <w:t xml:space="preserve">Collection of income tax of natural persons associated mainly with the volume of sales flowing from small businesses enlarged as well. </w:t>
            </w:r>
            <w:r w:rsidR="00F839D3" w:rsidRPr="00A17559">
              <w:rPr>
                <w:rFonts w:cs="Arial"/>
                <w:color w:val="0D0D0D" w:themeColor="text1" w:themeTint="F2"/>
                <w:spacing w:val="-4"/>
                <w:lang w:val="en-GB"/>
              </w:rPr>
              <w:t xml:space="preserve">The swift growth of the domestic demand was still evident here, widening of tax rebates and tax benefits (e.g. on children) had the opposite effect. </w:t>
            </w:r>
            <w:r w:rsidR="00083F87" w:rsidRPr="00A17559">
              <w:rPr>
                <w:rFonts w:cs="Arial"/>
                <w:color w:val="0D0D0D" w:themeColor="text1" w:themeTint="F2"/>
                <w:spacing w:val="-4"/>
                <w:lang w:val="en-GB"/>
              </w:rPr>
              <w:t>State-wide</w:t>
            </w:r>
            <w:r w:rsidR="00F839D3" w:rsidRPr="00A17559">
              <w:rPr>
                <w:rFonts w:cs="Arial"/>
                <w:color w:val="0D0D0D" w:themeColor="text1" w:themeTint="F2"/>
                <w:spacing w:val="-4"/>
                <w:lang w:val="en-GB"/>
              </w:rPr>
              <w:t xml:space="preserve"> collection of the </w:t>
            </w:r>
            <w:r w:rsidR="00F839D3" w:rsidRPr="00A17559">
              <w:rPr>
                <w:rFonts w:cs="Arial"/>
                <w:color w:val="0D0D0D" w:themeColor="text1" w:themeTint="F2"/>
                <w:spacing w:val="-4"/>
                <w:lang w:val="en-GB"/>
              </w:rPr>
              <w:lastRenderedPageBreak/>
              <w:t xml:space="preserve">corporate tax rose by </w:t>
            </w:r>
            <w:r w:rsidR="00A45CED" w:rsidRPr="00A17559">
              <w:rPr>
                <w:rFonts w:cs="Arial"/>
                <w:spacing w:val="-4"/>
                <w:lang w:val="en-GB"/>
              </w:rPr>
              <w:t>6</w:t>
            </w:r>
            <w:r w:rsidR="00F839D3" w:rsidRPr="00A17559">
              <w:rPr>
                <w:rFonts w:cs="Arial"/>
                <w:spacing w:val="-4"/>
                <w:lang w:val="en-GB"/>
              </w:rPr>
              <w:t>.</w:t>
            </w:r>
            <w:r w:rsidR="00A45CED" w:rsidRPr="00A17559">
              <w:rPr>
                <w:rFonts w:cs="Arial"/>
                <w:spacing w:val="-4"/>
                <w:lang w:val="en-GB"/>
              </w:rPr>
              <w:t>3%</w:t>
            </w:r>
            <w:r w:rsidR="00F839D3" w:rsidRPr="00A17559">
              <w:rPr>
                <w:rFonts w:cs="Arial"/>
                <w:spacing w:val="-4"/>
                <w:lang w:val="en-GB"/>
              </w:rPr>
              <w:t xml:space="preserve"> and reflected the decreasing profitability of businesses, mainly</w:t>
            </w:r>
            <w:r w:rsidR="00083F87" w:rsidRPr="00A17559">
              <w:rPr>
                <w:rFonts w:cs="Arial"/>
                <w:spacing w:val="-4"/>
                <w:lang w:val="en-GB"/>
              </w:rPr>
              <w:t xml:space="preserve"> because of intensifying wage costs</w:t>
            </w:r>
            <w:r w:rsidR="00A45CED" w:rsidRPr="00A17559">
              <w:rPr>
                <w:rFonts w:cs="Arial"/>
                <w:color w:val="0D0D0D" w:themeColor="text1" w:themeTint="F2"/>
                <w:spacing w:val="-4"/>
                <w:lang w:val="en-GB"/>
              </w:rPr>
              <w:t xml:space="preserve">, </w:t>
            </w:r>
            <w:r w:rsidR="00F839D3" w:rsidRPr="00A17559">
              <w:rPr>
                <w:rFonts w:cs="Arial"/>
                <w:color w:val="0D0D0D" w:themeColor="text1" w:themeTint="F2"/>
                <w:spacing w:val="-4"/>
                <w:lang w:val="en-GB"/>
              </w:rPr>
              <w:t xml:space="preserve">but </w:t>
            </w:r>
            <w:r w:rsidR="00083F87" w:rsidRPr="00A17559">
              <w:rPr>
                <w:rFonts w:cs="Arial"/>
                <w:color w:val="0D0D0D" w:themeColor="text1" w:themeTint="F2"/>
                <w:spacing w:val="-4"/>
                <w:lang w:val="en-GB"/>
              </w:rPr>
              <w:t xml:space="preserve">also relatively weaker last year´s basis of this tax. </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083F87" w:rsidP="00083F87">
            <w:pPr>
              <w:pStyle w:val="Marginlie"/>
              <w:rPr>
                <w:lang w:val="en-GB"/>
              </w:rPr>
            </w:pPr>
            <w:r w:rsidRPr="00A17559">
              <w:rPr>
                <w:lang w:val="en-GB"/>
              </w:rPr>
              <w:lastRenderedPageBreak/>
              <w:t xml:space="preserve">Positive net position of the CR towards the EU budget hiked to the three year maximum in H1.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083F87" w:rsidP="007C71B6">
            <w:pPr>
              <w:spacing w:after="220"/>
              <w:rPr>
                <w:spacing w:val="-4"/>
                <w:lang w:val="en-GB"/>
              </w:rPr>
            </w:pPr>
            <w:r w:rsidRPr="00A17559">
              <w:rPr>
                <w:spacing w:val="-4"/>
                <w:lang w:val="en-GB"/>
              </w:rPr>
              <w:t>Even though a moderate decrease of SB revenues from the EU budget occurred this year compared to H</w:t>
            </w:r>
            <w:r w:rsidR="004A5D4E" w:rsidRPr="00A17559">
              <w:rPr>
                <w:spacing w:val="-4"/>
                <w:lang w:val="en-GB"/>
              </w:rPr>
              <w:t>1</w:t>
            </w:r>
            <w:r w:rsidRPr="00A17559">
              <w:rPr>
                <w:spacing w:val="-4"/>
                <w:lang w:val="en-GB"/>
              </w:rPr>
              <w:t xml:space="preserve"> </w:t>
            </w:r>
            <w:r w:rsidR="00A45CED" w:rsidRPr="00A17559">
              <w:rPr>
                <w:spacing w:val="-4"/>
                <w:lang w:val="en-GB"/>
              </w:rPr>
              <w:t>2018</w:t>
            </w:r>
            <w:r w:rsidRPr="00A17559">
              <w:rPr>
                <w:spacing w:val="-4"/>
                <w:lang w:val="en-GB"/>
              </w:rPr>
              <w:t xml:space="preserve"> </w:t>
            </w:r>
            <w:r w:rsidR="00A45CED" w:rsidRPr="00A17559">
              <w:rPr>
                <w:spacing w:val="-4"/>
                <w:lang w:val="en-GB"/>
              </w:rPr>
              <w:t>(</w:t>
            </w:r>
            <w:r w:rsidR="00D46B51" w:rsidRPr="00A17559">
              <w:rPr>
                <w:spacing w:val="-4"/>
                <w:lang w:val="en-GB"/>
              </w:rPr>
              <w:t xml:space="preserve">including </w:t>
            </w:r>
            <w:r w:rsidR="00EB2251" w:rsidRPr="00A17559">
              <w:rPr>
                <w:spacing w:val="-4"/>
                <w:lang w:val="en-GB"/>
              </w:rPr>
              <w:t>f</w:t>
            </w:r>
            <w:r w:rsidR="00D46B51" w:rsidRPr="00A17559">
              <w:rPr>
                <w:spacing w:val="-4"/>
                <w:lang w:val="en-GB"/>
              </w:rPr>
              <w:t>inancial mechanisms</w:t>
            </w:r>
            <w:r w:rsidR="00A45CED" w:rsidRPr="00A17559">
              <w:rPr>
                <w:spacing w:val="-4"/>
                <w:lang w:val="en-GB"/>
              </w:rPr>
              <w:t>), t</w:t>
            </w:r>
            <w:r w:rsidR="00D46B51" w:rsidRPr="00A17559">
              <w:rPr>
                <w:spacing w:val="-4"/>
                <w:lang w:val="en-GB"/>
              </w:rPr>
              <w:t xml:space="preserve">his drop was not </w:t>
            </w:r>
            <w:r w:rsidRPr="00A17559">
              <w:rPr>
                <w:spacing w:val="-4"/>
                <w:lang w:val="en-GB"/>
              </w:rPr>
              <w:t>r</w:t>
            </w:r>
            <w:r w:rsidR="00D46B51" w:rsidRPr="00A17559">
              <w:rPr>
                <w:spacing w:val="-4"/>
                <w:lang w:val="en-GB"/>
              </w:rPr>
              <w:t xml:space="preserve">elated to the current programme period </w:t>
            </w:r>
            <w:r w:rsidR="00A45CED" w:rsidRPr="00A17559">
              <w:rPr>
                <w:spacing w:val="-4"/>
                <w:lang w:val="en-GB"/>
              </w:rPr>
              <w:t>(2014</w:t>
            </w:r>
            <w:r w:rsidR="00403F57" w:rsidRPr="00A17559">
              <w:rPr>
                <w:spacing w:val="-4"/>
                <w:lang w:val="en-GB"/>
              </w:rPr>
              <w:t>–</w:t>
            </w:r>
            <w:r w:rsidR="00A45CED" w:rsidRPr="00A17559">
              <w:rPr>
                <w:spacing w:val="-4"/>
                <w:lang w:val="en-GB"/>
              </w:rPr>
              <w:t>2020).</w:t>
            </w:r>
            <w:r w:rsidR="00D46B51" w:rsidRPr="00A17559">
              <w:rPr>
                <w:spacing w:val="-4"/>
                <w:lang w:val="en-GB"/>
              </w:rPr>
              <w:t xml:space="preserve"> It is</w:t>
            </w:r>
            <w:r w:rsidRPr="00A17559">
              <w:rPr>
                <w:spacing w:val="-4"/>
                <w:lang w:val="en-GB"/>
              </w:rPr>
              <w:t xml:space="preserve"> </w:t>
            </w:r>
            <w:r w:rsidR="00D46B51" w:rsidRPr="00A17559">
              <w:rPr>
                <w:spacing w:val="-4"/>
                <w:lang w:val="en-GB"/>
              </w:rPr>
              <w:t>also</w:t>
            </w:r>
            <w:r w:rsidRPr="00A17559">
              <w:rPr>
                <w:spacing w:val="-4"/>
                <w:lang w:val="en-GB"/>
              </w:rPr>
              <w:t xml:space="preserve"> </w:t>
            </w:r>
            <w:r w:rsidR="00D46B51" w:rsidRPr="00A17559">
              <w:rPr>
                <w:spacing w:val="-4"/>
                <w:lang w:val="en-GB"/>
              </w:rPr>
              <w:t xml:space="preserve">proved by the net position of the CR towards the EU budget. </w:t>
            </w:r>
            <w:r w:rsidRPr="00A17559">
              <w:rPr>
                <w:spacing w:val="-4"/>
                <w:lang w:val="en-GB"/>
              </w:rPr>
              <w:t xml:space="preserve">It attained </w:t>
            </w:r>
            <w:r w:rsidR="00A45CED" w:rsidRPr="00A17559">
              <w:rPr>
                <w:spacing w:val="-4"/>
                <w:lang w:val="en-GB"/>
              </w:rPr>
              <w:t>+24,4</w:t>
            </w:r>
            <w:r w:rsidR="00403F57" w:rsidRPr="00A17559">
              <w:rPr>
                <w:spacing w:val="-4"/>
                <w:lang w:val="en-GB"/>
              </w:rPr>
              <w:t> </w:t>
            </w:r>
            <w:r w:rsidRPr="00A17559">
              <w:rPr>
                <w:spacing w:val="-4"/>
                <w:lang w:val="en-GB"/>
              </w:rPr>
              <w:t xml:space="preserve">CZK bn in H1 and it was the highest for the last three years in this time period. </w:t>
            </w:r>
            <w:r w:rsidR="007C71B6" w:rsidRPr="00A17559">
              <w:rPr>
                <w:spacing w:val="-4"/>
                <w:lang w:val="en-GB"/>
              </w:rPr>
              <w:t xml:space="preserve">Considerable increase of revenues (from 32.9 to 53.9 CZK bn) was exclusively behind the strengthening of the net position this year. </w:t>
            </w:r>
            <w:r w:rsidR="00B772F3" w:rsidRPr="00A17559">
              <w:rPr>
                <w:spacing w:val="-4"/>
                <w:lang w:val="en-GB"/>
              </w:rPr>
              <w:t xml:space="preserve">Size of payments of the CR into the EU budget expanded year-on-year </w:t>
            </w:r>
            <w:r w:rsidR="00A45CED" w:rsidRPr="00A17559">
              <w:rPr>
                <w:spacing w:val="-4"/>
                <w:lang w:val="en-GB"/>
              </w:rPr>
              <w:t>(</w:t>
            </w:r>
            <w:r w:rsidR="00FE494D" w:rsidRPr="00A17559">
              <w:rPr>
                <w:spacing w:val="-4"/>
                <w:lang w:val="en-GB"/>
              </w:rPr>
              <w:t xml:space="preserve">by nearly one third to </w:t>
            </w:r>
            <w:r w:rsidR="00A45CED" w:rsidRPr="00A17559">
              <w:rPr>
                <w:spacing w:val="-4"/>
                <w:lang w:val="en-GB"/>
              </w:rPr>
              <w:t>29</w:t>
            </w:r>
            <w:r w:rsidR="00FE494D" w:rsidRPr="00A17559">
              <w:rPr>
                <w:spacing w:val="-4"/>
                <w:lang w:val="en-GB"/>
              </w:rPr>
              <w:t>.</w:t>
            </w:r>
            <w:r w:rsidR="00A45CED" w:rsidRPr="00A17559">
              <w:rPr>
                <w:spacing w:val="-4"/>
                <w:lang w:val="en-GB"/>
              </w:rPr>
              <w:t>6</w:t>
            </w:r>
            <w:r w:rsidR="00FE494D" w:rsidRPr="00A17559">
              <w:rPr>
                <w:spacing w:val="-4"/>
                <w:lang w:val="en-GB"/>
              </w:rPr>
              <w:t xml:space="preserve"> bn</w:t>
            </w:r>
            <w:r w:rsidR="00403F57" w:rsidRPr="00A17559">
              <w:rPr>
                <w:spacing w:val="-4"/>
                <w:lang w:val="en-GB"/>
              </w:rPr>
              <w:t>.</w:t>
            </w:r>
            <w:r w:rsidR="00A45CED" w:rsidRPr="00A17559">
              <w:rPr>
                <w:spacing w:val="-4"/>
                <w:lang w:val="en-GB"/>
              </w:rPr>
              <w:t>)</w:t>
            </w:r>
            <w:r w:rsidR="00A45CED" w:rsidRPr="00A17559">
              <w:rPr>
                <w:rStyle w:val="Znakapoznpodarou"/>
                <w:spacing w:val="-2"/>
                <w:lang w:val="en-GB"/>
              </w:rPr>
              <w:footnoteReference w:id="6"/>
            </w:r>
            <w:r w:rsidR="00A45CED" w:rsidRPr="00A17559">
              <w:rPr>
                <w:spacing w:val="-2"/>
                <w:lang w:val="en-GB"/>
              </w:rPr>
              <w:t xml:space="preserve">. </w:t>
            </w:r>
            <w:r w:rsidR="007C71B6" w:rsidRPr="00A17559">
              <w:rPr>
                <w:spacing w:val="-2"/>
                <w:lang w:val="en-GB"/>
              </w:rPr>
              <w:t xml:space="preserve">Stronger revenues mirrored faster drawing especially from structural and cohesion funds </w:t>
            </w:r>
            <w:r w:rsidR="00A45CED" w:rsidRPr="00A17559">
              <w:rPr>
                <w:spacing w:val="-2"/>
                <w:lang w:val="en-GB"/>
              </w:rPr>
              <w:t>(+17</w:t>
            </w:r>
            <w:r w:rsidR="007C71B6" w:rsidRPr="00A17559">
              <w:rPr>
                <w:spacing w:val="-2"/>
                <w:lang w:val="en-GB"/>
              </w:rPr>
              <w:t>.</w:t>
            </w:r>
            <w:r w:rsidR="00A45CED" w:rsidRPr="00A17559">
              <w:rPr>
                <w:spacing w:val="-2"/>
                <w:lang w:val="en-GB"/>
              </w:rPr>
              <w:t>5</w:t>
            </w:r>
            <w:r w:rsidR="00403F57" w:rsidRPr="00A17559">
              <w:rPr>
                <w:spacing w:val="-2"/>
                <w:lang w:val="en-GB"/>
              </w:rPr>
              <w:t> </w:t>
            </w:r>
            <w:r w:rsidR="007C71B6" w:rsidRPr="00A17559">
              <w:rPr>
                <w:spacing w:val="-2"/>
                <w:lang w:val="en-GB"/>
              </w:rPr>
              <w:t>CZK bn</w:t>
            </w:r>
            <w:r w:rsidR="00A45CED" w:rsidRPr="00A17559">
              <w:rPr>
                <w:spacing w:val="-2"/>
                <w:lang w:val="en-GB"/>
              </w:rPr>
              <w:t xml:space="preserve">) </w:t>
            </w:r>
            <w:r w:rsidR="002F1B09" w:rsidRPr="00A17559">
              <w:rPr>
                <w:spacing w:val="-2"/>
                <w:lang w:val="en-GB"/>
              </w:rPr>
              <w:t>a</w:t>
            </w:r>
            <w:r w:rsidR="007C71B6" w:rsidRPr="00A17559">
              <w:rPr>
                <w:spacing w:val="-2"/>
                <w:lang w:val="en-GB"/>
              </w:rPr>
              <w:t xml:space="preserve">nd also </w:t>
            </w:r>
            <w:r w:rsidR="00B677A6">
              <w:rPr>
                <w:spacing w:val="-2"/>
                <w:lang w:val="en-GB"/>
              </w:rPr>
              <w:t>in the programmes aimed at</w:t>
            </w:r>
            <w:r w:rsidR="007C71B6" w:rsidRPr="00A17559">
              <w:rPr>
                <w:spacing w:val="-2"/>
                <w:lang w:val="en-GB"/>
              </w:rPr>
              <w:t xml:space="preserve"> rural development. </w:t>
            </w:r>
          </w:p>
        </w:tc>
      </w:tr>
      <w:tr w:rsidR="00A45CED" w:rsidRPr="00A17559" w:rsidTr="000A3D9E">
        <w:trPr>
          <w:trHeight w:val="170"/>
        </w:trPr>
        <w:tc>
          <w:tcPr>
            <w:tcW w:w="1732" w:type="dxa"/>
            <w:vMerge w:val="restart"/>
            <w:tcBorders>
              <w:top w:val="nil"/>
              <w:left w:val="nil"/>
              <w:bottom w:val="nil"/>
              <w:right w:val="nil"/>
            </w:tcBorders>
            <w:shd w:val="clear" w:color="auto" w:fill="auto"/>
            <w:tcMar>
              <w:left w:w="0" w:type="dxa"/>
            </w:tcMar>
          </w:tcPr>
          <w:p w:rsidR="00A45CED" w:rsidRPr="00A17559" w:rsidRDefault="00A45CED" w:rsidP="00A45CED">
            <w:pPr>
              <w:pStyle w:val="Marginlie"/>
              <w:rPr>
                <w:lang w:val="en-GB"/>
              </w:rPr>
            </w:pPr>
          </w:p>
        </w:tc>
        <w:tc>
          <w:tcPr>
            <w:tcW w:w="217" w:type="dxa"/>
            <w:vMerge w:val="restart"/>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450AB0" w:rsidRPr="00A17559" w:rsidRDefault="00D46B51" w:rsidP="00A6092A">
            <w:pPr>
              <w:spacing w:after="0"/>
              <w:rPr>
                <w:rFonts w:cs="Arial"/>
                <w:bCs/>
                <w:lang w:val="en-GB"/>
              </w:rPr>
            </w:pPr>
            <w:r w:rsidRPr="00A17559">
              <w:rPr>
                <w:rFonts w:cs="Arial"/>
                <w:b/>
                <w:bCs/>
                <w:color w:val="000000"/>
                <w:szCs w:val="20"/>
                <w:lang w:val="en-GB"/>
              </w:rPr>
              <w:t xml:space="preserve">Chart </w:t>
            </w:r>
            <w:r w:rsidR="00A45CED" w:rsidRPr="00A17559">
              <w:rPr>
                <w:rFonts w:cs="Arial"/>
                <w:b/>
                <w:bCs/>
                <w:color w:val="000000"/>
                <w:szCs w:val="20"/>
                <w:lang w:val="en-GB"/>
              </w:rPr>
              <w:t>17</w:t>
            </w:r>
            <w:r w:rsidR="00A45CED" w:rsidRPr="00A17559">
              <w:rPr>
                <w:rFonts w:cs="Arial"/>
                <w:b/>
                <w:bCs/>
                <w:color w:val="000000"/>
                <w:sz w:val="18"/>
                <w:szCs w:val="18"/>
                <w:lang w:val="en-GB"/>
              </w:rPr>
              <w:t xml:space="preserve">  </w:t>
            </w:r>
            <w:r w:rsidR="00450AB0" w:rsidRPr="00A17559">
              <w:rPr>
                <w:rFonts w:cs="Arial"/>
                <w:b/>
                <w:bCs/>
                <w:lang w:val="en-GB"/>
              </w:rPr>
              <w:t xml:space="preserve">State wide collection of selected tax incomes </w:t>
            </w:r>
            <w:r w:rsidR="00450AB0" w:rsidRPr="00A17559">
              <w:rPr>
                <w:rFonts w:cs="Arial"/>
                <w:bCs/>
                <w:lang w:val="en-GB"/>
              </w:rPr>
              <w:t xml:space="preserve">(year-on-year in </w:t>
            </w:r>
            <w:r w:rsidR="00450AB0" w:rsidRPr="00A17559">
              <w:rPr>
                <w:bCs/>
                <w:spacing w:val="-2"/>
                <w:lang w:val="en-GB"/>
              </w:rPr>
              <w:t>%)</w:t>
            </w:r>
            <w:r w:rsidR="00450AB0" w:rsidRPr="00A17559">
              <w:rPr>
                <w:rFonts w:cs="Arial"/>
                <w:bCs/>
                <w:lang w:val="en-GB"/>
              </w:rPr>
              <w:t xml:space="preserve"> </w:t>
            </w:r>
          </w:p>
          <w:p w:rsidR="00A45CED" w:rsidRPr="00A17559" w:rsidRDefault="00450AB0" w:rsidP="00A6092A">
            <w:pPr>
              <w:spacing w:after="0"/>
              <w:rPr>
                <w:rFonts w:cs="Arial"/>
                <w:bCs/>
                <w:lang w:val="en-GB"/>
              </w:rPr>
            </w:pPr>
            <w:r w:rsidRPr="00A17559">
              <w:rPr>
                <w:rFonts w:cs="Arial"/>
                <w:b/>
                <w:bCs/>
                <w:lang w:val="en-GB"/>
              </w:rPr>
              <w:t xml:space="preserve">and state budget balance </w:t>
            </w:r>
            <w:r w:rsidRPr="00A17559">
              <w:rPr>
                <w:rFonts w:cs="Arial"/>
                <w:bCs/>
                <w:lang w:val="en-GB"/>
              </w:rPr>
              <w:t xml:space="preserve">(in CZK bn) </w:t>
            </w:r>
            <w:r w:rsidRPr="00A17559">
              <w:rPr>
                <w:rFonts w:cs="Arial"/>
                <w:b/>
                <w:bCs/>
                <w:lang w:val="en-GB"/>
              </w:rPr>
              <w:t>in H1</w:t>
            </w:r>
          </w:p>
        </w:tc>
      </w:tr>
      <w:tr w:rsidR="00A45CED" w:rsidRPr="00A17559" w:rsidTr="005A2FC3">
        <w:tblPrEx>
          <w:tblCellMar>
            <w:left w:w="70" w:type="dxa"/>
            <w:right w:w="70" w:type="dxa"/>
          </w:tblCellMar>
        </w:tblPrEx>
        <w:trPr>
          <w:trHeight w:val="170"/>
        </w:trPr>
        <w:tc>
          <w:tcPr>
            <w:tcW w:w="1732" w:type="dxa"/>
            <w:vMerge/>
            <w:tcBorders>
              <w:top w:val="nil"/>
              <w:left w:val="nil"/>
              <w:bottom w:val="nil"/>
              <w:right w:val="nil"/>
            </w:tcBorders>
            <w:shd w:val="clear" w:color="auto" w:fill="auto"/>
          </w:tcPr>
          <w:p w:rsidR="00A45CED" w:rsidRPr="00A17559" w:rsidRDefault="00A45CED" w:rsidP="00A45CED">
            <w:pPr>
              <w:pStyle w:val="Marginlie"/>
              <w:rPr>
                <w:lang w:val="en-GB"/>
              </w:rPr>
            </w:pPr>
          </w:p>
        </w:tc>
        <w:tc>
          <w:tcPr>
            <w:tcW w:w="217" w:type="dxa"/>
            <w:vMerge/>
            <w:tcBorders>
              <w:top w:val="nil"/>
              <w:left w:val="nil"/>
              <w:bottom w:val="nil"/>
              <w:right w:val="nil"/>
            </w:tcBorders>
            <w:shd w:val="clear" w:color="auto" w:fill="auto"/>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Pr>
          <w:p w:rsidR="00A45CED" w:rsidRPr="00A17559" w:rsidRDefault="005A2FC3" w:rsidP="00A45CED">
            <w:pPr>
              <w:spacing w:after="0"/>
              <w:rPr>
                <w:lang w:val="en-GB"/>
              </w:rPr>
            </w:pPr>
            <w:r>
              <w:rPr>
                <w:noProof/>
              </w:rPr>
              <w:drawing>
                <wp:inline distT="0" distB="0" distL="0" distR="0" wp14:anchorId="15414268" wp14:editId="1BE00696">
                  <wp:extent cx="4741545" cy="3462035"/>
                  <wp:effectExtent l="0" t="0" r="1905" b="508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45CED" w:rsidRPr="00A17559" w:rsidTr="000A3D9E">
        <w:trPr>
          <w:trHeight w:val="170"/>
        </w:trPr>
        <w:tc>
          <w:tcPr>
            <w:tcW w:w="1732" w:type="dxa"/>
            <w:vMerge/>
            <w:tcBorders>
              <w:top w:val="nil"/>
              <w:left w:val="nil"/>
              <w:bottom w:val="nil"/>
              <w:right w:val="nil"/>
            </w:tcBorders>
            <w:shd w:val="clear" w:color="auto" w:fill="auto"/>
            <w:tcMar>
              <w:left w:w="0" w:type="dxa"/>
            </w:tcMar>
          </w:tcPr>
          <w:p w:rsidR="00A45CED" w:rsidRPr="00A17559" w:rsidRDefault="00A45CED" w:rsidP="00A45CED">
            <w:pPr>
              <w:pStyle w:val="Marginlie"/>
              <w:rPr>
                <w:lang w:val="en-GB"/>
              </w:rPr>
            </w:pPr>
          </w:p>
        </w:tc>
        <w:tc>
          <w:tcPr>
            <w:tcW w:w="217" w:type="dxa"/>
            <w:vMerge/>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C95774" w:rsidRPr="0098717C" w:rsidRDefault="00C95774" w:rsidP="0098717C">
            <w:pPr>
              <w:spacing w:after="200" w:line="240" w:lineRule="auto"/>
              <w:jc w:val="left"/>
              <w:rPr>
                <w:sz w:val="14"/>
                <w:szCs w:val="14"/>
                <w:lang w:val="en-GB"/>
              </w:rPr>
            </w:pPr>
            <w:r w:rsidRPr="00A17559">
              <w:rPr>
                <w:sz w:val="14"/>
                <w:szCs w:val="14"/>
                <w:lang w:val="en-GB"/>
              </w:rPr>
              <w:t>Source</w:t>
            </w:r>
            <w:r w:rsidR="00A45CED" w:rsidRPr="00A17559">
              <w:rPr>
                <w:sz w:val="14"/>
                <w:szCs w:val="14"/>
                <w:lang w:val="en-GB"/>
              </w:rPr>
              <w:t>: MF</w:t>
            </w:r>
            <w:r w:rsidR="00F13FDB" w:rsidRPr="00A17559">
              <w:rPr>
                <w:sz w:val="14"/>
                <w:szCs w:val="14"/>
                <w:lang w:val="en-GB"/>
              </w:rPr>
              <w:t> </w:t>
            </w:r>
            <w:r w:rsidRPr="00A17559">
              <w:rPr>
                <w:sz w:val="14"/>
                <w:szCs w:val="14"/>
                <w:lang w:val="en-GB"/>
              </w:rPr>
              <w:t>C</w:t>
            </w:r>
            <w:r w:rsidR="0098717C">
              <w:rPr>
                <w:sz w:val="14"/>
                <w:szCs w:val="14"/>
                <w:lang w:val="en-GB"/>
              </w:rPr>
              <w:t>R</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553B25" w:rsidP="00553B25">
            <w:pPr>
              <w:pStyle w:val="Marginlie"/>
              <w:rPr>
                <w:lang w:val="en-GB"/>
              </w:rPr>
            </w:pPr>
            <w:r w:rsidRPr="00A17559">
              <w:rPr>
                <w:lang w:val="en-GB"/>
              </w:rPr>
              <w:t xml:space="preserve">Faster drawing of funds from the EU budget stood behind the </w:t>
            </w:r>
            <w:r w:rsidR="005C19E9" w:rsidRPr="00A17559">
              <w:rPr>
                <w:lang w:val="en-GB"/>
              </w:rPr>
              <w:t>strengthened</w:t>
            </w:r>
            <w:r w:rsidRPr="00A17559">
              <w:rPr>
                <w:lang w:val="en-GB"/>
              </w:rPr>
              <w:t xml:space="preserve"> investment activity of the state.  </w:t>
            </w: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553B25" w:rsidP="006C3FFC">
            <w:pPr>
              <w:spacing w:after="220"/>
              <w:rPr>
                <w:lang w:val="en-GB"/>
              </w:rPr>
            </w:pPr>
            <w:r w:rsidRPr="00A17559">
              <w:rPr>
                <w:spacing w:val="-4"/>
                <w:lang w:val="en-GB"/>
              </w:rPr>
              <w:t xml:space="preserve">Total SB expenditures </w:t>
            </w:r>
            <w:r w:rsidR="00CF0257" w:rsidRPr="00A17559">
              <w:rPr>
                <w:spacing w:val="-4"/>
                <w:lang w:val="en-GB"/>
              </w:rPr>
              <w:t xml:space="preserve">increased by one tenth year-on-year in H1, similarly to the same period of year </w:t>
            </w:r>
            <w:r w:rsidR="00A45CED" w:rsidRPr="00A17559">
              <w:rPr>
                <w:spacing w:val="-4"/>
                <w:lang w:val="en-GB"/>
              </w:rPr>
              <w:t>201</w:t>
            </w:r>
            <w:r w:rsidR="004A5D4E" w:rsidRPr="00A17559">
              <w:rPr>
                <w:spacing w:val="-4"/>
                <w:lang w:val="en-GB"/>
              </w:rPr>
              <w:t>8.</w:t>
            </w:r>
            <w:r w:rsidR="00AE7269" w:rsidRPr="00A17559">
              <w:rPr>
                <w:spacing w:val="-4"/>
                <w:lang w:val="en-GB"/>
              </w:rPr>
              <w:t xml:space="preserve"> </w:t>
            </w:r>
            <w:r w:rsidR="00CF0257" w:rsidRPr="00A17559">
              <w:rPr>
                <w:spacing w:val="-4"/>
                <w:lang w:val="en-GB"/>
              </w:rPr>
              <w:t xml:space="preserve">Both current </w:t>
            </w:r>
            <w:r w:rsidR="00A45CED" w:rsidRPr="00A17559">
              <w:rPr>
                <w:spacing w:val="-4"/>
                <w:lang w:val="en-GB"/>
              </w:rPr>
              <w:t>(+58</w:t>
            </w:r>
            <w:r w:rsidR="00CF0257" w:rsidRPr="00A17559">
              <w:rPr>
                <w:spacing w:val="-4"/>
                <w:lang w:val="en-GB"/>
              </w:rPr>
              <w:t>.</w:t>
            </w:r>
            <w:r w:rsidR="00A45CED" w:rsidRPr="00A17559">
              <w:rPr>
                <w:spacing w:val="-4"/>
                <w:lang w:val="en-GB"/>
              </w:rPr>
              <w:t>1</w:t>
            </w:r>
            <w:r w:rsidR="00CF0257" w:rsidRPr="00A17559">
              <w:rPr>
                <w:spacing w:val="-4"/>
                <w:lang w:val="en-GB"/>
              </w:rPr>
              <w:t xml:space="preserve"> CZK bn) and capital expenditures </w:t>
            </w:r>
            <w:r w:rsidR="00A45CED" w:rsidRPr="00A17559">
              <w:rPr>
                <w:spacing w:val="-4"/>
                <w:lang w:val="en-GB"/>
              </w:rPr>
              <w:t>(+12</w:t>
            </w:r>
            <w:r w:rsidR="00CF0257" w:rsidRPr="00A17559">
              <w:rPr>
                <w:spacing w:val="-4"/>
                <w:lang w:val="en-GB"/>
              </w:rPr>
              <w:t>.</w:t>
            </w:r>
            <w:r w:rsidR="00A45CED" w:rsidRPr="00A17559">
              <w:rPr>
                <w:spacing w:val="-4"/>
                <w:lang w:val="en-GB"/>
              </w:rPr>
              <w:t>5</w:t>
            </w:r>
            <w:r w:rsidR="00CF0257" w:rsidRPr="00A17559">
              <w:rPr>
                <w:spacing w:val="-4"/>
                <w:lang w:val="en-GB"/>
              </w:rPr>
              <w:t xml:space="preserve"> bn</w:t>
            </w:r>
            <w:r w:rsidR="00A45CED" w:rsidRPr="00A17559">
              <w:rPr>
                <w:spacing w:val="-4"/>
                <w:lang w:val="en-GB"/>
              </w:rPr>
              <w:t>)</w:t>
            </w:r>
            <w:r w:rsidR="00CF0257" w:rsidRPr="00A17559">
              <w:rPr>
                <w:spacing w:val="-4"/>
                <w:lang w:val="en-GB"/>
              </w:rPr>
              <w:t xml:space="preserve"> added to the growth this year</w:t>
            </w:r>
            <w:r w:rsidR="00A45CED" w:rsidRPr="00A17559">
              <w:rPr>
                <w:spacing w:val="-4"/>
                <w:lang w:val="en-GB"/>
              </w:rPr>
              <w:t>.</w:t>
            </w:r>
            <w:r w:rsidR="00CF0257" w:rsidRPr="00A17559">
              <w:rPr>
                <w:spacing w:val="-4"/>
                <w:lang w:val="en-GB"/>
              </w:rPr>
              <w:t xml:space="preserve"> More than </w:t>
            </w:r>
            <w:r w:rsidR="00A45CED" w:rsidRPr="00A17559">
              <w:rPr>
                <w:spacing w:val="-4"/>
                <w:lang w:val="en-GB"/>
              </w:rPr>
              <w:t>70%</w:t>
            </w:r>
            <w:r w:rsidR="00CF0257" w:rsidRPr="00A17559">
              <w:rPr>
                <w:spacing w:val="-4"/>
                <w:lang w:val="en-GB"/>
              </w:rPr>
              <w:t xml:space="preserve"> of </w:t>
            </w:r>
            <w:r w:rsidR="00F37F05" w:rsidRPr="00A17559">
              <w:rPr>
                <w:spacing w:val="-4"/>
                <w:lang w:val="en-GB"/>
              </w:rPr>
              <w:t>investment was</w:t>
            </w:r>
            <w:r w:rsidR="00CF0257" w:rsidRPr="00A17559">
              <w:rPr>
                <w:spacing w:val="-4"/>
                <w:lang w:val="en-GB"/>
              </w:rPr>
              <w:t xml:space="preserve"> aimed at the common CR and EU projects</w:t>
            </w:r>
            <w:r w:rsidR="00A45CED" w:rsidRPr="00A17559">
              <w:rPr>
                <w:rStyle w:val="Znakapoznpodarou"/>
                <w:spacing w:val="-4"/>
                <w:lang w:val="en-GB"/>
              </w:rPr>
              <w:footnoteReference w:id="7"/>
            </w:r>
            <w:r w:rsidR="00A45CED" w:rsidRPr="00A17559">
              <w:rPr>
                <w:spacing w:val="-4"/>
                <w:lang w:val="en-GB"/>
              </w:rPr>
              <w:t xml:space="preserve">, </w:t>
            </w:r>
            <w:r w:rsidR="00CF0257" w:rsidRPr="00A17559">
              <w:rPr>
                <w:spacing w:val="-4"/>
                <w:lang w:val="en-GB"/>
              </w:rPr>
              <w:t xml:space="preserve">their volume expanded by nearly </w:t>
            </w:r>
            <w:r w:rsidR="00A45CED" w:rsidRPr="00A17559">
              <w:rPr>
                <w:spacing w:val="-4"/>
                <w:lang w:val="en-GB"/>
              </w:rPr>
              <w:t>10 </w:t>
            </w:r>
            <w:r w:rsidR="00CF0257" w:rsidRPr="00A17559">
              <w:rPr>
                <w:spacing w:val="-4"/>
                <w:lang w:val="en-GB"/>
              </w:rPr>
              <w:t>CZK bn year-on-year</w:t>
            </w:r>
            <w:r w:rsidR="00A45CED" w:rsidRPr="00A17559">
              <w:rPr>
                <w:spacing w:val="-4"/>
                <w:lang w:val="en-GB"/>
              </w:rPr>
              <w:t>.</w:t>
            </w:r>
            <w:r w:rsidR="00CF0257" w:rsidRPr="00A17559">
              <w:rPr>
                <w:spacing w:val="-4"/>
                <w:lang w:val="en-GB"/>
              </w:rPr>
              <w:t xml:space="preserve"> </w:t>
            </w:r>
            <w:r w:rsidR="00A45CED" w:rsidRPr="00A17559">
              <w:rPr>
                <w:spacing w:val="-4"/>
                <w:lang w:val="en-GB"/>
              </w:rPr>
              <w:t xml:space="preserve"> </w:t>
            </w:r>
            <w:r w:rsidR="00802CEF" w:rsidRPr="00A17559">
              <w:rPr>
                <w:spacing w:val="-4"/>
                <w:lang w:val="en-GB"/>
              </w:rPr>
              <w:t xml:space="preserve">Investment drawing has been only 36% of the annual </w:t>
            </w:r>
            <w:r w:rsidR="00E24DEF">
              <w:rPr>
                <w:spacing w:val="-4"/>
                <w:lang w:val="en-GB"/>
              </w:rPr>
              <w:t xml:space="preserve">planned </w:t>
            </w:r>
            <w:r w:rsidR="00802CEF" w:rsidRPr="00A17559">
              <w:rPr>
                <w:spacing w:val="-4"/>
                <w:lang w:val="en-GB"/>
              </w:rPr>
              <w:t>budgeted amount at the end of June this year (similarly to last year)</w:t>
            </w:r>
            <w:r w:rsidR="00A45CED" w:rsidRPr="00A17559">
              <w:rPr>
                <w:spacing w:val="-4"/>
                <w:lang w:val="en-GB"/>
              </w:rPr>
              <w:t>,</w:t>
            </w:r>
            <w:r w:rsidR="00802CEF" w:rsidRPr="00A17559">
              <w:rPr>
                <w:spacing w:val="-4"/>
                <w:lang w:val="en-GB"/>
              </w:rPr>
              <w:t xml:space="preserve"> mainly because of slower onset of solely national investment </w:t>
            </w:r>
            <w:r w:rsidR="00A45CED" w:rsidRPr="00A17559">
              <w:rPr>
                <w:spacing w:val="-4"/>
                <w:lang w:val="en-GB"/>
              </w:rPr>
              <w:t>(17</w:t>
            </w:r>
            <w:r w:rsidR="00403F57" w:rsidRPr="00A17559">
              <w:rPr>
                <w:spacing w:val="-4"/>
                <w:lang w:val="en-GB"/>
              </w:rPr>
              <w:t>%</w:t>
            </w:r>
            <w:r w:rsidR="00A45CED" w:rsidRPr="00A17559">
              <w:rPr>
                <w:spacing w:val="-4"/>
                <w:lang w:val="en-GB"/>
              </w:rPr>
              <w:t>).</w:t>
            </w:r>
            <w:r w:rsidR="00802CEF" w:rsidRPr="00A17559">
              <w:rPr>
                <w:spacing w:val="-4"/>
                <w:lang w:val="en-GB"/>
              </w:rPr>
              <w:t xml:space="preserve"> Proportion of investment on all SB expenditures was rising already second year in a row </w:t>
            </w:r>
            <w:r w:rsidR="002F1B09" w:rsidRPr="00A17559">
              <w:rPr>
                <w:spacing w:val="-4"/>
                <w:lang w:val="en-GB"/>
              </w:rPr>
              <w:t>a</w:t>
            </w:r>
            <w:r w:rsidR="00802CEF" w:rsidRPr="00A17559">
              <w:rPr>
                <w:spacing w:val="-4"/>
                <w:lang w:val="en-GB"/>
              </w:rPr>
              <w:t>nd</w:t>
            </w:r>
            <w:r w:rsidR="002F1B09" w:rsidRPr="00A17559">
              <w:rPr>
                <w:spacing w:val="-4"/>
                <w:lang w:val="en-GB"/>
              </w:rPr>
              <w:t> </w:t>
            </w:r>
            <w:r w:rsidR="00802CEF" w:rsidRPr="00A17559">
              <w:rPr>
                <w:spacing w:val="-4"/>
                <w:lang w:val="en-GB"/>
              </w:rPr>
              <w:t xml:space="preserve">amounted to </w:t>
            </w:r>
            <w:r w:rsidR="00A45CED" w:rsidRPr="00A17559">
              <w:rPr>
                <w:spacing w:val="-4"/>
                <w:lang w:val="en-GB"/>
              </w:rPr>
              <w:t>6</w:t>
            </w:r>
            <w:r w:rsidR="00802CEF" w:rsidRPr="00A17559">
              <w:rPr>
                <w:spacing w:val="-4"/>
                <w:lang w:val="en-GB"/>
              </w:rPr>
              <w:t>.</w:t>
            </w:r>
            <w:r w:rsidR="00A45CED" w:rsidRPr="00A17559">
              <w:rPr>
                <w:spacing w:val="-4"/>
                <w:lang w:val="en-GB"/>
              </w:rPr>
              <w:t>0% (</w:t>
            </w:r>
            <w:r w:rsidR="00802CEF" w:rsidRPr="00A17559">
              <w:rPr>
                <w:spacing w:val="-4"/>
                <w:lang w:val="en-GB"/>
              </w:rPr>
              <w:t>average for the whole decade</w:t>
            </w:r>
            <w:r w:rsidR="006C3FFC" w:rsidRPr="00A17559">
              <w:rPr>
                <w:spacing w:val="-4"/>
                <w:lang w:val="en-GB"/>
              </w:rPr>
              <w:t xml:space="preserve"> was </w:t>
            </w:r>
            <w:r w:rsidR="00A45CED" w:rsidRPr="00A17559">
              <w:rPr>
                <w:spacing w:val="-4"/>
                <w:lang w:val="en-GB"/>
              </w:rPr>
              <w:t>6</w:t>
            </w:r>
            <w:r w:rsidR="006C3FFC" w:rsidRPr="00A17559">
              <w:rPr>
                <w:spacing w:val="-4"/>
                <w:lang w:val="en-GB"/>
              </w:rPr>
              <w:t>.</w:t>
            </w:r>
            <w:r w:rsidR="00A45CED" w:rsidRPr="00A17559">
              <w:rPr>
                <w:spacing w:val="-4"/>
                <w:lang w:val="en-GB"/>
              </w:rPr>
              <w:t>6</w:t>
            </w:r>
            <w:r w:rsidR="00403F57" w:rsidRPr="00A17559">
              <w:rPr>
                <w:spacing w:val="-4"/>
                <w:lang w:val="en-GB"/>
              </w:rPr>
              <w:t>%</w:t>
            </w:r>
            <w:r w:rsidR="00A45CED" w:rsidRPr="00A17559">
              <w:rPr>
                <w:spacing w:val="-4"/>
                <w:lang w:val="en-GB"/>
              </w:rPr>
              <w:t>).</w:t>
            </w:r>
          </w:p>
        </w:tc>
      </w:tr>
      <w:tr w:rsidR="00A45CED" w:rsidRPr="00A17559" w:rsidTr="000A3D9E">
        <w:trPr>
          <w:trHeight w:val="145"/>
        </w:trPr>
        <w:tc>
          <w:tcPr>
            <w:tcW w:w="1732" w:type="dxa"/>
            <w:tcBorders>
              <w:top w:val="nil"/>
              <w:left w:val="nil"/>
              <w:bottom w:val="nil"/>
              <w:right w:val="nil"/>
            </w:tcBorders>
            <w:shd w:val="clear" w:color="auto" w:fill="auto"/>
            <w:tcMar>
              <w:left w:w="0" w:type="dxa"/>
            </w:tcMar>
          </w:tcPr>
          <w:p w:rsidR="00A45CED" w:rsidRPr="00A17559" w:rsidRDefault="00441755" w:rsidP="00A45CED">
            <w:pPr>
              <w:pStyle w:val="Marginlie"/>
              <w:rPr>
                <w:lang w:val="en-GB"/>
              </w:rPr>
            </w:pPr>
            <w:r w:rsidRPr="00A17559">
              <w:rPr>
                <w:lang w:val="en-GB"/>
              </w:rPr>
              <w:t xml:space="preserve">Growth of current SB expenditures accelerated mostly due to the effect of higher expenditures on </w:t>
            </w:r>
            <w:r w:rsidRPr="00A17559">
              <w:rPr>
                <w:lang w:val="en-GB"/>
              </w:rPr>
              <w:lastRenderedPageBreak/>
              <w:t xml:space="preserve">pensions and wages of employees in the budget sphere. </w:t>
            </w:r>
          </w:p>
          <w:p w:rsidR="00A45CED" w:rsidRPr="00A17559" w:rsidRDefault="00A45CED" w:rsidP="00441755">
            <w:pPr>
              <w:pStyle w:val="Marginlie"/>
              <w:rPr>
                <w:lang w:val="en-GB"/>
              </w:rPr>
            </w:pPr>
          </w:p>
        </w:tc>
        <w:tc>
          <w:tcPr>
            <w:tcW w:w="217" w:type="dxa"/>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441755" w:rsidP="000E7DEA">
            <w:pPr>
              <w:spacing w:after="200"/>
              <w:rPr>
                <w:spacing w:val="-2"/>
                <w:lang w:val="en-GB"/>
              </w:rPr>
            </w:pPr>
            <w:r w:rsidRPr="00A17559">
              <w:rPr>
                <w:spacing w:val="-4"/>
                <w:lang w:val="en-GB"/>
              </w:rPr>
              <w:t xml:space="preserve">Rate of growth of current </w:t>
            </w:r>
            <w:r w:rsidR="00B6318A" w:rsidRPr="00A17559">
              <w:rPr>
                <w:spacing w:val="-4"/>
                <w:lang w:val="en-GB"/>
              </w:rPr>
              <w:t xml:space="preserve">SB expenditures </w:t>
            </w:r>
            <w:r w:rsidR="00F24FBC" w:rsidRPr="00A17559">
              <w:rPr>
                <w:spacing w:val="-4"/>
                <w:lang w:val="en-GB"/>
              </w:rPr>
              <w:t>strengthened</w:t>
            </w:r>
            <w:r w:rsidR="00B6318A" w:rsidRPr="00A17559">
              <w:rPr>
                <w:spacing w:val="-4"/>
                <w:lang w:val="en-GB"/>
              </w:rPr>
              <w:t xml:space="preserve"> within H</w:t>
            </w:r>
            <w:r w:rsidR="004A5D4E" w:rsidRPr="00A17559">
              <w:rPr>
                <w:spacing w:val="-4"/>
                <w:lang w:val="en-GB"/>
              </w:rPr>
              <w:t>1</w:t>
            </w:r>
            <w:r w:rsidR="00B6318A" w:rsidRPr="00A17559">
              <w:rPr>
                <w:spacing w:val="-4"/>
                <w:lang w:val="en-GB"/>
              </w:rPr>
              <w:t xml:space="preserve"> already third year in a row. It climbed to </w:t>
            </w:r>
            <w:r w:rsidR="00A45CED" w:rsidRPr="00A17559">
              <w:rPr>
                <w:spacing w:val="-4"/>
                <w:lang w:val="en-GB"/>
              </w:rPr>
              <w:t>8</w:t>
            </w:r>
            <w:r w:rsidR="00B6318A" w:rsidRPr="00A17559">
              <w:rPr>
                <w:spacing w:val="-4"/>
                <w:lang w:val="en-GB"/>
              </w:rPr>
              <w:t>.</w:t>
            </w:r>
            <w:r w:rsidR="00A45CED" w:rsidRPr="00A17559">
              <w:rPr>
                <w:spacing w:val="-4"/>
                <w:lang w:val="en-GB"/>
              </w:rPr>
              <w:t>8</w:t>
            </w:r>
            <w:r w:rsidR="00403F57" w:rsidRPr="00A17559">
              <w:rPr>
                <w:spacing w:val="-4"/>
                <w:lang w:val="en-GB"/>
              </w:rPr>
              <w:t>%</w:t>
            </w:r>
            <w:r w:rsidR="00B6318A" w:rsidRPr="00A17559">
              <w:rPr>
                <w:spacing w:val="-4"/>
                <w:lang w:val="en-GB"/>
              </w:rPr>
              <w:t xml:space="preserve"> this year</w:t>
            </w:r>
            <w:r w:rsidR="00A45CED" w:rsidRPr="00A17559">
              <w:rPr>
                <w:spacing w:val="-4"/>
                <w:lang w:val="en-GB"/>
              </w:rPr>
              <w:t xml:space="preserve">, </w:t>
            </w:r>
            <w:r w:rsidR="00B6318A" w:rsidRPr="00A17559">
              <w:rPr>
                <w:spacing w:val="-4"/>
                <w:lang w:val="en-GB"/>
              </w:rPr>
              <w:t>the most in the last thirteen years</w:t>
            </w:r>
            <w:r w:rsidR="00A45CED" w:rsidRPr="00A17559">
              <w:rPr>
                <w:spacing w:val="-4"/>
                <w:lang w:val="en-GB"/>
              </w:rPr>
              <w:t xml:space="preserve">. </w:t>
            </w:r>
            <w:r w:rsidR="00B3504B" w:rsidRPr="00A17559">
              <w:rPr>
                <w:spacing w:val="-4"/>
                <w:lang w:val="en-GB"/>
              </w:rPr>
              <w:t>Higher</w:t>
            </w:r>
            <w:r w:rsidR="00B6318A" w:rsidRPr="00A17559">
              <w:rPr>
                <w:spacing w:val="-4"/>
                <w:lang w:val="en-GB"/>
              </w:rPr>
              <w:t xml:space="preserve"> expenditures on social benefits shared </w:t>
            </w:r>
            <w:r w:rsidR="00306880" w:rsidRPr="00A17559">
              <w:rPr>
                <w:spacing w:val="-4"/>
                <w:lang w:val="en-GB"/>
              </w:rPr>
              <w:t xml:space="preserve">in </w:t>
            </w:r>
            <w:r w:rsidR="00B6318A" w:rsidRPr="00A17559">
              <w:rPr>
                <w:spacing w:val="-4"/>
                <w:lang w:val="en-GB"/>
              </w:rPr>
              <w:t xml:space="preserve">it by nearly one third </w:t>
            </w:r>
            <w:r w:rsidR="00A45CED" w:rsidRPr="00A17559">
              <w:rPr>
                <w:rFonts w:cs="Arial"/>
                <w:color w:val="0D0D0D" w:themeColor="text1" w:themeTint="F2"/>
                <w:spacing w:val="-4"/>
                <w:lang w:val="en-GB"/>
              </w:rPr>
              <w:t>(</w:t>
            </w:r>
            <w:r w:rsidR="00B6318A" w:rsidRPr="00A17559">
              <w:rPr>
                <w:rFonts w:cs="Arial"/>
                <w:color w:val="0D0D0D" w:themeColor="text1" w:themeTint="F2"/>
                <w:spacing w:val="-4"/>
                <w:lang w:val="en-GB"/>
              </w:rPr>
              <w:t xml:space="preserve">growth of </w:t>
            </w:r>
            <w:r w:rsidR="00A45CED" w:rsidRPr="00A17559">
              <w:rPr>
                <w:rFonts w:cs="Arial"/>
                <w:color w:val="0D0D0D" w:themeColor="text1" w:themeTint="F2"/>
                <w:spacing w:val="-4"/>
                <w:lang w:val="en-GB"/>
              </w:rPr>
              <w:t>22</w:t>
            </w:r>
            <w:r w:rsidR="00403F57" w:rsidRPr="00A17559">
              <w:rPr>
                <w:rFonts w:cs="Arial"/>
                <w:color w:val="0D0D0D" w:themeColor="text1" w:themeTint="F2"/>
                <w:spacing w:val="-4"/>
                <w:lang w:val="en-GB"/>
              </w:rPr>
              <w:t> </w:t>
            </w:r>
            <w:r w:rsidR="00B6318A" w:rsidRPr="00A17559">
              <w:rPr>
                <w:rFonts w:cs="Arial"/>
                <w:color w:val="0D0D0D" w:themeColor="text1" w:themeTint="F2"/>
                <w:spacing w:val="-4"/>
                <w:lang w:val="en-GB"/>
              </w:rPr>
              <w:t>CZK bn</w:t>
            </w:r>
            <w:r w:rsidR="00A45CED" w:rsidRPr="00A17559">
              <w:rPr>
                <w:rFonts w:cs="Arial"/>
                <w:color w:val="0D0D0D" w:themeColor="text1" w:themeTint="F2"/>
                <w:spacing w:val="-4"/>
                <w:lang w:val="en-GB"/>
              </w:rPr>
              <w:t xml:space="preserve">). </w:t>
            </w:r>
            <w:r w:rsidR="004057F8" w:rsidRPr="00A17559">
              <w:rPr>
                <w:rFonts w:cs="Arial"/>
                <w:color w:val="0D0D0D" w:themeColor="text1" w:themeTint="F2"/>
                <w:spacing w:val="-4"/>
                <w:lang w:val="en-GB"/>
              </w:rPr>
              <w:t>Expenditures</w:t>
            </w:r>
            <w:r w:rsidR="00B6318A" w:rsidRPr="00A17559">
              <w:rPr>
                <w:rFonts w:cs="Arial"/>
                <w:color w:val="0D0D0D" w:themeColor="text1" w:themeTint="F2"/>
                <w:spacing w:val="-4"/>
                <w:lang w:val="en-GB"/>
              </w:rPr>
              <w:t xml:space="preserve"> on wages in the regional education </w:t>
            </w:r>
            <w:r w:rsidR="00A45CED" w:rsidRPr="00A17559">
              <w:rPr>
                <w:rFonts w:cs="Arial"/>
                <w:color w:val="0D0D0D" w:themeColor="text1" w:themeTint="F2"/>
                <w:spacing w:val="-4"/>
                <w:lang w:val="en-GB"/>
              </w:rPr>
              <w:t>(+13</w:t>
            </w:r>
            <w:r w:rsidR="004057F8" w:rsidRPr="00A17559">
              <w:rPr>
                <w:rFonts w:cs="Arial"/>
                <w:color w:val="0D0D0D" w:themeColor="text1" w:themeTint="F2"/>
                <w:spacing w:val="-4"/>
                <w:lang w:val="en-GB"/>
              </w:rPr>
              <w:t>.</w:t>
            </w:r>
            <w:r w:rsidR="00A45CED" w:rsidRPr="00A17559">
              <w:rPr>
                <w:rFonts w:cs="Arial"/>
                <w:color w:val="0D0D0D" w:themeColor="text1" w:themeTint="F2"/>
                <w:spacing w:val="-4"/>
                <w:lang w:val="en-GB"/>
              </w:rPr>
              <w:t>7</w:t>
            </w:r>
            <w:r w:rsidR="00403F57" w:rsidRPr="00A17559">
              <w:rPr>
                <w:rFonts w:cs="Arial"/>
                <w:color w:val="0D0D0D" w:themeColor="text1" w:themeTint="F2"/>
                <w:spacing w:val="-4"/>
                <w:lang w:val="en-GB"/>
              </w:rPr>
              <w:t> </w:t>
            </w:r>
            <w:r w:rsidR="004057F8" w:rsidRPr="00A17559">
              <w:rPr>
                <w:rFonts w:cs="Arial"/>
                <w:color w:val="0D0D0D" w:themeColor="text1" w:themeTint="F2"/>
                <w:spacing w:val="-4"/>
                <w:lang w:val="en-GB"/>
              </w:rPr>
              <w:t>bn</w:t>
            </w:r>
            <w:r w:rsidR="00A45CED" w:rsidRPr="00A17559">
              <w:rPr>
                <w:rFonts w:cs="Arial"/>
                <w:color w:val="0D0D0D" w:themeColor="text1" w:themeTint="F2"/>
                <w:spacing w:val="-4"/>
                <w:lang w:val="en-GB"/>
              </w:rPr>
              <w:t>)</w:t>
            </w:r>
            <w:r w:rsidR="00B6318A" w:rsidRPr="00A17559">
              <w:rPr>
                <w:rFonts w:cs="Arial"/>
                <w:color w:val="0D0D0D" w:themeColor="text1" w:themeTint="F2"/>
                <w:spacing w:val="-4"/>
                <w:lang w:val="en-GB"/>
              </w:rPr>
              <w:t xml:space="preserve"> also added significantly as well as </w:t>
            </w:r>
            <w:r w:rsidR="004057F8" w:rsidRPr="00A17559">
              <w:rPr>
                <w:rFonts w:cs="Arial"/>
                <w:color w:val="0D0D0D" w:themeColor="text1" w:themeTint="F2"/>
                <w:spacing w:val="-4"/>
                <w:lang w:val="en-GB"/>
              </w:rPr>
              <w:t xml:space="preserve">the </w:t>
            </w:r>
            <w:r w:rsidR="00B6318A" w:rsidRPr="00A17559">
              <w:rPr>
                <w:rFonts w:cs="Arial"/>
                <w:color w:val="0D0D0D" w:themeColor="text1" w:themeTint="F2"/>
                <w:spacing w:val="-4"/>
                <w:lang w:val="en-GB"/>
              </w:rPr>
              <w:t xml:space="preserve">wages in </w:t>
            </w:r>
            <w:r w:rsidR="00B6318A" w:rsidRPr="00A17559">
              <w:rPr>
                <w:rFonts w:cs="Arial"/>
                <w:color w:val="0D0D0D" w:themeColor="text1" w:themeTint="F2"/>
                <w:spacing w:val="-4"/>
                <w:lang w:val="en-GB"/>
              </w:rPr>
              <w:lastRenderedPageBreak/>
              <w:t>the central government instituti</w:t>
            </w:r>
            <w:r w:rsidR="004057F8" w:rsidRPr="00A17559">
              <w:rPr>
                <w:rFonts w:cs="Arial"/>
                <w:color w:val="0D0D0D" w:themeColor="text1" w:themeTint="F2"/>
                <w:spacing w:val="-4"/>
                <w:lang w:val="en-GB"/>
              </w:rPr>
              <w:t>o</w:t>
            </w:r>
            <w:r w:rsidR="00B6318A" w:rsidRPr="00A17559">
              <w:rPr>
                <w:rFonts w:cs="Arial"/>
                <w:color w:val="0D0D0D" w:themeColor="text1" w:themeTint="F2"/>
                <w:spacing w:val="-4"/>
                <w:lang w:val="en-GB"/>
              </w:rPr>
              <w:t>ns including the armed</w:t>
            </w:r>
            <w:r w:rsidR="00E24DEF">
              <w:rPr>
                <w:rFonts w:cs="Arial"/>
                <w:color w:val="0D0D0D" w:themeColor="text1" w:themeTint="F2"/>
                <w:spacing w:val="-4"/>
                <w:lang w:val="en-GB"/>
              </w:rPr>
              <w:t xml:space="preserve"> a</w:t>
            </w:r>
            <w:r w:rsidR="009F3399">
              <w:rPr>
                <w:rFonts w:cs="Arial"/>
                <w:color w:val="0D0D0D" w:themeColor="text1" w:themeTint="F2"/>
                <w:spacing w:val="-4"/>
                <w:lang w:val="en-GB"/>
              </w:rPr>
              <w:t>nd</w:t>
            </w:r>
            <w:r w:rsidR="00E24DEF">
              <w:rPr>
                <w:rFonts w:cs="Arial"/>
                <w:color w:val="0D0D0D" w:themeColor="text1" w:themeTint="F2"/>
                <w:spacing w:val="-4"/>
                <w:lang w:val="en-GB"/>
              </w:rPr>
              <w:t xml:space="preserve"> police forces </w:t>
            </w:r>
            <w:r w:rsidR="00A45CED" w:rsidRPr="00A17559">
              <w:rPr>
                <w:rFonts w:cs="Arial"/>
                <w:color w:val="0D0D0D" w:themeColor="text1" w:themeTint="F2"/>
                <w:spacing w:val="-4"/>
                <w:lang w:val="en-GB"/>
              </w:rPr>
              <w:t>(+4</w:t>
            </w:r>
            <w:r w:rsidR="00B6318A" w:rsidRPr="00A17559">
              <w:rPr>
                <w:rFonts w:cs="Arial"/>
                <w:color w:val="0D0D0D" w:themeColor="text1" w:themeTint="F2"/>
                <w:spacing w:val="-4"/>
                <w:lang w:val="en-GB"/>
              </w:rPr>
              <w:t>.</w:t>
            </w:r>
            <w:r w:rsidR="00A45CED" w:rsidRPr="00A17559">
              <w:rPr>
                <w:rFonts w:cs="Arial"/>
                <w:color w:val="0D0D0D" w:themeColor="text1" w:themeTint="F2"/>
                <w:spacing w:val="-4"/>
                <w:lang w:val="en-GB"/>
              </w:rPr>
              <w:t>4</w:t>
            </w:r>
            <w:r w:rsidR="00403F57" w:rsidRPr="00A17559">
              <w:rPr>
                <w:rFonts w:cs="Arial"/>
                <w:color w:val="0D0D0D" w:themeColor="text1" w:themeTint="F2"/>
                <w:spacing w:val="-4"/>
                <w:lang w:val="en-GB"/>
              </w:rPr>
              <w:t> </w:t>
            </w:r>
            <w:r w:rsidR="00B6318A" w:rsidRPr="00A17559">
              <w:rPr>
                <w:rFonts w:cs="Arial"/>
                <w:color w:val="0D0D0D" w:themeColor="text1" w:themeTint="F2"/>
                <w:spacing w:val="-4"/>
                <w:lang w:val="en-GB"/>
              </w:rPr>
              <w:t>bn</w:t>
            </w:r>
            <w:r w:rsidR="00A45CED" w:rsidRPr="00A17559">
              <w:rPr>
                <w:rFonts w:cs="Arial"/>
                <w:color w:val="0D0D0D" w:themeColor="text1" w:themeTint="F2"/>
                <w:spacing w:val="-4"/>
                <w:lang w:val="en-GB"/>
              </w:rPr>
              <w:t xml:space="preserve">) </w:t>
            </w:r>
            <w:r w:rsidR="002F1B09" w:rsidRPr="00A17559">
              <w:rPr>
                <w:rFonts w:cs="Arial"/>
                <w:color w:val="0D0D0D" w:themeColor="text1" w:themeTint="F2"/>
                <w:spacing w:val="-4"/>
                <w:lang w:val="en-GB"/>
              </w:rPr>
              <w:t>a</w:t>
            </w:r>
            <w:r w:rsidR="00B6318A" w:rsidRPr="00A17559">
              <w:rPr>
                <w:rFonts w:cs="Arial"/>
                <w:color w:val="0D0D0D" w:themeColor="text1" w:themeTint="F2"/>
                <w:spacing w:val="-4"/>
                <w:lang w:val="en-GB"/>
              </w:rPr>
              <w:t>nd further th</w:t>
            </w:r>
            <w:r w:rsidR="004057F8" w:rsidRPr="00A17559">
              <w:rPr>
                <w:rFonts w:cs="Arial"/>
                <w:color w:val="0D0D0D" w:themeColor="text1" w:themeTint="F2"/>
                <w:spacing w:val="-4"/>
                <w:lang w:val="en-GB"/>
              </w:rPr>
              <w:t>e</w:t>
            </w:r>
            <w:r w:rsidR="00B6318A" w:rsidRPr="00A17559">
              <w:rPr>
                <w:rFonts w:cs="Arial"/>
                <w:color w:val="0D0D0D" w:themeColor="text1" w:themeTint="F2"/>
                <w:spacing w:val="-4"/>
                <w:lang w:val="en-GB"/>
              </w:rPr>
              <w:t xml:space="preserve">n the non-investment transfers to state funds as well as higher </w:t>
            </w:r>
            <w:r w:rsidR="004057F8" w:rsidRPr="00A17559">
              <w:rPr>
                <w:rFonts w:cs="Arial"/>
                <w:color w:val="0D0D0D" w:themeColor="text1" w:themeTint="F2"/>
                <w:spacing w:val="-4"/>
                <w:lang w:val="en-GB"/>
              </w:rPr>
              <w:t>compulsory</w:t>
            </w:r>
            <w:r w:rsidR="00B6318A" w:rsidRPr="00A17559">
              <w:rPr>
                <w:rFonts w:cs="Arial"/>
                <w:color w:val="0D0D0D" w:themeColor="text1" w:themeTint="F2"/>
                <w:spacing w:val="-4"/>
                <w:lang w:val="en-GB"/>
              </w:rPr>
              <w:t xml:space="preserve"> </w:t>
            </w:r>
            <w:r w:rsidR="00812154" w:rsidRPr="00A17559">
              <w:rPr>
                <w:rFonts w:cs="Arial"/>
                <w:color w:val="0D0D0D" w:themeColor="text1" w:themeTint="F2"/>
                <w:spacing w:val="-4"/>
                <w:lang w:val="en-GB"/>
              </w:rPr>
              <w:t xml:space="preserve">payments into the EU budget. </w:t>
            </w:r>
          </w:p>
        </w:tc>
      </w:tr>
      <w:tr w:rsidR="000E7DEA" w:rsidRPr="00A17559" w:rsidTr="000A3D9E">
        <w:trPr>
          <w:trHeight w:val="145"/>
        </w:trPr>
        <w:tc>
          <w:tcPr>
            <w:tcW w:w="1732" w:type="dxa"/>
            <w:tcBorders>
              <w:top w:val="nil"/>
              <w:left w:val="nil"/>
              <w:bottom w:val="nil"/>
              <w:right w:val="nil"/>
            </w:tcBorders>
            <w:shd w:val="clear" w:color="auto" w:fill="auto"/>
            <w:tcMar>
              <w:left w:w="0" w:type="dxa"/>
            </w:tcMar>
          </w:tcPr>
          <w:p w:rsidR="000E7DEA" w:rsidRPr="00A17559" w:rsidRDefault="000E7DEA" w:rsidP="00A45CED">
            <w:pPr>
              <w:pStyle w:val="Marginlie"/>
              <w:rPr>
                <w:lang w:val="en-GB"/>
              </w:rPr>
            </w:pPr>
            <w:r w:rsidRPr="00A17559">
              <w:rPr>
                <w:lang w:val="en-GB"/>
              </w:rPr>
              <w:lastRenderedPageBreak/>
              <w:t>Pension account balance slightly decreased, but remained in surplus.</w:t>
            </w:r>
          </w:p>
        </w:tc>
        <w:tc>
          <w:tcPr>
            <w:tcW w:w="217" w:type="dxa"/>
            <w:tcBorders>
              <w:top w:val="nil"/>
              <w:left w:val="nil"/>
              <w:bottom w:val="nil"/>
              <w:right w:val="nil"/>
            </w:tcBorders>
            <w:shd w:val="clear" w:color="auto" w:fill="auto"/>
            <w:tcMar>
              <w:left w:w="0" w:type="dxa"/>
            </w:tcMar>
          </w:tcPr>
          <w:p w:rsidR="000E7DEA" w:rsidRPr="00A17559" w:rsidRDefault="000E7DEA"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0E7DEA" w:rsidRPr="00A17559" w:rsidRDefault="000E7DEA" w:rsidP="00306880">
            <w:pPr>
              <w:spacing w:after="200"/>
              <w:rPr>
                <w:spacing w:val="-4"/>
                <w:lang w:val="en-GB"/>
              </w:rPr>
            </w:pPr>
            <w:r w:rsidRPr="00A17559">
              <w:rPr>
                <w:rFonts w:cs="Arial"/>
                <w:color w:val="0D0D0D" w:themeColor="text1" w:themeTint="F2"/>
                <w:spacing w:val="-4"/>
                <w:lang w:val="en-GB"/>
              </w:rPr>
              <w:t>Proportion of social benefits in all SB expenditures totalled 39.2% and it was falling for the second year in a row. Increase of the volume of social benefits was from 86% pulled by the resources on pensions. Their growth rate doubled compared to the beginning of the last year (to 8.8%) and reached a ten-year maximum at the same time. Given the stagnation of the number of persons receiving pensions, the effect of the legislative amendments fully showed</w:t>
            </w:r>
            <w:r w:rsidRPr="00A17559">
              <w:rPr>
                <w:rStyle w:val="Znakapoznpodarou"/>
                <w:spacing w:val="-4"/>
                <w:lang w:val="en-GB"/>
              </w:rPr>
              <w:footnoteReference w:id="8"/>
            </w:r>
            <w:r w:rsidRPr="00A17559">
              <w:rPr>
                <w:rFonts w:cs="Arial"/>
                <w:color w:val="0D0D0D" w:themeColor="text1" w:themeTint="F2"/>
                <w:spacing w:val="-4"/>
                <w:lang w:val="en-GB"/>
              </w:rPr>
              <w:t>. Expenditures on pensions overtook the rate of growth of the collected insurance (+7,8%)</w:t>
            </w:r>
            <w:r w:rsidRPr="00A17559">
              <w:rPr>
                <w:rStyle w:val="Znakapoznpodarou"/>
                <w:spacing w:val="-4"/>
                <w:lang w:val="en-GB"/>
              </w:rPr>
              <w:footnoteReference w:id="9"/>
            </w:r>
            <w:r w:rsidRPr="00A17559">
              <w:rPr>
                <w:rFonts w:cs="Arial"/>
                <w:color w:val="0D0D0D" w:themeColor="text1" w:themeTint="F2"/>
                <w:spacing w:val="-4"/>
                <w:lang w:val="en-GB"/>
              </w:rPr>
              <w:t xml:space="preserve"> for the first time since year 2013. Pension account balance</w:t>
            </w:r>
            <w:r w:rsidRPr="00A17559">
              <w:rPr>
                <w:rStyle w:val="Znakapoznpodarou"/>
                <w:color w:val="0D0D0D" w:themeColor="text1" w:themeTint="F2"/>
                <w:spacing w:val="-2"/>
                <w:lang w:val="en-GB"/>
              </w:rPr>
              <w:footnoteReference w:id="10"/>
            </w:r>
            <w:r w:rsidRPr="00A17559">
              <w:rPr>
                <w:rFonts w:cs="Arial"/>
                <w:color w:val="0D0D0D" w:themeColor="text1" w:themeTint="F2"/>
                <w:spacing w:val="-2"/>
                <w:lang w:val="en-GB"/>
              </w:rPr>
              <w:t xml:space="preserve"> thus mildly worsened, still it </w:t>
            </w:r>
            <w:r w:rsidR="00FD6CA9">
              <w:rPr>
                <w:rFonts w:cs="Arial"/>
                <w:color w:val="0D0D0D" w:themeColor="text1" w:themeTint="F2"/>
                <w:spacing w:val="-2"/>
                <w:lang w:val="en-GB"/>
              </w:rPr>
              <w:t xml:space="preserve">remained positive already second </w:t>
            </w:r>
            <w:r w:rsidRPr="00A17559">
              <w:rPr>
                <w:rFonts w:cs="Arial"/>
                <w:color w:val="0D0D0D" w:themeColor="text1" w:themeTint="F2"/>
                <w:spacing w:val="-2"/>
                <w:lang w:val="en-GB"/>
              </w:rPr>
              <w:t>year in a row (+7.7 CZK bn).</w:t>
            </w:r>
          </w:p>
        </w:tc>
      </w:tr>
      <w:tr w:rsidR="00A45CED" w:rsidRPr="00A17559" w:rsidTr="000A3D9E">
        <w:trPr>
          <w:trHeight w:val="170"/>
        </w:trPr>
        <w:tc>
          <w:tcPr>
            <w:tcW w:w="1732" w:type="dxa"/>
            <w:vMerge w:val="restart"/>
            <w:tcBorders>
              <w:top w:val="nil"/>
              <w:left w:val="nil"/>
              <w:bottom w:val="nil"/>
              <w:right w:val="nil"/>
            </w:tcBorders>
            <w:shd w:val="clear" w:color="auto" w:fill="auto"/>
            <w:tcMar>
              <w:left w:w="0" w:type="dxa"/>
            </w:tcMar>
          </w:tcPr>
          <w:p w:rsidR="00A45CED" w:rsidRPr="00A17559" w:rsidRDefault="00A45CED" w:rsidP="00A45CED">
            <w:pPr>
              <w:pStyle w:val="Marginlie"/>
              <w:rPr>
                <w:lang w:val="en-GB"/>
              </w:rPr>
            </w:pPr>
            <w:bookmarkStart w:id="1" w:name="_GoBack"/>
            <w:bookmarkEnd w:id="1"/>
          </w:p>
        </w:tc>
        <w:tc>
          <w:tcPr>
            <w:tcW w:w="217" w:type="dxa"/>
            <w:vMerge w:val="restart"/>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951A15" w:rsidP="00951A15">
            <w:pPr>
              <w:spacing w:after="40" w:line="240" w:lineRule="auto"/>
              <w:jc w:val="left"/>
              <w:rPr>
                <w:rFonts w:cs="Arial"/>
                <w:bCs/>
                <w:lang w:val="en-GB"/>
              </w:rPr>
            </w:pPr>
            <w:r w:rsidRPr="00A17559">
              <w:rPr>
                <w:b/>
                <w:spacing w:val="-2"/>
                <w:lang w:val="en-GB"/>
              </w:rPr>
              <w:t xml:space="preserve">Chart </w:t>
            </w:r>
            <w:r w:rsidR="00A45CED" w:rsidRPr="00A17559">
              <w:rPr>
                <w:b/>
                <w:spacing w:val="-2"/>
                <w:lang w:val="en-GB"/>
              </w:rPr>
              <w:t xml:space="preserve">18 </w:t>
            </w:r>
            <w:r w:rsidR="00DF77E4" w:rsidRPr="00A17559">
              <w:rPr>
                <w:b/>
                <w:spacing w:val="-2"/>
                <w:lang w:val="en-GB"/>
              </w:rPr>
              <w:t xml:space="preserve"> </w:t>
            </w:r>
            <w:r w:rsidR="00284287" w:rsidRPr="00A17559">
              <w:rPr>
                <w:b/>
                <w:spacing w:val="-2"/>
                <w:lang w:val="en-GB"/>
              </w:rPr>
              <w:t xml:space="preserve">Selected </w:t>
            </w:r>
            <w:r w:rsidR="00350879">
              <w:rPr>
                <w:b/>
                <w:spacing w:val="-2"/>
                <w:lang w:val="en-GB"/>
              </w:rPr>
              <w:t xml:space="preserve">half-year </w:t>
            </w:r>
            <w:r w:rsidR="00284287" w:rsidRPr="00A17559">
              <w:rPr>
                <w:b/>
                <w:spacing w:val="-2"/>
                <w:lang w:val="en-GB"/>
              </w:rPr>
              <w:t>stat</w:t>
            </w:r>
            <w:r w:rsidR="00350879">
              <w:rPr>
                <w:b/>
                <w:spacing w:val="-2"/>
                <w:lang w:val="en-GB"/>
              </w:rPr>
              <w:t>e budget expenditures</w:t>
            </w:r>
            <w:r w:rsidR="00284287" w:rsidRPr="00A17559">
              <w:rPr>
                <w:b/>
                <w:spacing w:val="-2"/>
                <w:lang w:val="en-GB"/>
              </w:rPr>
              <w:t xml:space="preserve"> </w:t>
            </w:r>
            <w:r w:rsidR="00284287" w:rsidRPr="00A17559">
              <w:rPr>
                <w:rFonts w:cs="Arial"/>
                <w:bCs/>
                <w:spacing w:val="-2"/>
                <w:lang w:val="en-GB"/>
              </w:rPr>
              <w:t>(in CZK bn)</w:t>
            </w:r>
          </w:p>
        </w:tc>
      </w:tr>
      <w:tr w:rsidR="00A45CED" w:rsidRPr="00A17559" w:rsidTr="00EB267D">
        <w:tblPrEx>
          <w:tblCellMar>
            <w:left w:w="70" w:type="dxa"/>
            <w:right w:w="70" w:type="dxa"/>
          </w:tblCellMar>
        </w:tblPrEx>
        <w:trPr>
          <w:trHeight w:val="170"/>
        </w:trPr>
        <w:tc>
          <w:tcPr>
            <w:tcW w:w="1732" w:type="dxa"/>
            <w:vMerge/>
            <w:tcBorders>
              <w:top w:val="nil"/>
              <w:left w:val="nil"/>
              <w:bottom w:val="nil"/>
              <w:right w:val="nil"/>
            </w:tcBorders>
            <w:shd w:val="clear" w:color="auto" w:fill="auto"/>
          </w:tcPr>
          <w:p w:rsidR="00A45CED" w:rsidRPr="00A17559" w:rsidRDefault="00A45CED" w:rsidP="00A45CED">
            <w:pPr>
              <w:pStyle w:val="Marginlie"/>
              <w:rPr>
                <w:lang w:val="en-GB"/>
              </w:rPr>
            </w:pPr>
          </w:p>
        </w:tc>
        <w:tc>
          <w:tcPr>
            <w:tcW w:w="217" w:type="dxa"/>
            <w:vMerge/>
            <w:tcBorders>
              <w:top w:val="nil"/>
              <w:left w:val="nil"/>
              <w:bottom w:val="nil"/>
              <w:right w:val="nil"/>
            </w:tcBorders>
            <w:shd w:val="clear" w:color="auto" w:fill="auto"/>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Pr>
          <w:p w:rsidR="00A45CED" w:rsidRPr="00A17559" w:rsidRDefault="00EB267D" w:rsidP="00A45CED">
            <w:pPr>
              <w:spacing w:after="0"/>
              <w:rPr>
                <w:lang w:val="en-GB"/>
              </w:rPr>
            </w:pPr>
            <w:r>
              <w:rPr>
                <w:noProof/>
              </w:rPr>
              <w:drawing>
                <wp:inline distT="0" distB="0" distL="0" distR="0" wp14:anchorId="5C69FE1C" wp14:editId="1BEE5B6C">
                  <wp:extent cx="4797477" cy="3534569"/>
                  <wp:effectExtent l="0" t="0" r="3175" b="889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A45CED" w:rsidRPr="00A17559" w:rsidTr="000A3D9E">
        <w:trPr>
          <w:trHeight w:val="170"/>
        </w:trPr>
        <w:tc>
          <w:tcPr>
            <w:tcW w:w="1732" w:type="dxa"/>
            <w:vMerge/>
            <w:tcBorders>
              <w:top w:val="nil"/>
              <w:left w:val="nil"/>
              <w:bottom w:val="nil"/>
              <w:right w:val="nil"/>
            </w:tcBorders>
            <w:shd w:val="clear" w:color="auto" w:fill="auto"/>
            <w:tcMar>
              <w:left w:w="0" w:type="dxa"/>
            </w:tcMar>
          </w:tcPr>
          <w:p w:rsidR="00A45CED" w:rsidRPr="00A17559" w:rsidRDefault="00A45CED" w:rsidP="00A45CED">
            <w:pPr>
              <w:pStyle w:val="Marginlie"/>
              <w:rPr>
                <w:lang w:val="en-GB"/>
              </w:rPr>
            </w:pPr>
          </w:p>
        </w:tc>
        <w:tc>
          <w:tcPr>
            <w:tcW w:w="217" w:type="dxa"/>
            <w:vMerge/>
            <w:tcBorders>
              <w:top w:val="nil"/>
              <w:left w:val="nil"/>
              <w:bottom w:val="nil"/>
              <w:right w:val="nil"/>
            </w:tcBorders>
            <w:shd w:val="clear" w:color="auto" w:fill="auto"/>
            <w:tcMar>
              <w:left w:w="0" w:type="dxa"/>
            </w:tcMar>
          </w:tcPr>
          <w:p w:rsidR="00A45CED" w:rsidRPr="00A17559" w:rsidRDefault="00A45CED" w:rsidP="00A45CED">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A45CED" w:rsidRPr="00A17559" w:rsidRDefault="00A45CED" w:rsidP="00A45CED">
            <w:pPr>
              <w:pStyle w:val="Textpoznpodarou"/>
              <w:rPr>
                <w:sz w:val="14"/>
                <w:szCs w:val="14"/>
                <w:lang w:val="en-GB"/>
              </w:rPr>
            </w:pPr>
            <w:r w:rsidRPr="00A17559">
              <w:rPr>
                <w:sz w:val="14"/>
                <w:szCs w:val="14"/>
                <w:lang w:val="en-GB"/>
              </w:rPr>
              <w:t>*</w:t>
            </w:r>
            <w:r w:rsidR="008E550B" w:rsidRPr="00A17559">
              <w:rPr>
                <w:sz w:val="14"/>
                <w:szCs w:val="14"/>
                <w:lang w:val="en-GB"/>
              </w:rPr>
              <w:t>Cover expenditures on salaries in central government institutions</w:t>
            </w:r>
            <w:r w:rsidR="00E91301">
              <w:rPr>
                <w:sz w:val="14"/>
                <w:szCs w:val="14"/>
                <w:lang w:val="en-GB"/>
              </w:rPr>
              <w:t xml:space="preserve"> (including armed and police forces)</w:t>
            </w:r>
            <w:r w:rsidR="008E550B" w:rsidRPr="00A17559">
              <w:rPr>
                <w:sz w:val="14"/>
                <w:szCs w:val="14"/>
                <w:lang w:val="en-GB"/>
              </w:rPr>
              <w:t xml:space="preserve">. Do not include e.g. wage costs of regional education. </w:t>
            </w:r>
          </w:p>
          <w:p w:rsidR="00E91301" w:rsidRDefault="00A45CED" w:rsidP="008E550B">
            <w:pPr>
              <w:pStyle w:val="Textpoznpodarou"/>
              <w:rPr>
                <w:sz w:val="14"/>
                <w:szCs w:val="14"/>
                <w:lang w:val="en-GB"/>
              </w:rPr>
            </w:pPr>
            <w:r w:rsidRPr="00A17559">
              <w:rPr>
                <w:sz w:val="14"/>
                <w:szCs w:val="14"/>
                <w:lang w:val="en-GB"/>
              </w:rPr>
              <w:t>**</w:t>
            </w:r>
            <w:r w:rsidR="008E550B" w:rsidRPr="00A17559">
              <w:rPr>
                <w:sz w:val="14"/>
                <w:szCs w:val="14"/>
                <w:lang w:val="en-GB"/>
              </w:rPr>
              <w:t xml:space="preserve"> Also includes the foster care benefits.</w:t>
            </w:r>
            <w:r w:rsidRPr="00A17559">
              <w:rPr>
                <w:sz w:val="14"/>
                <w:szCs w:val="14"/>
                <w:lang w:val="en-GB"/>
              </w:rPr>
              <w:t xml:space="preserve"> </w:t>
            </w:r>
          </w:p>
          <w:p w:rsidR="008E550B" w:rsidRPr="00A17559" w:rsidRDefault="00A45CED" w:rsidP="008E550B">
            <w:pPr>
              <w:pStyle w:val="Textpoznpodarou"/>
              <w:rPr>
                <w:sz w:val="14"/>
                <w:szCs w:val="14"/>
                <w:lang w:val="en-GB"/>
              </w:rPr>
            </w:pPr>
            <w:r w:rsidRPr="00A17559">
              <w:rPr>
                <w:sz w:val="14"/>
                <w:szCs w:val="14"/>
                <w:lang w:val="en-GB"/>
              </w:rPr>
              <w:t>***</w:t>
            </w:r>
            <w:r w:rsidR="008E550B" w:rsidRPr="00A17559">
              <w:rPr>
                <w:sz w:val="14"/>
                <w:szCs w:val="14"/>
                <w:lang w:val="en-GB"/>
              </w:rPr>
              <w:t xml:space="preserve"> Includes Material deprivation assistance benefits, Benefits for people with disabilities, Care benefits (based on Act on State Social Support).</w:t>
            </w:r>
          </w:p>
          <w:p w:rsidR="00E91301" w:rsidRDefault="00A45CED" w:rsidP="00A45CED">
            <w:pPr>
              <w:pStyle w:val="Textpoznpodarou"/>
              <w:rPr>
                <w:sz w:val="14"/>
                <w:szCs w:val="14"/>
                <w:lang w:val="en-GB"/>
              </w:rPr>
            </w:pPr>
            <w:r w:rsidRPr="00A17559">
              <w:rPr>
                <w:sz w:val="14"/>
                <w:szCs w:val="14"/>
                <w:lang w:val="en-GB"/>
              </w:rPr>
              <w:t xml:space="preserve">**** </w:t>
            </w:r>
            <w:r w:rsidR="007C361B" w:rsidRPr="00A17559">
              <w:rPr>
                <w:sz w:val="14"/>
                <w:szCs w:val="14"/>
                <w:lang w:val="en-GB"/>
              </w:rPr>
              <w:t>Contain</w:t>
            </w:r>
            <w:r w:rsidR="00E91301">
              <w:rPr>
                <w:sz w:val="14"/>
                <w:szCs w:val="14"/>
                <w:lang w:val="en-GB"/>
              </w:rPr>
              <w:t>s</w:t>
            </w:r>
            <w:r w:rsidR="007C361B" w:rsidRPr="00A17559">
              <w:rPr>
                <w:sz w:val="14"/>
                <w:szCs w:val="14"/>
                <w:lang w:val="en-GB"/>
              </w:rPr>
              <w:t xml:space="preserve"> mainly expenditures on purchase of services, materials, energies or other services </w:t>
            </w:r>
            <w:r w:rsidRPr="00A17559">
              <w:rPr>
                <w:sz w:val="14"/>
                <w:szCs w:val="14"/>
                <w:lang w:val="en-GB"/>
              </w:rPr>
              <w:t>(</w:t>
            </w:r>
            <w:r w:rsidR="007C361B" w:rsidRPr="00A17559">
              <w:rPr>
                <w:sz w:val="14"/>
                <w:szCs w:val="14"/>
                <w:lang w:val="en-GB"/>
              </w:rPr>
              <w:t>e.g. expenditures on repairs and maintenance</w:t>
            </w:r>
            <w:r w:rsidRPr="00A17559">
              <w:rPr>
                <w:sz w:val="14"/>
                <w:szCs w:val="14"/>
                <w:lang w:val="en-GB"/>
              </w:rPr>
              <w:t xml:space="preserve">). </w:t>
            </w:r>
          </w:p>
          <w:p w:rsidR="00A45CED" w:rsidRPr="00A17559" w:rsidRDefault="00A45CED" w:rsidP="00A45CED">
            <w:pPr>
              <w:pStyle w:val="Textpoznpodarou"/>
              <w:rPr>
                <w:sz w:val="14"/>
                <w:szCs w:val="14"/>
                <w:lang w:val="en-GB"/>
              </w:rPr>
            </w:pPr>
            <w:r w:rsidRPr="00A17559">
              <w:rPr>
                <w:sz w:val="14"/>
                <w:szCs w:val="14"/>
                <w:lang w:val="en-GB"/>
              </w:rPr>
              <w:t>*****</w:t>
            </w:r>
            <w:r w:rsidR="008E550B" w:rsidRPr="00A17559">
              <w:rPr>
                <w:sz w:val="14"/>
                <w:szCs w:val="14"/>
                <w:lang w:val="en-GB"/>
              </w:rPr>
              <w:t xml:space="preserve">Corresponds to the balance of the budget chapter </w:t>
            </w:r>
            <w:r w:rsidR="0001719F">
              <w:rPr>
                <w:sz w:val="14"/>
                <w:szCs w:val="14"/>
                <w:lang w:val="en-GB"/>
              </w:rPr>
              <w:t>“</w:t>
            </w:r>
            <w:r w:rsidR="008E550B" w:rsidRPr="00A17559">
              <w:rPr>
                <w:sz w:val="14"/>
                <w:szCs w:val="14"/>
                <w:lang w:val="en-GB"/>
              </w:rPr>
              <w:t>State debt</w:t>
            </w:r>
            <w:r w:rsidR="0001719F">
              <w:rPr>
                <w:sz w:val="14"/>
                <w:szCs w:val="14"/>
                <w:lang w:val="en-GB"/>
              </w:rPr>
              <w:t>”</w:t>
            </w:r>
            <w:r w:rsidR="008E550B" w:rsidRPr="00A17559">
              <w:rPr>
                <w:sz w:val="14"/>
                <w:szCs w:val="14"/>
                <w:lang w:val="en-GB"/>
              </w:rPr>
              <w:t xml:space="preserve">. </w:t>
            </w:r>
          </w:p>
          <w:p w:rsidR="003E3A1B" w:rsidRPr="00EB267D" w:rsidRDefault="008E550B" w:rsidP="00A45CED">
            <w:pPr>
              <w:spacing w:after="220" w:line="240" w:lineRule="auto"/>
              <w:rPr>
                <w:sz w:val="14"/>
                <w:szCs w:val="14"/>
                <w:lang w:val="en-GB"/>
              </w:rPr>
            </w:pPr>
            <w:r w:rsidRPr="00A17559">
              <w:rPr>
                <w:sz w:val="14"/>
                <w:szCs w:val="14"/>
                <w:lang w:val="en-GB"/>
              </w:rPr>
              <w:t>Source</w:t>
            </w:r>
            <w:r w:rsidR="00A45CED" w:rsidRPr="00A17559">
              <w:rPr>
                <w:sz w:val="14"/>
                <w:szCs w:val="14"/>
                <w:lang w:val="en-GB"/>
              </w:rPr>
              <w:t>: MF</w:t>
            </w:r>
            <w:r w:rsidR="00DF77E4" w:rsidRPr="00A17559">
              <w:rPr>
                <w:sz w:val="14"/>
                <w:szCs w:val="14"/>
                <w:lang w:val="en-GB"/>
              </w:rPr>
              <w:t> </w:t>
            </w:r>
            <w:r w:rsidRPr="00A17559">
              <w:rPr>
                <w:sz w:val="14"/>
                <w:szCs w:val="14"/>
                <w:lang w:val="en-GB"/>
              </w:rPr>
              <w:t>C</w:t>
            </w:r>
            <w:r w:rsidR="00A45CED" w:rsidRPr="00A17559">
              <w:rPr>
                <w:sz w:val="14"/>
                <w:szCs w:val="14"/>
                <w:lang w:val="en-GB"/>
              </w:rPr>
              <w:t>R, M</w:t>
            </w:r>
            <w:r w:rsidRPr="00A17559">
              <w:rPr>
                <w:sz w:val="14"/>
                <w:szCs w:val="14"/>
                <w:lang w:val="en-GB"/>
              </w:rPr>
              <w:t>LSA</w:t>
            </w:r>
          </w:p>
        </w:tc>
      </w:tr>
      <w:tr w:rsidR="00991716" w:rsidRPr="00A17559" w:rsidTr="000A3D9E">
        <w:trPr>
          <w:trHeight w:val="145"/>
        </w:trPr>
        <w:tc>
          <w:tcPr>
            <w:tcW w:w="1732" w:type="dxa"/>
            <w:tcBorders>
              <w:top w:val="nil"/>
              <w:left w:val="nil"/>
              <w:bottom w:val="nil"/>
              <w:right w:val="nil"/>
            </w:tcBorders>
            <w:shd w:val="clear" w:color="auto" w:fill="auto"/>
            <w:tcMar>
              <w:left w:w="0" w:type="dxa"/>
            </w:tcMar>
          </w:tcPr>
          <w:p w:rsidR="00991716" w:rsidRPr="00A17559" w:rsidRDefault="00991716" w:rsidP="00991716">
            <w:pPr>
              <w:pStyle w:val="Marginlie"/>
              <w:rPr>
                <w:lang w:val="en-GB"/>
              </w:rPr>
            </w:pPr>
            <w:r>
              <w:rPr>
                <w:lang w:val="en-GB"/>
              </w:rPr>
              <w:t>G</w:t>
            </w:r>
            <w:r w:rsidRPr="00A17559">
              <w:rPr>
                <w:lang w:val="en-GB"/>
              </w:rPr>
              <w:t xml:space="preserve">rowth of expenditures on non-pension social benefits was driven by higher drawing of sickness benefits. </w:t>
            </w:r>
          </w:p>
          <w:p w:rsidR="00991716" w:rsidRPr="00A17559" w:rsidRDefault="00991716" w:rsidP="00991716">
            <w:pPr>
              <w:pStyle w:val="Marginlie"/>
              <w:rPr>
                <w:lang w:val="en-GB"/>
              </w:rPr>
            </w:pPr>
          </w:p>
          <w:p w:rsidR="00991716" w:rsidRDefault="00991716" w:rsidP="00991716">
            <w:pPr>
              <w:pStyle w:val="Marginlie"/>
              <w:rPr>
                <w:lang w:val="en-GB"/>
              </w:rPr>
            </w:pPr>
          </w:p>
          <w:p w:rsidR="00991716" w:rsidRPr="00A17559" w:rsidRDefault="00991716" w:rsidP="00991716">
            <w:pPr>
              <w:pStyle w:val="Marginlie"/>
              <w:rPr>
                <w:lang w:val="en-GB"/>
              </w:rPr>
            </w:pPr>
          </w:p>
          <w:p w:rsidR="00991716" w:rsidRPr="00A17559" w:rsidRDefault="00991716" w:rsidP="00991716">
            <w:pPr>
              <w:pStyle w:val="Marginlie"/>
              <w:rPr>
                <w:lang w:val="en-GB"/>
              </w:rPr>
            </w:pPr>
          </w:p>
          <w:p w:rsidR="00991716" w:rsidRPr="00A17559" w:rsidRDefault="00991716" w:rsidP="00991716">
            <w:pPr>
              <w:pStyle w:val="Marginlie"/>
              <w:rPr>
                <w:lang w:val="en-GB"/>
              </w:rPr>
            </w:pPr>
            <w:r w:rsidRPr="00A17559">
              <w:rPr>
                <w:lang w:val="en-GB"/>
              </w:rPr>
              <w:t xml:space="preserve">Improvement of the financial situation of households was reflected in the lower SB expenditure on both material deprivation assistance benefits and state social support benefits. </w:t>
            </w:r>
          </w:p>
        </w:tc>
        <w:tc>
          <w:tcPr>
            <w:tcW w:w="217" w:type="dxa"/>
            <w:tcBorders>
              <w:top w:val="nil"/>
              <w:left w:val="nil"/>
              <w:bottom w:val="nil"/>
              <w:right w:val="nil"/>
            </w:tcBorders>
            <w:shd w:val="clear" w:color="auto" w:fill="auto"/>
            <w:tcMar>
              <w:left w:w="0" w:type="dxa"/>
            </w:tcMar>
          </w:tcPr>
          <w:p w:rsidR="00991716" w:rsidRPr="00A17559" w:rsidRDefault="00991716" w:rsidP="00991716">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991716" w:rsidRPr="00A17559" w:rsidRDefault="00991716" w:rsidP="00991716">
            <w:pPr>
              <w:spacing w:after="220"/>
              <w:rPr>
                <w:spacing w:val="-4"/>
                <w:lang w:val="en-GB"/>
              </w:rPr>
            </w:pPr>
            <w:r w:rsidRPr="00A17559">
              <w:rPr>
                <w:spacing w:val="-4"/>
                <w:lang w:val="en-GB"/>
              </w:rPr>
              <w:t>Expenditures on other social benefits (excluding pensions) amounted to 64.9 CZK bn in H1, they increased by 4.8% year-on-year. Their growth rate was expanding already fourth year in a row. This development was considerably affected by the sickness insurance benefits, whose drawing deepened by 15.3%</w:t>
            </w:r>
            <w:r w:rsidRPr="00A17559">
              <w:rPr>
                <w:rStyle w:val="Znakapoznpodarou"/>
                <w:color w:val="0D0D0D" w:themeColor="text1" w:themeTint="F2"/>
                <w:spacing w:val="-2"/>
                <w:lang w:val="en-GB"/>
              </w:rPr>
              <w:footnoteReference w:id="11"/>
            </w:r>
            <w:r w:rsidRPr="00A17559">
              <w:rPr>
                <w:spacing w:val="-4"/>
                <w:lang w:val="en-GB"/>
              </w:rPr>
              <w:t xml:space="preserve"> and nearly doubled in the last seven years.  </w:t>
            </w:r>
            <w:r w:rsidRPr="00A17559">
              <w:rPr>
                <w:spacing w:val="-4"/>
                <w:lang w:val="en-GB"/>
              </w:rPr>
              <w:lastRenderedPageBreak/>
              <w:t>They thus became the most significant group of social benefits by weight for the first time after year 2008 when they replaced the state social support benefits (SSS) in this role.  Their drawing on the contrary decreased by 2.5% this year, the most in the last seven years. Among SSS sub-benefits, only foster care benefits strengthened. All income-tested benefits (e.g. child allowances) and weight dominant parental allowances (</w:t>
            </w:r>
            <w:r w:rsidRPr="00A17559">
              <w:rPr>
                <w:rFonts w:cs="Arial"/>
                <w:color w:val="0D0D0D" w:themeColor="text1" w:themeTint="F2"/>
                <w:spacing w:val="-2"/>
                <w:lang w:val="en-GB"/>
              </w:rPr>
              <w:t>–</w:t>
            </w:r>
            <w:r w:rsidRPr="00A17559">
              <w:rPr>
                <w:spacing w:val="-4"/>
                <w:lang w:val="en-GB"/>
              </w:rPr>
              <w:t xml:space="preserve">0.8%) went down. Reduction of expenditures on material deprivation assistance benefits (by 21% year-on-year, by 60% in five years) also emphasised more favourable </w:t>
            </w:r>
            <w:r>
              <w:rPr>
                <w:spacing w:val="-4"/>
                <w:lang w:val="en-GB"/>
              </w:rPr>
              <w:t xml:space="preserve">financial </w:t>
            </w:r>
            <w:r w:rsidRPr="00A17559">
              <w:rPr>
                <w:spacing w:val="-4"/>
                <w:lang w:val="en-GB"/>
              </w:rPr>
              <w:t>situation of households. The shrinking of expenditures on unemployment benefits on the contrary halted after five years, besides other things also due to high proportion of its friction component and growth of the size of average monthly benefit (derived from previous job earnings of the job applicant)</w:t>
            </w:r>
            <w:r w:rsidRPr="00A17559">
              <w:rPr>
                <w:rStyle w:val="Znakapoznpodarou"/>
                <w:color w:val="0D0D0D" w:themeColor="text1" w:themeTint="F2"/>
                <w:spacing w:val="-2"/>
                <w:lang w:val="en-GB"/>
              </w:rPr>
              <w:footnoteReference w:id="12"/>
            </w:r>
            <w:r w:rsidRPr="00A17559">
              <w:rPr>
                <w:spacing w:val="-4"/>
                <w:lang w:val="en-GB"/>
              </w:rPr>
              <w:t>.</w:t>
            </w:r>
          </w:p>
        </w:tc>
      </w:tr>
      <w:tr w:rsidR="00991716" w:rsidRPr="00A17559" w:rsidTr="000A3D9E">
        <w:trPr>
          <w:trHeight w:val="145"/>
        </w:trPr>
        <w:tc>
          <w:tcPr>
            <w:tcW w:w="1732" w:type="dxa"/>
            <w:tcBorders>
              <w:top w:val="nil"/>
              <w:left w:val="nil"/>
              <w:bottom w:val="nil"/>
              <w:right w:val="nil"/>
            </w:tcBorders>
            <w:shd w:val="clear" w:color="auto" w:fill="auto"/>
            <w:tcMar>
              <w:left w:w="0" w:type="dxa"/>
            </w:tcMar>
          </w:tcPr>
          <w:p w:rsidR="00991716" w:rsidRPr="00A17559" w:rsidRDefault="00991716" w:rsidP="00991716">
            <w:pPr>
              <w:pStyle w:val="Marginlie"/>
              <w:rPr>
                <w:lang w:val="en-GB"/>
              </w:rPr>
            </w:pPr>
            <w:r w:rsidRPr="00A17559">
              <w:rPr>
                <w:lang w:val="en-GB"/>
              </w:rPr>
              <w:lastRenderedPageBreak/>
              <w:t xml:space="preserve">Size of the state debt remained stable. Borrowing need was realised via issue of medium and long-term bonds on the domestic market. </w:t>
            </w:r>
          </w:p>
          <w:p w:rsidR="00991716" w:rsidRPr="00A17559" w:rsidRDefault="00991716" w:rsidP="00991716">
            <w:pPr>
              <w:pStyle w:val="Marginlie"/>
              <w:rPr>
                <w:lang w:val="en-GB"/>
              </w:rPr>
            </w:pPr>
          </w:p>
          <w:p w:rsidR="00991716" w:rsidRPr="00A17559" w:rsidRDefault="00991716" w:rsidP="00991716">
            <w:pPr>
              <w:pStyle w:val="Marginlie"/>
              <w:rPr>
                <w:lang w:val="en-GB"/>
              </w:rPr>
            </w:pPr>
          </w:p>
          <w:p w:rsidR="00991716" w:rsidRPr="00A17559" w:rsidRDefault="00991716" w:rsidP="00991716">
            <w:pPr>
              <w:pStyle w:val="Marginlie"/>
              <w:rPr>
                <w:lang w:val="en-GB"/>
              </w:rPr>
            </w:pPr>
            <w:r w:rsidRPr="00A17559">
              <w:rPr>
                <w:lang w:val="en-GB"/>
              </w:rPr>
              <w:t xml:space="preserve">Trend of decrease of net expenditures on state debt continued. </w:t>
            </w:r>
          </w:p>
        </w:tc>
        <w:tc>
          <w:tcPr>
            <w:tcW w:w="217" w:type="dxa"/>
            <w:tcBorders>
              <w:top w:val="nil"/>
              <w:left w:val="nil"/>
              <w:bottom w:val="nil"/>
              <w:right w:val="nil"/>
            </w:tcBorders>
            <w:shd w:val="clear" w:color="auto" w:fill="auto"/>
            <w:tcMar>
              <w:left w:w="0" w:type="dxa"/>
            </w:tcMar>
          </w:tcPr>
          <w:p w:rsidR="00991716" w:rsidRPr="00A17559" w:rsidRDefault="00991716" w:rsidP="00991716">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991716" w:rsidRPr="00A17559" w:rsidRDefault="00991716" w:rsidP="00991716">
            <w:pPr>
              <w:pStyle w:val="Textpoznpodarou"/>
              <w:spacing w:after="200" w:line="276" w:lineRule="auto"/>
              <w:jc w:val="both"/>
              <w:rPr>
                <w:rFonts w:cs="Arial"/>
                <w:color w:val="0D0D0D" w:themeColor="text1" w:themeTint="F2"/>
                <w:spacing w:val="-4"/>
                <w:lang w:val="en-GB"/>
              </w:rPr>
            </w:pPr>
            <w:r w:rsidRPr="00A17559">
              <w:rPr>
                <w:rFonts w:cs="Arial"/>
                <w:color w:val="0D0D0D" w:themeColor="text1" w:themeTint="F2"/>
                <w:spacing w:val="-4"/>
                <w:lang w:val="en-GB"/>
              </w:rPr>
              <w:t>State debt reached the size of 1 712.6 CZK bn at the end of June 2019. Year-on-year it nearly did not change, it mildly fell compared to the preceding quarter (by 1.1%). State kept realising its borrowing need exclusively on the domestic market. CZK value of the foreign debt thus narrowed year-o-year (by 38.6 bn) and the share of external debt in total indebtedness arrived at 12.6%, which was the least since the end of 2004. State issued medium- and long-term bonds in the amount of 200.6 CZK bn during H1</w:t>
            </w:r>
            <w:r>
              <w:rPr>
                <w:rFonts w:cs="Arial"/>
                <w:color w:val="0D0D0D" w:themeColor="text1" w:themeTint="F2"/>
                <w:spacing w:val="-4"/>
                <w:lang w:val="en-GB"/>
              </w:rPr>
              <w:t>, more than three fifths</w:t>
            </w:r>
            <w:r w:rsidRPr="00A17559">
              <w:rPr>
                <w:rFonts w:cs="Arial"/>
                <w:color w:val="0D0D0D" w:themeColor="text1" w:themeTint="F2"/>
                <w:spacing w:val="-4"/>
                <w:lang w:val="en-GB"/>
              </w:rPr>
              <w:t xml:space="preserve"> </w:t>
            </w:r>
            <w:r>
              <w:rPr>
                <w:rFonts w:cs="Arial"/>
                <w:color w:val="0D0D0D" w:themeColor="text1" w:themeTint="F2"/>
                <w:spacing w:val="-4"/>
                <w:lang w:val="en-GB"/>
              </w:rPr>
              <w:t xml:space="preserve">of them </w:t>
            </w:r>
            <w:r w:rsidRPr="00A17559">
              <w:rPr>
                <w:rFonts w:cs="Arial"/>
                <w:color w:val="0D0D0D" w:themeColor="text1" w:themeTint="F2"/>
                <w:spacing w:val="-4"/>
                <w:lang w:val="en-GB"/>
              </w:rPr>
              <w:t xml:space="preserve">had maturity above 10 years. State used the opportunity of favourable conditions on the domestic financial market (yield of state bonds along the longer end of the yield curve hit the lowest level since the end of year 2017). Non-residents prevailed among the owners of CZK bonds (42.3%), their proportion mildly grew since the beginning of year 2018. Trend of cutting the net outlays on the state debt servicing continued. These costs were 16.9 CZK bn for H1 and decreased by nearly one sixth year-on-year, by nearly one half in the last six years. </w:t>
            </w:r>
          </w:p>
        </w:tc>
      </w:tr>
      <w:tr w:rsidR="00991716" w:rsidRPr="00A17559" w:rsidTr="000A3D9E">
        <w:trPr>
          <w:trHeight w:val="145"/>
        </w:trPr>
        <w:tc>
          <w:tcPr>
            <w:tcW w:w="1732" w:type="dxa"/>
            <w:tcBorders>
              <w:top w:val="nil"/>
              <w:left w:val="nil"/>
              <w:bottom w:val="nil"/>
              <w:right w:val="nil"/>
            </w:tcBorders>
            <w:shd w:val="clear" w:color="auto" w:fill="auto"/>
            <w:tcMar>
              <w:left w:w="0" w:type="dxa"/>
            </w:tcMar>
          </w:tcPr>
          <w:p w:rsidR="00991716" w:rsidRPr="00A17559" w:rsidRDefault="00991716" w:rsidP="00991716">
            <w:pPr>
              <w:pStyle w:val="Marginlie"/>
              <w:rPr>
                <w:lang w:val="en-GB"/>
              </w:rPr>
            </w:pPr>
            <w:r w:rsidRPr="00A17559">
              <w:rPr>
                <w:spacing w:val="-3"/>
                <w:lang w:val="en-GB"/>
              </w:rPr>
              <w:t xml:space="preserve">Indebtedness rate of the government institution sector shrank year-on-year. Budget was in practice balanced, local government institutions attained surplus. </w:t>
            </w:r>
          </w:p>
        </w:tc>
        <w:tc>
          <w:tcPr>
            <w:tcW w:w="217" w:type="dxa"/>
            <w:tcBorders>
              <w:top w:val="nil"/>
              <w:left w:val="nil"/>
              <w:bottom w:val="nil"/>
              <w:right w:val="nil"/>
            </w:tcBorders>
            <w:shd w:val="clear" w:color="auto" w:fill="auto"/>
            <w:tcMar>
              <w:left w:w="0" w:type="dxa"/>
            </w:tcMar>
          </w:tcPr>
          <w:p w:rsidR="00991716" w:rsidRPr="00A17559" w:rsidRDefault="00991716" w:rsidP="00991716">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991716" w:rsidRPr="00A17559" w:rsidRDefault="00991716" w:rsidP="00991716">
            <w:pPr>
              <w:pStyle w:val="Textpoznpodarou"/>
              <w:spacing w:after="200" w:line="276" w:lineRule="auto"/>
              <w:jc w:val="both"/>
              <w:rPr>
                <w:rFonts w:cs="Arial"/>
                <w:color w:val="0D0D0D" w:themeColor="text1" w:themeTint="F2"/>
                <w:spacing w:val="-4"/>
                <w:lang w:val="en-GB"/>
              </w:rPr>
            </w:pPr>
            <w:r w:rsidRPr="00A17559">
              <w:rPr>
                <w:color w:val="000000" w:themeColor="text1"/>
                <w:spacing w:val="-4"/>
                <w:lang w:val="en-GB"/>
              </w:rPr>
              <w:t>Consolidated debt of the whole government institutions sector</w:t>
            </w:r>
            <w:r w:rsidRPr="00A17559">
              <w:rPr>
                <w:rStyle w:val="Znakapoznpodarou"/>
                <w:spacing w:val="-4"/>
                <w:lang w:val="en-GB"/>
              </w:rPr>
              <w:footnoteReference w:id="13"/>
            </w:r>
            <w:r w:rsidRPr="00A17559">
              <w:rPr>
                <w:color w:val="000000" w:themeColor="text1"/>
                <w:spacing w:val="-4"/>
                <w:lang w:val="en-GB"/>
              </w:rPr>
              <w:t xml:space="preserve"> totalled 1 837 CZK bn according to the CZSO data at the end of Q1 2019 and was raised quarter-on-quarter (+102 CZK bn). Indebtedness rate was 34.0% of GDP, it fell by 1.8 p.p. year-on-year, solely thanks to the brisk growth of the nominal GDP. Government institution sector attained a very mild budget deficit in the amount of 2.3 CZK bn</w:t>
            </w:r>
            <w:r w:rsidRPr="00A17559">
              <w:rPr>
                <w:rStyle w:val="Znakapoznpodarou"/>
                <w:color w:val="0D0D0D" w:themeColor="text1" w:themeTint="F2"/>
                <w:spacing w:val="-2"/>
                <w:lang w:val="en-GB"/>
              </w:rPr>
              <w:footnoteReference w:id="14"/>
            </w:r>
            <w:r w:rsidRPr="00A17559">
              <w:rPr>
                <w:color w:val="000000" w:themeColor="text1"/>
                <w:spacing w:val="-4"/>
                <w:lang w:val="en-GB"/>
              </w:rPr>
              <w:t xml:space="preserve"> in the CR in Q1, it showed nearly balanced budget also in the same period of the last year. Balance of central government institutions budget worsened by 9.6 CZK bn year-on-year and finished in 26.1 </w:t>
            </w:r>
            <w:r>
              <w:rPr>
                <w:color w:val="000000" w:themeColor="text1"/>
                <w:spacing w:val="-4"/>
                <w:lang w:val="en-GB"/>
              </w:rPr>
              <w:t>bn deficit, while the loc</w:t>
            </w:r>
            <w:r w:rsidRPr="00A17559">
              <w:rPr>
                <w:color w:val="000000" w:themeColor="text1"/>
                <w:spacing w:val="-4"/>
                <w:lang w:val="en-GB"/>
              </w:rPr>
              <w:t>al government institutions budgeted with a surplus of 20.4 CZK bn (higher by 6.0 bn year-on-year). Budget of the social security funds (health insurance companies) did not change year-on-year and reached a surplus of 3.4 CZK bn.</w:t>
            </w:r>
          </w:p>
        </w:tc>
      </w:tr>
      <w:tr w:rsidR="00991716" w:rsidRPr="00A17559" w:rsidTr="000A3D9E">
        <w:trPr>
          <w:trHeight w:val="145"/>
        </w:trPr>
        <w:tc>
          <w:tcPr>
            <w:tcW w:w="1732" w:type="dxa"/>
            <w:tcBorders>
              <w:top w:val="nil"/>
              <w:left w:val="nil"/>
              <w:bottom w:val="nil"/>
              <w:right w:val="nil"/>
            </w:tcBorders>
            <w:shd w:val="clear" w:color="auto" w:fill="auto"/>
            <w:tcMar>
              <w:left w:w="0" w:type="dxa"/>
            </w:tcMar>
          </w:tcPr>
          <w:p w:rsidR="00991716" w:rsidRPr="00A17559" w:rsidRDefault="00991716" w:rsidP="00991716">
            <w:pPr>
              <w:pStyle w:val="Marginlie"/>
              <w:rPr>
                <w:spacing w:val="-3"/>
                <w:lang w:val="en-GB"/>
              </w:rPr>
            </w:pPr>
            <w:r w:rsidRPr="00A17559">
              <w:rPr>
                <w:spacing w:val="-3"/>
                <w:lang w:val="en-GB"/>
              </w:rPr>
              <w:t xml:space="preserve">The CR still maintained the position of  fourth relatively least indebted EU economy. </w:t>
            </w:r>
          </w:p>
          <w:p w:rsidR="00991716" w:rsidRPr="00A17559" w:rsidRDefault="00991716" w:rsidP="00991716">
            <w:pPr>
              <w:pStyle w:val="Marginlie"/>
              <w:rPr>
                <w:spacing w:val="-3"/>
                <w:lang w:val="en-GB"/>
              </w:rPr>
            </w:pPr>
          </w:p>
          <w:p w:rsidR="00991716" w:rsidRPr="00A17559" w:rsidRDefault="00991716" w:rsidP="00991716">
            <w:pPr>
              <w:pStyle w:val="Marginlie"/>
              <w:rPr>
                <w:spacing w:val="-3"/>
                <w:lang w:val="en-GB"/>
              </w:rPr>
            </w:pPr>
          </w:p>
          <w:p w:rsidR="00991716" w:rsidRPr="00A17559" w:rsidRDefault="00991716" w:rsidP="00991716">
            <w:pPr>
              <w:pStyle w:val="Marginlie"/>
              <w:rPr>
                <w:spacing w:val="-3"/>
                <w:lang w:val="en-GB"/>
              </w:rPr>
            </w:pPr>
          </w:p>
          <w:p w:rsidR="00991716" w:rsidRPr="00A17559" w:rsidRDefault="00991716" w:rsidP="00991716">
            <w:pPr>
              <w:pStyle w:val="Marginlie"/>
              <w:rPr>
                <w:spacing w:val="-3"/>
                <w:lang w:val="en-GB"/>
              </w:rPr>
            </w:pPr>
          </w:p>
          <w:p w:rsidR="00991716" w:rsidRPr="00A17559" w:rsidRDefault="00991716" w:rsidP="00991716">
            <w:pPr>
              <w:pStyle w:val="Marginlie"/>
              <w:rPr>
                <w:lang w:val="en-GB"/>
              </w:rPr>
            </w:pPr>
            <w:r w:rsidRPr="00A17559">
              <w:rPr>
                <w:spacing w:val="-3"/>
                <w:lang w:val="en-GB"/>
              </w:rPr>
              <w:t xml:space="preserve">Lowering of the indebtedness </w:t>
            </w:r>
            <w:r>
              <w:rPr>
                <w:spacing w:val="-3"/>
                <w:lang w:val="en-GB"/>
              </w:rPr>
              <w:t>rate manifests only very slowly in EU</w:t>
            </w:r>
            <w:r w:rsidRPr="00A17559">
              <w:rPr>
                <w:spacing w:val="-3"/>
                <w:lang w:val="en-GB"/>
              </w:rPr>
              <w:t xml:space="preserve">, despite </w:t>
            </w:r>
            <w:r w:rsidRPr="00A17559">
              <w:rPr>
                <w:spacing w:val="-3"/>
                <w:lang w:val="en-GB"/>
              </w:rPr>
              <w:lastRenderedPageBreak/>
              <w:t xml:space="preserve">persisting economic growth as well as considerable reduction of budget deficit. </w:t>
            </w:r>
          </w:p>
        </w:tc>
        <w:tc>
          <w:tcPr>
            <w:tcW w:w="217" w:type="dxa"/>
            <w:tcBorders>
              <w:top w:val="nil"/>
              <w:left w:val="nil"/>
              <w:bottom w:val="nil"/>
              <w:right w:val="nil"/>
            </w:tcBorders>
            <w:shd w:val="clear" w:color="auto" w:fill="auto"/>
            <w:tcMar>
              <w:left w:w="0" w:type="dxa"/>
            </w:tcMar>
          </w:tcPr>
          <w:p w:rsidR="00991716" w:rsidRPr="00A17559" w:rsidRDefault="00991716" w:rsidP="00991716">
            <w:pPr>
              <w:pStyle w:val="Textpoznpodarou"/>
              <w:jc w:val="both"/>
              <w:rPr>
                <w:spacing w:val="-4"/>
                <w:lang w:val="en-GB"/>
              </w:rPr>
            </w:pPr>
          </w:p>
        </w:tc>
        <w:tc>
          <w:tcPr>
            <w:tcW w:w="7720" w:type="dxa"/>
            <w:tcBorders>
              <w:top w:val="nil"/>
              <w:left w:val="nil"/>
              <w:bottom w:val="nil"/>
              <w:right w:val="nil"/>
            </w:tcBorders>
            <w:shd w:val="clear" w:color="auto" w:fill="auto"/>
            <w:tcMar>
              <w:left w:w="0" w:type="dxa"/>
            </w:tcMar>
          </w:tcPr>
          <w:p w:rsidR="00991716" w:rsidRPr="00A17559" w:rsidRDefault="00991716" w:rsidP="00991716">
            <w:pPr>
              <w:pStyle w:val="Textpoznpodarou"/>
              <w:spacing w:after="200" w:line="276" w:lineRule="auto"/>
              <w:jc w:val="both"/>
              <w:rPr>
                <w:rFonts w:cs="Arial"/>
                <w:color w:val="0D0D0D" w:themeColor="text1" w:themeTint="F2"/>
                <w:spacing w:val="-4"/>
                <w:lang w:val="en-GB"/>
              </w:rPr>
            </w:pPr>
            <w:r w:rsidRPr="00A17559">
              <w:rPr>
                <w:color w:val="000000" w:themeColor="text1"/>
                <w:spacing w:val="-4"/>
                <w:lang w:val="en-GB"/>
              </w:rPr>
              <w:t>The Czech Republic ranked the fourth relatively least indebted EU state at the end of Q1 2019. Only small economies of Estonia (8.1%) and Luxembourg (21.3%)</w:t>
            </w:r>
            <w:r>
              <w:rPr>
                <w:color w:val="000000" w:themeColor="text1"/>
                <w:spacing w:val="-4"/>
                <w:lang w:val="en-GB"/>
              </w:rPr>
              <w:t xml:space="preserve"> recorded markedly favourable figure</w:t>
            </w:r>
            <w:r w:rsidRPr="00A17559">
              <w:rPr>
                <w:color w:val="000000" w:themeColor="text1"/>
                <w:spacing w:val="-4"/>
                <w:lang w:val="en-GB"/>
              </w:rPr>
              <w:t>s. Further five countries reached a similar indebtedness level as the CR. Indebtedness of the whole Union was 80.7% of GDP and did not reduce quarter-on-quarter for the first time since the beginning of year 2017. Small positive shift at the level of the whole Union is the result of prevailing high indebtedness of the majority of significant EU economies (apart from Germany). Indebtedness slightly enlarged in five EU countries year-on-year, beside others in Italy (to 134.0%), France (99.7%) and Greece (181.9%). Only</w:t>
            </w:r>
            <w:r w:rsidRPr="00A17559">
              <w:rPr>
                <w:rFonts w:cs="Arial"/>
                <w:color w:val="0D0D0D" w:themeColor="text1" w:themeTint="F2"/>
                <w:spacing w:val="-4"/>
                <w:lang w:val="en-GB"/>
              </w:rPr>
              <w:t xml:space="preserve"> less than half of the euro area members complied with the Maastricht deficit criterion at the level of 60% of GDP at the beginning of the year, only the Netherlands among the </w:t>
            </w:r>
            <w:r w:rsidRPr="00A17559">
              <w:rPr>
                <w:rFonts w:cs="Arial"/>
                <w:color w:val="0D0D0D" w:themeColor="text1" w:themeTint="F2"/>
                <w:spacing w:val="-4"/>
                <w:lang w:val="en-GB"/>
              </w:rPr>
              <w:lastRenderedPageBreak/>
              <w:t>larger economies. Enduring economic growth was favourably reflected in the balance of the government institutions sector budget in the Union. It totalled (after adjustment for seasonal and calendar effects) only a shallow deficit (</w:t>
            </w:r>
            <w:r w:rsidRPr="00A17559">
              <w:rPr>
                <w:rFonts w:cs="Arial"/>
                <w:color w:val="0D0D0D" w:themeColor="text1" w:themeTint="F2"/>
                <w:spacing w:val="-2"/>
                <w:lang w:val="en-GB"/>
              </w:rPr>
              <w:t>–</w:t>
            </w:r>
            <w:r w:rsidRPr="00A17559">
              <w:rPr>
                <w:rFonts w:cs="Arial"/>
                <w:color w:val="0D0D0D" w:themeColor="text1" w:themeTint="F2"/>
                <w:spacing w:val="-4"/>
                <w:lang w:val="en-GB"/>
              </w:rPr>
              <w:t>0.6% of GDP) in Q1 and moved at the level of the business cycle peak from years 2007 and 2008 already second year in a row. Twelve union members reported surplus this year, five recorded deficit in the excess of 3% of GDP – Italy, France, Belgium and</w:t>
            </w:r>
            <w:r>
              <w:rPr>
                <w:rFonts w:cs="Arial"/>
                <w:color w:val="0D0D0D" w:themeColor="text1" w:themeTint="F2"/>
                <w:spacing w:val="-4"/>
                <w:lang w:val="en-GB"/>
              </w:rPr>
              <w:t xml:space="preserve"> Romania like in the</w:t>
            </w:r>
            <w:r w:rsidRPr="00A17559">
              <w:rPr>
                <w:rFonts w:cs="Arial"/>
                <w:color w:val="0D0D0D" w:themeColor="text1" w:themeTint="F2"/>
                <w:spacing w:val="-4"/>
                <w:lang w:val="en-GB"/>
              </w:rPr>
              <w:t xml:space="preserve"> Q1</w:t>
            </w:r>
            <w:r>
              <w:rPr>
                <w:rFonts w:cs="Arial"/>
                <w:color w:val="0D0D0D" w:themeColor="text1" w:themeTint="F2"/>
                <w:spacing w:val="-4"/>
                <w:lang w:val="en-GB"/>
              </w:rPr>
              <w:t xml:space="preserve"> 2018</w:t>
            </w:r>
            <w:r w:rsidRPr="00A17559">
              <w:rPr>
                <w:rFonts w:cs="Arial"/>
                <w:color w:val="0D0D0D" w:themeColor="text1" w:themeTint="F2"/>
                <w:spacing w:val="-4"/>
                <w:lang w:val="en-GB"/>
              </w:rPr>
              <w:t xml:space="preserve">, Greece also joined this year. </w:t>
            </w:r>
          </w:p>
        </w:tc>
      </w:tr>
    </w:tbl>
    <w:p w:rsidR="00A50D73" w:rsidRPr="00A17559" w:rsidRDefault="00A50D73" w:rsidP="00E1444C">
      <w:pPr>
        <w:rPr>
          <w:sz w:val="2"/>
          <w:szCs w:val="2"/>
          <w:lang w:val="en-GB"/>
        </w:rPr>
      </w:pPr>
    </w:p>
    <w:sectPr w:rsidR="00A50D73" w:rsidRPr="00A17559" w:rsidSect="00991716">
      <w:headerReference w:type="even" r:id="rId11"/>
      <w:headerReference w:type="default" r:id="rId12"/>
      <w:footerReference w:type="even" r:id="rId13"/>
      <w:footerReference w:type="default" r:id="rId14"/>
      <w:pgSz w:w="11906" w:h="16838" w:code="9"/>
      <w:pgMar w:top="1134" w:right="1134" w:bottom="1418" w:left="1134" w:header="680" w:footer="737" w:gutter="0"/>
      <w:pgNumType w:start="28"/>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60E42" w16cid:durableId="211A8B45"/>
  <w16cid:commentId w16cid:paraId="0353E24E" w16cid:durableId="211BEE38"/>
  <w16cid:commentId w16cid:paraId="1C386A8F" w16cid:durableId="211A9076"/>
  <w16cid:commentId w16cid:paraId="2A0C002C" w16cid:durableId="211A973A"/>
  <w16cid:commentId w16cid:paraId="706065F0" w16cid:durableId="211A91DA"/>
  <w16cid:commentId w16cid:paraId="22EE5AE9" w16cid:durableId="211B6626"/>
  <w16cid:commentId w16cid:paraId="6884C1E2" w16cid:durableId="211B675E"/>
  <w16cid:commentId w16cid:paraId="6C0EBCAF" w16cid:durableId="211B7A37"/>
  <w16cid:commentId w16cid:paraId="2CEF0B27" w16cid:durableId="211B750B"/>
  <w16cid:commentId w16cid:paraId="3634956F" w16cid:durableId="211BCF1B"/>
  <w16cid:commentId w16cid:paraId="07C1F79B" w16cid:durableId="211BEA3A"/>
  <w16cid:commentId w16cid:paraId="0D4FABC8" w16cid:durableId="211CBB71"/>
  <w16cid:commentId w16cid:paraId="76EE34F0" w16cid:durableId="211CB0AE"/>
  <w16cid:commentId w16cid:paraId="3E708163" w16cid:durableId="211CB1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E0" w:rsidRDefault="004A1FE0" w:rsidP="00E71A58">
      <w:r>
        <w:separator/>
      </w:r>
    </w:p>
  </w:endnote>
  <w:endnote w:type="continuationSeparator" w:id="0">
    <w:p w:rsidR="004A1FE0" w:rsidRDefault="004A1FE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A418BC">
    <w:pPr>
      <w:pStyle w:val="Zpat"/>
      <w:rPr>
        <w:szCs w:val="16"/>
      </w:rPr>
    </w:pPr>
    <w:r>
      <w:rPr>
        <w:szCs w:val="16"/>
        <w:lang w:eastAsia="cs-CZ"/>
      </w:rPr>
      <w:drawing>
        <wp:anchor distT="0" distB="0" distL="114300" distR="114300" simplePos="0" relativeHeight="251667968" behindDoc="0" locked="0" layoutInCell="1" allowOverlap="1" wp14:anchorId="2E2F047C" wp14:editId="5CCBCB0F">
          <wp:simplePos x="0" y="0"/>
          <wp:positionH relativeFrom="column">
            <wp:align>right</wp:align>
          </wp:positionH>
          <wp:positionV relativeFrom="paragraph">
            <wp:posOffset>-64770</wp:posOffset>
          </wp:positionV>
          <wp:extent cx="428625" cy="201295"/>
          <wp:effectExtent l="0" t="0" r="3175" b="1905"/>
          <wp:wrapNone/>
          <wp:docPr id="4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991716">
      <w:rPr>
        <w:szCs w:val="16"/>
      </w:rPr>
      <w:t>30</w:t>
    </w:r>
    <w:r w:rsidRPr="00932443">
      <w:rPr>
        <w:szCs w:val="16"/>
      </w:rPr>
      <w:fldChar w:fldCharType="end"/>
    </w:r>
    <w:r w:rsidRPr="00932443">
      <w:rPr>
        <w:szCs w:val="16"/>
      </w:rPr>
      <w:tab/>
    </w:r>
    <w:r>
      <w:rPr>
        <w:szCs w:val="16"/>
      </w:rPr>
      <w:t>First half of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Pr="00932443" w:rsidRDefault="00665624" w:rsidP="00FA6CB6">
    <w:pPr>
      <w:pStyle w:val="Zpat"/>
      <w:rPr>
        <w:szCs w:val="16"/>
      </w:rPr>
    </w:pPr>
    <w:r w:rsidRPr="00FA6CB6">
      <w:rPr>
        <w:szCs w:val="16"/>
      </w:rPr>
      <w:tab/>
    </w:r>
    <w:r>
      <w:rPr>
        <w:szCs w:val="16"/>
      </w:rPr>
      <w:t xml:space="preserve">First half of </w:t>
    </w:r>
    <w:r>
      <w:rPr>
        <w:szCs w:val="16"/>
        <w:lang w:eastAsia="cs-CZ"/>
      </w:rPr>
      <w:drawing>
        <wp:anchor distT="0" distB="0" distL="114300" distR="114300" simplePos="0" relativeHeight="251658752" behindDoc="0" locked="0" layoutInCell="1" allowOverlap="1" wp14:anchorId="78509EBE" wp14:editId="47E6E033">
          <wp:simplePos x="0" y="0"/>
          <wp:positionH relativeFrom="column">
            <wp:align>left</wp:align>
          </wp:positionH>
          <wp:positionV relativeFrom="paragraph">
            <wp:posOffset>-122555</wp:posOffset>
          </wp:positionV>
          <wp:extent cx="510540" cy="272415"/>
          <wp:effectExtent l="0" t="0" r="0" b="6985"/>
          <wp:wrapNone/>
          <wp:docPr id="45"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991716">
      <w:rPr>
        <w:rStyle w:val="ZpatChar"/>
        <w:szCs w:val="16"/>
      </w:rPr>
      <w:t>31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E0" w:rsidRDefault="004A1FE0" w:rsidP="00A21B4D">
      <w:pPr>
        <w:spacing w:after="0"/>
      </w:pPr>
      <w:r>
        <w:separator/>
      </w:r>
    </w:p>
  </w:footnote>
  <w:footnote w:type="continuationSeparator" w:id="0">
    <w:p w:rsidR="004A1FE0" w:rsidRDefault="004A1FE0" w:rsidP="00E71A58">
      <w:r>
        <w:continuationSeparator/>
      </w:r>
    </w:p>
  </w:footnote>
  <w:footnote w:id="1">
    <w:p w:rsidR="00665624" w:rsidRPr="00513A72" w:rsidRDefault="00665624" w:rsidP="00513A72">
      <w:pPr>
        <w:pStyle w:val="Textpoznpodarou"/>
        <w:jc w:val="both"/>
        <w:rPr>
          <w:sz w:val="16"/>
          <w:szCs w:val="16"/>
          <w:lang w:val="en-GB"/>
        </w:rPr>
      </w:pPr>
      <w:r w:rsidRPr="007F5302">
        <w:rPr>
          <w:rStyle w:val="Znakapoznpodarou"/>
          <w:sz w:val="16"/>
          <w:szCs w:val="16"/>
        </w:rPr>
        <w:footnoteRef/>
      </w:r>
      <w:r w:rsidRPr="007F5302">
        <w:rPr>
          <w:sz w:val="16"/>
          <w:szCs w:val="16"/>
        </w:rPr>
        <w:t xml:space="preserve"> </w:t>
      </w:r>
      <w:r w:rsidRPr="00513A72">
        <w:rPr>
          <w:sz w:val="16"/>
          <w:szCs w:val="16"/>
          <w:lang w:val="en-GB"/>
        </w:rPr>
        <w:t xml:space="preserve">Unless stated otherwise, all data related to the state budget stem from the data of the Ministry of Finance regarding the cash fulfilment. </w:t>
      </w:r>
    </w:p>
  </w:footnote>
  <w:footnote w:id="2">
    <w:p w:rsidR="00665624" w:rsidRPr="00513A72" w:rsidRDefault="00665624" w:rsidP="00513A72">
      <w:pPr>
        <w:pStyle w:val="Textpoznpodarou"/>
        <w:jc w:val="both"/>
        <w:rPr>
          <w:sz w:val="16"/>
          <w:szCs w:val="16"/>
          <w:lang w:val="en-GB"/>
        </w:rPr>
      </w:pPr>
      <w:r w:rsidRPr="00513A72">
        <w:rPr>
          <w:rStyle w:val="Znakapoznpodarou"/>
          <w:sz w:val="16"/>
          <w:szCs w:val="16"/>
          <w:lang w:val="en-GB"/>
        </w:rPr>
        <w:footnoteRef/>
      </w:r>
      <w:r w:rsidRPr="00513A72">
        <w:rPr>
          <w:sz w:val="16"/>
          <w:szCs w:val="16"/>
          <w:lang w:val="en-GB"/>
        </w:rPr>
        <w:t xml:space="preserve"> These revenues also contain the revenues from so called Financial mechanisms </w:t>
      </w:r>
      <w:r w:rsidRPr="00513A72">
        <w:rPr>
          <w:rStyle w:val="Zdraznn"/>
          <w:color w:val="0D0D0D" w:themeColor="text1" w:themeTint="F2"/>
          <w:sz w:val="16"/>
          <w:szCs w:val="16"/>
          <w:lang w:val="en-GB"/>
        </w:rPr>
        <w:t xml:space="preserve">(EEA and Norway Funds, Swiss – Czech Cooperation Programme). </w:t>
      </w:r>
      <w:r w:rsidR="005F42C7">
        <w:rPr>
          <w:sz w:val="16"/>
          <w:szCs w:val="16"/>
          <w:lang w:val="en-GB"/>
        </w:rPr>
        <w:t xml:space="preserve">Their </w:t>
      </w:r>
      <w:r w:rsidRPr="00513A72">
        <w:rPr>
          <w:sz w:val="16"/>
          <w:szCs w:val="16"/>
          <w:lang w:val="en-GB"/>
        </w:rPr>
        <w:t xml:space="preserve">decrease </w:t>
      </w:r>
      <w:r w:rsidR="005F42C7">
        <w:rPr>
          <w:sz w:val="16"/>
          <w:szCs w:val="16"/>
          <w:lang w:val="en-GB"/>
        </w:rPr>
        <w:t xml:space="preserve">in H1 2019 </w:t>
      </w:r>
      <w:r w:rsidRPr="00513A72">
        <w:rPr>
          <w:sz w:val="16"/>
          <w:szCs w:val="16"/>
          <w:lang w:val="en-GB"/>
        </w:rPr>
        <w:t>was affected by exceptionally high last year basis – S</w:t>
      </w:r>
      <w:r>
        <w:rPr>
          <w:sz w:val="16"/>
          <w:szCs w:val="16"/>
          <w:lang w:val="en-GB"/>
        </w:rPr>
        <w:t xml:space="preserve">B </w:t>
      </w:r>
      <w:r w:rsidRPr="00513A72">
        <w:rPr>
          <w:sz w:val="16"/>
          <w:szCs w:val="16"/>
          <w:lang w:val="en-GB"/>
        </w:rPr>
        <w:t>a</w:t>
      </w:r>
      <w:r>
        <w:rPr>
          <w:sz w:val="16"/>
          <w:szCs w:val="16"/>
          <w:lang w:val="en-GB"/>
        </w:rPr>
        <w:t>cquired part of final payments rel</w:t>
      </w:r>
      <w:r w:rsidRPr="00513A72">
        <w:rPr>
          <w:sz w:val="16"/>
          <w:szCs w:val="16"/>
          <w:lang w:val="en-GB"/>
        </w:rPr>
        <w:t>ated to the already concluded programme period 2007 t</w:t>
      </w:r>
      <w:r>
        <w:rPr>
          <w:sz w:val="16"/>
          <w:szCs w:val="16"/>
          <w:lang w:val="en-GB"/>
        </w:rPr>
        <w:t>o</w:t>
      </w:r>
      <w:r w:rsidRPr="00513A72">
        <w:rPr>
          <w:sz w:val="16"/>
          <w:szCs w:val="16"/>
          <w:lang w:val="en-GB"/>
        </w:rPr>
        <w:t xml:space="preserve"> 2013 (in the amount of 20</w:t>
      </w:r>
      <w:r>
        <w:rPr>
          <w:sz w:val="16"/>
          <w:szCs w:val="16"/>
          <w:lang w:val="en-GB"/>
        </w:rPr>
        <w:t>.</w:t>
      </w:r>
      <w:r w:rsidRPr="00513A72">
        <w:rPr>
          <w:sz w:val="16"/>
          <w:szCs w:val="16"/>
          <w:lang w:val="en-GB"/>
        </w:rPr>
        <w:t>4 CZK bn) in H1 2018.</w:t>
      </w:r>
    </w:p>
  </w:footnote>
  <w:footnote w:id="3">
    <w:p w:rsidR="00665624" w:rsidRPr="007C71B6" w:rsidRDefault="00665624" w:rsidP="002F5285">
      <w:pPr>
        <w:pStyle w:val="Textpoznpodarou"/>
        <w:jc w:val="both"/>
        <w:rPr>
          <w:sz w:val="16"/>
          <w:szCs w:val="16"/>
          <w:lang w:val="en-GB"/>
        </w:rPr>
      </w:pPr>
      <w:r w:rsidRPr="007F5302">
        <w:rPr>
          <w:rStyle w:val="Znakapoznpodarou"/>
          <w:sz w:val="16"/>
          <w:szCs w:val="16"/>
        </w:rPr>
        <w:footnoteRef/>
      </w:r>
      <w:r w:rsidRPr="007F5302">
        <w:rPr>
          <w:sz w:val="16"/>
          <w:szCs w:val="16"/>
        </w:rPr>
        <w:t xml:space="preserve"> </w:t>
      </w:r>
      <w:r w:rsidRPr="007C71B6">
        <w:rPr>
          <w:sz w:val="16"/>
          <w:szCs w:val="16"/>
          <w:lang w:val="en-GB"/>
        </w:rPr>
        <w:t>Volume of VAT collection stagnated year-on-year in Q</w:t>
      </w:r>
      <w:r w:rsidRPr="007C71B6">
        <w:rPr>
          <w:color w:val="0D0D0D" w:themeColor="text1" w:themeTint="F2"/>
          <w:sz w:val="16"/>
          <w:szCs w:val="16"/>
          <w:lang w:val="en-GB"/>
        </w:rPr>
        <w:t>1 2019, it grew by 5.9% in Q2. Slower pace was partially also connected to the year-on-year lower volume of</w:t>
      </w:r>
      <w:r>
        <w:rPr>
          <w:color w:val="0D0D0D" w:themeColor="text1" w:themeTint="F2"/>
          <w:sz w:val="16"/>
          <w:szCs w:val="16"/>
          <w:lang w:val="en-GB"/>
        </w:rPr>
        <w:t xml:space="preserve"> retained</w:t>
      </w:r>
      <w:r w:rsidRPr="007C71B6">
        <w:rPr>
          <w:color w:val="0D0D0D" w:themeColor="text1" w:themeTint="F2"/>
          <w:sz w:val="16"/>
          <w:szCs w:val="16"/>
          <w:lang w:val="en-GB"/>
        </w:rPr>
        <w:t xml:space="preserve"> </w:t>
      </w:r>
      <w:r>
        <w:rPr>
          <w:color w:val="0D0D0D" w:themeColor="text1" w:themeTint="F2"/>
          <w:sz w:val="16"/>
          <w:szCs w:val="16"/>
          <w:lang w:val="en-GB"/>
        </w:rPr>
        <w:t>excessive deductions by Financial Administration</w:t>
      </w:r>
      <w:r w:rsidRPr="007C71B6">
        <w:rPr>
          <w:color w:val="0D0D0D" w:themeColor="text1" w:themeTint="F2"/>
          <w:sz w:val="16"/>
          <w:szCs w:val="16"/>
          <w:lang w:val="en-GB"/>
        </w:rPr>
        <w:t xml:space="preserve"> at the beginning of the year. The most up-to-date data so far also proved the dynamism of the VAT collection during this year – VAT collection strengthen</w:t>
      </w:r>
      <w:r>
        <w:rPr>
          <w:color w:val="0D0D0D" w:themeColor="text1" w:themeTint="F2"/>
          <w:sz w:val="16"/>
          <w:szCs w:val="16"/>
          <w:lang w:val="en-GB"/>
        </w:rPr>
        <w:t>ed</w:t>
      </w:r>
      <w:r w:rsidRPr="007C71B6">
        <w:rPr>
          <w:color w:val="0D0D0D" w:themeColor="text1" w:themeTint="F2"/>
          <w:sz w:val="16"/>
          <w:szCs w:val="16"/>
          <w:lang w:val="en-GB"/>
        </w:rPr>
        <w:t xml:space="preserve"> in t</w:t>
      </w:r>
      <w:r>
        <w:rPr>
          <w:color w:val="0D0D0D" w:themeColor="text1" w:themeTint="F2"/>
          <w:sz w:val="16"/>
          <w:szCs w:val="16"/>
          <w:lang w:val="en-GB"/>
        </w:rPr>
        <w:t>otal</w:t>
      </w:r>
      <w:r w:rsidRPr="007C71B6">
        <w:rPr>
          <w:color w:val="0D0D0D" w:themeColor="text1" w:themeTint="F2"/>
          <w:sz w:val="16"/>
          <w:szCs w:val="16"/>
          <w:lang w:val="en-GB"/>
        </w:rPr>
        <w:t xml:space="preserve"> for the first eight months of the year by 5.2% year-on-year.</w:t>
      </w:r>
    </w:p>
  </w:footnote>
  <w:footnote w:id="4">
    <w:p w:rsidR="00665624" w:rsidRPr="007C71B6" w:rsidRDefault="00665624" w:rsidP="002F5285">
      <w:pPr>
        <w:pStyle w:val="Textpoznpodarou"/>
        <w:jc w:val="both"/>
        <w:rPr>
          <w:sz w:val="16"/>
          <w:szCs w:val="16"/>
          <w:lang w:val="en-GB"/>
        </w:rPr>
      </w:pPr>
      <w:r w:rsidRPr="007C71B6">
        <w:rPr>
          <w:rStyle w:val="Znakapoznpodarou"/>
          <w:sz w:val="16"/>
          <w:szCs w:val="16"/>
          <w:lang w:val="en-GB"/>
        </w:rPr>
        <w:footnoteRef/>
      </w:r>
      <w:r w:rsidRPr="007C71B6">
        <w:rPr>
          <w:sz w:val="16"/>
          <w:szCs w:val="16"/>
          <w:lang w:val="en-GB"/>
        </w:rPr>
        <w:t xml:space="preserve"> </w:t>
      </w:r>
      <w:r>
        <w:rPr>
          <w:sz w:val="16"/>
          <w:szCs w:val="16"/>
          <w:lang w:val="en-GB"/>
        </w:rPr>
        <w:t xml:space="preserve">Both values express the year-on-year rate of growth of the nominal not-seasonally adjusted consumption for H1 </w:t>
      </w:r>
      <w:r w:rsidRPr="007C71B6">
        <w:rPr>
          <w:color w:val="0D0D0D" w:themeColor="text1" w:themeTint="F2"/>
          <w:sz w:val="16"/>
          <w:szCs w:val="16"/>
          <w:lang w:val="en-GB"/>
        </w:rPr>
        <w:t>2019.</w:t>
      </w:r>
    </w:p>
  </w:footnote>
  <w:footnote w:id="5">
    <w:p w:rsidR="00665624" w:rsidRPr="007C71B6" w:rsidRDefault="00665624" w:rsidP="002F5285">
      <w:pPr>
        <w:pStyle w:val="Textpoznpodarou"/>
        <w:jc w:val="both"/>
        <w:rPr>
          <w:lang w:val="en-GB"/>
        </w:rPr>
      </w:pPr>
      <w:r w:rsidRPr="007C71B6">
        <w:rPr>
          <w:rStyle w:val="Znakapoznpodarou"/>
          <w:sz w:val="16"/>
          <w:szCs w:val="16"/>
          <w:lang w:val="en-GB"/>
        </w:rPr>
        <w:footnoteRef/>
      </w:r>
      <w:r w:rsidRPr="007C71B6">
        <w:rPr>
          <w:sz w:val="16"/>
          <w:szCs w:val="16"/>
          <w:lang w:val="en-GB"/>
        </w:rPr>
        <w:t xml:space="preserve"> </w:t>
      </w:r>
      <w:r>
        <w:rPr>
          <w:sz w:val="16"/>
          <w:szCs w:val="16"/>
          <w:lang w:val="en-GB"/>
        </w:rPr>
        <w:t xml:space="preserve">It also corresponds to the more detailed CZSO data related to the natural consumption of oil products. Consumption of diesel fuel </w:t>
      </w:r>
      <w:r w:rsidRPr="007C71B6">
        <w:rPr>
          <w:sz w:val="16"/>
          <w:szCs w:val="16"/>
          <w:lang w:val="en-GB"/>
        </w:rPr>
        <w:t>(+2</w:t>
      </w:r>
      <w:r>
        <w:rPr>
          <w:sz w:val="16"/>
          <w:szCs w:val="16"/>
          <w:lang w:val="en-GB"/>
        </w:rPr>
        <w:t>.</w:t>
      </w:r>
      <w:r w:rsidRPr="007C71B6">
        <w:rPr>
          <w:sz w:val="16"/>
          <w:szCs w:val="16"/>
          <w:lang w:val="en-GB"/>
        </w:rPr>
        <w:t>4%)</w:t>
      </w:r>
      <w:r>
        <w:rPr>
          <w:sz w:val="16"/>
          <w:szCs w:val="16"/>
          <w:lang w:val="en-GB"/>
        </w:rPr>
        <w:t xml:space="preserve"> as well as kerosene </w:t>
      </w:r>
      <w:r w:rsidRPr="007C71B6">
        <w:rPr>
          <w:sz w:val="16"/>
          <w:szCs w:val="16"/>
          <w:lang w:val="en-GB"/>
        </w:rPr>
        <w:t>(+3</w:t>
      </w:r>
      <w:r>
        <w:rPr>
          <w:sz w:val="16"/>
          <w:szCs w:val="16"/>
          <w:lang w:val="en-GB"/>
        </w:rPr>
        <w:t>.</w:t>
      </w:r>
      <w:r w:rsidRPr="007C71B6">
        <w:rPr>
          <w:sz w:val="16"/>
          <w:szCs w:val="16"/>
          <w:lang w:val="en-GB"/>
        </w:rPr>
        <w:t>6%</w:t>
      </w:r>
      <w:r>
        <w:rPr>
          <w:sz w:val="16"/>
          <w:szCs w:val="16"/>
          <w:lang w:val="en-GB"/>
        </w:rPr>
        <w:t>) increased year-on-year</w:t>
      </w:r>
      <w:r w:rsidRPr="007C71B6">
        <w:rPr>
          <w:sz w:val="16"/>
          <w:szCs w:val="16"/>
          <w:lang w:val="en-GB"/>
        </w:rPr>
        <w:t xml:space="preserve">, </w:t>
      </w:r>
      <w:r>
        <w:rPr>
          <w:sz w:val="16"/>
          <w:szCs w:val="16"/>
          <w:lang w:val="en-GB"/>
        </w:rPr>
        <w:t xml:space="preserve">decrease occurred on the contrary for petrol </w:t>
      </w:r>
      <w:r w:rsidRPr="007C71B6">
        <w:rPr>
          <w:sz w:val="16"/>
          <w:szCs w:val="16"/>
          <w:lang w:val="en-GB"/>
        </w:rPr>
        <w:t>(–0</w:t>
      </w:r>
      <w:r>
        <w:rPr>
          <w:sz w:val="16"/>
          <w:szCs w:val="16"/>
          <w:lang w:val="en-GB"/>
        </w:rPr>
        <w:t>.</w:t>
      </w:r>
      <w:r w:rsidRPr="007C71B6">
        <w:rPr>
          <w:sz w:val="16"/>
          <w:szCs w:val="16"/>
          <w:lang w:val="en-GB"/>
        </w:rPr>
        <w:t>2%)</w:t>
      </w:r>
      <w:r>
        <w:rPr>
          <w:sz w:val="16"/>
          <w:szCs w:val="16"/>
          <w:lang w:val="en-GB"/>
        </w:rPr>
        <w:t xml:space="preserve"> during the first five months of year 2019. </w:t>
      </w:r>
    </w:p>
  </w:footnote>
  <w:footnote w:id="6">
    <w:p w:rsidR="00665624" w:rsidRPr="007C71B6" w:rsidRDefault="00665624" w:rsidP="002F5285">
      <w:pPr>
        <w:pStyle w:val="Textpoznpodarou"/>
        <w:jc w:val="both"/>
        <w:rPr>
          <w:spacing w:val="-2"/>
          <w:sz w:val="16"/>
          <w:szCs w:val="16"/>
          <w:lang w:val="en-GB"/>
        </w:rPr>
      </w:pPr>
      <w:r w:rsidRPr="007C71B6">
        <w:rPr>
          <w:rStyle w:val="Znakapoznpodarou"/>
          <w:spacing w:val="-2"/>
          <w:sz w:val="16"/>
          <w:szCs w:val="16"/>
          <w:lang w:val="en-GB"/>
        </w:rPr>
        <w:footnoteRef/>
      </w:r>
      <w:r w:rsidRPr="007C71B6">
        <w:rPr>
          <w:spacing w:val="-2"/>
          <w:sz w:val="16"/>
          <w:szCs w:val="16"/>
          <w:lang w:val="en-GB"/>
        </w:rPr>
        <w:t xml:space="preserve"> </w:t>
      </w:r>
      <w:r>
        <w:rPr>
          <w:spacing w:val="-2"/>
          <w:sz w:val="16"/>
          <w:szCs w:val="16"/>
          <w:lang w:val="en-GB"/>
        </w:rPr>
        <w:t xml:space="preserve">For the most part a varying timing of mandatory payments of the CR within this year stood behind this development, which was connected to the prepared exit of the Great Britain from the EU. </w:t>
      </w:r>
    </w:p>
  </w:footnote>
  <w:footnote w:id="7">
    <w:p w:rsidR="00665624" w:rsidRPr="00F24FBC" w:rsidRDefault="00665624" w:rsidP="002F5285">
      <w:pPr>
        <w:pStyle w:val="Textpoznpodarou"/>
        <w:jc w:val="both"/>
        <w:rPr>
          <w:sz w:val="16"/>
          <w:szCs w:val="16"/>
          <w:lang w:val="en-GB"/>
        </w:rPr>
      </w:pPr>
      <w:r w:rsidRPr="006D61C4">
        <w:rPr>
          <w:rStyle w:val="Znakapoznpodarou"/>
          <w:sz w:val="16"/>
          <w:szCs w:val="16"/>
        </w:rPr>
        <w:footnoteRef/>
      </w:r>
      <w:r w:rsidRPr="006D61C4">
        <w:rPr>
          <w:sz w:val="16"/>
          <w:szCs w:val="16"/>
        </w:rPr>
        <w:t xml:space="preserve"> </w:t>
      </w:r>
      <w:r w:rsidRPr="00F24FBC">
        <w:rPr>
          <w:sz w:val="16"/>
          <w:szCs w:val="16"/>
          <w:lang w:val="en-GB"/>
        </w:rPr>
        <w:t xml:space="preserve">Total expenditures </w:t>
      </w:r>
      <w:r w:rsidRPr="00F24FBC">
        <w:rPr>
          <w:color w:val="0D0D0D" w:themeColor="text1" w:themeTint="F2"/>
          <w:spacing w:val="-2"/>
          <w:sz w:val="16"/>
          <w:szCs w:val="16"/>
          <w:lang w:val="en-GB"/>
        </w:rPr>
        <w:t xml:space="preserve">(incl. current) to finance common EU and CR programmes summed </w:t>
      </w:r>
      <w:r w:rsidRPr="00F24FBC">
        <w:rPr>
          <w:spacing w:val="-2"/>
          <w:sz w:val="16"/>
          <w:szCs w:val="16"/>
          <w:lang w:val="en-GB"/>
        </w:rPr>
        <w:t>65.8 CZK bn in H1, by 15.2 CZK bn more year-on-year.</w:t>
      </w:r>
    </w:p>
  </w:footnote>
  <w:footnote w:id="8">
    <w:p w:rsidR="00665624" w:rsidRPr="006D61C4" w:rsidRDefault="00665624" w:rsidP="000E7DEA">
      <w:pPr>
        <w:pStyle w:val="Textpoznpodarou"/>
        <w:jc w:val="both"/>
        <w:rPr>
          <w:sz w:val="16"/>
          <w:szCs w:val="16"/>
        </w:rPr>
      </w:pPr>
      <w:r w:rsidRPr="00F24FBC">
        <w:rPr>
          <w:rStyle w:val="Znakapoznpodarou"/>
          <w:sz w:val="16"/>
          <w:szCs w:val="16"/>
          <w:lang w:val="en-GB"/>
        </w:rPr>
        <w:footnoteRef/>
      </w:r>
      <w:r w:rsidRPr="00F24FBC">
        <w:rPr>
          <w:sz w:val="16"/>
          <w:szCs w:val="16"/>
          <w:lang w:val="en-GB"/>
        </w:rPr>
        <w:t xml:space="preserve"> </w:t>
      </w:r>
      <w:r>
        <w:rPr>
          <w:sz w:val="16"/>
          <w:szCs w:val="16"/>
          <w:lang w:val="en-GB"/>
        </w:rPr>
        <w:t xml:space="preserve">It included the increase of the basic pension assessment from </w:t>
      </w:r>
      <w:r w:rsidRPr="00F24FBC">
        <w:rPr>
          <w:color w:val="0D0D0D" w:themeColor="text1" w:themeTint="F2"/>
          <w:spacing w:val="-2"/>
          <w:sz w:val="16"/>
          <w:szCs w:val="16"/>
          <w:lang w:val="en-GB"/>
        </w:rPr>
        <w:t>9%</w:t>
      </w:r>
      <w:r>
        <w:rPr>
          <w:color w:val="0D0D0D" w:themeColor="text1" w:themeTint="F2"/>
          <w:spacing w:val="-2"/>
          <w:sz w:val="16"/>
          <w:szCs w:val="16"/>
          <w:lang w:val="en-GB"/>
        </w:rPr>
        <w:t xml:space="preserve"> to </w:t>
      </w:r>
      <w:r w:rsidRPr="00F24FBC">
        <w:rPr>
          <w:color w:val="0D0D0D" w:themeColor="text1" w:themeTint="F2"/>
          <w:spacing w:val="-2"/>
          <w:sz w:val="16"/>
          <w:szCs w:val="16"/>
          <w:lang w:val="en-GB"/>
        </w:rPr>
        <w:t>10%</w:t>
      </w:r>
      <w:r>
        <w:rPr>
          <w:color w:val="0D0D0D" w:themeColor="text1" w:themeTint="F2"/>
          <w:spacing w:val="-2"/>
          <w:sz w:val="16"/>
          <w:szCs w:val="16"/>
          <w:lang w:val="en-GB"/>
        </w:rPr>
        <w:t xml:space="preserve"> of the average wage, percentage pension assessment by </w:t>
      </w:r>
      <w:r w:rsidRPr="00F24FBC">
        <w:rPr>
          <w:color w:val="0D0D0D" w:themeColor="text1" w:themeTint="F2"/>
          <w:spacing w:val="-2"/>
          <w:sz w:val="16"/>
          <w:szCs w:val="16"/>
          <w:lang w:val="en-GB"/>
        </w:rPr>
        <w:t>3</w:t>
      </w:r>
      <w:r>
        <w:rPr>
          <w:color w:val="0D0D0D" w:themeColor="text1" w:themeTint="F2"/>
          <w:spacing w:val="-2"/>
          <w:sz w:val="16"/>
          <w:szCs w:val="16"/>
          <w:lang w:val="en-GB"/>
        </w:rPr>
        <w:t>.</w:t>
      </w:r>
      <w:r w:rsidRPr="00F24FBC">
        <w:rPr>
          <w:color w:val="0D0D0D" w:themeColor="text1" w:themeTint="F2"/>
          <w:spacing w:val="-2"/>
          <w:sz w:val="16"/>
          <w:szCs w:val="16"/>
          <w:lang w:val="en-GB"/>
        </w:rPr>
        <w:t>4% a</w:t>
      </w:r>
      <w:r>
        <w:rPr>
          <w:color w:val="0D0D0D" w:themeColor="text1" w:themeTint="F2"/>
          <w:spacing w:val="-2"/>
          <w:sz w:val="16"/>
          <w:szCs w:val="16"/>
          <w:lang w:val="en-GB"/>
        </w:rPr>
        <w:t xml:space="preserve">nd further the increase of </w:t>
      </w:r>
      <w:r w:rsidRPr="00F24FBC">
        <w:rPr>
          <w:color w:val="0D0D0D" w:themeColor="text1" w:themeTint="F2"/>
          <w:spacing w:val="-2"/>
          <w:sz w:val="16"/>
          <w:szCs w:val="16"/>
          <w:lang w:val="en-GB"/>
        </w:rPr>
        <w:t>1 000</w:t>
      </w:r>
      <w:r w:rsidRPr="00F24FBC">
        <w:rPr>
          <w:spacing w:val="-2"/>
          <w:sz w:val="16"/>
          <w:szCs w:val="16"/>
          <w:lang w:val="en-GB"/>
        </w:rPr>
        <w:t> </w:t>
      </w:r>
      <w:r>
        <w:rPr>
          <w:spacing w:val="-2"/>
          <w:sz w:val="16"/>
          <w:szCs w:val="16"/>
          <w:lang w:val="en-GB"/>
        </w:rPr>
        <w:t>CZK for pension recipients</w:t>
      </w:r>
      <w:r w:rsidRPr="00F24FBC">
        <w:rPr>
          <w:color w:val="0D0D0D" w:themeColor="text1" w:themeTint="F2"/>
          <w:spacing w:val="-2"/>
          <w:sz w:val="16"/>
          <w:szCs w:val="16"/>
          <w:lang w:val="en-GB"/>
        </w:rPr>
        <w:t xml:space="preserve">, </w:t>
      </w:r>
      <w:r>
        <w:rPr>
          <w:color w:val="0D0D0D" w:themeColor="text1" w:themeTint="F2"/>
          <w:spacing w:val="-2"/>
          <w:sz w:val="16"/>
          <w:szCs w:val="16"/>
          <w:lang w:val="en-GB"/>
        </w:rPr>
        <w:t>who reach</w:t>
      </w:r>
      <w:r w:rsidR="00164788">
        <w:rPr>
          <w:color w:val="0D0D0D" w:themeColor="text1" w:themeTint="F2"/>
          <w:spacing w:val="-2"/>
          <w:sz w:val="16"/>
          <w:szCs w:val="16"/>
          <w:lang w:val="en-GB"/>
        </w:rPr>
        <w:t>ed</w:t>
      </w:r>
      <w:r>
        <w:rPr>
          <w:color w:val="0D0D0D" w:themeColor="text1" w:themeTint="F2"/>
          <w:spacing w:val="-2"/>
          <w:sz w:val="16"/>
          <w:szCs w:val="16"/>
          <w:lang w:val="en-GB"/>
        </w:rPr>
        <w:t xml:space="preserve"> the age of </w:t>
      </w:r>
      <w:r w:rsidRPr="00F24FBC">
        <w:rPr>
          <w:color w:val="0D0D0D" w:themeColor="text1" w:themeTint="F2"/>
          <w:spacing w:val="-2"/>
          <w:sz w:val="16"/>
          <w:szCs w:val="16"/>
          <w:lang w:val="en-GB"/>
        </w:rPr>
        <w:t>85</w:t>
      </w:r>
      <w:r>
        <w:rPr>
          <w:color w:val="0D0D0D" w:themeColor="text1" w:themeTint="F2"/>
          <w:spacing w:val="-2"/>
          <w:sz w:val="16"/>
          <w:szCs w:val="16"/>
          <w:lang w:val="en-GB"/>
        </w:rPr>
        <w:t xml:space="preserve"> years. Pension adjustment mechanism further fully reflects the impact of the consumer price growth </w:t>
      </w:r>
      <w:r w:rsidRPr="00F24FBC">
        <w:rPr>
          <w:color w:val="0D0D0D" w:themeColor="text1" w:themeTint="F2"/>
          <w:spacing w:val="-2"/>
          <w:sz w:val="16"/>
          <w:szCs w:val="16"/>
          <w:lang w:val="en-GB"/>
        </w:rPr>
        <w:t>(</w:t>
      </w:r>
      <w:r>
        <w:rPr>
          <w:color w:val="0D0D0D" w:themeColor="text1" w:themeTint="F2"/>
          <w:spacing w:val="-2"/>
          <w:sz w:val="16"/>
          <w:szCs w:val="16"/>
          <w:lang w:val="en-GB"/>
        </w:rPr>
        <w:t>altern. the growth of the living costs of pensioners</w:t>
      </w:r>
      <w:r w:rsidRPr="00F24FBC">
        <w:rPr>
          <w:color w:val="0D0D0D" w:themeColor="text1" w:themeTint="F2"/>
          <w:spacing w:val="-2"/>
          <w:sz w:val="16"/>
          <w:szCs w:val="16"/>
          <w:lang w:val="en-GB"/>
        </w:rPr>
        <w:t xml:space="preserve">) </w:t>
      </w:r>
      <w:r>
        <w:rPr>
          <w:color w:val="0D0D0D" w:themeColor="text1" w:themeTint="F2"/>
          <w:spacing w:val="-2"/>
          <w:sz w:val="16"/>
          <w:szCs w:val="16"/>
          <w:lang w:val="en-GB"/>
        </w:rPr>
        <w:t xml:space="preserve">since year 2018 </w:t>
      </w:r>
      <w:r w:rsidRPr="00F24FBC">
        <w:rPr>
          <w:color w:val="0D0D0D" w:themeColor="text1" w:themeTint="F2"/>
          <w:spacing w:val="-2"/>
          <w:sz w:val="16"/>
          <w:szCs w:val="16"/>
          <w:lang w:val="en-GB"/>
        </w:rPr>
        <w:t>a</w:t>
      </w:r>
      <w:r>
        <w:rPr>
          <w:color w:val="0D0D0D" w:themeColor="text1" w:themeTint="F2"/>
          <w:spacing w:val="-2"/>
          <w:sz w:val="16"/>
          <w:szCs w:val="16"/>
          <w:lang w:val="en-GB"/>
        </w:rPr>
        <w:t xml:space="preserve">nd one half of the growth of real wages in the economy is also taken into account. </w:t>
      </w:r>
      <w:r w:rsidRPr="00F24FBC">
        <w:rPr>
          <w:color w:val="0D0D0D" w:themeColor="text1" w:themeTint="F2"/>
          <w:spacing w:val="-2"/>
          <w:sz w:val="16"/>
          <w:szCs w:val="16"/>
          <w:lang w:val="en-GB"/>
        </w:rPr>
        <w:t> </w:t>
      </w:r>
    </w:p>
  </w:footnote>
  <w:footnote w:id="9">
    <w:p w:rsidR="00665624" w:rsidRPr="00736841" w:rsidRDefault="00665624" w:rsidP="000E7DEA">
      <w:pPr>
        <w:pStyle w:val="Textpoznpodarou"/>
        <w:jc w:val="both"/>
        <w:rPr>
          <w:sz w:val="16"/>
          <w:szCs w:val="16"/>
          <w:lang w:val="en-GB"/>
        </w:rPr>
      </w:pPr>
      <w:r w:rsidRPr="006D61C4">
        <w:rPr>
          <w:rStyle w:val="Znakapoznpodarou"/>
          <w:sz w:val="16"/>
          <w:szCs w:val="16"/>
        </w:rPr>
        <w:footnoteRef/>
      </w:r>
      <w:r>
        <w:rPr>
          <w:sz w:val="16"/>
          <w:szCs w:val="16"/>
        </w:rPr>
        <w:t xml:space="preserve"> </w:t>
      </w:r>
      <w:r w:rsidRPr="00736841">
        <w:rPr>
          <w:sz w:val="16"/>
          <w:szCs w:val="16"/>
          <w:lang w:val="en-GB"/>
        </w:rPr>
        <w:t xml:space="preserve">Rate of year-on-year growth of levied insurance on pensions slowed this year for the first time after five preceding years. It jumped to record </w:t>
      </w:r>
      <w:r w:rsidR="00633908">
        <w:rPr>
          <w:sz w:val="16"/>
          <w:szCs w:val="16"/>
          <w:lang w:val="en-GB"/>
        </w:rPr>
        <w:t>+</w:t>
      </w:r>
      <w:r w:rsidRPr="00736841">
        <w:rPr>
          <w:sz w:val="16"/>
          <w:szCs w:val="16"/>
          <w:lang w:val="en-GB"/>
        </w:rPr>
        <w:t xml:space="preserve">10.7% in H1 2018. This development corresponded to the moderate slowdown of employment growth in the economy as well as likely peak of average wage dynamics achieved last year.  </w:t>
      </w:r>
    </w:p>
  </w:footnote>
  <w:footnote w:id="10">
    <w:p w:rsidR="00665624" w:rsidRPr="00736841" w:rsidRDefault="00665624" w:rsidP="000E7DEA">
      <w:pPr>
        <w:pStyle w:val="Textpoznpodarou"/>
        <w:jc w:val="both"/>
        <w:rPr>
          <w:lang w:val="en-GB"/>
        </w:rPr>
      </w:pPr>
      <w:r w:rsidRPr="00736841">
        <w:rPr>
          <w:rStyle w:val="Znakapoznpodarou"/>
          <w:sz w:val="16"/>
          <w:szCs w:val="16"/>
          <w:lang w:val="en-GB"/>
        </w:rPr>
        <w:footnoteRef/>
      </w:r>
      <w:r w:rsidRPr="00736841">
        <w:rPr>
          <w:sz w:val="16"/>
          <w:szCs w:val="16"/>
          <w:lang w:val="en-GB"/>
        </w:rPr>
        <w:t xml:space="preserve"> </w:t>
      </w:r>
      <w:r>
        <w:rPr>
          <w:sz w:val="16"/>
          <w:szCs w:val="16"/>
          <w:lang w:val="en-GB"/>
        </w:rPr>
        <w:t xml:space="preserve">Expressed as the difference between revenues and expenditures on pensions from the SB. </w:t>
      </w:r>
      <w:r>
        <w:rPr>
          <w:rFonts w:cs="Arial"/>
          <w:color w:val="000000" w:themeColor="text1"/>
          <w:spacing w:val="-4"/>
          <w:sz w:val="16"/>
          <w:szCs w:val="16"/>
          <w:lang w:val="en-GB"/>
        </w:rPr>
        <w:t xml:space="preserve">Expenditures on administration of the pension insurance system are not included (they arrived at 6.4 CZK bn according to the MF data for the whole year </w:t>
      </w:r>
      <w:r w:rsidRPr="00736841">
        <w:rPr>
          <w:rFonts w:cs="Arial"/>
          <w:color w:val="000000" w:themeColor="text1"/>
          <w:spacing w:val="-4"/>
          <w:sz w:val="16"/>
          <w:szCs w:val="16"/>
          <w:lang w:val="en-GB"/>
        </w:rPr>
        <w:t>2018).</w:t>
      </w:r>
    </w:p>
  </w:footnote>
  <w:footnote w:id="11">
    <w:p w:rsidR="00991716" w:rsidRPr="00736841" w:rsidRDefault="00991716" w:rsidP="002F5285">
      <w:pPr>
        <w:pStyle w:val="Textpoznpodarou"/>
        <w:jc w:val="both"/>
        <w:rPr>
          <w:lang w:val="en-GB"/>
        </w:rPr>
      </w:pPr>
      <w:r w:rsidRPr="00736841">
        <w:rPr>
          <w:rStyle w:val="Znakapoznpodarou"/>
          <w:sz w:val="16"/>
          <w:szCs w:val="16"/>
          <w:lang w:val="en-GB"/>
        </w:rPr>
        <w:footnoteRef/>
      </w:r>
      <w:r w:rsidRPr="00736841">
        <w:rPr>
          <w:sz w:val="16"/>
          <w:szCs w:val="16"/>
          <w:lang w:val="en-GB"/>
        </w:rPr>
        <w:t xml:space="preserve"> </w:t>
      </w:r>
      <w:r>
        <w:rPr>
          <w:sz w:val="16"/>
          <w:szCs w:val="16"/>
          <w:lang w:val="en-GB"/>
        </w:rPr>
        <w:t xml:space="preserve">Continuing growth of the temporary incapacity for work stood behind it </w:t>
      </w:r>
      <w:r w:rsidRPr="00736841">
        <w:rPr>
          <w:sz w:val="16"/>
          <w:szCs w:val="16"/>
          <w:lang w:val="en-GB"/>
        </w:rPr>
        <w:t>(</w:t>
      </w:r>
      <w:r>
        <w:rPr>
          <w:sz w:val="16"/>
          <w:szCs w:val="16"/>
          <w:lang w:val="en-GB"/>
        </w:rPr>
        <w:t>based on the MLSA data, the number of reimbursed days of sickness leaves increased by 6.7% in H</w:t>
      </w:r>
      <w:r w:rsidRPr="00736841">
        <w:rPr>
          <w:sz w:val="16"/>
          <w:szCs w:val="16"/>
          <w:lang w:val="en-GB"/>
        </w:rPr>
        <w:t>1).</w:t>
      </w:r>
      <w:r>
        <w:rPr>
          <w:sz w:val="16"/>
          <w:szCs w:val="16"/>
          <w:lang w:val="en-GB"/>
        </w:rPr>
        <w:t xml:space="preserve"> Daily assessment basis of this benefit also increased </w:t>
      </w:r>
      <w:r w:rsidRPr="00736841">
        <w:rPr>
          <w:sz w:val="16"/>
          <w:szCs w:val="16"/>
          <w:lang w:val="en-GB"/>
        </w:rPr>
        <w:t>(</w:t>
      </w:r>
      <w:r>
        <w:rPr>
          <w:sz w:val="16"/>
          <w:szCs w:val="16"/>
          <w:lang w:val="en-GB"/>
        </w:rPr>
        <w:t>derived among other things from the size of previous earnings</w:t>
      </w:r>
      <w:r w:rsidRPr="00736841">
        <w:rPr>
          <w:sz w:val="16"/>
          <w:szCs w:val="16"/>
          <w:lang w:val="en-GB"/>
        </w:rPr>
        <w:t>).</w:t>
      </w:r>
      <w:r>
        <w:rPr>
          <w:sz w:val="16"/>
          <w:szCs w:val="16"/>
          <w:lang w:val="en-GB"/>
        </w:rPr>
        <w:t xml:space="preserve"> Growth of the volume of paid out sickness benefits was also affected by higher drawing of maternity benefits</w:t>
      </w:r>
      <w:r w:rsidRPr="00736841">
        <w:rPr>
          <w:sz w:val="16"/>
          <w:szCs w:val="16"/>
          <w:lang w:val="en-GB"/>
        </w:rPr>
        <w:t xml:space="preserve"> (+7</w:t>
      </w:r>
      <w:r>
        <w:rPr>
          <w:sz w:val="16"/>
          <w:szCs w:val="16"/>
          <w:lang w:val="en-GB"/>
        </w:rPr>
        <w:t>.</w:t>
      </w:r>
      <w:r w:rsidRPr="00736841">
        <w:rPr>
          <w:sz w:val="16"/>
          <w:szCs w:val="16"/>
          <w:lang w:val="en-GB"/>
        </w:rPr>
        <w:t>5%).</w:t>
      </w:r>
    </w:p>
  </w:footnote>
  <w:footnote w:id="12">
    <w:p w:rsidR="00991716" w:rsidRPr="00736841" w:rsidRDefault="00991716" w:rsidP="002F5285">
      <w:pPr>
        <w:pStyle w:val="Textpoznpodarou"/>
        <w:jc w:val="both"/>
        <w:rPr>
          <w:lang w:val="en-GB"/>
        </w:rPr>
      </w:pPr>
      <w:r w:rsidRPr="00736841">
        <w:rPr>
          <w:rStyle w:val="Znakapoznpodarou"/>
          <w:sz w:val="16"/>
          <w:szCs w:val="16"/>
          <w:lang w:val="en-GB"/>
        </w:rPr>
        <w:footnoteRef/>
      </w:r>
      <w:r w:rsidRPr="00736841">
        <w:rPr>
          <w:sz w:val="16"/>
          <w:szCs w:val="16"/>
          <w:lang w:val="en-GB"/>
        </w:rPr>
        <w:t xml:space="preserve"> 34</w:t>
      </w:r>
      <w:r>
        <w:rPr>
          <w:sz w:val="16"/>
          <w:szCs w:val="16"/>
          <w:lang w:val="en-GB"/>
        </w:rPr>
        <w:t>.</w:t>
      </w:r>
      <w:r w:rsidRPr="00736841">
        <w:rPr>
          <w:sz w:val="16"/>
          <w:szCs w:val="16"/>
          <w:lang w:val="en-GB"/>
        </w:rPr>
        <w:t>7%</w:t>
      </w:r>
      <w:r>
        <w:rPr>
          <w:sz w:val="16"/>
          <w:szCs w:val="16"/>
          <w:lang w:val="en-GB"/>
        </w:rPr>
        <w:t xml:space="preserve"> of all registered job applicants were eligible for the unemployment benefits at the end of June 2019, </w:t>
      </w:r>
      <w:r w:rsidRPr="00736841">
        <w:rPr>
          <w:sz w:val="16"/>
          <w:szCs w:val="16"/>
          <w:lang w:val="en-GB"/>
        </w:rPr>
        <w:t>29</w:t>
      </w:r>
      <w:r>
        <w:rPr>
          <w:sz w:val="16"/>
          <w:szCs w:val="16"/>
          <w:lang w:val="en-GB"/>
        </w:rPr>
        <w:t>.</w:t>
      </w:r>
      <w:r w:rsidRPr="00736841">
        <w:rPr>
          <w:sz w:val="16"/>
          <w:szCs w:val="16"/>
          <w:lang w:val="en-GB"/>
        </w:rPr>
        <w:t>7%</w:t>
      </w:r>
      <w:r>
        <w:rPr>
          <w:sz w:val="16"/>
          <w:szCs w:val="16"/>
          <w:lang w:val="en-GB"/>
        </w:rPr>
        <w:t xml:space="preserve"> the year before</w:t>
      </w:r>
      <w:r w:rsidRPr="00736841">
        <w:rPr>
          <w:sz w:val="16"/>
          <w:szCs w:val="16"/>
          <w:lang w:val="en-GB"/>
        </w:rPr>
        <w:t xml:space="preserve">. </w:t>
      </w:r>
      <w:r>
        <w:rPr>
          <w:sz w:val="16"/>
          <w:szCs w:val="16"/>
          <w:lang w:val="en-GB"/>
        </w:rPr>
        <w:t xml:space="preserve">The average monthly size of the benefit amounted to </w:t>
      </w:r>
      <w:r w:rsidRPr="00736841">
        <w:rPr>
          <w:sz w:val="16"/>
          <w:szCs w:val="16"/>
          <w:lang w:val="en-GB"/>
        </w:rPr>
        <w:t xml:space="preserve">8 011 </w:t>
      </w:r>
      <w:r>
        <w:rPr>
          <w:sz w:val="16"/>
          <w:szCs w:val="16"/>
          <w:lang w:val="en-GB"/>
        </w:rPr>
        <w:t>CZK in June 019</w:t>
      </w:r>
      <w:r w:rsidRPr="00736841">
        <w:rPr>
          <w:sz w:val="16"/>
          <w:szCs w:val="16"/>
          <w:lang w:val="en-GB"/>
        </w:rPr>
        <w:t>,</w:t>
      </w:r>
      <w:r>
        <w:rPr>
          <w:sz w:val="16"/>
          <w:szCs w:val="16"/>
          <w:lang w:val="en-GB"/>
        </w:rPr>
        <w:t xml:space="preserve"> </w:t>
      </w:r>
      <w:r w:rsidRPr="00736841">
        <w:rPr>
          <w:sz w:val="16"/>
          <w:szCs w:val="16"/>
          <w:lang w:val="en-GB"/>
        </w:rPr>
        <w:t xml:space="preserve">7 382 </w:t>
      </w:r>
      <w:r>
        <w:rPr>
          <w:sz w:val="16"/>
          <w:szCs w:val="16"/>
          <w:lang w:val="en-GB"/>
        </w:rPr>
        <w:t xml:space="preserve">CZK in the same time period of the last year. </w:t>
      </w:r>
    </w:p>
  </w:footnote>
  <w:footnote w:id="13">
    <w:p w:rsidR="00991716" w:rsidRPr="00DB7F95" w:rsidRDefault="00991716" w:rsidP="00891E07">
      <w:pPr>
        <w:pStyle w:val="Textpoznpodarou"/>
        <w:jc w:val="both"/>
        <w:rPr>
          <w:spacing w:val="-4"/>
          <w:sz w:val="16"/>
          <w:szCs w:val="16"/>
          <w:lang w:val="en-GB"/>
        </w:rPr>
      </w:pPr>
      <w:r w:rsidRPr="00117474">
        <w:rPr>
          <w:rStyle w:val="Znakapoznpodarou"/>
          <w:spacing w:val="-4"/>
          <w:sz w:val="16"/>
          <w:szCs w:val="16"/>
        </w:rPr>
        <w:footnoteRef/>
      </w:r>
      <w:r w:rsidRPr="00117474">
        <w:rPr>
          <w:spacing w:val="-4"/>
          <w:sz w:val="16"/>
          <w:szCs w:val="16"/>
        </w:rPr>
        <w:t xml:space="preserve"> </w:t>
      </w:r>
      <w:r w:rsidRPr="00DB7F95">
        <w:rPr>
          <w:color w:val="0D0D0D" w:themeColor="text1" w:themeTint="F2"/>
          <w:spacing w:val="-2"/>
          <w:sz w:val="16"/>
          <w:szCs w:val="16"/>
          <w:lang w:val="en-GB"/>
        </w:rPr>
        <w:t>Preliminary data regarding the debt and deficit of the government institution sector for Q2 2019 will be published by CZSO on 2</w:t>
      </w:r>
      <w:r w:rsidRPr="00DB7F95">
        <w:rPr>
          <w:color w:val="0D0D0D" w:themeColor="text1" w:themeTint="F2"/>
          <w:spacing w:val="-2"/>
          <w:sz w:val="16"/>
          <w:szCs w:val="16"/>
          <w:vertAlign w:val="superscript"/>
          <w:lang w:val="en-GB"/>
        </w:rPr>
        <w:t>nd</w:t>
      </w:r>
      <w:r w:rsidRPr="00DB7F95">
        <w:rPr>
          <w:color w:val="0D0D0D" w:themeColor="text1" w:themeTint="F2"/>
          <w:spacing w:val="-2"/>
          <w:sz w:val="16"/>
          <w:szCs w:val="16"/>
          <w:lang w:val="en-GB"/>
        </w:rPr>
        <w:t xml:space="preserve"> October 2019, </w:t>
      </w:r>
      <w:r>
        <w:rPr>
          <w:color w:val="0D0D0D" w:themeColor="text1" w:themeTint="F2"/>
          <w:spacing w:val="-2"/>
          <w:sz w:val="16"/>
          <w:szCs w:val="16"/>
          <w:lang w:val="en-GB"/>
        </w:rPr>
        <w:t>b</w:t>
      </w:r>
      <w:r>
        <w:rPr>
          <w:color w:val="0D0D0D" w:themeColor="text1" w:themeTint="F2"/>
          <w:spacing w:val="-2"/>
          <w:sz w:val="16"/>
          <w:szCs w:val="16"/>
        </w:rPr>
        <w:t xml:space="preserve">y </w:t>
      </w:r>
      <w:r w:rsidRPr="00DB7F95">
        <w:rPr>
          <w:color w:val="0D0D0D" w:themeColor="text1" w:themeTint="F2"/>
          <w:spacing w:val="-2"/>
          <w:sz w:val="16"/>
          <w:szCs w:val="16"/>
          <w:lang w:val="en-GB"/>
        </w:rPr>
        <w:t>Eurostat then on 22</w:t>
      </w:r>
      <w:r w:rsidRPr="00DB7F95">
        <w:rPr>
          <w:color w:val="0D0D0D" w:themeColor="text1" w:themeTint="F2"/>
          <w:spacing w:val="-2"/>
          <w:sz w:val="16"/>
          <w:szCs w:val="16"/>
          <w:vertAlign w:val="superscript"/>
          <w:lang w:val="en-GB"/>
        </w:rPr>
        <w:t>nd</w:t>
      </w:r>
      <w:r w:rsidRPr="00DB7F95">
        <w:rPr>
          <w:color w:val="0D0D0D" w:themeColor="text1" w:themeTint="F2"/>
          <w:spacing w:val="-2"/>
          <w:sz w:val="16"/>
          <w:szCs w:val="16"/>
          <w:lang w:val="en-GB"/>
        </w:rPr>
        <w:t xml:space="preserve"> October 2019.</w:t>
      </w:r>
    </w:p>
  </w:footnote>
  <w:footnote w:id="14">
    <w:p w:rsidR="00991716" w:rsidRPr="00DB7F95" w:rsidRDefault="00991716" w:rsidP="002F5285">
      <w:pPr>
        <w:pStyle w:val="Textpoznpodarou"/>
        <w:jc w:val="both"/>
        <w:rPr>
          <w:color w:val="000000" w:themeColor="text1"/>
          <w:spacing w:val="-4"/>
          <w:sz w:val="16"/>
          <w:szCs w:val="16"/>
          <w:lang w:val="en-GB"/>
        </w:rPr>
      </w:pPr>
      <w:r w:rsidRPr="00DB7F95">
        <w:rPr>
          <w:rStyle w:val="Znakapoznpodarou"/>
          <w:sz w:val="16"/>
          <w:szCs w:val="16"/>
          <w:lang w:val="en-GB"/>
        </w:rPr>
        <w:footnoteRef/>
      </w:r>
      <w:r w:rsidRPr="00DB7F95">
        <w:rPr>
          <w:sz w:val="16"/>
          <w:szCs w:val="16"/>
          <w:lang w:val="en-GB"/>
        </w:rPr>
        <w:t xml:space="preserve"> Balance of budget of government institutions adjusted for seasonal and calendar effects finished in surplus of </w:t>
      </w:r>
      <w:r w:rsidRPr="00DB7F95">
        <w:rPr>
          <w:color w:val="0D0D0D" w:themeColor="text1" w:themeTint="F2"/>
          <w:spacing w:val="-4"/>
          <w:sz w:val="16"/>
          <w:szCs w:val="16"/>
          <w:lang w:val="en-GB"/>
        </w:rPr>
        <w:t>15</w:t>
      </w:r>
      <w:r>
        <w:rPr>
          <w:color w:val="0D0D0D" w:themeColor="text1" w:themeTint="F2"/>
          <w:spacing w:val="-4"/>
          <w:sz w:val="16"/>
          <w:szCs w:val="16"/>
          <w:lang w:val="en-GB"/>
        </w:rPr>
        <w:t>.</w:t>
      </w:r>
      <w:r w:rsidRPr="00DB7F95">
        <w:rPr>
          <w:color w:val="0D0D0D" w:themeColor="text1" w:themeTint="F2"/>
          <w:spacing w:val="-4"/>
          <w:sz w:val="16"/>
          <w:szCs w:val="16"/>
          <w:lang w:val="en-GB"/>
        </w:rPr>
        <w:t>7</w:t>
      </w:r>
      <w:r>
        <w:rPr>
          <w:color w:val="0D0D0D" w:themeColor="text1" w:themeTint="F2"/>
          <w:spacing w:val="-4"/>
          <w:sz w:val="16"/>
          <w:szCs w:val="16"/>
          <w:lang w:val="en-GB"/>
        </w:rPr>
        <w:t xml:space="preserve"> CZK bn </w:t>
      </w:r>
      <w:r w:rsidRPr="00DB7F95">
        <w:rPr>
          <w:color w:val="0D0D0D" w:themeColor="text1" w:themeTint="F2"/>
          <w:spacing w:val="-4"/>
          <w:sz w:val="16"/>
          <w:szCs w:val="16"/>
          <w:lang w:val="en-GB"/>
        </w:rPr>
        <w:t xml:space="preserve">for Q1, which constituted 1.1% of GDP. </w:t>
      </w:r>
      <w:r>
        <w:rPr>
          <w:color w:val="0D0D0D" w:themeColor="text1" w:themeTint="F2"/>
          <w:spacing w:val="-4"/>
          <w:sz w:val="16"/>
          <w:szCs w:val="16"/>
          <w:lang w:val="en-GB"/>
        </w:rPr>
        <w:t xml:space="preserve">The adjusted surplus increased by 4.2 CZK bn against Q4 of the last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24" w:rsidRDefault="00665624" w:rsidP="00937AE2">
    <w:pPr>
      <w:pStyle w:val="Zhlav"/>
    </w:pPr>
    <w:r>
      <w:t>The Czech Economy Development</w:t>
    </w:r>
  </w:p>
  <w:p w:rsidR="00665624" w:rsidRPr="006F5416" w:rsidRDefault="00665624"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828"/>
    <w:rsid w:val="000005AF"/>
    <w:rsid w:val="00000B55"/>
    <w:rsid w:val="00000DA2"/>
    <w:rsid w:val="00000E05"/>
    <w:rsid w:val="0000209D"/>
    <w:rsid w:val="00002315"/>
    <w:rsid w:val="00003849"/>
    <w:rsid w:val="00003F5C"/>
    <w:rsid w:val="00003FD3"/>
    <w:rsid w:val="00004D5A"/>
    <w:rsid w:val="000056D5"/>
    <w:rsid w:val="00005D9E"/>
    <w:rsid w:val="000063D5"/>
    <w:rsid w:val="00006625"/>
    <w:rsid w:val="000066B6"/>
    <w:rsid w:val="00006ABD"/>
    <w:rsid w:val="00006B67"/>
    <w:rsid w:val="00006C0B"/>
    <w:rsid w:val="000073A0"/>
    <w:rsid w:val="0000767A"/>
    <w:rsid w:val="00007ABE"/>
    <w:rsid w:val="00010256"/>
    <w:rsid w:val="000103C8"/>
    <w:rsid w:val="00010702"/>
    <w:rsid w:val="0001128E"/>
    <w:rsid w:val="00011912"/>
    <w:rsid w:val="0001387D"/>
    <w:rsid w:val="0001448F"/>
    <w:rsid w:val="000162C4"/>
    <w:rsid w:val="00016420"/>
    <w:rsid w:val="0001719F"/>
    <w:rsid w:val="00017B01"/>
    <w:rsid w:val="00017F00"/>
    <w:rsid w:val="00020F22"/>
    <w:rsid w:val="0002195D"/>
    <w:rsid w:val="000221E5"/>
    <w:rsid w:val="000228AE"/>
    <w:rsid w:val="000233D1"/>
    <w:rsid w:val="0002345D"/>
    <w:rsid w:val="000234D6"/>
    <w:rsid w:val="00023D29"/>
    <w:rsid w:val="00024348"/>
    <w:rsid w:val="00025D65"/>
    <w:rsid w:val="00026389"/>
    <w:rsid w:val="000274E3"/>
    <w:rsid w:val="00031AE0"/>
    <w:rsid w:val="00031BB2"/>
    <w:rsid w:val="000322EF"/>
    <w:rsid w:val="00033FCD"/>
    <w:rsid w:val="00034DF7"/>
    <w:rsid w:val="00034E68"/>
    <w:rsid w:val="00034F5B"/>
    <w:rsid w:val="000350C8"/>
    <w:rsid w:val="00036195"/>
    <w:rsid w:val="00037270"/>
    <w:rsid w:val="000374B2"/>
    <w:rsid w:val="000376C0"/>
    <w:rsid w:val="000403A7"/>
    <w:rsid w:val="00040632"/>
    <w:rsid w:val="00041028"/>
    <w:rsid w:val="00041CEC"/>
    <w:rsid w:val="00044183"/>
    <w:rsid w:val="0004694F"/>
    <w:rsid w:val="0004752C"/>
    <w:rsid w:val="00047D54"/>
    <w:rsid w:val="000522E4"/>
    <w:rsid w:val="00053713"/>
    <w:rsid w:val="000537E1"/>
    <w:rsid w:val="00054136"/>
    <w:rsid w:val="0005434E"/>
    <w:rsid w:val="00054796"/>
    <w:rsid w:val="00055CB6"/>
    <w:rsid w:val="000572DD"/>
    <w:rsid w:val="00057B1E"/>
    <w:rsid w:val="00057F99"/>
    <w:rsid w:val="000610E1"/>
    <w:rsid w:val="000616AD"/>
    <w:rsid w:val="000622A6"/>
    <w:rsid w:val="00062EC5"/>
    <w:rsid w:val="00062F22"/>
    <w:rsid w:val="00063975"/>
    <w:rsid w:val="00063CEA"/>
    <w:rsid w:val="000645FC"/>
    <w:rsid w:val="0006533F"/>
    <w:rsid w:val="00065348"/>
    <w:rsid w:val="00065892"/>
    <w:rsid w:val="00065A75"/>
    <w:rsid w:val="00066558"/>
    <w:rsid w:val="00070A87"/>
    <w:rsid w:val="000712B3"/>
    <w:rsid w:val="00072191"/>
    <w:rsid w:val="00072577"/>
    <w:rsid w:val="00072A4A"/>
    <w:rsid w:val="00072FF5"/>
    <w:rsid w:val="0007474E"/>
    <w:rsid w:val="0007512B"/>
    <w:rsid w:val="00075551"/>
    <w:rsid w:val="00076079"/>
    <w:rsid w:val="00076D90"/>
    <w:rsid w:val="00077FF0"/>
    <w:rsid w:val="000804D8"/>
    <w:rsid w:val="00081A55"/>
    <w:rsid w:val="0008263E"/>
    <w:rsid w:val="00082C19"/>
    <w:rsid w:val="000837CD"/>
    <w:rsid w:val="00083F87"/>
    <w:rsid w:val="00084492"/>
    <w:rsid w:val="00084BFF"/>
    <w:rsid w:val="00084C4C"/>
    <w:rsid w:val="00085395"/>
    <w:rsid w:val="0008688B"/>
    <w:rsid w:val="00086896"/>
    <w:rsid w:val="00086AC1"/>
    <w:rsid w:val="00086D19"/>
    <w:rsid w:val="00087634"/>
    <w:rsid w:val="00087F2B"/>
    <w:rsid w:val="00090694"/>
    <w:rsid w:val="000906C3"/>
    <w:rsid w:val="000912BE"/>
    <w:rsid w:val="000913B1"/>
    <w:rsid w:val="00091483"/>
    <w:rsid w:val="00093241"/>
    <w:rsid w:val="00094A84"/>
    <w:rsid w:val="00095025"/>
    <w:rsid w:val="00095135"/>
    <w:rsid w:val="00095A4B"/>
    <w:rsid w:val="00095AFE"/>
    <w:rsid w:val="0009626E"/>
    <w:rsid w:val="00097191"/>
    <w:rsid w:val="000974D1"/>
    <w:rsid w:val="0009799E"/>
    <w:rsid w:val="000A0BC0"/>
    <w:rsid w:val="000A1183"/>
    <w:rsid w:val="000A212B"/>
    <w:rsid w:val="000A256D"/>
    <w:rsid w:val="000A3A2C"/>
    <w:rsid w:val="000A3D9E"/>
    <w:rsid w:val="000A4A20"/>
    <w:rsid w:val="000A4A54"/>
    <w:rsid w:val="000A4ED9"/>
    <w:rsid w:val="000A6F9F"/>
    <w:rsid w:val="000A7377"/>
    <w:rsid w:val="000B03CC"/>
    <w:rsid w:val="000B4212"/>
    <w:rsid w:val="000B7A9D"/>
    <w:rsid w:val="000C0EA8"/>
    <w:rsid w:val="000C13A2"/>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5637"/>
    <w:rsid w:val="000D6F4E"/>
    <w:rsid w:val="000E0E96"/>
    <w:rsid w:val="000E298B"/>
    <w:rsid w:val="000E2C7D"/>
    <w:rsid w:val="000E440D"/>
    <w:rsid w:val="000E44FB"/>
    <w:rsid w:val="000E4AC5"/>
    <w:rsid w:val="000E4DDC"/>
    <w:rsid w:val="000E6253"/>
    <w:rsid w:val="000E6E4D"/>
    <w:rsid w:val="000E6FBD"/>
    <w:rsid w:val="000E6FCB"/>
    <w:rsid w:val="000E7DEA"/>
    <w:rsid w:val="000F090B"/>
    <w:rsid w:val="000F253E"/>
    <w:rsid w:val="000F3F3B"/>
    <w:rsid w:val="000F47E8"/>
    <w:rsid w:val="000F70E4"/>
    <w:rsid w:val="00100F5C"/>
    <w:rsid w:val="00101CDA"/>
    <w:rsid w:val="00102037"/>
    <w:rsid w:val="00103DCB"/>
    <w:rsid w:val="00104C4C"/>
    <w:rsid w:val="00105015"/>
    <w:rsid w:val="00105238"/>
    <w:rsid w:val="001057C2"/>
    <w:rsid w:val="00105F9B"/>
    <w:rsid w:val="00105FF8"/>
    <w:rsid w:val="0011038E"/>
    <w:rsid w:val="001116E7"/>
    <w:rsid w:val="001125EF"/>
    <w:rsid w:val="00112CAB"/>
    <w:rsid w:val="00113B2C"/>
    <w:rsid w:val="001143E0"/>
    <w:rsid w:val="00114F02"/>
    <w:rsid w:val="00115469"/>
    <w:rsid w:val="00116D3F"/>
    <w:rsid w:val="00117474"/>
    <w:rsid w:val="00117623"/>
    <w:rsid w:val="00117FEA"/>
    <w:rsid w:val="001200CF"/>
    <w:rsid w:val="001208E3"/>
    <w:rsid w:val="0012192F"/>
    <w:rsid w:val="00121AAB"/>
    <w:rsid w:val="00122994"/>
    <w:rsid w:val="00124B46"/>
    <w:rsid w:val="001257E0"/>
    <w:rsid w:val="00125D69"/>
    <w:rsid w:val="0012799C"/>
    <w:rsid w:val="00127E15"/>
    <w:rsid w:val="00130ADC"/>
    <w:rsid w:val="00130D9F"/>
    <w:rsid w:val="00132C4D"/>
    <w:rsid w:val="00133FC1"/>
    <w:rsid w:val="00134659"/>
    <w:rsid w:val="001370B7"/>
    <w:rsid w:val="001405FA"/>
    <w:rsid w:val="00140D1A"/>
    <w:rsid w:val="00141315"/>
    <w:rsid w:val="00141AA0"/>
    <w:rsid w:val="001425C3"/>
    <w:rsid w:val="0014262D"/>
    <w:rsid w:val="00144588"/>
    <w:rsid w:val="001447DD"/>
    <w:rsid w:val="001459BC"/>
    <w:rsid w:val="0014675A"/>
    <w:rsid w:val="0015136D"/>
    <w:rsid w:val="001524CE"/>
    <w:rsid w:val="00152F4F"/>
    <w:rsid w:val="001539F9"/>
    <w:rsid w:val="00153C26"/>
    <w:rsid w:val="00153EC7"/>
    <w:rsid w:val="001544A1"/>
    <w:rsid w:val="001548E1"/>
    <w:rsid w:val="001553B8"/>
    <w:rsid w:val="001554C2"/>
    <w:rsid w:val="00155B6D"/>
    <w:rsid w:val="001571C0"/>
    <w:rsid w:val="0015753D"/>
    <w:rsid w:val="00157CC9"/>
    <w:rsid w:val="00157E3F"/>
    <w:rsid w:val="00160C21"/>
    <w:rsid w:val="00161223"/>
    <w:rsid w:val="001612F4"/>
    <w:rsid w:val="00161553"/>
    <w:rsid w:val="00161684"/>
    <w:rsid w:val="0016256B"/>
    <w:rsid w:val="00162F81"/>
    <w:rsid w:val="00163793"/>
    <w:rsid w:val="0016467D"/>
    <w:rsid w:val="00164788"/>
    <w:rsid w:val="001650C3"/>
    <w:rsid w:val="00166875"/>
    <w:rsid w:val="00167485"/>
    <w:rsid w:val="00167CB9"/>
    <w:rsid w:val="00167DD8"/>
    <w:rsid w:val="001705AD"/>
    <w:rsid w:val="001706D6"/>
    <w:rsid w:val="001714F2"/>
    <w:rsid w:val="00171FEA"/>
    <w:rsid w:val="00172622"/>
    <w:rsid w:val="001750A3"/>
    <w:rsid w:val="00175B9F"/>
    <w:rsid w:val="001762F4"/>
    <w:rsid w:val="001807EF"/>
    <w:rsid w:val="00181BBC"/>
    <w:rsid w:val="0018385F"/>
    <w:rsid w:val="00183928"/>
    <w:rsid w:val="00184017"/>
    <w:rsid w:val="00184B08"/>
    <w:rsid w:val="00185010"/>
    <w:rsid w:val="00185C22"/>
    <w:rsid w:val="00185E52"/>
    <w:rsid w:val="00186BA9"/>
    <w:rsid w:val="0019196C"/>
    <w:rsid w:val="00192F05"/>
    <w:rsid w:val="0019447D"/>
    <w:rsid w:val="00194729"/>
    <w:rsid w:val="00194850"/>
    <w:rsid w:val="00195234"/>
    <w:rsid w:val="00195C85"/>
    <w:rsid w:val="00196016"/>
    <w:rsid w:val="00197A70"/>
    <w:rsid w:val="00197C0F"/>
    <w:rsid w:val="001A0487"/>
    <w:rsid w:val="001A15AF"/>
    <w:rsid w:val="001A1716"/>
    <w:rsid w:val="001A1F68"/>
    <w:rsid w:val="001A21FA"/>
    <w:rsid w:val="001A2AD0"/>
    <w:rsid w:val="001A4EF0"/>
    <w:rsid w:val="001A552F"/>
    <w:rsid w:val="001B086A"/>
    <w:rsid w:val="001B2CA9"/>
    <w:rsid w:val="001B3110"/>
    <w:rsid w:val="001B352E"/>
    <w:rsid w:val="001B3E38"/>
    <w:rsid w:val="001B40F5"/>
    <w:rsid w:val="001B4729"/>
    <w:rsid w:val="001B4F0E"/>
    <w:rsid w:val="001B6310"/>
    <w:rsid w:val="001B6C09"/>
    <w:rsid w:val="001C05CD"/>
    <w:rsid w:val="001C0F17"/>
    <w:rsid w:val="001C1B66"/>
    <w:rsid w:val="001C1B6C"/>
    <w:rsid w:val="001C2B88"/>
    <w:rsid w:val="001C31A2"/>
    <w:rsid w:val="001C369F"/>
    <w:rsid w:val="001C4BB8"/>
    <w:rsid w:val="001C5E46"/>
    <w:rsid w:val="001C60B7"/>
    <w:rsid w:val="001C6B3B"/>
    <w:rsid w:val="001C6C7D"/>
    <w:rsid w:val="001C7E3F"/>
    <w:rsid w:val="001D0EF1"/>
    <w:rsid w:val="001D22C2"/>
    <w:rsid w:val="001D2C99"/>
    <w:rsid w:val="001D452E"/>
    <w:rsid w:val="001D54C1"/>
    <w:rsid w:val="001D556E"/>
    <w:rsid w:val="001D5DF2"/>
    <w:rsid w:val="001D68B2"/>
    <w:rsid w:val="001D6E96"/>
    <w:rsid w:val="001D74DD"/>
    <w:rsid w:val="001D7EFD"/>
    <w:rsid w:val="001D7F60"/>
    <w:rsid w:val="001E09E1"/>
    <w:rsid w:val="001E504C"/>
    <w:rsid w:val="001E59DF"/>
    <w:rsid w:val="001E5A17"/>
    <w:rsid w:val="001E74C5"/>
    <w:rsid w:val="001F1236"/>
    <w:rsid w:val="001F2F90"/>
    <w:rsid w:val="001F4597"/>
    <w:rsid w:val="001F4826"/>
    <w:rsid w:val="001F5EAA"/>
    <w:rsid w:val="001F7CE0"/>
    <w:rsid w:val="00200085"/>
    <w:rsid w:val="00203332"/>
    <w:rsid w:val="00203CD5"/>
    <w:rsid w:val="00203D8F"/>
    <w:rsid w:val="00203DA4"/>
    <w:rsid w:val="00205186"/>
    <w:rsid w:val="00205932"/>
    <w:rsid w:val="00206516"/>
    <w:rsid w:val="002071D5"/>
    <w:rsid w:val="002111E5"/>
    <w:rsid w:val="00211433"/>
    <w:rsid w:val="002118B9"/>
    <w:rsid w:val="00212F5D"/>
    <w:rsid w:val="002142C0"/>
    <w:rsid w:val="00217C5B"/>
    <w:rsid w:val="00220A43"/>
    <w:rsid w:val="0022139E"/>
    <w:rsid w:val="00222729"/>
    <w:rsid w:val="002233D6"/>
    <w:rsid w:val="00223605"/>
    <w:rsid w:val="0022441D"/>
    <w:rsid w:val="00224574"/>
    <w:rsid w:val="00224E3F"/>
    <w:rsid w:val="00225292"/>
    <w:rsid w:val="002252E0"/>
    <w:rsid w:val="002255F6"/>
    <w:rsid w:val="00226032"/>
    <w:rsid w:val="0022738D"/>
    <w:rsid w:val="00227605"/>
    <w:rsid w:val="00227850"/>
    <w:rsid w:val="00227A53"/>
    <w:rsid w:val="00227E2E"/>
    <w:rsid w:val="00227F53"/>
    <w:rsid w:val="00230C6E"/>
    <w:rsid w:val="00230E21"/>
    <w:rsid w:val="002316A8"/>
    <w:rsid w:val="0023288F"/>
    <w:rsid w:val="00233603"/>
    <w:rsid w:val="00233FDA"/>
    <w:rsid w:val="002340EF"/>
    <w:rsid w:val="00234B82"/>
    <w:rsid w:val="00236443"/>
    <w:rsid w:val="00236700"/>
    <w:rsid w:val="00237D82"/>
    <w:rsid w:val="00240ADA"/>
    <w:rsid w:val="00240AF3"/>
    <w:rsid w:val="00240DA6"/>
    <w:rsid w:val="0024106F"/>
    <w:rsid w:val="002418D5"/>
    <w:rsid w:val="00241B06"/>
    <w:rsid w:val="002436BA"/>
    <w:rsid w:val="0024448D"/>
    <w:rsid w:val="00244A15"/>
    <w:rsid w:val="002452D9"/>
    <w:rsid w:val="00247319"/>
    <w:rsid w:val="0024799E"/>
    <w:rsid w:val="00247E60"/>
    <w:rsid w:val="00251771"/>
    <w:rsid w:val="00251C53"/>
    <w:rsid w:val="00252AB9"/>
    <w:rsid w:val="00253C0F"/>
    <w:rsid w:val="002558C1"/>
    <w:rsid w:val="00256207"/>
    <w:rsid w:val="002575F3"/>
    <w:rsid w:val="002603E1"/>
    <w:rsid w:val="0026120E"/>
    <w:rsid w:val="00262141"/>
    <w:rsid w:val="002624BC"/>
    <w:rsid w:val="00262582"/>
    <w:rsid w:val="0026291D"/>
    <w:rsid w:val="00264309"/>
    <w:rsid w:val="0026564B"/>
    <w:rsid w:val="00265E85"/>
    <w:rsid w:val="00266E39"/>
    <w:rsid w:val="00266F0A"/>
    <w:rsid w:val="00267B49"/>
    <w:rsid w:val="002700D9"/>
    <w:rsid w:val="0027025F"/>
    <w:rsid w:val="002709CC"/>
    <w:rsid w:val="00271022"/>
    <w:rsid w:val="00271465"/>
    <w:rsid w:val="002721F5"/>
    <w:rsid w:val="00272DF4"/>
    <w:rsid w:val="00273681"/>
    <w:rsid w:val="00274D2C"/>
    <w:rsid w:val="0027583D"/>
    <w:rsid w:val="00275DEF"/>
    <w:rsid w:val="002763A2"/>
    <w:rsid w:val="00276B33"/>
    <w:rsid w:val="00281155"/>
    <w:rsid w:val="002812E3"/>
    <w:rsid w:val="00281560"/>
    <w:rsid w:val="0028341F"/>
    <w:rsid w:val="002837AE"/>
    <w:rsid w:val="00283C13"/>
    <w:rsid w:val="00284287"/>
    <w:rsid w:val="002849D0"/>
    <w:rsid w:val="002853FA"/>
    <w:rsid w:val="00285412"/>
    <w:rsid w:val="0028578A"/>
    <w:rsid w:val="00286220"/>
    <w:rsid w:val="002904EA"/>
    <w:rsid w:val="00291640"/>
    <w:rsid w:val="00291F92"/>
    <w:rsid w:val="00291FE4"/>
    <w:rsid w:val="0029237E"/>
    <w:rsid w:val="00292997"/>
    <w:rsid w:val="00293D24"/>
    <w:rsid w:val="0029509B"/>
    <w:rsid w:val="0029588F"/>
    <w:rsid w:val="00297256"/>
    <w:rsid w:val="00297A5C"/>
    <w:rsid w:val="00297BD9"/>
    <w:rsid w:val="00297D51"/>
    <w:rsid w:val="002A0122"/>
    <w:rsid w:val="002A016B"/>
    <w:rsid w:val="002A16D4"/>
    <w:rsid w:val="002A1E4F"/>
    <w:rsid w:val="002A230C"/>
    <w:rsid w:val="002A2AF7"/>
    <w:rsid w:val="002A3EA2"/>
    <w:rsid w:val="002A490D"/>
    <w:rsid w:val="002A512F"/>
    <w:rsid w:val="002A51AC"/>
    <w:rsid w:val="002A532A"/>
    <w:rsid w:val="002A5846"/>
    <w:rsid w:val="002A5D97"/>
    <w:rsid w:val="002A5E26"/>
    <w:rsid w:val="002A603E"/>
    <w:rsid w:val="002A63B9"/>
    <w:rsid w:val="002B3178"/>
    <w:rsid w:val="002B3EF4"/>
    <w:rsid w:val="002B4845"/>
    <w:rsid w:val="002B5567"/>
    <w:rsid w:val="002B72AA"/>
    <w:rsid w:val="002C1F09"/>
    <w:rsid w:val="002C22A4"/>
    <w:rsid w:val="002C260B"/>
    <w:rsid w:val="002C27A6"/>
    <w:rsid w:val="002C398D"/>
    <w:rsid w:val="002C40D2"/>
    <w:rsid w:val="002C4214"/>
    <w:rsid w:val="002C43BD"/>
    <w:rsid w:val="002C5245"/>
    <w:rsid w:val="002C59D8"/>
    <w:rsid w:val="002D0394"/>
    <w:rsid w:val="002D05CB"/>
    <w:rsid w:val="002D0E59"/>
    <w:rsid w:val="002D13AD"/>
    <w:rsid w:val="002D1C72"/>
    <w:rsid w:val="002D455C"/>
    <w:rsid w:val="002D5087"/>
    <w:rsid w:val="002E02A1"/>
    <w:rsid w:val="002E0587"/>
    <w:rsid w:val="002E196A"/>
    <w:rsid w:val="002E20C7"/>
    <w:rsid w:val="002E20CD"/>
    <w:rsid w:val="002E222E"/>
    <w:rsid w:val="002E26A6"/>
    <w:rsid w:val="002E28D8"/>
    <w:rsid w:val="002E37D1"/>
    <w:rsid w:val="002E3BEE"/>
    <w:rsid w:val="002E4E4C"/>
    <w:rsid w:val="002E4EA7"/>
    <w:rsid w:val="002E5846"/>
    <w:rsid w:val="002E792B"/>
    <w:rsid w:val="002E7A3C"/>
    <w:rsid w:val="002F0840"/>
    <w:rsid w:val="002F19BF"/>
    <w:rsid w:val="002F1B09"/>
    <w:rsid w:val="002F1DCB"/>
    <w:rsid w:val="002F1DE4"/>
    <w:rsid w:val="002F333D"/>
    <w:rsid w:val="002F351A"/>
    <w:rsid w:val="002F46D6"/>
    <w:rsid w:val="002F498A"/>
    <w:rsid w:val="002F4AD8"/>
    <w:rsid w:val="002F5285"/>
    <w:rsid w:val="002F5820"/>
    <w:rsid w:val="002F600E"/>
    <w:rsid w:val="00300C31"/>
    <w:rsid w:val="003019B0"/>
    <w:rsid w:val="00303939"/>
    <w:rsid w:val="00304771"/>
    <w:rsid w:val="003052D4"/>
    <w:rsid w:val="00306880"/>
    <w:rsid w:val="00306C5B"/>
    <w:rsid w:val="00307529"/>
    <w:rsid w:val="00307DB3"/>
    <w:rsid w:val="00307ED2"/>
    <w:rsid w:val="0031076D"/>
    <w:rsid w:val="00310FA6"/>
    <w:rsid w:val="00311AA6"/>
    <w:rsid w:val="00311C4D"/>
    <w:rsid w:val="003121AB"/>
    <w:rsid w:val="003153C8"/>
    <w:rsid w:val="00315524"/>
    <w:rsid w:val="00315BD8"/>
    <w:rsid w:val="0032058C"/>
    <w:rsid w:val="003208D0"/>
    <w:rsid w:val="003209D6"/>
    <w:rsid w:val="003217B9"/>
    <w:rsid w:val="00321924"/>
    <w:rsid w:val="00321EB6"/>
    <w:rsid w:val="003220A5"/>
    <w:rsid w:val="00323A1C"/>
    <w:rsid w:val="00324B59"/>
    <w:rsid w:val="0032656E"/>
    <w:rsid w:val="0032788F"/>
    <w:rsid w:val="00330DF5"/>
    <w:rsid w:val="00332190"/>
    <w:rsid w:val="00332378"/>
    <w:rsid w:val="003332CE"/>
    <w:rsid w:val="00333CD0"/>
    <w:rsid w:val="0033448D"/>
    <w:rsid w:val="00334AD2"/>
    <w:rsid w:val="0033709C"/>
    <w:rsid w:val="003370B1"/>
    <w:rsid w:val="003370C5"/>
    <w:rsid w:val="0034095D"/>
    <w:rsid w:val="00340BF3"/>
    <w:rsid w:val="00340FD2"/>
    <w:rsid w:val="00341D26"/>
    <w:rsid w:val="00341F05"/>
    <w:rsid w:val="0034335E"/>
    <w:rsid w:val="00343428"/>
    <w:rsid w:val="00344668"/>
    <w:rsid w:val="003462D9"/>
    <w:rsid w:val="00347247"/>
    <w:rsid w:val="00347BDC"/>
    <w:rsid w:val="00347DD4"/>
    <w:rsid w:val="00350879"/>
    <w:rsid w:val="00352B43"/>
    <w:rsid w:val="00352C28"/>
    <w:rsid w:val="0036077F"/>
    <w:rsid w:val="00360811"/>
    <w:rsid w:val="00360C86"/>
    <w:rsid w:val="00360F7A"/>
    <w:rsid w:val="00360FBC"/>
    <w:rsid w:val="00361537"/>
    <w:rsid w:val="0036242A"/>
    <w:rsid w:val="00362C23"/>
    <w:rsid w:val="00362E29"/>
    <w:rsid w:val="00362E90"/>
    <w:rsid w:val="00364FA0"/>
    <w:rsid w:val="003657F3"/>
    <w:rsid w:val="00365844"/>
    <w:rsid w:val="00367F84"/>
    <w:rsid w:val="003712BC"/>
    <w:rsid w:val="00372164"/>
    <w:rsid w:val="003738BD"/>
    <w:rsid w:val="00373973"/>
    <w:rsid w:val="00374263"/>
    <w:rsid w:val="003746F0"/>
    <w:rsid w:val="00374A20"/>
    <w:rsid w:val="00374B68"/>
    <w:rsid w:val="00374E21"/>
    <w:rsid w:val="003810F0"/>
    <w:rsid w:val="003813A8"/>
    <w:rsid w:val="003818DC"/>
    <w:rsid w:val="00382513"/>
    <w:rsid w:val="003830D4"/>
    <w:rsid w:val="00383388"/>
    <w:rsid w:val="003834F8"/>
    <w:rsid w:val="003838D0"/>
    <w:rsid w:val="003840C2"/>
    <w:rsid w:val="00384327"/>
    <w:rsid w:val="00384A89"/>
    <w:rsid w:val="00385086"/>
    <w:rsid w:val="00385D98"/>
    <w:rsid w:val="00386127"/>
    <w:rsid w:val="003868BC"/>
    <w:rsid w:val="00390306"/>
    <w:rsid w:val="003908A6"/>
    <w:rsid w:val="00391989"/>
    <w:rsid w:val="003927F6"/>
    <w:rsid w:val="00393CDD"/>
    <w:rsid w:val="00396739"/>
    <w:rsid w:val="003A04F6"/>
    <w:rsid w:val="003A0837"/>
    <w:rsid w:val="003A2B4D"/>
    <w:rsid w:val="003A2D12"/>
    <w:rsid w:val="003A2EBA"/>
    <w:rsid w:val="003A45E3"/>
    <w:rsid w:val="003A478C"/>
    <w:rsid w:val="003A50AC"/>
    <w:rsid w:val="003A5525"/>
    <w:rsid w:val="003A5889"/>
    <w:rsid w:val="003A6B38"/>
    <w:rsid w:val="003A6B83"/>
    <w:rsid w:val="003A6C97"/>
    <w:rsid w:val="003A722F"/>
    <w:rsid w:val="003A7373"/>
    <w:rsid w:val="003A7E9D"/>
    <w:rsid w:val="003B039F"/>
    <w:rsid w:val="003B0DF4"/>
    <w:rsid w:val="003B1F9D"/>
    <w:rsid w:val="003B2AD1"/>
    <w:rsid w:val="003B2D2E"/>
    <w:rsid w:val="003B461F"/>
    <w:rsid w:val="003B483F"/>
    <w:rsid w:val="003B4998"/>
    <w:rsid w:val="003B5A32"/>
    <w:rsid w:val="003B5C49"/>
    <w:rsid w:val="003B6762"/>
    <w:rsid w:val="003B7B50"/>
    <w:rsid w:val="003C0B07"/>
    <w:rsid w:val="003C176C"/>
    <w:rsid w:val="003C257A"/>
    <w:rsid w:val="003C2CE7"/>
    <w:rsid w:val="003C3490"/>
    <w:rsid w:val="003C3608"/>
    <w:rsid w:val="003C3D2C"/>
    <w:rsid w:val="003C4E13"/>
    <w:rsid w:val="003C6221"/>
    <w:rsid w:val="003C6548"/>
    <w:rsid w:val="003C68CC"/>
    <w:rsid w:val="003C71B9"/>
    <w:rsid w:val="003C7E62"/>
    <w:rsid w:val="003D03B4"/>
    <w:rsid w:val="003D12B9"/>
    <w:rsid w:val="003D242B"/>
    <w:rsid w:val="003D2492"/>
    <w:rsid w:val="003D29AA"/>
    <w:rsid w:val="003D2A99"/>
    <w:rsid w:val="003D4A29"/>
    <w:rsid w:val="003D6920"/>
    <w:rsid w:val="003E016B"/>
    <w:rsid w:val="003E1EF8"/>
    <w:rsid w:val="003E2840"/>
    <w:rsid w:val="003E3A1B"/>
    <w:rsid w:val="003E4C91"/>
    <w:rsid w:val="003E52D8"/>
    <w:rsid w:val="003E62F1"/>
    <w:rsid w:val="003E68E3"/>
    <w:rsid w:val="003E6DE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51"/>
    <w:rsid w:val="00403F57"/>
    <w:rsid w:val="004045A7"/>
    <w:rsid w:val="00405318"/>
    <w:rsid w:val="004057F8"/>
    <w:rsid w:val="004059D2"/>
    <w:rsid w:val="00406C2E"/>
    <w:rsid w:val="00406EB0"/>
    <w:rsid w:val="00407711"/>
    <w:rsid w:val="00407C13"/>
    <w:rsid w:val="00407C53"/>
    <w:rsid w:val="004103F6"/>
    <w:rsid w:val="00410638"/>
    <w:rsid w:val="004113B9"/>
    <w:rsid w:val="00412511"/>
    <w:rsid w:val="004125C2"/>
    <w:rsid w:val="00412DFA"/>
    <w:rsid w:val="00413465"/>
    <w:rsid w:val="0041501E"/>
    <w:rsid w:val="00415452"/>
    <w:rsid w:val="004159C3"/>
    <w:rsid w:val="00415A57"/>
    <w:rsid w:val="00416DAC"/>
    <w:rsid w:val="00420880"/>
    <w:rsid w:val="00421179"/>
    <w:rsid w:val="00422629"/>
    <w:rsid w:val="00422D1A"/>
    <w:rsid w:val="00423F00"/>
    <w:rsid w:val="004260C4"/>
    <w:rsid w:val="004314AC"/>
    <w:rsid w:val="00431BFF"/>
    <w:rsid w:val="00432319"/>
    <w:rsid w:val="00432A58"/>
    <w:rsid w:val="004331C3"/>
    <w:rsid w:val="00434617"/>
    <w:rsid w:val="00435051"/>
    <w:rsid w:val="00435C69"/>
    <w:rsid w:val="004360FB"/>
    <w:rsid w:val="00437CED"/>
    <w:rsid w:val="00440900"/>
    <w:rsid w:val="0044121D"/>
    <w:rsid w:val="00441755"/>
    <w:rsid w:val="00441BF6"/>
    <w:rsid w:val="00441D2B"/>
    <w:rsid w:val="004441A0"/>
    <w:rsid w:val="00445861"/>
    <w:rsid w:val="00445A8E"/>
    <w:rsid w:val="00446D44"/>
    <w:rsid w:val="0045078A"/>
    <w:rsid w:val="0045086D"/>
    <w:rsid w:val="00450AB0"/>
    <w:rsid w:val="004511E6"/>
    <w:rsid w:val="00451EF1"/>
    <w:rsid w:val="00452E60"/>
    <w:rsid w:val="0045321B"/>
    <w:rsid w:val="0045332A"/>
    <w:rsid w:val="00453CD8"/>
    <w:rsid w:val="00455C25"/>
    <w:rsid w:val="00456FE5"/>
    <w:rsid w:val="00457490"/>
    <w:rsid w:val="00457953"/>
    <w:rsid w:val="00460656"/>
    <w:rsid w:val="00460FB3"/>
    <w:rsid w:val="00461404"/>
    <w:rsid w:val="00461F95"/>
    <w:rsid w:val="00463700"/>
    <w:rsid w:val="00464851"/>
    <w:rsid w:val="0046746A"/>
    <w:rsid w:val="00467B14"/>
    <w:rsid w:val="004705F1"/>
    <w:rsid w:val="004707FE"/>
    <w:rsid w:val="00471DAE"/>
    <w:rsid w:val="00472177"/>
    <w:rsid w:val="0047276D"/>
    <w:rsid w:val="00472AF6"/>
    <w:rsid w:val="00473482"/>
    <w:rsid w:val="00473572"/>
    <w:rsid w:val="00473DFA"/>
    <w:rsid w:val="00474A04"/>
    <w:rsid w:val="00475A1F"/>
    <w:rsid w:val="00476240"/>
    <w:rsid w:val="00476439"/>
    <w:rsid w:val="004769E1"/>
    <w:rsid w:val="0047735C"/>
    <w:rsid w:val="004776BC"/>
    <w:rsid w:val="00477820"/>
    <w:rsid w:val="00477B96"/>
    <w:rsid w:val="00480BAE"/>
    <w:rsid w:val="0048139F"/>
    <w:rsid w:val="00481E40"/>
    <w:rsid w:val="00482405"/>
    <w:rsid w:val="004826A7"/>
    <w:rsid w:val="0048327B"/>
    <w:rsid w:val="0048368C"/>
    <w:rsid w:val="00484ECE"/>
    <w:rsid w:val="00486132"/>
    <w:rsid w:val="0048686D"/>
    <w:rsid w:val="00486A4D"/>
    <w:rsid w:val="004915CB"/>
    <w:rsid w:val="00491B06"/>
    <w:rsid w:val="004924DC"/>
    <w:rsid w:val="00492879"/>
    <w:rsid w:val="00495709"/>
    <w:rsid w:val="004979A5"/>
    <w:rsid w:val="004A036E"/>
    <w:rsid w:val="004A14E4"/>
    <w:rsid w:val="004A1FE0"/>
    <w:rsid w:val="004A204E"/>
    <w:rsid w:val="004A208B"/>
    <w:rsid w:val="004A26A5"/>
    <w:rsid w:val="004A27F0"/>
    <w:rsid w:val="004A2D6B"/>
    <w:rsid w:val="004A3212"/>
    <w:rsid w:val="004A37CD"/>
    <w:rsid w:val="004A3CDE"/>
    <w:rsid w:val="004A40D9"/>
    <w:rsid w:val="004A4F8A"/>
    <w:rsid w:val="004A5494"/>
    <w:rsid w:val="004A5D4E"/>
    <w:rsid w:val="004A61C5"/>
    <w:rsid w:val="004A62A0"/>
    <w:rsid w:val="004A77DF"/>
    <w:rsid w:val="004B1417"/>
    <w:rsid w:val="004B305C"/>
    <w:rsid w:val="004B339A"/>
    <w:rsid w:val="004B33C6"/>
    <w:rsid w:val="004B55B7"/>
    <w:rsid w:val="004B6158"/>
    <w:rsid w:val="004B6468"/>
    <w:rsid w:val="004B6EF8"/>
    <w:rsid w:val="004B7125"/>
    <w:rsid w:val="004B756A"/>
    <w:rsid w:val="004B7FB1"/>
    <w:rsid w:val="004C0B3F"/>
    <w:rsid w:val="004C128A"/>
    <w:rsid w:val="004C13C0"/>
    <w:rsid w:val="004C2794"/>
    <w:rsid w:val="004C2BB6"/>
    <w:rsid w:val="004C2C2D"/>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3296"/>
    <w:rsid w:val="004D4E52"/>
    <w:rsid w:val="004D5B0F"/>
    <w:rsid w:val="004D5EEF"/>
    <w:rsid w:val="004D6FC5"/>
    <w:rsid w:val="004D7626"/>
    <w:rsid w:val="004E1095"/>
    <w:rsid w:val="004E1A40"/>
    <w:rsid w:val="004E200A"/>
    <w:rsid w:val="004E23FC"/>
    <w:rsid w:val="004E2409"/>
    <w:rsid w:val="004E261D"/>
    <w:rsid w:val="004E430C"/>
    <w:rsid w:val="004E57BF"/>
    <w:rsid w:val="004E5F41"/>
    <w:rsid w:val="004E62D0"/>
    <w:rsid w:val="004E6DE6"/>
    <w:rsid w:val="004E723A"/>
    <w:rsid w:val="004E765E"/>
    <w:rsid w:val="004E7815"/>
    <w:rsid w:val="004F06F5"/>
    <w:rsid w:val="004F103E"/>
    <w:rsid w:val="004F12A4"/>
    <w:rsid w:val="004F253F"/>
    <w:rsid w:val="004F33A0"/>
    <w:rsid w:val="004F3BD2"/>
    <w:rsid w:val="004F46ED"/>
    <w:rsid w:val="004F47F2"/>
    <w:rsid w:val="004F56FE"/>
    <w:rsid w:val="004F681B"/>
    <w:rsid w:val="004F7BC6"/>
    <w:rsid w:val="00502709"/>
    <w:rsid w:val="00503D54"/>
    <w:rsid w:val="005048E2"/>
    <w:rsid w:val="00506603"/>
    <w:rsid w:val="0050689D"/>
    <w:rsid w:val="005076CC"/>
    <w:rsid w:val="005077F5"/>
    <w:rsid w:val="005108C0"/>
    <w:rsid w:val="0051094F"/>
    <w:rsid w:val="00511873"/>
    <w:rsid w:val="00511F3B"/>
    <w:rsid w:val="00512461"/>
    <w:rsid w:val="00512A2F"/>
    <w:rsid w:val="00513857"/>
    <w:rsid w:val="00513A72"/>
    <w:rsid w:val="00513B7E"/>
    <w:rsid w:val="00513E9D"/>
    <w:rsid w:val="0051475D"/>
    <w:rsid w:val="00514A2C"/>
    <w:rsid w:val="00514B11"/>
    <w:rsid w:val="00515485"/>
    <w:rsid w:val="00515BE9"/>
    <w:rsid w:val="00515C74"/>
    <w:rsid w:val="0051630F"/>
    <w:rsid w:val="00516789"/>
    <w:rsid w:val="00517113"/>
    <w:rsid w:val="005173F3"/>
    <w:rsid w:val="0052007E"/>
    <w:rsid w:val="00520E83"/>
    <w:rsid w:val="00521CAD"/>
    <w:rsid w:val="0052200D"/>
    <w:rsid w:val="005220B4"/>
    <w:rsid w:val="00522E01"/>
    <w:rsid w:val="0052337A"/>
    <w:rsid w:val="00524385"/>
    <w:rsid w:val="005246BE"/>
    <w:rsid w:val="00525137"/>
    <w:rsid w:val="005251DD"/>
    <w:rsid w:val="0053012B"/>
    <w:rsid w:val="005301A6"/>
    <w:rsid w:val="00530A68"/>
    <w:rsid w:val="00530A88"/>
    <w:rsid w:val="00530AD4"/>
    <w:rsid w:val="00531C5A"/>
    <w:rsid w:val="00532CE7"/>
    <w:rsid w:val="00532D8B"/>
    <w:rsid w:val="0053324C"/>
    <w:rsid w:val="00534A28"/>
    <w:rsid w:val="00535018"/>
    <w:rsid w:val="0053595E"/>
    <w:rsid w:val="00537571"/>
    <w:rsid w:val="00537B61"/>
    <w:rsid w:val="00540056"/>
    <w:rsid w:val="00540BE5"/>
    <w:rsid w:val="005410E2"/>
    <w:rsid w:val="00541508"/>
    <w:rsid w:val="005419C0"/>
    <w:rsid w:val="00541AE3"/>
    <w:rsid w:val="00543498"/>
    <w:rsid w:val="00544011"/>
    <w:rsid w:val="00544BE5"/>
    <w:rsid w:val="005455F6"/>
    <w:rsid w:val="005457C3"/>
    <w:rsid w:val="005500F9"/>
    <w:rsid w:val="00550160"/>
    <w:rsid w:val="00551CBF"/>
    <w:rsid w:val="005523A8"/>
    <w:rsid w:val="00552F2C"/>
    <w:rsid w:val="00553A25"/>
    <w:rsid w:val="00553B25"/>
    <w:rsid w:val="005547EB"/>
    <w:rsid w:val="005555E0"/>
    <w:rsid w:val="0055599F"/>
    <w:rsid w:val="00556807"/>
    <w:rsid w:val="005568FA"/>
    <w:rsid w:val="005569BC"/>
    <w:rsid w:val="00556D68"/>
    <w:rsid w:val="005570D6"/>
    <w:rsid w:val="00557E45"/>
    <w:rsid w:val="00557E7E"/>
    <w:rsid w:val="00561F44"/>
    <w:rsid w:val="00562B4D"/>
    <w:rsid w:val="00563EB8"/>
    <w:rsid w:val="005647BF"/>
    <w:rsid w:val="00564AF1"/>
    <w:rsid w:val="005655DB"/>
    <w:rsid w:val="00566B6A"/>
    <w:rsid w:val="00570270"/>
    <w:rsid w:val="00570BC3"/>
    <w:rsid w:val="0057182A"/>
    <w:rsid w:val="00571E59"/>
    <w:rsid w:val="00572079"/>
    <w:rsid w:val="00572900"/>
    <w:rsid w:val="00573602"/>
    <w:rsid w:val="0057364B"/>
    <w:rsid w:val="00574773"/>
    <w:rsid w:val="005761EC"/>
    <w:rsid w:val="00577C07"/>
    <w:rsid w:val="00577DB1"/>
    <w:rsid w:val="00580AD3"/>
    <w:rsid w:val="00580DE7"/>
    <w:rsid w:val="00583E52"/>
    <w:rsid w:val="00583FFD"/>
    <w:rsid w:val="005845BB"/>
    <w:rsid w:val="0058519A"/>
    <w:rsid w:val="005856BD"/>
    <w:rsid w:val="005862D9"/>
    <w:rsid w:val="00586BCA"/>
    <w:rsid w:val="00590B28"/>
    <w:rsid w:val="00591067"/>
    <w:rsid w:val="005911BE"/>
    <w:rsid w:val="00591273"/>
    <w:rsid w:val="00591E9E"/>
    <w:rsid w:val="005927A4"/>
    <w:rsid w:val="00593152"/>
    <w:rsid w:val="005956A3"/>
    <w:rsid w:val="00595958"/>
    <w:rsid w:val="00595CAB"/>
    <w:rsid w:val="00597BBF"/>
    <w:rsid w:val="005A0948"/>
    <w:rsid w:val="005A10F2"/>
    <w:rsid w:val="005A21E0"/>
    <w:rsid w:val="005A28FF"/>
    <w:rsid w:val="005A2C09"/>
    <w:rsid w:val="005A2E7F"/>
    <w:rsid w:val="005A2FC3"/>
    <w:rsid w:val="005A3778"/>
    <w:rsid w:val="005A3DF8"/>
    <w:rsid w:val="005A5549"/>
    <w:rsid w:val="005A7CF8"/>
    <w:rsid w:val="005B0EDA"/>
    <w:rsid w:val="005B121D"/>
    <w:rsid w:val="005B1680"/>
    <w:rsid w:val="005B41C9"/>
    <w:rsid w:val="005B423D"/>
    <w:rsid w:val="005B4853"/>
    <w:rsid w:val="005B4DBA"/>
    <w:rsid w:val="005B62C3"/>
    <w:rsid w:val="005B6CA1"/>
    <w:rsid w:val="005B770C"/>
    <w:rsid w:val="005C02A8"/>
    <w:rsid w:val="005C06ED"/>
    <w:rsid w:val="005C11B8"/>
    <w:rsid w:val="005C19E9"/>
    <w:rsid w:val="005C2609"/>
    <w:rsid w:val="005C2B30"/>
    <w:rsid w:val="005C412B"/>
    <w:rsid w:val="005C43EC"/>
    <w:rsid w:val="005C45DD"/>
    <w:rsid w:val="005C5460"/>
    <w:rsid w:val="005D1511"/>
    <w:rsid w:val="005D34AB"/>
    <w:rsid w:val="005D3F06"/>
    <w:rsid w:val="005D4B73"/>
    <w:rsid w:val="005D5802"/>
    <w:rsid w:val="005D5AA9"/>
    <w:rsid w:val="005D66E6"/>
    <w:rsid w:val="005D7119"/>
    <w:rsid w:val="005D76C8"/>
    <w:rsid w:val="005D7890"/>
    <w:rsid w:val="005E0AEA"/>
    <w:rsid w:val="005E19C1"/>
    <w:rsid w:val="005E2194"/>
    <w:rsid w:val="005E24F0"/>
    <w:rsid w:val="005E36FE"/>
    <w:rsid w:val="005E490F"/>
    <w:rsid w:val="005E4BC9"/>
    <w:rsid w:val="005E5314"/>
    <w:rsid w:val="005E7C78"/>
    <w:rsid w:val="005F04A7"/>
    <w:rsid w:val="005F114F"/>
    <w:rsid w:val="005F17D6"/>
    <w:rsid w:val="005F18C5"/>
    <w:rsid w:val="005F28E2"/>
    <w:rsid w:val="005F2A08"/>
    <w:rsid w:val="005F2EB5"/>
    <w:rsid w:val="005F36CC"/>
    <w:rsid w:val="005F3EB1"/>
    <w:rsid w:val="005F413E"/>
    <w:rsid w:val="005F42C7"/>
    <w:rsid w:val="005F466B"/>
    <w:rsid w:val="005F46D8"/>
    <w:rsid w:val="005F480F"/>
    <w:rsid w:val="005F5469"/>
    <w:rsid w:val="005F63F3"/>
    <w:rsid w:val="005F6D7C"/>
    <w:rsid w:val="005F6D7F"/>
    <w:rsid w:val="005F7174"/>
    <w:rsid w:val="00600AB5"/>
    <w:rsid w:val="00601EEF"/>
    <w:rsid w:val="00601F7B"/>
    <w:rsid w:val="0060255A"/>
    <w:rsid w:val="006032E5"/>
    <w:rsid w:val="00604307"/>
    <w:rsid w:val="0060487F"/>
    <w:rsid w:val="00604EAD"/>
    <w:rsid w:val="0060513F"/>
    <w:rsid w:val="0060694B"/>
    <w:rsid w:val="006075B2"/>
    <w:rsid w:val="006104FB"/>
    <w:rsid w:val="0061176D"/>
    <w:rsid w:val="0061200F"/>
    <w:rsid w:val="006121C7"/>
    <w:rsid w:val="00612756"/>
    <w:rsid w:val="00612A2F"/>
    <w:rsid w:val="00612AAE"/>
    <w:rsid w:val="00612FD9"/>
    <w:rsid w:val="006139DE"/>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5BCC"/>
    <w:rsid w:val="00626079"/>
    <w:rsid w:val="00631698"/>
    <w:rsid w:val="00631E44"/>
    <w:rsid w:val="00633908"/>
    <w:rsid w:val="00634C57"/>
    <w:rsid w:val="00634CE7"/>
    <w:rsid w:val="006350D5"/>
    <w:rsid w:val="0063642C"/>
    <w:rsid w:val="00637858"/>
    <w:rsid w:val="006404A7"/>
    <w:rsid w:val="00640A38"/>
    <w:rsid w:val="00641787"/>
    <w:rsid w:val="0064179B"/>
    <w:rsid w:val="006420CF"/>
    <w:rsid w:val="00642489"/>
    <w:rsid w:val="00644055"/>
    <w:rsid w:val="00644137"/>
    <w:rsid w:val="0064478C"/>
    <w:rsid w:val="00645160"/>
    <w:rsid w:val="006451E4"/>
    <w:rsid w:val="00645B33"/>
    <w:rsid w:val="006503D1"/>
    <w:rsid w:val="006516CB"/>
    <w:rsid w:val="00653BD0"/>
    <w:rsid w:val="00654110"/>
    <w:rsid w:val="00655CDE"/>
    <w:rsid w:val="00656C5D"/>
    <w:rsid w:val="00656CFB"/>
    <w:rsid w:val="00657E87"/>
    <w:rsid w:val="00660D2D"/>
    <w:rsid w:val="00661EC9"/>
    <w:rsid w:val="00661EFC"/>
    <w:rsid w:val="00662469"/>
    <w:rsid w:val="00664205"/>
    <w:rsid w:val="00664449"/>
    <w:rsid w:val="00664647"/>
    <w:rsid w:val="00664803"/>
    <w:rsid w:val="00665624"/>
    <w:rsid w:val="00665982"/>
    <w:rsid w:val="00665BA4"/>
    <w:rsid w:val="00667856"/>
    <w:rsid w:val="00667AF2"/>
    <w:rsid w:val="00670489"/>
    <w:rsid w:val="00670D0A"/>
    <w:rsid w:val="006710C9"/>
    <w:rsid w:val="00672F35"/>
    <w:rsid w:val="006741CD"/>
    <w:rsid w:val="00674D89"/>
    <w:rsid w:val="00675E37"/>
    <w:rsid w:val="00676736"/>
    <w:rsid w:val="006769A4"/>
    <w:rsid w:val="00676D76"/>
    <w:rsid w:val="00676F9F"/>
    <w:rsid w:val="00677591"/>
    <w:rsid w:val="00677594"/>
    <w:rsid w:val="0068032F"/>
    <w:rsid w:val="00680C60"/>
    <w:rsid w:val="00680D37"/>
    <w:rsid w:val="0068174E"/>
    <w:rsid w:val="00681DCE"/>
    <w:rsid w:val="006820E4"/>
    <w:rsid w:val="0068260E"/>
    <w:rsid w:val="006846B3"/>
    <w:rsid w:val="00684D59"/>
    <w:rsid w:val="00684E25"/>
    <w:rsid w:val="006858A4"/>
    <w:rsid w:val="00686718"/>
    <w:rsid w:val="00686BFA"/>
    <w:rsid w:val="00686DED"/>
    <w:rsid w:val="006875A0"/>
    <w:rsid w:val="00687D27"/>
    <w:rsid w:val="00691943"/>
    <w:rsid w:val="00691F0D"/>
    <w:rsid w:val="00693550"/>
    <w:rsid w:val="00695065"/>
    <w:rsid w:val="00695BEF"/>
    <w:rsid w:val="006965F5"/>
    <w:rsid w:val="006966C7"/>
    <w:rsid w:val="006968C1"/>
    <w:rsid w:val="006977F6"/>
    <w:rsid w:val="00697A13"/>
    <w:rsid w:val="006A109C"/>
    <w:rsid w:val="006A3F54"/>
    <w:rsid w:val="006A6565"/>
    <w:rsid w:val="006A65B5"/>
    <w:rsid w:val="006A7691"/>
    <w:rsid w:val="006A7EE2"/>
    <w:rsid w:val="006B0514"/>
    <w:rsid w:val="006B0F92"/>
    <w:rsid w:val="006B16EF"/>
    <w:rsid w:val="006B1B9B"/>
    <w:rsid w:val="006B238C"/>
    <w:rsid w:val="006B2785"/>
    <w:rsid w:val="006B344A"/>
    <w:rsid w:val="006B3A36"/>
    <w:rsid w:val="006B58C9"/>
    <w:rsid w:val="006B60ED"/>
    <w:rsid w:val="006B65DA"/>
    <w:rsid w:val="006B6CC5"/>
    <w:rsid w:val="006B74AC"/>
    <w:rsid w:val="006B78D8"/>
    <w:rsid w:val="006B79EA"/>
    <w:rsid w:val="006C09FA"/>
    <w:rsid w:val="006C0C5D"/>
    <w:rsid w:val="006C113F"/>
    <w:rsid w:val="006C123E"/>
    <w:rsid w:val="006C15A1"/>
    <w:rsid w:val="006C1752"/>
    <w:rsid w:val="006C28CA"/>
    <w:rsid w:val="006C2BBF"/>
    <w:rsid w:val="006C2FBD"/>
    <w:rsid w:val="006C3FFC"/>
    <w:rsid w:val="006C4355"/>
    <w:rsid w:val="006C440F"/>
    <w:rsid w:val="006C469D"/>
    <w:rsid w:val="006C46B5"/>
    <w:rsid w:val="006C484F"/>
    <w:rsid w:val="006C4CDD"/>
    <w:rsid w:val="006C52EC"/>
    <w:rsid w:val="006C56D4"/>
    <w:rsid w:val="006C5838"/>
    <w:rsid w:val="006C6681"/>
    <w:rsid w:val="006C683C"/>
    <w:rsid w:val="006C6924"/>
    <w:rsid w:val="006C6C1E"/>
    <w:rsid w:val="006C7076"/>
    <w:rsid w:val="006C7CA6"/>
    <w:rsid w:val="006D18B3"/>
    <w:rsid w:val="006D1E89"/>
    <w:rsid w:val="006D317E"/>
    <w:rsid w:val="006D3E8A"/>
    <w:rsid w:val="006D4F0A"/>
    <w:rsid w:val="006D61F6"/>
    <w:rsid w:val="006E1332"/>
    <w:rsid w:val="006E279A"/>
    <w:rsid w:val="006E313B"/>
    <w:rsid w:val="006E3420"/>
    <w:rsid w:val="006E3A45"/>
    <w:rsid w:val="006E4078"/>
    <w:rsid w:val="006E45D2"/>
    <w:rsid w:val="006E5161"/>
    <w:rsid w:val="006E53AD"/>
    <w:rsid w:val="006E58CB"/>
    <w:rsid w:val="006E6BA2"/>
    <w:rsid w:val="006E7227"/>
    <w:rsid w:val="006E7E74"/>
    <w:rsid w:val="006F0741"/>
    <w:rsid w:val="006F1C27"/>
    <w:rsid w:val="006F2A65"/>
    <w:rsid w:val="006F33B2"/>
    <w:rsid w:val="006F40DF"/>
    <w:rsid w:val="006F42BB"/>
    <w:rsid w:val="006F438E"/>
    <w:rsid w:val="006F440B"/>
    <w:rsid w:val="006F4866"/>
    <w:rsid w:val="006F48A3"/>
    <w:rsid w:val="006F5416"/>
    <w:rsid w:val="006F624B"/>
    <w:rsid w:val="006F6D87"/>
    <w:rsid w:val="006F7559"/>
    <w:rsid w:val="0070398A"/>
    <w:rsid w:val="00703DCB"/>
    <w:rsid w:val="00705242"/>
    <w:rsid w:val="007055E0"/>
    <w:rsid w:val="007056ED"/>
    <w:rsid w:val="007065C5"/>
    <w:rsid w:val="00706AA0"/>
    <w:rsid w:val="00706AD4"/>
    <w:rsid w:val="00707150"/>
    <w:rsid w:val="0070798D"/>
    <w:rsid w:val="007124D7"/>
    <w:rsid w:val="007129A5"/>
    <w:rsid w:val="00712C20"/>
    <w:rsid w:val="00713549"/>
    <w:rsid w:val="007140BE"/>
    <w:rsid w:val="00714224"/>
    <w:rsid w:val="00715502"/>
    <w:rsid w:val="00715E4D"/>
    <w:rsid w:val="00716F48"/>
    <w:rsid w:val="00717114"/>
    <w:rsid w:val="0071779F"/>
    <w:rsid w:val="00720D7B"/>
    <w:rsid w:val="007211F5"/>
    <w:rsid w:val="00722777"/>
    <w:rsid w:val="00723435"/>
    <w:rsid w:val="00723436"/>
    <w:rsid w:val="007240E2"/>
    <w:rsid w:val="007251D4"/>
    <w:rsid w:val="00725611"/>
    <w:rsid w:val="0072583E"/>
    <w:rsid w:val="00725BB5"/>
    <w:rsid w:val="00727C02"/>
    <w:rsid w:val="007302FF"/>
    <w:rsid w:val="00730AE8"/>
    <w:rsid w:val="00730F1B"/>
    <w:rsid w:val="0073186D"/>
    <w:rsid w:val="00732DEC"/>
    <w:rsid w:val="0073333D"/>
    <w:rsid w:val="007343D9"/>
    <w:rsid w:val="007351C8"/>
    <w:rsid w:val="00735448"/>
    <w:rsid w:val="00736841"/>
    <w:rsid w:val="00737DEC"/>
    <w:rsid w:val="0074004D"/>
    <w:rsid w:val="00741493"/>
    <w:rsid w:val="007424BA"/>
    <w:rsid w:val="007434E5"/>
    <w:rsid w:val="0074499B"/>
    <w:rsid w:val="007450BF"/>
    <w:rsid w:val="007471A1"/>
    <w:rsid w:val="007477BD"/>
    <w:rsid w:val="00747EE9"/>
    <w:rsid w:val="00750362"/>
    <w:rsid w:val="00750A71"/>
    <w:rsid w:val="0075158E"/>
    <w:rsid w:val="00752180"/>
    <w:rsid w:val="00752323"/>
    <w:rsid w:val="007532B7"/>
    <w:rsid w:val="00753CAB"/>
    <w:rsid w:val="00754A70"/>
    <w:rsid w:val="00754BC9"/>
    <w:rsid w:val="00755202"/>
    <w:rsid w:val="00755D3A"/>
    <w:rsid w:val="0075751D"/>
    <w:rsid w:val="007578D3"/>
    <w:rsid w:val="007602CF"/>
    <w:rsid w:val="00760391"/>
    <w:rsid w:val="007609C6"/>
    <w:rsid w:val="007615F3"/>
    <w:rsid w:val="0076175D"/>
    <w:rsid w:val="00761CB5"/>
    <w:rsid w:val="007622A9"/>
    <w:rsid w:val="0076264F"/>
    <w:rsid w:val="007629D5"/>
    <w:rsid w:val="007635F8"/>
    <w:rsid w:val="00763B85"/>
    <w:rsid w:val="007641B8"/>
    <w:rsid w:val="00764974"/>
    <w:rsid w:val="00764D18"/>
    <w:rsid w:val="0076521E"/>
    <w:rsid w:val="007661E9"/>
    <w:rsid w:val="00766460"/>
    <w:rsid w:val="00767062"/>
    <w:rsid w:val="00767777"/>
    <w:rsid w:val="00771972"/>
    <w:rsid w:val="00772279"/>
    <w:rsid w:val="00772DAB"/>
    <w:rsid w:val="00774D2C"/>
    <w:rsid w:val="007752BF"/>
    <w:rsid w:val="0077605B"/>
    <w:rsid w:val="00776169"/>
    <w:rsid w:val="00776527"/>
    <w:rsid w:val="00776618"/>
    <w:rsid w:val="00777040"/>
    <w:rsid w:val="007779DD"/>
    <w:rsid w:val="00777CE6"/>
    <w:rsid w:val="00780790"/>
    <w:rsid w:val="00780EF1"/>
    <w:rsid w:val="00781A91"/>
    <w:rsid w:val="0078260D"/>
    <w:rsid w:val="00785311"/>
    <w:rsid w:val="00785778"/>
    <w:rsid w:val="00786C87"/>
    <w:rsid w:val="00786D27"/>
    <w:rsid w:val="0078755E"/>
    <w:rsid w:val="007877C9"/>
    <w:rsid w:val="00790764"/>
    <w:rsid w:val="0079085F"/>
    <w:rsid w:val="00790E96"/>
    <w:rsid w:val="00791005"/>
    <w:rsid w:val="00793D78"/>
    <w:rsid w:val="0079453C"/>
    <w:rsid w:val="00794677"/>
    <w:rsid w:val="00795CC8"/>
    <w:rsid w:val="0079747A"/>
    <w:rsid w:val="007A0770"/>
    <w:rsid w:val="007A170B"/>
    <w:rsid w:val="007A20EB"/>
    <w:rsid w:val="007A282C"/>
    <w:rsid w:val="007A2A3A"/>
    <w:rsid w:val="007A33E2"/>
    <w:rsid w:val="007A3554"/>
    <w:rsid w:val="007A3CAF"/>
    <w:rsid w:val="007A4782"/>
    <w:rsid w:val="007A4E06"/>
    <w:rsid w:val="007A516D"/>
    <w:rsid w:val="007A5E65"/>
    <w:rsid w:val="007A65E1"/>
    <w:rsid w:val="007A71DE"/>
    <w:rsid w:val="007A7502"/>
    <w:rsid w:val="007A775D"/>
    <w:rsid w:val="007B0834"/>
    <w:rsid w:val="007B0CCA"/>
    <w:rsid w:val="007B0E83"/>
    <w:rsid w:val="007B11FA"/>
    <w:rsid w:val="007B1396"/>
    <w:rsid w:val="007B16D6"/>
    <w:rsid w:val="007B2011"/>
    <w:rsid w:val="007B27AE"/>
    <w:rsid w:val="007B2CFE"/>
    <w:rsid w:val="007B309B"/>
    <w:rsid w:val="007B3D5E"/>
    <w:rsid w:val="007B3DCB"/>
    <w:rsid w:val="007B3F31"/>
    <w:rsid w:val="007B5725"/>
    <w:rsid w:val="007B6689"/>
    <w:rsid w:val="007B6747"/>
    <w:rsid w:val="007B6F72"/>
    <w:rsid w:val="007C1F0C"/>
    <w:rsid w:val="007C1FFB"/>
    <w:rsid w:val="007C2106"/>
    <w:rsid w:val="007C2D94"/>
    <w:rsid w:val="007C361B"/>
    <w:rsid w:val="007C5F92"/>
    <w:rsid w:val="007C6227"/>
    <w:rsid w:val="007C682A"/>
    <w:rsid w:val="007C6BBD"/>
    <w:rsid w:val="007C6D89"/>
    <w:rsid w:val="007C6F5E"/>
    <w:rsid w:val="007C71B6"/>
    <w:rsid w:val="007D0382"/>
    <w:rsid w:val="007D1A1F"/>
    <w:rsid w:val="007D1D05"/>
    <w:rsid w:val="007D2E18"/>
    <w:rsid w:val="007D40DF"/>
    <w:rsid w:val="007D42E5"/>
    <w:rsid w:val="007D4458"/>
    <w:rsid w:val="007D50F3"/>
    <w:rsid w:val="007D5BC6"/>
    <w:rsid w:val="007D78E6"/>
    <w:rsid w:val="007E0535"/>
    <w:rsid w:val="007E0557"/>
    <w:rsid w:val="007E0D4A"/>
    <w:rsid w:val="007E1788"/>
    <w:rsid w:val="007E1B40"/>
    <w:rsid w:val="007E1EE3"/>
    <w:rsid w:val="007E20A0"/>
    <w:rsid w:val="007E2467"/>
    <w:rsid w:val="007E29B4"/>
    <w:rsid w:val="007E2F12"/>
    <w:rsid w:val="007E435A"/>
    <w:rsid w:val="007E49F7"/>
    <w:rsid w:val="007E4C70"/>
    <w:rsid w:val="007E576D"/>
    <w:rsid w:val="007E78B6"/>
    <w:rsid w:val="007E7E61"/>
    <w:rsid w:val="007F0845"/>
    <w:rsid w:val="007F20F3"/>
    <w:rsid w:val="007F2353"/>
    <w:rsid w:val="007F2390"/>
    <w:rsid w:val="007F2CAC"/>
    <w:rsid w:val="007F4740"/>
    <w:rsid w:val="007F595A"/>
    <w:rsid w:val="007F708D"/>
    <w:rsid w:val="008006B3"/>
    <w:rsid w:val="0080158A"/>
    <w:rsid w:val="00801E13"/>
    <w:rsid w:val="00802371"/>
    <w:rsid w:val="00802ABF"/>
    <w:rsid w:val="00802CEF"/>
    <w:rsid w:val="00803008"/>
    <w:rsid w:val="00803069"/>
    <w:rsid w:val="008062A6"/>
    <w:rsid w:val="0080717D"/>
    <w:rsid w:val="0080734C"/>
    <w:rsid w:val="0080780F"/>
    <w:rsid w:val="00807C82"/>
    <w:rsid w:val="008117CC"/>
    <w:rsid w:val="00812154"/>
    <w:rsid w:val="00813D58"/>
    <w:rsid w:val="00813DCA"/>
    <w:rsid w:val="008161A6"/>
    <w:rsid w:val="008165B8"/>
    <w:rsid w:val="00816905"/>
    <w:rsid w:val="00816D98"/>
    <w:rsid w:val="008179FC"/>
    <w:rsid w:val="00817A17"/>
    <w:rsid w:val="00817EC1"/>
    <w:rsid w:val="0082112D"/>
    <w:rsid w:val="00821DA9"/>
    <w:rsid w:val="00821FF6"/>
    <w:rsid w:val="00822574"/>
    <w:rsid w:val="00822F08"/>
    <w:rsid w:val="00825C4D"/>
    <w:rsid w:val="00826265"/>
    <w:rsid w:val="00826A08"/>
    <w:rsid w:val="00826AC0"/>
    <w:rsid w:val="00827186"/>
    <w:rsid w:val="00827C8E"/>
    <w:rsid w:val="00830569"/>
    <w:rsid w:val="00830AEA"/>
    <w:rsid w:val="00830E86"/>
    <w:rsid w:val="0083143E"/>
    <w:rsid w:val="008315D5"/>
    <w:rsid w:val="00831CDE"/>
    <w:rsid w:val="008337CB"/>
    <w:rsid w:val="00834304"/>
    <w:rsid w:val="00834FAA"/>
    <w:rsid w:val="008354FB"/>
    <w:rsid w:val="00836086"/>
    <w:rsid w:val="0083630F"/>
    <w:rsid w:val="00836A06"/>
    <w:rsid w:val="008374BC"/>
    <w:rsid w:val="00837E48"/>
    <w:rsid w:val="00840293"/>
    <w:rsid w:val="008402AD"/>
    <w:rsid w:val="008408D4"/>
    <w:rsid w:val="008417B5"/>
    <w:rsid w:val="00841901"/>
    <w:rsid w:val="00841FC4"/>
    <w:rsid w:val="00843541"/>
    <w:rsid w:val="008458BD"/>
    <w:rsid w:val="00846121"/>
    <w:rsid w:val="008461C2"/>
    <w:rsid w:val="008466C6"/>
    <w:rsid w:val="0084708F"/>
    <w:rsid w:val="008477C8"/>
    <w:rsid w:val="008478A6"/>
    <w:rsid w:val="008502F6"/>
    <w:rsid w:val="0085114D"/>
    <w:rsid w:val="008520A8"/>
    <w:rsid w:val="00852217"/>
    <w:rsid w:val="00852DB1"/>
    <w:rsid w:val="00853282"/>
    <w:rsid w:val="00854647"/>
    <w:rsid w:val="00855408"/>
    <w:rsid w:val="00856D65"/>
    <w:rsid w:val="008614E4"/>
    <w:rsid w:val="00861B41"/>
    <w:rsid w:val="00861B9F"/>
    <w:rsid w:val="00861BE3"/>
    <w:rsid w:val="008625D3"/>
    <w:rsid w:val="00863434"/>
    <w:rsid w:val="0086344F"/>
    <w:rsid w:val="008641AC"/>
    <w:rsid w:val="008641EA"/>
    <w:rsid w:val="00864A6C"/>
    <w:rsid w:val="00865E4C"/>
    <w:rsid w:val="0086796D"/>
    <w:rsid w:val="00867C6C"/>
    <w:rsid w:val="00867DAB"/>
    <w:rsid w:val="0087000B"/>
    <w:rsid w:val="008701E4"/>
    <w:rsid w:val="008704E9"/>
    <w:rsid w:val="00870ECD"/>
    <w:rsid w:val="0087347C"/>
    <w:rsid w:val="008734E7"/>
    <w:rsid w:val="0087368D"/>
    <w:rsid w:val="008740CC"/>
    <w:rsid w:val="00874FE8"/>
    <w:rsid w:val="00875305"/>
    <w:rsid w:val="00875A32"/>
    <w:rsid w:val="00876086"/>
    <w:rsid w:val="00876E83"/>
    <w:rsid w:val="008772BC"/>
    <w:rsid w:val="00880A0E"/>
    <w:rsid w:val="00881A67"/>
    <w:rsid w:val="00881CD7"/>
    <w:rsid w:val="00882911"/>
    <w:rsid w:val="008829C4"/>
    <w:rsid w:val="00885D40"/>
    <w:rsid w:val="00885EE2"/>
    <w:rsid w:val="008873D4"/>
    <w:rsid w:val="00887B96"/>
    <w:rsid w:val="00890C49"/>
    <w:rsid w:val="00891CEA"/>
    <w:rsid w:val="00891E07"/>
    <w:rsid w:val="00891EDF"/>
    <w:rsid w:val="00892872"/>
    <w:rsid w:val="0089296D"/>
    <w:rsid w:val="00893E85"/>
    <w:rsid w:val="00893EBE"/>
    <w:rsid w:val="00894031"/>
    <w:rsid w:val="00894327"/>
    <w:rsid w:val="00894C5D"/>
    <w:rsid w:val="00895508"/>
    <w:rsid w:val="008967E9"/>
    <w:rsid w:val="00896A5C"/>
    <w:rsid w:val="008972D2"/>
    <w:rsid w:val="0089754C"/>
    <w:rsid w:val="008A0ADD"/>
    <w:rsid w:val="008A0C39"/>
    <w:rsid w:val="008A0D27"/>
    <w:rsid w:val="008A1C59"/>
    <w:rsid w:val="008A1FBA"/>
    <w:rsid w:val="008A2105"/>
    <w:rsid w:val="008A2E4C"/>
    <w:rsid w:val="008A37E2"/>
    <w:rsid w:val="008A388E"/>
    <w:rsid w:val="008A394E"/>
    <w:rsid w:val="008A3CBA"/>
    <w:rsid w:val="008A48EB"/>
    <w:rsid w:val="008A4A76"/>
    <w:rsid w:val="008A4B59"/>
    <w:rsid w:val="008A539C"/>
    <w:rsid w:val="008A63E1"/>
    <w:rsid w:val="008A66B7"/>
    <w:rsid w:val="008A68BB"/>
    <w:rsid w:val="008A7127"/>
    <w:rsid w:val="008A76B8"/>
    <w:rsid w:val="008B3A80"/>
    <w:rsid w:val="008B3C07"/>
    <w:rsid w:val="008B3F7B"/>
    <w:rsid w:val="008B4895"/>
    <w:rsid w:val="008B6106"/>
    <w:rsid w:val="008B7C02"/>
    <w:rsid w:val="008B7D2B"/>
    <w:rsid w:val="008B7EF9"/>
    <w:rsid w:val="008C0049"/>
    <w:rsid w:val="008C0E88"/>
    <w:rsid w:val="008C1717"/>
    <w:rsid w:val="008C3D6B"/>
    <w:rsid w:val="008C4B50"/>
    <w:rsid w:val="008C6F26"/>
    <w:rsid w:val="008C7569"/>
    <w:rsid w:val="008D0DBD"/>
    <w:rsid w:val="008D117E"/>
    <w:rsid w:val="008D127E"/>
    <w:rsid w:val="008D1CA8"/>
    <w:rsid w:val="008D1E6A"/>
    <w:rsid w:val="008D2A16"/>
    <w:rsid w:val="008D33F5"/>
    <w:rsid w:val="008D35E4"/>
    <w:rsid w:val="008D4E52"/>
    <w:rsid w:val="008D6C3A"/>
    <w:rsid w:val="008E0001"/>
    <w:rsid w:val="008E1268"/>
    <w:rsid w:val="008E292B"/>
    <w:rsid w:val="008E2C57"/>
    <w:rsid w:val="008E31FF"/>
    <w:rsid w:val="008E3287"/>
    <w:rsid w:val="008E550B"/>
    <w:rsid w:val="008E6DCB"/>
    <w:rsid w:val="008E6F06"/>
    <w:rsid w:val="008E7B8E"/>
    <w:rsid w:val="008E7FC9"/>
    <w:rsid w:val="008F029B"/>
    <w:rsid w:val="008F0D42"/>
    <w:rsid w:val="008F2A5D"/>
    <w:rsid w:val="008F3636"/>
    <w:rsid w:val="008F3FC9"/>
    <w:rsid w:val="008F48A3"/>
    <w:rsid w:val="008F5383"/>
    <w:rsid w:val="008F585B"/>
    <w:rsid w:val="008F609D"/>
    <w:rsid w:val="008F7D34"/>
    <w:rsid w:val="009003A8"/>
    <w:rsid w:val="00900977"/>
    <w:rsid w:val="009021DA"/>
    <w:rsid w:val="00902500"/>
    <w:rsid w:val="00902A83"/>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86"/>
    <w:rsid w:val="009162AE"/>
    <w:rsid w:val="00917251"/>
    <w:rsid w:val="0091728D"/>
    <w:rsid w:val="009203CC"/>
    <w:rsid w:val="00920EC4"/>
    <w:rsid w:val="0092180B"/>
    <w:rsid w:val="00921F14"/>
    <w:rsid w:val="00923CB0"/>
    <w:rsid w:val="00923D8C"/>
    <w:rsid w:val="00924871"/>
    <w:rsid w:val="00924AC8"/>
    <w:rsid w:val="0092508F"/>
    <w:rsid w:val="00925429"/>
    <w:rsid w:val="0092597A"/>
    <w:rsid w:val="00926520"/>
    <w:rsid w:val="00926CF0"/>
    <w:rsid w:val="009273A9"/>
    <w:rsid w:val="0093033E"/>
    <w:rsid w:val="009305FC"/>
    <w:rsid w:val="00930FB1"/>
    <w:rsid w:val="0093139F"/>
    <w:rsid w:val="00931E5F"/>
    <w:rsid w:val="00932443"/>
    <w:rsid w:val="00932B32"/>
    <w:rsid w:val="00933F4A"/>
    <w:rsid w:val="009341F1"/>
    <w:rsid w:val="0093475A"/>
    <w:rsid w:val="00934FF2"/>
    <w:rsid w:val="00935BD4"/>
    <w:rsid w:val="00935DFE"/>
    <w:rsid w:val="00935FC6"/>
    <w:rsid w:val="009373B2"/>
    <w:rsid w:val="00937AE2"/>
    <w:rsid w:val="0094061F"/>
    <w:rsid w:val="00940F0F"/>
    <w:rsid w:val="00941BC7"/>
    <w:rsid w:val="00941D6E"/>
    <w:rsid w:val="0094416B"/>
    <w:rsid w:val="0094427A"/>
    <w:rsid w:val="00944C7C"/>
    <w:rsid w:val="00945245"/>
    <w:rsid w:val="00945523"/>
    <w:rsid w:val="00946F8B"/>
    <w:rsid w:val="009474EF"/>
    <w:rsid w:val="00950921"/>
    <w:rsid w:val="00951A15"/>
    <w:rsid w:val="00951D68"/>
    <w:rsid w:val="00952B7B"/>
    <w:rsid w:val="00954F39"/>
    <w:rsid w:val="00955C0E"/>
    <w:rsid w:val="0095664B"/>
    <w:rsid w:val="009568DC"/>
    <w:rsid w:val="00957300"/>
    <w:rsid w:val="00957445"/>
    <w:rsid w:val="0095759C"/>
    <w:rsid w:val="0096108D"/>
    <w:rsid w:val="009618EE"/>
    <w:rsid w:val="009624D2"/>
    <w:rsid w:val="009628D9"/>
    <w:rsid w:val="00962BAE"/>
    <w:rsid w:val="009633D9"/>
    <w:rsid w:val="009637AE"/>
    <w:rsid w:val="009640F6"/>
    <w:rsid w:val="00964776"/>
    <w:rsid w:val="00964A4E"/>
    <w:rsid w:val="00964B35"/>
    <w:rsid w:val="009651C7"/>
    <w:rsid w:val="00965797"/>
    <w:rsid w:val="00965A10"/>
    <w:rsid w:val="009670A3"/>
    <w:rsid w:val="009674BE"/>
    <w:rsid w:val="00970EFF"/>
    <w:rsid w:val="00970FB5"/>
    <w:rsid w:val="009716DE"/>
    <w:rsid w:val="00971710"/>
    <w:rsid w:val="00971B87"/>
    <w:rsid w:val="00971C77"/>
    <w:rsid w:val="00972FCD"/>
    <w:rsid w:val="009741AE"/>
    <w:rsid w:val="009741FC"/>
    <w:rsid w:val="00974422"/>
    <w:rsid w:val="00974923"/>
    <w:rsid w:val="00975909"/>
    <w:rsid w:val="009773D6"/>
    <w:rsid w:val="00977C3D"/>
    <w:rsid w:val="00980A5D"/>
    <w:rsid w:val="00980D3D"/>
    <w:rsid w:val="0098103E"/>
    <w:rsid w:val="009823BF"/>
    <w:rsid w:val="00983101"/>
    <w:rsid w:val="00983E41"/>
    <w:rsid w:val="00985D9D"/>
    <w:rsid w:val="00986246"/>
    <w:rsid w:val="00986B72"/>
    <w:rsid w:val="0098717C"/>
    <w:rsid w:val="00987A30"/>
    <w:rsid w:val="00990312"/>
    <w:rsid w:val="009912E7"/>
    <w:rsid w:val="00991716"/>
    <w:rsid w:val="0099182E"/>
    <w:rsid w:val="00992CF3"/>
    <w:rsid w:val="00993194"/>
    <w:rsid w:val="0099321E"/>
    <w:rsid w:val="00993DA6"/>
    <w:rsid w:val="00994868"/>
    <w:rsid w:val="00994D28"/>
    <w:rsid w:val="00994F2C"/>
    <w:rsid w:val="009957CC"/>
    <w:rsid w:val="009968D6"/>
    <w:rsid w:val="00997953"/>
    <w:rsid w:val="009A0BFF"/>
    <w:rsid w:val="009A10A0"/>
    <w:rsid w:val="009A1CAB"/>
    <w:rsid w:val="009A2359"/>
    <w:rsid w:val="009A2440"/>
    <w:rsid w:val="009A24F1"/>
    <w:rsid w:val="009A4D57"/>
    <w:rsid w:val="009A5121"/>
    <w:rsid w:val="009A51A5"/>
    <w:rsid w:val="009A60D1"/>
    <w:rsid w:val="009A6225"/>
    <w:rsid w:val="009A64F5"/>
    <w:rsid w:val="009B00D2"/>
    <w:rsid w:val="009B05B3"/>
    <w:rsid w:val="009B284F"/>
    <w:rsid w:val="009B3764"/>
    <w:rsid w:val="009B52AC"/>
    <w:rsid w:val="009B59EA"/>
    <w:rsid w:val="009B66CE"/>
    <w:rsid w:val="009B6FD3"/>
    <w:rsid w:val="009B7257"/>
    <w:rsid w:val="009B7DB2"/>
    <w:rsid w:val="009C15A4"/>
    <w:rsid w:val="009C1750"/>
    <w:rsid w:val="009C2E29"/>
    <w:rsid w:val="009C3CDE"/>
    <w:rsid w:val="009C3E8F"/>
    <w:rsid w:val="009C554B"/>
    <w:rsid w:val="009C7126"/>
    <w:rsid w:val="009C719E"/>
    <w:rsid w:val="009C7799"/>
    <w:rsid w:val="009D07A9"/>
    <w:rsid w:val="009D0AE2"/>
    <w:rsid w:val="009D0EBB"/>
    <w:rsid w:val="009D3483"/>
    <w:rsid w:val="009D3ACD"/>
    <w:rsid w:val="009D4F21"/>
    <w:rsid w:val="009D587D"/>
    <w:rsid w:val="009D7731"/>
    <w:rsid w:val="009E1120"/>
    <w:rsid w:val="009E1393"/>
    <w:rsid w:val="009E1922"/>
    <w:rsid w:val="009E1A3D"/>
    <w:rsid w:val="009E3646"/>
    <w:rsid w:val="009E4715"/>
    <w:rsid w:val="009E4FEF"/>
    <w:rsid w:val="009E5273"/>
    <w:rsid w:val="009E57A8"/>
    <w:rsid w:val="009E5B85"/>
    <w:rsid w:val="009E5DDB"/>
    <w:rsid w:val="009E6140"/>
    <w:rsid w:val="009F0B4B"/>
    <w:rsid w:val="009F2921"/>
    <w:rsid w:val="009F3210"/>
    <w:rsid w:val="009F3399"/>
    <w:rsid w:val="009F38F8"/>
    <w:rsid w:val="009F4982"/>
    <w:rsid w:val="009F4CA7"/>
    <w:rsid w:val="009F5461"/>
    <w:rsid w:val="009F55BA"/>
    <w:rsid w:val="009F6257"/>
    <w:rsid w:val="009F7D36"/>
    <w:rsid w:val="00A00E71"/>
    <w:rsid w:val="00A012F7"/>
    <w:rsid w:val="00A0239B"/>
    <w:rsid w:val="00A0306F"/>
    <w:rsid w:val="00A0363E"/>
    <w:rsid w:val="00A03B10"/>
    <w:rsid w:val="00A03E2E"/>
    <w:rsid w:val="00A04616"/>
    <w:rsid w:val="00A04717"/>
    <w:rsid w:val="00A0495F"/>
    <w:rsid w:val="00A05EE4"/>
    <w:rsid w:val="00A06F99"/>
    <w:rsid w:val="00A10D66"/>
    <w:rsid w:val="00A113A4"/>
    <w:rsid w:val="00A1145C"/>
    <w:rsid w:val="00A120EA"/>
    <w:rsid w:val="00A14114"/>
    <w:rsid w:val="00A16413"/>
    <w:rsid w:val="00A16520"/>
    <w:rsid w:val="00A16545"/>
    <w:rsid w:val="00A16AED"/>
    <w:rsid w:val="00A16C37"/>
    <w:rsid w:val="00A16E1D"/>
    <w:rsid w:val="00A171D5"/>
    <w:rsid w:val="00A17559"/>
    <w:rsid w:val="00A17A15"/>
    <w:rsid w:val="00A17D5B"/>
    <w:rsid w:val="00A201E1"/>
    <w:rsid w:val="00A20FE1"/>
    <w:rsid w:val="00A21B4D"/>
    <w:rsid w:val="00A21C5E"/>
    <w:rsid w:val="00A23E43"/>
    <w:rsid w:val="00A2445C"/>
    <w:rsid w:val="00A24ED9"/>
    <w:rsid w:val="00A25216"/>
    <w:rsid w:val="00A2597D"/>
    <w:rsid w:val="00A2628E"/>
    <w:rsid w:val="00A266BF"/>
    <w:rsid w:val="00A2731E"/>
    <w:rsid w:val="00A307C2"/>
    <w:rsid w:val="00A309AC"/>
    <w:rsid w:val="00A30F65"/>
    <w:rsid w:val="00A3279E"/>
    <w:rsid w:val="00A35900"/>
    <w:rsid w:val="00A370BF"/>
    <w:rsid w:val="00A37556"/>
    <w:rsid w:val="00A40C06"/>
    <w:rsid w:val="00A40EAC"/>
    <w:rsid w:val="00A418BC"/>
    <w:rsid w:val="00A41FCF"/>
    <w:rsid w:val="00A42936"/>
    <w:rsid w:val="00A43CF8"/>
    <w:rsid w:val="00A43DF2"/>
    <w:rsid w:val="00A43DF7"/>
    <w:rsid w:val="00A445A8"/>
    <w:rsid w:val="00A44B0D"/>
    <w:rsid w:val="00A44D21"/>
    <w:rsid w:val="00A45087"/>
    <w:rsid w:val="00A45489"/>
    <w:rsid w:val="00A45CED"/>
    <w:rsid w:val="00A465E9"/>
    <w:rsid w:val="00A468E7"/>
    <w:rsid w:val="00A46DE0"/>
    <w:rsid w:val="00A5064D"/>
    <w:rsid w:val="00A50D73"/>
    <w:rsid w:val="00A5162C"/>
    <w:rsid w:val="00A52A88"/>
    <w:rsid w:val="00A52CAD"/>
    <w:rsid w:val="00A53918"/>
    <w:rsid w:val="00A53FC7"/>
    <w:rsid w:val="00A54974"/>
    <w:rsid w:val="00A55569"/>
    <w:rsid w:val="00A6092A"/>
    <w:rsid w:val="00A60AC1"/>
    <w:rsid w:val="00A615E5"/>
    <w:rsid w:val="00A623DF"/>
    <w:rsid w:val="00A626FF"/>
    <w:rsid w:val="00A62CE1"/>
    <w:rsid w:val="00A65469"/>
    <w:rsid w:val="00A65528"/>
    <w:rsid w:val="00A655D3"/>
    <w:rsid w:val="00A65711"/>
    <w:rsid w:val="00A662D9"/>
    <w:rsid w:val="00A6636F"/>
    <w:rsid w:val="00A6741E"/>
    <w:rsid w:val="00A6764C"/>
    <w:rsid w:val="00A7016A"/>
    <w:rsid w:val="00A7018D"/>
    <w:rsid w:val="00A7191D"/>
    <w:rsid w:val="00A722F9"/>
    <w:rsid w:val="00A72CD8"/>
    <w:rsid w:val="00A72D42"/>
    <w:rsid w:val="00A74C2A"/>
    <w:rsid w:val="00A75A21"/>
    <w:rsid w:val="00A75E40"/>
    <w:rsid w:val="00A77D1D"/>
    <w:rsid w:val="00A80911"/>
    <w:rsid w:val="00A80BD2"/>
    <w:rsid w:val="00A81652"/>
    <w:rsid w:val="00A83150"/>
    <w:rsid w:val="00A83398"/>
    <w:rsid w:val="00A83D6E"/>
    <w:rsid w:val="00A83F43"/>
    <w:rsid w:val="00A8521A"/>
    <w:rsid w:val="00A857C0"/>
    <w:rsid w:val="00A90F2C"/>
    <w:rsid w:val="00A90FED"/>
    <w:rsid w:val="00A9189D"/>
    <w:rsid w:val="00A91E71"/>
    <w:rsid w:val="00A925B1"/>
    <w:rsid w:val="00A934F9"/>
    <w:rsid w:val="00A93D06"/>
    <w:rsid w:val="00A940E3"/>
    <w:rsid w:val="00A95F1A"/>
    <w:rsid w:val="00A96116"/>
    <w:rsid w:val="00A9614E"/>
    <w:rsid w:val="00A96C0F"/>
    <w:rsid w:val="00AA0E80"/>
    <w:rsid w:val="00AA17CD"/>
    <w:rsid w:val="00AA212F"/>
    <w:rsid w:val="00AA2996"/>
    <w:rsid w:val="00AA2AF4"/>
    <w:rsid w:val="00AA2C80"/>
    <w:rsid w:val="00AA4282"/>
    <w:rsid w:val="00AA52BF"/>
    <w:rsid w:val="00AA559A"/>
    <w:rsid w:val="00AA58ED"/>
    <w:rsid w:val="00AA6C31"/>
    <w:rsid w:val="00AA7752"/>
    <w:rsid w:val="00AA7CE8"/>
    <w:rsid w:val="00AB1457"/>
    <w:rsid w:val="00AB22B9"/>
    <w:rsid w:val="00AB2AF1"/>
    <w:rsid w:val="00AB3EC7"/>
    <w:rsid w:val="00AB3FFA"/>
    <w:rsid w:val="00AB56A1"/>
    <w:rsid w:val="00AB5A64"/>
    <w:rsid w:val="00AB5CA1"/>
    <w:rsid w:val="00AB6456"/>
    <w:rsid w:val="00AB686D"/>
    <w:rsid w:val="00AC044E"/>
    <w:rsid w:val="00AC2118"/>
    <w:rsid w:val="00AC2395"/>
    <w:rsid w:val="00AC2960"/>
    <w:rsid w:val="00AC2AC4"/>
    <w:rsid w:val="00AC4284"/>
    <w:rsid w:val="00AC45BD"/>
    <w:rsid w:val="00AC4883"/>
    <w:rsid w:val="00AC4920"/>
    <w:rsid w:val="00AC50BB"/>
    <w:rsid w:val="00AC51CC"/>
    <w:rsid w:val="00AC6CAB"/>
    <w:rsid w:val="00AD0EE7"/>
    <w:rsid w:val="00AD168E"/>
    <w:rsid w:val="00AD306C"/>
    <w:rsid w:val="00AD44CD"/>
    <w:rsid w:val="00AD4C32"/>
    <w:rsid w:val="00AD5AD2"/>
    <w:rsid w:val="00AD6462"/>
    <w:rsid w:val="00AD66C5"/>
    <w:rsid w:val="00AD68C4"/>
    <w:rsid w:val="00AD71F9"/>
    <w:rsid w:val="00AE09B3"/>
    <w:rsid w:val="00AE12DC"/>
    <w:rsid w:val="00AE1A83"/>
    <w:rsid w:val="00AE2BA8"/>
    <w:rsid w:val="00AE30BE"/>
    <w:rsid w:val="00AE3222"/>
    <w:rsid w:val="00AE3E6A"/>
    <w:rsid w:val="00AE467A"/>
    <w:rsid w:val="00AE7269"/>
    <w:rsid w:val="00AE797C"/>
    <w:rsid w:val="00AE7CE7"/>
    <w:rsid w:val="00AE7FAB"/>
    <w:rsid w:val="00AF0DE4"/>
    <w:rsid w:val="00AF1E87"/>
    <w:rsid w:val="00AF206B"/>
    <w:rsid w:val="00AF436B"/>
    <w:rsid w:val="00AF5179"/>
    <w:rsid w:val="00AF5CC2"/>
    <w:rsid w:val="00AF6776"/>
    <w:rsid w:val="00AF6F98"/>
    <w:rsid w:val="00B00913"/>
    <w:rsid w:val="00B01593"/>
    <w:rsid w:val="00B01FF9"/>
    <w:rsid w:val="00B023F2"/>
    <w:rsid w:val="00B038CA"/>
    <w:rsid w:val="00B03FB8"/>
    <w:rsid w:val="00B05AE3"/>
    <w:rsid w:val="00B05F62"/>
    <w:rsid w:val="00B06DB4"/>
    <w:rsid w:val="00B0799C"/>
    <w:rsid w:val="00B10A4D"/>
    <w:rsid w:val="00B10C90"/>
    <w:rsid w:val="00B11002"/>
    <w:rsid w:val="00B110D0"/>
    <w:rsid w:val="00B121B2"/>
    <w:rsid w:val="00B141B6"/>
    <w:rsid w:val="00B14BC1"/>
    <w:rsid w:val="00B16DD1"/>
    <w:rsid w:val="00B16EB8"/>
    <w:rsid w:val="00B17E71"/>
    <w:rsid w:val="00B17FDE"/>
    <w:rsid w:val="00B20632"/>
    <w:rsid w:val="00B2379C"/>
    <w:rsid w:val="00B23D5D"/>
    <w:rsid w:val="00B2687D"/>
    <w:rsid w:val="00B3108D"/>
    <w:rsid w:val="00B3211D"/>
    <w:rsid w:val="00B32DDB"/>
    <w:rsid w:val="00B32F57"/>
    <w:rsid w:val="00B3345C"/>
    <w:rsid w:val="00B34528"/>
    <w:rsid w:val="00B34CC9"/>
    <w:rsid w:val="00B3504B"/>
    <w:rsid w:val="00B3563B"/>
    <w:rsid w:val="00B36BDC"/>
    <w:rsid w:val="00B37D3A"/>
    <w:rsid w:val="00B402FC"/>
    <w:rsid w:val="00B403C5"/>
    <w:rsid w:val="00B422E2"/>
    <w:rsid w:val="00B42D5F"/>
    <w:rsid w:val="00B43216"/>
    <w:rsid w:val="00B439DA"/>
    <w:rsid w:val="00B4411A"/>
    <w:rsid w:val="00B46604"/>
    <w:rsid w:val="00B47089"/>
    <w:rsid w:val="00B47587"/>
    <w:rsid w:val="00B47DD4"/>
    <w:rsid w:val="00B52151"/>
    <w:rsid w:val="00B52D70"/>
    <w:rsid w:val="00B530CD"/>
    <w:rsid w:val="00B53538"/>
    <w:rsid w:val="00B5365B"/>
    <w:rsid w:val="00B53C7D"/>
    <w:rsid w:val="00B53E56"/>
    <w:rsid w:val="00B55040"/>
    <w:rsid w:val="00B55A97"/>
    <w:rsid w:val="00B55F5E"/>
    <w:rsid w:val="00B5642C"/>
    <w:rsid w:val="00B56B6F"/>
    <w:rsid w:val="00B5752E"/>
    <w:rsid w:val="00B60AC1"/>
    <w:rsid w:val="00B61B92"/>
    <w:rsid w:val="00B61FF6"/>
    <w:rsid w:val="00B62316"/>
    <w:rsid w:val="00B6318A"/>
    <w:rsid w:val="00B63A11"/>
    <w:rsid w:val="00B63F4C"/>
    <w:rsid w:val="00B64425"/>
    <w:rsid w:val="00B64C24"/>
    <w:rsid w:val="00B65CEF"/>
    <w:rsid w:val="00B65E6B"/>
    <w:rsid w:val="00B6608F"/>
    <w:rsid w:val="00B66F84"/>
    <w:rsid w:val="00B677A6"/>
    <w:rsid w:val="00B679FB"/>
    <w:rsid w:val="00B70083"/>
    <w:rsid w:val="00B71FBF"/>
    <w:rsid w:val="00B72F87"/>
    <w:rsid w:val="00B734A0"/>
    <w:rsid w:val="00B73A14"/>
    <w:rsid w:val="00B748BD"/>
    <w:rsid w:val="00B75B39"/>
    <w:rsid w:val="00B7680F"/>
    <w:rsid w:val="00B76A3F"/>
    <w:rsid w:val="00B76D1E"/>
    <w:rsid w:val="00B772F3"/>
    <w:rsid w:val="00B77543"/>
    <w:rsid w:val="00B77584"/>
    <w:rsid w:val="00B80EC6"/>
    <w:rsid w:val="00B81288"/>
    <w:rsid w:val="00B8177E"/>
    <w:rsid w:val="00B81D70"/>
    <w:rsid w:val="00B833B9"/>
    <w:rsid w:val="00B83D4C"/>
    <w:rsid w:val="00B83E07"/>
    <w:rsid w:val="00B84CF6"/>
    <w:rsid w:val="00B85016"/>
    <w:rsid w:val="00B8561A"/>
    <w:rsid w:val="00B86643"/>
    <w:rsid w:val="00B868F7"/>
    <w:rsid w:val="00B876D2"/>
    <w:rsid w:val="00B87AED"/>
    <w:rsid w:val="00B90131"/>
    <w:rsid w:val="00B90B7C"/>
    <w:rsid w:val="00B92951"/>
    <w:rsid w:val="00B92D1D"/>
    <w:rsid w:val="00B92D7E"/>
    <w:rsid w:val="00B930CE"/>
    <w:rsid w:val="00B938C5"/>
    <w:rsid w:val="00B940A8"/>
    <w:rsid w:val="00B9554A"/>
    <w:rsid w:val="00B95940"/>
    <w:rsid w:val="00B95ACA"/>
    <w:rsid w:val="00B97ACC"/>
    <w:rsid w:val="00B97FE2"/>
    <w:rsid w:val="00BA1CF8"/>
    <w:rsid w:val="00BA3787"/>
    <w:rsid w:val="00BA433F"/>
    <w:rsid w:val="00BA46E8"/>
    <w:rsid w:val="00BA49E6"/>
    <w:rsid w:val="00BA4E19"/>
    <w:rsid w:val="00BA4E41"/>
    <w:rsid w:val="00BA6436"/>
    <w:rsid w:val="00BA684E"/>
    <w:rsid w:val="00BA6C2B"/>
    <w:rsid w:val="00BA7B64"/>
    <w:rsid w:val="00BB02A3"/>
    <w:rsid w:val="00BB0351"/>
    <w:rsid w:val="00BB15C3"/>
    <w:rsid w:val="00BB1AF4"/>
    <w:rsid w:val="00BB2202"/>
    <w:rsid w:val="00BB37D7"/>
    <w:rsid w:val="00BB3C6B"/>
    <w:rsid w:val="00BB3FD6"/>
    <w:rsid w:val="00BB453F"/>
    <w:rsid w:val="00BB46F3"/>
    <w:rsid w:val="00BB4A71"/>
    <w:rsid w:val="00BB4CB1"/>
    <w:rsid w:val="00BB4E54"/>
    <w:rsid w:val="00BB4F98"/>
    <w:rsid w:val="00BB5AB2"/>
    <w:rsid w:val="00BB5ABF"/>
    <w:rsid w:val="00BB6EA2"/>
    <w:rsid w:val="00BB7B5B"/>
    <w:rsid w:val="00BB7EB1"/>
    <w:rsid w:val="00BC003F"/>
    <w:rsid w:val="00BC00B3"/>
    <w:rsid w:val="00BC10AD"/>
    <w:rsid w:val="00BC19EB"/>
    <w:rsid w:val="00BC1DF4"/>
    <w:rsid w:val="00BC297E"/>
    <w:rsid w:val="00BC327F"/>
    <w:rsid w:val="00BC3512"/>
    <w:rsid w:val="00BC43D7"/>
    <w:rsid w:val="00BC50BE"/>
    <w:rsid w:val="00BC5332"/>
    <w:rsid w:val="00BC5715"/>
    <w:rsid w:val="00BC5C12"/>
    <w:rsid w:val="00BC7154"/>
    <w:rsid w:val="00BC731E"/>
    <w:rsid w:val="00BC7614"/>
    <w:rsid w:val="00BD25BB"/>
    <w:rsid w:val="00BD2AF8"/>
    <w:rsid w:val="00BD366B"/>
    <w:rsid w:val="00BD410B"/>
    <w:rsid w:val="00BD4A73"/>
    <w:rsid w:val="00BD4ED5"/>
    <w:rsid w:val="00BD5C0F"/>
    <w:rsid w:val="00BD6C75"/>
    <w:rsid w:val="00BD6D50"/>
    <w:rsid w:val="00BD73D2"/>
    <w:rsid w:val="00BD7B86"/>
    <w:rsid w:val="00BE0088"/>
    <w:rsid w:val="00BE0AD1"/>
    <w:rsid w:val="00BE0EF9"/>
    <w:rsid w:val="00BE10A1"/>
    <w:rsid w:val="00BE18B9"/>
    <w:rsid w:val="00BE190A"/>
    <w:rsid w:val="00BE2495"/>
    <w:rsid w:val="00BE24DD"/>
    <w:rsid w:val="00BE2527"/>
    <w:rsid w:val="00BE386D"/>
    <w:rsid w:val="00BE557B"/>
    <w:rsid w:val="00BE6E15"/>
    <w:rsid w:val="00BE7F5F"/>
    <w:rsid w:val="00BF02C8"/>
    <w:rsid w:val="00BF064A"/>
    <w:rsid w:val="00BF1578"/>
    <w:rsid w:val="00BF15CA"/>
    <w:rsid w:val="00BF1D12"/>
    <w:rsid w:val="00BF1D3A"/>
    <w:rsid w:val="00BF2B5B"/>
    <w:rsid w:val="00BF2D41"/>
    <w:rsid w:val="00BF32DC"/>
    <w:rsid w:val="00BF4329"/>
    <w:rsid w:val="00BF4E43"/>
    <w:rsid w:val="00BF5C4C"/>
    <w:rsid w:val="00C006D6"/>
    <w:rsid w:val="00C00BD7"/>
    <w:rsid w:val="00C01410"/>
    <w:rsid w:val="00C042D4"/>
    <w:rsid w:val="00C04B78"/>
    <w:rsid w:val="00C05287"/>
    <w:rsid w:val="00C052AA"/>
    <w:rsid w:val="00C058F5"/>
    <w:rsid w:val="00C05DF8"/>
    <w:rsid w:val="00C0636C"/>
    <w:rsid w:val="00C06EE3"/>
    <w:rsid w:val="00C07749"/>
    <w:rsid w:val="00C11244"/>
    <w:rsid w:val="00C11D48"/>
    <w:rsid w:val="00C13D0B"/>
    <w:rsid w:val="00C1493E"/>
    <w:rsid w:val="00C15DBD"/>
    <w:rsid w:val="00C16B15"/>
    <w:rsid w:val="00C2010D"/>
    <w:rsid w:val="00C20CB5"/>
    <w:rsid w:val="00C21430"/>
    <w:rsid w:val="00C21E61"/>
    <w:rsid w:val="00C21F94"/>
    <w:rsid w:val="00C234DB"/>
    <w:rsid w:val="00C2479A"/>
    <w:rsid w:val="00C24903"/>
    <w:rsid w:val="00C2590D"/>
    <w:rsid w:val="00C25D9C"/>
    <w:rsid w:val="00C27913"/>
    <w:rsid w:val="00C300E2"/>
    <w:rsid w:val="00C31F21"/>
    <w:rsid w:val="00C32631"/>
    <w:rsid w:val="00C33301"/>
    <w:rsid w:val="00C33311"/>
    <w:rsid w:val="00C3386C"/>
    <w:rsid w:val="00C33B68"/>
    <w:rsid w:val="00C35570"/>
    <w:rsid w:val="00C35A2A"/>
    <w:rsid w:val="00C36A79"/>
    <w:rsid w:val="00C36E37"/>
    <w:rsid w:val="00C401A9"/>
    <w:rsid w:val="00C401D2"/>
    <w:rsid w:val="00C4031A"/>
    <w:rsid w:val="00C405D4"/>
    <w:rsid w:val="00C4072D"/>
    <w:rsid w:val="00C407CF"/>
    <w:rsid w:val="00C40D33"/>
    <w:rsid w:val="00C416B3"/>
    <w:rsid w:val="00C419D5"/>
    <w:rsid w:val="00C41E3C"/>
    <w:rsid w:val="00C43D8F"/>
    <w:rsid w:val="00C4513B"/>
    <w:rsid w:val="00C475E8"/>
    <w:rsid w:val="00C476B8"/>
    <w:rsid w:val="00C479B8"/>
    <w:rsid w:val="00C50E79"/>
    <w:rsid w:val="00C525FB"/>
    <w:rsid w:val="00C5390B"/>
    <w:rsid w:val="00C54257"/>
    <w:rsid w:val="00C54697"/>
    <w:rsid w:val="00C550CE"/>
    <w:rsid w:val="00C553A5"/>
    <w:rsid w:val="00C55402"/>
    <w:rsid w:val="00C5603B"/>
    <w:rsid w:val="00C61F47"/>
    <w:rsid w:val="00C62828"/>
    <w:rsid w:val="00C64139"/>
    <w:rsid w:val="00C719A3"/>
    <w:rsid w:val="00C71D2F"/>
    <w:rsid w:val="00C72984"/>
    <w:rsid w:val="00C73885"/>
    <w:rsid w:val="00C73AE4"/>
    <w:rsid w:val="00C73C93"/>
    <w:rsid w:val="00C7435A"/>
    <w:rsid w:val="00C747B1"/>
    <w:rsid w:val="00C755F9"/>
    <w:rsid w:val="00C80FE0"/>
    <w:rsid w:val="00C815EF"/>
    <w:rsid w:val="00C8174E"/>
    <w:rsid w:val="00C81E37"/>
    <w:rsid w:val="00C82191"/>
    <w:rsid w:val="00C83134"/>
    <w:rsid w:val="00C832F3"/>
    <w:rsid w:val="00C845A4"/>
    <w:rsid w:val="00C85545"/>
    <w:rsid w:val="00C855B5"/>
    <w:rsid w:val="00C85F0E"/>
    <w:rsid w:val="00C90107"/>
    <w:rsid w:val="00C90CF4"/>
    <w:rsid w:val="00C92144"/>
    <w:rsid w:val="00C922DE"/>
    <w:rsid w:val="00C92843"/>
    <w:rsid w:val="00C9295C"/>
    <w:rsid w:val="00C92EB6"/>
    <w:rsid w:val="00C93389"/>
    <w:rsid w:val="00C94CDD"/>
    <w:rsid w:val="00C95774"/>
    <w:rsid w:val="00C97B65"/>
    <w:rsid w:val="00CA0346"/>
    <w:rsid w:val="00CA09B7"/>
    <w:rsid w:val="00CA1BD6"/>
    <w:rsid w:val="00CA2441"/>
    <w:rsid w:val="00CA37FF"/>
    <w:rsid w:val="00CA423A"/>
    <w:rsid w:val="00CA47BC"/>
    <w:rsid w:val="00CA6AB4"/>
    <w:rsid w:val="00CA7255"/>
    <w:rsid w:val="00CA7432"/>
    <w:rsid w:val="00CB2351"/>
    <w:rsid w:val="00CB3C4F"/>
    <w:rsid w:val="00CB4930"/>
    <w:rsid w:val="00CB4C63"/>
    <w:rsid w:val="00CB5599"/>
    <w:rsid w:val="00CB5A48"/>
    <w:rsid w:val="00CB5E10"/>
    <w:rsid w:val="00CB5F3F"/>
    <w:rsid w:val="00CB613B"/>
    <w:rsid w:val="00CB6152"/>
    <w:rsid w:val="00CB64E1"/>
    <w:rsid w:val="00CC0834"/>
    <w:rsid w:val="00CC20FE"/>
    <w:rsid w:val="00CC2E7D"/>
    <w:rsid w:val="00CC32A4"/>
    <w:rsid w:val="00CC519B"/>
    <w:rsid w:val="00CC5BF7"/>
    <w:rsid w:val="00CC5DBF"/>
    <w:rsid w:val="00CC612B"/>
    <w:rsid w:val="00CC655F"/>
    <w:rsid w:val="00CC6FE5"/>
    <w:rsid w:val="00CC72D7"/>
    <w:rsid w:val="00CC7458"/>
    <w:rsid w:val="00CC76BD"/>
    <w:rsid w:val="00CC7A87"/>
    <w:rsid w:val="00CD07BE"/>
    <w:rsid w:val="00CD1084"/>
    <w:rsid w:val="00CD10A5"/>
    <w:rsid w:val="00CD1129"/>
    <w:rsid w:val="00CD1A80"/>
    <w:rsid w:val="00CD1CB5"/>
    <w:rsid w:val="00CD2076"/>
    <w:rsid w:val="00CD24CE"/>
    <w:rsid w:val="00CD29B5"/>
    <w:rsid w:val="00CD2B78"/>
    <w:rsid w:val="00CD3D73"/>
    <w:rsid w:val="00CD3FAB"/>
    <w:rsid w:val="00CD5434"/>
    <w:rsid w:val="00CD5456"/>
    <w:rsid w:val="00CD5C3E"/>
    <w:rsid w:val="00CD6331"/>
    <w:rsid w:val="00CE0217"/>
    <w:rsid w:val="00CE14BE"/>
    <w:rsid w:val="00CE164F"/>
    <w:rsid w:val="00CE17A4"/>
    <w:rsid w:val="00CE1BA9"/>
    <w:rsid w:val="00CE29EE"/>
    <w:rsid w:val="00CE2D8F"/>
    <w:rsid w:val="00CE3E48"/>
    <w:rsid w:val="00CE47B8"/>
    <w:rsid w:val="00CE4B4F"/>
    <w:rsid w:val="00CE62FA"/>
    <w:rsid w:val="00CE670B"/>
    <w:rsid w:val="00CE6833"/>
    <w:rsid w:val="00CF0257"/>
    <w:rsid w:val="00CF03A8"/>
    <w:rsid w:val="00CF2E4D"/>
    <w:rsid w:val="00CF4205"/>
    <w:rsid w:val="00CF4908"/>
    <w:rsid w:val="00CF51EC"/>
    <w:rsid w:val="00CF521C"/>
    <w:rsid w:val="00CF545D"/>
    <w:rsid w:val="00CF5873"/>
    <w:rsid w:val="00CF73AE"/>
    <w:rsid w:val="00D0085A"/>
    <w:rsid w:val="00D0242D"/>
    <w:rsid w:val="00D02651"/>
    <w:rsid w:val="00D02716"/>
    <w:rsid w:val="00D0332D"/>
    <w:rsid w:val="00D03A72"/>
    <w:rsid w:val="00D040DD"/>
    <w:rsid w:val="00D04134"/>
    <w:rsid w:val="00D05C65"/>
    <w:rsid w:val="00D065FC"/>
    <w:rsid w:val="00D06B56"/>
    <w:rsid w:val="00D06D68"/>
    <w:rsid w:val="00D075BE"/>
    <w:rsid w:val="00D107EE"/>
    <w:rsid w:val="00D10C15"/>
    <w:rsid w:val="00D11476"/>
    <w:rsid w:val="00D12C25"/>
    <w:rsid w:val="00D133B4"/>
    <w:rsid w:val="00D13986"/>
    <w:rsid w:val="00D14C5B"/>
    <w:rsid w:val="00D15FED"/>
    <w:rsid w:val="00D16712"/>
    <w:rsid w:val="00D208FD"/>
    <w:rsid w:val="00D20FFB"/>
    <w:rsid w:val="00D214EF"/>
    <w:rsid w:val="00D215B0"/>
    <w:rsid w:val="00D218B6"/>
    <w:rsid w:val="00D21A0D"/>
    <w:rsid w:val="00D21D6D"/>
    <w:rsid w:val="00D21D83"/>
    <w:rsid w:val="00D22142"/>
    <w:rsid w:val="00D235B7"/>
    <w:rsid w:val="00D23FAE"/>
    <w:rsid w:val="00D24853"/>
    <w:rsid w:val="00D25098"/>
    <w:rsid w:val="00D2554F"/>
    <w:rsid w:val="00D25F28"/>
    <w:rsid w:val="00D26071"/>
    <w:rsid w:val="00D269B9"/>
    <w:rsid w:val="00D27973"/>
    <w:rsid w:val="00D27F47"/>
    <w:rsid w:val="00D31537"/>
    <w:rsid w:val="00D31E1E"/>
    <w:rsid w:val="00D3222A"/>
    <w:rsid w:val="00D322A0"/>
    <w:rsid w:val="00D32824"/>
    <w:rsid w:val="00D334E2"/>
    <w:rsid w:val="00D35AD6"/>
    <w:rsid w:val="00D35BBB"/>
    <w:rsid w:val="00D35E1A"/>
    <w:rsid w:val="00D36DFB"/>
    <w:rsid w:val="00D36E1C"/>
    <w:rsid w:val="00D373AF"/>
    <w:rsid w:val="00D40556"/>
    <w:rsid w:val="00D419C9"/>
    <w:rsid w:val="00D41F74"/>
    <w:rsid w:val="00D42FF0"/>
    <w:rsid w:val="00D43ED2"/>
    <w:rsid w:val="00D442B3"/>
    <w:rsid w:val="00D44896"/>
    <w:rsid w:val="00D464E4"/>
    <w:rsid w:val="00D46B51"/>
    <w:rsid w:val="00D478B9"/>
    <w:rsid w:val="00D50F46"/>
    <w:rsid w:val="00D5238B"/>
    <w:rsid w:val="00D5384E"/>
    <w:rsid w:val="00D544E7"/>
    <w:rsid w:val="00D5560A"/>
    <w:rsid w:val="00D56FBF"/>
    <w:rsid w:val="00D57677"/>
    <w:rsid w:val="00D57B8D"/>
    <w:rsid w:val="00D60415"/>
    <w:rsid w:val="00D60516"/>
    <w:rsid w:val="00D60E3C"/>
    <w:rsid w:val="00D63BE5"/>
    <w:rsid w:val="00D6475F"/>
    <w:rsid w:val="00D653A0"/>
    <w:rsid w:val="00D66223"/>
    <w:rsid w:val="00D667B8"/>
    <w:rsid w:val="00D70289"/>
    <w:rsid w:val="00D70822"/>
    <w:rsid w:val="00D70A58"/>
    <w:rsid w:val="00D72076"/>
    <w:rsid w:val="00D726A9"/>
    <w:rsid w:val="00D743E0"/>
    <w:rsid w:val="00D75AC1"/>
    <w:rsid w:val="00D77252"/>
    <w:rsid w:val="00D77807"/>
    <w:rsid w:val="00D8084C"/>
    <w:rsid w:val="00D81809"/>
    <w:rsid w:val="00D82435"/>
    <w:rsid w:val="00D82EF1"/>
    <w:rsid w:val="00D83C22"/>
    <w:rsid w:val="00D84F43"/>
    <w:rsid w:val="00D85114"/>
    <w:rsid w:val="00D85821"/>
    <w:rsid w:val="00D8598C"/>
    <w:rsid w:val="00D87C06"/>
    <w:rsid w:val="00D915EA"/>
    <w:rsid w:val="00D919ED"/>
    <w:rsid w:val="00D922A1"/>
    <w:rsid w:val="00D928BE"/>
    <w:rsid w:val="00D95302"/>
    <w:rsid w:val="00D95C5D"/>
    <w:rsid w:val="00D97D00"/>
    <w:rsid w:val="00DA096C"/>
    <w:rsid w:val="00DA0FE3"/>
    <w:rsid w:val="00DA1AB6"/>
    <w:rsid w:val="00DA544C"/>
    <w:rsid w:val="00DA5F8E"/>
    <w:rsid w:val="00DA6364"/>
    <w:rsid w:val="00DA7114"/>
    <w:rsid w:val="00DA7C0C"/>
    <w:rsid w:val="00DB08A9"/>
    <w:rsid w:val="00DB2DFA"/>
    <w:rsid w:val="00DB2EC8"/>
    <w:rsid w:val="00DB3419"/>
    <w:rsid w:val="00DB459B"/>
    <w:rsid w:val="00DB47FD"/>
    <w:rsid w:val="00DB5E9A"/>
    <w:rsid w:val="00DB657E"/>
    <w:rsid w:val="00DB6DFF"/>
    <w:rsid w:val="00DB7342"/>
    <w:rsid w:val="00DB7486"/>
    <w:rsid w:val="00DB7F95"/>
    <w:rsid w:val="00DC17D0"/>
    <w:rsid w:val="00DC2390"/>
    <w:rsid w:val="00DC2B41"/>
    <w:rsid w:val="00DC435B"/>
    <w:rsid w:val="00DC53D8"/>
    <w:rsid w:val="00DC56FE"/>
    <w:rsid w:val="00DC5B3B"/>
    <w:rsid w:val="00DC6C2D"/>
    <w:rsid w:val="00DC75F3"/>
    <w:rsid w:val="00DC7B1A"/>
    <w:rsid w:val="00DD04B0"/>
    <w:rsid w:val="00DD07EC"/>
    <w:rsid w:val="00DD129F"/>
    <w:rsid w:val="00DD18CA"/>
    <w:rsid w:val="00DD1A3F"/>
    <w:rsid w:val="00DD29B5"/>
    <w:rsid w:val="00DD32DD"/>
    <w:rsid w:val="00DD5287"/>
    <w:rsid w:val="00DD7944"/>
    <w:rsid w:val="00DE0D8B"/>
    <w:rsid w:val="00DE1237"/>
    <w:rsid w:val="00DE140F"/>
    <w:rsid w:val="00DE2491"/>
    <w:rsid w:val="00DE586E"/>
    <w:rsid w:val="00DE7AC8"/>
    <w:rsid w:val="00DF1FFF"/>
    <w:rsid w:val="00DF2C5D"/>
    <w:rsid w:val="00DF3643"/>
    <w:rsid w:val="00DF42FF"/>
    <w:rsid w:val="00DF4369"/>
    <w:rsid w:val="00DF4423"/>
    <w:rsid w:val="00DF4ADF"/>
    <w:rsid w:val="00DF5D1E"/>
    <w:rsid w:val="00DF6CA7"/>
    <w:rsid w:val="00DF77E4"/>
    <w:rsid w:val="00DF7F88"/>
    <w:rsid w:val="00E01C0E"/>
    <w:rsid w:val="00E0368F"/>
    <w:rsid w:val="00E03D73"/>
    <w:rsid w:val="00E03DEA"/>
    <w:rsid w:val="00E03F9A"/>
    <w:rsid w:val="00E04694"/>
    <w:rsid w:val="00E04EE2"/>
    <w:rsid w:val="00E129E7"/>
    <w:rsid w:val="00E12ABE"/>
    <w:rsid w:val="00E12B1E"/>
    <w:rsid w:val="00E12C45"/>
    <w:rsid w:val="00E1444C"/>
    <w:rsid w:val="00E17262"/>
    <w:rsid w:val="00E17D21"/>
    <w:rsid w:val="00E20016"/>
    <w:rsid w:val="00E2009B"/>
    <w:rsid w:val="00E20BB9"/>
    <w:rsid w:val="00E20BCC"/>
    <w:rsid w:val="00E2207E"/>
    <w:rsid w:val="00E2251C"/>
    <w:rsid w:val="00E22D9E"/>
    <w:rsid w:val="00E2363D"/>
    <w:rsid w:val="00E23C6A"/>
    <w:rsid w:val="00E24DEF"/>
    <w:rsid w:val="00E253A2"/>
    <w:rsid w:val="00E25809"/>
    <w:rsid w:val="00E260F6"/>
    <w:rsid w:val="00E27127"/>
    <w:rsid w:val="00E27233"/>
    <w:rsid w:val="00E31771"/>
    <w:rsid w:val="00E31A3E"/>
    <w:rsid w:val="00E31FEC"/>
    <w:rsid w:val="00E32080"/>
    <w:rsid w:val="00E32D52"/>
    <w:rsid w:val="00E3309D"/>
    <w:rsid w:val="00E343C7"/>
    <w:rsid w:val="00E3724A"/>
    <w:rsid w:val="00E375EC"/>
    <w:rsid w:val="00E378B1"/>
    <w:rsid w:val="00E404B9"/>
    <w:rsid w:val="00E404FD"/>
    <w:rsid w:val="00E417BE"/>
    <w:rsid w:val="00E4186B"/>
    <w:rsid w:val="00E41CD5"/>
    <w:rsid w:val="00E426FA"/>
    <w:rsid w:val="00E43133"/>
    <w:rsid w:val="00E4372D"/>
    <w:rsid w:val="00E43A9E"/>
    <w:rsid w:val="00E453F9"/>
    <w:rsid w:val="00E45D7D"/>
    <w:rsid w:val="00E4623F"/>
    <w:rsid w:val="00E4665D"/>
    <w:rsid w:val="00E47854"/>
    <w:rsid w:val="00E47EBA"/>
    <w:rsid w:val="00E50156"/>
    <w:rsid w:val="00E5076C"/>
    <w:rsid w:val="00E50D2E"/>
    <w:rsid w:val="00E53470"/>
    <w:rsid w:val="00E539F6"/>
    <w:rsid w:val="00E54698"/>
    <w:rsid w:val="00E54FB4"/>
    <w:rsid w:val="00E55791"/>
    <w:rsid w:val="00E55E1A"/>
    <w:rsid w:val="00E578A2"/>
    <w:rsid w:val="00E60043"/>
    <w:rsid w:val="00E601BA"/>
    <w:rsid w:val="00E61740"/>
    <w:rsid w:val="00E61EB5"/>
    <w:rsid w:val="00E6324D"/>
    <w:rsid w:val="00E64F0C"/>
    <w:rsid w:val="00E65084"/>
    <w:rsid w:val="00E6519D"/>
    <w:rsid w:val="00E66062"/>
    <w:rsid w:val="00E6660E"/>
    <w:rsid w:val="00E66F7C"/>
    <w:rsid w:val="00E67305"/>
    <w:rsid w:val="00E67696"/>
    <w:rsid w:val="00E702BD"/>
    <w:rsid w:val="00E71A58"/>
    <w:rsid w:val="00E71C23"/>
    <w:rsid w:val="00E72A26"/>
    <w:rsid w:val="00E72A7A"/>
    <w:rsid w:val="00E7335A"/>
    <w:rsid w:val="00E747DC"/>
    <w:rsid w:val="00E74A2D"/>
    <w:rsid w:val="00E75C94"/>
    <w:rsid w:val="00E76B9B"/>
    <w:rsid w:val="00E76E61"/>
    <w:rsid w:val="00E80CA3"/>
    <w:rsid w:val="00E8209B"/>
    <w:rsid w:val="00E82618"/>
    <w:rsid w:val="00E845C1"/>
    <w:rsid w:val="00E84A1C"/>
    <w:rsid w:val="00E84E09"/>
    <w:rsid w:val="00E90CA8"/>
    <w:rsid w:val="00E90FF9"/>
    <w:rsid w:val="00E91301"/>
    <w:rsid w:val="00E930A1"/>
    <w:rsid w:val="00E93820"/>
    <w:rsid w:val="00E94A86"/>
    <w:rsid w:val="00E953F6"/>
    <w:rsid w:val="00E96143"/>
    <w:rsid w:val="00E96833"/>
    <w:rsid w:val="00E97506"/>
    <w:rsid w:val="00EA0C68"/>
    <w:rsid w:val="00EA1D0E"/>
    <w:rsid w:val="00EA2841"/>
    <w:rsid w:val="00EA29D4"/>
    <w:rsid w:val="00EA32BC"/>
    <w:rsid w:val="00EA35A7"/>
    <w:rsid w:val="00EA3868"/>
    <w:rsid w:val="00EA3B32"/>
    <w:rsid w:val="00EA3D05"/>
    <w:rsid w:val="00EA4402"/>
    <w:rsid w:val="00EA4B8D"/>
    <w:rsid w:val="00EA513E"/>
    <w:rsid w:val="00EA7419"/>
    <w:rsid w:val="00EB0E32"/>
    <w:rsid w:val="00EB1DE7"/>
    <w:rsid w:val="00EB1E61"/>
    <w:rsid w:val="00EB2251"/>
    <w:rsid w:val="00EB267D"/>
    <w:rsid w:val="00EB4511"/>
    <w:rsid w:val="00EB48D7"/>
    <w:rsid w:val="00EB4A8E"/>
    <w:rsid w:val="00EB4ABD"/>
    <w:rsid w:val="00EB4BC5"/>
    <w:rsid w:val="00EB5BF7"/>
    <w:rsid w:val="00EB5E79"/>
    <w:rsid w:val="00EB663E"/>
    <w:rsid w:val="00EB6FAC"/>
    <w:rsid w:val="00EB7BAC"/>
    <w:rsid w:val="00EC03D7"/>
    <w:rsid w:val="00EC13A7"/>
    <w:rsid w:val="00EC2EB6"/>
    <w:rsid w:val="00ED0EF0"/>
    <w:rsid w:val="00ED12B9"/>
    <w:rsid w:val="00ED16B8"/>
    <w:rsid w:val="00ED19F0"/>
    <w:rsid w:val="00ED1BDE"/>
    <w:rsid w:val="00ED1DF0"/>
    <w:rsid w:val="00ED2386"/>
    <w:rsid w:val="00ED2EA1"/>
    <w:rsid w:val="00ED3F10"/>
    <w:rsid w:val="00ED4604"/>
    <w:rsid w:val="00ED4D04"/>
    <w:rsid w:val="00ED5907"/>
    <w:rsid w:val="00ED5F5B"/>
    <w:rsid w:val="00ED62C6"/>
    <w:rsid w:val="00ED64C1"/>
    <w:rsid w:val="00ED7A13"/>
    <w:rsid w:val="00ED7D0E"/>
    <w:rsid w:val="00EE1D34"/>
    <w:rsid w:val="00EE3446"/>
    <w:rsid w:val="00EE3E78"/>
    <w:rsid w:val="00EE41FD"/>
    <w:rsid w:val="00EE460E"/>
    <w:rsid w:val="00EE46FE"/>
    <w:rsid w:val="00EE4B1B"/>
    <w:rsid w:val="00EE5FBA"/>
    <w:rsid w:val="00EE6648"/>
    <w:rsid w:val="00EE6E06"/>
    <w:rsid w:val="00EE7179"/>
    <w:rsid w:val="00EF0626"/>
    <w:rsid w:val="00EF150D"/>
    <w:rsid w:val="00EF1F5A"/>
    <w:rsid w:val="00EF3C94"/>
    <w:rsid w:val="00EF47BF"/>
    <w:rsid w:val="00EF59B1"/>
    <w:rsid w:val="00EF5A13"/>
    <w:rsid w:val="00EF5FF9"/>
    <w:rsid w:val="00EF7CC7"/>
    <w:rsid w:val="00F00866"/>
    <w:rsid w:val="00F0160B"/>
    <w:rsid w:val="00F0193E"/>
    <w:rsid w:val="00F021DA"/>
    <w:rsid w:val="00F0293D"/>
    <w:rsid w:val="00F03F8D"/>
    <w:rsid w:val="00F04811"/>
    <w:rsid w:val="00F0488C"/>
    <w:rsid w:val="00F073ED"/>
    <w:rsid w:val="00F07C4C"/>
    <w:rsid w:val="00F10F11"/>
    <w:rsid w:val="00F11159"/>
    <w:rsid w:val="00F12CFB"/>
    <w:rsid w:val="00F13FDB"/>
    <w:rsid w:val="00F15AAA"/>
    <w:rsid w:val="00F15BEF"/>
    <w:rsid w:val="00F17898"/>
    <w:rsid w:val="00F2079F"/>
    <w:rsid w:val="00F207C2"/>
    <w:rsid w:val="00F20FCA"/>
    <w:rsid w:val="00F21337"/>
    <w:rsid w:val="00F215AC"/>
    <w:rsid w:val="00F219A1"/>
    <w:rsid w:val="00F231DB"/>
    <w:rsid w:val="00F23826"/>
    <w:rsid w:val="00F23E20"/>
    <w:rsid w:val="00F24407"/>
    <w:rsid w:val="00F24CDD"/>
    <w:rsid w:val="00F24FAA"/>
    <w:rsid w:val="00F24FBC"/>
    <w:rsid w:val="00F25040"/>
    <w:rsid w:val="00F27071"/>
    <w:rsid w:val="00F27331"/>
    <w:rsid w:val="00F27797"/>
    <w:rsid w:val="00F27EE5"/>
    <w:rsid w:val="00F307CB"/>
    <w:rsid w:val="00F30C65"/>
    <w:rsid w:val="00F32649"/>
    <w:rsid w:val="00F33523"/>
    <w:rsid w:val="00F3364D"/>
    <w:rsid w:val="00F349BF"/>
    <w:rsid w:val="00F34DDC"/>
    <w:rsid w:val="00F36596"/>
    <w:rsid w:val="00F37A39"/>
    <w:rsid w:val="00F37EDC"/>
    <w:rsid w:val="00F37F05"/>
    <w:rsid w:val="00F414BC"/>
    <w:rsid w:val="00F421A3"/>
    <w:rsid w:val="00F437CC"/>
    <w:rsid w:val="00F44537"/>
    <w:rsid w:val="00F46185"/>
    <w:rsid w:val="00F46423"/>
    <w:rsid w:val="00F4696A"/>
    <w:rsid w:val="00F47067"/>
    <w:rsid w:val="00F51B5B"/>
    <w:rsid w:val="00F525EB"/>
    <w:rsid w:val="00F52CB5"/>
    <w:rsid w:val="00F52E3F"/>
    <w:rsid w:val="00F53652"/>
    <w:rsid w:val="00F53A68"/>
    <w:rsid w:val="00F54330"/>
    <w:rsid w:val="00F5487D"/>
    <w:rsid w:val="00F54934"/>
    <w:rsid w:val="00F55890"/>
    <w:rsid w:val="00F55A92"/>
    <w:rsid w:val="00F62BFF"/>
    <w:rsid w:val="00F6393F"/>
    <w:rsid w:val="00F63AAE"/>
    <w:rsid w:val="00F63D70"/>
    <w:rsid w:val="00F63DDE"/>
    <w:rsid w:val="00F63FB7"/>
    <w:rsid w:val="00F6421B"/>
    <w:rsid w:val="00F647F1"/>
    <w:rsid w:val="00F649D2"/>
    <w:rsid w:val="00F6602B"/>
    <w:rsid w:val="00F67C31"/>
    <w:rsid w:val="00F7150B"/>
    <w:rsid w:val="00F717E4"/>
    <w:rsid w:val="00F71DE6"/>
    <w:rsid w:val="00F72D71"/>
    <w:rsid w:val="00F7381C"/>
    <w:rsid w:val="00F73A0C"/>
    <w:rsid w:val="00F7549F"/>
    <w:rsid w:val="00F756DB"/>
    <w:rsid w:val="00F767A8"/>
    <w:rsid w:val="00F839D3"/>
    <w:rsid w:val="00F84E7D"/>
    <w:rsid w:val="00F85066"/>
    <w:rsid w:val="00F8565E"/>
    <w:rsid w:val="00F86333"/>
    <w:rsid w:val="00F87A4D"/>
    <w:rsid w:val="00F90CF1"/>
    <w:rsid w:val="00F910B3"/>
    <w:rsid w:val="00F9354B"/>
    <w:rsid w:val="00F93688"/>
    <w:rsid w:val="00F939F3"/>
    <w:rsid w:val="00F9644E"/>
    <w:rsid w:val="00F97A39"/>
    <w:rsid w:val="00FA0105"/>
    <w:rsid w:val="00FA05A0"/>
    <w:rsid w:val="00FA17CC"/>
    <w:rsid w:val="00FA1F01"/>
    <w:rsid w:val="00FA26DF"/>
    <w:rsid w:val="00FA32BC"/>
    <w:rsid w:val="00FA4CB7"/>
    <w:rsid w:val="00FA5112"/>
    <w:rsid w:val="00FA523B"/>
    <w:rsid w:val="00FA5526"/>
    <w:rsid w:val="00FA5D4D"/>
    <w:rsid w:val="00FA6489"/>
    <w:rsid w:val="00FA6CB6"/>
    <w:rsid w:val="00FA70D3"/>
    <w:rsid w:val="00FA7AEC"/>
    <w:rsid w:val="00FB01A3"/>
    <w:rsid w:val="00FB0AEA"/>
    <w:rsid w:val="00FB0EE2"/>
    <w:rsid w:val="00FB1A79"/>
    <w:rsid w:val="00FB208B"/>
    <w:rsid w:val="00FB2B2D"/>
    <w:rsid w:val="00FB542E"/>
    <w:rsid w:val="00FB564F"/>
    <w:rsid w:val="00FB6D71"/>
    <w:rsid w:val="00FB7DBB"/>
    <w:rsid w:val="00FC05F8"/>
    <w:rsid w:val="00FC0E5F"/>
    <w:rsid w:val="00FC1266"/>
    <w:rsid w:val="00FC1A95"/>
    <w:rsid w:val="00FC1ED4"/>
    <w:rsid w:val="00FC2C40"/>
    <w:rsid w:val="00FC3BEC"/>
    <w:rsid w:val="00FC440B"/>
    <w:rsid w:val="00FC56DE"/>
    <w:rsid w:val="00FC64DE"/>
    <w:rsid w:val="00FC684B"/>
    <w:rsid w:val="00FC7D98"/>
    <w:rsid w:val="00FD025C"/>
    <w:rsid w:val="00FD0F85"/>
    <w:rsid w:val="00FD1135"/>
    <w:rsid w:val="00FD3265"/>
    <w:rsid w:val="00FD3CF7"/>
    <w:rsid w:val="00FD4916"/>
    <w:rsid w:val="00FD4D12"/>
    <w:rsid w:val="00FD4F73"/>
    <w:rsid w:val="00FD595E"/>
    <w:rsid w:val="00FD67AF"/>
    <w:rsid w:val="00FD6CA9"/>
    <w:rsid w:val="00FE27C7"/>
    <w:rsid w:val="00FE2C7E"/>
    <w:rsid w:val="00FE2F78"/>
    <w:rsid w:val="00FE3137"/>
    <w:rsid w:val="00FE346B"/>
    <w:rsid w:val="00FE48E4"/>
    <w:rsid w:val="00FE494D"/>
    <w:rsid w:val="00FE634C"/>
    <w:rsid w:val="00FE6E69"/>
    <w:rsid w:val="00FE6F59"/>
    <w:rsid w:val="00FF1136"/>
    <w:rsid w:val="00FF3D76"/>
    <w:rsid w:val="00FF3F14"/>
    <w:rsid w:val="00FF5B8C"/>
    <w:rsid w:val="00FF63E6"/>
    <w:rsid w:val="00FF7B0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AD56707-B834-43C7-B213-46CC73D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character" w:customStyle="1" w:styleId="tlid-translation">
    <w:name w:val="tlid-translation"/>
    <w:basedOn w:val="Standardnpsmoodstavce"/>
    <w:rsid w:val="0016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44270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967394828">
      <w:bodyDiv w:val="1"/>
      <w:marLeft w:val="0"/>
      <w:marRight w:val="0"/>
      <w:marTop w:val="0"/>
      <w:marBottom w:val="0"/>
      <w:divBdr>
        <w:top w:val="none" w:sz="0" w:space="0" w:color="auto"/>
        <w:left w:val="none" w:sz="0" w:space="0" w:color="auto"/>
        <w:bottom w:val="none" w:sz="0" w:space="0" w:color="auto"/>
        <w:right w:val="none" w:sz="0" w:space="0" w:color="auto"/>
      </w:divBdr>
    </w:div>
    <w:div w:id="111845364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33796159">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6055724">
      <w:bodyDiv w:val="1"/>
      <w:marLeft w:val="0"/>
      <w:marRight w:val="0"/>
      <w:marTop w:val="0"/>
      <w:marBottom w:val="0"/>
      <w:divBdr>
        <w:top w:val="none" w:sz="0" w:space="0" w:color="auto"/>
        <w:left w:val="none" w:sz="0" w:space="0" w:color="auto"/>
        <w:bottom w:val="none" w:sz="0" w:space="0" w:color="auto"/>
        <w:right w:val="none" w:sz="0" w:space="0" w:color="auto"/>
      </w:divBdr>
    </w:div>
    <w:div w:id="1467579904">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3503810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Grafy-st&#225;tn&#237;%20rozpo&#269;et-rok-1-pol-2019-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9\QMakro\1.pololet&#237;%202019\ENGL-verze-1.pol\Grafy-st&#225;tn&#237;%20rozpo&#269;et-rok-1-pol-2019-ENG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577477727787412E-2"/>
          <c:y val="1.7107238390107405E-2"/>
          <c:w val="0.9019171237054221"/>
          <c:h val="0.79721795405807649"/>
        </c:manualLayout>
      </c:layout>
      <c:barChart>
        <c:barDir val="col"/>
        <c:grouping val="clustered"/>
        <c:varyColors val="0"/>
        <c:ser>
          <c:idx val="4"/>
          <c:order val="3"/>
          <c:tx>
            <c:strRef>
              <c:f>'Státní rozpočet-příjmy'!$A$38</c:f>
              <c:strCache>
                <c:ptCount val="1"/>
                <c:pt idx="0">
                  <c:v>State budget balance (right axis)</c:v>
                </c:pt>
              </c:strCache>
            </c:strRef>
          </c:tx>
          <c:spPr>
            <a:solidFill>
              <a:schemeClr val="bg1">
                <a:lumMod val="85000"/>
              </a:schemeClr>
            </a:solidFill>
          </c:spPr>
          <c:invertIfNegative val="0"/>
          <c:cat>
            <c:numRef>
              <c:f>'Státní rozpočet-příjmy'!$B$34:$P$34</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rozpočet-příjmy'!$B$38:$P$38</c:f>
              <c:numCache>
                <c:formatCode>#\ ##0.0</c:formatCode>
                <c:ptCount val="15"/>
                <c:pt idx="0">
                  <c:v>3.76</c:v>
                </c:pt>
                <c:pt idx="1">
                  <c:v>7.64</c:v>
                </c:pt>
                <c:pt idx="2">
                  <c:v>1.2749999999999999</c:v>
                </c:pt>
                <c:pt idx="3">
                  <c:v>-5.6520000000000001</c:v>
                </c:pt>
                <c:pt idx="4">
                  <c:v>-68.259</c:v>
                </c:pt>
                <c:pt idx="5">
                  <c:v>-75.662000000000006</c:v>
                </c:pt>
                <c:pt idx="6">
                  <c:v>-62.856000000000002</c:v>
                </c:pt>
                <c:pt idx="7">
                  <c:v>-71.721999999999994</c:v>
                </c:pt>
                <c:pt idx="8">
                  <c:v>-31.52</c:v>
                </c:pt>
                <c:pt idx="9">
                  <c:v>1.45</c:v>
                </c:pt>
                <c:pt idx="10">
                  <c:v>22.65</c:v>
                </c:pt>
                <c:pt idx="11">
                  <c:v>40.65</c:v>
                </c:pt>
                <c:pt idx="12">
                  <c:v>4.62</c:v>
                </c:pt>
                <c:pt idx="13">
                  <c:v>-5.88</c:v>
                </c:pt>
                <c:pt idx="14">
                  <c:v>-20.68</c:v>
                </c:pt>
              </c:numCache>
            </c:numRef>
          </c:val>
          <c:extLst>
            <c:ext xmlns:c16="http://schemas.microsoft.com/office/drawing/2014/chart" uri="{C3380CC4-5D6E-409C-BE32-E72D297353CC}">
              <c16:uniqueId val="{00000000-2EFA-4831-A2EB-876A28F857C7}"/>
            </c:ext>
          </c:extLst>
        </c:ser>
        <c:dLbls>
          <c:showLegendKey val="0"/>
          <c:showVal val="0"/>
          <c:showCatName val="0"/>
          <c:showSerName val="0"/>
          <c:showPercent val="0"/>
          <c:showBubbleSize val="0"/>
        </c:dLbls>
        <c:gapWidth val="50"/>
        <c:axId val="337259904"/>
        <c:axId val="337258656"/>
      </c:barChart>
      <c:lineChart>
        <c:grouping val="standard"/>
        <c:varyColors val="0"/>
        <c:ser>
          <c:idx val="0"/>
          <c:order val="0"/>
          <c:tx>
            <c:strRef>
              <c:f>'Státní rozpočet-příjmy'!$A$35</c:f>
              <c:strCache>
                <c:ptCount val="1"/>
                <c:pt idx="0">
                  <c:v>VAT and consumption taxes</c:v>
                </c:pt>
              </c:strCache>
            </c:strRef>
          </c:tx>
          <c:spPr>
            <a:ln w="19050">
              <a:noFill/>
            </a:ln>
          </c:spPr>
          <c:marker>
            <c:symbol val="diamond"/>
            <c:size val="6"/>
            <c:spPr>
              <a:solidFill>
                <a:srgbClr val="00B050"/>
              </a:solidFill>
              <a:ln>
                <a:noFill/>
              </a:ln>
            </c:spPr>
          </c:marker>
          <c:cat>
            <c:numRef>
              <c:f>'Státní rozpočet-příjmy'!$B$34:$P$34</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rozpočet-příjmy'!$B$35:$P$35</c:f>
              <c:numCache>
                <c:formatCode>0.0</c:formatCode>
                <c:ptCount val="15"/>
                <c:pt idx="0">
                  <c:v>26.071458881439384</c:v>
                </c:pt>
                <c:pt idx="1">
                  <c:v>14.762706159542233</c:v>
                </c:pt>
                <c:pt idx="2">
                  <c:v>1.7362740497419082</c:v>
                </c:pt>
                <c:pt idx="3">
                  <c:v>4.3646217712176991</c:v>
                </c:pt>
                <c:pt idx="4">
                  <c:v>-2.5247223910281065</c:v>
                </c:pt>
                <c:pt idx="5">
                  <c:v>9.1022443890274189</c:v>
                </c:pt>
                <c:pt idx="6">
                  <c:v>6.7532467532467564</c:v>
                </c:pt>
                <c:pt idx="7">
                  <c:v>-4.4720194647201907</c:v>
                </c:pt>
                <c:pt idx="8">
                  <c:v>8.0077428556874395</c:v>
                </c:pt>
                <c:pt idx="9">
                  <c:v>8.055463849455279</c:v>
                </c:pt>
                <c:pt idx="10">
                  <c:v>-4.5087512548557385</c:v>
                </c:pt>
                <c:pt idx="11">
                  <c:v>6.5682420696590071</c:v>
                </c:pt>
                <c:pt idx="12">
                  <c:v>9.761955822431915</c:v>
                </c:pt>
                <c:pt idx="13">
                  <c:v>6.0607244734476922</c:v>
                </c:pt>
                <c:pt idx="14">
                  <c:v>3.1611524574460077</c:v>
                </c:pt>
              </c:numCache>
            </c:numRef>
          </c:val>
          <c:smooth val="0"/>
          <c:extLst>
            <c:ext xmlns:c16="http://schemas.microsoft.com/office/drawing/2014/chart" uri="{C3380CC4-5D6E-409C-BE32-E72D297353CC}">
              <c16:uniqueId val="{00000001-2EFA-4831-A2EB-876A28F857C7}"/>
            </c:ext>
          </c:extLst>
        </c:ser>
        <c:ser>
          <c:idx val="1"/>
          <c:order val="1"/>
          <c:tx>
            <c:strRef>
              <c:f>'Státní rozpočet-příjmy'!$A$36</c:f>
              <c:strCache>
                <c:ptCount val="1"/>
                <c:pt idx="0">
                  <c:v>Income taxes of natural persons (ITNP) from employment </c:v>
                </c:pt>
              </c:strCache>
            </c:strRef>
          </c:tx>
          <c:spPr>
            <a:ln w="19050">
              <a:solidFill>
                <a:srgbClr val="BD1B25"/>
              </a:solidFill>
              <a:prstDash val="solid"/>
            </a:ln>
          </c:spPr>
          <c:marker>
            <c:symbol val="none"/>
          </c:marker>
          <c:cat>
            <c:numRef>
              <c:f>'Státní rozpočet-příjmy'!$B$34:$P$34</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rozpočet-příjmy'!$B$36:$P$36</c:f>
              <c:numCache>
                <c:formatCode>0.0</c:formatCode>
                <c:ptCount val="15"/>
                <c:pt idx="0">
                  <c:v>7.2278911564625901</c:v>
                </c:pt>
                <c:pt idx="1">
                  <c:v>2.2997620935765468</c:v>
                </c:pt>
                <c:pt idx="2">
                  <c:v>12.20930232558139</c:v>
                </c:pt>
                <c:pt idx="3">
                  <c:v>-5.4749568221070746</c:v>
                </c:pt>
                <c:pt idx="4">
                  <c:v>-6.0661428832450213</c:v>
                </c:pt>
                <c:pt idx="5">
                  <c:v>-0.11670881151526658</c:v>
                </c:pt>
                <c:pt idx="6">
                  <c:v>6.6601752677702137</c:v>
                </c:pt>
                <c:pt idx="7">
                  <c:v>2.2092386342888375</c:v>
                </c:pt>
                <c:pt idx="8">
                  <c:v>5.4841014648088731</c:v>
                </c:pt>
                <c:pt idx="9">
                  <c:v>4.7417442845046622</c:v>
                </c:pt>
                <c:pt idx="10">
                  <c:v>1.0509296685529534</c:v>
                </c:pt>
                <c:pt idx="11">
                  <c:v>10.704000000000008</c:v>
                </c:pt>
                <c:pt idx="12">
                  <c:v>12.559618441971381</c:v>
                </c:pt>
                <c:pt idx="13">
                  <c:v>15.382639958911156</c:v>
                </c:pt>
                <c:pt idx="14">
                  <c:v>13.265079011796118</c:v>
                </c:pt>
              </c:numCache>
            </c:numRef>
          </c:val>
          <c:smooth val="0"/>
          <c:extLst>
            <c:ext xmlns:c16="http://schemas.microsoft.com/office/drawing/2014/chart" uri="{C3380CC4-5D6E-409C-BE32-E72D297353CC}">
              <c16:uniqueId val="{00000002-2EFA-4831-A2EB-876A28F857C7}"/>
            </c:ext>
          </c:extLst>
        </c:ser>
        <c:ser>
          <c:idx val="3"/>
          <c:order val="2"/>
          <c:tx>
            <c:strRef>
              <c:f>'Státní rozpočet-příjmy'!$A$37</c:f>
              <c:strCache>
                <c:ptCount val="1"/>
                <c:pt idx="0">
                  <c:v>Income taxes of legal persons (corporate tax)</c:v>
                </c:pt>
              </c:strCache>
            </c:strRef>
          </c:tx>
          <c:spPr>
            <a:ln w="19050">
              <a:solidFill>
                <a:srgbClr val="0071BC"/>
              </a:solidFill>
              <a:prstDash val="solid"/>
            </a:ln>
          </c:spPr>
          <c:marker>
            <c:symbol val="none"/>
          </c:marker>
          <c:cat>
            <c:numRef>
              <c:f>'Státní rozpočet-příjmy'!$B$34:$P$34</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rozpočet-příjmy'!$B$37:$P$37</c:f>
              <c:numCache>
                <c:formatCode>0.0</c:formatCode>
                <c:ptCount val="15"/>
                <c:pt idx="0">
                  <c:v>26.596315507064944</c:v>
                </c:pt>
                <c:pt idx="1">
                  <c:v>5.9197513421870553</c:v>
                </c:pt>
                <c:pt idx="2">
                  <c:v>-1.3872215552887752</c:v>
                </c:pt>
                <c:pt idx="3">
                  <c:v>26.565670228594598</c:v>
                </c:pt>
                <c:pt idx="4">
                  <c:v>-22.293470129314954</c:v>
                </c:pt>
                <c:pt idx="5">
                  <c:v>10.16366387016916</c:v>
                </c:pt>
                <c:pt idx="6">
                  <c:v>-13.508114856429458</c:v>
                </c:pt>
                <c:pt idx="7">
                  <c:v>-1.8042725173210101</c:v>
                </c:pt>
                <c:pt idx="8">
                  <c:v>-2.6458915184477405</c:v>
                </c:pt>
                <c:pt idx="9">
                  <c:v>8.3949871659368966</c:v>
                </c:pt>
                <c:pt idx="10">
                  <c:v>8.3855690207549856</c:v>
                </c:pt>
                <c:pt idx="11">
                  <c:v>11.425266675234539</c:v>
                </c:pt>
                <c:pt idx="12">
                  <c:v>7.5778546712802779</c:v>
                </c:pt>
                <c:pt idx="13">
                  <c:v>-7.5050927415020396E-2</c:v>
                </c:pt>
                <c:pt idx="14">
                  <c:v>6.2982832618025668</c:v>
                </c:pt>
              </c:numCache>
            </c:numRef>
          </c:val>
          <c:smooth val="0"/>
          <c:extLst>
            <c:ext xmlns:c16="http://schemas.microsoft.com/office/drawing/2014/chart" uri="{C3380CC4-5D6E-409C-BE32-E72D297353CC}">
              <c16:uniqueId val="{00000003-2EFA-4831-A2EB-876A28F857C7}"/>
            </c:ext>
          </c:extLst>
        </c:ser>
        <c:dLbls>
          <c:showLegendKey val="0"/>
          <c:showVal val="0"/>
          <c:showCatName val="0"/>
          <c:showSerName val="0"/>
          <c:showPercent val="0"/>
          <c:showBubbleSize val="0"/>
        </c:dLbls>
        <c:marker val="1"/>
        <c:smooth val="0"/>
        <c:axId val="79288576"/>
        <c:axId val="66855296"/>
      </c:lineChart>
      <c:catAx>
        <c:axId val="79288576"/>
        <c:scaling>
          <c:orientation val="minMax"/>
        </c:scaling>
        <c:delete val="0"/>
        <c:axPos val="b"/>
        <c:numFmt formatCode="General" sourceLinked="1"/>
        <c:majorTickMark val="out"/>
        <c:minorTickMark val="none"/>
        <c:tickLblPos val="low"/>
        <c:spPr>
          <a:ln w="6350">
            <a:solidFill>
              <a:schemeClr val="tx1"/>
            </a:solidFill>
          </a:ln>
        </c:spPr>
        <c:crossAx val="66855296"/>
        <c:crosses val="autoZero"/>
        <c:auto val="1"/>
        <c:lblAlgn val="ctr"/>
        <c:lblOffset val="0"/>
        <c:noMultiLvlLbl val="0"/>
      </c:catAx>
      <c:valAx>
        <c:axId val="66855296"/>
        <c:scaling>
          <c:orientation val="minMax"/>
          <c:max val="35"/>
          <c:min val="-40"/>
        </c:scaling>
        <c:delete val="0"/>
        <c:axPos val="l"/>
        <c:majorGridlines>
          <c:spPr>
            <a:ln w="6350">
              <a:solidFill>
                <a:schemeClr val="bg1">
                  <a:lumMod val="75000"/>
                </a:schemeClr>
              </a:solidFill>
            </a:ln>
          </c:spPr>
        </c:majorGridlines>
        <c:numFmt formatCode="0" sourceLinked="0"/>
        <c:majorTickMark val="out"/>
        <c:minorTickMark val="none"/>
        <c:tickLblPos val="nextTo"/>
        <c:spPr>
          <a:ln w="6350">
            <a:solidFill>
              <a:schemeClr val="tx1"/>
            </a:solidFill>
          </a:ln>
        </c:spPr>
        <c:crossAx val="79288576"/>
        <c:crosses val="autoZero"/>
        <c:crossBetween val="between"/>
        <c:majorUnit val="5"/>
      </c:valAx>
      <c:valAx>
        <c:axId val="337258656"/>
        <c:scaling>
          <c:orientation val="minMax"/>
          <c:max val="70"/>
          <c:min val="-80"/>
        </c:scaling>
        <c:delete val="0"/>
        <c:axPos val="r"/>
        <c:numFmt formatCode="#,##0" sourceLinked="0"/>
        <c:majorTickMark val="out"/>
        <c:minorTickMark val="none"/>
        <c:tickLblPos val="nextTo"/>
        <c:spPr>
          <a:ln w="6350"/>
        </c:spPr>
        <c:crossAx val="337259904"/>
        <c:crosses val="max"/>
        <c:crossBetween val="between"/>
        <c:majorUnit val="10"/>
      </c:valAx>
      <c:catAx>
        <c:axId val="337259904"/>
        <c:scaling>
          <c:orientation val="minMax"/>
        </c:scaling>
        <c:delete val="1"/>
        <c:axPos val="b"/>
        <c:numFmt formatCode="General" sourceLinked="1"/>
        <c:majorTickMark val="out"/>
        <c:minorTickMark val="none"/>
        <c:tickLblPos val="nextTo"/>
        <c:crossAx val="337258656"/>
        <c:crosses val="autoZero"/>
        <c:auto val="1"/>
        <c:lblAlgn val="ctr"/>
        <c:lblOffset val="100"/>
        <c:noMultiLvlLbl val="0"/>
      </c:catAx>
      <c:spPr>
        <a:ln w="6350">
          <a:solidFill>
            <a:schemeClr val="tx1"/>
          </a:solidFill>
        </a:ln>
      </c:spPr>
    </c:plotArea>
    <c:legend>
      <c:legendPos val="b"/>
      <c:layout>
        <c:manualLayout>
          <c:xMode val="edge"/>
          <c:yMode val="edge"/>
          <c:x val="3.5809113379182592E-2"/>
          <c:y val="0.86188699703438598"/>
          <c:w val="0.92643262075287514"/>
          <c:h val="0.123123878395931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654503640965086E-2"/>
          <c:y val="1.7112323287741892E-2"/>
          <c:w val="0.88571919735113291"/>
          <c:h val="0.76067747074773961"/>
        </c:manualLayout>
      </c:layout>
      <c:barChart>
        <c:barDir val="col"/>
        <c:grouping val="clustered"/>
        <c:varyColors val="0"/>
        <c:ser>
          <c:idx val="0"/>
          <c:order val="0"/>
          <c:tx>
            <c:strRef>
              <c:f>'SR-výdaje-1q 2019'!$B$31</c:f>
              <c:strCache>
                <c:ptCount val="1"/>
                <c:pt idx="0">
                  <c:v>Current expenditures (right axis)</c:v>
                </c:pt>
              </c:strCache>
            </c:strRef>
          </c:tx>
          <c:spPr>
            <a:solidFill>
              <a:schemeClr val="bg1">
                <a:lumMod val="75000"/>
              </a:schemeClr>
            </a:solidFill>
            <a:ln>
              <a:noFill/>
            </a:ln>
          </c:spPr>
          <c:invertIfNegative val="0"/>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2019'!$B$32:$B$46</c:f>
              <c:numCache>
                <c:formatCode>0.0</c:formatCode>
                <c:ptCount val="15"/>
                <c:pt idx="0">
                  <c:v>402.04</c:v>
                </c:pt>
                <c:pt idx="1">
                  <c:v>437.53300000000002</c:v>
                </c:pt>
                <c:pt idx="2">
                  <c:v>455.274</c:v>
                </c:pt>
                <c:pt idx="3">
                  <c:v>488.71899999999999</c:v>
                </c:pt>
                <c:pt idx="4">
                  <c:v>523.79999999999995</c:v>
                </c:pt>
                <c:pt idx="5">
                  <c:v>527.73400000000004</c:v>
                </c:pt>
                <c:pt idx="6">
                  <c:v>523.22</c:v>
                </c:pt>
                <c:pt idx="7">
                  <c:v>534.42999999999995</c:v>
                </c:pt>
                <c:pt idx="8">
                  <c:v>544.65</c:v>
                </c:pt>
                <c:pt idx="9">
                  <c:v>552.71100000000001</c:v>
                </c:pt>
                <c:pt idx="10">
                  <c:v>564.13</c:v>
                </c:pt>
                <c:pt idx="11">
                  <c:v>575.57000000000005</c:v>
                </c:pt>
                <c:pt idx="12">
                  <c:v>609.53</c:v>
                </c:pt>
                <c:pt idx="13">
                  <c:v>660.76</c:v>
                </c:pt>
                <c:pt idx="14">
                  <c:v>718.86</c:v>
                </c:pt>
              </c:numCache>
            </c:numRef>
          </c:val>
          <c:extLst>
            <c:ext xmlns:c16="http://schemas.microsoft.com/office/drawing/2014/chart" uri="{C3380CC4-5D6E-409C-BE32-E72D297353CC}">
              <c16:uniqueId val="{00000000-5FAB-486E-AE8A-B1368A4835AC}"/>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'SR-výdaje-1q 2019'!$C$31</c:f>
              <c:strCache>
                <c:ptCount val="1"/>
                <c:pt idx="0">
                  <c:v>Wages of employees in publ. admin.*</c:v>
                </c:pt>
              </c:strCache>
            </c:strRef>
          </c:tx>
          <c:spPr>
            <a:ln w="15875">
              <a:solidFill>
                <a:srgbClr val="984807"/>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2019'!$C$32:$C$46</c:f>
              <c:numCache>
                <c:formatCode>0.0</c:formatCode>
                <c:ptCount val="15"/>
                <c:pt idx="0">
                  <c:v>34.159999999999997</c:v>
                </c:pt>
                <c:pt idx="1">
                  <c:v>35.65</c:v>
                </c:pt>
                <c:pt idx="2">
                  <c:v>37.92</c:v>
                </c:pt>
                <c:pt idx="3">
                  <c:v>37.729999999999997</c:v>
                </c:pt>
                <c:pt idx="4">
                  <c:v>38.979999999999997</c:v>
                </c:pt>
                <c:pt idx="5">
                  <c:v>39.36</c:v>
                </c:pt>
                <c:pt idx="6">
                  <c:v>35.700000000000003</c:v>
                </c:pt>
                <c:pt idx="7">
                  <c:v>36.299999999999997</c:v>
                </c:pt>
                <c:pt idx="8">
                  <c:v>36.880000000000003</c:v>
                </c:pt>
                <c:pt idx="9">
                  <c:v>38.090000000000003</c:v>
                </c:pt>
                <c:pt idx="10">
                  <c:v>41.88</c:v>
                </c:pt>
                <c:pt idx="11">
                  <c:v>43.22</c:v>
                </c:pt>
                <c:pt idx="12">
                  <c:v>46.52</c:v>
                </c:pt>
                <c:pt idx="13">
                  <c:v>53.13</c:v>
                </c:pt>
                <c:pt idx="14">
                  <c:v>57.57</c:v>
                </c:pt>
              </c:numCache>
            </c:numRef>
          </c:val>
          <c:smooth val="0"/>
          <c:extLst>
            <c:ext xmlns:c16="http://schemas.microsoft.com/office/drawing/2014/chart" uri="{C3380CC4-5D6E-409C-BE32-E72D297353CC}">
              <c16:uniqueId val="{00000001-5FAB-486E-AE8A-B1368A4835AC}"/>
            </c:ext>
          </c:extLst>
        </c:ser>
        <c:ser>
          <c:idx val="6"/>
          <c:order val="2"/>
          <c:tx>
            <c:strRef>
              <c:f>'SR-výdaje-1q 2019'!$D$31</c:f>
              <c:strCache>
                <c:ptCount val="1"/>
                <c:pt idx="0">
                  <c:v>Unemployment benefits</c:v>
                </c:pt>
              </c:strCache>
            </c:strRef>
          </c:tx>
          <c:spPr>
            <a:ln w="15875">
              <a:solidFill>
                <a:srgbClr val="48AEE7"/>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2019'!$D$32:$D$46</c:f>
              <c:numCache>
                <c:formatCode>0.0</c:formatCode>
                <c:ptCount val="15"/>
                <c:pt idx="0">
                  <c:v>3.69</c:v>
                </c:pt>
                <c:pt idx="1">
                  <c:v>3.8959999999999999</c:v>
                </c:pt>
                <c:pt idx="2">
                  <c:v>3.78</c:v>
                </c:pt>
                <c:pt idx="3">
                  <c:v>3.56</c:v>
                </c:pt>
                <c:pt idx="4">
                  <c:v>7.3049999999999997</c:v>
                </c:pt>
                <c:pt idx="5">
                  <c:v>7.77</c:v>
                </c:pt>
                <c:pt idx="6">
                  <c:v>6.2279999999999998</c:v>
                </c:pt>
                <c:pt idx="7">
                  <c:v>4.8410000000000002</c:v>
                </c:pt>
                <c:pt idx="8">
                  <c:v>5.3579999999999997</c:v>
                </c:pt>
                <c:pt idx="9">
                  <c:v>5.2690000000000001</c:v>
                </c:pt>
                <c:pt idx="10">
                  <c:v>4.6150000000000002</c:v>
                </c:pt>
                <c:pt idx="11">
                  <c:v>4.4829999999999997</c:v>
                </c:pt>
                <c:pt idx="12">
                  <c:v>4.3310000000000004</c:v>
                </c:pt>
                <c:pt idx="13">
                  <c:v>3.98</c:v>
                </c:pt>
                <c:pt idx="14">
                  <c:v>4.24</c:v>
                </c:pt>
              </c:numCache>
            </c:numRef>
          </c:val>
          <c:smooth val="0"/>
          <c:extLst>
            <c:ext xmlns:c16="http://schemas.microsoft.com/office/drawing/2014/chart" uri="{C3380CC4-5D6E-409C-BE32-E72D297353CC}">
              <c16:uniqueId val="{00000002-5FAB-486E-AE8A-B1368A4835AC}"/>
            </c:ext>
          </c:extLst>
        </c:ser>
        <c:ser>
          <c:idx val="7"/>
          <c:order val="3"/>
          <c:tx>
            <c:strRef>
              <c:f>'SR-výdaje-1q 2019'!$E$31</c:f>
              <c:strCache>
                <c:ptCount val="1"/>
                <c:pt idx="0">
                  <c:v>State social support benefits**</c:v>
                </c:pt>
              </c:strCache>
            </c:strRef>
          </c:tx>
          <c:spPr>
            <a:ln w="15875">
              <a:solidFill>
                <a:srgbClr val="00B050"/>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2019'!$E$32:$E$46</c:f>
              <c:numCache>
                <c:formatCode>General</c:formatCode>
                <c:ptCount val="15"/>
                <c:pt idx="0" formatCode="0.00">
                  <c:v>16.649999999999999</c:v>
                </c:pt>
                <c:pt idx="1">
                  <c:v>17.04</c:v>
                </c:pt>
                <c:pt idx="2">
                  <c:v>23.83</c:v>
                </c:pt>
                <c:pt idx="3">
                  <c:v>21.52</c:v>
                </c:pt>
                <c:pt idx="4">
                  <c:v>20.594999999999999</c:v>
                </c:pt>
                <c:pt idx="5">
                  <c:v>20.64</c:v>
                </c:pt>
                <c:pt idx="6">
                  <c:v>18.405999999999999</c:v>
                </c:pt>
                <c:pt idx="7">
                  <c:v>17.881</c:v>
                </c:pt>
                <c:pt idx="8">
                  <c:v>18.681999999999999</c:v>
                </c:pt>
                <c:pt idx="9">
                  <c:v>18.91</c:v>
                </c:pt>
                <c:pt idx="10">
                  <c:v>18.873999999999999</c:v>
                </c:pt>
                <c:pt idx="11">
                  <c:v>18.963999999999999</c:v>
                </c:pt>
                <c:pt idx="12">
                  <c:v>18.742000000000001</c:v>
                </c:pt>
                <c:pt idx="13">
                  <c:v>19.53</c:v>
                </c:pt>
                <c:pt idx="14">
                  <c:v>19.04</c:v>
                </c:pt>
              </c:numCache>
            </c:numRef>
          </c:val>
          <c:smooth val="0"/>
          <c:extLst>
            <c:ext xmlns:c16="http://schemas.microsoft.com/office/drawing/2014/chart" uri="{C3380CC4-5D6E-409C-BE32-E72D297353CC}">
              <c16:uniqueId val="{00000003-5FAB-486E-AE8A-B1368A4835AC}"/>
            </c:ext>
          </c:extLst>
        </c:ser>
        <c:ser>
          <c:idx val="2"/>
          <c:order val="4"/>
          <c:tx>
            <c:strRef>
              <c:f>'SR-výdaje-1q 2019'!$F$31</c:f>
              <c:strCache>
                <c:ptCount val="1"/>
                <c:pt idx="0">
                  <c:v>Sickness benefits</c:v>
                </c:pt>
              </c:strCache>
            </c:strRef>
          </c:tx>
          <c:spPr>
            <a:ln w="15875">
              <a:solidFill>
                <a:srgbClr val="0071BC"/>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2019'!$F$32:$F$46</c:f>
              <c:numCache>
                <c:formatCode>0.00</c:formatCode>
                <c:ptCount val="15"/>
                <c:pt idx="0">
                  <c:v>17.497</c:v>
                </c:pt>
                <c:pt idx="1">
                  <c:v>17.936</c:v>
                </c:pt>
                <c:pt idx="2">
                  <c:v>18.398</c:v>
                </c:pt>
                <c:pt idx="3">
                  <c:v>16.734000000000002</c:v>
                </c:pt>
                <c:pt idx="4">
                  <c:v>14.089</c:v>
                </c:pt>
                <c:pt idx="5">
                  <c:v>11.56</c:v>
                </c:pt>
                <c:pt idx="6">
                  <c:v>11.773</c:v>
                </c:pt>
                <c:pt idx="7">
                  <c:v>10.244</c:v>
                </c:pt>
                <c:pt idx="8">
                  <c:v>10.609</c:v>
                </c:pt>
                <c:pt idx="9">
                  <c:v>11.201000000000001</c:v>
                </c:pt>
                <c:pt idx="10">
                  <c:v>12.429</c:v>
                </c:pt>
                <c:pt idx="11">
                  <c:v>13.566000000000001</c:v>
                </c:pt>
                <c:pt idx="12">
                  <c:v>14.757999999999999</c:v>
                </c:pt>
                <c:pt idx="13">
                  <c:v>17.3</c:v>
                </c:pt>
                <c:pt idx="14">
                  <c:v>19.93</c:v>
                </c:pt>
              </c:numCache>
            </c:numRef>
          </c:val>
          <c:smooth val="0"/>
          <c:extLst>
            <c:ext xmlns:c16="http://schemas.microsoft.com/office/drawing/2014/chart" uri="{C3380CC4-5D6E-409C-BE32-E72D297353CC}">
              <c16:uniqueId val="{00000004-5FAB-486E-AE8A-B1368A4835AC}"/>
            </c:ext>
          </c:extLst>
        </c:ser>
        <c:ser>
          <c:idx val="3"/>
          <c:order val="5"/>
          <c:tx>
            <c:strRef>
              <c:f>'SR-výdaje-1q 2019'!$G$31</c:f>
              <c:strCache>
                <c:ptCount val="1"/>
                <c:pt idx="0">
                  <c:v>Social care benefits***</c:v>
                </c:pt>
              </c:strCache>
            </c:strRef>
          </c:tx>
          <c:spPr>
            <a:ln w="15875">
              <a:solidFill>
                <a:srgbClr val="7030A0"/>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2019'!$G$32:$G$46</c:f>
              <c:numCache>
                <c:formatCode>General</c:formatCode>
                <c:ptCount val="15"/>
                <c:pt idx="2" formatCode="0.00">
                  <c:v>11.690999999999999</c:v>
                </c:pt>
                <c:pt idx="3" formatCode="0.00">
                  <c:v>13.247</c:v>
                </c:pt>
                <c:pt idx="4" formatCode="0.00">
                  <c:v>13.003</c:v>
                </c:pt>
                <c:pt idx="5" formatCode="0.00">
                  <c:v>13.486000000000001</c:v>
                </c:pt>
                <c:pt idx="6" formatCode="0.00">
                  <c:v>12.911000000000001</c:v>
                </c:pt>
                <c:pt idx="7" formatCode="0.00">
                  <c:v>13.282</c:v>
                </c:pt>
                <c:pt idx="8" formatCode="0.00">
                  <c:v>15.668000000000001</c:v>
                </c:pt>
                <c:pt idx="9" formatCode="0.00">
                  <c:v>16.734999999999999</c:v>
                </c:pt>
                <c:pt idx="10" formatCode="0.00">
                  <c:v>16.93</c:v>
                </c:pt>
                <c:pt idx="11" formatCode="0.00">
                  <c:v>16.78</c:v>
                </c:pt>
                <c:pt idx="12" formatCode="0.00">
                  <c:v>17.489999999999998</c:v>
                </c:pt>
                <c:pt idx="13" formatCode="0.00">
                  <c:v>17.100000000000001</c:v>
                </c:pt>
                <c:pt idx="14" formatCode="0.00">
                  <c:v>17.32</c:v>
                </c:pt>
              </c:numCache>
            </c:numRef>
          </c:val>
          <c:smooth val="0"/>
          <c:extLst>
            <c:ext xmlns:c16="http://schemas.microsoft.com/office/drawing/2014/chart" uri="{C3380CC4-5D6E-409C-BE32-E72D297353CC}">
              <c16:uniqueId val="{00000005-5FAB-486E-AE8A-B1368A4835AC}"/>
            </c:ext>
          </c:extLst>
        </c:ser>
        <c:ser>
          <c:idx val="4"/>
          <c:order val="6"/>
          <c:tx>
            <c:strRef>
              <c:f>'SR-výdaje-1q 2019'!$H$31</c:f>
              <c:strCache>
                <c:ptCount val="1"/>
                <c:pt idx="0">
                  <c:v>Non-investment purchases****</c:v>
                </c:pt>
              </c:strCache>
            </c:strRef>
          </c:tx>
          <c:spPr>
            <a:ln w="15875">
              <a:solidFill>
                <a:srgbClr val="F8A124"/>
              </a:solidFill>
              <a:prstDash val="solid"/>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2019'!$H$32:$H$46</c:f>
              <c:numCache>
                <c:formatCode>0.0</c:formatCode>
                <c:ptCount val="15"/>
                <c:pt idx="0">
                  <c:v>29.280999999999999</c:v>
                </c:pt>
                <c:pt idx="1">
                  <c:v>31.251000000000005</c:v>
                </c:pt>
                <c:pt idx="2">
                  <c:v>33.647000000000006</c:v>
                </c:pt>
                <c:pt idx="3">
                  <c:v>31.934000000000005</c:v>
                </c:pt>
                <c:pt idx="4">
                  <c:v>32.001999999999995</c:v>
                </c:pt>
                <c:pt idx="5">
                  <c:v>31.84</c:v>
                </c:pt>
                <c:pt idx="6">
                  <c:v>29.076999999999998</c:v>
                </c:pt>
                <c:pt idx="7">
                  <c:v>26.950000000000003</c:v>
                </c:pt>
                <c:pt idx="8">
                  <c:v>23.5</c:v>
                </c:pt>
                <c:pt idx="9">
                  <c:v>22.14</c:v>
                </c:pt>
                <c:pt idx="10">
                  <c:v>25.509999999999998</c:v>
                </c:pt>
                <c:pt idx="11">
                  <c:v>25.499999999999996</c:v>
                </c:pt>
                <c:pt idx="12">
                  <c:v>29.889999999999997</c:v>
                </c:pt>
                <c:pt idx="13">
                  <c:v>30.75</c:v>
                </c:pt>
                <c:pt idx="14">
                  <c:v>27.96</c:v>
                </c:pt>
              </c:numCache>
            </c:numRef>
          </c:val>
          <c:smooth val="0"/>
          <c:extLst>
            <c:ext xmlns:c16="http://schemas.microsoft.com/office/drawing/2014/chart" uri="{C3380CC4-5D6E-409C-BE32-E72D297353CC}">
              <c16:uniqueId val="{00000006-5FAB-486E-AE8A-B1368A4835AC}"/>
            </c:ext>
          </c:extLst>
        </c:ser>
        <c:ser>
          <c:idx val="5"/>
          <c:order val="7"/>
          <c:tx>
            <c:strRef>
              <c:f>'SR-výdaje-1q 2019'!$I$31</c:f>
              <c:strCache>
                <c:ptCount val="1"/>
                <c:pt idx="0">
                  <c:v>State debt (net expenditures)*****</c:v>
                </c:pt>
              </c:strCache>
            </c:strRef>
          </c:tx>
          <c:spPr>
            <a:ln w="15875">
              <a:solidFill>
                <a:srgbClr val="BD1B25"/>
              </a:solidFill>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2019'!$I$32:$I$46</c:f>
              <c:numCache>
                <c:formatCode>0.0</c:formatCode>
                <c:ptCount val="15"/>
                <c:pt idx="0">
                  <c:v>14.81</c:v>
                </c:pt>
                <c:pt idx="1">
                  <c:v>17.16</c:v>
                </c:pt>
                <c:pt idx="2">
                  <c:v>17.05</c:v>
                </c:pt>
                <c:pt idx="3">
                  <c:v>16.5</c:v>
                </c:pt>
                <c:pt idx="4">
                  <c:v>25.770000000000003</c:v>
                </c:pt>
                <c:pt idx="5">
                  <c:v>21.27</c:v>
                </c:pt>
                <c:pt idx="6">
                  <c:v>25.81</c:v>
                </c:pt>
                <c:pt idx="7">
                  <c:v>26.419999999999998</c:v>
                </c:pt>
                <c:pt idx="8">
                  <c:v>30.400000000000002</c:v>
                </c:pt>
                <c:pt idx="9">
                  <c:v>26.86</c:v>
                </c:pt>
                <c:pt idx="10">
                  <c:v>23.55</c:v>
                </c:pt>
                <c:pt idx="11">
                  <c:v>23.76</c:v>
                </c:pt>
                <c:pt idx="12">
                  <c:v>18.739999999999998</c:v>
                </c:pt>
                <c:pt idx="13">
                  <c:v>20.11</c:v>
                </c:pt>
                <c:pt idx="14">
                  <c:v>16.920000000000002</c:v>
                </c:pt>
              </c:numCache>
            </c:numRef>
          </c:val>
          <c:smooth val="0"/>
          <c:extLst>
            <c:ext xmlns:c16="http://schemas.microsoft.com/office/drawing/2014/chart" uri="{C3380CC4-5D6E-409C-BE32-E72D297353CC}">
              <c16:uniqueId val="{00000007-5FAB-486E-AE8A-B1368A4835AC}"/>
            </c:ext>
          </c:extLst>
        </c:ser>
        <c:ser>
          <c:idx val="8"/>
          <c:order val="8"/>
          <c:tx>
            <c:strRef>
              <c:f>'SR-výdaje-1q 2019'!$J$31</c:f>
              <c:strCache>
                <c:ptCount val="1"/>
                <c:pt idx="0">
                  <c:v>Capital expenditures (investment)</c:v>
                </c:pt>
              </c:strCache>
            </c:strRef>
          </c:tx>
          <c:spPr>
            <a:ln w="15875">
              <a:solidFill>
                <a:schemeClr val="tx1">
                  <a:lumMod val="95000"/>
                  <a:lumOff val="5000"/>
                </a:schemeClr>
              </a:solidFill>
              <a:prstDash val="sysDash"/>
            </a:ln>
          </c:spPr>
          <c:marker>
            <c:symbol val="none"/>
          </c:marker>
          <c:cat>
            <c:numRef>
              <c:f>'SR-výdaje-1q 2019'!$A$32:$A$46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'SR-výdaje-1q 2019'!$J$32:$J$46</c:f>
              <c:numCache>
                <c:formatCode>0.0</c:formatCode>
                <c:ptCount val="15"/>
                <c:pt idx="0">
                  <c:v>20.45</c:v>
                </c:pt>
                <c:pt idx="1">
                  <c:v>23.643000000000001</c:v>
                </c:pt>
                <c:pt idx="2">
                  <c:v>26.771000000000001</c:v>
                </c:pt>
                <c:pt idx="3">
                  <c:v>53.505000000000003</c:v>
                </c:pt>
                <c:pt idx="4">
                  <c:v>51.149000000000001</c:v>
                </c:pt>
                <c:pt idx="5">
                  <c:v>55.872999999999998</c:v>
                </c:pt>
                <c:pt idx="6">
                  <c:v>47.277000000000001</c:v>
                </c:pt>
                <c:pt idx="7">
                  <c:v>41.93</c:v>
                </c:pt>
                <c:pt idx="8">
                  <c:v>36.779000000000003</c:v>
                </c:pt>
                <c:pt idx="9">
                  <c:v>34.893999999999998</c:v>
                </c:pt>
                <c:pt idx="10">
                  <c:v>54.02</c:v>
                </c:pt>
                <c:pt idx="11">
                  <c:v>39.090000000000003</c:v>
                </c:pt>
                <c:pt idx="12">
                  <c:v>20.309999999999999</c:v>
                </c:pt>
                <c:pt idx="13">
                  <c:v>33.25</c:v>
                </c:pt>
                <c:pt idx="14">
                  <c:v>45.7</c:v>
                </c:pt>
              </c:numCache>
            </c:numRef>
          </c:val>
          <c:smooth val="0"/>
          <c:extLst>
            <c:ext xmlns:c16="http://schemas.microsoft.com/office/drawing/2014/chart" uri="{C3380CC4-5D6E-409C-BE32-E72D297353CC}">
              <c16:uniqueId val="{00000008-5FAB-486E-AE8A-B1368A4835AC}"/>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75"/>
          <c:min val="0"/>
        </c:scaling>
        <c:delete val="0"/>
        <c:axPos val="l"/>
        <c:majorGridlines>
          <c:spPr>
            <a:ln w="6350">
              <a:solidFill>
                <a:schemeClr val="bg1">
                  <a:lumMod val="75000"/>
                </a:schemeClr>
              </a:solidFill>
            </a:ln>
          </c:spPr>
        </c:majorGridlines>
        <c:numFmt formatCode="0" sourceLinked="0"/>
        <c:majorTickMark val="out"/>
        <c:minorTickMark val="none"/>
        <c:tickLblPos val="nextTo"/>
        <c:spPr>
          <a:ln w="6350">
            <a:solidFill>
              <a:schemeClr val="tx1"/>
            </a:solidFill>
          </a:ln>
        </c:spPr>
        <c:crossAx val="72827648"/>
        <c:crosses val="autoZero"/>
        <c:crossBetween val="between"/>
        <c:majorUnit val="5"/>
      </c:valAx>
      <c:valAx>
        <c:axId val="72835072"/>
        <c:scaling>
          <c:orientation val="minMax"/>
          <c:max val="750"/>
          <c:min val="0"/>
        </c:scaling>
        <c:delete val="0"/>
        <c:axPos val="r"/>
        <c:numFmt formatCode="0" sourceLinked="0"/>
        <c:majorTickMark val="out"/>
        <c:minorTickMark val="none"/>
        <c:tickLblPos val="nextTo"/>
        <c:spPr>
          <a:ln w="6350">
            <a:solidFill>
              <a:schemeClr val="tx1"/>
            </a:solidFill>
          </a:ln>
        </c:spPr>
        <c:crossAx val="72836608"/>
        <c:crosses val="max"/>
        <c:crossBetween val="between"/>
        <c:majorUnit val="5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5.5741173954559867E-2"/>
          <c:y val="0.83043789088186448"/>
          <c:w val="0.87543098174311207"/>
          <c:h val="0.15864077881410979"/>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24E6-B45D-4B42-B070-38FF99EDDD33}">
  <ds:schemaRefs>
    <ds:schemaRef ds:uri="http://schemas.openxmlformats.org/officeDocument/2006/bibliography"/>
  </ds:schemaRefs>
</ds:datastoreItem>
</file>

<file path=customXml/itemProps2.xml><?xml version="1.0" encoding="utf-8"?>
<ds:datastoreItem xmlns:ds="http://schemas.openxmlformats.org/officeDocument/2006/customXml" ds:itemID="{1B8D11FB-E24D-4582-872C-3800A0C8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5</Pages>
  <Words>2000</Words>
  <Characters>11802</Characters>
  <Application>Microsoft Office Word</Application>
  <DocSecurity>0</DocSecurity>
  <Lines>98</Lines>
  <Paragraphs>27</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13775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3</cp:revision>
  <cp:lastPrinted>2019-10-10T11:46:00Z</cp:lastPrinted>
  <dcterms:created xsi:type="dcterms:W3CDTF">2019-10-11T13:27:00Z</dcterms:created>
  <dcterms:modified xsi:type="dcterms:W3CDTF">2019-10-11T13:54:00Z</dcterms:modified>
</cp:coreProperties>
</file>