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A4A7" w14:textId="064801A2" w:rsidR="00BA102E" w:rsidRDefault="00BA102E">
      <w:pPr>
        <w:pStyle w:val="Nadpis2"/>
        <w:tabs>
          <w:tab w:val="left" w:pos="8100"/>
        </w:tabs>
        <w:jc w:val="left"/>
        <w:rPr>
          <w:rFonts w:ascii="Arial" w:hAnsi="Arial" w:cs="Arial"/>
          <w:sz w:val="24"/>
        </w:rPr>
      </w:pPr>
      <w:r>
        <w:rPr>
          <w:rFonts w:ascii="Arial" w:hAnsi="Arial" w:cs="Arial"/>
          <w:sz w:val="24"/>
        </w:rPr>
        <w:t xml:space="preserve">METODIKA </w:t>
      </w:r>
    </w:p>
    <w:p w14:paraId="1E0E53FE" w14:textId="77777777" w:rsidR="00BA102E" w:rsidRDefault="00BA102E"/>
    <w:p w14:paraId="26B8E907" w14:textId="77777777" w:rsidR="00BA102E" w:rsidRDefault="00BA102E">
      <w:pPr>
        <w:pStyle w:val="Zkladntext3"/>
        <w:spacing w:after="120"/>
        <w:jc w:val="both"/>
      </w:pPr>
      <w:r>
        <w:rPr>
          <w:b/>
          <w:bCs/>
        </w:rPr>
        <w:t>Přímý materiálový vstup (</w:t>
      </w:r>
      <w:r>
        <w:rPr>
          <w:b/>
          <w:bCs/>
          <w:i/>
          <w:iCs/>
          <w:lang w:val="en-GB"/>
        </w:rPr>
        <w:t>Direct material input</w:t>
      </w:r>
      <w:r>
        <w:rPr>
          <w:b/>
          <w:bCs/>
          <w:i/>
          <w:iCs/>
        </w:rPr>
        <w:t xml:space="preserve"> - DMI</w:t>
      </w:r>
      <w:r>
        <w:rPr>
          <w:b/>
          <w:bCs/>
        </w:rPr>
        <w:t xml:space="preserve">) </w:t>
      </w:r>
      <w:r>
        <w:t>- měří vstup používaných materiálů v hospodářství, tj. všechny materiály, které mají ekonomickou hodnotu a jsou používány pro výrobu a spotřebu. DMI je domácí užitá těžba (vytěžené suroviny, vypěstovaná biomasa) plus dovoz. Přímé (užité) materiálové vstupy jsou všechny pevné, kapalné nebo plynné látky, které vstupují do ekonomiky pro další užití ve výrobním procesu nebo spotřebě. Voda a ovzduší jsou vyloučeny kromě částí obsažených v materiálech. Indikátory materiálových vstupů jsou odvozeny z materiálové bilance, mohou však být vypočteny také na základě dále uvedených účtů materiálových toků (MFA), aniž by bylo nutné sestavit celkovou materiálovou bilanci.</w:t>
      </w:r>
    </w:p>
    <w:p w14:paraId="1ED07C66" w14:textId="77777777" w:rsidR="00BA102E" w:rsidRDefault="00BA102E">
      <w:pPr>
        <w:pStyle w:val="Zkladntext3"/>
        <w:spacing w:after="120"/>
        <w:jc w:val="both"/>
      </w:pPr>
      <w:r>
        <w:rPr>
          <w:b/>
          <w:bCs/>
        </w:rPr>
        <w:t>Domácí materiálová spotřeba (</w:t>
      </w:r>
      <w:r>
        <w:rPr>
          <w:b/>
          <w:bCs/>
          <w:i/>
          <w:iCs/>
        </w:rPr>
        <w:t>Domestic material consumption - DMC</w:t>
      </w:r>
      <w:r>
        <w:rPr>
          <w:b/>
          <w:bCs/>
        </w:rPr>
        <w:t>) -</w:t>
      </w:r>
      <w:r>
        <w:t xml:space="preserve"> měří celkové množství materiálů přímo spotřebovaných v hospodářství. DMC je kalkulována jako DMI mínus vývoz.</w:t>
      </w:r>
    </w:p>
    <w:p w14:paraId="3F411A24" w14:textId="77777777" w:rsidR="00BA102E" w:rsidRDefault="00BA102E">
      <w:pPr>
        <w:pStyle w:val="Zkladntext3"/>
        <w:spacing w:after="120"/>
        <w:jc w:val="both"/>
      </w:pPr>
      <w:r>
        <w:rPr>
          <w:b/>
          <w:bCs/>
        </w:rPr>
        <w:t>Fyzická bilance zahraničního obchodu (</w:t>
      </w:r>
      <w:r>
        <w:rPr>
          <w:b/>
          <w:bCs/>
          <w:i/>
          <w:iCs/>
        </w:rPr>
        <w:t>Physical trade balance - PTB</w:t>
      </w:r>
      <w:r>
        <w:rPr>
          <w:b/>
          <w:bCs/>
        </w:rPr>
        <w:t xml:space="preserve">) - </w:t>
      </w:r>
      <w:r>
        <w:t>měří přebytek nebo deficit fyzického zahraničního obchodu ekonomiky. Je kalkulována jako dovoz mínus vývoz.</w:t>
      </w:r>
      <w:r>
        <w:rPr>
          <w:b/>
          <w:bCs/>
        </w:rPr>
        <w:t xml:space="preserve"> </w:t>
      </w:r>
    </w:p>
    <w:p w14:paraId="3F949CB0" w14:textId="77777777" w:rsidR="00BA102E" w:rsidRDefault="00BA102E">
      <w:pPr>
        <w:jc w:val="both"/>
        <w:rPr>
          <w:rFonts w:ascii="Arial" w:hAnsi="Arial" w:cs="Arial"/>
        </w:rPr>
      </w:pPr>
      <w:r>
        <w:rPr>
          <w:rFonts w:ascii="Arial" w:hAnsi="Arial" w:cs="Arial"/>
        </w:rPr>
        <w:t>Výše uvedené indikátory materiálových toků České republiky byly rozděleny do následujících kategorií:</w:t>
      </w:r>
    </w:p>
    <w:p w14:paraId="434BDBF6" w14:textId="77777777" w:rsidR="00BA102E" w:rsidRDefault="00BA102E">
      <w:pPr>
        <w:numPr>
          <w:ilvl w:val="0"/>
          <w:numId w:val="2"/>
        </w:numPr>
        <w:jc w:val="both"/>
        <w:rPr>
          <w:rFonts w:ascii="Arial" w:hAnsi="Arial" w:cs="Arial"/>
        </w:rPr>
      </w:pPr>
      <w:r>
        <w:rPr>
          <w:rFonts w:ascii="Arial" w:hAnsi="Arial" w:cs="Arial"/>
        </w:rPr>
        <w:t>Biomasa (suroviny, polotovary a výrobky z biomasy);</w:t>
      </w:r>
    </w:p>
    <w:p w14:paraId="504245E8" w14:textId="77777777" w:rsidR="00BA102E" w:rsidRDefault="00BA102E">
      <w:pPr>
        <w:numPr>
          <w:ilvl w:val="0"/>
          <w:numId w:val="2"/>
        </w:numPr>
        <w:jc w:val="both"/>
        <w:rPr>
          <w:rFonts w:ascii="Arial" w:hAnsi="Arial" w:cs="Arial"/>
        </w:rPr>
      </w:pPr>
      <w:r>
        <w:rPr>
          <w:rFonts w:ascii="Arial" w:hAnsi="Arial" w:cs="Arial"/>
        </w:rPr>
        <w:t>Fosilní paliva (suroviny, polotovary a výrobky z fosilních paliv);</w:t>
      </w:r>
    </w:p>
    <w:p w14:paraId="1980B172" w14:textId="77777777" w:rsidR="00BA102E" w:rsidRDefault="00BA102E">
      <w:pPr>
        <w:numPr>
          <w:ilvl w:val="0"/>
          <w:numId w:val="2"/>
        </w:numPr>
        <w:jc w:val="both"/>
        <w:rPr>
          <w:rFonts w:ascii="Arial" w:hAnsi="Arial" w:cs="Arial"/>
        </w:rPr>
      </w:pPr>
      <w:r>
        <w:rPr>
          <w:rFonts w:ascii="Arial" w:hAnsi="Arial" w:cs="Arial"/>
        </w:rPr>
        <w:t>Kovové nerosty (suroviny, polotovary a výrobky z kovových nerostů);</w:t>
      </w:r>
    </w:p>
    <w:p w14:paraId="792425EC" w14:textId="77777777" w:rsidR="00BA102E" w:rsidRDefault="00BA102E">
      <w:pPr>
        <w:numPr>
          <w:ilvl w:val="0"/>
          <w:numId w:val="2"/>
        </w:numPr>
        <w:jc w:val="both"/>
        <w:rPr>
          <w:rFonts w:ascii="Arial" w:hAnsi="Arial" w:cs="Arial"/>
        </w:rPr>
      </w:pPr>
      <w:r>
        <w:rPr>
          <w:rFonts w:ascii="Arial" w:hAnsi="Arial" w:cs="Arial"/>
        </w:rPr>
        <w:t>Nekovové nerosty (suroviny, polotovary a výrobky z průmyslových a stavebních nerostných surovin);</w:t>
      </w:r>
    </w:p>
    <w:p w14:paraId="7ACFC1D2" w14:textId="77777777" w:rsidR="00BA102E" w:rsidRDefault="00BA102E">
      <w:pPr>
        <w:numPr>
          <w:ilvl w:val="0"/>
          <w:numId w:val="2"/>
        </w:numPr>
        <w:ind w:left="714" w:hanging="357"/>
        <w:jc w:val="both"/>
        <w:rPr>
          <w:rFonts w:ascii="Arial" w:hAnsi="Arial" w:cs="Arial"/>
          <w:b/>
          <w:bCs/>
        </w:rPr>
      </w:pPr>
      <w:r>
        <w:rPr>
          <w:rFonts w:ascii="Arial" w:hAnsi="Arial" w:cs="Arial"/>
        </w:rPr>
        <w:t>Ostatní výrobky jinde nezařazené;</w:t>
      </w:r>
    </w:p>
    <w:p w14:paraId="0F4B957F" w14:textId="77777777" w:rsidR="00BA102E" w:rsidRDefault="00BA102E">
      <w:pPr>
        <w:numPr>
          <w:ilvl w:val="0"/>
          <w:numId w:val="2"/>
        </w:numPr>
        <w:spacing w:after="120"/>
        <w:ind w:left="714" w:hanging="357"/>
        <w:jc w:val="both"/>
        <w:rPr>
          <w:rFonts w:ascii="Arial" w:hAnsi="Arial" w:cs="Arial"/>
          <w:b/>
          <w:bCs/>
        </w:rPr>
      </w:pPr>
      <w:r>
        <w:rPr>
          <w:rFonts w:ascii="Arial" w:hAnsi="Arial" w:cs="Arial"/>
        </w:rPr>
        <w:t>Odpady.</w:t>
      </w:r>
    </w:p>
    <w:p w14:paraId="61B2D485" w14:textId="77777777" w:rsidR="00BA102E" w:rsidRDefault="00BA102E">
      <w:pPr>
        <w:pStyle w:val="Zkladntext3"/>
        <w:jc w:val="both"/>
      </w:pPr>
      <w:r>
        <w:t>Pro výpočet výše zmíněných indikátorů byly sestaveny dva základní účty materiálových toků:</w:t>
      </w:r>
    </w:p>
    <w:p w14:paraId="248FD2AD" w14:textId="77777777" w:rsidR="00BA102E" w:rsidRDefault="00BA102E">
      <w:pPr>
        <w:numPr>
          <w:ilvl w:val="0"/>
          <w:numId w:val="2"/>
        </w:numPr>
        <w:jc w:val="both"/>
        <w:rPr>
          <w:rFonts w:ascii="Arial" w:hAnsi="Arial" w:cs="Arial"/>
        </w:rPr>
      </w:pPr>
      <w:r>
        <w:rPr>
          <w:rFonts w:ascii="Arial" w:hAnsi="Arial" w:cs="Arial"/>
          <w:b/>
          <w:bCs/>
        </w:rPr>
        <w:t>Účet domácí užité těžby -</w:t>
      </w:r>
      <w:r>
        <w:rPr>
          <w:rFonts w:ascii="Arial" w:hAnsi="Arial" w:cs="Arial"/>
        </w:rPr>
        <w:t xml:space="preserve"> obsahuje materiálové vstupy domácího původu, které získaly statut výrobku;</w:t>
      </w:r>
    </w:p>
    <w:p w14:paraId="3C9200F4" w14:textId="77777777" w:rsidR="00BA102E" w:rsidRDefault="00BA102E">
      <w:pPr>
        <w:numPr>
          <w:ilvl w:val="0"/>
          <w:numId w:val="2"/>
        </w:numPr>
        <w:jc w:val="both"/>
        <w:rPr>
          <w:rFonts w:ascii="Arial" w:hAnsi="Arial" w:cs="Arial"/>
        </w:rPr>
      </w:pPr>
      <w:r>
        <w:rPr>
          <w:rFonts w:ascii="Arial" w:hAnsi="Arial" w:cs="Arial"/>
          <w:b/>
          <w:bCs/>
        </w:rPr>
        <w:t>Účet zahraničního obchodu</w:t>
      </w:r>
      <w:r>
        <w:rPr>
          <w:rFonts w:ascii="Arial" w:hAnsi="Arial" w:cs="Arial"/>
        </w:rPr>
        <w:t xml:space="preserve"> – zahrnuje dovozy a vývozy.</w:t>
      </w:r>
    </w:p>
    <w:p w14:paraId="483B5CC5" w14:textId="77777777" w:rsidR="00BA102E" w:rsidRDefault="00BA102E">
      <w:pPr>
        <w:spacing w:before="100" w:beforeAutospacing="1" w:after="100" w:afterAutospacing="1"/>
        <w:jc w:val="both"/>
        <w:rPr>
          <w:rFonts w:ascii="Arial" w:hAnsi="Arial" w:cs="Arial"/>
        </w:rPr>
      </w:pPr>
      <w:r>
        <w:rPr>
          <w:rFonts w:ascii="Arial" w:hAnsi="Arial" w:cs="Arial"/>
        </w:rPr>
        <w:t xml:space="preserve">K vypočteným indikátorům byly dále vztaženy indikátory ekonomické výkonnosti. Vztáhnutím hrubého domácího produktu na jednotku přímého materiálového vstupu (DMI) či domácí materiálové spotřeby (DMC) byla vypočtena přímá </w:t>
      </w:r>
      <w:r>
        <w:rPr>
          <w:rFonts w:ascii="Arial" w:hAnsi="Arial" w:cs="Arial"/>
          <w:b/>
          <w:bCs/>
        </w:rPr>
        <w:t>materiálová produktivita</w:t>
      </w:r>
      <w:r>
        <w:rPr>
          <w:rFonts w:ascii="Arial" w:hAnsi="Arial" w:cs="Arial"/>
        </w:rPr>
        <w:t xml:space="preserve"> ekonomiky. Naopak vztažením indikátorů DMI a DMC na HDP byla získána </w:t>
      </w:r>
      <w:r>
        <w:rPr>
          <w:rFonts w:ascii="Arial" w:hAnsi="Arial" w:cs="Arial"/>
          <w:b/>
          <w:bCs/>
        </w:rPr>
        <w:t>materiálová náročnost</w:t>
      </w:r>
      <w:r>
        <w:rPr>
          <w:rFonts w:ascii="Arial" w:hAnsi="Arial" w:cs="Arial"/>
        </w:rPr>
        <w:t xml:space="preserve"> hospodářství.  </w:t>
      </w:r>
    </w:p>
    <w:p w14:paraId="2862BA06" w14:textId="77777777" w:rsidR="005F7909" w:rsidRDefault="005F7909" w:rsidP="005F7909">
      <w:pPr>
        <w:jc w:val="both"/>
        <w:rPr>
          <w:rFonts w:ascii="Arial" w:hAnsi="Arial" w:cs="Arial"/>
        </w:rPr>
      </w:pPr>
      <w:r>
        <w:rPr>
          <w:rFonts w:ascii="Arial" w:hAnsi="Arial" w:cs="Arial"/>
        </w:rPr>
        <w:t xml:space="preserve">V porovnání s předchozími publikacemi byly provedeny metodické změny v souladu s nařízením Evropského parlamentu a Rady (EU) č. 691/2011, kdy byl dovoz a vývoz kapalných paliv upraven dle principu rezidence. Dále bylo od roku 2014 upraveno množství dovezeného zemního plynu v souladu s revizí národních účtů. </w:t>
      </w:r>
    </w:p>
    <w:p w14:paraId="6E874474" w14:textId="77777777" w:rsidR="00BA102E" w:rsidRDefault="00BA102E" w:rsidP="00BA102E">
      <w:pPr>
        <w:ind w:left="360"/>
        <w:jc w:val="both"/>
        <w:rPr>
          <w:rFonts w:ascii="Arial" w:hAnsi="Arial" w:cs="Arial"/>
        </w:rPr>
      </w:pPr>
    </w:p>
    <w:p w14:paraId="565A12E5" w14:textId="77777777" w:rsidR="00BA102E" w:rsidRDefault="00BA102E" w:rsidP="00BA102E">
      <w:pPr>
        <w:ind w:left="360"/>
        <w:jc w:val="both"/>
        <w:rPr>
          <w:rFonts w:ascii="Arial" w:hAnsi="Arial" w:cs="Arial"/>
        </w:rPr>
      </w:pPr>
    </w:p>
    <w:p w14:paraId="5893C5AA" w14:textId="77777777" w:rsidR="00BA102E" w:rsidRDefault="00BA102E">
      <w:pPr>
        <w:ind w:left="360"/>
        <w:rPr>
          <w:rFonts w:ascii="Arial" w:hAnsi="Arial" w:cs="Arial"/>
        </w:rPr>
      </w:pPr>
    </w:p>
    <w:p w14:paraId="3812E8DE" w14:textId="77777777" w:rsidR="00BA102E" w:rsidRDefault="00BA102E">
      <w:pPr>
        <w:ind w:left="360"/>
        <w:rPr>
          <w:rFonts w:ascii="Arial" w:hAnsi="Arial" w:cs="Arial"/>
        </w:rPr>
      </w:pPr>
    </w:p>
    <w:p w14:paraId="487C6BE2" w14:textId="77777777" w:rsidR="00BA102E" w:rsidRDefault="00BA102E">
      <w:pPr>
        <w:ind w:left="360"/>
        <w:rPr>
          <w:rFonts w:ascii="Arial" w:hAnsi="Arial" w:cs="Arial"/>
        </w:rPr>
      </w:pPr>
    </w:p>
    <w:p w14:paraId="684391C5" w14:textId="77777777" w:rsidR="00BA102E" w:rsidRDefault="00BA102E">
      <w:pPr>
        <w:ind w:left="360"/>
        <w:rPr>
          <w:rFonts w:ascii="Arial" w:hAnsi="Arial" w:cs="Arial"/>
        </w:rPr>
      </w:pPr>
    </w:p>
    <w:p w14:paraId="033C1626" w14:textId="77777777" w:rsidR="00BA102E" w:rsidRDefault="00BA102E">
      <w:pPr>
        <w:ind w:left="360"/>
        <w:rPr>
          <w:rFonts w:ascii="Arial" w:hAnsi="Arial" w:cs="Arial"/>
        </w:rPr>
      </w:pPr>
    </w:p>
    <w:p w14:paraId="332A72A4" w14:textId="77777777" w:rsidR="00BA102E" w:rsidRDefault="00BA102E">
      <w:pPr>
        <w:ind w:left="360"/>
        <w:rPr>
          <w:rFonts w:ascii="Arial" w:hAnsi="Arial" w:cs="Arial"/>
        </w:rPr>
      </w:pPr>
    </w:p>
    <w:p w14:paraId="7E7CD851" w14:textId="77777777" w:rsidR="00BA102E" w:rsidRDefault="00BA102E">
      <w:pPr>
        <w:ind w:left="360"/>
        <w:rPr>
          <w:rFonts w:ascii="Arial" w:hAnsi="Arial" w:cs="Arial"/>
        </w:rPr>
      </w:pPr>
    </w:p>
    <w:p w14:paraId="16838AFF" w14:textId="77777777" w:rsidR="00BA102E" w:rsidRDefault="00BA102E">
      <w:pPr>
        <w:ind w:left="360"/>
        <w:rPr>
          <w:rFonts w:ascii="Arial" w:hAnsi="Arial" w:cs="Arial"/>
        </w:rPr>
      </w:pPr>
    </w:p>
    <w:p w14:paraId="4F781DF2" w14:textId="77777777" w:rsidR="00BA102E" w:rsidRDefault="00BA102E">
      <w:pPr>
        <w:tabs>
          <w:tab w:val="left" w:pos="-1586"/>
          <w:tab w:val="left" w:pos="-1092"/>
          <w:tab w:val="left" w:pos="-372"/>
          <w:tab w:val="left" w:pos="0"/>
          <w:tab w:val="left" w:pos="1068"/>
          <w:tab w:val="left" w:pos="1788"/>
          <w:tab w:val="left" w:pos="2508"/>
          <w:tab w:val="left" w:pos="3228"/>
          <w:tab w:val="left" w:pos="3948"/>
          <w:tab w:val="left" w:pos="4668"/>
          <w:tab w:val="left" w:pos="5388"/>
          <w:tab w:val="left" w:pos="6108"/>
          <w:tab w:val="left" w:pos="6828"/>
          <w:tab w:val="left" w:pos="7548"/>
          <w:tab w:val="left" w:pos="7932"/>
          <w:tab w:val="left" w:pos="8988"/>
          <w:tab w:val="left" w:pos="9524"/>
          <w:tab w:val="left" w:pos="9708"/>
        </w:tabs>
        <w:jc w:val="both"/>
        <w:rPr>
          <w:rFonts w:ascii="Arial" w:hAnsi="Arial"/>
        </w:rPr>
      </w:pPr>
    </w:p>
    <w:p w14:paraId="4E21A76D" w14:textId="77777777" w:rsidR="00BA102E" w:rsidRDefault="00BA102E">
      <w:pPr>
        <w:jc w:val="both"/>
        <w:rPr>
          <w:rFonts w:ascii="Arial" w:hAnsi="Arial"/>
        </w:rPr>
      </w:pPr>
      <w:r>
        <w:rPr>
          <w:rFonts w:ascii="Arial" w:hAnsi="Arial"/>
        </w:rPr>
        <w:t>Ležatá čárka (</w:t>
      </w:r>
      <w:r>
        <w:rPr>
          <w:rFonts w:ascii="Arial" w:hAnsi="Arial"/>
        </w:rPr>
        <w:noBreakHyphen/>
        <w:t>) v tabulce značí, že se jev nevyskytoval.</w:t>
      </w:r>
    </w:p>
    <w:p w14:paraId="7C20EA9E" w14:textId="77777777" w:rsidR="00BA102E" w:rsidRDefault="00BA102E">
      <w:pPr>
        <w:jc w:val="both"/>
        <w:rPr>
          <w:rFonts w:ascii="Arial" w:hAnsi="Arial"/>
        </w:rPr>
      </w:pPr>
      <w:r>
        <w:rPr>
          <w:rFonts w:ascii="Arial" w:hAnsi="Arial"/>
        </w:rPr>
        <w:t>Nula (0 nebo 0,0) se v tabulce používá pro označení číselných údajů menších než polovina zvolené měřicí jednotky.</w:t>
      </w:r>
    </w:p>
    <w:p w14:paraId="15D5B06E" w14:textId="77777777" w:rsidR="00BA102E" w:rsidRDefault="00BA102E">
      <w:pPr>
        <w:jc w:val="both"/>
        <w:rPr>
          <w:rFonts w:ascii="Arial" w:hAnsi="Arial"/>
        </w:rPr>
      </w:pPr>
      <w:r>
        <w:rPr>
          <w:rFonts w:ascii="Arial" w:hAnsi="Arial"/>
        </w:rPr>
        <w:t>Tečka (.) na místě čísla značí, že údaj není k dispozici nebo je nespolehlivý.</w:t>
      </w:r>
    </w:p>
    <w:p w14:paraId="41DE1758" w14:textId="77777777" w:rsidR="00BA102E" w:rsidRDefault="00BA102E">
      <w:pPr>
        <w:jc w:val="both"/>
        <w:rPr>
          <w:rFonts w:ascii="Arial" w:hAnsi="Arial"/>
        </w:rPr>
      </w:pPr>
      <w:r>
        <w:rPr>
          <w:rFonts w:ascii="Arial" w:hAnsi="Arial"/>
        </w:rPr>
        <w:t xml:space="preserve">Křížek (x) na místě čísla značí, že zápis není možný z logických důvodů. </w:t>
      </w:r>
    </w:p>
    <w:p w14:paraId="00326B55" w14:textId="77777777" w:rsidR="00BA102E" w:rsidRDefault="00BA102E" w:rsidP="005B67AD">
      <w:pPr>
        <w:jc w:val="both"/>
        <w:rPr>
          <w:rFonts w:ascii="Arial" w:hAnsi="Arial" w:cs="Arial"/>
          <w:i/>
          <w:iCs/>
          <w:lang w:val="en-GB"/>
        </w:rPr>
      </w:pPr>
      <w:r>
        <w:rPr>
          <w:rFonts w:ascii="Arial" w:hAnsi="Arial" w:cs="Arial"/>
          <w:szCs w:val="12"/>
        </w:rPr>
        <w:t>Výpočty v tabulkách jsou prováděny z nezaokrouhlených údajů (včetně součtů).</w:t>
      </w:r>
      <w:r>
        <w:rPr>
          <w:rFonts w:ascii="Arial" w:hAnsi="Arial" w:cs="Arial"/>
          <w:i/>
          <w:iCs/>
          <w:lang w:val="en-GB"/>
        </w:rPr>
        <w:t xml:space="preserve"> </w:t>
      </w:r>
    </w:p>
    <w:sectPr w:rsidR="00BA102E">
      <w:footerReference w:type="even" r:id="rId7"/>
      <w:footerReference w:type="default" r:id="rId8"/>
      <w:type w:val="oddPage"/>
      <w:pgSz w:w="11907" w:h="16840" w:code="9"/>
      <w:pgMar w:top="1985" w:right="1418" w:bottom="1418" w:left="19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EEB9" w14:textId="77777777" w:rsidR="00F97956" w:rsidRDefault="00F97956">
      <w:r>
        <w:separator/>
      </w:r>
    </w:p>
  </w:endnote>
  <w:endnote w:type="continuationSeparator" w:id="0">
    <w:p w14:paraId="4AA9D04C" w14:textId="77777777" w:rsidR="00F97956" w:rsidRDefault="00F9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21DE" w14:textId="77777777" w:rsidR="003A5403" w:rsidRDefault="003A540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689127F" w14:textId="77777777" w:rsidR="003A5403" w:rsidRDefault="003A540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C824" w14:textId="77777777" w:rsidR="003A5403" w:rsidRDefault="003A5403">
    <w:pPr>
      <w:pStyle w:val="Zpat"/>
      <w:framePr w:wrap="around" w:vAnchor="text" w:hAnchor="margin" w:xAlign="right" w:y="1"/>
      <w:rPr>
        <w:rStyle w:val="slostrnky"/>
      </w:rPr>
    </w:pPr>
  </w:p>
  <w:p w14:paraId="1C95D4B6" w14:textId="77777777" w:rsidR="003A5403" w:rsidRDefault="003A540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82E3" w14:textId="77777777" w:rsidR="00F97956" w:rsidRDefault="00F97956">
      <w:r>
        <w:separator/>
      </w:r>
    </w:p>
  </w:footnote>
  <w:footnote w:type="continuationSeparator" w:id="0">
    <w:p w14:paraId="3C38FD0B" w14:textId="77777777" w:rsidR="00F97956" w:rsidRDefault="00F9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5D3"/>
    <w:multiLevelType w:val="hybridMultilevel"/>
    <w:tmpl w:val="54A0E148"/>
    <w:lvl w:ilvl="0" w:tplc="31C81FF6">
      <w:start w:val="1"/>
      <w:numFmt w:val="bullet"/>
      <w:lvlText w:val=""/>
      <w:lvlJc w:val="left"/>
      <w:pPr>
        <w:tabs>
          <w:tab w:val="num" w:pos="1980"/>
        </w:tabs>
        <w:ind w:left="1980" w:hanging="360"/>
      </w:pPr>
      <w:rPr>
        <w:rFonts w:ascii="Wingdings" w:hAnsi="Wingdings" w:hint="default"/>
        <w:color w:val="auto"/>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9E47A0E"/>
    <w:multiLevelType w:val="hybridMultilevel"/>
    <w:tmpl w:val="796CBE2A"/>
    <w:lvl w:ilvl="0" w:tplc="9440015C">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B803942"/>
    <w:multiLevelType w:val="hybridMultilevel"/>
    <w:tmpl w:val="9174B26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7029DF"/>
    <w:multiLevelType w:val="hybridMultilevel"/>
    <w:tmpl w:val="B8C4AA20"/>
    <w:lvl w:ilvl="0" w:tplc="3992FF88">
      <w:start w:val="2"/>
      <w:numFmt w:val="bullet"/>
      <w:lvlText w:val="-"/>
      <w:lvlJc w:val="left"/>
      <w:pPr>
        <w:tabs>
          <w:tab w:val="num" w:pos="720"/>
        </w:tabs>
        <w:ind w:left="720" w:hanging="360"/>
      </w:pPr>
      <w:rPr>
        <w:rFonts w:ascii="Times New Roman" w:eastAsia="Times New Roman" w:hAnsi="Times New Roman" w:cs="Times New Roman" w:hint="default"/>
      </w:rPr>
    </w:lvl>
    <w:lvl w:ilvl="1" w:tplc="9DB4A7CC">
      <w:start w:val="1"/>
      <w:numFmt w:val="bullet"/>
      <w:lvlText w:val=""/>
      <w:lvlJc w:val="left"/>
      <w:pPr>
        <w:tabs>
          <w:tab w:val="num" w:pos="720"/>
        </w:tabs>
        <w:ind w:left="720" w:hanging="363"/>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74CE0"/>
    <w:multiLevelType w:val="hybridMultilevel"/>
    <w:tmpl w:val="DC9CE0DE"/>
    <w:lvl w:ilvl="0" w:tplc="31C81FF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07B10"/>
    <w:multiLevelType w:val="hybridMultilevel"/>
    <w:tmpl w:val="E04EB690"/>
    <w:lvl w:ilvl="0" w:tplc="9440015C">
      <w:start w:val="1"/>
      <w:numFmt w:val="bullet"/>
      <w:lvlText w:val=""/>
      <w:lvlJc w:val="left"/>
      <w:pPr>
        <w:tabs>
          <w:tab w:val="num" w:pos="1077"/>
        </w:tabs>
        <w:ind w:left="1077" w:hanging="360"/>
      </w:pPr>
      <w:rPr>
        <w:rFonts w:ascii="Symbol" w:hAnsi="Symbol"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BC23887"/>
    <w:multiLevelType w:val="hybridMultilevel"/>
    <w:tmpl w:val="A1BC4808"/>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741E5"/>
    <w:multiLevelType w:val="hybridMultilevel"/>
    <w:tmpl w:val="0A6412FC"/>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B77D48"/>
    <w:multiLevelType w:val="hybridMultilevel"/>
    <w:tmpl w:val="F0C665E2"/>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14703"/>
    <w:multiLevelType w:val="hybridMultilevel"/>
    <w:tmpl w:val="1F60ED8E"/>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5340A"/>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66657105">
    <w:abstractNumId w:val="3"/>
  </w:num>
  <w:num w:numId="2" w16cid:durableId="1356032591">
    <w:abstractNumId w:val="9"/>
  </w:num>
  <w:num w:numId="3" w16cid:durableId="715396853">
    <w:abstractNumId w:val="8"/>
  </w:num>
  <w:num w:numId="4" w16cid:durableId="1924751747">
    <w:abstractNumId w:val="5"/>
  </w:num>
  <w:num w:numId="5" w16cid:durableId="994993432">
    <w:abstractNumId w:val="1"/>
  </w:num>
  <w:num w:numId="6" w16cid:durableId="1037655036">
    <w:abstractNumId w:val="2"/>
  </w:num>
  <w:num w:numId="7" w16cid:durableId="275916392">
    <w:abstractNumId w:val="7"/>
  </w:num>
  <w:num w:numId="8" w16cid:durableId="1456171834">
    <w:abstractNumId w:val="6"/>
  </w:num>
  <w:num w:numId="9" w16cid:durableId="1283807455">
    <w:abstractNumId w:val="4"/>
  </w:num>
  <w:num w:numId="10" w16cid:durableId="128285439">
    <w:abstractNumId w:val="0"/>
  </w:num>
  <w:num w:numId="11" w16cid:durableId="1992173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102E"/>
    <w:rsid w:val="000F4B99"/>
    <w:rsid w:val="00182BF7"/>
    <w:rsid w:val="003A5403"/>
    <w:rsid w:val="0047738A"/>
    <w:rsid w:val="00495053"/>
    <w:rsid w:val="00530F0A"/>
    <w:rsid w:val="00534989"/>
    <w:rsid w:val="005B67AD"/>
    <w:rsid w:val="005F7909"/>
    <w:rsid w:val="006B1630"/>
    <w:rsid w:val="007663D8"/>
    <w:rsid w:val="00782756"/>
    <w:rsid w:val="00842503"/>
    <w:rsid w:val="00B86F71"/>
    <w:rsid w:val="00BA102E"/>
    <w:rsid w:val="00D01E52"/>
    <w:rsid w:val="00D4183B"/>
    <w:rsid w:val="00D566AE"/>
    <w:rsid w:val="00E25A74"/>
    <w:rsid w:val="00E517A1"/>
    <w:rsid w:val="00F63500"/>
    <w:rsid w:val="00F979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1F2E3"/>
  <w15:chartTrackingRefBased/>
  <w15:docId w15:val="{8A482E62-59BA-4570-8D54-522C0606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b/>
      <w:i/>
      <w:sz w:val="24"/>
    </w:rPr>
  </w:style>
  <w:style w:type="paragraph" w:styleId="Nadpis2">
    <w:name w:val="heading 2"/>
    <w:basedOn w:val="Normln"/>
    <w:next w:val="Normln"/>
    <w:qFormat/>
    <w:pPr>
      <w:keepNext/>
      <w:jc w:val="center"/>
      <w:outlineLvl w:val="1"/>
    </w:pPr>
    <w:rPr>
      <w:b/>
      <w:sz w:val="44"/>
    </w:rPr>
  </w:style>
  <w:style w:type="paragraph" w:styleId="Nadpis3">
    <w:name w:val="heading 3"/>
    <w:basedOn w:val="Normln"/>
    <w:next w:val="Normln"/>
    <w:qFormat/>
    <w:pPr>
      <w:keepNext/>
      <w:jc w:val="center"/>
      <w:outlineLvl w:val="2"/>
    </w:pPr>
    <w:rPr>
      <w:rFonts w:ascii="Arial" w:hAnsi="Arial"/>
      <w:i/>
      <w:sz w:val="32"/>
    </w:rPr>
  </w:style>
  <w:style w:type="paragraph" w:styleId="Nadpis4">
    <w:name w:val="heading 4"/>
    <w:basedOn w:val="Normln"/>
    <w:next w:val="Normln"/>
    <w:qFormat/>
    <w:pPr>
      <w:keepNext/>
      <w:outlineLvl w:val="3"/>
    </w:pPr>
    <w:rPr>
      <w:rFonts w:ascii="Arial" w:hAnsi="Arial"/>
      <w:b/>
      <w:color w:val="FF0000"/>
      <w:sz w:val="22"/>
    </w:rPr>
  </w:style>
  <w:style w:type="paragraph" w:styleId="Nadpis5">
    <w:name w:val="heading 5"/>
    <w:basedOn w:val="Normln"/>
    <w:next w:val="Normln"/>
    <w:qFormat/>
    <w:pPr>
      <w:keepNext/>
      <w:tabs>
        <w:tab w:val="left" w:pos="2410"/>
        <w:tab w:val="left" w:pos="8789"/>
      </w:tabs>
      <w:ind w:left="1839" w:hanging="705"/>
      <w:outlineLvl w:val="4"/>
    </w:pPr>
    <w:rPr>
      <w:rFonts w:ascii="Arial" w:hAnsi="Arial" w:cs="Arial"/>
      <w:i/>
      <w:snapToGrid w:val="0"/>
      <w:color w:val="000000"/>
      <w:lang w:val="en-GB"/>
    </w:rPr>
  </w:style>
  <w:style w:type="paragraph" w:styleId="Nadpis6">
    <w:name w:val="heading 6"/>
    <w:basedOn w:val="Normln"/>
    <w:next w:val="Normln"/>
    <w:qFormat/>
    <w:pPr>
      <w:keepNext/>
      <w:tabs>
        <w:tab w:val="left" w:pos="1134"/>
        <w:tab w:val="left" w:pos="1843"/>
        <w:tab w:val="left" w:pos="2410"/>
        <w:tab w:val="left" w:pos="8789"/>
      </w:tabs>
      <w:ind w:firstLine="1134"/>
      <w:outlineLvl w:val="5"/>
    </w:pPr>
    <w:rPr>
      <w:rFonts w:ascii="Arial" w:hAnsi="Arial" w:cs="Arial"/>
      <w:i/>
      <w:snapToGrid w:val="0"/>
      <w:color w:val="000000"/>
      <w:lang w:val="en-GB"/>
    </w:rPr>
  </w:style>
  <w:style w:type="paragraph" w:styleId="Nadpis7">
    <w:name w:val="heading 7"/>
    <w:basedOn w:val="Normln"/>
    <w:next w:val="Normln"/>
    <w:qFormat/>
    <w:pPr>
      <w:keepNext/>
      <w:tabs>
        <w:tab w:val="left" w:pos="3969"/>
      </w:tabs>
      <w:outlineLvl w:val="6"/>
    </w:pPr>
    <w:rPr>
      <w:rFonts w:ascii="Arial" w:hAnsi="Arial"/>
      <w:bCs/>
      <w:i/>
      <w:sz w:val="22"/>
    </w:rPr>
  </w:style>
  <w:style w:type="paragraph" w:styleId="Nadpis8">
    <w:name w:val="heading 8"/>
    <w:basedOn w:val="Normln"/>
    <w:next w:val="Normln"/>
    <w:qFormat/>
    <w:pPr>
      <w:keepNext/>
      <w:spacing w:after="80"/>
      <w:jc w:val="both"/>
      <w:outlineLvl w:val="7"/>
    </w:pPr>
    <w:rPr>
      <w:rFonts w:ascii="Arial" w:hAnsi="Arial" w:cs="Arial"/>
      <w:b/>
      <w:lang w:val="en-GB"/>
    </w:rPr>
  </w:style>
  <w:style w:type="paragraph" w:styleId="Nadpis9">
    <w:name w:val="heading 9"/>
    <w:basedOn w:val="Normln"/>
    <w:next w:val="Normln"/>
    <w:qFormat/>
    <w:pPr>
      <w:keepNext/>
      <w:jc w:val="both"/>
      <w:outlineLvl w:val="8"/>
    </w:pPr>
    <w:rPr>
      <w:rFonts w:ascii="Arial" w:hAnsi="Arial" w:cs="Arial"/>
      <w:b/>
      <w:bCs/>
      <w:i/>
      <w:iCs/>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character" w:styleId="Hypertextovodkaz">
    <w:name w:val="Hyperlink"/>
    <w:semiHidden/>
    <w:rPr>
      <w:color w:val="0000FF"/>
      <w:u w:val="single"/>
    </w:rPr>
  </w:style>
  <w:style w:type="paragraph" w:styleId="Zkladntext">
    <w:name w:val="Body Text"/>
    <w:basedOn w:val="Normln"/>
    <w:semiHidden/>
    <w:pPr>
      <w:jc w:val="center"/>
    </w:pPr>
    <w:rPr>
      <w:rFonts w:ascii="Arial" w:hAnsi="Arial"/>
      <w:b/>
      <w:caps/>
      <w:sz w:val="36"/>
    </w:rPr>
  </w:style>
  <w:style w:type="paragraph" w:styleId="Zkladntext2">
    <w:name w:val="Body Text 2"/>
    <w:basedOn w:val="Normln"/>
    <w:semiHidden/>
    <w:pPr>
      <w:jc w:val="center"/>
    </w:pPr>
    <w:rPr>
      <w:rFonts w:ascii="Arial" w:hAnsi="Arial"/>
      <w:b/>
      <w:i/>
      <w:caps/>
      <w:sz w:val="34"/>
    </w:rPr>
  </w:style>
  <w:style w:type="paragraph" w:styleId="Zkladntextodsazen3">
    <w:name w:val="Body Text Indent 3"/>
    <w:basedOn w:val="Normln"/>
    <w:semiHidden/>
    <w:pPr>
      <w:tabs>
        <w:tab w:val="left" w:pos="8789"/>
      </w:tabs>
      <w:ind w:firstLine="1843"/>
    </w:pPr>
    <w:rPr>
      <w:rFonts w:ascii="Arial" w:hAnsi="Arial"/>
      <w:bCs/>
      <w:snapToGrid w:val="0"/>
      <w:color w:val="000000"/>
    </w:rPr>
  </w:style>
  <w:style w:type="paragraph" w:styleId="Zkladntextodsazen">
    <w:name w:val="Body Text Indent"/>
    <w:basedOn w:val="Normln"/>
    <w:semiHidden/>
    <w:pPr>
      <w:tabs>
        <w:tab w:val="left" w:pos="2410"/>
        <w:tab w:val="left" w:pos="8789"/>
      </w:tabs>
      <w:ind w:left="2410" w:hanging="1276"/>
    </w:pPr>
    <w:rPr>
      <w:rFonts w:ascii="Arial" w:hAnsi="Arial"/>
      <w:i/>
      <w:snapToGrid w:val="0"/>
      <w:color w:val="000000"/>
      <w:lang w:val="en-GB"/>
    </w:rPr>
  </w:style>
  <w:style w:type="paragraph" w:styleId="Zkladntext3">
    <w:name w:val="Body Text 3"/>
    <w:basedOn w:val="Normln"/>
    <w:semiHidden/>
    <w:rPr>
      <w:rFonts w:ascii="Arial" w:hAnsi="Arial" w:cs="Arial"/>
      <w:szCs w:val="24"/>
    </w:rPr>
  </w:style>
  <w:style w:type="paragraph" w:styleId="Textpoznpodarou">
    <w:name w:val="footnote text"/>
    <w:basedOn w:val="Normln"/>
    <w:semiHidden/>
  </w:style>
  <w:style w:type="paragraph" w:styleId="Textkomente">
    <w:name w:val="annotation text"/>
    <w:basedOn w:val="Normln"/>
    <w:semiHidden/>
  </w:style>
  <w:style w:type="character" w:styleId="Znakapoznpodarou">
    <w:name w:val="footnote reference"/>
    <w:semiHidden/>
    <w:rPr>
      <w:vertAlign w:val="superscript"/>
    </w:rPr>
  </w:style>
  <w:style w:type="paragraph" w:styleId="Zpat">
    <w:name w:val="footer"/>
    <w:basedOn w:val="Normln"/>
    <w:semiHidden/>
    <w:pPr>
      <w:tabs>
        <w:tab w:val="center" w:pos="4536"/>
        <w:tab w:val="right" w:pos="9072"/>
      </w:tabs>
    </w:pPr>
    <w:rPr>
      <w:sz w:val="24"/>
      <w:szCs w:val="24"/>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2428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ŽIVOTNÍ PROSTŘEDÍ, ZEMĚDĚLSTVÍ									</vt:lpstr>
    </vt:vector>
  </TitlesOfParts>
  <Company>ČSÚ - Ústí nad Labem</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ŽIVOTNÍ PROSTŘEDÍ, ZEMĚDĚLSTVÍ</dc:title>
  <dc:subject/>
  <dc:creator>Zak Viktor</dc:creator>
  <cp:keywords/>
  <dc:description/>
  <cp:lastModifiedBy>Valterová Tůmová Mirka</cp:lastModifiedBy>
  <cp:revision>4</cp:revision>
  <cp:lastPrinted>2011-07-26T08:56:00Z</cp:lastPrinted>
  <dcterms:created xsi:type="dcterms:W3CDTF">2025-01-03T09:59:00Z</dcterms:created>
  <dcterms:modified xsi:type="dcterms:W3CDTF">2025-12-12T09:41:00Z</dcterms:modified>
</cp:coreProperties>
</file>