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5452" w:rsidRPr="004B160D" w:rsidRDefault="00145448" w:rsidP="004B160D">
      <w:pPr>
        <w:jc w:val="both"/>
        <w:rPr>
          <w:rFonts w:ascii="Arial" w:hAnsi="Arial" w:cs="Arial"/>
          <w:b/>
          <w:bCs/>
          <w:color w:val="0071BC"/>
        </w:rPr>
      </w:pPr>
      <w:bookmarkStart w:id="0" w:name="_GoBack"/>
      <w:bookmarkEnd w:id="0"/>
      <w:r>
        <w:rPr>
          <w:rFonts w:ascii="Arial" w:hAnsi="Arial" w:cs="Arial"/>
          <w:b/>
          <w:bCs/>
          <w:color w:val="0071BC"/>
        </w:rPr>
        <w:t>10</w:t>
      </w:r>
      <w:r w:rsidR="00005452" w:rsidRPr="004B160D">
        <w:rPr>
          <w:rFonts w:ascii="Arial" w:hAnsi="Arial" w:cs="Arial"/>
          <w:b/>
          <w:bCs/>
          <w:color w:val="0071BC"/>
        </w:rPr>
        <w:t xml:space="preserve"> </w:t>
      </w:r>
      <w:r>
        <w:rPr>
          <w:rFonts w:ascii="Arial" w:hAnsi="Arial" w:cs="Arial"/>
          <w:b/>
          <w:bCs/>
          <w:color w:val="0071BC"/>
        </w:rPr>
        <w:t> </w:t>
      </w:r>
      <w:r w:rsidR="00005452" w:rsidRPr="004B160D">
        <w:rPr>
          <w:rFonts w:ascii="Arial" w:hAnsi="Arial" w:cs="Arial"/>
          <w:b/>
          <w:bCs/>
          <w:color w:val="0071BC"/>
        </w:rPr>
        <w:t>TRH PR</w:t>
      </w:r>
      <w:r w:rsidR="003B1992" w:rsidRPr="004B160D">
        <w:rPr>
          <w:rFonts w:ascii="Arial" w:hAnsi="Arial" w:cs="Arial"/>
          <w:b/>
          <w:bCs/>
          <w:color w:val="0071BC"/>
        </w:rPr>
        <w:t>Á</w:t>
      </w:r>
      <w:r w:rsidR="00005452" w:rsidRPr="004B160D">
        <w:rPr>
          <w:rFonts w:ascii="Arial" w:hAnsi="Arial" w:cs="Arial"/>
          <w:b/>
          <w:bCs/>
          <w:color w:val="0071BC"/>
        </w:rPr>
        <w:t>CE</w:t>
      </w:r>
    </w:p>
    <w:p w:rsidR="00005452" w:rsidRPr="00F37540" w:rsidRDefault="00005452" w:rsidP="004B160D">
      <w:pPr>
        <w:jc w:val="both"/>
        <w:rPr>
          <w:rFonts w:ascii="Arial" w:hAnsi="Arial" w:cs="Arial"/>
          <w:sz w:val="18"/>
          <w:szCs w:val="18"/>
        </w:rPr>
      </w:pPr>
    </w:p>
    <w:p w:rsidR="00145448" w:rsidRPr="00145448" w:rsidRDefault="00145448" w:rsidP="00145448">
      <w:pPr>
        <w:jc w:val="both"/>
        <w:rPr>
          <w:rFonts w:ascii="Arial" w:hAnsi="Arial" w:cs="Arial"/>
          <w:b/>
          <w:snapToGrid w:val="0"/>
          <w:color w:val="0071BC"/>
          <w:sz w:val="20"/>
          <w:szCs w:val="20"/>
        </w:rPr>
      </w:pPr>
      <w:r w:rsidRPr="00145448">
        <w:rPr>
          <w:rFonts w:ascii="Arial" w:hAnsi="Arial" w:cs="Arial"/>
          <w:b/>
          <w:snapToGrid w:val="0"/>
          <w:color w:val="0071BC"/>
          <w:sz w:val="20"/>
          <w:szCs w:val="20"/>
        </w:rPr>
        <w:t>A  Zaměstnanci, uchazeči o zaměstnání, mzdy a náklady práce v národním hospodářství</w:t>
      </w:r>
    </w:p>
    <w:p w:rsidR="00145448" w:rsidRPr="00145448" w:rsidRDefault="00145448" w:rsidP="00145448">
      <w:pPr>
        <w:jc w:val="both"/>
        <w:rPr>
          <w:rFonts w:ascii="Arial" w:hAnsi="Arial" w:cs="Arial"/>
          <w:sz w:val="18"/>
          <w:szCs w:val="18"/>
        </w:rPr>
      </w:pPr>
      <w:r w:rsidRPr="00145448">
        <w:rPr>
          <w:rFonts w:ascii="Arial" w:hAnsi="Arial" w:cs="Arial"/>
          <w:sz w:val="18"/>
          <w:szCs w:val="18"/>
        </w:rPr>
        <w:t>(z údajů zjišťovaných z evidence ekonomických subjektů a administrativních zdrojů)</w:t>
      </w:r>
    </w:p>
    <w:p w:rsidR="00145448" w:rsidRDefault="00145448" w:rsidP="00145448">
      <w:pPr>
        <w:jc w:val="both"/>
        <w:rPr>
          <w:rFonts w:ascii="Arial" w:hAnsi="Arial" w:cs="Arial"/>
          <w:sz w:val="18"/>
          <w:szCs w:val="18"/>
        </w:rPr>
      </w:pPr>
    </w:p>
    <w:p w:rsidR="004C7139" w:rsidRPr="004C7139" w:rsidRDefault="004C7139" w:rsidP="004C7139">
      <w:pPr>
        <w:jc w:val="both"/>
        <w:rPr>
          <w:rFonts w:ascii="Arial" w:hAnsi="Arial" w:cs="Arial"/>
          <w:b/>
          <w:color w:val="0071BC"/>
          <w:sz w:val="20"/>
          <w:szCs w:val="20"/>
        </w:rPr>
      </w:pPr>
      <w:r w:rsidRPr="004C7139">
        <w:rPr>
          <w:rFonts w:ascii="Arial" w:hAnsi="Arial" w:cs="Arial"/>
          <w:b/>
          <w:color w:val="0071BC"/>
          <w:sz w:val="20"/>
          <w:szCs w:val="20"/>
        </w:rPr>
        <w:t>Metodické vysvětlivky</w:t>
      </w:r>
    </w:p>
    <w:p w:rsidR="004C7139" w:rsidRPr="00145448" w:rsidRDefault="004C7139"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r w:rsidRPr="00145448">
        <w:rPr>
          <w:rFonts w:ascii="Arial" w:hAnsi="Arial" w:cs="Arial"/>
          <w:sz w:val="18"/>
          <w:szCs w:val="18"/>
        </w:rPr>
        <w:t>Údaje byly získány z šetření u ekonomických subjektů, resp. z administrativních zdrojů. Šetření se provádí v závislosti na počtu zaměstnanců buď plošným, nebo výběrovým zjišťováním. Při výběrovém způsobu zjišťování se dopočet na základní soubor provádí na všechny aktivní jednotky zařazené do Registru ekonomických subjektů ČSÚ, pokud není uvedeno jinak.</w:t>
      </w:r>
    </w:p>
    <w:p w:rsidR="00145448" w:rsidRPr="00145448" w:rsidRDefault="00145448" w:rsidP="00145448">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s>
        <w:spacing w:before="120"/>
        <w:jc w:val="both"/>
        <w:rPr>
          <w:rFonts w:ascii="Arial" w:hAnsi="Arial" w:cs="Arial"/>
          <w:sz w:val="18"/>
          <w:szCs w:val="18"/>
        </w:rPr>
      </w:pPr>
      <w:r w:rsidRPr="00145448">
        <w:rPr>
          <w:rFonts w:ascii="Arial" w:hAnsi="Arial" w:cs="Arial"/>
          <w:sz w:val="18"/>
          <w:szCs w:val="18"/>
        </w:rPr>
        <w:t xml:space="preserve">Údaje o počtu zaměstnanců, průměrných hrubých měsíčních mzdách a nákladech práce v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a </w:t>
      </w:r>
      <w:r w:rsidRPr="00145448">
        <w:rPr>
          <w:rFonts w:ascii="Arial" w:hAnsi="Arial" w:cs="Arial"/>
          <w:b/>
          <w:sz w:val="18"/>
          <w:szCs w:val="18"/>
        </w:rPr>
        <w:t>10A-6</w:t>
      </w:r>
      <w:r w:rsidRPr="00145448">
        <w:rPr>
          <w:rFonts w:ascii="Arial" w:hAnsi="Arial" w:cs="Arial"/>
          <w:sz w:val="18"/>
          <w:szCs w:val="18"/>
        </w:rPr>
        <w:t xml:space="preserve"> byly čerpány z výsledků zpracování ročních statistických výkazů ČSÚ.</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 xml:space="preserve">Zaměstnanost </w:t>
      </w:r>
      <w:r w:rsidRPr="00145448">
        <w:rPr>
          <w:rFonts w:ascii="Arial" w:hAnsi="Arial" w:cs="Arial"/>
          <w:sz w:val="18"/>
          <w:szCs w:val="18"/>
        </w:rPr>
        <w:t xml:space="preserve">zjišťovaná šetřením u ekonomických subjektů, resp. z administrativních zdrojů je vyjádřená počtem pracovníků, za něž se považují zaměstnanci v evidenčním počtu ekonomických subjektů, soukromí podnikatelé a pomáhající rodinní příslušníci (pouze ti, pro které je činnost ve firmě hlavním zaměstnáním).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-6</w:t>
      </w:r>
      <w:r w:rsidRPr="00145448">
        <w:rPr>
          <w:rFonts w:ascii="Arial" w:hAnsi="Arial" w:cs="Arial"/>
          <w:sz w:val="18"/>
          <w:szCs w:val="18"/>
        </w:rPr>
        <w:t xml:space="preserve"> poskytují informace o zaměstnancích, jejich mzdách a nákladech práce na zaměstnance.</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Evidenční počet zaměstnanců</w:t>
      </w:r>
      <w:r w:rsidRPr="00145448">
        <w:rPr>
          <w:rFonts w:ascii="Arial" w:hAnsi="Arial" w:cs="Arial"/>
          <w:sz w:val="18"/>
          <w:szCs w:val="18"/>
        </w:rPr>
        <w:t xml:space="preserve"> zahrnuje osoby v pracovním, služebním nebo členském poměru (kde součástí členství je též pracovní vztah) k zaměstnavateli (dále jen „pracovní poměr“).</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Průměrný roční evidenční počet zaměstnanců</w:t>
      </w:r>
      <w:r w:rsidRPr="00145448">
        <w:rPr>
          <w:rFonts w:ascii="Arial" w:hAnsi="Arial" w:cs="Arial"/>
          <w:sz w:val="18"/>
          <w:szCs w:val="18"/>
        </w:rPr>
        <w:t xml:space="preserve"> (ve fyzických osobách) je vypočten jako aritmetický průměr z dvanácti měsíčních průměrných počtů (vypočítávají se jako součet denních stavů dělený počtem kalendářních dnů v měsíci). Průměrný evidenční počet zaměstnanců</w:t>
      </w:r>
      <w:r w:rsidRPr="00145448">
        <w:rPr>
          <w:rFonts w:ascii="Arial" w:hAnsi="Arial" w:cs="Arial"/>
          <w:b/>
          <w:bCs/>
          <w:sz w:val="18"/>
          <w:szCs w:val="18"/>
        </w:rPr>
        <w:t xml:space="preserve"> přepočtený </w:t>
      </w:r>
      <w:r w:rsidRPr="00145448">
        <w:rPr>
          <w:rFonts w:ascii="Arial" w:hAnsi="Arial" w:cs="Arial"/>
          <w:sz w:val="18"/>
          <w:szCs w:val="18"/>
        </w:rPr>
        <w:t xml:space="preserve">je přepočtem průměrného evidenčního počtu zaměstnanců ve fyzických osobách podle délky jejich pracovních úvazků na zaměstnavatelem stanovenou (plnou) pracovní dobu. Údaje o zaměstnancích, mzdách a nákladech práce v tab. </w:t>
      </w:r>
      <w:r w:rsidRPr="00145448">
        <w:rPr>
          <w:rFonts w:ascii="Arial" w:hAnsi="Arial" w:cs="Arial"/>
          <w:b/>
          <w:sz w:val="18"/>
          <w:szCs w:val="18"/>
        </w:rPr>
        <w:t>10A-1</w:t>
      </w:r>
      <w:r w:rsidRPr="00145448">
        <w:rPr>
          <w:rFonts w:ascii="Arial" w:hAnsi="Arial" w:cs="Arial"/>
          <w:sz w:val="18"/>
          <w:szCs w:val="18"/>
        </w:rPr>
        <w:t xml:space="preserve"> až </w:t>
      </w:r>
      <w:r w:rsidRPr="00145448">
        <w:rPr>
          <w:rFonts w:ascii="Arial" w:hAnsi="Arial" w:cs="Arial"/>
          <w:b/>
          <w:sz w:val="18"/>
          <w:szCs w:val="18"/>
        </w:rPr>
        <w:t>10A-3</w:t>
      </w:r>
      <w:r w:rsidRPr="00145448">
        <w:rPr>
          <w:rFonts w:ascii="Arial" w:hAnsi="Arial" w:cs="Arial"/>
          <w:sz w:val="18"/>
          <w:szCs w:val="18"/>
        </w:rPr>
        <w:t xml:space="preserve"> a </w:t>
      </w:r>
      <w:r w:rsidRPr="00145448">
        <w:rPr>
          <w:rFonts w:ascii="Arial" w:hAnsi="Arial" w:cs="Arial"/>
          <w:b/>
          <w:sz w:val="18"/>
          <w:szCs w:val="18"/>
        </w:rPr>
        <w:t>10A-6</w:t>
      </w:r>
      <w:r w:rsidRPr="00145448">
        <w:rPr>
          <w:rFonts w:ascii="Arial" w:hAnsi="Arial" w:cs="Arial"/>
          <w:sz w:val="18"/>
          <w:szCs w:val="18"/>
        </w:rPr>
        <w:t xml:space="preserve"> jsou uváděny na přepočtené počty.</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Do mezd (bez ostatních osobních nákladů) se zahrnují základní mzdy a platy, příplatky a doplatky ke mzdě nebo platu, odměny, náhrady mezd a platů, odměny za pracovní pohotovost a jiné složky mzdy nebo platu, které byly v daném období zaměstnancům zúčtovány k výplatě. Do mezd nejsou zahrnuty náhrady mzdy nebo platu za dobu trvání dočasné pracovní neschopnosti nebo karantény placené zaměstnavatelem. Jedná se o hrubé mzdy, tj. před snížením o pojistné na veřejné zdravotní pojištění a sociální zabezpečení, zálohové splátky daně z příjmů fyzických osob a další zákonné nebo se zaměstnancem dohodnuté srážky.</w:t>
      </w:r>
    </w:p>
    <w:p w:rsidR="00145448" w:rsidRPr="00145448" w:rsidRDefault="00145448" w:rsidP="00145448">
      <w:pPr>
        <w:suppressAutoHyphens/>
        <w:spacing w:before="120"/>
        <w:jc w:val="both"/>
        <w:rPr>
          <w:rFonts w:ascii="Arial" w:hAnsi="Arial" w:cs="Arial"/>
          <w:sz w:val="18"/>
          <w:szCs w:val="18"/>
        </w:rPr>
      </w:pPr>
      <w:r w:rsidRPr="00145448">
        <w:rPr>
          <w:rFonts w:ascii="Arial" w:hAnsi="Arial" w:cs="Arial"/>
          <w:sz w:val="18"/>
          <w:szCs w:val="18"/>
        </w:rPr>
        <w:t xml:space="preserve">Ostatní osobní náklady jsou odměny poskytované na základě jiného vztahu než pracovního poměru a peněžitá plnění poskytovaná zaměstnancům v souvislosti se zánikem pracovního poměru. Do ostatních osobních nákladů patří zejména odměny na základě dohod o pracích konaných mimo pracovní poměr, tj. dohod o provedení práce a dohod o pracovní činnosti, odměny členům orgánů společnosti a družstva, odměny učňům, platy soudců, odměny členům zastupitelstev všech stupňů, odstupné, odchodné, odbytné. </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Průměrná hrubá měsíční mzda</w:t>
      </w:r>
      <w:r w:rsidRPr="00145448">
        <w:rPr>
          <w:rFonts w:ascii="Arial" w:hAnsi="Arial" w:cs="Arial"/>
          <w:sz w:val="18"/>
          <w:szCs w:val="18"/>
        </w:rPr>
        <w:t xml:space="preserve"> v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a </w:t>
      </w:r>
      <w:r w:rsidRPr="00145448">
        <w:rPr>
          <w:rFonts w:ascii="Arial" w:hAnsi="Arial" w:cs="Arial"/>
          <w:b/>
          <w:bCs/>
          <w:sz w:val="18"/>
          <w:szCs w:val="18"/>
        </w:rPr>
        <w:t>10A</w:t>
      </w:r>
      <w:r w:rsidRPr="00145448">
        <w:rPr>
          <w:rFonts w:ascii="Arial" w:hAnsi="Arial" w:cs="Arial"/>
          <w:b/>
          <w:sz w:val="18"/>
          <w:szCs w:val="18"/>
        </w:rPr>
        <w:t>-6</w:t>
      </w:r>
      <w:r w:rsidRPr="00145448">
        <w:rPr>
          <w:rFonts w:ascii="Arial" w:hAnsi="Arial" w:cs="Arial"/>
          <w:sz w:val="18"/>
          <w:szCs w:val="18"/>
        </w:rPr>
        <w:t xml:space="preserve"> představuje podíl mezd bez ostatních osobních nákladů připadající na jednoho zaměstnance evidenčního počtu za měsíc. Mediány hrubých měsíčních mezd a průměrné hrubé měsíční mzdy v tab. </w:t>
      </w:r>
      <w:r w:rsidRPr="00145448">
        <w:rPr>
          <w:rFonts w:ascii="Arial" w:hAnsi="Arial" w:cs="Arial"/>
          <w:b/>
          <w:bCs/>
          <w:sz w:val="18"/>
          <w:szCs w:val="18"/>
        </w:rPr>
        <w:t>10A</w:t>
      </w:r>
      <w:r w:rsidRPr="00145448">
        <w:rPr>
          <w:rFonts w:ascii="Arial" w:hAnsi="Arial" w:cs="Arial"/>
          <w:b/>
          <w:sz w:val="18"/>
          <w:szCs w:val="18"/>
        </w:rPr>
        <w:t>-4</w:t>
      </w:r>
      <w:r w:rsidRPr="00145448">
        <w:rPr>
          <w:rFonts w:ascii="Arial" w:hAnsi="Arial" w:cs="Arial"/>
          <w:sz w:val="18"/>
          <w:szCs w:val="18"/>
        </w:rPr>
        <w:t xml:space="preserve"> a </w:t>
      </w:r>
      <w:r w:rsidRPr="00145448">
        <w:rPr>
          <w:rFonts w:ascii="Arial" w:hAnsi="Arial" w:cs="Arial"/>
          <w:b/>
          <w:bCs/>
          <w:sz w:val="18"/>
          <w:szCs w:val="18"/>
        </w:rPr>
        <w:t>10A</w:t>
      </w:r>
      <w:r w:rsidRPr="00145448">
        <w:rPr>
          <w:rFonts w:ascii="Arial" w:hAnsi="Arial" w:cs="Arial"/>
          <w:b/>
          <w:sz w:val="18"/>
          <w:szCs w:val="18"/>
        </w:rPr>
        <w:t>-5</w:t>
      </w:r>
      <w:r w:rsidRPr="00145448">
        <w:rPr>
          <w:rFonts w:ascii="Arial" w:hAnsi="Arial" w:cs="Arial"/>
          <w:sz w:val="18"/>
          <w:szCs w:val="18"/>
        </w:rPr>
        <w:t xml:space="preserve"> jsou vypočteny poměřením mzdy zaměstnance v daném roce s celkovým počtem měsíců, za které mzdu skutečně pobíral, tzn., že je odečtena doba nemocí a dalších neplacených nepřítomností v práci za daný rok.</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Údaje o počtu zaměstnanců, průměrných hrubých měsíčních mzdách a měsíčních nákladech práce nezahrnují osoby vykonávající veřejné funkce (např. poslance, senátory, uvolněné členy zastupitelstev všech stupňů), soudce, ženy na mateřské dovolené, osoby na rodičovské dovolené (nepracují-li současně v pracovním poměru), učně, osoby pracující pro firmu na základě dohod o pracích konaných mimo pracovní poměr, zaměstnance ekonomických subjektů statisticky nesledovaných.</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Údaje v tabulkách o zaměstnancích, průměrných hrubých měsíčních mzdách a měsíčních nákladech práce se týkají všech ekonomických subjektů, tj. i organizačních složek státu, příspěvkových organizací částečně financovaných ze státního či územních rozpočtů a neziskových institucí, a proto se liší od údajů o zaměstnancích a mzdách v kapitolách za jednotlivá odvětví, které zahrnují pouze podnikatelské ekonomické subjekty. Do odvětví jsou údaje členěny podle </w:t>
      </w:r>
      <w:r w:rsidRPr="00145448">
        <w:rPr>
          <w:rFonts w:ascii="Arial" w:hAnsi="Arial" w:cs="Arial"/>
          <w:bCs/>
          <w:sz w:val="18"/>
          <w:szCs w:val="18"/>
        </w:rPr>
        <w:t>Klasifikace ekonomických činností</w:t>
      </w:r>
      <w:r w:rsidRPr="00145448">
        <w:rPr>
          <w:rFonts w:ascii="Arial" w:hAnsi="Arial" w:cs="Arial"/>
          <w:sz w:val="18"/>
          <w:szCs w:val="18"/>
        </w:rPr>
        <w:t xml:space="preserve"> (CZ-NACE), platné od 1. ledna 2008, která v uváděné úrovni plně odpovídá mezinárodní klasifikaci NACE </w:t>
      </w:r>
      <w:proofErr w:type="spellStart"/>
      <w:r w:rsidRPr="00145448">
        <w:rPr>
          <w:rFonts w:ascii="Arial" w:hAnsi="Arial" w:cs="Arial"/>
          <w:sz w:val="18"/>
          <w:szCs w:val="18"/>
        </w:rPr>
        <w:t>Rev</w:t>
      </w:r>
      <w:proofErr w:type="spellEnd"/>
      <w:r w:rsidRPr="00145448">
        <w:rPr>
          <w:rFonts w:ascii="Arial" w:hAnsi="Arial" w:cs="Arial"/>
          <w:sz w:val="18"/>
          <w:szCs w:val="18"/>
        </w:rPr>
        <w:t>. 2.</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Údaje v tab.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jsou členěny podle </w:t>
      </w:r>
      <w:r w:rsidRPr="00145448">
        <w:rPr>
          <w:rFonts w:ascii="Arial" w:hAnsi="Arial" w:cs="Arial"/>
          <w:bCs/>
          <w:sz w:val="18"/>
          <w:szCs w:val="18"/>
        </w:rPr>
        <w:t>Klasifikace institucionálních sektorů a </w:t>
      </w:r>
      <w:proofErr w:type="spellStart"/>
      <w:r w:rsidRPr="00145448">
        <w:rPr>
          <w:rFonts w:ascii="Arial" w:hAnsi="Arial" w:cs="Arial"/>
          <w:bCs/>
          <w:sz w:val="18"/>
          <w:szCs w:val="18"/>
        </w:rPr>
        <w:t>subsektorů</w:t>
      </w:r>
      <w:proofErr w:type="spellEnd"/>
      <w:r w:rsidRPr="00145448">
        <w:rPr>
          <w:rFonts w:ascii="Arial" w:hAnsi="Arial" w:cs="Arial"/>
          <w:sz w:val="18"/>
          <w:szCs w:val="18"/>
        </w:rPr>
        <w:t>. Veřejný sektor zahrnuje nefinanční podniky veřejné, finanční instituce veřejné a vládní instituce. Soukromý sektor zahrnuje nefinanční podniky soukromé národní a pod zahraniční kontrolou, finanční instituce soukromé národní a pod zahraniční kontrolou, domácnosti (fyzické osoby nezapsané v obchodním rejstříku) a neziskové instituce sloužící domácnostem.</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Měsíční náklady práce</w:t>
      </w:r>
      <w:r w:rsidRPr="00145448">
        <w:rPr>
          <w:rFonts w:ascii="Arial" w:hAnsi="Arial" w:cs="Arial"/>
          <w:sz w:val="18"/>
          <w:szCs w:val="18"/>
        </w:rPr>
        <w:t xml:space="preserve"> jsou náklady, které zaměstnavatel vynaložil na získání a výchovu zaměstnanců, na odměňování za práci a na zabezpečení sociálních potřeb zaměstnanců. Šetření se provádí u ekonomických subjektů všech odvětví bez ohledu na počet zaměstnanců. Údaje byly čerpány z výsledků zpracování ročního statistického výkazu ČSÚ.</w:t>
      </w:r>
    </w:p>
    <w:p w:rsidR="00145448" w:rsidRPr="00145448" w:rsidRDefault="00145448" w:rsidP="00145448">
      <w:pPr>
        <w:spacing w:before="120"/>
        <w:jc w:val="both"/>
        <w:rPr>
          <w:rFonts w:ascii="Arial" w:hAnsi="Arial" w:cs="Arial"/>
          <w:sz w:val="18"/>
          <w:szCs w:val="18"/>
        </w:rPr>
      </w:pPr>
      <w:r w:rsidRPr="00145448">
        <w:rPr>
          <w:rFonts w:ascii="Arial" w:hAnsi="Arial" w:cs="Arial"/>
          <w:b/>
          <w:sz w:val="18"/>
          <w:szCs w:val="18"/>
        </w:rPr>
        <w:t>Uchazeči o zaměstnání v evidenci úřadu práce</w:t>
      </w:r>
      <w:r w:rsidRPr="00145448">
        <w:rPr>
          <w:rFonts w:ascii="Arial" w:hAnsi="Arial" w:cs="Arial"/>
          <w:sz w:val="18"/>
          <w:szCs w:val="18"/>
        </w:rPr>
        <w:t xml:space="preserve"> jsou fyzické osoby, které osobně požádaly o zprostředkování vhodného zaměstnání krajskou pobočku úřadu práce, v jejímž obvodu mají bydliště. Při splnění zákonem stanovených podmínek jsou krajskou pobočkou úřadu práce zařazeny do evidence uchazečů o zaměstnání.</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lastRenderedPageBreak/>
        <w:t>Dosažitelní uchazeči o zaměstnání v evidenci úřadu práce</w:t>
      </w:r>
      <w:r w:rsidRPr="00145448">
        <w:rPr>
          <w:rFonts w:ascii="Arial" w:hAnsi="Arial" w:cs="Arial"/>
          <w:sz w:val="18"/>
          <w:szCs w:val="18"/>
        </w:rPr>
        <w:t xml:space="preserve"> jsou evidovaní uchazeči (včetně občanů EU a EHP), kteří mohou bezprostředně nastoupit do zaměstnání při nabídce vhodného pracovního místa, protože nemají žádnou objektivní překážku pro přijetí do zaměstnání.</w:t>
      </w:r>
    </w:p>
    <w:p w:rsidR="00145448" w:rsidRPr="00145448" w:rsidRDefault="00145448" w:rsidP="00145448">
      <w:pPr>
        <w:spacing w:before="120"/>
        <w:jc w:val="both"/>
        <w:rPr>
          <w:rFonts w:ascii="Arial" w:hAnsi="Arial" w:cs="Arial"/>
          <w:sz w:val="18"/>
          <w:szCs w:val="18"/>
        </w:rPr>
      </w:pPr>
      <w:r w:rsidRPr="00145448">
        <w:rPr>
          <w:rFonts w:ascii="Arial" w:hAnsi="Arial" w:cs="Arial"/>
          <w:b/>
          <w:sz w:val="18"/>
          <w:szCs w:val="18"/>
        </w:rPr>
        <w:t>Podíl nezaměstnaných osob</w:t>
      </w:r>
      <w:r w:rsidRPr="00145448">
        <w:rPr>
          <w:rFonts w:ascii="Arial" w:hAnsi="Arial" w:cs="Arial"/>
          <w:sz w:val="18"/>
          <w:szCs w:val="18"/>
        </w:rPr>
        <w:t xml:space="preserve"> vyjadřuje podíl dosažitelných uchazečů o zaměstnání v evidenci úřadu práce ve věku 15–64 let ze všech obyvatel ve stejném věku.</w:t>
      </w:r>
    </w:p>
    <w:p w:rsidR="00145448" w:rsidRPr="00145448" w:rsidRDefault="00145448" w:rsidP="00145448">
      <w:pPr>
        <w:keepNext/>
        <w:spacing w:before="120"/>
        <w:jc w:val="both"/>
        <w:rPr>
          <w:rFonts w:ascii="Arial" w:hAnsi="Arial" w:cs="Arial"/>
          <w:sz w:val="18"/>
          <w:szCs w:val="18"/>
        </w:rPr>
      </w:pPr>
      <w:r w:rsidRPr="00145448">
        <w:rPr>
          <w:rFonts w:ascii="Arial" w:hAnsi="Arial" w:cs="Arial"/>
          <w:sz w:val="18"/>
          <w:szCs w:val="18"/>
        </w:rPr>
        <w:t>V této části kapitoly plně nekorespondují s definicemi a doporučeními ILO tyto ukazatele:</w:t>
      </w:r>
    </w:p>
    <w:p w:rsidR="00145448" w:rsidRPr="00145448" w:rsidRDefault="00145448" w:rsidP="00145448">
      <w:pPr>
        <w:tabs>
          <w:tab w:val="left" w:pos="360"/>
        </w:tabs>
        <w:spacing w:before="120"/>
        <w:jc w:val="both"/>
        <w:rPr>
          <w:rFonts w:ascii="Arial" w:hAnsi="Arial" w:cs="Arial"/>
          <w:sz w:val="18"/>
          <w:szCs w:val="18"/>
        </w:rPr>
      </w:pPr>
      <w:r w:rsidRPr="00145448">
        <w:rPr>
          <w:rFonts w:ascii="Arial" w:hAnsi="Arial" w:cs="Arial"/>
          <w:sz w:val="18"/>
          <w:szCs w:val="18"/>
        </w:rPr>
        <w:t>– průměrná hrubá měsíční mzda;</w:t>
      </w:r>
    </w:p>
    <w:p w:rsidR="00145448" w:rsidRPr="00145448" w:rsidRDefault="00145448" w:rsidP="00145448">
      <w:pPr>
        <w:tabs>
          <w:tab w:val="left" w:pos="360"/>
        </w:tabs>
        <w:spacing w:before="120"/>
        <w:jc w:val="both"/>
        <w:rPr>
          <w:rFonts w:ascii="Arial" w:hAnsi="Arial" w:cs="Arial"/>
          <w:sz w:val="18"/>
          <w:szCs w:val="18"/>
        </w:rPr>
      </w:pPr>
      <w:r w:rsidRPr="00145448">
        <w:rPr>
          <w:rFonts w:ascii="Arial" w:hAnsi="Arial" w:cs="Arial"/>
          <w:sz w:val="18"/>
          <w:szCs w:val="18"/>
        </w:rPr>
        <w:t>– uchazeči o zaměstnání v evidenci úřadu práce;</w:t>
      </w:r>
    </w:p>
    <w:p w:rsidR="00145448" w:rsidRPr="00145448" w:rsidRDefault="00145448" w:rsidP="00145448">
      <w:pPr>
        <w:tabs>
          <w:tab w:val="left" w:pos="360"/>
        </w:tabs>
        <w:spacing w:before="120"/>
        <w:jc w:val="both"/>
        <w:rPr>
          <w:rFonts w:ascii="Arial" w:hAnsi="Arial" w:cs="Arial"/>
          <w:sz w:val="18"/>
          <w:szCs w:val="18"/>
        </w:rPr>
      </w:pPr>
      <w:r w:rsidRPr="00145448">
        <w:rPr>
          <w:rFonts w:ascii="Arial" w:hAnsi="Arial" w:cs="Arial"/>
          <w:sz w:val="18"/>
          <w:szCs w:val="18"/>
        </w:rPr>
        <w:t>– podíl nezaměstnaných osob.</w:t>
      </w: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b/>
          <w:sz w:val="18"/>
          <w:szCs w:val="18"/>
        </w:rPr>
      </w:pPr>
      <w:r w:rsidRPr="00145448">
        <w:rPr>
          <w:rFonts w:ascii="Arial" w:hAnsi="Arial" w:cs="Arial"/>
          <w:b/>
          <w:sz w:val="18"/>
          <w:szCs w:val="18"/>
        </w:rPr>
        <w:t>Výše minimální mzdy v ČR podle zákoníku práce:</w:t>
      </w:r>
    </w:p>
    <w:p w:rsidR="00145448" w:rsidRPr="00145448" w:rsidRDefault="00145448" w:rsidP="00145448">
      <w:pPr>
        <w:jc w:val="both"/>
        <w:rPr>
          <w:rFonts w:ascii="Arial" w:hAnsi="Arial" w:cs="Arial"/>
          <w:sz w:val="18"/>
          <w:szCs w:val="18"/>
        </w:rPr>
      </w:pPr>
    </w:p>
    <w:tbl>
      <w:tblPr>
        <w:tblW w:w="0" w:type="auto"/>
        <w:tblInd w:w="127" w:type="dxa"/>
        <w:tblLayout w:type="fixed"/>
        <w:tblCellMar>
          <w:left w:w="0" w:type="dxa"/>
          <w:right w:w="0" w:type="dxa"/>
        </w:tblCellMar>
        <w:tblLook w:val="0000" w:firstRow="0" w:lastRow="0" w:firstColumn="0" w:lastColumn="0" w:noHBand="0" w:noVBand="0"/>
      </w:tblPr>
      <w:tblGrid>
        <w:gridCol w:w="2268"/>
        <w:gridCol w:w="2268"/>
        <w:gridCol w:w="431"/>
        <w:gridCol w:w="2268"/>
        <w:gridCol w:w="2268"/>
      </w:tblGrid>
      <w:tr w:rsidR="00145448" w:rsidRPr="00145448" w:rsidTr="00EE771D">
        <w:trPr>
          <w:cantSplit/>
          <w:trHeight w:val="825"/>
        </w:trPr>
        <w:tc>
          <w:tcPr>
            <w:tcW w:w="2268" w:type="dxa"/>
            <w:tcBorders>
              <w:top w:val="single" w:sz="12" w:space="0" w:color="auto"/>
              <w:left w:val="single" w:sz="12" w:space="0" w:color="auto"/>
              <w:bottom w:val="single" w:sz="12" w:space="0" w:color="auto"/>
              <w:right w:val="single" w:sz="8"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Datum účinnosti od</w:t>
            </w:r>
          </w:p>
        </w:tc>
        <w:tc>
          <w:tcPr>
            <w:tcW w:w="2268" w:type="dxa"/>
            <w:tcBorders>
              <w:top w:val="single" w:sz="12" w:space="0" w:color="auto"/>
              <w:left w:val="single" w:sz="8" w:space="0" w:color="auto"/>
              <w:bottom w:val="single" w:sz="12" w:space="0" w:color="auto"/>
              <w:right w:val="single" w:sz="12"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Výše minimální měsíční mzdy v Kčs/Kč</w:t>
            </w:r>
          </w:p>
        </w:tc>
        <w:tc>
          <w:tcPr>
            <w:tcW w:w="431" w:type="dxa"/>
            <w:vMerge w:val="restart"/>
            <w:tcBorders>
              <w:top w:val="single" w:sz="12" w:space="0" w:color="FFFFFF"/>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ind w:right="78"/>
              <w:jc w:val="center"/>
              <w:rPr>
                <w:rFonts w:ascii="Arial" w:eastAsia="Arial Unicode MS" w:hAnsi="Arial" w:cs="Arial"/>
                <w:sz w:val="18"/>
                <w:szCs w:val="18"/>
              </w:rPr>
            </w:pPr>
          </w:p>
        </w:tc>
        <w:tc>
          <w:tcPr>
            <w:tcW w:w="2268" w:type="dxa"/>
            <w:tcBorders>
              <w:top w:val="single" w:sz="12" w:space="0" w:color="auto"/>
              <w:left w:val="single" w:sz="12" w:space="0" w:color="auto"/>
              <w:bottom w:val="single" w:sz="12" w:space="0" w:color="auto"/>
              <w:right w:val="single" w:sz="8"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Datum účinnosti od</w:t>
            </w:r>
          </w:p>
        </w:tc>
        <w:tc>
          <w:tcPr>
            <w:tcW w:w="2268" w:type="dxa"/>
            <w:tcBorders>
              <w:top w:val="single" w:sz="12" w:space="0" w:color="auto"/>
              <w:left w:val="single" w:sz="8" w:space="0" w:color="auto"/>
              <w:bottom w:val="single" w:sz="12" w:space="0" w:color="auto"/>
              <w:right w:val="single" w:sz="12"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Výše minimální měsíční mzdy v Kč</w:t>
            </w:r>
          </w:p>
        </w:tc>
      </w:tr>
      <w:tr w:rsidR="00145448" w:rsidRPr="00145448" w:rsidTr="00EE771D">
        <w:trPr>
          <w:cantSplit/>
          <w:trHeight w:val="284"/>
        </w:trPr>
        <w:tc>
          <w:tcPr>
            <w:tcW w:w="2268" w:type="dxa"/>
            <w:tcBorders>
              <w:top w:val="single" w:sz="12"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1. 1. 1992</w:t>
            </w:r>
          </w:p>
        </w:tc>
        <w:tc>
          <w:tcPr>
            <w:tcW w:w="2268" w:type="dxa"/>
            <w:tcBorders>
              <w:top w:val="single" w:sz="12"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2 200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12"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1. 1. 2006</w:t>
            </w:r>
          </w:p>
        </w:tc>
        <w:tc>
          <w:tcPr>
            <w:tcW w:w="2268" w:type="dxa"/>
            <w:tcBorders>
              <w:top w:val="single" w:sz="12"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7 570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1. 1. 1996</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2 500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1. 7. 2006</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7 955</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1. 1. 1998</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2 650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1. 1. 2007</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8 000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1. 1. 1999</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3 250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1. 8. 2013</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8 500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1. 7. 1999</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3 600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1. 1. 2015</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9 200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1. 1. 2000</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4 000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1. 1. 2016</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9 900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1. 7. 2000</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4 500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1. 1. 2017</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11 000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1. 1. 2001</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5 000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1. 1. 2018</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12 200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hAnsi="Arial" w:cs="Arial"/>
                <w:sz w:val="18"/>
                <w:szCs w:val="18"/>
              </w:rPr>
            </w:pPr>
            <w:r w:rsidRPr="00145448">
              <w:rPr>
                <w:rFonts w:ascii="Arial" w:hAnsi="Arial" w:cs="Arial"/>
                <w:sz w:val="18"/>
                <w:szCs w:val="18"/>
              </w:rPr>
              <w:t>1. 1. 2002</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hAnsi="Arial" w:cs="Arial"/>
                <w:sz w:val="18"/>
                <w:szCs w:val="18"/>
              </w:rPr>
            </w:pPr>
            <w:r w:rsidRPr="00145448">
              <w:rPr>
                <w:rFonts w:ascii="Arial" w:hAnsi="Arial" w:cs="Arial"/>
                <w:sz w:val="18"/>
                <w:szCs w:val="18"/>
              </w:rPr>
              <w:t>5 700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1. 1. 2019</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13 350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hAnsi="Arial" w:cs="Arial"/>
                <w:sz w:val="18"/>
                <w:szCs w:val="18"/>
              </w:rPr>
            </w:pPr>
            <w:r w:rsidRPr="00145448">
              <w:rPr>
                <w:rFonts w:ascii="Arial" w:hAnsi="Arial" w:cs="Arial"/>
                <w:sz w:val="18"/>
                <w:szCs w:val="18"/>
              </w:rPr>
              <w:t>1. 1. 2003</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hAnsi="Arial" w:cs="Arial"/>
                <w:sz w:val="18"/>
                <w:szCs w:val="18"/>
              </w:rPr>
            </w:pPr>
            <w:r w:rsidRPr="00145448">
              <w:rPr>
                <w:rFonts w:ascii="Arial" w:hAnsi="Arial" w:cs="Arial"/>
                <w:sz w:val="18"/>
                <w:szCs w:val="18"/>
              </w:rPr>
              <w:t>6 200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145448" w:rsidRPr="00145448" w:rsidRDefault="00145448" w:rsidP="00145448">
            <w:pPr>
              <w:contextualSpacing/>
              <w:jc w:val="center"/>
              <w:rPr>
                <w:rFonts w:ascii="Arial" w:eastAsia="Arial Unicode MS" w:hAnsi="Arial" w:cs="Arial"/>
                <w:sz w:val="18"/>
                <w:szCs w:val="18"/>
              </w:rPr>
            </w:pPr>
            <w:r w:rsidRPr="00145448">
              <w:rPr>
                <w:rFonts w:ascii="Arial" w:eastAsia="Arial Unicode MS" w:hAnsi="Arial" w:cs="Arial"/>
                <w:sz w:val="18"/>
                <w:szCs w:val="18"/>
              </w:rPr>
              <w:t>1. 1. 2020</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14 600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1. 1. 2004</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6 700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1. 1. 2021</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15 200</w:t>
            </w:r>
          </w:p>
        </w:tc>
      </w:tr>
      <w:tr w:rsidR="00145448"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145448" w:rsidRPr="00145448" w:rsidRDefault="00145448" w:rsidP="00145448">
            <w:pPr>
              <w:jc w:val="center"/>
              <w:rPr>
                <w:rFonts w:ascii="Arial" w:hAnsi="Arial" w:cs="Arial"/>
                <w:sz w:val="18"/>
                <w:szCs w:val="18"/>
              </w:rPr>
            </w:pPr>
            <w:r w:rsidRPr="00145448">
              <w:rPr>
                <w:rFonts w:ascii="Arial" w:hAnsi="Arial" w:cs="Arial"/>
                <w:sz w:val="18"/>
                <w:szCs w:val="18"/>
              </w:rPr>
              <w:t>1. 1. 2005</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145448" w:rsidRPr="00145448" w:rsidRDefault="00145448" w:rsidP="00145448">
            <w:pPr>
              <w:jc w:val="center"/>
              <w:rPr>
                <w:rFonts w:ascii="Arial" w:hAnsi="Arial" w:cs="Arial"/>
                <w:sz w:val="18"/>
                <w:szCs w:val="18"/>
              </w:rPr>
            </w:pPr>
            <w:r w:rsidRPr="00145448">
              <w:rPr>
                <w:rFonts w:ascii="Arial" w:hAnsi="Arial" w:cs="Arial"/>
                <w:sz w:val="18"/>
                <w:szCs w:val="18"/>
              </w:rPr>
              <w:t>7 185</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1. 1. 2022</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145448" w:rsidRPr="00145448" w:rsidRDefault="00145448" w:rsidP="00145448">
            <w:pPr>
              <w:jc w:val="center"/>
              <w:rPr>
                <w:rFonts w:ascii="Arial" w:eastAsia="Arial Unicode MS" w:hAnsi="Arial" w:cs="Arial"/>
                <w:sz w:val="18"/>
                <w:szCs w:val="18"/>
              </w:rPr>
            </w:pPr>
            <w:r w:rsidRPr="00145448">
              <w:rPr>
                <w:rFonts w:ascii="Arial" w:eastAsia="Arial Unicode MS" w:hAnsi="Arial" w:cs="Arial"/>
                <w:sz w:val="18"/>
                <w:szCs w:val="18"/>
              </w:rPr>
              <w:t>16 200</w:t>
            </w:r>
          </w:p>
        </w:tc>
      </w:tr>
    </w:tbl>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b/>
          <w:color w:val="0071BC"/>
          <w:sz w:val="20"/>
          <w:szCs w:val="20"/>
        </w:rPr>
      </w:pPr>
      <w:r w:rsidRPr="00145448">
        <w:rPr>
          <w:rFonts w:ascii="Arial" w:hAnsi="Arial" w:cs="Arial"/>
          <w:b/>
          <w:color w:val="0071BC"/>
          <w:sz w:val="20"/>
          <w:szCs w:val="20"/>
        </w:rPr>
        <w:t>Poznámky k tabulkám</w:t>
      </w:r>
    </w:p>
    <w:p w:rsidR="00145448" w:rsidRPr="00145448" w:rsidRDefault="00145448" w:rsidP="00145448">
      <w:pPr>
        <w:jc w:val="both"/>
        <w:rPr>
          <w:rFonts w:ascii="Arial" w:hAnsi="Arial" w:cs="Arial"/>
          <w:sz w:val="18"/>
          <w:szCs w:val="18"/>
        </w:rPr>
      </w:pPr>
    </w:p>
    <w:p w:rsidR="00145448" w:rsidRPr="00145448" w:rsidRDefault="00145448" w:rsidP="00145448">
      <w:pPr>
        <w:ind w:left="454" w:hanging="454"/>
        <w:jc w:val="both"/>
        <w:rPr>
          <w:rFonts w:ascii="Arial" w:hAnsi="Arial" w:cs="Arial"/>
          <w:b/>
          <w:bCs/>
          <w:color w:val="0071BC"/>
          <w:sz w:val="20"/>
          <w:szCs w:val="20"/>
        </w:rPr>
      </w:pPr>
      <w:r w:rsidRPr="00145448">
        <w:rPr>
          <w:rFonts w:ascii="Arial" w:hAnsi="Arial" w:cs="Arial"/>
          <w:b/>
          <w:color w:val="0071BC"/>
          <w:sz w:val="20"/>
          <w:szCs w:val="20"/>
        </w:rPr>
        <w:t>Tab</w:t>
      </w:r>
      <w:r w:rsidR="00A27771">
        <w:rPr>
          <w:rFonts w:ascii="Arial" w:hAnsi="Arial" w:cs="Arial"/>
          <w:b/>
          <w:color w:val="0071BC"/>
          <w:sz w:val="20"/>
          <w:szCs w:val="20"/>
        </w:rPr>
        <w:t>.</w:t>
      </w:r>
      <w:r w:rsidRPr="00145448">
        <w:rPr>
          <w:rFonts w:ascii="Arial" w:hAnsi="Arial" w:cs="Arial"/>
          <w:b/>
          <w:color w:val="0071BC"/>
          <w:sz w:val="20"/>
          <w:szCs w:val="20"/>
        </w:rPr>
        <w:t xml:space="preserve"> </w:t>
      </w:r>
      <w:r w:rsidRPr="00145448">
        <w:rPr>
          <w:rFonts w:ascii="Arial" w:hAnsi="Arial" w:cs="Arial"/>
          <w:b/>
          <w:bCs/>
          <w:color w:val="0071BC"/>
          <w:sz w:val="20"/>
          <w:szCs w:val="20"/>
        </w:rPr>
        <w:t>10A</w:t>
      </w:r>
      <w:r w:rsidRPr="00145448">
        <w:rPr>
          <w:rFonts w:ascii="Arial" w:hAnsi="Arial" w:cs="Arial"/>
          <w:b/>
          <w:color w:val="0071BC"/>
          <w:sz w:val="20"/>
          <w:szCs w:val="20"/>
        </w:rPr>
        <w:t xml:space="preserve">-4 a </w:t>
      </w:r>
      <w:r w:rsidRPr="00145448">
        <w:rPr>
          <w:rFonts w:ascii="Arial" w:hAnsi="Arial" w:cs="Arial"/>
          <w:b/>
          <w:bCs/>
          <w:color w:val="0071BC"/>
          <w:sz w:val="20"/>
          <w:szCs w:val="20"/>
        </w:rPr>
        <w:t>10A</w:t>
      </w:r>
      <w:r w:rsidRPr="00145448">
        <w:rPr>
          <w:rFonts w:ascii="Arial" w:hAnsi="Arial" w:cs="Arial"/>
          <w:b/>
          <w:color w:val="0071BC"/>
          <w:sz w:val="20"/>
          <w:szCs w:val="20"/>
        </w:rPr>
        <w:t xml:space="preserve">-5  </w:t>
      </w:r>
      <w:r w:rsidRPr="00145448">
        <w:rPr>
          <w:rFonts w:ascii="Arial" w:hAnsi="Arial" w:cs="Arial"/>
          <w:b/>
          <w:bCs/>
          <w:color w:val="0071BC"/>
          <w:sz w:val="20"/>
          <w:szCs w:val="20"/>
        </w:rPr>
        <w:t>Mediány hrubých měsíčních mezd a průměrné hrubé měsíční mzdy podle zaměstnání a věku</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Údaje v tabulkách vznikly sloučením výsledných databází výběrového šetření </w:t>
      </w:r>
      <w:r w:rsidRPr="00145448">
        <w:rPr>
          <w:rFonts w:ascii="Arial" w:hAnsi="Arial" w:cs="Arial"/>
          <w:b/>
          <w:sz w:val="18"/>
          <w:szCs w:val="18"/>
        </w:rPr>
        <w:t>Informační systém o průměrném výdělku MPSV</w:t>
      </w:r>
      <w:r w:rsidRPr="00145448">
        <w:rPr>
          <w:rFonts w:ascii="Arial" w:hAnsi="Arial" w:cs="Arial"/>
          <w:sz w:val="18"/>
          <w:szCs w:val="18"/>
        </w:rPr>
        <w:t xml:space="preserve"> (ISPV), které pokrývá </w:t>
      </w:r>
      <w:r w:rsidRPr="00145448">
        <w:rPr>
          <w:rFonts w:ascii="Arial" w:hAnsi="Arial" w:cs="Arial"/>
          <w:b/>
          <w:sz w:val="18"/>
          <w:szCs w:val="18"/>
        </w:rPr>
        <w:t>mzdovou sféru</w:t>
      </w:r>
      <w:r w:rsidRPr="00145448">
        <w:rPr>
          <w:rFonts w:ascii="Arial" w:hAnsi="Arial" w:cs="Arial"/>
          <w:sz w:val="18"/>
          <w:szCs w:val="18"/>
        </w:rPr>
        <w:t xml:space="preserve">, a administrativního zdroje </w:t>
      </w:r>
      <w:r w:rsidRPr="00145448">
        <w:rPr>
          <w:rFonts w:ascii="Arial" w:hAnsi="Arial" w:cs="Arial"/>
          <w:b/>
          <w:sz w:val="18"/>
          <w:szCs w:val="18"/>
        </w:rPr>
        <w:t>Informační systém o platu a služebním příjmu</w:t>
      </w:r>
      <w:r w:rsidRPr="00145448">
        <w:rPr>
          <w:rFonts w:ascii="Arial" w:hAnsi="Arial" w:cs="Arial"/>
          <w:sz w:val="18"/>
          <w:szCs w:val="18"/>
        </w:rPr>
        <w:t xml:space="preserve"> (ISP) Ministerstva financí, který plošně pokrývá </w:t>
      </w:r>
      <w:r w:rsidRPr="00145448">
        <w:rPr>
          <w:rFonts w:ascii="Arial" w:hAnsi="Arial" w:cs="Arial"/>
          <w:b/>
          <w:sz w:val="18"/>
          <w:szCs w:val="18"/>
        </w:rPr>
        <w:t>platovou sféru</w:t>
      </w:r>
      <w:r w:rsidRPr="00145448">
        <w:rPr>
          <w:rFonts w:ascii="Arial" w:hAnsi="Arial" w:cs="Arial"/>
          <w:sz w:val="18"/>
          <w:szCs w:val="18"/>
        </w:rPr>
        <w:t xml:space="preserve">. Průměrná mzda z těchto zdrojů není shodná s průměrnou mzdou z podnikových zjišťování ČSÚ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a </w:t>
      </w:r>
      <w:r w:rsidRPr="00145448">
        <w:rPr>
          <w:rFonts w:ascii="Arial" w:hAnsi="Arial" w:cs="Arial"/>
          <w:b/>
          <w:bCs/>
          <w:sz w:val="18"/>
          <w:szCs w:val="18"/>
        </w:rPr>
        <w:t>10A</w:t>
      </w:r>
      <w:r w:rsidRPr="00145448">
        <w:rPr>
          <w:rFonts w:ascii="Arial" w:hAnsi="Arial" w:cs="Arial"/>
          <w:b/>
          <w:sz w:val="18"/>
          <w:szCs w:val="18"/>
        </w:rPr>
        <w:t>-6</w:t>
      </w:r>
      <w:r w:rsidRPr="00145448">
        <w:rPr>
          <w:rFonts w:ascii="Arial" w:hAnsi="Arial" w:cs="Arial"/>
          <w:sz w:val="18"/>
          <w:szCs w:val="18"/>
        </w:rPr>
        <w:t xml:space="preserve">). ISPV a ISP poskytují informace o jednotlivých zaměstnancích, podniková zjišťování sledují evidenční počet zaměstnanců a objem mezd za celý ekonomický subjekt. Průměrná mzda z ISPV a ISP je vypočtena poměřením s placenou dobou zaměstnance (nezahrnuje se neplacená nepřítomnost v práci, např. pro nemoc apod.), nezahrnují se ale zaměstnanci s týdenním úvazkem kratším než 30 hodin. V podnikových zjišťováních ČSÚ je vypočtena poměřením s evidenčním počtem zaměstnanců (zaměstnanci s krátkodobou neplacenou nepřítomností jsou zahrnuti) bez ohledu na délku jejich týdenního úvazku. </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Medián</w:t>
      </w:r>
      <w:r w:rsidRPr="00145448">
        <w:rPr>
          <w:rFonts w:ascii="Arial" w:hAnsi="Arial" w:cs="Arial"/>
          <w:sz w:val="18"/>
          <w:szCs w:val="18"/>
        </w:rPr>
        <w:t xml:space="preserve"> představuje hodnotu mzdy zaměstnance uprostřed mzdového rozdělení; to znamená, že polovina hodnot mezd je nižší a druhá polovina je vyšší než medián. Tento ukazatel lépe vypovídá o mzdové úrovni v dané kategorii než průměr.</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Členění podle zaměstnání je zpracováno podle Klasifikace zaměstnání (CZ-ISCO), která byla zavedena s účinností od 1. ledna 2011.</w:t>
      </w: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r w:rsidRPr="00145448">
        <w:rPr>
          <w:rFonts w:ascii="Arial" w:hAnsi="Arial" w:cs="Arial"/>
          <w:noProof/>
          <w:sz w:val="18"/>
          <w:szCs w:val="18"/>
        </w:rPr>
        <mc:AlternateContent>
          <mc:Choice Requires="wps">
            <w:drawing>
              <wp:anchor distT="0" distB="0" distL="114300" distR="114300" simplePos="0" relativeHeight="251659264" behindDoc="0" locked="0" layoutInCell="1" allowOverlap="1" wp14:anchorId="52377E28" wp14:editId="35EF97B4">
                <wp:simplePos x="0" y="0"/>
                <wp:positionH relativeFrom="column">
                  <wp:align>center</wp:align>
                </wp:positionH>
                <wp:positionV relativeFrom="paragraph">
                  <wp:posOffset>-2540</wp:posOffset>
                </wp:positionV>
                <wp:extent cx="899795" cy="0"/>
                <wp:effectExtent l="8255" t="10160" r="6350" b="8890"/>
                <wp:wrapNone/>
                <wp:docPr id="3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97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B029E0" id="Line 2" o:spid="_x0000_s1026" style="position:absolute;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2pt" to="70.8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"/>
            </w:pict>
          </mc:Fallback>
        </mc:AlternateContent>
      </w:r>
    </w:p>
    <w:p w:rsidR="00145448" w:rsidRPr="00145448" w:rsidRDefault="00145448" w:rsidP="00145448">
      <w:pPr>
        <w:jc w:val="both"/>
        <w:rPr>
          <w:rFonts w:ascii="Arial" w:hAnsi="Arial" w:cs="Arial"/>
          <w:sz w:val="18"/>
          <w:szCs w:val="18"/>
        </w:rPr>
      </w:pP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V této kapitole jsou v částech A </w:t>
      </w:r>
      <w:proofErr w:type="spellStart"/>
      <w:r w:rsidRPr="00145448">
        <w:rPr>
          <w:rFonts w:ascii="Arial" w:hAnsi="Arial" w:cs="Arial"/>
          <w:sz w:val="18"/>
          <w:szCs w:val="18"/>
        </w:rPr>
        <w:t>a</w:t>
      </w:r>
      <w:proofErr w:type="spellEnd"/>
      <w:r w:rsidRPr="00145448">
        <w:rPr>
          <w:rFonts w:ascii="Arial" w:hAnsi="Arial" w:cs="Arial"/>
          <w:sz w:val="18"/>
          <w:szCs w:val="18"/>
        </w:rPr>
        <w:t xml:space="preserve"> B uváděny počty zaměstnanců, resp. zaměstnaných vycházející ze dvou různých zdrojů a způsobů zjišťování, z podnikového výkaznictví a z výběrového šetření pracovních sil prováděného u domácností. Vzhledem k tomu, že výsledky nevykazují vždy shodné počty osob, struktury a trendy, jsou v následující tabulce uvedeny podstatné rozdíly v pokrytí základního souboru.</w:t>
      </w: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p>
    <w:tbl>
      <w:tblPr>
        <w:tblW w:w="9624" w:type="dxa"/>
        <w:tblCellMar>
          <w:left w:w="70" w:type="dxa"/>
          <w:right w:w="70" w:type="dxa"/>
        </w:tblCellMar>
        <w:tblLook w:val="04A0" w:firstRow="1" w:lastRow="0" w:firstColumn="1" w:lastColumn="0" w:noHBand="0" w:noVBand="1"/>
      </w:tblPr>
      <w:tblGrid>
        <w:gridCol w:w="3387"/>
        <w:gridCol w:w="2410"/>
        <w:gridCol w:w="1985"/>
        <w:gridCol w:w="1842"/>
      </w:tblGrid>
      <w:tr w:rsidR="00145448" w:rsidRPr="00145448" w:rsidTr="00EE771D">
        <w:trPr>
          <w:trHeight w:val="625"/>
        </w:trPr>
        <w:tc>
          <w:tcPr>
            <w:tcW w:w="3387" w:type="dxa"/>
            <w:vMerge w:val="restart"/>
            <w:tcBorders>
              <w:top w:val="single" w:sz="12" w:space="0" w:color="auto"/>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keepNext/>
              <w:jc w:val="center"/>
              <w:rPr>
                <w:rFonts w:ascii="Arial" w:hAnsi="Arial" w:cs="Arial"/>
                <w:color w:val="000000"/>
                <w:sz w:val="18"/>
                <w:szCs w:val="18"/>
              </w:rPr>
            </w:pPr>
            <w:r w:rsidRPr="00145448">
              <w:rPr>
                <w:rFonts w:ascii="Arial" w:hAnsi="Arial" w:cs="Arial"/>
                <w:color w:val="000000"/>
                <w:sz w:val="18"/>
                <w:szCs w:val="18"/>
              </w:rPr>
              <w:lastRenderedPageBreak/>
              <w:t>Skupina</w:t>
            </w:r>
          </w:p>
        </w:tc>
        <w:tc>
          <w:tcPr>
            <w:tcW w:w="2410"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Podniková statistika (10A)</w:t>
            </w:r>
          </w:p>
        </w:tc>
        <w:tc>
          <w:tcPr>
            <w:tcW w:w="3827" w:type="dxa"/>
            <w:gridSpan w:val="2"/>
            <w:tcBorders>
              <w:top w:val="single" w:sz="12"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Výběrové šetření pracovních sil (10B)</w:t>
            </w:r>
          </w:p>
        </w:tc>
      </w:tr>
      <w:tr w:rsidR="00145448" w:rsidRPr="00145448" w:rsidTr="00EE771D">
        <w:trPr>
          <w:trHeight w:val="390"/>
        </w:trPr>
        <w:tc>
          <w:tcPr>
            <w:tcW w:w="3387" w:type="dxa"/>
            <w:vMerge/>
            <w:tcBorders>
              <w:top w:val="single" w:sz="4" w:space="0" w:color="auto"/>
              <w:left w:val="single" w:sz="12" w:space="0" w:color="auto"/>
              <w:bottom w:val="single" w:sz="12" w:space="0" w:color="auto"/>
              <w:right w:val="single" w:sz="12" w:space="0" w:color="auto"/>
            </w:tcBorders>
            <w:vAlign w:val="center"/>
            <w:hideMark/>
          </w:tcPr>
          <w:p w:rsidR="00145448" w:rsidRPr="00145448" w:rsidRDefault="00145448" w:rsidP="00145448">
            <w:pPr>
              <w:rPr>
                <w:rFonts w:ascii="Arial" w:hAnsi="Arial" w:cs="Arial"/>
                <w:color w:val="000000"/>
                <w:sz w:val="18"/>
                <w:szCs w:val="18"/>
              </w:rPr>
            </w:pPr>
          </w:p>
        </w:tc>
        <w:tc>
          <w:tcPr>
            <w:tcW w:w="2410" w:type="dxa"/>
            <w:tcBorders>
              <w:top w:val="nil"/>
              <w:left w:val="single" w:sz="12" w:space="0" w:color="auto"/>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zaměstnanci</w:t>
            </w:r>
          </w:p>
        </w:tc>
        <w:tc>
          <w:tcPr>
            <w:tcW w:w="1985" w:type="dxa"/>
            <w:tcBorders>
              <w:top w:val="nil"/>
              <w:left w:val="nil"/>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zaměstnanci</w:t>
            </w:r>
          </w:p>
        </w:tc>
        <w:tc>
          <w:tcPr>
            <w:tcW w:w="1842" w:type="dxa"/>
            <w:tcBorders>
              <w:top w:val="nil"/>
              <w:left w:val="nil"/>
              <w:bottom w:val="single" w:sz="12"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podnikatelé</w:t>
            </w:r>
          </w:p>
        </w:tc>
      </w:tr>
      <w:tr w:rsidR="00145448" w:rsidRPr="00145448" w:rsidTr="00EE771D">
        <w:trPr>
          <w:trHeight w:val="300"/>
        </w:trPr>
        <w:tc>
          <w:tcPr>
            <w:tcW w:w="3387" w:type="dxa"/>
            <w:tcBorders>
              <w:top w:val="single" w:sz="12" w:space="0" w:color="auto"/>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Populace 15+ v pracovním poměru</w:t>
            </w:r>
          </w:p>
        </w:tc>
        <w:tc>
          <w:tcPr>
            <w:tcW w:w="2410"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12"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12"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Populace 15+ obvykle bydlící v bytech</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Ženy na mateřské dovolené</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765"/>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 xml:space="preserve">Osoby na rodičovské dovolené </w:t>
            </w:r>
            <w:r w:rsidRPr="00145448">
              <w:rPr>
                <w:rFonts w:ascii="Arial" w:hAnsi="Arial" w:cs="Arial"/>
                <w:color w:val="000000"/>
                <w:sz w:val="18"/>
                <w:szCs w:val="18"/>
              </w:rPr>
              <w:br/>
              <w:t xml:space="preserve">(RD – zahrnuty do zjišťování, ale </w:t>
            </w:r>
            <w:r w:rsidRPr="00145448">
              <w:rPr>
                <w:rFonts w:ascii="Arial" w:hAnsi="Arial" w:cs="Arial"/>
                <w:color w:val="000000"/>
                <w:sz w:val="18"/>
                <w:szCs w:val="18"/>
              </w:rPr>
              <w:br/>
              <w:t>nepovažovány za zaměstnané)</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 xml:space="preserve">Dohody o pracích konaných </w:t>
            </w:r>
            <w:r w:rsidRPr="00145448">
              <w:rPr>
                <w:rFonts w:ascii="Arial" w:hAnsi="Arial" w:cs="Arial"/>
                <w:color w:val="000000"/>
                <w:sz w:val="18"/>
                <w:szCs w:val="18"/>
              </w:rPr>
              <w:br/>
              <w:t>mimo pracovní poměr</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Cizí státní příslušníci</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 xml:space="preserve">Cizí státní příslušníci s obvyklým </w:t>
            </w:r>
            <w:r w:rsidRPr="00145448">
              <w:rPr>
                <w:rFonts w:ascii="Arial" w:hAnsi="Arial" w:cs="Arial"/>
                <w:color w:val="000000"/>
                <w:sz w:val="18"/>
                <w:szCs w:val="18"/>
              </w:rPr>
              <w:br/>
              <w:t>bydlištěm v ČR</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Pracující mimo ČR</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jen se sídlem podniku v ČR</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Ozbrojené složky; vojáci z povolání</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Ozbrojené složky; vojáci základní služby do r. 2004 vč.</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Civilní vojenská služba do r. 2004 vč.</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Uvolnění zastupitelé všech stupňů</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Svobodná povolání</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Domácí personál</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12"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Další pracovní poměr</w:t>
            </w:r>
          </w:p>
        </w:tc>
        <w:tc>
          <w:tcPr>
            <w:tcW w:w="2410" w:type="dxa"/>
            <w:tcBorders>
              <w:top w:val="single" w:sz="4" w:space="0" w:color="auto"/>
              <w:left w:val="single" w:sz="12" w:space="0" w:color="auto"/>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vícenásobný</w:t>
            </w:r>
          </w:p>
        </w:tc>
        <w:tc>
          <w:tcPr>
            <w:tcW w:w="1985" w:type="dxa"/>
            <w:tcBorders>
              <w:top w:val="single" w:sz="4" w:space="0" w:color="auto"/>
              <w:left w:val="nil"/>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pouze druhý</w:t>
            </w:r>
          </w:p>
        </w:tc>
        <w:tc>
          <w:tcPr>
            <w:tcW w:w="1842" w:type="dxa"/>
            <w:tcBorders>
              <w:top w:val="single" w:sz="4" w:space="0" w:color="auto"/>
              <w:left w:val="nil"/>
              <w:bottom w:val="single" w:sz="12"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pouze druhý</w:t>
            </w:r>
          </w:p>
        </w:tc>
      </w:tr>
    </w:tbl>
    <w:p w:rsidR="00145448" w:rsidRPr="00145448" w:rsidRDefault="00145448" w:rsidP="00145448">
      <w:pPr>
        <w:jc w:val="both"/>
        <w:rPr>
          <w:rFonts w:ascii="Arial" w:hAnsi="Arial" w:cs="Arial"/>
          <w:sz w:val="18"/>
          <w:szCs w:val="18"/>
        </w:rPr>
      </w:pPr>
    </w:p>
    <w:p w:rsidR="00145448" w:rsidRPr="00145448" w:rsidRDefault="00145448" w:rsidP="00145448">
      <w:pPr>
        <w:tabs>
          <w:tab w:val="left" w:pos="284"/>
        </w:tabs>
        <w:spacing w:before="120"/>
        <w:jc w:val="both"/>
        <w:rPr>
          <w:rFonts w:ascii="Arial" w:hAnsi="Arial" w:cs="Arial"/>
          <w:sz w:val="18"/>
          <w:szCs w:val="18"/>
        </w:rPr>
      </w:pPr>
      <w:r w:rsidRPr="00145448">
        <w:rPr>
          <w:rFonts w:ascii="Arial" w:hAnsi="Arial" w:cs="Arial"/>
          <w:sz w:val="18"/>
          <w:szCs w:val="18"/>
        </w:rPr>
        <w:t>/</w:t>
      </w:r>
      <w:r w:rsidRPr="00145448">
        <w:rPr>
          <w:rFonts w:ascii="Arial" w:hAnsi="Arial" w:cs="Arial"/>
          <w:sz w:val="18"/>
          <w:szCs w:val="18"/>
        </w:rPr>
        <w:tab/>
        <w:t>– pokryto</w:t>
      </w:r>
    </w:p>
    <w:p w:rsidR="00145448" w:rsidRPr="00145448" w:rsidRDefault="00145448" w:rsidP="00145448">
      <w:pPr>
        <w:numPr>
          <w:ilvl w:val="0"/>
          <w:numId w:val="6"/>
        </w:numPr>
        <w:tabs>
          <w:tab w:val="left" w:pos="284"/>
        </w:tabs>
        <w:spacing w:after="200" w:line="276" w:lineRule="auto"/>
        <w:ind w:left="0" w:firstLine="0"/>
        <w:jc w:val="both"/>
        <w:rPr>
          <w:rFonts w:ascii="Arial" w:hAnsi="Arial" w:cs="Arial"/>
          <w:sz w:val="18"/>
          <w:szCs w:val="18"/>
        </w:rPr>
      </w:pPr>
      <w:r w:rsidRPr="00145448">
        <w:rPr>
          <w:rFonts w:ascii="Arial" w:hAnsi="Arial" w:cs="Arial"/>
          <w:sz w:val="18"/>
          <w:szCs w:val="18"/>
        </w:rPr>
        <w:t>– nepokryto</w:t>
      </w:r>
    </w:p>
    <w:p w:rsidR="00145448" w:rsidRPr="00145448" w:rsidRDefault="00145448" w:rsidP="00145448">
      <w:pPr>
        <w:tabs>
          <w:tab w:val="left" w:pos="284"/>
        </w:tabs>
        <w:jc w:val="both"/>
        <w:rPr>
          <w:rFonts w:ascii="Arial" w:hAnsi="Arial" w:cs="Arial"/>
          <w:sz w:val="18"/>
          <w:szCs w:val="18"/>
        </w:rPr>
      </w:pPr>
      <w:r w:rsidRPr="00145448">
        <w:rPr>
          <w:rFonts w:ascii="Arial" w:hAnsi="Arial" w:cs="Arial"/>
          <w:sz w:val="18"/>
          <w:szCs w:val="18"/>
        </w:rPr>
        <w:t>x</w:t>
      </w:r>
      <w:r w:rsidRPr="00145448">
        <w:rPr>
          <w:rFonts w:ascii="Arial" w:hAnsi="Arial" w:cs="Arial"/>
          <w:sz w:val="18"/>
          <w:szCs w:val="18"/>
        </w:rPr>
        <w:tab/>
        <w:t>– zápis není možný z logických důvodů</w:t>
      </w:r>
    </w:p>
    <w:p w:rsidR="00005452" w:rsidRPr="004B160D" w:rsidRDefault="00005452" w:rsidP="004B160D">
      <w:pPr>
        <w:jc w:val="both"/>
        <w:rPr>
          <w:rFonts w:ascii="Arial" w:hAnsi="Arial" w:cs="Arial"/>
          <w:sz w:val="18"/>
          <w:szCs w:val="18"/>
        </w:rPr>
      </w:pPr>
    </w:p>
    <w:p w:rsidR="00005452" w:rsidRPr="004B160D" w:rsidRDefault="00005452" w:rsidP="004B160D">
      <w:pPr>
        <w:jc w:val="both"/>
        <w:rPr>
          <w:rFonts w:ascii="Arial" w:hAnsi="Arial" w:cs="Arial"/>
          <w:sz w:val="18"/>
          <w:szCs w:val="18"/>
        </w:rPr>
      </w:pPr>
    </w:p>
    <w:p w:rsidR="00005452" w:rsidRPr="004B160D" w:rsidRDefault="00005452" w:rsidP="004B160D">
      <w:pPr>
        <w:jc w:val="center"/>
        <w:rPr>
          <w:rFonts w:ascii="Arial" w:hAnsi="Arial" w:cs="Arial"/>
          <w:color w:val="0071BC"/>
          <w:sz w:val="20"/>
          <w:szCs w:val="20"/>
        </w:rPr>
      </w:pPr>
      <w:r w:rsidRPr="004B160D">
        <w:rPr>
          <w:rFonts w:ascii="Arial" w:hAnsi="Arial" w:cs="Arial"/>
          <w:color w:val="0071BC"/>
          <w:sz w:val="20"/>
          <w:szCs w:val="20"/>
        </w:rPr>
        <w:t>*          *          *</w:t>
      </w:r>
    </w:p>
    <w:p w:rsidR="00565E88" w:rsidRPr="004B160D" w:rsidRDefault="00565E88" w:rsidP="004B160D">
      <w:pPr>
        <w:jc w:val="both"/>
        <w:rPr>
          <w:rFonts w:ascii="Arial" w:hAnsi="Arial" w:cs="Arial"/>
          <w:sz w:val="18"/>
          <w:szCs w:val="18"/>
        </w:rPr>
      </w:pPr>
    </w:p>
    <w:p w:rsidR="001F4220" w:rsidRPr="004B160D" w:rsidRDefault="001F4220" w:rsidP="004B160D">
      <w:pPr>
        <w:jc w:val="both"/>
        <w:rPr>
          <w:rFonts w:ascii="Arial" w:hAnsi="Arial" w:cs="Arial"/>
          <w:sz w:val="18"/>
          <w:szCs w:val="18"/>
        </w:rPr>
      </w:pPr>
    </w:p>
    <w:p w:rsidR="003D59A5" w:rsidRPr="004B160D" w:rsidRDefault="00B9558D" w:rsidP="004B160D">
      <w:pPr>
        <w:pStyle w:val="Zkladntextodsazen2"/>
        <w:spacing w:before="0"/>
        <w:ind w:firstLine="0"/>
        <w:rPr>
          <w:sz w:val="18"/>
          <w:szCs w:val="18"/>
        </w:rPr>
      </w:pPr>
      <w:r w:rsidRPr="004B160D">
        <w:rPr>
          <w:sz w:val="18"/>
          <w:szCs w:val="18"/>
        </w:rPr>
        <w:t>Další informace jsou dostupné na internetových stránkách Českého statistického úřadu:</w:t>
      </w:r>
    </w:p>
    <w:p w:rsidR="00E837F4" w:rsidRDefault="00E16EA0" w:rsidP="004B160D">
      <w:pPr>
        <w:tabs>
          <w:tab w:val="left" w:pos="360"/>
        </w:tabs>
        <w:spacing w:before="120"/>
        <w:jc w:val="both"/>
      </w:pPr>
      <w:r w:rsidRPr="004B160D">
        <w:rPr>
          <w:rFonts w:ascii="Arial" w:hAnsi="Arial" w:cs="Arial"/>
          <w:sz w:val="18"/>
          <w:szCs w:val="18"/>
        </w:rPr>
        <w:t>– </w:t>
      </w:r>
      <w:hyperlink r:id="rId8" w:history="1">
        <w:r w:rsidR="002401DF" w:rsidRPr="00A55278">
          <w:rPr>
            <w:rStyle w:val="Hypertextovodkaz"/>
            <w:rFonts w:ascii="Arial" w:hAnsi="Arial" w:cs="Arial"/>
            <w:sz w:val="18"/>
            <w:szCs w:val="18"/>
          </w:rPr>
          <w:t>www.czso.cz/csu/czso/prace_a_mzdy_prace</w:t>
        </w:r>
      </w:hyperlink>
    </w:p>
    <w:p w:rsidR="00537425" w:rsidRDefault="00E837F4" w:rsidP="004B160D">
      <w:pPr>
        <w:tabs>
          <w:tab w:val="left" w:pos="360"/>
        </w:tabs>
        <w:spacing w:before="120"/>
        <w:jc w:val="both"/>
        <w:rPr>
          <w:rFonts w:ascii="Arial" w:hAnsi="Arial" w:cs="Arial"/>
          <w:sz w:val="18"/>
          <w:szCs w:val="18"/>
        </w:rPr>
      </w:pPr>
      <w:r w:rsidRPr="004B160D">
        <w:rPr>
          <w:rFonts w:ascii="Arial" w:hAnsi="Arial" w:cs="Arial"/>
          <w:sz w:val="18"/>
          <w:szCs w:val="18"/>
        </w:rPr>
        <w:t>– </w:t>
      </w:r>
      <w:hyperlink r:id="rId9" w:history="1">
        <w:r w:rsidR="002401DF" w:rsidRPr="00D92B23">
          <w:rPr>
            <w:rStyle w:val="Hypertextovodkaz"/>
            <w:rFonts w:ascii="Arial" w:hAnsi="Arial" w:cs="Arial"/>
            <w:sz w:val="18"/>
            <w:szCs w:val="18"/>
          </w:rPr>
          <w:t>www.czso.cz/csu/czso/zamestnanost_nezamestnanost_prace</w:t>
        </w:r>
      </w:hyperlink>
    </w:p>
    <w:p w:rsidR="00B30CBA" w:rsidRPr="004B160D" w:rsidRDefault="00005452" w:rsidP="004B160D">
      <w:pPr>
        <w:tabs>
          <w:tab w:val="left" w:pos="360"/>
        </w:tabs>
        <w:spacing w:before="120"/>
        <w:jc w:val="both"/>
        <w:rPr>
          <w:rFonts w:ascii="Arial" w:hAnsi="Arial" w:cs="Arial"/>
          <w:sz w:val="18"/>
          <w:szCs w:val="18"/>
        </w:rPr>
      </w:pPr>
      <w:r w:rsidRPr="004B160D">
        <w:rPr>
          <w:rFonts w:ascii="Arial" w:hAnsi="Arial" w:cs="Arial"/>
          <w:sz w:val="18"/>
          <w:szCs w:val="18"/>
        </w:rPr>
        <w:t>nebo na internetových stránkách Ministerstva práce a sociálních věcí:</w:t>
      </w:r>
    </w:p>
    <w:p w:rsidR="00E837F4" w:rsidRPr="00A55278" w:rsidRDefault="00005452" w:rsidP="004B160D">
      <w:pPr>
        <w:tabs>
          <w:tab w:val="left" w:pos="360"/>
        </w:tabs>
        <w:spacing w:before="120"/>
        <w:jc w:val="both"/>
        <w:rPr>
          <w:rFonts w:ascii="Arial" w:hAnsi="Arial" w:cs="Arial"/>
          <w:sz w:val="18"/>
          <w:szCs w:val="18"/>
        </w:rPr>
      </w:pPr>
      <w:r w:rsidRPr="004B160D">
        <w:rPr>
          <w:rFonts w:ascii="Arial" w:hAnsi="Arial" w:cs="Arial"/>
          <w:sz w:val="18"/>
          <w:szCs w:val="18"/>
        </w:rPr>
        <w:t>–</w:t>
      </w:r>
      <w:r w:rsidR="00F90061" w:rsidRPr="004B160D">
        <w:rPr>
          <w:rFonts w:ascii="Arial" w:hAnsi="Arial" w:cs="Arial"/>
          <w:sz w:val="18"/>
          <w:szCs w:val="18"/>
        </w:rPr>
        <w:t> </w:t>
      </w:r>
      <w:hyperlink r:id="rId10" w:history="1">
        <w:r w:rsidR="002401DF" w:rsidRPr="00A55278">
          <w:rPr>
            <w:rStyle w:val="Hypertextovodkaz"/>
            <w:rFonts w:ascii="Arial" w:hAnsi="Arial" w:cs="Arial"/>
            <w:sz w:val="18"/>
            <w:szCs w:val="18"/>
          </w:rPr>
          <w:t>www.mpsv.cz/web/cz</w:t>
        </w:r>
      </w:hyperlink>
    </w:p>
    <w:p w:rsidR="002401DF" w:rsidRDefault="002401DF" w:rsidP="004B160D">
      <w:pPr>
        <w:tabs>
          <w:tab w:val="left" w:pos="360"/>
        </w:tabs>
        <w:spacing w:before="120"/>
        <w:jc w:val="both"/>
      </w:pPr>
    </w:p>
    <w:p w:rsidR="002401DF" w:rsidRPr="004B160D" w:rsidRDefault="002401DF" w:rsidP="004B160D">
      <w:pPr>
        <w:tabs>
          <w:tab w:val="left" w:pos="360"/>
        </w:tabs>
        <w:spacing w:before="120"/>
        <w:jc w:val="both"/>
        <w:rPr>
          <w:rFonts w:ascii="Arial" w:hAnsi="Arial" w:cs="Arial"/>
          <w:sz w:val="18"/>
          <w:szCs w:val="18"/>
          <w:u w:val="single"/>
        </w:rPr>
      </w:pPr>
    </w:p>
    <w:sectPr w:rsidR="002401DF" w:rsidRPr="004B160D" w:rsidSect="004B160D">
      <w:headerReference w:type="default" r:id="rId11"/>
      <w:footerReference w:type="default" r:id="rId12"/>
      <w:pgSz w:w="11907" w:h="16839" w:code="9"/>
      <w:pgMar w:top="1134" w:right="964" w:bottom="1418" w:left="96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4BE0" w:rsidRDefault="00514BE0">
      <w:r>
        <w:separator/>
      </w:r>
    </w:p>
  </w:endnote>
  <w:endnote w:type="continuationSeparator" w:id="0">
    <w:p w:rsidR="00514BE0" w:rsidRDefault="00514BE0">
      <w:r>
        <w:continuationSeparator/>
      </w:r>
    </w:p>
  </w:endnote>
  <w:endnote w:type="continuationNotice" w:id="1">
    <w:p w:rsidR="00514BE0" w:rsidRDefault="00514B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2415" w:rsidRDefault="00A3241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4BE0" w:rsidRDefault="00514BE0">
      <w:r>
        <w:separator/>
      </w:r>
    </w:p>
  </w:footnote>
  <w:footnote w:type="continuationSeparator" w:id="0">
    <w:p w:rsidR="00514BE0" w:rsidRDefault="00514BE0">
      <w:r>
        <w:continuationSeparator/>
      </w:r>
    </w:p>
  </w:footnote>
  <w:footnote w:type="continuationNotice" w:id="1">
    <w:p w:rsidR="00514BE0" w:rsidRDefault="00514BE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2415" w:rsidRDefault="00A32415">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F7363B"/>
    <w:multiLevelType w:val="hybridMultilevel"/>
    <w:tmpl w:val="53AA093A"/>
    <w:lvl w:ilvl="0" w:tplc="F392DD46">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16C81D3F"/>
    <w:multiLevelType w:val="hybridMultilevel"/>
    <w:tmpl w:val="DA72C54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D0C0258"/>
    <w:multiLevelType w:val="hybridMultilevel"/>
    <w:tmpl w:val="28F6DB6C"/>
    <w:lvl w:ilvl="0" w:tplc="4F221E98">
      <w:start w:val="1"/>
      <w:numFmt w:val="decimal"/>
      <w:lvlText w:val="%1."/>
      <w:lvlJc w:val="left"/>
      <w:pPr>
        <w:ind w:left="720" w:hanging="360"/>
      </w:pPr>
      <w:rPr>
        <w:rFonts w:cs="Arial"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6787E15"/>
    <w:multiLevelType w:val="hybridMultilevel"/>
    <w:tmpl w:val="94CCE05C"/>
    <w:lvl w:ilvl="0" w:tplc="6134A3AC">
      <w:start w:val="5"/>
      <w:numFmt w:val="bullet"/>
      <w:lvlText w:val="–"/>
      <w:lvlJc w:val="left"/>
      <w:pPr>
        <w:tabs>
          <w:tab w:val="num" w:pos="720"/>
        </w:tabs>
        <w:ind w:left="720" w:hanging="360"/>
      </w:pPr>
      <w:rPr>
        <w:rFonts w:ascii="Times New Roman" w:eastAsia="Times New Roman" w:hAnsi="Times New Roman" w:cs="Times New Roman" w:hint="default"/>
        <w:u w:val="no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B86FCA"/>
    <w:multiLevelType w:val="hybridMultilevel"/>
    <w:tmpl w:val="7568B3F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33C375F3"/>
    <w:multiLevelType w:val="hybridMultilevel"/>
    <w:tmpl w:val="E300F6AC"/>
    <w:lvl w:ilvl="0" w:tplc="30A8F54A">
      <w:start w:val="1"/>
      <w:numFmt w:val="decimal"/>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6" w15:restartNumberingAfterBreak="0">
    <w:nsid w:val="3FB4276C"/>
    <w:multiLevelType w:val="hybridMultilevel"/>
    <w:tmpl w:val="12FCA702"/>
    <w:lvl w:ilvl="0" w:tplc="1F324B66">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117B0E"/>
    <w:multiLevelType w:val="hybridMultilevel"/>
    <w:tmpl w:val="169C9EAC"/>
    <w:lvl w:ilvl="0" w:tplc="04050015">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41A62F34"/>
    <w:multiLevelType w:val="hybridMultilevel"/>
    <w:tmpl w:val="DD8E107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37816F1"/>
    <w:multiLevelType w:val="hybridMultilevel"/>
    <w:tmpl w:val="B9C2DAF4"/>
    <w:lvl w:ilvl="0" w:tplc="77B62402">
      <w:start w:val="6"/>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51601568"/>
    <w:multiLevelType w:val="hybridMultilevel"/>
    <w:tmpl w:val="195E7BAE"/>
    <w:lvl w:ilvl="0" w:tplc="5EF2EEE2">
      <w:start w:val="1"/>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4DE1D6B"/>
    <w:multiLevelType w:val="hybridMultilevel"/>
    <w:tmpl w:val="C7908438"/>
    <w:lvl w:ilvl="0" w:tplc="9296EDA0">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2" w15:restartNumberingAfterBreak="0">
    <w:nsid w:val="576873BE"/>
    <w:multiLevelType w:val="hybridMultilevel"/>
    <w:tmpl w:val="E84AEE1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6F817CCA"/>
    <w:multiLevelType w:val="hybridMultilevel"/>
    <w:tmpl w:val="A9047E64"/>
    <w:lvl w:ilvl="0" w:tplc="FBB04850">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7640484A"/>
    <w:multiLevelType w:val="hybridMultilevel"/>
    <w:tmpl w:val="11F417B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76766357"/>
    <w:multiLevelType w:val="hybridMultilevel"/>
    <w:tmpl w:val="16B44578"/>
    <w:lvl w:ilvl="0" w:tplc="05FC1710">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6" w15:restartNumberingAfterBreak="0">
    <w:nsid w:val="7C906631"/>
    <w:multiLevelType w:val="hybridMultilevel"/>
    <w:tmpl w:val="CCBAA1D4"/>
    <w:lvl w:ilvl="0" w:tplc="6A26BC42">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7FD15A4C"/>
    <w:multiLevelType w:val="hybridMultilevel"/>
    <w:tmpl w:val="7E248FF0"/>
    <w:lvl w:ilvl="0" w:tplc="545A6F28">
      <w:start w:val="1"/>
      <w:numFmt w:val="upperLetter"/>
      <w:pStyle w:val="Nadpis1"/>
      <w:lvlText w:val="%1."/>
      <w:lvlJc w:val="left"/>
      <w:pPr>
        <w:tabs>
          <w:tab w:val="num" w:pos="1065"/>
        </w:tabs>
        <w:ind w:left="1065" w:hanging="705"/>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7"/>
  </w:num>
  <w:num w:numId="2">
    <w:abstractNumId w:val="7"/>
  </w:num>
  <w:num w:numId="3">
    <w:abstractNumId w:val="10"/>
  </w:num>
  <w:num w:numId="4">
    <w:abstractNumId w:val="3"/>
  </w:num>
  <w:num w:numId="5">
    <w:abstractNumId w:val="6"/>
  </w:num>
  <w:num w:numId="6">
    <w:abstractNumId w:val="16"/>
  </w:num>
  <w:num w:numId="7">
    <w:abstractNumId w:val="1"/>
  </w:num>
  <w:num w:numId="8">
    <w:abstractNumId w:val="15"/>
  </w:num>
  <w:num w:numId="9">
    <w:abstractNumId w:val="8"/>
  </w:num>
  <w:num w:numId="10">
    <w:abstractNumId w:val="12"/>
  </w:num>
  <w:num w:numId="11">
    <w:abstractNumId w:val="0"/>
  </w:num>
  <w:num w:numId="12">
    <w:abstractNumId w:val="9"/>
  </w:num>
  <w:num w:numId="13">
    <w:abstractNumId w:val="11"/>
  </w:num>
  <w:num w:numId="14">
    <w:abstractNumId w:val="13"/>
  </w:num>
  <w:num w:numId="15">
    <w:abstractNumId w:val="5"/>
  </w:num>
  <w:num w:numId="16">
    <w:abstractNumId w:val="4"/>
  </w:num>
  <w:num w:numId="17">
    <w:abstractNumId w:val="14"/>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20"/>
  <w:displayHorizontalDrawingGridEvery w:val="2"/>
  <w:displayVerticalDrawingGridEvery w:val="2"/>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820"/>
    <w:rsid w:val="00005452"/>
    <w:rsid w:val="00005A64"/>
    <w:rsid w:val="00013560"/>
    <w:rsid w:val="00025807"/>
    <w:rsid w:val="00027DE2"/>
    <w:rsid w:val="000371A6"/>
    <w:rsid w:val="00037237"/>
    <w:rsid w:val="0004185C"/>
    <w:rsid w:val="00045645"/>
    <w:rsid w:val="0005680F"/>
    <w:rsid w:val="00060026"/>
    <w:rsid w:val="000608CF"/>
    <w:rsid w:val="0006300E"/>
    <w:rsid w:val="0007389F"/>
    <w:rsid w:val="000744D7"/>
    <w:rsid w:val="00076558"/>
    <w:rsid w:val="00077E63"/>
    <w:rsid w:val="00091297"/>
    <w:rsid w:val="000939B3"/>
    <w:rsid w:val="00095D26"/>
    <w:rsid w:val="00095FA2"/>
    <w:rsid w:val="000B72D5"/>
    <w:rsid w:val="000C1587"/>
    <w:rsid w:val="000C67D2"/>
    <w:rsid w:val="000C762C"/>
    <w:rsid w:val="000D1015"/>
    <w:rsid w:val="000D2749"/>
    <w:rsid w:val="000D27EF"/>
    <w:rsid w:val="000D7932"/>
    <w:rsid w:val="000E394C"/>
    <w:rsid w:val="000F162D"/>
    <w:rsid w:val="00115E2A"/>
    <w:rsid w:val="00116511"/>
    <w:rsid w:val="00117CD8"/>
    <w:rsid w:val="00117D82"/>
    <w:rsid w:val="00124A52"/>
    <w:rsid w:val="001260E7"/>
    <w:rsid w:val="0013269B"/>
    <w:rsid w:val="0013303F"/>
    <w:rsid w:val="00133701"/>
    <w:rsid w:val="00143470"/>
    <w:rsid w:val="00145448"/>
    <w:rsid w:val="00150151"/>
    <w:rsid w:val="00154920"/>
    <w:rsid w:val="001551BE"/>
    <w:rsid w:val="00171CA1"/>
    <w:rsid w:val="00186EB5"/>
    <w:rsid w:val="001970F6"/>
    <w:rsid w:val="001D2DB2"/>
    <w:rsid w:val="001D42C8"/>
    <w:rsid w:val="001D6D18"/>
    <w:rsid w:val="001E1665"/>
    <w:rsid w:val="001E7771"/>
    <w:rsid w:val="001F4220"/>
    <w:rsid w:val="00201B3B"/>
    <w:rsid w:val="00207BE9"/>
    <w:rsid w:val="002172A8"/>
    <w:rsid w:val="00221C03"/>
    <w:rsid w:val="002274D1"/>
    <w:rsid w:val="00231A48"/>
    <w:rsid w:val="002401DF"/>
    <w:rsid w:val="00242D7A"/>
    <w:rsid w:val="0024417E"/>
    <w:rsid w:val="002446F3"/>
    <w:rsid w:val="002514F0"/>
    <w:rsid w:val="00252BDC"/>
    <w:rsid w:val="00264619"/>
    <w:rsid w:val="00266457"/>
    <w:rsid w:val="002733C8"/>
    <w:rsid w:val="00281AB9"/>
    <w:rsid w:val="0029138F"/>
    <w:rsid w:val="00291826"/>
    <w:rsid w:val="00291BB7"/>
    <w:rsid w:val="00294BF1"/>
    <w:rsid w:val="00295094"/>
    <w:rsid w:val="002A115B"/>
    <w:rsid w:val="002B40CF"/>
    <w:rsid w:val="002C32E8"/>
    <w:rsid w:val="002D4B6D"/>
    <w:rsid w:val="002E647C"/>
    <w:rsid w:val="00305EAE"/>
    <w:rsid w:val="00312D50"/>
    <w:rsid w:val="003201AB"/>
    <w:rsid w:val="0032086E"/>
    <w:rsid w:val="00332112"/>
    <w:rsid w:val="00334FA0"/>
    <w:rsid w:val="00347A59"/>
    <w:rsid w:val="00350F08"/>
    <w:rsid w:val="0036709A"/>
    <w:rsid w:val="00367C74"/>
    <w:rsid w:val="00376250"/>
    <w:rsid w:val="00381853"/>
    <w:rsid w:val="00381E80"/>
    <w:rsid w:val="00394A91"/>
    <w:rsid w:val="003B1992"/>
    <w:rsid w:val="003B546F"/>
    <w:rsid w:val="003D59A5"/>
    <w:rsid w:val="003E1BD9"/>
    <w:rsid w:val="003E2212"/>
    <w:rsid w:val="003F3A0D"/>
    <w:rsid w:val="003F79F6"/>
    <w:rsid w:val="0040066E"/>
    <w:rsid w:val="00401FCD"/>
    <w:rsid w:val="0041165A"/>
    <w:rsid w:val="004152AD"/>
    <w:rsid w:val="00420B37"/>
    <w:rsid w:val="0042326E"/>
    <w:rsid w:val="004235A4"/>
    <w:rsid w:val="00425778"/>
    <w:rsid w:val="00443883"/>
    <w:rsid w:val="00444622"/>
    <w:rsid w:val="00446EDA"/>
    <w:rsid w:val="0045145A"/>
    <w:rsid w:val="00452FED"/>
    <w:rsid w:val="00455247"/>
    <w:rsid w:val="00481D99"/>
    <w:rsid w:val="004822E4"/>
    <w:rsid w:val="00493C6E"/>
    <w:rsid w:val="00493EF0"/>
    <w:rsid w:val="00494537"/>
    <w:rsid w:val="004A5852"/>
    <w:rsid w:val="004B160D"/>
    <w:rsid w:val="004C18A2"/>
    <w:rsid w:val="004C18EB"/>
    <w:rsid w:val="004C4A89"/>
    <w:rsid w:val="004C53D6"/>
    <w:rsid w:val="004C7139"/>
    <w:rsid w:val="004E2859"/>
    <w:rsid w:val="004F1920"/>
    <w:rsid w:val="005040DB"/>
    <w:rsid w:val="00504F97"/>
    <w:rsid w:val="005056AC"/>
    <w:rsid w:val="00514BE0"/>
    <w:rsid w:val="00515153"/>
    <w:rsid w:val="005208F6"/>
    <w:rsid w:val="005261EF"/>
    <w:rsid w:val="00535C72"/>
    <w:rsid w:val="00537425"/>
    <w:rsid w:val="00541E2B"/>
    <w:rsid w:val="0055777B"/>
    <w:rsid w:val="00563659"/>
    <w:rsid w:val="00564AD2"/>
    <w:rsid w:val="00565E88"/>
    <w:rsid w:val="00576E75"/>
    <w:rsid w:val="00577359"/>
    <w:rsid w:val="00592721"/>
    <w:rsid w:val="0059518A"/>
    <w:rsid w:val="005966A7"/>
    <w:rsid w:val="005B2939"/>
    <w:rsid w:val="005E74C2"/>
    <w:rsid w:val="005F15C4"/>
    <w:rsid w:val="005F6A74"/>
    <w:rsid w:val="00602975"/>
    <w:rsid w:val="00627924"/>
    <w:rsid w:val="00630F99"/>
    <w:rsid w:val="00631F63"/>
    <w:rsid w:val="00657E2A"/>
    <w:rsid w:val="00657E4A"/>
    <w:rsid w:val="00665B4C"/>
    <w:rsid w:val="0067678A"/>
    <w:rsid w:val="0068708A"/>
    <w:rsid w:val="006920C0"/>
    <w:rsid w:val="00693096"/>
    <w:rsid w:val="006A054A"/>
    <w:rsid w:val="006A12F3"/>
    <w:rsid w:val="006A3681"/>
    <w:rsid w:val="006B33A1"/>
    <w:rsid w:val="006B3BF1"/>
    <w:rsid w:val="006C6896"/>
    <w:rsid w:val="006E181C"/>
    <w:rsid w:val="006F168E"/>
    <w:rsid w:val="006F51C8"/>
    <w:rsid w:val="0070152B"/>
    <w:rsid w:val="007033D7"/>
    <w:rsid w:val="0070343B"/>
    <w:rsid w:val="00710B83"/>
    <w:rsid w:val="0071245A"/>
    <w:rsid w:val="00720070"/>
    <w:rsid w:val="007308A2"/>
    <w:rsid w:val="007309D5"/>
    <w:rsid w:val="00733EB6"/>
    <w:rsid w:val="00741232"/>
    <w:rsid w:val="00743A4F"/>
    <w:rsid w:val="00744B7D"/>
    <w:rsid w:val="00760E55"/>
    <w:rsid w:val="00763369"/>
    <w:rsid w:val="00763CEF"/>
    <w:rsid w:val="007662AC"/>
    <w:rsid w:val="00777C07"/>
    <w:rsid w:val="00794C45"/>
    <w:rsid w:val="00795161"/>
    <w:rsid w:val="007A1657"/>
    <w:rsid w:val="007A1C67"/>
    <w:rsid w:val="007A48D9"/>
    <w:rsid w:val="007A4E7D"/>
    <w:rsid w:val="007A7509"/>
    <w:rsid w:val="007B045E"/>
    <w:rsid w:val="007C1751"/>
    <w:rsid w:val="007C4690"/>
    <w:rsid w:val="007D1623"/>
    <w:rsid w:val="007F369F"/>
    <w:rsid w:val="008172A4"/>
    <w:rsid w:val="00820F57"/>
    <w:rsid w:val="00821BEA"/>
    <w:rsid w:val="008259ED"/>
    <w:rsid w:val="008327FF"/>
    <w:rsid w:val="00841AD9"/>
    <w:rsid w:val="00842CE5"/>
    <w:rsid w:val="00851591"/>
    <w:rsid w:val="00852C78"/>
    <w:rsid w:val="00854116"/>
    <w:rsid w:val="00855103"/>
    <w:rsid w:val="0087063F"/>
    <w:rsid w:val="008850B1"/>
    <w:rsid w:val="008906A8"/>
    <w:rsid w:val="008A1158"/>
    <w:rsid w:val="008C67CC"/>
    <w:rsid w:val="008D290E"/>
    <w:rsid w:val="00900A2F"/>
    <w:rsid w:val="00903309"/>
    <w:rsid w:val="009042DB"/>
    <w:rsid w:val="00904C5E"/>
    <w:rsid w:val="009214B1"/>
    <w:rsid w:val="0092673C"/>
    <w:rsid w:val="00943816"/>
    <w:rsid w:val="00946918"/>
    <w:rsid w:val="00951CA3"/>
    <w:rsid w:val="00952F5F"/>
    <w:rsid w:val="00953661"/>
    <w:rsid w:val="00963648"/>
    <w:rsid w:val="00973EE8"/>
    <w:rsid w:val="0097564C"/>
    <w:rsid w:val="009838A7"/>
    <w:rsid w:val="00991E16"/>
    <w:rsid w:val="009A1340"/>
    <w:rsid w:val="009B1B65"/>
    <w:rsid w:val="009C2155"/>
    <w:rsid w:val="009D4E73"/>
    <w:rsid w:val="009E0569"/>
    <w:rsid w:val="009E6B59"/>
    <w:rsid w:val="00A0147C"/>
    <w:rsid w:val="00A06FD4"/>
    <w:rsid w:val="00A13415"/>
    <w:rsid w:val="00A23FA5"/>
    <w:rsid w:val="00A27771"/>
    <w:rsid w:val="00A32415"/>
    <w:rsid w:val="00A36C08"/>
    <w:rsid w:val="00A421BC"/>
    <w:rsid w:val="00A46B05"/>
    <w:rsid w:val="00A5028C"/>
    <w:rsid w:val="00A548F1"/>
    <w:rsid w:val="00A55278"/>
    <w:rsid w:val="00A61E00"/>
    <w:rsid w:val="00A70A40"/>
    <w:rsid w:val="00A723B2"/>
    <w:rsid w:val="00A810F2"/>
    <w:rsid w:val="00A84537"/>
    <w:rsid w:val="00A87025"/>
    <w:rsid w:val="00A95899"/>
    <w:rsid w:val="00A97D69"/>
    <w:rsid w:val="00AA2ABE"/>
    <w:rsid w:val="00AB76AA"/>
    <w:rsid w:val="00AC7218"/>
    <w:rsid w:val="00AD47EB"/>
    <w:rsid w:val="00AD4C57"/>
    <w:rsid w:val="00AE0360"/>
    <w:rsid w:val="00AE66CF"/>
    <w:rsid w:val="00AF0D41"/>
    <w:rsid w:val="00AF6034"/>
    <w:rsid w:val="00AF646F"/>
    <w:rsid w:val="00B041AF"/>
    <w:rsid w:val="00B06343"/>
    <w:rsid w:val="00B1645D"/>
    <w:rsid w:val="00B2513A"/>
    <w:rsid w:val="00B30CBA"/>
    <w:rsid w:val="00B366A9"/>
    <w:rsid w:val="00B57F56"/>
    <w:rsid w:val="00B9558D"/>
    <w:rsid w:val="00B976CB"/>
    <w:rsid w:val="00BA4FA6"/>
    <w:rsid w:val="00BB0734"/>
    <w:rsid w:val="00BB2291"/>
    <w:rsid w:val="00BB54A0"/>
    <w:rsid w:val="00BB6849"/>
    <w:rsid w:val="00BC5601"/>
    <w:rsid w:val="00BD3026"/>
    <w:rsid w:val="00BD4715"/>
    <w:rsid w:val="00BF31DD"/>
    <w:rsid w:val="00BF7D44"/>
    <w:rsid w:val="00C06184"/>
    <w:rsid w:val="00C065CC"/>
    <w:rsid w:val="00C23302"/>
    <w:rsid w:val="00C301C8"/>
    <w:rsid w:val="00C31FA4"/>
    <w:rsid w:val="00C463A1"/>
    <w:rsid w:val="00C5160D"/>
    <w:rsid w:val="00C535DC"/>
    <w:rsid w:val="00C53B05"/>
    <w:rsid w:val="00C5672E"/>
    <w:rsid w:val="00C56759"/>
    <w:rsid w:val="00C57B82"/>
    <w:rsid w:val="00C605C4"/>
    <w:rsid w:val="00C611F3"/>
    <w:rsid w:val="00C61686"/>
    <w:rsid w:val="00C617F6"/>
    <w:rsid w:val="00C639B3"/>
    <w:rsid w:val="00C72832"/>
    <w:rsid w:val="00C747BA"/>
    <w:rsid w:val="00C7545D"/>
    <w:rsid w:val="00C76034"/>
    <w:rsid w:val="00C82EBC"/>
    <w:rsid w:val="00C93905"/>
    <w:rsid w:val="00C95A07"/>
    <w:rsid w:val="00CA221B"/>
    <w:rsid w:val="00CB0FC2"/>
    <w:rsid w:val="00CB3DBA"/>
    <w:rsid w:val="00CB4531"/>
    <w:rsid w:val="00CE15B0"/>
    <w:rsid w:val="00CF3301"/>
    <w:rsid w:val="00CF399A"/>
    <w:rsid w:val="00D0633D"/>
    <w:rsid w:val="00D101FC"/>
    <w:rsid w:val="00D40B29"/>
    <w:rsid w:val="00D438B7"/>
    <w:rsid w:val="00D43F93"/>
    <w:rsid w:val="00D56DAA"/>
    <w:rsid w:val="00D67490"/>
    <w:rsid w:val="00D73009"/>
    <w:rsid w:val="00D73A7E"/>
    <w:rsid w:val="00D76244"/>
    <w:rsid w:val="00D83DBE"/>
    <w:rsid w:val="00D87704"/>
    <w:rsid w:val="00D952C8"/>
    <w:rsid w:val="00DA5B79"/>
    <w:rsid w:val="00DB4BC2"/>
    <w:rsid w:val="00DC0AD3"/>
    <w:rsid w:val="00DC0FC6"/>
    <w:rsid w:val="00DC7608"/>
    <w:rsid w:val="00DE0A56"/>
    <w:rsid w:val="00DE2726"/>
    <w:rsid w:val="00DF6483"/>
    <w:rsid w:val="00DF72CA"/>
    <w:rsid w:val="00E021C5"/>
    <w:rsid w:val="00E0410D"/>
    <w:rsid w:val="00E05DFB"/>
    <w:rsid w:val="00E0781E"/>
    <w:rsid w:val="00E10B3E"/>
    <w:rsid w:val="00E110BF"/>
    <w:rsid w:val="00E16EA0"/>
    <w:rsid w:val="00E2677E"/>
    <w:rsid w:val="00E37A68"/>
    <w:rsid w:val="00E50335"/>
    <w:rsid w:val="00E5567A"/>
    <w:rsid w:val="00E64F1B"/>
    <w:rsid w:val="00E6657C"/>
    <w:rsid w:val="00E80AEE"/>
    <w:rsid w:val="00E837F4"/>
    <w:rsid w:val="00E869E0"/>
    <w:rsid w:val="00E96B04"/>
    <w:rsid w:val="00EA0AE0"/>
    <w:rsid w:val="00EB588F"/>
    <w:rsid w:val="00ED213D"/>
    <w:rsid w:val="00ED3EC7"/>
    <w:rsid w:val="00EE14D5"/>
    <w:rsid w:val="00EE27FA"/>
    <w:rsid w:val="00EE3B9F"/>
    <w:rsid w:val="00EF47B3"/>
    <w:rsid w:val="00EF500E"/>
    <w:rsid w:val="00F02947"/>
    <w:rsid w:val="00F07C24"/>
    <w:rsid w:val="00F17BB9"/>
    <w:rsid w:val="00F24D70"/>
    <w:rsid w:val="00F32A4D"/>
    <w:rsid w:val="00F355FA"/>
    <w:rsid w:val="00F37540"/>
    <w:rsid w:val="00F403A9"/>
    <w:rsid w:val="00F54C16"/>
    <w:rsid w:val="00F609A5"/>
    <w:rsid w:val="00F631C0"/>
    <w:rsid w:val="00F877EF"/>
    <w:rsid w:val="00F90061"/>
    <w:rsid w:val="00F9341D"/>
    <w:rsid w:val="00F9590D"/>
    <w:rsid w:val="00FA43F4"/>
    <w:rsid w:val="00FB1C4D"/>
    <w:rsid w:val="00FB7A79"/>
    <w:rsid w:val="00FC222E"/>
    <w:rsid w:val="00FD0D17"/>
    <w:rsid w:val="00FD1F6C"/>
    <w:rsid w:val="00FD29C1"/>
    <w:rsid w:val="00FD74B3"/>
    <w:rsid w:val="00FE03FC"/>
    <w:rsid w:val="00FE523C"/>
    <w:rsid w:val="00FF7080"/>
    <w:rsid w:val="00FF7089"/>
    <w:rsid w:val="00FF782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1E1682"/>
  <w15:docId w15:val="{15441059-CB84-45E7-90A9-C44AA2D1F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86EB5"/>
    <w:rPr>
      <w:sz w:val="24"/>
      <w:szCs w:val="24"/>
    </w:rPr>
  </w:style>
  <w:style w:type="paragraph" w:styleId="Nadpis1">
    <w:name w:val="heading 1"/>
    <w:basedOn w:val="Normln"/>
    <w:next w:val="Normln"/>
    <w:qFormat/>
    <w:rsid w:val="00186EB5"/>
    <w:pPr>
      <w:keepNext/>
      <w:numPr>
        <w:numId w:val="1"/>
      </w:numPr>
      <w:tabs>
        <w:tab w:val="clear" w:pos="1065"/>
        <w:tab w:val="num" w:pos="720"/>
      </w:tabs>
      <w:spacing w:before="120"/>
      <w:ind w:hanging="1065"/>
      <w:jc w:val="both"/>
      <w:outlineLvl w:val="0"/>
    </w:pPr>
    <w:rPr>
      <w:rFonts w:ascii="Arial" w:hAnsi="Arial" w:cs="Arial"/>
      <w:b/>
      <w:bCs/>
      <w:sz w:val="20"/>
    </w:rPr>
  </w:style>
  <w:style w:type="paragraph" w:styleId="Nadpis2">
    <w:name w:val="heading 2"/>
    <w:basedOn w:val="Normln"/>
    <w:next w:val="Normln"/>
    <w:qFormat/>
    <w:rsid w:val="00186EB5"/>
    <w:pPr>
      <w:keepNext/>
      <w:ind w:firstLine="708"/>
      <w:jc w:val="both"/>
      <w:outlineLvl w:val="1"/>
    </w:pPr>
    <w:rPr>
      <w:rFonts w:ascii="Arial" w:hAnsi="Arial" w:cs="Arial"/>
      <w:b/>
      <w:bCs/>
      <w:sz w:val="20"/>
    </w:rPr>
  </w:style>
  <w:style w:type="paragraph" w:styleId="Nadpis3">
    <w:name w:val="heading 3"/>
    <w:basedOn w:val="Normln"/>
    <w:next w:val="Normln"/>
    <w:qFormat/>
    <w:rsid w:val="00186EB5"/>
    <w:pPr>
      <w:keepNext/>
      <w:spacing w:before="120"/>
      <w:jc w:val="both"/>
      <w:outlineLvl w:val="2"/>
    </w:pPr>
    <w:rPr>
      <w:rFonts w:ascii="Arial" w:hAnsi="Arial" w:cs="Arial"/>
      <w:b/>
      <w:bCs/>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semiHidden/>
    <w:rsid w:val="00186EB5"/>
    <w:pPr>
      <w:spacing w:before="120"/>
      <w:jc w:val="both"/>
    </w:pPr>
    <w:rPr>
      <w:rFonts w:ascii="Arial" w:hAnsi="Arial" w:cs="Arial"/>
      <w:sz w:val="20"/>
    </w:rPr>
  </w:style>
  <w:style w:type="character" w:styleId="Hypertextovodkaz">
    <w:name w:val="Hyperlink"/>
    <w:semiHidden/>
    <w:rsid w:val="00186EB5"/>
    <w:rPr>
      <w:color w:val="0000FF"/>
      <w:u w:val="single"/>
    </w:rPr>
  </w:style>
  <w:style w:type="character" w:styleId="Sledovanodkaz">
    <w:name w:val="FollowedHyperlink"/>
    <w:semiHidden/>
    <w:rsid w:val="00186EB5"/>
    <w:rPr>
      <w:color w:val="800080"/>
      <w:u w:val="single"/>
    </w:rPr>
  </w:style>
  <w:style w:type="paragraph" w:styleId="Zkladntextodsazen">
    <w:name w:val="Body Text Indent"/>
    <w:basedOn w:val="Normln"/>
    <w:semiHidden/>
    <w:rsid w:val="00186EB5"/>
    <w:pPr>
      <w:tabs>
        <w:tab w:val="left" w:pos="360"/>
      </w:tabs>
      <w:spacing w:before="120"/>
      <w:ind w:left="360" w:hanging="360"/>
      <w:jc w:val="both"/>
    </w:pPr>
    <w:rPr>
      <w:rFonts w:ascii="Arial" w:hAnsi="Arial" w:cs="Arial"/>
      <w:sz w:val="18"/>
    </w:rPr>
  </w:style>
  <w:style w:type="paragraph" w:styleId="Rozloendokumentu">
    <w:name w:val="Document Map"/>
    <w:basedOn w:val="Normln"/>
    <w:semiHidden/>
    <w:rsid w:val="00186EB5"/>
    <w:pPr>
      <w:shd w:val="clear" w:color="auto" w:fill="000080"/>
    </w:pPr>
    <w:rPr>
      <w:rFonts w:ascii="Tahoma" w:hAnsi="Tahoma" w:cs="Tahoma"/>
    </w:rPr>
  </w:style>
  <w:style w:type="paragraph" w:styleId="Zkladntext2">
    <w:name w:val="Body Text 2"/>
    <w:basedOn w:val="Normln"/>
    <w:semiHidden/>
    <w:rsid w:val="00186EB5"/>
    <w:rPr>
      <w:sz w:val="16"/>
    </w:rPr>
  </w:style>
  <w:style w:type="paragraph" w:styleId="Zkladntextodsazen2">
    <w:name w:val="Body Text Indent 2"/>
    <w:basedOn w:val="Normln"/>
    <w:semiHidden/>
    <w:rsid w:val="00186EB5"/>
    <w:pPr>
      <w:spacing w:before="120"/>
      <w:ind w:firstLine="709"/>
      <w:jc w:val="both"/>
    </w:pPr>
    <w:rPr>
      <w:rFonts w:ascii="Arial" w:hAnsi="Arial" w:cs="Arial"/>
      <w:sz w:val="20"/>
    </w:rPr>
  </w:style>
  <w:style w:type="paragraph" w:styleId="Zkladntextodsazen3">
    <w:name w:val="Body Text Indent 3"/>
    <w:basedOn w:val="Normln"/>
    <w:semiHidden/>
    <w:rsid w:val="00186EB5"/>
    <w:pPr>
      <w:spacing w:before="120"/>
      <w:ind w:firstLine="709"/>
      <w:jc w:val="both"/>
    </w:pPr>
    <w:rPr>
      <w:rFonts w:ascii="Arial" w:hAnsi="Arial" w:cs="Arial"/>
      <w:sz w:val="18"/>
    </w:rPr>
  </w:style>
  <w:style w:type="paragraph" w:styleId="Zhlav">
    <w:name w:val="header"/>
    <w:basedOn w:val="Normln"/>
    <w:semiHidden/>
    <w:rsid w:val="00186EB5"/>
    <w:pPr>
      <w:tabs>
        <w:tab w:val="center" w:pos="4536"/>
        <w:tab w:val="right" w:pos="9072"/>
      </w:tabs>
    </w:pPr>
  </w:style>
  <w:style w:type="paragraph" w:styleId="Zpat">
    <w:name w:val="footer"/>
    <w:basedOn w:val="Normln"/>
    <w:semiHidden/>
    <w:rsid w:val="00186EB5"/>
    <w:pPr>
      <w:tabs>
        <w:tab w:val="center" w:pos="4536"/>
        <w:tab w:val="right" w:pos="9072"/>
      </w:tabs>
    </w:pPr>
  </w:style>
  <w:style w:type="character" w:styleId="Odkaznakoment">
    <w:name w:val="annotation reference"/>
    <w:semiHidden/>
    <w:rsid w:val="00186EB5"/>
    <w:rPr>
      <w:sz w:val="16"/>
      <w:szCs w:val="16"/>
    </w:rPr>
  </w:style>
  <w:style w:type="paragraph" w:styleId="Textkomente">
    <w:name w:val="annotation text"/>
    <w:basedOn w:val="Normln"/>
    <w:semiHidden/>
    <w:rsid w:val="00186EB5"/>
    <w:rPr>
      <w:sz w:val="20"/>
      <w:szCs w:val="20"/>
    </w:rPr>
  </w:style>
  <w:style w:type="paragraph" w:styleId="Textbubliny">
    <w:name w:val="Balloon Text"/>
    <w:basedOn w:val="Normln"/>
    <w:semiHidden/>
    <w:unhideWhenUsed/>
    <w:rsid w:val="00186EB5"/>
    <w:rPr>
      <w:rFonts w:ascii="Tahoma" w:hAnsi="Tahoma" w:cs="Tahoma"/>
      <w:sz w:val="16"/>
      <w:szCs w:val="16"/>
    </w:rPr>
  </w:style>
  <w:style w:type="character" w:customStyle="1" w:styleId="TextbublinyChar">
    <w:name w:val="Text bubliny Char"/>
    <w:semiHidden/>
    <w:rsid w:val="00186EB5"/>
    <w:rPr>
      <w:rFonts w:ascii="Tahoma" w:hAnsi="Tahoma" w:cs="Tahoma"/>
      <w:sz w:val="16"/>
      <w:szCs w:val="16"/>
    </w:rPr>
  </w:style>
  <w:style w:type="paragraph" w:styleId="Normlnweb">
    <w:name w:val="Normal (Web)"/>
    <w:basedOn w:val="Normln"/>
    <w:semiHidden/>
    <w:rsid w:val="00B06343"/>
    <w:pPr>
      <w:spacing w:before="100" w:beforeAutospacing="1" w:after="100" w:afterAutospacing="1"/>
    </w:pPr>
  </w:style>
  <w:style w:type="paragraph" w:styleId="Odstavecseseznamem">
    <w:name w:val="List Paragraph"/>
    <w:basedOn w:val="Normln"/>
    <w:uiPriority w:val="34"/>
    <w:qFormat/>
    <w:rsid w:val="005F6A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222639">
      <w:bodyDiv w:val="1"/>
      <w:marLeft w:val="0"/>
      <w:marRight w:val="0"/>
      <w:marTop w:val="0"/>
      <w:marBottom w:val="0"/>
      <w:divBdr>
        <w:top w:val="none" w:sz="0" w:space="0" w:color="auto"/>
        <w:left w:val="none" w:sz="0" w:space="0" w:color="auto"/>
        <w:bottom w:val="none" w:sz="0" w:space="0" w:color="auto"/>
        <w:right w:val="none" w:sz="0" w:space="0" w:color="auto"/>
      </w:divBdr>
    </w:div>
    <w:div w:id="808012133">
      <w:bodyDiv w:val="1"/>
      <w:marLeft w:val="0"/>
      <w:marRight w:val="0"/>
      <w:marTop w:val="0"/>
      <w:marBottom w:val="0"/>
      <w:divBdr>
        <w:top w:val="none" w:sz="0" w:space="0" w:color="auto"/>
        <w:left w:val="none" w:sz="0" w:space="0" w:color="auto"/>
        <w:bottom w:val="none" w:sz="0" w:space="0" w:color="auto"/>
        <w:right w:val="none" w:sz="0" w:space="0" w:color="auto"/>
      </w:divBdr>
    </w:div>
    <w:div w:id="1599408515">
      <w:bodyDiv w:val="1"/>
      <w:marLeft w:val="0"/>
      <w:marRight w:val="0"/>
      <w:marTop w:val="0"/>
      <w:marBottom w:val="0"/>
      <w:divBdr>
        <w:top w:val="none" w:sz="0" w:space="0" w:color="auto"/>
        <w:left w:val="none" w:sz="0" w:space="0" w:color="auto"/>
        <w:bottom w:val="none" w:sz="0" w:space="0" w:color="auto"/>
        <w:right w:val="none" w:sz="0" w:space="0" w:color="auto"/>
      </w:divBdr>
    </w:div>
    <w:div w:id="1627738082">
      <w:bodyDiv w:val="1"/>
      <w:marLeft w:val="0"/>
      <w:marRight w:val="0"/>
      <w:marTop w:val="0"/>
      <w:marBottom w:val="0"/>
      <w:divBdr>
        <w:top w:val="none" w:sz="0" w:space="0" w:color="auto"/>
        <w:left w:val="none" w:sz="0" w:space="0" w:color="auto"/>
        <w:bottom w:val="none" w:sz="0" w:space="0" w:color="auto"/>
        <w:right w:val="none" w:sz="0" w:space="0" w:color="auto"/>
      </w:divBdr>
    </w:div>
    <w:div w:id="1891918051">
      <w:bodyDiv w:val="1"/>
      <w:marLeft w:val="48"/>
      <w:marRight w:val="48"/>
      <w:marTop w:val="48"/>
      <w:marBottom w:val="12"/>
      <w:divBdr>
        <w:top w:val="none" w:sz="0" w:space="0" w:color="auto"/>
        <w:left w:val="none" w:sz="0" w:space="0" w:color="auto"/>
        <w:bottom w:val="none" w:sz="0" w:space="0" w:color="auto"/>
        <w:right w:val="none" w:sz="0" w:space="0" w:color="auto"/>
      </w:divBdr>
    </w:div>
    <w:div w:id="208302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so.cz/csu/czso/prace_a_mzdy_prac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mpsv.cz/web/cz" TargetMode="External"/><Relationship Id="rId4" Type="http://schemas.openxmlformats.org/officeDocument/2006/relationships/settings" Target="settings.xml"/><Relationship Id="rId9" Type="http://schemas.openxmlformats.org/officeDocument/2006/relationships/hyperlink" Target="http://www.czso.cz/csu/czso/zamestnanost_nezamestnanost_prace" TargetMode="External"/><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893787-2020-47BC-A740-48C8725B3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3</Pages>
  <Words>1460</Words>
  <Characters>8614</Characters>
  <Application>Microsoft Office Word</Application>
  <DocSecurity>0</DocSecurity>
  <Lines>71</Lines>
  <Paragraphs>20</Paragraphs>
  <ScaleCrop>false</ScaleCrop>
  <HeadingPairs>
    <vt:vector size="2" baseType="variant">
      <vt:variant>
        <vt:lpstr>Název</vt:lpstr>
      </vt:variant>
      <vt:variant>
        <vt:i4>1</vt:i4>
      </vt:variant>
    </vt:vector>
  </HeadingPairs>
  <TitlesOfParts>
    <vt:vector size="1" baseType="lpstr">
      <vt:lpstr>10</vt:lpstr>
    </vt:vector>
  </TitlesOfParts>
  <Company>CSU</Company>
  <LinksUpToDate>false</LinksUpToDate>
  <CharactersWithSpaces>10054</CharactersWithSpaces>
  <SharedDoc>false</SharedDoc>
  <HLinks>
    <vt:vector size="24" baseType="variant">
      <vt:variant>
        <vt:i4>4522077</vt:i4>
      </vt:variant>
      <vt:variant>
        <vt:i4>9</vt:i4>
      </vt:variant>
      <vt:variant>
        <vt:i4>0</vt:i4>
      </vt:variant>
      <vt:variant>
        <vt:i4>5</vt:i4>
      </vt:variant>
      <vt:variant>
        <vt:lpwstr>http://portal.mpsv.cz/iip</vt:lpwstr>
      </vt:variant>
      <vt:variant>
        <vt:lpwstr/>
      </vt:variant>
      <vt:variant>
        <vt:i4>2949225</vt:i4>
      </vt:variant>
      <vt:variant>
        <vt:i4>6</vt:i4>
      </vt:variant>
      <vt:variant>
        <vt:i4>0</vt:i4>
      </vt:variant>
      <vt:variant>
        <vt:i4>5</vt:i4>
      </vt:variant>
      <vt:variant>
        <vt:lpwstr>http://www.mpsv.cz/cs/</vt:lpwstr>
      </vt:variant>
      <vt:variant>
        <vt:lpwstr/>
      </vt:variant>
      <vt:variant>
        <vt:i4>5439570</vt:i4>
      </vt:variant>
      <vt:variant>
        <vt:i4>3</vt:i4>
      </vt:variant>
      <vt:variant>
        <vt:i4>0</vt:i4>
      </vt:variant>
      <vt:variant>
        <vt:i4>5</vt:i4>
      </vt:variant>
      <vt:variant>
        <vt:lpwstr>http://www.czso.cz/csu/redakce.nsf/i/zamestnanost_nezamestnanost_prace</vt:lpwstr>
      </vt:variant>
      <vt:variant>
        <vt:lpwstr/>
      </vt:variant>
      <vt:variant>
        <vt:i4>5374060</vt:i4>
      </vt:variant>
      <vt:variant>
        <vt:i4>0</vt:i4>
      </vt:variant>
      <vt:variant>
        <vt:i4>0</vt:i4>
      </vt:variant>
      <vt:variant>
        <vt:i4>5</vt:i4>
      </vt:variant>
      <vt:variant>
        <vt:lpwstr>http://www.czso.cz/csu/redakce.nsf/i/prace_a_mzdy_prace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dc:title>
  <dc:creator>System Service</dc:creator>
  <cp:lastModifiedBy>Novotná Venuše</cp:lastModifiedBy>
  <cp:revision>13</cp:revision>
  <cp:lastPrinted>2015-07-30T08:44:00Z</cp:lastPrinted>
  <dcterms:created xsi:type="dcterms:W3CDTF">2022-01-26T14:35:00Z</dcterms:created>
  <dcterms:modified xsi:type="dcterms:W3CDTF">2022-11-24T12:08:00Z</dcterms:modified>
</cp:coreProperties>
</file>