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DB" w:rsidRPr="00641938" w:rsidRDefault="00B414F8" w:rsidP="00694914">
      <w:pPr>
        <w:pStyle w:val="Nadpis1"/>
        <w:numPr>
          <w:ilvl w:val="0"/>
          <w:numId w:val="17"/>
        </w:numPr>
      </w:pPr>
      <w:bookmarkStart w:id="0" w:name="_Toc430189789"/>
      <w:bookmarkStart w:id="1" w:name="_Toc431474846"/>
      <w:bookmarkStart w:id="2" w:name="_Toc431475017"/>
      <w:r w:rsidRPr="00641938">
        <w:t>OBECNÁ CHARAKTERISTIKA</w:t>
      </w:r>
      <w:bookmarkEnd w:id="0"/>
      <w:bookmarkEnd w:id="1"/>
      <w:bookmarkEnd w:id="2"/>
    </w:p>
    <w:p w:rsidR="00BB64DB" w:rsidRDefault="00BB64DB" w:rsidP="00B414F8">
      <w:r>
        <w:t>Před popisem jednotlivých oblastí kulturních průmyslů (audiovizuálního a mediálního sektoru) je třeba vymezit, co a v jakém rozsahu bude pro účely této publikace zkoumáno.</w:t>
      </w:r>
    </w:p>
    <w:p w:rsidR="00BB64DB" w:rsidRDefault="00BB64DB" w:rsidP="00B414F8">
      <w:pPr>
        <w:ind w:firstLine="708"/>
      </w:pPr>
      <w:r>
        <w:t>Členění použité v tomto textu vychází z trojsektorového vymezení kultury, které v rámci analýzy ekonomického rozměru kultury každoročně prezentuje dokument Satelitní účet kultury</w:t>
      </w:r>
      <w:r w:rsidR="003C03EB">
        <w:t xml:space="preserve"> (ČSÚ, NIPOS, 2015)</w:t>
      </w:r>
      <w:r>
        <w:t>. Dělení kultury na tradiční (neprůmyslová) odvětví, u kterých produkty a služby nelze reprodukovat a jsou konzumovány obvykle na místě (např. výtvarné umění, divadlo, tanec, kulturní dědictví) a průmyslová odvětví, u kterých je kulturní zboží určeno k reprodukci a hromadnému užití (např. kniha, film, reprodukovaná hudba) je převzaté z definice v dokumentu Ekon</w:t>
      </w:r>
      <w:r w:rsidR="00B414F8">
        <w:t>omika kultury z roku 2006, který</w:t>
      </w:r>
      <w:r>
        <w:t xml:space="preserve"> pro Evropskou komisi vypracovala společnost KEA</w:t>
      </w:r>
      <w:r w:rsidR="003B588B">
        <w:rPr>
          <w:rStyle w:val="Znakapoznpodarou"/>
        </w:rPr>
        <w:footnoteReference w:id="1"/>
      </w:r>
      <w:r>
        <w:t>. Průmyslová a neprůmyslová odvětví jsou zde doplněna</w:t>
      </w:r>
      <w:r w:rsidR="00282CCA">
        <w:t> </w:t>
      </w:r>
      <w:r>
        <w:t>o</w:t>
      </w:r>
      <w:r w:rsidR="00282CCA">
        <w:t> </w:t>
      </w:r>
      <w:r>
        <w:t xml:space="preserve">třetí odvětví – tvůrčí (kreativní) průmysly. V rámci těchto kreativních průmyslů, kam patří např. módní návrhářství či reklama, jsou kulturní prostředky a myšlenky použity také pro výstupy </w:t>
      </w:r>
      <w:r w:rsidR="001A7DF6">
        <w:t>„</w:t>
      </w:r>
      <w:r>
        <w:t>ne-kulturních</w:t>
      </w:r>
      <w:r w:rsidR="001A7DF6">
        <w:t>“</w:t>
      </w:r>
      <w:r>
        <w:t xml:space="preserve"> odvětví</w:t>
      </w:r>
      <w:r w:rsidR="00B414F8">
        <w:t xml:space="preserve"> (KEA, 2006)</w:t>
      </w:r>
      <w:r>
        <w:t xml:space="preserve">. Analýza bude tedy rozlišovat </w:t>
      </w:r>
      <w:r w:rsidRPr="00BB64DB">
        <w:rPr>
          <w:b/>
        </w:rPr>
        <w:t xml:space="preserve">tradiční odvětví </w:t>
      </w:r>
      <w:r w:rsidRPr="00BB64DB">
        <w:t>(kulturní sektor),</w:t>
      </w:r>
      <w:r>
        <w:t xml:space="preserve"> </w:t>
      </w:r>
      <w:r w:rsidRPr="0061035B">
        <w:rPr>
          <w:b/>
        </w:rPr>
        <w:t xml:space="preserve">kulturní </w:t>
      </w:r>
      <w:r w:rsidRPr="00BB64DB">
        <w:rPr>
          <w:b/>
        </w:rPr>
        <w:t xml:space="preserve">průmysly </w:t>
      </w:r>
      <w:r w:rsidRPr="00BB64DB">
        <w:t>(audiovizuální a mediální sektor</w:t>
      </w:r>
      <w:r>
        <w:t>, jenž je hlavním předmětem zájmu</w:t>
      </w:r>
      <w:r w:rsidRPr="00BB64DB">
        <w:t>)</w:t>
      </w:r>
      <w:r>
        <w:t xml:space="preserve"> a </w:t>
      </w:r>
      <w:r w:rsidRPr="005524DD">
        <w:rPr>
          <w:b/>
        </w:rPr>
        <w:t>kreativní průmysly</w:t>
      </w:r>
      <w:r>
        <w:t xml:space="preserve"> (tvůrčí sektor, produkující také </w:t>
      </w:r>
      <w:r w:rsidR="001A7DF6">
        <w:t>„</w:t>
      </w:r>
      <w:r>
        <w:t>ne-kulturní</w:t>
      </w:r>
      <w:r w:rsidR="001A7DF6">
        <w:t>“</w:t>
      </w:r>
      <w:r>
        <w:t xml:space="preserve"> zboží za pomoci kulturních vstupů). Také v oblasti kultury působí správní organizace a veřejné instituce, jejichž činnosti jsou v rámci </w:t>
      </w:r>
      <w:r w:rsidR="00B414F8">
        <w:t>tohoto</w:t>
      </w:r>
      <w:r>
        <w:t xml:space="preserve"> vymezení analyzovány jako samostatná oblast - </w:t>
      </w:r>
      <w:r w:rsidRPr="00B00577">
        <w:rPr>
          <w:b/>
          <w:szCs w:val="20"/>
        </w:rPr>
        <w:t>s</w:t>
      </w:r>
      <w:r w:rsidRPr="00B00577">
        <w:rPr>
          <w:rFonts w:cs="Arial"/>
          <w:b/>
          <w:szCs w:val="20"/>
        </w:rPr>
        <w:t>práva  a podpora kulturní činnosti</w:t>
      </w:r>
      <w:r w:rsidRPr="00B00577">
        <w:rPr>
          <w:szCs w:val="20"/>
        </w:rPr>
        <w:t>.</w:t>
      </w:r>
    </w:p>
    <w:p w:rsidR="00BB64DB" w:rsidRDefault="00BB64DB" w:rsidP="00B414F8">
      <w:pPr>
        <w:ind w:firstLine="708"/>
      </w:pPr>
      <w:r>
        <w:t xml:space="preserve">Konkrétní statistické vymezení </w:t>
      </w:r>
      <w:r w:rsidR="00F72FAA">
        <w:t>kultury</w:t>
      </w:r>
      <w:r>
        <w:t xml:space="preserve"> prezentované v tomto textu je postavené na závěrech pracovní skupiny ESSnet-Culture</w:t>
      </w:r>
      <w:r>
        <w:rPr>
          <w:rStyle w:val="Znakapoznpodarou"/>
        </w:rPr>
        <w:footnoteReference w:id="2"/>
      </w:r>
      <w:r>
        <w:t xml:space="preserve">, která vznikla za podpory Evropské komise a Eurostatu za účelem sjednocení evropské metodiky v oblasti statistik kultury a jejíž závěry jsou publikované v </w:t>
      </w:r>
      <w:r w:rsidR="00B414F8">
        <w:t>projektové</w:t>
      </w:r>
      <w:r>
        <w:t xml:space="preserve"> zprávě z roku 2012. Na základě všeobecné shody v rámci této pracovní s</w:t>
      </w:r>
      <w:r w:rsidR="00B00577">
        <w:t xml:space="preserve">kupiny </w:t>
      </w:r>
      <w:r w:rsidR="00F1651D">
        <w:t>byly</w:t>
      </w:r>
      <w:r w:rsidR="00B00577">
        <w:t xml:space="preserve"> </w:t>
      </w:r>
      <w:r w:rsidR="00F1651D">
        <w:t>vymezeny</w:t>
      </w:r>
      <w:r>
        <w:t xml:space="preserve"> aktivity dle čtyřmístné klasifikace NACE rozdělené do devíti oblastí. Průnik vymezení ESSnet-Culture a trojsektorového vnímání kultury </w:t>
      </w:r>
      <w:r w:rsidR="00B414F8">
        <w:t xml:space="preserve">uvádí Tabulka </w:t>
      </w:r>
      <w:r>
        <w:t>1 převzatá ze Satelitního účtu kultury.</w:t>
      </w:r>
    </w:p>
    <w:p w:rsidR="00BB64DB" w:rsidRDefault="00BB64DB" w:rsidP="00B414F8">
      <w:pPr>
        <w:ind w:firstLine="708"/>
      </w:pPr>
      <w:r>
        <w:t xml:space="preserve"> Hlavním předmětem zkoumání bude následujících šest oblastí audiovizuálního a mediálního sektoru - </w:t>
      </w:r>
      <w:r w:rsidRPr="0012450A">
        <w:rPr>
          <w:b/>
        </w:rPr>
        <w:t>film a video</w:t>
      </w:r>
      <w:r>
        <w:t xml:space="preserve">, </w:t>
      </w:r>
      <w:r w:rsidRPr="0012450A">
        <w:rPr>
          <w:b/>
        </w:rPr>
        <w:t>knihy a tisk</w:t>
      </w:r>
      <w:r>
        <w:t xml:space="preserve">, </w:t>
      </w:r>
      <w:r w:rsidRPr="0012450A">
        <w:rPr>
          <w:b/>
        </w:rPr>
        <w:t>televize</w:t>
      </w:r>
      <w:r>
        <w:t xml:space="preserve">, </w:t>
      </w:r>
      <w:r w:rsidRPr="0012450A">
        <w:rPr>
          <w:b/>
        </w:rPr>
        <w:t>rozhlas</w:t>
      </w:r>
      <w:r>
        <w:t xml:space="preserve">, </w:t>
      </w:r>
      <w:r w:rsidRPr="0012450A">
        <w:rPr>
          <w:b/>
        </w:rPr>
        <w:t>hudba</w:t>
      </w:r>
      <w:r>
        <w:t xml:space="preserve"> a </w:t>
      </w:r>
      <w:r w:rsidRPr="0012450A">
        <w:rPr>
          <w:b/>
        </w:rPr>
        <w:t>videohry</w:t>
      </w:r>
      <w:r>
        <w:rPr>
          <w:b/>
        </w:rPr>
        <w:t xml:space="preserve"> </w:t>
      </w:r>
      <w:r>
        <w:t xml:space="preserve">a to v rozsahu, který uvádí Tabulka 1. Kulturní průmysly mají, kromě již zmíněné reprodukovatelnosti produktů, společné také další aspekty. Teorie ekonomiky kultury vnímá například specifický vztah mezi umělci (tvůrci) a komerčními subjekty, kteří umělecké dílo distribuují na trh. I přesto, že </w:t>
      </w:r>
      <w:r w:rsidR="001A7DF6">
        <w:t>tyto komerční subjekty nevytvářejí</w:t>
      </w:r>
      <w:r>
        <w:t xml:space="preserve"> žádný kreativní obsah, jsou v mnoha případech nositeli autorských práv na umělecká díla a bez jejich přispění nejsou samotní umělci často schopni na trhu obstát (Towse, 2010). Pro kulturní zboží je také charakteristický velmi nejistý úspěch na trhu. Ten záleží na názoru kritiky, aktuálním naladění publika a dalších faktorech a proto se dá předpovědět obtížněji než u více homogenních produktů a komodit (Caves, 2000). Každá oblast má však vedle těchto obecných rysů vlastní specifickou charakteristiku, která bude nastíněna v úvodu každé kapitoly.</w:t>
      </w:r>
    </w:p>
    <w:p w:rsidR="00BB64DB" w:rsidRPr="00771367" w:rsidRDefault="00BB64DB" w:rsidP="00B414F8">
      <w:pPr>
        <w:ind w:firstLine="708"/>
      </w:pPr>
      <w:r>
        <w:lastRenderedPageBreak/>
        <w:t xml:space="preserve">Zastřešující pojem kulturní průmysly bude volně nahrazován pojmem </w:t>
      </w:r>
      <w:r w:rsidRPr="00D969DC">
        <w:rPr>
          <w:b/>
        </w:rPr>
        <w:t>audiovizuální a mediální sektor</w:t>
      </w:r>
      <w:r>
        <w:t xml:space="preserve">, který odpovídá charakteru zkoumané oblasti a odkazuje na členění podle závěrečné zprávy ESS-net Culture. </w:t>
      </w:r>
      <w:r w:rsidR="001A7DF6">
        <w:t xml:space="preserve">V tomto výstupu jsou </w:t>
      </w:r>
      <w:r>
        <w:t xml:space="preserve">ekonomické činnosti, jež jsou předmětem zájmu této analýzy, </w:t>
      </w:r>
      <w:r w:rsidR="001A7DF6">
        <w:t xml:space="preserve">řazeny </w:t>
      </w:r>
      <w:r>
        <w:t xml:space="preserve">pouze do dvou oblastí – </w:t>
      </w:r>
      <w:r w:rsidR="00B00577">
        <w:t>p</w:t>
      </w:r>
      <w:r>
        <w:t>e</w:t>
      </w:r>
      <w:r w:rsidR="00B00577">
        <w:t>riodický a neperiodický tisk a a</w:t>
      </w:r>
      <w:r>
        <w:t>u</w:t>
      </w:r>
      <w:r w:rsidR="001A7DF6">
        <w:t>diovizuální a interaktivní média</w:t>
      </w:r>
      <w:r>
        <w:t>. Pojmy sektor, odvětví</w:t>
      </w:r>
      <w:r w:rsidR="00282CCA">
        <w:t> </w:t>
      </w:r>
      <w:r>
        <w:t>a</w:t>
      </w:r>
      <w:r w:rsidR="00282CCA">
        <w:t> </w:t>
      </w:r>
      <w:r>
        <w:t>průmysly v plurálu jsou v textu použity jako synonyma a v rámci názvosloví jsou nadřazeny pojmům oblast a průmysl v jednotném čísle.</w:t>
      </w:r>
    </w:p>
    <w:p w:rsidR="00BB64DB" w:rsidRPr="00B414F8" w:rsidRDefault="00BB64DB" w:rsidP="00BB64DB">
      <w:pPr>
        <w:pStyle w:val="Titulek"/>
        <w:rPr>
          <w:rFonts w:ascii="Arial" w:hAnsi="Arial" w:cs="Arial"/>
          <w:color w:val="auto"/>
          <w:sz w:val="20"/>
          <w:szCs w:val="20"/>
        </w:rPr>
      </w:pPr>
      <w:r w:rsidRPr="00B414F8">
        <w:rPr>
          <w:rFonts w:ascii="Arial" w:hAnsi="Arial" w:cs="Arial"/>
          <w:color w:val="auto"/>
          <w:sz w:val="20"/>
          <w:szCs w:val="20"/>
        </w:rPr>
        <w:t xml:space="preserve">Tabulka </w:t>
      </w:r>
      <w:r w:rsidR="00EB17AC" w:rsidRPr="00B414F8">
        <w:rPr>
          <w:rFonts w:ascii="Arial" w:hAnsi="Arial" w:cs="Arial"/>
          <w:color w:val="auto"/>
          <w:sz w:val="20"/>
          <w:szCs w:val="20"/>
        </w:rPr>
        <w:fldChar w:fldCharType="begin"/>
      </w:r>
      <w:r w:rsidRPr="00B414F8">
        <w:rPr>
          <w:rFonts w:ascii="Arial" w:hAnsi="Arial" w:cs="Arial"/>
          <w:color w:val="auto"/>
          <w:sz w:val="20"/>
          <w:szCs w:val="20"/>
        </w:rPr>
        <w:instrText xml:space="preserve"> SEQ Tabulka \* ARABIC </w:instrText>
      </w:r>
      <w:r w:rsidR="00EB17AC" w:rsidRPr="00B414F8">
        <w:rPr>
          <w:rFonts w:ascii="Arial" w:hAnsi="Arial" w:cs="Arial"/>
          <w:color w:val="auto"/>
          <w:sz w:val="20"/>
          <w:szCs w:val="20"/>
        </w:rPr>
        <w:fldChar w:fldCharType="separate"/>
      </w:r>
      <w:r w:rsidR="00583523">
        <w:rPr>
          <w:rFonts w:ascii="Arial" w:hAnsi="Arial" w:cs="Arial"/>
          <w:noProof/>
          <w:color w:val="auto"/>
          <w:sz w:val="20"/>
          <w:szCs w:val="20"/>
        </w:rPr>
        <w:t>1</w:t>
      </w:r>
      <w:r w:rsidR="00EB17AC" w:rsidRPr="00B414F8">
        <w:rPr>
          <w:rFonts w:ascii="Arial" w:hAnsi="Arial" w:cs="Arial"/>
          <w:color w:val="auto"/>
          <w:sz w:val="20"/>
          <w:szCs w:val="20"/>
        </w:rPr>
        <w:fldChar w:fldCharType="end"/>
      </w:r>
      <w:r w:rsidRPr="00B414F8">
        <w:rPr>
          <w:rFonts w:ascii="Arial" w:hAnsi="Arial" w:cs="Arial"/>
          <w:color w:val="auto"/>
          <w:sz w:val="20"/>
          <w:szCs w:val="20"/>
        </w:rPr>
        <w:t xml:space="preserve"> </w:t>
      </w:r>
      <w:r w:rsidRPr="00B414F8">
        <w:rPr>
          <w:rFonts w:ascii="Arial" w:hAnsi="Arial" w:cs="Arial"/>
          <w:b w:val="0"/>
          <w:color w:val="auto"/>
          <w:sz w:val="20"/>
          <w:szCs w:val="20"/>
        </w:rPr>
        <w:t xml:space="preserve">Trojsektorové </w:t>
      </w:r>
      <w:r w:rsidR="00B414F8">
        <w:rPr>
          <w:rFonts w:ascii="Arial" w:hAnsi="Arial" w:cs="Arial"/>
          <w:b w:val="0"/>
          <w:color w:val="auto"/>
          <w:sz w:val="20"/>
          <w:szCs w:val="20"/>
        </w:rPr>
        <w:t>členění</w:t>
      </w:r>
      <w:r w:rsidRPr="00B414F8">
        <w:rPr>
          <w:rFonts w:ascii="Arial" w:hAnsi="Arial" w:cs="Arial"/>
          <w:b w:val="0"/>
          <w:color w:val="auto"/>
          <w:sz w:val="20"/>
          <w:szCs w:val="20"/>
        </w:rPr>
        <w:t xml:space="preserve"> kultury</w:t>
      </w:r>
    </w:p>
    <w:tbl>
      <w:tblPr>
        <w:tblW w:w="9673" w:type="dxa"/>
        <w:tblInd w:w="70" w:type="dxa"/>
        <w:tblLayout w:type="fixed"/>
        <w:tblCellMar>
          <w:left w:w="70" w:type="dxa"/>
          <w:right w:w="70" w:type="dxa"/>
        </w:tblCellMar>
        <w:tblLook w:val="04A0"/>
      </w:tblPr>
      <w:tblGrid>
        <w:gridCol w:w="2752"/>
        <w:gridCol w:w="2978"/>
        <w:gridCol w:w="3943"/>
      </w:tblGrid>
      <w:tr w:rsidR="00BB64DB" w:rsidRPr="00BF5923" w:rsidTr="007D12C6">
        <w:trPr>
          <w:trHeight w:val="347"/>
        </w:trPr>
        <w:tc>
          <w:tcPr>
            <w:tcW w:w="2752" w:type="dxa"/>
            <w:tcBorders>
              <w:top w:val="single" w:sz="12" w:space="0" w:color="auto"/>
              <w:left w:val="single" w:sz="8" w:space="0" w:color="FFFFFF" w:themeColor="background1"/>
              <w:bottom w:val="single" w:sz="12" w:space="0" w:color="auto"/>
              <w:right w:val="single" w:sz="8" w:space="0" w:color="F2DBDB" w:themeColor="accent2" w:themeTint="33"/>
            </w:tcBorders>
            <w:shd w:val="clear" w:color="auto" w:fill="F2DBDB" w:themeFill="accent2" w:themeFillTint="33"/>
            <w:noWrap/>
            <w:vAlign w:val="bottom"/>
            <w:hideMark/>
          </w:tcPr>
          <w:p w:rsidR="00BB64DB" w:rsidRPr="007D12C6" w:rsidRDefault="00BB64DB" w:rsidP="00BB64DB">
            <w:pPr>
              <w:pStyle w:val="Box"/>
              <w:ind w:left="0"/>
              <w:rPr>
                <w:rFonts w:asciiTheme="minorHAnsi" w:hAnsiTheme="minorHAnsi"/>
                <w:sz w:val="20"/>
                <w:szCs w:val="20"/>
              </w:rPr>
            </w:pPr>
            <w:r w:rsidRPr="007D12C6">
              <w:rPr>
                <w:rFonts w:asciiTheme="minorHAnsi" w:hAnsiTheme="minorHAnsi"/>
                <w:sz w:val="20"/>
                <w:szCs w:val="20"/>
              </w:rPr>
              <w:t>SEKTOR</w:t>
            </w:r>
          </w:p>
        </w:tc>
        <w:tc>
          <w:tcPr>
            <w:tcW w:w="2978" w:type="dxa"/>
            <w:tcBorders>
              <w:top w:val="single" w:sz="12" w:space="0" w:color="auto"/>
              <w:left w:val="single" w:sz="8" w:space="0" w:color="F2DBDB" w:themeColor="accent2" w:themeTint="33"/>
              <w:bottom w:val="single" w:sz="12" w:space="0" w:color="auto"/>
              <w:right w:val="single" w:sz="8" w:space="0" w:color="F2DBDB" w:themeColor="accent2" w:themeTint="33"/>
            </w:tcBorders>
            <w:shd w:val="clear" w:color="auto" w:fill="F2DBDB" w:themeFill="accent2" w:themeFillTint="33"/>
            <w:vAlign w:val="bottom"/>
            <w:hideMark/>
          </w:tcPr>
          <w:p w:rsidR="00BB64DB" w:rsidRPr="007D12C6" w:rsidRDefault="00BB64DB" w:rsidP="00BB64DB">
            <w:pPr>
              <w:pStyle w:val="Box"/>
              <w:ind w:left="53"/>
              <w:rPr>
                <w:rFonts w:asciiTheme="minorHAnsi" w:hAnsiTheme="minorHAnsi"/>
                <w:sz w:val="20"/>
                <w:szCs w:val="20"/>
              </w:rPr>
            </w:pPr>
            <w:r w:rsidRPr="007D12C6">
              <w:rPr>
                <w:rFonts w:asciiTheme="minorHAnsi" w:hAnsiTheme="minorHAnsi"/>
                <w:sz w:val="20"/>
                <w:szCs w:val="20"/>
              </w:rPr>
              <w:t>OBLAST</w:t>
            </w:r>
          </w:p>
        </w:tc>
        <w:tc>
          <w:tcPr>
            <w:tcW w:w="3943" w:type="dxa"/>
            <w:tcBorders>
              <w:top w:val="single" w:sz="12" w:space="0" w:color="auto"/>
              <w:left w:val="single" w:sz="8" w:space="0" w:color="F2DBDB" w:themeColor="accent2" w:themeTint="33"/>
              <w:bottom w:val="single" w:sz="12" w:space="0" w:color="auto"/>
              <w:right w:val="single" w:sz="8" w:space="0" w:color="FFFFFF" w:themeColor="background1"/>
            </w:tcBorders>
            <w:shd w:val="clear" w:color="auto" w:fill="F2DBDB" w:themeFill="accent2" w:themeFillTint="33"/>
            <w:vAlign w:val="bottom"/>
            <w:hideMark/>
          </w:tcPr>
          <w:p w:rsidR="00BB64DB" w:rsidRPr="007D12C6" w:rsidRDefault="00BB64DB" w:rsidP="00BB64DB">
            <w:pPr>
              <w:pStyle w:val="Box"/>
              <w:ind w:left="20"/>
              <w:rPr>
                <w:rFonts w:asciiTheme="minorHAnsi" w:hAnsiTheme="minorHAnsi"/>
                <w:sz w:val="20"/>
                <w:szCs w:val="20"/>
              </w:rPr>
            </w:pPr>
            <w:r w:rsidRPr="007D12C6">
              <w:rPr>
                <w:rFonts w:asciiTheme="minorHAnsi" w:hAnsiTheme="minorHAnsi"/>
                <w:sz w:val="20"/>
                <w:szCs w:val="20"/>
              </w:rPr>
              <w:t>NACE</w:t>
            </w:r>
          </w:p>
        </w:tc>
      </w:tr>
      <w:tr w:rsidR="00BB64DB" w:rsidRPr="00BF5923" w:rsidTr="007D12C6">
        <w:trPr>
          <w:trHeight w:val="303"/>
        </w:trPr>
        <w:tc>
          <w:tcPr>
            <w:tcW w:w="2752" w:type="dxa"/>
            <w:vMerge w:val="restart"/>
            <w:tcBorders>
              <w:top w:val="single" w:sz="12" w:space="0" w:color="auto"/>
              <w:left w:val="single" w:sz="8" w:space="0" w:color="FFFFFF" w:themeColor="background1"/>
              <w:bottom w:val="nil"/>
              <w:right w:val="single" w:sz="8" w:space="0" w:color="FFFFFF" w:themeColor="background1"/>
            </w:tcBorders>
            <w:shd w:val="clear" w:color="auto" w:fill="auto"/>
            <w:textDirection w:val="btLr"/>
            <w:vAlign w:val="center"/>
            <w:hideMark/>
          </w:tcPr>
          <w:p w:rsidR="00BB64DB" w:rsidRPr="007D12C6" w:rsidRDefault="00BB64DB" w:rsidP="00B00577">
            <w:pPr>
              <w:jc w:val="center"/>
              <w:rPr>
                <w:rFonts w:asciiTheme="minorHAnsi" w:hAnsiTheme="minorHAnsi"/>
                <w:szCs w:val="20"/>
              </w:rPr>
            </w:pPr>
            <w:r w:rsidRPr="007D12C6">
              <w:rPr>
                <w:rFonts w:asciiTheme="minorHAnsi" w:hAnsiTheme="minorHAnsi"/>
                <w:szCs w:val="20"/>
              </w:rPr>
              <w:t>TRADIČNÍ ODVĚTV</w:t>
            </w:r>
            <w:r w:rsidR="00B00577">
              <w:rPr>
                <w:rFonts w:asciiTheme="minorHAnsi" w:hAnsiTheme="minorHAnsi"/>
                <w:szCs w:val="20"/>
              </w:rPr>
              <w:t>í  (K</w:t>
            </w:r>
            <w:r w:rsidRPr="007D12C6">
              <w:rPr>
                <w:rFonts w:asciiTheme="minorHAnsi" w:hAnsiTheme="minorHAnsi"/>
                <w:szCs w:val="20"/>
              </w:rPr>
              <w:t>ULTURNÍ</w:t>
            </w:r>
            <w:r w:rsidR="00B00577">
              <w:rPr>
                <w:rFonts w:asciiTheme="minorHAnsi" w:hAnsiTheme="minorHAnsi"/>
                <w:szCs w:val="20"/>
              </w:rPr>
              <w:t xml:space="preserve"> </w:t>
            </w:r>
            <w:r w:rsidRPr="007D12C6">
              <w:rPr>
                <w:rFonts w:asciiTheme="minorHAnsi" w:hAnsiTheme="minorHAnsi"/>
                <w:szCs w:val="20"/>
              </w:rPr>
              <w:t xml:space="preserve">SEKTOR) </w:t>
            </w:r>
          </w:p>
        </w:tc>
        <w:tc>
          <w:tcPr>
            <w:tcW w:w="2978" w:type="dxa"/>
            <w:tcBorders>
              <w:top w:val="single" w:sz="12"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Kulturní dědictví</w:t>
            </w:r>
          </w:p>
        </w:tc>
        <w:tc>
          <w:tcPr>
            <w:tcW w:w="3943" w:type="dxa"/>
            <w:tcBorders>
              <w:top w:val="single" w:sz="12"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91.01, 02, 03, 47.78, 79</w:t>
            </w:r>
          </w:p>
        </w:tc>
      </w:tr>
      <w:tr w:rsidR="00BB64DB" w:rsidRPr="00BF5923"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Scénická umění</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90.01,02,04</w:t>
            </w:r>
          </w:p>
        </w:tc>
      </w:tr>
      <w:tr w:rsidR="00BB64DB" w:rsidRPr="00BF5923"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Výtvarná umění</w:t>
            </w:r>
            <w:r w:rsidRPr="007D12C6">
              <w:rPr>
                <w:rFonts w:asciiTheme="minorHAnsi" w:hAnsiTheme="minorHAnsi"/>
                <w:szCs w:val="20"/>
                <w:vertAlign w:val="superscript"/>
              </w:rPr>
              <w:footnoteReference w:id="3"/>
            </w:r>
            <w:r w:rsidRPr="007D12C6">
              <w:rPr>
                <w:rFonts w:asciiTheme="minorHAnsi" w:hAnsiTheme="minorHAnsi"/>
                <w:szCs w:val="20"/>
                <w:vertAlign w:val="superscript"/>
              </w:rPr>
              <w:t>)</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74.20,90.03</w:t>
            </w:r>
          </w:p>
        </w:tc>
      </w:tr>
      <w:tr w:rsidR="00BB64DB" w:rsidRPr="00BF5923"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Kulturní a uměl. vzdělávání</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85.52</w:t>
            </w:r>
          </w:p>
        </w:tc>
      </w:tr>
      <w:tr w:rsidR="00BB64DB" w:rsidRPr="00BF5923" w:rsidTr="007D12C6">
        <w:trPr>
          <w:trHeight w:val="303"/>
        </w:trPr>
        <w:tc>
          <w:tcPr>
            <w:tcW w:w="2752" w:type="dxa"/>
            <w:vMerge/>
            <w:tcBorders>
              <w:top w:val="nil"/>
              <w:left w:val="single" w:sz="8" w:space="0" w:color="FFFFFF" w:themeColor="background1"/>
              <w:bottom w:val="single" w:sz="8" w:space="0" w:color="auto"/>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Uměl. řemesla</w:t>
            </w:r>
          </w:p>
        </w:tc>
        <w:tc>
          <w:tcPr>
            <w:tcW w:w="3943"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odd.14,15,16,23,25,31,32,43 (část)</w:t>
            </w:r>
          </w:p>
        </w:tc>
      </w:tr>
      <w:tr w:rsidR="00BB64DB" w:rsidRPr="00BF5923" w:rsidTr="007D12C6">
        <w:trPr>
          <w:trHeight w:val="303"/>
        </w:trPr>
        <w:tc>
          <w:tcPr>
            <w:tcW w:w="2752" w:type="dxa"/>
            <w:vMerge w:val="restart"/>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textDirection w:val="btLr"/>
            <w:vAlign w:val="center"/>
            <w:hideMark/>
          </w:tcPr>
          <w:p w:rsidR="00BB64DB" w:rsidRPr="007D12C6" w:rsidRDefault="00BB64DB" w:rsidP="00BB64DB">
            <w:pPr>
              <w:jc w:val="center"/>
              <w:rPr>
                <w:rFonts w:asciiTheme="minorHAnsi" w:hAnsiTheme="minorHAnsi"/>
                <w:b/>
                <w:szCs w:val="20"/>
              </w:rPr>
            </w:pPr>
            <w:r w:rsidRPr="007D12C6">
              <w:rPr>
                <w:rFonts w:asciiTheme="minorHAnsi" w:hAnsiTheme="minorHAnsi"/>
                <w:b/>
                <w:szCs w:val="20"/>
              </w:rPr>
              <w:t>KULTURNÍ  PRŮMYSLY (AUDIOVIZUÁLNÍ A MEDIÁLNÍ SEKTOR)</w:t>
            </w:r>
          </w:p>
        </w:tc>
        <w:tc>
          <w:tcPr>
            <w:tcW w:w="2978" w:type="dxa"/>
            <w:tcBorders>
              <w:top w:val="single" w:sz="8" w:space="0" w:color="auto"/>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Film a video</w:t>
            </w:r>
          </w:p>
        </w:tc>
        <w:tc>
          <w:tcPr>
            <w:tcW w:w="3943" w:type="dxa"/>
            <w:tcBorders>
              <w:top w:val="single" w:sz="8" w:space="0" w:color="auto"/>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59.11, 12, 13 , 14, 77.22, 47.63 (část, 50%)</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Hudba</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59.20, 47.63 (část, 50%)</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Rozhlas</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60.10</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Televize</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60.20</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Knihy a tisk</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58.11, 13, 14, 63.91, 74.30, 47.61, 62</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auto"/>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auto"/>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Videohry</w:t>
            </w:r>
          </w:p>
        </w:tc>
        <w:tc>
          <w:tcPr>
            <w:tcW w:w="3943" w:type="dxa"/>
            <w:tcBorders>
              <w:top w:val="single" w:sz="8" w:space="0" w:color="F2DBDB" w:themeColor="accent2" w:themeTint="33"/>
              <w:left w:val="single" w:sz="8" w:space="0" w:color="F2DBDB" w:themeColor="accent2" w:themeTint="33"/>
              <w:bottom w:val="single" w:sz="8" w:space="0" w:color="auto"/>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58.21</w:t>
            </w:r>
          </w:p>
        </w:tc>
      </w:tr>
      <w:tr w:rsidR="00BB64DB" w:rsidRPr="00BF5923" w:rsidTr="007D12C6">
        <w:trPr>
          <w:trHeight w:val="303"/>
        </w:trPr>
        <w:tc>
          <w:tcPr>
            <w:tcW w:w="2752" w:type="dxa"/>
            <w:vMerge w:val="restart"/>
            <w:tcBorders>
              <w:top w:val="single" w:sz="8" w:space="0" w:color="auto"/>
              <w:left w:val="single" w:sz="8" w:space="0" w:color="FFFFFF" w:themeColor="background1"/>
              <w:bottom w:val="single" w:sz="8" w:space="0" w:color="000000"/>
              <w:right w:val="single" w:sz="8" w:space="0" w:color="FFFFFF" w:themeColor="background1"/>
            </w:tcBorders>
            <w:shd w:val="clear" w:color="auto" w:fill="auto"/>
            <w:textDirection w:val="btLr"/>
            <w:vAlign w:val="center"/>
            <w:hideMark/>
          </w:tcPr>
          <w:p w:rsidR="00BB64DB" w:rsidRPr="007D12C6" w:rsidRDefault="00BB64DB" w:rsidP="00BB64DB">
            <w:pPr>
              <w:spacing w:before="120"/>
              <w:jc w:val="center"/>
              <w:rPr>
                <w:rFonts w:asciiTheme="minorHAnsi" w:hAnsiTheme="minorHAnsi"/>
                <w:szCs w:val="20"/>
              </w:rPr>
            </w:pPr>
            <w:r w:rsidRPr="007D12C6">
              <w:rPr>
                <w:rFonts w:asciiTheme="minorHAnsi" w:hAnsiTheme="minorHAnsi"/>
                <w:szCs w:val="20"/>
              </w:rPr>
              <w:t xml:space="preserve">KREATIVNÍ </w:t>
            </w:r>
            <w:r w:rsidRPr="007D12C6">
              <w:rPr>
                <w:rFonts w:asciiTheme="minorHAnsi" w:hAnsiTheme="minorHAnsi"/>
                <w:szCs w:val="20"/>
              </w:rPr>
              <w:br/>
              <w:t>PRŮMYSLY (TVŮRČÍ SEKTOR)</w:t>
            </w:r>
          </w:p>
        </w:tc>
        <w:tc>
          <w:tcPr>
            <w:tcW w:w="2978"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Architektura</w:t>
            </w:r>
          </w:p>
        </w:tc>
        <w:tc>
          <w:tcPr>
            <w:tcW w:w="3943"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71.11</w:t>
            </w:r>
          </w:p>
        </w:tc>
      </w:tr>
      <w:tr w:rsidR="00BB64DB" w:rsidRPr="00BF5923" w:rsidTr="007D12C6">
        <w:trPr>
          <w:trHeight w:val="303"/>
        </w:trPr>
        <w:tc>
          <w:tcPr>
            <w:tcW w:w="2752" w:type="dxa"/>
            <w:vMerge/>
            <w:tcBorders>
              <w:top w:val="nil"/>
              <w:left w:val="single" w:sz="8" w:space="0" w:color="FFFFFF" w:themeColor="background1"/>
              <w:bottom w:val="single" w:sz="8" w:space="0" w:color="000000"/>
              <w:right w:val="single" w:sz="8" w:space="0" w:color="FFFFFF" w:themeColor="background1"/>
            </w:tcBorders>
            <w:vAlign w:val="center"/>
            <w:hideMark/>
          </w:tcPr>
          <w:p w:rsidR="00BB64DB" w:rsidRPr="007D12C6" w:rsidRDefault="00BB64DB" w:rsidP="00BB64DB">
            <w:pPr>
              <w:spacing w:before="120"/>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Reklama</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73.11</w:t>
            </w:r>
          </w:p>
        </w:tc>
      </w:tr>
      <w:tr w:rsidR="00BB64DB" w:rsidRPr="00BF5923" w:rsidTr="007D12C6">
        <w:trPr>
          <w:trHeight w:val="303"/>
        </w:trPr>
        <w:tc>
          <w:tcPr>
            <w:tcW w:w="2752" w:type="dxa"/>
            <w:vMerge/>
            <w:tcBorders>
              <w:top w:val="nil"/>
              <w:left w:val="single" w:sz="8" w:space="0" w:color="FFFFFF" w:themeColor="background1"/>
              <w:bottom w:val="single" w:sz="8" w:space="0" w:color="auto"/>
              <w:right w:val="single" w:sz="8" w:space="0" w:color="FFFFFF" w:themeColor="background1"/>
            </w:tcBorders>
            <w:vAlign w:val="center"/>
            <w:hideMark/>
          </w:tcPr>
          <w:p w:rsidR="00BB64DB" w:rsidRPr="007D12C6" w:rsidRDefault="00BB64DB" w:rsidP="00BB64DB">
            <w:pPr>
              <w:spacing w:before="120"/>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Design</w:t>
            </w:r>
          </w:p>
        </w:tc>
        <w:tc>
          <w:tcPr>
            <w:tcW w:w="3943"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74.10</w:t>
            </w:r>
          </w:p>
        </w:tc>
      </w:tr>
      <w:tr w:rsidR="00BB64DB" w:rsidRPr="00BF5923" w:rsidTr="007D12C6">
        <w:trPr>
          <w:trHeight w:val="303"/>
        </w:trPr>
        <w:tc>
          <w:tcPr>
            <w:tcW w:w="5730" w:type="dxa"/>
            <w:gridSpan w:val="2"/>
            <w:tcBorders>
              <w:top w:val="single" w:sz="8" w:space="0" w:color="auto"/>
              <w:left w:val="single" w:sz="8" w:space="0" w:color="FFFFFF" w:themeColor="background1"/>
              <w:bottom w:val="single" w:sz="12" w:space="0" w:color="auto"/>
              <w:right w:val="single" w:sz="8" w:space="0" w:color="FFFFFF" w:themeColor="background1"/>
            </w:tcBorders>
            <w:shd w:val="clear" w:color="auto" w:fill="auto"/>
            <w:vAlign w:val="center"/>
            <w:hideMark/>
          </w:tcPr>
          <w:p w:rsidR="00BB64DB" w:rsidRPr="007D12C6" w:rsidRDefault="00BB64DB" w:rsidP="002A32D6">
            <w:pPr>
              <w:spacing w:after="0" w:line="240" w:lineRule="auto"/>
              <w:rPr>
                <w:rFonts w:asciiTheme="minorHAnsi" w:hAnsiTheme="minorHAnsi" w:cs="Arial"/>
                <w:szCs w:val="20"/>
              </w:rPr>
            </w:pPr>
            <w:r w:rsidRPr="007D12C6">
              <w:rPr>
                <w:rFonts w:asciiTheme="minorHAnsi" w:hAnsiTheme="minorHAnsi" w:cs="Arial"/>
                <w:szCs w:val="20"/>
              </w:rPr>
              <w:t>Správa  a podpora kult. činnosti</w:t>
            </w:r>
          </w:p>
        </w:tc>
        <w:tc>
          <w:tcPr>
            <w:tcW w:w="3943" w:type="dxa"/>
            <w:tcBorders>
              <w:top w:val="single" w:sz="8" w:space="0" w:color="auto"/>
              <w:left w:val="single" w:sz="8" w:space="0" w:color="FFFFFF" w:themeColor="background1"/>
              <w:bottom w:val="single" w:sz="12" w:space="0" w:color="auto"/>
              <w:right w:val="single" w:sz="8" w:space="0" w:color="FFFFFF" w:themeColor="background1"/>
            </w:tcBorders>
            <w:shd w:val="clear" w:color="auto" w:fill="auto"/>
            <w:noWrap/>
            <w:vAlign w:val="center"/>
            <w:hideMark/>
          </w:tcPr>
          <w:p w:rsidR="00BB64DB" w:rsidRPr="007D12C6" w:rsidRDefault="00BB64DB" w:rsidP="00BB64DB">
            <w:pPr>
              <w:keepNext/>
              <w:spacing w:after="0" w:line="240" w:lineRule="auto"/>
              <w:jc w:val="left"/>
              <w:rPr>
                <w:rFonts w:asciiTheme="minorHAnsi" w:hAnsiTheme="minorHAnsi" w:cs="Arial"/>
                <w:szCs w:val="20"/>
              </w:rPr>
            </w:pPr>
            <w:r w:rsidRPr="007D12C6">
              <w:rPr>
                <w:rFonts w:asciiTheme="minorHAnsi" w:hAnsiTheme="minorHAnsi" w:cs="Arial"/>
                <w:szCs w:val="20"/>
              </w:rPr>
              <w:t>84.11,12 (část), 94.99.2</w:t>
            </w:r>
          </w:p>
        </w:tc>
      </w:tr>
    </w:tbl>
    <w:p w:rsidR="00BB64DB" w:rsidRPr="00B414F8" w:rsidRDefault="00BB64DB" w:rsidP="00BB64DB">
      <w:pPr>
        <w:pStyle w:val="Titulek"/>
        <w:rPr>
          <w:rFonts w:ascii="Arial" w:hAnsi="Arial" w:cs="Arial"/>
          <w:b w:val="0"/>
          <w:color w:val="auto"/>
          <w:sz w:val="20"/>
          <w:szCs w:val="20"/>
        </w:rPr>
      </w:pPr>
      <w:r w:rsidRPr="00B414F8">
        <w:rPr>
          <w:rFonts w:ascii="Arial" w:hAnsi="Arial" w:cs="Arial"/>
          <w:b w:val="0"/>
          <w:color w:val="auto"/>
          <w:sz w:val="20"/>
          <w:szCs w:val="20"/>
        </w:rPr>
        <w:t>Zdroj: ČSÚ, NIPOS</w:t>
      </w:r>
    </w:p>
    <w:p w:rsidR="00BB64DB" w:rsidRPr="00B414F8" w:rsidRDefault="00B414F8" w:rsidP="00694914">
      <w:pPr>
        <w:pStyle w:val="Nadpis2"/>
        <w:numPr>
          <w:ilvl w:val="1"/>
          <w:numId w:val="17"/>
        </w:numPr>
      </w:pPr>
      <w:bookmarkStart w:id="3" w:name="_Toc430189790"/>
      <w:bookmarkStart w:id="4" w:name="_Toc431474847"/>
      <w:bookmarkStart w:id="5" w:name="_Toc431475018"/>
      <w:r w:rsidRPr="00B414F8">
        <w:t>ZDROJE DAT</w:t>
      </w:r>
      <w:bookmarkEnd w:id="3"/>
      <w:bookmarkEnd w:id="4"/>
      <w:bookmarkEnd w:id="5"/>
    </w:p>
    <w:p w:rsidR="00BB64DB" w:rsidRDefault="00BB64DB" w:rsidP="00B414F8">
      <w:r>
        <w:t>Statistické údaje za jednotlivé oblasti byly poskládány tak, aby poskytly co nejkomplexnější pohled na rozmanitý audiovizuální a mediální sektor. Základní ukazatele v</w:t>
      </w:r>
      <w:r w:rsidR="00B00577">
        <w:t>ycházejí ze statistik ČSÚ, které jsou koordinovány</w:t>
      </w:r>
      <w:r>
        <w:t xml:space="preserve"> na mezinárodní úrovni a mají jednotnou výchozí metodiku. Jejich využití pro účely mezinárodně srovnatelných dat v oblasti kultury doporučuje také obnovená pracovní skupina </w:t>
      </w:r>
      <w:r w:rsidRPr="00FA4166">
        <w:rPr>
          <w:i/>
        </w:rPr>
        <w:t>Working Group on Culture Statistics</w:t>
      </w:r>
      <w:r>
        <w:t xml:space="preserve"> iniciovaná institucí E</w:t>
      </w:r>
      <w:r w:rsidR="001A7DF6">
        <w:t>urostat</w:t>
      </w:r>
      <w:r>
        <w:t xml:space="preserve"> (EUROSTAT, 2015). Data </w:t>
      </w:r>
      <w:r w:rsidR="00B414F8">
        <w:t>o</w:t>
      </w:r>
      <w:r>
        <w:t xml:space="preserve"> </w:t>
      </w:r>
      <w:r w:rsidR="00B414F8">
        <w:t>příjmech</w:t>
      </w:r>
      <w:r>
        <w:t xml:space="preserve"> </w:t>
      </w:r>
      <w:r w:rsidR="00B00577">
        <w:t>stejně jako</w:t>
      </w:r>
      <w:r>
        <w:t xml:space="preserve"> </w:t>
      </w:r>
      <w:r w:rsidR="00B414F8">
        <w:t>o poč</w:t>
      </w:r>
      <w:r>
        <w:t>t</w:t>
      </w:r>
      <w:r w:rsidR="00B414F8">
        <w:t>u</w:t>
      </w:r>
      <w:r>
        <w:t xml:space="preserve"> zaměstnanců pocházejí z  </w:t>
      </w:r>
      <w:r w:rsidRPr="00BB64DB">
        <w:t>Podnikové strukturální statistiky</w:t>
      </w:r>
      <w:r w:rsidR="007A39D9">
        <w:t xml:space="preserve"> ČSÚ</w:t>
      </w:r>
      <w:r w:rsidRPr="00E53275">
        <w:t xml:space="preserve"> </w:t>
      </w:r>
      <w:r>
        <w:t xml:space="preserve">(v angličtině nazývané </w:t>
      </w:r>
      <w:r w:rsidRPr="00B145A1">
        <w:rPr>
          <w:i/>
        </w:rPr>
        <w:t xml:space="preserve">Structural Business </w:t>
      </w:r>
      <w:r w:rsidRPr="00B145A1">
        <w:rPr>
          <w:i/>
        </w:rPr>
        <w:lastRenderedPageBreak/>
        <w:t>Statistics</w:t>
      </w:r>
      <w:r>
        <w:t>). Údaje o kulturní participaci na internetu</w:t>
      </w:r>
      <w:r w:rsidR="00B414F8">
        <w:t xml:space="preserve"> pak</w:t>
      </w:r>
      <w:r>
        <w:t xml:space="preserve"> zachycuje</w:t>
      </w:r>
      <w:r w:rsidR="007A39D9">
        <w:t xml:space="preserve"> pravidelné roční statistické šetření ČSÚ</w:t>
      </w:r>
      <w:r>
        <w:t xml:space="preserve"> s názvem </w:t>
      </w:r>
      <w:r w:rsidRPr="00B00577">
        <w:t>Využívání informačních a komunikačních technologií v domácnostech a mezi jednotlivci</w:t>
      </w:r>
      <w:r>
        <w:t>. Výdaje spotřebitelů vycházejí ze statistiky rodinných účtů ČSÚ.</w:t>
      </w:r>
    </w:p>
    <w:p w:rsidR="00BB64DB" w:rsidRDefault="00BB64DB" w:rsidP="00B414F8">
      <w:pPr>
        <w:ind w:firstLine="708"/>
      </w:pPr>
      <w:r>
        <w:t xml:space="preserve">Dalším zdrojem dat jsou pravidelné roční výkazy </w:t>
      </w:r>
      <w:r w:rsidR="007A39D9">
        <w:t xml:space="preserve">řady </w:t>
      </w:r>
      <w:r w:rsidRPr="00CB5E1F">
        <w:t xml:space="preserve">Kult </w:t>
      </w:r>
      <w:r>
        <w:t>v gesci ČSÚ (rozhlas, televize</w:t>
      </w:r>
      <w:r w:rsidR="00282CCA">
        <w:t>) </w:t>
      </w:r>
      <w:r>
        <w:t>a</w:t>
      </w:r>
      <w:r w:rsidR="00282CCA">
        <w:t> </w:t>
      </w:r>
      <w:r w:rsidRPr="00CB5E1F">
        <w:t>Národního informačního a poradenského střediska pro kulturu</w:t>
      </w:r>
      <w:r>
        <w:t xml:space="preserve"> (knihy a tisk)</w:t>
      </w:r>
      <w:r w:rsidR="007A39D9">
        <w:t>, které je příspěvkovou organizací MK ČR</w:t>
      </w:r>
      <w:r>
        <w:t xml:space="preserve">. Data získaná z výkazů </w:t>
      </w:r>
      <w:r w:rsidRPr="00CB5E1F">
        <w:t>Kult</w:t>
      </w:r>
      <w:r>
        <w:t xml:space="preserve"> mají tu výhodu, že na rozdíl od výběrových šetření zachycují oblast vyčerpávajícím způsobem. Hodnotná data poskytují také profesní organizace sdružující významné společnosti v rámci jednotlivých průmyslů. Pravidelné reporty těchto organizací mohou v závislosti na rozsahu členské základny poskytovat úplnější informace o ekonomice jednotlivých oblastí</w:t>
      </w:r>
      <w:r w:rsidR="00B414F8">
        <w:t xml:space="preserve"> (například pro oblast hudby)</w:t>
      </w:r>
      <w:r>
        <w:t xml:space="preserve">. Údaje o kulturní participaci doplňují také </w:t>
      </w:r>
      <w:r w:rsidR="007A39D9">
        <w:t xml:space="preserve">výsledky </w:t>
      </w:r>
      <w:r>
        <w:t>šetře</w:t>
      </w:r>
      <w:r w:rsidR="00CB5E1F">
        <w:t>ní soukromých společností, která</w:t>
      </w:r>
      <w:r w:rsidR="007A39D9">
        <w:t xml:space="preserve"> jsou často administrována</w:t>
      </w:r>
      <w:r>
        <w:t xml:space="preserve"> ve spolupráci s profesními asociacemi. Vzhledem k tomu, že tato</w:t>
      </w:r>
      <w:r w:rsidR="007A39D9">
        <w:t xml:space="preserve"> doplňující</w:t>
      </w:r>
      <w:r>
        <w:t xml:space="preserve"> šetření nepodléhají prověřené mezinárodní metodice</w:t>
      </w:r>
      <w:r w:rsidR="007A39D9">
        <w:t>,</w:t>
      </w:r>
      <w:r>
        <w:t xml:space="preserve"> je třeba závěry z těchto výzkumů brát</w:t>
      </w:r>
      <w:r w:rsidR="00282CCA">
        <w:t> </w:t>
      </w:r>
      <w:r>
        <w:t>s</w:t>
      </w:r>
      <w:r w:rsidR="00282CCA">
        <w:t> </w:t>
      </w:r>
      <w:r>
        <w:t>rezervou. V Tabulce 2 jsou všechny jmenované zdroje uvedeny dle zkoumaných oblastí.</w:t>
      </w:r>
    </w:p>
    <w:p w:rsidR="00BB64DB" w:rsidRPr="00B414F8" w:rsidRDefault="00BB64DB" w:rsidP="00B414F8">
      <w:pPr>
        <w:pStyle w:val="Titulek"/>
        <w:rPr>
          <w:rFonts w:cs="Arial"/>
          <w:b w:val="0"/>
          <w:color w:val="auto"/>
          <w:sz w:val="22"/>
          <w:szCs w:val="22"/>
        </w:rPr>
      </w:pPr>
      <w:r w:rsidRPr="00B414F8">
        <w:rPr>
          <w:rFonts w:cs="Arial"/>
          <w:color w:val="auto"/>
          <w:sz w:val="22"/>
          <w:szCs w:val="22"/>
        </w:rPr>
        <w:t xml:space="preserve">Tabulka </w:t>
      </w:r>
      <w:r w:rsidR="00EB17AC" w:rsidRPr="00B414F8">
        <w:rPr>
          <w:rFonts w:cs="Arial"/>
          <w:color w:val="auto"/>
          <w:sz w:val="22"/>
          <w:szCs w:val="22"/>
        </w:rPr>
        <w:fldChar w:fldCharType="begin"/>
      </w:r>
      <w:r w:rsidRPr="00B414F8">
        <w:rPr>
          <w:rFonts w:cs="Arial"/>
          <w:color w:val="auto"/>
          <w:sz w:val="22"/>
          <w:szCs w:val="22"/>
        </w:rPr>
        <w:instrText xml:space="preserve"> SEQ Tabulka \* ARABIC </w:instrText>
      </w:r>
      <w:r w:rsidR="00EB17AC" w:rsidRPr="00B414F8">
        <w:rPr>
          <w:rFonts w:cs="Arial"/>
          <w:color w:val="auto"/>
          <w:sz w:val="22"/>
          <w:szCs w:val="22"/>
        </w:rPr>
        <w:fldChar w:fldCharType="separate"/>
      </w:r>
      <w:r w:rsidR="00583523">
        <w:rPr>
          <w:rFonts w:cs="Arial"/>
          <w:noProof/>
          <w:color w:val="auto"/>
          <w:sz w:val="22"/>
          <w:szCs w:val="22"/>
        </w:rPr>
        <w:t>2</w:t>
      </w:r>
      <w:r w:rsidR="00EB17AC" w:rsidRPr="00B414F8">
        <w:rPr>
          <w:rFonts w:cs="Arial"/>
          <w:color w:val="auto"/>
          <w:sz w:val="22"/>
          <w:szCs w:val="22"/>
        </w:rPr>
        <w:fldChar w:fldCharType="end"/>
      </w:r>
      <w:r w:rsidRPr="00B414F8">
        <w:rPr>
          <w:rFonts w:cs="Arial"/>
          <w:b w:val="0"/>
          <w:color w:val="auto"/>
          <w:sz w:val="22"/>
          <w:szCs w:val="22"/>
        </w:rPr>
        <w:t xml:space="preserve"> Přehled zdrojů dat</w:t>
      </w:r>
    </w:p>
    <w:tbl>
      <w:tblPr>
        <w:tblW w:w="4945" w:type="pct"/>
        <w:tblInd w:w="70" w:type="dxa"/>
        <w:tblLayout w:type="fixed"/>
        <w:tblCellMar>
          <w:left w:w="70" w:type="dxa"/>
          <w:right w:w="70" w:type="dxa"/>
        </w:tblCellMar>
        <w:tblLook w:val="04A0"/>
      </w:tblPr>
      <w:tblGrid>
        <w:gridCol w:w="1907"/>
        <w:gridCol w:w="3779"/>
        <w:gridCol w:w="3984"/>
      </w:tblGrid>
      <w:tr w:rsidR="00B414F8" w:rsidRPr="00D504D8" w:rsidTr="007D12C6">
        <w:trPr>
          <w:trHeight w:val="318"/>
        </w:trPr>
        <w:tc>
          <w:tcPr>
            <w:tcW w:w="986" w:type="pct"/>
            <w:tcBorders>
              <w:top w:val="single" w:sz="12" w:space="0" w:color="auto"/>
              <w:left w:val="nil"/>
              <w:bottom w:val="single" w:sz="12" w:space="0" w:color="auto"/>
            </w:tcBorders>
            <w:shd w:val="clear" w:color="auto" w:fill="F2DBDB" w:themeFill="accent2" w:themeFillTint="33"/>
            <w:vAlign w:val="bottom"/>
            <w:hideMark/>
          </w:tcPr>
          <w:p w:rsidR="00BB64DB" w:rsidRPr="00B414F8" w:rsidRDefault="00BB64DB" w:rsidP="00BB64DB">
            <w:pPr>
              <w:pStyle w:val="Box"/>
              <w:ind w:left="0"/>
              <w:rPr>
                <w:rFonts w:asciiTheme="minorHAnsi" w:hAnsiTheme="minorHAnsi"/>
                <w:sz w:val="20"/>
                <w:szCs w:val="20"/>
              </w:rPr>
            </w:pPr>
            <w:r w:rsidRPr="00B414F8">
              <w:rPr>
                <w:rFonts w:asciiTheme="minorHAnsi" w:hAnsiTheme="minorHAnsi"/>
                <w:sz w:val="20"/>
                <w:szCs w:val="20"/>
              </w:rPr>
              <w:t>DATA</w:t>
            </w:r>
          </w:p>
        </w:tc>
        <w:tc>
          <w:tcPr>
            <w:tcW w:w="1954" w:type="pct"/>
            <w:tcBorders>
              <w:top w:val="single" w:sz="12" w:space="0" w:color="auto"/>
              <w:left w:val="nil"/>
              <w:bottom w:val="single" w:sz="12" w:space="0" w:color="auto"/>
            </w:tcBorders>
            <w:shd w:val="clear" w:color="auto" w:fill="F2DBDB" w:themeFill="accent2" w:themeFillTint="33"/>
            <w:noWrap/>
            <w:vAlign w:val="bottom"/>
            <w:hideMark/>
          </w:tcPr>
          <w:p w:rsidR="00BB64DB" w:rsidRPr="00B414F8" w:rsidRDefault="00BB64DB" w:rsidP="00BB64DB">
            <w:pPr>
              <w:pStyle w:val="Box"/>
              <w:rPr>
                <w:rFonts w:asciiTheme="minorHAnsi" w:hAnsiTheme="minorHAnsi"/>
                <w:sz w:val="20"/>
                <w:szCs w:val="20"/>
              </w:rPr>
            </w:pPr>
            <w:r w:rsidRPr="00B414F8">
              <w:rPr>
                <w:rFonts w:asciiTheme="minorHAnsi" w:hAnsiTheme="minorHAnsi"/>
                <w:sz w:val="20"/>
                <w:szCs w:val="20"/>
              </w:rPr>
              <w:t>UKAZATEL</w:t>
            </w:r>
          </w:p>
        </w:tc>
        <w:tc>
          <w:tcPr>
            <w:tcW w:w="2060" w:type="pct"/>
            <w:tcBorders>
              <w:top w:val="single" w:sz="12" w:space="0" w:color="auto"/>
              <w:left w:val="nil"/>
              <w:bottom w:val="single" w:sz="12" w:space="0" w:color="auto"/>
            </w:tcBorders>
            <w:shd w:val="clear" w:color="auto" w:fill="F2DBDB" w:themeFill="accent2" w:themeFillTint="33"/>
            <w:vAlign w:val="bottom"/>
            <w:hideMark/>
          </w:tcPr>
          <w:p w:rsidR="00BB64DB" w:rsidRPr="00B414F8" w:rsidRDefault="00BB64DB" w:rsidP="00BB64DB">
            <w:pPr>
              <w:pStyle w:val="Box"/>
              <w:rPr>
                <w:rFonts w:asciiTheme="minorHAnsi" w:hAnsiTheme="minorHAnsi"/>
                <w:sz w:val="20"/>
                <w:szCs w:val="20"/>
              </w:rPr>
            </w:pPr>
            <w:r w:rsidRPr="00B414F8">
              <w:rPr>
                <w:rFonts w:asciiTheme="minorHAnsi" w:hAnsiTheme="minorHAnsi"/>
                <w:sz w:val="20"/>
                <w:szCs w:val="20"/>
              </w:rPr>
              <w:t>ZDROJ DAT</w:t>
            </w:r>
          </w:p>
        </w:tc>
      </w:tr>
      <w:tr w:rsidR="00BB64DB" w:rsidRPr="00D504D8" w:rsidTr="007A39D9">
        <w:trPr>
          <w:trHeight w:val="318"/>
        </w:trPr>
        <w:tc>
          <w:tcPr>
            <w:tcW w:w="986" w:type="pct"/>
            <w:vMerge w:val="restart"/>
            <w:tcBorders>
              <w:top w:val="single" w:sz="12" w:space="0" w:color="auto"/>
              <w:left w:val="nil"/>
              <w:bottom w:val="single" w:sz="8" w:space="0" w:color="000000"/>
            </w:tcBorders>
            <w:shd w:val="clear" w:color="auto" w:fill="auto"/>
            <w:vAlign w:val="center"/>
            <w:hideMark/>
          </w:tcPr>
          <w:p w:rsidR="00BB64DB" w:rsidRPr="00B414F8" w:rsidRDefault="00BB64DB" w:rsidP="00B414F8">
            <w:pPr>
              <w:spacing w:after="0" w:line="240" w:lineRule="auto"/>
              <w:rPr>
                <w:rFonts w:asciiTheme="minorHAnsi" w:hAnsiTheme="minorHAnsi" w:cs="Arial"/>
                <w:szCs w:val="20"/>
              </w:rPr>
            </w:pPr>
            <w:r w:rsidRPr="00B414F8">
              <w:rPr>
                <w:rFonts w:asciiTheme="minorHAnsi" w:hAnsiTheme="minorHAnsi" w:cs="Arial"/>
                <w:szCs w:val="20"/>
              </w:rPr>
              <w:t>HLAVNÍ ZDROJE DAT</w:t>
            </w:r>
          </w:p>
        </w:tc>
        <w:tc>
          <w:tcPr>
            <w:tcW w:w="1954" w:type="pct"/>
            <w:tcBorders>
              <w:top w:val="single" w:sz="12" w:space="0" w:color="auto"/>
              <w:left w:val="nil"/>
            </w:tcBorders>
            <w:shd w:val="clear" w:color="auto" w:fill="auto"/>
            <w:noWrap/>
            <w:hideMark/>
          </w:tcPr>
          <w:p w:rsidR="00BB64DB" w:rsidRPr="00B414F8" w:rsidRDefault="00CB5E1F" w:rsidP="007A39D9">
            <w:pPr>
              <w:spacing w:before="60" w:after="60" w:line="240" w:lineRule="auto"/>
              <w:jc w:val="left"/>
              <w:rPr>
                <w:rFonts w:asciiTheme="minorHAnsi" w:hAnsiTheme="minorHAnsi" w:cs="Arial"/>
                <w:szCs w:val="20"/>
              </w:rPr>
            </w:pPr>
            <w:r>
              <w:rPr>
                <w:rFonts w:asciiTheme="minorHAnsi" w:hAnsiTheme="minorHAnsi" w:cs="Arial"/>
                <w:szCs w:val="20"/>
              </w:rPr>
              <w:t>s</w:t>
            </w:r>
            <w:r w:rsidR="00BB64DB" w:rsidRPr="00B414F8">
              <w:rPr>
                <w:rFonts w:asciiTheme="minorHAnsi" w:hAnsiTheme="minorHAnsi" w:cs="Arial"/>
                <w:szCs w:val="20"/>
              </w:rPr>
              <w:t>potřebitelské výdaje (domácnosti)</w:t>
            </w:r>
          </w:p>
        </w:tc>
        <w:tc>
          <w:tcPr>
            <w:tcW w:w="2060" w:type="pct"/>
            <w:tcBorders>
              <w:top w:val="single" w:sz="12" w:space="0" w:color="auto"/>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Statistika rodinných účtů (v národním pojetí), ČSÚ</w:t>
            </w:r>
          </w:p>
        </w:tc>
      </w:tr>
      <w:tr w:rsidR="00BB64DB" w:rsidRPr="00D504D8" w:rsidTr="004E419B">
        <w:trPr>
          <w:trHeight w:val="318"/>
        </w:trPr>
        <w:tc>
          <w:tcPr>
            <w:tcW w:w="986" w:type="pct"/>
            <w:vMerge/>
            <w:tcBorders>
              <w:top w:val="nil"/>
              <w:left w:val="nil"/>
              <w:bottom w:val="single" w:sz="8" w:space="0" w:color="000000"/>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tcBorders>
              <w:top w:val="nil"/>
              <w:left w:val="nil"/>
            </w:tcBorders>
            <w:shd w:val="clear" w:color="auto" w:fill="auto"/>
            <w:noWrap/>
            <w:hideMark/>
          </w:tcPr>
          <w:p w:rsidR="00BB64DB" w:rsidRPr="00B414F8" w:rsidRDefault="00CB5E1F" w:rsidP="004E419B">
            <w:pPr>
              <w:spacing w:before="60" w:after="60" w:line="240" w:lineRule="auto"/>
              <w:jc w:val="left"/>
              <w:rPr>
                <w:rFonts w:asciiTheme="minorHAnsi" w:hAnsiTheme="minorHAnsi" w:cs="Arial"/>
                <w:szCs w:val="20"/>
              </w:rPr>
            </w:pPr>
            <w:r>
              <w:rPr>
                <w:rFonts w:asciiTheme="minorHAnsi" w:hAnsiTheme="minorHAnsi" w:cs="Arial"/>
                <w:szCs w:val="20"/>
              </w:rPr>
              <w:t>p</w:t>
            </w:r>
            <w:r w:rsidR="00BB64DB" w:rsidRPr="00B414F8">
              <w:rPr>
                <w:rFonts w:asciiTheme="minorHAnsi" w:hAnsiTheme="minorHAnsi" w:cs="Arial"/>
                <w:szCs w:val="20"/>
              </w:rPr>
              <w:t>říjmy, (přepočtený) počet zaměstnanců</w:t>
            </w:r>
          </w:p>
        </w:tc>
        <w:tc>
          <w:tcPr>
            <w:tcW w:w="2060" w:type="pct"/>
            <w:tcBorders>
              <w:top w:val="nil"/>
              <w:left w:val="nil"/>
            </w:tcBorders>
            <w:shd w:val="clear" w:color="auto" w:fill="auto"/>
            <w:vAlign w:val="center"/>
            <w:hideMark/>
          </w:tcPr>
          <w:p w:rsidR="00BB64DB"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Podniková strukturální statistika, ČSÚ</w:t>
            </w:r>
          </w:p>
          <w:p w:rsidR="004E419B" w:rsidRPr="00B414F8" w:rsidRDefault="004E419B" w:rsidP="00F72FAA">
            <w:pPr>
              <w:spacing w:before="60" w:after="60" w:line="240" w:lineRule="auto"/>
              <w:jc w:val="left"/>
              <w:rPr>
                <w:rFonts w:asciiTheme="minorHAnsi" w:hAnsiTheme="minorHAnsi" w:cs="Arial"/>
                <w:szCs w:val="20"/>
              </w:rPr>
            </w:pPr>
            <w:r>
              <w:rPr>
                <w:rFonts w:asciiTheme="minorHAnsi" w:hAnsiTheme="minorHAnsi" w:cs="Arial"/>
                <w:szCs w:val="20"/>
              </w:rPr>
              <w:t>Statistika neziskových organizací, ČSÚ</w:t>
            </w:r>
          </w:p>
        </w:tc>
      </w:tr>
      <w:tr w:rsidR="00BB64DB" w:rsidRPr="00D504D8" w:rsidTr="004E419B">
        <w:trPr>
          <w:trHeight w:val="303"/>
        </w:trPr>
        <w:tc>
          <w:tcPr>
            <w:tcW w:w="986" w:type="pct"/>
            <w:vMerge/>
            <w:tcBorders>
              <w:top w:val="nil"/>
              <w:left w:val="nil"/>
              <w:bottom w:val="single" w:sz="8" w:space="0" w:color="000000"/>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val="restart"/>
            <w:tcBorders>
              <w:top w:val="nil"/>
              <w:left w:val="nil"/>
              <w:bottom w:val="single" w:sz="8" w:space="0" w:color="000000"/>
            </w:tcBorders>
            <w:shd w:val="clear" w:color="auto" w:fill="auto"/>
            <w:noWrap/>
            <w:hideMark/>
          </w:tcPr>
          <w:p w:rsidR="00BB64DB" w:rsidRPr="00B414F8" w:rsidRDefault="00CB5E1F" w:rsidP="004E419B">
            <w:pPr>
              <w:spacing w:before="60" w:after="60" w:line="240" w:lineRule="auto"/>
              <w:jc w:val="left"/>
              <w:rPr>
                <w:rFonts w:asciiTheme="minorHAnsi" w:hAnsiTheme="minorHAnsi" w:cs="Arial"/>
                <w:szCs w:val="20"/>
              </w:rPr>
            </w:pPr>
            <w:r>
              <w:rPr>
                <w:rFonts w:asciiTheme="minorHAnsi" w:hAnsiTheme="minorHAnsi" w:cs="Arial"/>
                <w:szCs w:val="20"/>
              </w:rPr>
              <w:t>k</w:t>
            </w:r>
            <w:r w:rsidR="00BB64DB" w:rsidRPr="00B414F8">
              <w:rPr>
                <w:rFonts w:asciiTheme="minorHAnsi" w:hAnsiTheme="minorHAnsi" w:cs="Arial"/>
                <w:szCs w:val="20"/>
              </w:rPr>
              <w:t>ulturní participace</w:t>
            </w:r>
          </w:p>
        </w:tc>
        <w:tc>
          <w:tcPr>
            <w:tcW w:w="2060" w:type="pct"/>
            <w:vMerge w:val="restart"/>
            <w:tcBorders>
              <w:top w:val="nil"/>
              <w:left w:val="nil"/>
              <w:bottom w:val="single" w:sz="8" w:space="0" w:color="000000"/>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Výběrové šetření o informačních a komunikačních technologiích v domácnostech a mezi jednotlivci, ČSÚ</w:t>
            </w:r>
          </w:p>
        </w:tc>
      </w:tr>
      <w:tr w:rsidR="00BB64DB" w:rsidRPr="00D504D8" w:rsidTr="007D12C6">
        <w:trPr>
          <w:trHeight w:val="271"/>
        </w:trPr>
        <w:tc>
          <w:tcPr>
            <w:tcW w:w="986" w:type="pct"/>
            <w:vMerge/>
            <w:tcBorders>
              <w:top w:val="nil"/>
              <w:left w:val="nil"/>
              <w:bottom w:val="single" w:sz="8" w:space="0" w:color="auto"/>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top w:val="nil"/>
              <w:left w:val="nil"/>
              <w:bottom w:val="single" w:sz="8" w:space="0" w:color="auto"/>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vMerge/>
            <w:tcBorders>
              <w:top w:val="nil"/>
              <w:left w:val="nil"/>
              <w:bottom w:val="single" w:sz="8" w:space="0" w:color="auto"/>
            </w:tcBorders>
            <w:vAlign w:val="center"/>
            <w:hideMark/>
          </w:tcPr>
          <w:p w:rsidR="00BB64DB" w:rsidRPr="00B414F8" w:rsidRDefault="00BB64DB" w:rsidP="00F72FAA">
            <w:pPr>
              <w:spacing w:after="0" w:line="240" w:lineRule="auto"/>
              <w:jc w:val="left"/>
              <w:rPr>
                <w:rFonts w:asciiTheme="minorHAnsi" w:hAnsiTheme="minorHAnsi" w:cs="Arial"/>
                <w:szCs w:val="20"/>
              </w:rPr>
            </w:pPr>
          </w:p>
        </w:tc>
      </w:tr>
      <w:tr w:rsidR="00BB64DB" w:rsidRPr="00D504D8" w:rsidTr="007D12C6">
        <w:trPr>
          <w:trHeight w:val="666"/>
        </w:trPr>
        <w:tc>
          <w:tcPr>
            <w:tcW w:w="986" w:type="pct"/>
            <w:tcBorders>
              <w:top w:val="single" w:sz="8" w:space="0" w:color="auto"/>
              <w:left w:val="nil"/>
              <w:bottom w:val="single" w:sz="8" w:space="0" w:color="auto"/>
            </w:tcBorders>
            <w:shd w:val="clear" w:color="auto" w:fill="auto"/>
            <w:vAlign w:val="center"/>
            <w:hideMark/>
          </w:tcPr>
          <w:p w:rsidR="00BB64DB" w:rsidRPr="00B414F8" w:rsidRDefault="00BB64DB" w:rsidP="00B414F8">
            <w:pPr>
              <w:spacing w:after="0" w:line="240" w:lineRule="auto"/>
              <w:jc w:val="left"/>
              <w:rPr>
                <w:rFonts w:asciiTheme="minorHAnsi" w:hAnsiTheme="minorHAnsi" w:cs="Arial"/>
                <w:szCs w:val="20"/>
              </w:rPr>
            </w:pPr>
            <w:r w:rsidRPr="00B414F8">
              <w:rPr>
                <w:rFonts w:asciiTheme="minorHAnsi" w:hAnsiTheme="minorHAnsi" w:cs="Arial"/>
                <w:szCs w:val="20"/>
              </w:rPr>
              <w:t>DOPLŇUJÍCÍ ZDROJE DAT</w:t>
            </w:r>
          </w:p>
        </w:tc>
        <w:tc>
          <w:tcPr>
            <w:tcW w:w="1954" w:type="pct"/>
            <w:tcBorders>
              <w:top w:val="single" w:sz="8" w:space="0" w:color="auto"/>
              <w:left w:val="nil"/>
              <w:bottom w:val="single" w:sz="8" w:space="0" w:color="auto"/>
            </w:tcBorders>
            <w:shd w:val="clear" w:color="auto" w:fill="auto"/>
            <w:noWrap/>
            <w:vAlign w:val="center"/>
            <w:hideMark/>
          </w:tcPr>
          <w:p w:rsidR="00BB64DB" w:rsidRPr="00B414F8" w:rsidRDefault="00CB5E1F" w:rsidP="00B414F8">
            <w:pPr>
              <w:spacing w:before="60" w:after="60" w:line="240" w:lineRule="auto"/>
              <w:jc w:val="left"/>
              <w:rPr>
                <w:rFonts w:asciiTheme="minorHAnsi" w:hAnsiTheme="minorHAnsi" w:cs="Arial"/>
                <w:szCs w:val="20"/>
              </w:rPr>
            </w:pPr>
            <w:r>
              <w:rPr>
                <w:rFonts w:asciiTheme="minorHAnsi" w:hAnsiTheme="minorHAnsi" w:cs="Arial"/>
                <w:szCs w:val="20"/>
              </w:rPr>
              <w:t>p</w:t>
            </w:r>
            <w:r w:rsidR="00BB64DB" w:rsidRPr="00B414F8">
              <w:rPr>
                <w:rFonts w:asciiTheme="minorHAnsi" w:hAnsiTheme="minorHAnsi" w:cs="Arial"/>
                <w:szCs w:val="20"/>
              </w:rPr>
              <w:t>říjmy,</w:t>
            </w:r>
            <w:r w:rsidR="007A39D9">
              <w:rPr>
                <w:rFonts w:asciiTheme="minorHAnsi" w:hAnsiTheme="minorHAnsi" w:cs="Arial"/>
                <w:szCs w:val="20"/>
              </w:rPr>
              <w:t xml:space="preserve"> </w:t>
            </w:r>
            <w:r w:rsidR="00BB64DB" w:rsidRPr="00B414F8">
              <w:rPr>
                <w:rFonts w:asciiTheme="minorHAnsi" w:hAnsiTheme="minorHAnsi" w:cs="Arial"/>
                <w:szCs w:val="20"/>
              </w:rPr>
              <w:t>(přepočtený) počet zaměstnanců</w:t>
            </w:r>
          </w:p>
        </w:tc>
        <w:tc>
          <w:tcPr>
            <w:tcW w:w="2060" w:type="pct"/>
            <w:tcBorders>
              <w:top w:val="single" w:sz="8" w:space="0" w:color="auto"/>
              <w:left w:val="nil"/>
              <w:bottom w:val="single" w:sz="8" w:space="0" w:color="auto"/>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Výkazy Kult, NIPOS, ČSÚ</w:t>
            </w:r>
          </w:p>
        </w:tc>
      </w:tr>
      <w:tr w:rsidR="00BB64DB" w:rsidRPr="00D504D8" w:rsidTr="007D12C6">
        <w:trPr>
          <w:trHeight w:val="303"/>
        </w:trPr>
        <w:tc>
          <w:tcPr>
            <w:tcW w:w="986" w:type="pct"/>
            <w:vMerge w:val="restart"/>
            <w:tcBorders>
              <w:top w:val="single" w:sz="8" w:space="0" w:color="auto"/>
              <w:left w:val="nil"/>
            </w:tcBorders>
            <w:vAlign w:val="center"/>
            <w:hideMark/>
          </w:tcPr>
          <w:p w:rsidR="00BB64DB" w:rsidRPr="00B414F8" w:rsidRDefault="00BB64DB" w:rsidP="00BB64DB">
            <w:pPr>
              <w:spacing w:after="0" w:line="240" w:lineRule="auto"/>
              <w:jc w:val="left"/>
              <w:rPr>
                <w:rFonts w:asciiTheme="minorHAnsi" w:hAnsiTheme="minorHAnsi" w:cs="Arial"/>
                <w:szCs w:val="20"/>
              </w:rPr>
            </w:pPr>
            <w:r w:rsidRPr="00B414F8">
              <w:rPr>
                <w:rFonts w:asciiTheme="minorHAnsi" w:hAnsiTheme="minorHAnsi" w:cs="Arial"/>
                <w:szCs w:val="20"/>
              </w:rPr>
              <w:t>HLAVNÍ PROFESNÍ A OBOROVÉ ORGANIZACE</w:t>
            </w:r>
          </w:p>
        </w:tc>
        <w:tc>
          <w:tcPr>
            <w:tcW w:w="1954" w:type="pct"/>
            <w:vMerge w:val="restart"/>
            <w:tcBorders>
              <w:top w:val="single" w:sz="8" w:space="0" w:color="auto"/>
              <w:left w:val="nil"/>
            </w:tcBorders>
            <w:vAlign w:val="center"/>
            <w:hideMark/>
          </w:tcPr>
          <w:p w:rsidR="00BB64DB" w:rsidRPr="00B414F8" w:rsidRDefault="00CB5E1F" w:rsidP="00B414F8">
            <w:pPr>
              <w:spacing w:after="0" w:line="240" w:lineRule="auto"/>
              <w:jc w:val="left"/>
              <w:rPr>
                <w:rFonts w:asciiTheme="minorHAnsi" w:hAnsiTheme="minorHAnsi" w:cs="Arial"/>
                <w:szCs w:val="20"/>
              </w:rPr>
            </w:pPr>
            <w:r>
              <w:rPr>
                <w:rFonts w:asciiTheme="minorHAnsi" w:hAnsiTheme="minorHAnsi" w:cs="Arial"/>
                <w:szCs w:val="20"/>
              </w:rPr>
              <w:t>s</w:t>
            </w:r>
            <w:r w:rsidR="00BB64DB" w:rsidRPr="00B414F8">
              <w:rPr>
                <w:rFonts w:asciiTheme="minorHAnsi" w:hAnsiTheme="minorHAnsi" w:cs="Arial"/>
                <w:szCs w:val="20"/>
              </w:rPr>
              <w:t>truktura trhu, příjmy, naturální ukazatele</w:t>
            </w:r>
          </w:p>
        </w:tc>
        <w:tc>
          <w:tcPr>
            <w:tcW w:w="2060" w:type="pct"/>
            <w:tcBorders>
              <w:top w:val="single" w:sz="8" w:space="0" w:color="auto"/>
              <w:lef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Asociace herního průmyslu české a slovenské republiky</w:t>
            </w:r>
          </w:p>
        </w:tc>
      </w:tr>
      <w:tr w:rsidR="00BB64DB" w:rsidRPr="00D504D8" w:rsidTr="007D12C6">
        <w:trPr>
          <w:trHeight w:val="342"/>
        </w:trPr>
        <w:tc>
          <w:tcPr>
            <w:tcW w:w="986" w:type="pct"/>
            <w:vMerge/>
            <w:tcBorders>
              <w:left w:val="nil"/>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Asociace producentů v audiovizi</w:t>
            </w:r>
          </w:p>
        </w:tc>
      </w:tr>
      <w:tr w:rsidR="00BB64DB" w:rsidRPr="00D504D8" w:rsidTr="007D12C6">
        <w:trPr>
          <w:trHeight w:val="284"/>
        </w:trPr>
        <w:tc>
          <w:tcPr>
            <w:tcW w:w="986" w:type="pct"/>
            <w:vMerge/>
            <w:tcBorders>
              <w:left w:val="nil"/>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Asociace televizních organizací</w:t>
            </w:r>
          </w:p>
        </w:tc>
      </w:tr>
      <w:tr w:rsidR="00BB64DB" w:rsidRPr="00D504D8" w:rsidTr="007D12C6">
        <w:trPr>
          <w:trHeight w:val="303"/>
        </w:trPr>
        <w:tc>
          <w:tcPr>
            <w:tcW w:w="986" w:type="pct"/>
            <w:vMerge/>
            <w:tcBorders>
              <w:left w:val="nil"/>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Česká národní skupina – Mezinárodní federace hudebního průmyslu</w:t>
            </w:r>
          </w:p>
        </w:tc>
      </w:tr>
      <w:tr w:rsidR="00BB64DB" w:rsidRPr="00D504D8" w:rsidTr="007D12C6">
        <w:trPr>
          <w:trHeight w:val="303"/>
        </w:trPr>
        <w:tc>
          <w:tcPr>
            <w:tcW w:w="986" w:type="pct"/>
            <w:vMerge/>
            <w:tcBorders>
              <w:left w:val="nil"/>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Rada pro rozhlasové a televizní vysílání</w:t>
            </w:r>
          </w:p>
        </w:tc>
      </w:tr>
      <w:tr w:rsidR="00BB64DB" w:rsidRPr="00D504D8" w:rsidTr="007D12C6">
        <w:trPr>
          <w:trHeight w:val="318"/>
        </w:trPr>
        <w:tc>
          <w:tcPr>
            <w:tcW w:w="986" w:type="pct"/>
            <w:vMerge/>
            <w:tcBorders>
              <w:left w:val="nil"/>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Svaz českých knihkupců a nakladatelů</w:t>
            </w:r>
          </w:p>
        </w:tc>
      </w:tr>
      <w:tr w:rsidR="00BB64DB" w:rsidRPr="00D504D8" w:rsidTr="007D12C6">
        <w:trPr>
          <w:trHeight w:val="318"/>
        </w:trPr>
        <w:tc>
          <w:tcPr>
            <w:tcW w:w="986" w:type="pct"/>
            <w:vMerge/>
            <w:tcBorders>
              <w:left w:val="nil"/>
              <w:bottom w:val="single" w:sz="8" w:space="0" w:color="auto"/>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bottom w:val="single" w:sz="8" w:space="0" w:color="auto"/>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bottom w:val="single" w:sz="8" w:space="0" w:color="auto"/>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Unie filmových distributorů</w:t>
            </w:r>
          </w:p>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Unie vydavatelů</w:t>
            </w:r>
          </w:p>
        </w:tc>
      </w:tr>
      <w:tr w:rsidR="00BB64DB" w:rsidRPr="00D504D8" w:rsidTr="007D12C6">
        <w:trPr>
          <w:trHeight w:val="363"/>
        </w:trPr>
        <w:tc>
          <w:tcPr>
            <w:tcW w:w="986" w:type="pct"/>
            <w:vMerge w:val="restart"/>
            <w:tcBorders>
              <w:top w:val="single" w:sz="8" w:space="0" w:color="auto"/>
              <w:left w:val="nil"/>
              <w:bottom w:val="nil"/>
              <w:right w:val="nil"/>
            </w:tcBorders>
            <w:shd w:val="clear" w:color="auto" w:fill="auto"/>
            <w:vAlign w:val="center"/>
            <w:hideMark/>
          </w:tcPr>
          <w:p w:rsidR="00BB64DB" w:rsidRPr="00B414F8" w:rsidRDefault="00BB64DB" w:rsidP="00B414F8">
            <w:pPr>
              <w:spacing w:before="60" w:after="60" w:line="240" w:lineRule="auto"/>
              <w:jc w:val="left"/>
              <w:rPr>
                <w:rFonts w:asciiTheme="minorHAnsi" w:hAnsiTheme="minorHAnsi" w:cs="Arial"/>
                <w:szCs w:val="20"/>
              </w:rPr>
            </w:pPr>
            <w:r w:rsidRPr="00B414F8">
              <w:rPr>
                <w:rFonts w:asciiTheme="minorHAnsi" w:hAnsiTheme="minorHAnsi" w:cs="Arial"/>
                <w:szCs w:val="20"/>
              </w:rPr>
              <w:t>VÝZKUMNÉ INSTITUCE A SOUKROMÉ SUBJEKTY</w:t>
            </w:r>
          </w:p>
        </w:tc>
        <w:tc>
          <w:tcPr>
            <w:tcW w:w="1954" w:type="pct"/>
            <w:vMerge w:val="restart"/>
            <w:tcBorders>
              <w:top w:val="single" w:sz="8" w:space="0" w:color="auto"/>
              <w:left w:val="nil"/>
              <w:bottom w:val="nil"/>
              <w:right w:val="nil"/>
            </w:tcBorders>
            <w:shd w:val="clear" w:color="auto" w:fill="auto"/>
            <w:noWrap/>
            <w:vAlign w:val="center"/>
            <w:hideMark/>
          </w:tcPr>
          <w:p w:rsidR="00BB64DB" w:rsidRPr="00B414F8" w:rsidRDefault="00CB5E1F" w:rsidP="00B414F8">
            <w:pPr>
              <w:spacing w:before="60" w:after="60" w:line="240" w:lineRule="auto"/>
              <w:jc w:val="left"/>
              <w:rPr>
                <w:rFonts w:asciiTheme="minorHAnsi" w:hAnsiTheme="minorHAnsi" w:cs="Arial"/>
                <w:szCs w:val="20"/>
              </w:rPr>
            </w:pPr>
            <w:r>
              <w:rPr>
                <w:rFonts w:asciiTheme="minorHAnsi" w:hAnsiTheme="minorHAnsi" w:cs="Arial"/>
                <w:szCs w:val="20"/>
              </w:rPr>
              <w:t>k</w:t>
            </w:r>
            <w:r w:rsidR="00BB64DB" w:rsidRPr="00B414F8">
              <w:rPr>
                <w:rFonts w:asciiTheme="minorHAnsi" w:hAnsiTheme="minorHAnsi" w:cs="Arial"/>
                <w:szCs w:val="20"/>
              </w:rPr>
              <w:t>ulturní participace</w:t>
            </w:r>
          </w:p>
        </w:tc>
        <w:tc>
          <w:tcPr>
            <w:tcW w:w="2060" w:type="pct"/>
            <w:tcBorders>
              <w:top w:val="single" w:sz="8" w:space="0" w:color="auto"/>
              <w:left w:val="nil"/>
              <w:bottom w:val="nil"/>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Akademie věd</w:t>
            </w:r>
          </w:p>
        </w:tc>
      </w:tr>
      <w:tr w:rsidR="00BB64DB" w:rsidRPr="00D504D8" w:rsidTr="007D12C6">
        <w:trPr>
          <w:trHeight w:val="303"/>
        </w:trPr>
        <w:tc>
          <w:tcPr>
            <w:tcW w:w="986" w:type="pct"/>
            <w:vMerge/>
            <w:tcBorders>
              <w:top w:val="nil"/>
              <w:left w:val="nil"/>
              <w:bottom w:val="nil"/>
              <w:right w:val="nil"/>
            </w:tcBorders>
            <w:vAlign w:val="center"/>
            <w:hideMark/>
          </w:tcPr>
          <w:p w:rsidR="00BB64DB" w:rsidRPr="00B414F8" w:rsidRDefault="00BB64DB" w:rsidP="002A32D6">
            <w:pPr>
              <w:spacing w:before="60" w:after="6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B414F8">
            <w:pPr>
              <w:spacing w:before="60" w:after="6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Median</w:t>
            </w:r>
          </w:p>
        </w:tc>
      </w:tr>
      <w:tr w:rsidR="00BB64DB" w:rsidRPr="00D504D8" w:rsidTr="007D12C6">
        <w:trPr>
          <w:trHeight w:val="303"/>
        </w:trPr>
        <w:tc>
          <w:tcPr>
            <w:tcW w:w="986" w:type="pct"/>
            <w:vMerge/>
            <w:tcBorders>
              <w:top w:val="nil"/>
              <w:left w:val="nil"/>
              <w:bottom w:val="nil"/>
              <w:right w:val="nil"/>
            </w:tcBorders>
            <w:vAlign w:val="center"/>
            <w:hideMark/>
          </w:tcPr>
          <w:p w:rsidR="00BB64DB" w:rsidRPr="00B414F8" w:rsidRDefault="00BB64DB" w:rsidP="002A32D6">
            <w:pPr>
              <w:spacing w:before="60" w:after="6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B414F8">
            <w:pPr>
              <w:spacing w:before="60" w:after="6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PricewaterhouseCoopers</w:t>
            </w:r>
          </w:p>
        </w:tc>
      </w:tr>
      <w:tr w:rsidR="00BB64DB" w:rsidRPr="00D504D8" w:rsidTr="007D12C6">
        <w:trPr>
          <w:trHeight w:val="303"/>
        </w:trPr>
        <w:tc>
          <w:tcPr>
            <w:tcW w:w="986" w:type="pct"/>
            <w:vMerge/>
            <w:tcBorders>
              <w:top w:val="nil"/>
              <w:left w:val="nil"/>
              <w:bottom w:val="nil"/>
              <w:right w:val="nil"/>
            </w:tcBorders>
            <w:vAlign w:val="center"/>
            <w:hideMark/>
          </w:tcPr>
          <w:p w:rsidR="00BB64DB" w:rsidRPr="00B414F8" w:rsidRDefault="00BB64DB" w:rsidP="002A32D6">
            <w:pPr>
              <w:spacing w:before="60" w:after="6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B414F8">
            <w:pPr>
              <w:spacing w:before="60" w:after="6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 xml:space="preserve">STEM/MARK </w:t>
            </w:r>
          </w:p>
        </w:tc>
      </w:tr>
      <w:tr w:rsidR="00BB64DB" w:rsidRPr="00D504D8" w:rsidTr="007D12C6">
        <w:trPr>
          <w:trHeight w:val="303"/>
        </w:trPr>
        <w:tc>
          <w:tcPr>
            <w:tcW w:w="986" w:type="pct"/>
            <w:vMerge/>
            <w:tcBorders>
              <w:top w:val="nil"/>
              <w:left w:val="nil"/>
              <w:bottom w:val="nil"/>
              <w:right w:val="nil"/>
            </w:tcBorders>
            <w:vAlign w:val="center"/>
            <w:hideMark/>
          </w:tcPr>
          <w:p w:rsidR="00BB64DB" w:rsidRPr="00B414F8" w:rsidRDefault="00BB64DB" w:rsidP="002A32D6">
            <w:pPr>
              <w:spacing w:before="60" w:after="6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B414F8">
            <w:pPr>
              <w:spacing w:before="60" w:after="6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Univerzita Karlova v Praze</w:t>
            </w:r>
          </w:p>
        </w:tc>
      </w:tr>
      <w:tr w:rsidR="00BB64DB" w:rsidRPr="00D504D8" w:rsidTr="007D12C6">
        <w:trPr>
          <w:trHeight w:val="303"/>
        </w:trPr>
        <w:tc>
          <w:tcPr>
            <w:tcW w:w="986" w:type="pct"/>
            <w:vMerge/>
            <w:tcBorders>
              <w:top w:val="nil"/>
              <w:left w:val="nil"/>
              <w:bottom w:val="single" w:sz="12" w:space="0" w:color="auto"/>
              <w:right w:val="nil"/>
            </w:tcBorders>
            <w:vAlign w:val="center"/>
            <w:hideMark/>
          </w:tcPr>
          <w:p w:rsidR="00BB64DB" w:rsidRPr="00B414F8" w:rsidRDefault="00BB64DB" w:rsidP="002A32D6">
            <w:pPr>
              <w:spacing w:before="60" w:after="60" w:line="240" w:lineRule="auto"/>
              <w:rPr>
                <w:rFonts w:asciiTheme="minorHAnsi" w:hAnsiTheme="minorHAnsi" w:cs="Arial"/>
                <w:szCs w:val="20"/>
              </w:rPr>
            </w:pPr>
          </w:p>
        </w:tc>
        <w:tc>
          <w:tcPr>
            <w:tcW w:w="1954" w:type="pct"/>
            <w:vMerge/>
            <w:tcBorders>
              <w:top w:val="nil"/>
              <w:left w:val="nil"/>
              <w:bottom w:val="single" w:sz="12" w:space="0" w:color="auto"/>
              <w:right w:val="nil"/>
            </w:tcBorders>
            <w:vAlign w:val="center"/>
            <w:hideMark/>
          </w:tcPr>
          <w:p w:rsidR="00BB64DB" w:rsidRPr="00B414F8" w:rsidRDefault="00BB64DB" w:rsidP="00B414F8">
            <w:pPr>
              <w:spacing w:before="60" w:after="60" w:line="240" w:lineRule="auto"/>
              <w:jc w:val="left"/>
              <w:rPr>
                <w:rFonts w:asciiTheme="minorHAnsi" w:hAnsiTheme="minorHAnsi" w:cs="Arial"/>
                <w:szCs w:val="20"/>
              </w:rPr>
            </w:pPr>
          </w:p>
        </w:tc>
        <w:tc>
          <w:tcPr>
            <w:tcW w:w="2060" w:type="pct"/>
            <w:tcBorders>
              <w:top w:val="nil"/>
              <w:left w:val="nil"/>
              <w:bottom w:val="single" w:sz="12" w:space="0" w:color="auto"/>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Ústav pro českou literaturu AV ČR</w:t>
            </w:r>
          </w:p>
        </w:tc>
      </w:tr>
    </w:tbl>
    <w:p w:rsidR="00BB64DB" w:rsidRPr="00E23A58" w:rsidRDefault="00BB64DB" w:rsidP="00694914">
      <w:pPr>
        <w:pStyle w:val="Nadpis2"/>
        <w:numPr>
          <w:ilvl w:val="1"/>
          <w:numId w:val="17"/>
        </w:numPr>
      </w:pPr>
      <w:bookmarkStart w:id="6" w:name="_Toc430189791"/>
      <w:bookmarkStart w:id="7" w:name="_Toc431474848"/>
      <w:bookmarkStart w:id="8" w:name="_Toc431475019"/>
      <w:r>
        <w:lastRenderedPageBreak/>
        <w:t>PŘÍJMY</w:t>
      </w:r>
      <w:r w:rsidRPr="00E23A58">
        <w:t xml:space="preserve"> A ZAMĚSTNANOST</w:t>
      </w:r>
      <w:bookmarkEnd w:id="6"/>
      <w:bookmarkEnd w:id="7"/>
      <w:bookmarkEnd w:id="8"/>
    </w:p>
    <w:p w:rsidR="00B414F8" w:rsidRPr="0090098A" w:rsidRDefault="00B414F8" w:rsidP="00B414F8">
      <w:pPr>
        <w:rPr>
          <w:color w:val="FF0000"/>
        </w:rPr>
      </w:pPr>
      <w:r>
        <w:t xml:space="preserve">Data o příjmech subjektů v jednotlivých oblastech, která vycházejí z Podnikové strukturální statistiky ČSÚ, zachycují zvýšení ekonomického prospěchu za účetní období a z účetního hlediska se jedná o výnosy – tedy přírůstek aktiv či snížení závazků. Pro zjednodušení je však pro výnosy i příjmy (prostý přírůstek peněžních prostředků) používán jednotný pojem příjmy. Podniková strukturální statistika reflektuje jak příjmy právnických, tak fyzických osob (OSVČ) a to bez DPH a spotřební daně. </w:t>
      </w:r>
      <w:r w:rsidRPr="00323843">
        <w:t>Data o zaměstnanosti</w:t>
      </w:r>
      <w:r w:rsidR="00323843">
        <w:t xml:space="preserve"> jsou sledována ukazatelem</w:t>
      </w:r>
      <w:r w:rsidRPr="00323843">
        <w:t xml:space="preserve"> zachycují</w:t>
      </w:r>
      <w:r w:rsidR="00323843">
        <w:t>cím</w:t>
      </w:r>
      <w:r w:rsidRPr="00323843">
        <w:t xml:space="preserve"> počet zaměstnanců, přepočtený na plné pracovní úvazky</w:t>
      </w:r>
      <w:r w:rsidR="00323843">
        <w:t xml:space="preserve">. Tento ukazatel nereflektuje </w:t>
      </w:r>
      <w:r w:rsidR="00DE4E41">
        <w:t>prac</w:t>
      </w:r>
      <w:r w:rsidR="00323843">
        <w:t>ovní činnost</w:t>
      </w:r>
      <w:r w:rsidRPr="00323843">
        <w:t xml:space="preserve"> podnikající</w:t>
      </w:r>
      <w:r w:rsidR="00323843">
        <w:t>ch fyzických osob</w:t>
      </w:r>
      <w:r w:rsidR="00042E63">
        <w:t xml:space="preserve"> (OSVČ) a pracovníky na dohody.</w:t>
      </w:r>
    </w:p>
    <w:p w:rsidR="00BB64DB" w:rsidRDefault="00BB64DB" w:rsidP="00B414F8">
      <w:pPr>
        <w:ind w:firstLine="708"/>
      </w:pPr>
      <w:r>
        <w:t>Oblasti spadající do audiovizuálního a mediálního sektoru</w:t>
      </w:r>
      <w:r w:rsidR="00B414F8">
        <w:t xml:space="preserve"> (kulturních průmyslů)</w:t>
      </w:r>
      <w:r>
        <w:t xml:space="preserve"> jsou charakteristické vysokým podílem samofinancování podniků. Naproti tomu oblasti spadající do </w:t>
      </w:r>
      <w:r w:rsidR="00B414F8">
        <w:t xml:space="preserve">tradičního odvětví (kulturního sektoru) </w:t>
      </w:r>
      <w:r>
        <w:t>produkují statky, které bez podpory z veřejných zdrojů často nejsou schopny obstát na trhu, mají nicméně pro společnost také jinou než finanční hodnotu. Tento rozdíl zachycuje Graf 1, který vychází z dat publikovaných v Satelitním účtu kultury pro rok 2013. Zatímco v oblasti</w:t>
      </w:r>
      <w:r w:rsidR="00B414F8">
        <w:t xml:space="preserve"> a</w:t>
      </w:r>
      <w:r>
        <w:t xml:space="preserve">udiovizuálních a interaktivních médií </w:t>
      </w:r>
      <w:r w:rsidR="00B414F8">
        <w:t>a p</w:t>
      </w:r>
      <w:r>
        <w:t>eriodického a neperiodického tisku (o</w:t>
      </w:r>
      <w:r w:rsidR="00B414F8">
        <w:t>blastí spadajících do kulturních průmyslů</w:t>
      </w:r>
      <w:r>
        <w:t xml:space="preserve">) byly produkované statky financované z více než devadesáti procent z vlastních příjmů, samofinancování statků v oblasti kulturního dědictví, interpretačního umění a uměleckého vzdělávání (tedy většiny oblastí spadajících do </w:t>
      </w:r>
      <w:r w:rsidR="00B414F8">
        <w:t>tradičního odvětví</w:t>
      </w:r>
      <w:r>
        <w:t>) bylo méně než padesátiprocentní.</w:t>
      </w:r>
    </w:p>
    <w:p w:rsidR="00BB64DB" w:rsidRPr="00B414F8" w:rsidRDefault="00BB64DB" w:rsidP="00BB64DB">
      <w:pPr>
        <w:pStyle w:val="Titulek"/>
        <w:keepNext/>
        <w:rPr>
          <w:rFonts w:cs="Arial"/>
          <w:color w:val="auto"/>
          <w:sz w:val="22"/>
          <w:szCs w:val="22"/>
        </w:rPr>
      </w:pPr>
      <w:r w:rsidRPr="00B414F8">
        <w:rPr>
          <w:rFonts w:cs="Arial"/>
          <w:color w:val="auto"/>
          <w:sz w:val="22"/>
          <w:szCs w:val="22"/>
        </w:rPr>
        <w:t xml:space="preserve">Graf </w:t>
      </w:r>
      <w:r w:rsidR="00EB17AC" w:rsidRPr="00B414F8">
        <w:rPr>
          <w:rFonts w:cs="Arial"/>
          <w:color w:val="auto"/>
          <w:sz w:val="22"/>
          <w:szCs w:val="22"/>
        </w:rPr>
        <w:fldChar w:fldCharType="begin"/>
      </w:r>
      <w:r w:rsidRPr="00B414F8">
        <w:rPr>
          <w:rFonts w:cs="Arial"/>
          <w:color w:val="auto"/>
          <w:sz w:val="22"/>
          <w:szCs w:val="22"/>
        </w:rPr>
        <w:instrText xml:space="preserve"> SEQ Obrázek \* ARABIC </w:instrText>
      </w:r>
      <w:r w:rsidR="00EB17AC" w:rsidRPr="00B414F8">
        <w:rPr>
          <w:rFonts w:cs="Arial"/>
          <w:color w:val="auto"/>
          <w:sz w:val="22"/>
          <w:szCs w:val="22"/>
        </w:rPr>
        <w:fldChar w:fldCharType="separate"/>
      </w:r>
      <w:r w:rsidR="00583523">
        <w:rPr>
          <w:rFonts w:cs="Arial"/>
          <w:noProof/>
          <w:color w:val="auto"/>
          <w:sz w:val="22"/>
          <w:szCs w:val="22"/>
        </w:rPr>
        <w:t>1</w:t>
      </w:r>
      <w:r w:rsidR="00EB17AC" w:rsidRPr="00B414F8">
        <w:rPr>
          <w:rFonts w:cs="Arial"/>
          <w:color w:val="auto"/>
          <w:sz w:val="22"/>
          <w:szCs w:val="22"/>
        </w:rPr>
        <w:fldChar w:fldCharType="end"/>
      </w:r>
      <w:r w:rsidRPr="00B414F8">
        <w:rPr>
          <w:rFonts w:cs="Arial"/>
          <w:color w:val="auto"/>
          <w:sz w:val="22"/>
          <w:szCs w:val="22"/>
        </w:rPr>
        <w:t xml:space="preserve"> </w:t>
      </w:r>
      <w:r w:rsidRPr="00B414F8">
        <w:rPr>
          <w:rFonts w:cs="Arial"/>
          <w:b w:val="0"/>
          <w:color w:val="auto"/>
          <w:sz w:val="22"/>
          <w:szCs w:val="22"/>
        </w:rPr>
        <w:t>Zdroje financování vybraných kulturních oblastí v roce 2013</w:t>
      </w:r>
      <w:r w:rsidR="0090098A">
        <w:rPr>
          <w:rStyle w:val="Znakapoznpodarou"/>
          <w:rFonts w:cs="Arial"/>
          <w:b w:val="0"/>
          <w:color w:val="auto"/>
          <w:sz w:val="22"/>
          <w:szCs w:val="22"/>
        </w:rPr>
        <w:footnoteReference w:id="4"/>
      </w:r>
    </w:p>
    <w:p w:rsidR="00BB64DB" w:rsidRDefault="00B414F8" w:rsidP="00BB64DB">
      <w:pPr>
        <w:keepNext/>
      </w:pPr>
      <w:r w:rsidRPr="00B414F8">
        <w:rPr>
          <w:noProof/>
        </w:rPr>
        <w:drawing>
          <wp:inline distT="0" distB="0" distL="0" distR="0">
            <wp:extent cx="6238875" cy="2743200"/>
            <wp:effectExtent l="0" t="0" r="0" b="0"/>
            <wp:docPr id="174" name="Graf 17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64DB" w:rsidRPr="00B414F8" w:rsidRDefault="00B414F8" w:rsidP="00BB64DB">
      <w:pPr>
        <w:pStyle w:val="Titulek"/>
        <w:rPr>
          <w:rFonts w:cs="Arial"/>
          <w:b w:val="0"/>
          <w:color w:val="auto"/>
          <w:sz w:val="22"/>
          <w:szCs w:val="22"/>
        </w:rPr>
      </w:pPr>
      <w:r w:rsidRPr="00B414F8">
        <w:rPr>
          <w:rFonts w:cs="Arial"/>
          <w:b w:val="0"/>
          <w:color w:val="auto"/>
          <w:sz w:val="22"/>
          <w:szCs w:val="22"/>
        </w:rPr>
        <w:t xml:space="preserve">Zdroj: </w:t>
      </w:r>
      <w:r w:rsidR="00B54975">
        <w:rPr>
          <w:rFonts w:cs="Arial"/>
          <w:b w:val="0"/>
          <w:color w:val="auto"/>
          <w:sz w:val="22"/>
          <w:szCs w:val="22"/>
        </w:rPr>
        <w:t xml:space="preserve">Satelitní účet kultury, </w:t>
      </w:r>
      <w:r w:rsidRPr="00B414F8">
        <w:rPr>
          <w:rFonts w:cs="Arial"/>
          <w:b w:val="0"/>
          <w:color w:val="auto"/>
          <w:sz w:val="22"/>
          <w:szCs w:val="22"/>
        </w:rPr>
        <w:t>ČSÚ, NIPOS</w:t>
      </w:r>
    </w:p>
    <w:p w:rsidR="00BB64DB" w:rsidRPr="00C64E21" w:rsidRDefault="00B414F8" w:rsidP="00B414F8">
      <w:r>
        <w:t>Příjmy</w:t>
      </w:r>
      <w:r w:rsidR="00BB64DB">
        <w:t xml:space="preserve"> právnických a fyzických osob dle trojsektorového členění kultury mezi lety 2010 a 2013 jsou zobrazeny v Grafu 2. Jak je patrné z grafu, </w:t>
      </w:r>
      <w:r w:rsidR="00BB64DB" w:rsidRPr="007D12C6">
        <w:t>kulturní průmysly generovaly</w:t>
      </w:r>
      <w:r w:rsidR="00BB64DB">
        <w:t xml:space="preserve"> v roce 2013 </w:t>
      </w:r>
      <w:r>
        <w:t>příjmy</w:t>
      </w:r>
      <w:r w:rsidR="00CB5E1F">
        <w:t xml:space="preserve"> přesahující 87 mld.</w:t>
      </w:r>
      <w:r w:rsidR="00BB64DB">
        <w:t xml:space="preserve"> Kč a </w:t>
      </w:r>
      <w:r w:rsidR="00BB64DB" w:rsidRPr="007D12C6">
        <w:t>předčily tak kreativní průmysly zahrnující reklamu, design a</w:t>
      </w:r>
      <w:r w:rsidR="00CB5E1F">
        <w:t xml:space="preserve"> architekturu o necelé 3 mld. Kč</w:t>
      </w:r>
      <w:r w:rsidR="00BB64DB" w:rsidRPr="007D12C6">
        <w:t>. Příjmy fyzických a právnických osob v</w:t>
      </w:r>
      <w:r w:rsidRPr="007D12C6">
        <w:t> tradičním odvětví (</w:t>
      </w:r>
      <w:r w:rsidR="00BB64DB" w:rsidRPr="007D12C6">
        <w:t>kulturním sektoru</w:t>
      </w:r>
      <w:r w:rsidRPr="007D12C6">
        <w:t>)</w:t>
      </w:r>
      <w:r w:rsidR="00BB64DB" w:rsidRPr="007D12C6">
        <w:t xml:space="preserve"> v průběhu </w:t>
      </w:r>
      <w:r w:rsidR="00BB64DB">
        <w:t xml:space="preserve">posledních let mírně stoupaly a v roce 2013 </w:t>
      </w:r>
      <w:r w:rsidR="00CB5E1F">
        <w:t>dosáhly výše necelých 33 mld.</w:t>
      </w:r>
      <w:r w:rsidR="00BB64DB">
        <w:t xml:space="preserve"> Kč. V porovnání s kulturními a kreativními průmysly generoval </w:t>
      </w:r>
      <w:r w:rsidR="00BB64DB">
        <w:lastRenderedPageBreak/>
        <w:t xml:space="preserve">kulturní sektor zhruba třikrát menší </w:t>
      </w:r>
      <w:r>
        <w:t>příjmy</w:t>
      </w:r>
      <w:r w:rsidR="00BB64DB">
        <w:t>, což však odpovídá charakteru tohoto sektoru, který je financovaný z velké části z veřejných zdrojů a jeho přínos a výkonnost je vhodné hodnotit také pomocí jiných než finančních ukazatelů.</w:t>
      </w:r>
    </w:p>
    <w:p w:rsidR="00BB64DB" w:rsidRPr="00B414F8" w:rsidRDefault="00BB64DB" w:rsidP="00BB64DB">
      <w:pPr>
        <w:pStyle w:val="Titulek"/>
        <w:keepNext/>
        <w:rPr>
          <w:b w:val="0"/>
          <w:color w:val="auto"/>
          <w:sz w:val="22"/>
          <w:szCs w:val="22"/>
        </w:rPr>
      </w:pPr>
      <w:r w:rsidRPr="00B414F8">
        <w:rPr>
          <w:color w:val="auto"/>
          <w:sz w:val="22"/>
          <w:szCs w:val="22"/>
        </w:rPr>
        <w:t xml:space="preserve">Graf </w:t>
      </w:r>
      <w:r w:rsidR="00EB17AC" w:rsidRPr="00B414F8">
        <w:rPr>
          <w:color w:val="auto"/>
          <w:sz w:val="22"/>
          <w:szCs w:val="22"/>
        </w:rPr>
        <w:fldChar w:fldCharType="begin"/>
      </w:r>
      <w:r w:rsidRPr="00B414F8">
        <w:rPr>
          <w:color w:val="auto"/>
          <w:sz w:val="22"/>
          <w:szCs w:val="22"/>
        </w:rPr>
        <w:instrText xml:space="preserve"> SEQ Obrázek \* ARABIC </w:instrText>
      </w:r>
      <w:r w:rsidR="00EB17AC" w:rsidRPr="00B414F8">
        <w:rPr>
          <w:color w:val="auto"/>
          <w:sz w:val="22"/>
          <w:szCs w:val="22"/>
        </w:rPr>
        <w:fldChar w:fldCharType="separate"/>
      </w:r>
      <w:r w:rsidR="00583523">
        <w:rPr>
          <w:noProof/>
          <w:color w:val="auto"/>
          <w:sz w:val="22"/>
          <w:szCs w:val="22"/>
        </w:rPr>
        <w:t>2</w:t>
      </w:r>
      <w:r w:rsidR="00EB17AC" w:rsidRPr="00B414F8">
        <w:rPr>
          <w:color w:val="auto"/>
          <w:sz w:val="22"/>
          <w:szCs w:val="22"/>
        </w:rPr>
        <w:fldChar w:fldCharType="end"/>
      </w:r>
      <w:r w:rsidRPr="00B414F8">
        <w:rPr>
          <w:color w:val="auto"/>
          <w:sz w:val="22"/>
          <w:szCs w:val="22"/>
        </w:rPr>
        <w:t xml:space="preserve"> </w:t>
      </w:r>
      <w:r w:rsidR="00B414F8" w:rsidRPr="00B414F8">
        <w:rPr>
          <w:b w:val="0"/>
          <w:color w:val="auto"/>
          <w:sz w:val="22"/>
          <w:szCs w:val="22"/>
        </w:rPr>
        <w:t>Příjmy</w:t>
      </w:r>
      <w:r w:rsidR="00B414F8" w:rsidRPr="00B414F8">
        <w:rPr>
          <w:color w:val="auto"/>
          <w:sz w:val="22"/>
          <w:szCs w:val="22"/>
        </w:rPr>
        <w:t xml:space="preserve"> </w:t>
      </w:r>
      <w:r w:rsidRPr="00B414F8">
        <w:rPr>
          <w:b w:val="0"/>
          <w:color w:val="auto"/>
          <w:sz w:val="22"/>
          <w:szCs w:val="22"/>
        </w:rPr>
        <w:t xml:space="preserve">fyzických a právnických osob podle trojsektorového členění kultury (v </w:t>
      </w:r>
      <w:r w:rsidR="00B414F8" w:rsidRPr="00B414F8">
        <w:rPr>
          <w:b w:val="0"/>
          <w:color w:val="auto"/>
          <w:sz w:val="22"/>
          <w:szCs w:val="22"/>
        </w:rPr>
        <w:t>mld</w:t>
      </w:r>
      <w:r w:rsidRPr="00B414F8">
        <w:rPr>
          <w:b w:val="0"/>
          <w:color w:val="auto"/>
          <w:sz w:val="22"/>
          <w:szCs w:val="22"/>
        </w:rPr>
        <w:t>. Kč)</w:t>
      </w:r>
    </w:p>
    <w:p w:rsidR="00BB64DB" w:rsidRDefault="001C5D40" w:rsidP="00BB64DB">
      <w:pPr>
        <w:keepNext/>
      </w:pPr>
      <w:r w:rsidRPr="001C5D40">
        <w:rPr>
          <w:noProof/>
        </w:rPr>
        <w:drawing>
          <wp:inline distT="0" distB="0" distL="0" distR="0">
            <wp:extent cx="6200775" cy="2133600"/>
            <wp:effectExtent l="0" t="0" r="0" b="0"/>
            <wp:docPr id="9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64DB" w:rsidRPr="00F72FAA" w:rsidRDefault="00F72FAA" w:rsidP="00BB64DB">
      <w:pPr>
        <w:pStyle w:val="Titulek"/>
        <w:rPr>
          <w:rFonts w:cs="Arial"/>
          <w:b w:val="0"/>
          <w:color w:val="auto"/>
          <w:sz w:val="22"/>
          <w:szCs w:val="22"/>
        </w:rPr>
      </w:pPr>
      <w:r w:rsidRPr="00F72FAA">
        <w:rPr>
          <w:rFonts w:cs="Arial"/>
          <w:b w:val="0"/>
          <w:color w:val="auto"/>
          <w:sz w:val="22"/>
          <w:szCs w:val="22"/>
        </w:rPr>
        <w:t xml:space="preserve">Zdroj: </w:t>
      </w:r>
      <w:r w:rsidR="00B54975">
        <w:rPr>
          <w:rFonts w:cs="Arial"/>
          <w:b w:val="0"/>
          <w:color w:val="auto"/>
          <w:sz w:val="22"/>
          <w:szCs w:val="22"/>
        </w:rPr>
        <w:t xml:space="preserve">Satelitní účet kultury, </w:t>
      </w:r>
      <w:r w:rsidRPr="00F72FAA">
        <w:rPr>
          <w:rFonts w:cs="Arial"/>
          <w:b w:val="0"/>
          <w:color w:val="auto"/>
          <w:sz w:val="22"/>
          <w:szCs w:val="22"/>
        </w:rPr>
        <w:t>ČSÚ, NIPOS</w:t>
      </w:r>
    </w:p>
    <w:p w:rsidR="00323843" w:rsidRDefault="00BB64DB" w:rsidP="00B414F8">
      <w:r w:rsidRPr="00323843">
        <w:t>I přesto, že</w:t>
      </w:r>
      <w:r w:rsidR="00B414F8" w:rsidRPr="00323843">
        <w:t xml:space="preserve"> kulturní sektor negeneroval v období mezi lety 2010 a 2013</w:t>
      </w:r>
      <w:r w:rsidRPr="00323843">
        <w:t xml:space="preserve"> nejvyšší obrat ze tří sledovaných sektorů</w:t>
      </w:r>
      <w:r w:rsidR="00B414F8" w:rsidRPr="00323843">
        <w:t>, zaměstnával</w:t>
      </w:r>
      <w:r w:rsidRPr="00323843">
        <w:t xml:space="preserve"> dle dostupných statistik v porovnání s kulturními a kreativními průmysly nejvíce </w:t>
      </w:r>
      <w:r w:rsidR="00B414F8" w:rsidRPr="00323843">
        <w:t>osob</w:t>
      </w:r>
      <w:r w:rsidRPr="00323843">
        <w:t>. Mezi lety 2010 a 2013 došlo k mírnému nárůstu počtu zaměstnanců v tomto sektoru na více než 36 tisíc v roce 2013. Kulturní a kreativní průmysly zaznamenaly naopak mírný pokles zaměstnanosti a v roce 2013 se zaměstnanost v obou dvou sektorech pohy</w:t>
      </w:r>
      <w:r w:rsidR="00CB5E1F" w:rsidRPr="00323843">
        <w:t>bovala okolo 20 tis.</w:t>
      </w:r>
      <w:r w:rsidRPr="00323843">
        <w:t xml:space="preserve"> zaměstnanců</w:t>
      </w:r>
      <w:r w:rsidR="00B414F8" w:rsidRPr="00323843">
        <w:t xml:space="preserve"> na plný pracovní úvazek</w:t>
      </w:r>
      <w:r w:rsidRPr="00323843">
        <w:t>. Zde je však nutno podotknout,</w:t>
      </w:r>
      <w:r w:rsidR="00323843" w:rsidRPr="00323843">
        <w:t xml:space="preserve"> že </w:t>
      </w:r>
      <w:r w:rsidRPr="00323843">
        <w:t xml:space="preserve">zaměstnanost je </w:t>
      </w:r>
      <w:r w:rsidR="00CB5E1F" w:rsidRPr="00323843">
        <w:t>sledována</w:t>
      </w:r>
      <w:r w:rsidR="00B414F8" w:rsidRPr="00323843">
        <w:t xml:space="preserve"> pouze u podniků s převažující kulturní činností dle klasifikace NACE</w:t>
      </w:r>
      <w:r w:rsidRPr="00323843">
        <w:t>, nereflektuje však již</w:t>
      </w:r>
      <w:r w:rsidR="00323843">
        <w:t xml:space="preserve"> povolání kulturního charakteru </w:t>
      </w:r>
      <w:r w:rsidRPr="00323843">
        <w:t>v</w:t>
      </w:r>
      <w:r w:rsidR="00323843">
        <w:t> </w:t>
      </w:r>
      <w:r w:rsidRPr="00323843">
        <w:t>ne</w:t>
      </w:r>
      <w:r w:rsidR="00F72FAA" w:rsidRPr="00323843">
        <w:t>-</w:t>
      </w:r>
      <w:r w:rsidRPr="00323843">
        <w:t>kulturních podnicích (například designér v automobilce)</w:t>
      </w:r>
      <w:r w:rsidR="00323843">
        <w:t>.</w:t>
      </w:r>
    </w:p>
    <w:p w:rsidR="00BB64DB" w:rsidRPr="00323843" w:rsidRDefault="00323843" w:rsidP="00B414F8">
      <w:r>
        <w:tab/>
      </w:r>
      <w:r w:rsidR="00B414F8" w:rsidRPr="00323843">
        <w:t>Alternativním zdrojem tak mohou být údaje</w:t>
      </w:r>
      <w:r w:rsidR="00BB64DB" w:rsidRPr="00323843">
        <w:t xml:space="preserve"> </w:t>
      </w:r>
      <w:r w:rsidR="00B414F8" w:rsidRPr="00323843">
        <w:t>oborových a profesních</w:t>
      </w:r>
      <w:r w:rsidR="00BB64DB" w:rsidRPr="00323843">
        <w:t xml:space="preserve"> o</w:t>
      </w:r>
      <w:r w:rsidR="00B414F8" w:rsidRPr="00323843">
        <w:t>rganizací</w:t>
      </w:r>
      <w:r w:rsidR="00CB5E1F" w:rsidRPr="00323843">
        <w:t xml:space="preserve">. </w:t>
      </w:r>
      <w:r>
        <w:t>Ú</w:t>
      </w:r>
      <w:r w:rsidR="00B414F8" w:rsidRPr="00323843">
        <w:t>daje</w:t>
      </w:r>
      <w:r>
        <w:t xml:space="preserve"> zveřejňované těmito organizacemi</w:t>
      </w:r>
      <w:r w:rsidR="00B414F8" w:rsidRPr="00323843">
        <w:t xml:space="preserve"> však není možné použít v rámci srovnávání jednotlivých odvětví, protože nevycházejí ze stejné metodiky.</w:t>
      </w:r>
    </w:p>
    <w:p w:rsidR="00BB64DB" w:rsidRPr="00B414F8" w:rsidRDefault="00BB64DB" w:rsidP="00BB64DB">
      <w:pPr>
        <w:pStyle w:val="Titulek"/>
        <w:keepNext/>
        <w:rPr>
          <w:color w:val="auto"/>
        </w:rPr>
      </w:pPr>
      <w:r w:rsidRPr="00B414F8">
        <w:rPr>
          <w:color w:val="auto"/>
          <w:sz w:val="22"/>
          <w:szCs w:val="22"/>
        </w:rPr>
        <w:t xml:space="preserve">Graf </w:t>
      </w:r>
      <w:r w:rsidR="00EB17AC" w:rsidRPr="00B414F8">
        <w:rPr>
          <w:color w:val="auto"/>
          <w:sz w:val="22"/>
          <w:szCs w:val="22"/>
        </w:rPr>
        <w:fldChar w:fldCharType="begin"/>
      </w:r>
      <w:r w:rsidRPr="00B414F8">
        <w:rPr>
          <w:color w:val="auto"/>
          <w:sz w:val="22"/>
          <w:szCs w:val="22"/>
        </w:rPr>
        <w:instrText xml:space="preserve"> SEQ Obrázek \* ARABIC </w:instrText>
      </w:r>
      <w:r w:rsidR="00EB17AC" w:rsidRPr="00B414F8">
        <w:rPr>
          <w:color w:val="auto"/>
          <w:sz w:val="22"/>
          <w:szCs w:val="22"/>
        </w:rPr>
        <w:fldChar w:fldCharType="separate"/>
      </w:r>
      <w:r w:rsidR="00583523">
        <w:rPr>
          <w:noProof/>
          <w:color w:val="auto"/>
          <w:sz w:val="22"/>
          <w:szCs w:val="22"/>
        </w:rPr>
        <w:t>3</w:t>
      </w:r>
      <w:r w:rsidR="00EB17AC" w:rsidRPr="00B414F8">
        <w:rPr>
          <w:color w:val="auto"/>
          <w:sz w:val="22"/>
          <w:szCs w:val="22"/>
        </w:rPr>
        <w:fldChar w:fldCharType="end"/>
      </w:r>
      <w:r w:rsidRPr="00B414F8">
        <w:rPr>
          <w:color w:val="auto"/>
          <w:sz w:val="22"/>
          <w:szCs w:val="22"/>
        </w:rPr>
        <w:t xml:space="preserve"> </w:t>
      </w:r>
      <w:r w:rsidRPr="00B414F8">
        <w:rPr>
          <w:b w:val="0"/>
          <w:color w:val="auto"/>
          <w:sz w:val="22"/>
          <w:szCs w:val="22"/>
        </w:rPr>
        <w:t>Počet zaměstnanců v kultuře (</w:t>
      </w:r>
      <w:r w:rsidR="00F72FAA">
        <w:rPr>
          <w:b w:val="0"/>
          <w:color w:val="auto"/>
          <w:sz w:val="22"/>
          <w:szCs w:val="22"/>
        </w:rPr>
        <w:t xml:space="preserve">v tis. osob, </w:t>
      </w:r>
      <w:r w:rsidR="00B414F8" w:rsidRPr="00B414F8">
        <w:rPr>
          <w:b w:val="0"/>
          <w:color w:val="auto"/>
          <w:sz w:val="22"/>
          <w:szCs w:val="22"/>
        </w:rPr>
        <w:t>přepočtený na plné pracovní úvazky</w:t>
      </w:r>
      <w:r w:rsidRPr="00B414F8">
        <w:rPr>
          <w:b w:val="0"/>
          <w:color w:val="auto"/>
          <w:sz w:val="22"/>
          <w:szCs w:val="22"/>
        </w:rPr>
        <w:t>)</w:t>
      </w:r>
    </w:p>
    <w:p w:rsidR="00BB64DB" w:rsidRDefault="00105D5C" w:rsidP="00BB64DB">
      <w:pPr>
        <w:keepNext/>
      </w:pPr>
      <w:r w:rsidRPr="00105D5C">
        <w:rPr>
          <w:noProof/>
        </w:rPr>
        <w:drawing>
          <wp:inline distT="0" distB="0" distL="0" distR="0">
            <wp:extent cx="6162675" cy="1905000"/>
            <wp:effectExtent l="19050" t="0" r="0" b="0"/>
            <wp:docPr id="187" name="Graf 1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64DB" w:rsidRPr="00B414F8" w:rsidRDefault="00BB64DB" w:rsidP="00BB64DB">
      <w:pPr>
        <w:pStyle w:val="Titulek"/>
        <w:rPr>
          <w:b w:val="0"/>
          <w:color w:val="auto"/>
          <w:sz w:val="22"/>
          <w:szCs w:val="22"/>
        </w:rPr>
      </w:pPr>
      <w:r w:rsidRPr="00B414F8">
        <w:rPr>
          <w:b w:val="0"/>
          <w:color w:val="auto"/>
          <w:sz w:val="22"/>
          <w:szCs w:val="22"/>
        </w:rPr>
        <w:t xml:space="preserve">Zdroj: </w:t>
      </w:r>
      <w:r w:rsidR="00A11B36">
        <w:rPr>
          <w:rFonts w:cs="Arial"/>
          <w:b w:val="0"/>
          <w:color w:val="auto"/>
          <w:sz w:val="22"/>
          <w:szCs w:val="22"/>
        </w:rPr>
        <w:t>Satelitní účet kultury</w:t>
      </w:r>
      <w:r w:rsidR="00A11B36">
        <w:rPr>
          <w:b w:val="0"/>
          <w:color w:val="auto"/>
          <w:sz w:val="22"/>
          <w:szCs w:val="22"/>
        </w:rPr>
        <w:t xml:space="preserve">, </w:t>
      </w:r>
      <w:r w:rsidRPr="00B414F8">
        <w:rPr>
          <w:b w:val="0"/>
          <w:color w:val="auto"/>
          <w:sz w:val="22"/>
          <w:szCs w:val="22"/>
        </w:rPr>
        <w:t>ČSÚ, NIPOS</w:t>
      </w:r>
    </w:p>
    <w:p w:rsidR="00BB64DB" w:rsidRPr="00E23A58" w:rsidRDefault="00BB64DB" w:rsidP="00694914">
      <w:pPr>
        <w:pStyle w:val="Nadpis2"/>
        <w:numPr>
          <w:ilvl w:val="1"/>
          <w:numId w:val="17"/>
        </w:numPr>
      </w:pPr>
      <w:bookmarkStart w:id="9" w:name="_Toc430189792"/>
      <w:bookmarkStart w:id="10" w:name="_Toc431475020"/>
      <w:r w:rsidRPr="00E23A58">
        <w:lastRenderedPageBreak/>
        <w:t>POHLED SPOTŘEBITELE</w:t>
      </w:r>
      <w:bookmarkEnd w:id="9"/>
      <w:bookmarkEnd w:id="10"/>
    </w:p>
    <w:p w:rsidR="00BB64DB" w:rsidRDefault="00BB64DB" w:rsidP="00B414F8">
      <w:r>
        <w:t xml:space="preserve">V rámci analýzy spotřebitelského chování jsou sledovány výdaje domácností na konkrétní zboží a služby kulturního charakteru. </w:t>
      </w:r>
      <w:r w:rsidR="00B414F8">
        <w:t xml:space="preserve">Klasifikace COICOP, která je použita pro zachycení </w:t>
      </w:r>
      <w:r w:rsidR="00F72FAA">
        <w:t>výdajů domácností</w:t>
      </w:r>
      <w:r w:rsidR="00B414F8">
        <w:t>, však plně nekoresponduje s klasifikací ekonomických činností NACE</w:t>
      </w:r>
      <w:r w:rsidR="00F72FAA">
        <w:t>, p</w:t>
      </w:r>
      <w:r w:rsidR="00B414F8">
        <w:t>řesto přináší zajímav</w:t>
      </w:r>
      <w:r w:rsidR="00F72FAA">
        <w:t xml:space="preserve">ý přehled o spotřebě </w:t>
      </w:r>
      <w:r w:rsidR="00B414F8">
        <w:t>zboží a služeb audiovizuálního a mediálního sektoru.</w:t>
      </w:r>
      <w:r>
        <w:t xml:space="preserve"> </w:t>
      </w:r>
      <w:r w:rsidR="00B414F8">
        <w:t>Jak je patrné z Grafu 4, v</w:t>
      </w:r>
      <w:r>
        <w:t> rá</w:t>
      </w:r>
      <w:r w:rsidR="00F72FAA">
        <w:t>mci sledovaných kategorií vydaly</w:t>
      </w:r>
      <w:r>
        <w:t xml:space="preserve"> </w:t>
      </w:r>
      <w:r w:rsidR="00F72FAA">
        <w:t>domácnosti</w:t>
      </w:r>
      <w:r>
        <w:t xml:space="preserve"> </w:t>
      </w:r>
      <w:r w:rsidR="00F72FAA">
        <w:t xml:space="preserve">v roce 2014 </w:t>
      </w:r>
      <w:r>
        <w:t xml:space="preserve">nejvíce prostředků na produkty a služby </w:t>
      </w:r>
      <w:r w:rsidR="00F72FAA">
        <w:t>rozhla</w:t>
      </w:r>
      <w:r w:rsidR="00CB5E1F">
        <w:t>su a televize. Tyto výdaje tvořily</w:t>
      </w:r>
      <w:r>
        <w:t xml:space="preserve"> zejména koncesionářské poplatky a poplatky zprostředkovat</w:t>
      </w:r>
      <w:r w:rsidR="00B54975">
        <w:t>elům vysílání. V </w:t>
      </w:r>
      <w:r w:rsidR="00CB5E1F">
        <w:t>oblasti knih</w:t>
      </w:r>
      <w:r w:rsidR="00F72FAA">
        <w:t xml:space="preserve"> a</w:t>
      </w:r>
      <w:r w:rsidR="00CB5E1F">
        <w:t xml:space="preserve"> tisku pak spotřebitelé utratili</w:t>
      </w:r>
      <w:r>
        <w:t xml:space="preserve"> více prostředků za periodický tisk (časopisy a noviny) než za knihy</w:t>
      </w:r>
      <w:r w:rsidR="00CB5E1F">
        <w:t xml:space="preserve"> a nejméně pak utratili</w:t>
      </w:r>
      <w:r w:rsidR="00F72FAA">
        <w:t xml:space="preserve"> za fyzické audiovizuální nosiče, </w:t>
      </w:r>
      <w:r w:rsidR="00CB5E1F">
        <w:t xml:space="preserve">jež </w:t>
      </w:r>
      <w:r w:rsidR="00F72FAA">
        <w:t>spadají do oblasti filmu a hudby.</w:t>
      </w:r>
    </w:p>
    <w:p w:rsidR="00BB64DB" w:rsidRPr="007D12C6" w:rsidRDefault="00BB64DB" w:rsidP="00BB64DB">
      <w:pPr>
        <w:pStyle w:val="Titulek"/>
        <w:keepNext/>
        <w:rPr>
          <w:color w:val="000000" w:themeColor="text1"/>
          <w:sz w:val="22"/>
          <w:szCs w:val="22"/>
        </w:rPr>
      </w:pPr>
      <w:r w:rsidRPr="007D12C6">
        <w:rPr>
          <w:color w:val="000000" w:themeColor="text1"/>
          <w:sz w:val="22"/>
          <w:szCs w:val="22"/>
        </w:rPr>
        <w:t xml:space="preserve">Graf </w:t>
      </w:r>
      <w:r w:rsidR="00EB17AC" w:rsidRPr="007D12C6">
        <w:rPr>
          <w:color w:val="000000" w:themeColor="text1"/>
          <w:sz w:val="22"/>
          <w:szCs w:val="22"/>
        </w:rPr>
        <w:fldChar w:fldCharType="begin"/>
      </w:r>
      <w:r w:rsidRPr="007D12C6">
        <w:rPr>
          <w:color w:val="000000" w:themeColor="text1"/>
          <w:sz w:val="22"/>
          <w:szCs w:val="22"/>
        </w:rPr>
        <w:instrText xml:space="preserve"> SEQ Obrázek \* ARABIC </w:instrText>
      </w:r>
      <w:r w:rsidR="00EB17AC" w:rsidRPr="007D12C6">
        <w:rPr>
          <w:color w:val="000000" w:themeColor="text1"/>
          <w:sz w:val="22"/>
          <w:szCs w:val="22"/>
        </w:rPr>
        <w:fldChar w:fldCharType="separate"/>
      </w:r>
      <w:r w:rsidR="00583523">
        <w:rPr>
          <w:noProof/>
          <w:color w:val="000000" w:themeColor="text1"/>
          <w:sz w:val="22"/>
          <w:szCs w:val="22"/>
        </w:rPr>
        <w:t>4</w:t>
      </w:r>
      <w:r w:rsidR="00EB17AC" w:rsidRPr="007D12C6">
        <w:rPr>
          <w:color w:val="000000" w:themeColor="text1"/>
          <w:sz w:val="22"/>
          <w:szCs w:val="22"/>
        </w:rPr>
        <w:fldChar w:fldCharType="end"/>
      </w:r>
      <w:r w:rsidRPr="007D12C6">
        <w:rPr>
          <w:color w:val="000000" w:themeColor="text1"/>
          <w:sz w:val="22"/>
          <w:szCs w:val="22"/>
        </w:rPr>
        <w:t xml:space="preserve"> </w:t>
      </w:r>
      <w:r w:rsidRPr="007D12C6">
        <w:rPr>
          <w:b w:val="0"/>
          <w:color w:val="000000" w:themeColor="text1"/>
          <w:sz w:val="22"/>
          <w:szCs w:val="22"/>
        </w:rPr>
        <w:t xml:space="preserve">Výdaje domácností na zboží </w:t>
      </w:r>
      <w:r w:rsidR="00F72FAA" w:rsidRPr="007D12C6">
        <w:rPr>
          <w:b w:val="0"/>
          <w:color w:val="000000" w:themeColor="text1"/>
          <w:sz w:val="22"/>
          <w:szCs w:val="22"/>
        </w:rPr>
        <w:t xml:space="preserve">a služby </w:t>
      </w:r>
      <w:r w:rsidRPr="007D12C6">
        <w:rPr>
          <w:b w:val="0"/>
          <w:color w:val="000000" w:themeColor="text1"/>
          <w:sz w:val="22"/>
          <w:szCs w:val="22"/>
        </w:rPr>
        <w:t xml:space="preserve">kulturního charakteru v roce 2014 </w:t>
      </w:r>
      <w:r w:rsidR="00B414F8" w:rsidRPr="007D12C6">
        <w:rPr>
          <w:b w:val="0"/>
          <w:color w:val="000000" w:themeColor="text1"/>
          <w:sz w:val="22"/>
          <w:szCs w:val="22"/>
        </w:rPr>
        <w:t>(v m</w:t>
      </w:r>
      <w:r w:rsidRPr="007D12C6">
        <w:rPr>
          <w:b w:val="0"/>
          <w:color w:val="000000" w:themeColor="text1"/>
          <w:sz w:val="22"/>
          <w:szCs w:val="22"/>
        </w:rPr>
        <w:t>l</w:t>
      </w:r>
      <w:r w:rsidR="00B414F8" w:rsidRPr="007D12C6">
        <w:rPr>
          <w:b w:val="0"/>
          <w:color w:val="000000" w:themeColor="text1"/>
          <w:sz w:val="22"/>
          <w:szCs w:val="22"/>
        </w:rPr>
        <w:t>d</w:t>
      </w:r>
      <w:r w:rsidRPr="007D12C6">
        <w:rPr>
          <w:b w:val="0"/>
          <w:color w:val="000000" w:themeColor="text1"/>
          <w:sz w:val="22"/>
          <w:szCs w:val="22"/>
        </w:rPr>
        <w:t>. Kč)</w:t>
      </w:r>
    </w:p>
    <w:p w:rsidR="00BB64DB" w:rsidRDefault="00BB64DB" w:rsidP="00BB64DB">
      <w:pPr>
        <w:keepNext/>
        <w:jc w:val="center"/>
      </w:pPr>
      <w:r w:rsidRPr="00F72FAA">
        <w:rPr>
          <w:noProof/>
          <w:color w:val="17365D" w:themeColor="text2" w:themeShade="BF"/>
        </w:rPr>
        <w:drawing>
          <wp:inline distT="0" distB="0" distL="0" distR="0">
            <wp:extent cx="5686425" cy="2390775"/>
            <wp:effectExtent l="0" t="0" r="0" b="0"/>
            <wp:docPr id="12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64DB" w:rsidRPr="007D12C6" w:rsidRDefault="00BB64DB" w:rsidP="00BB64DB">
      <w:pPr>
        <w:pStyle w:val="Titulek"/>
        <w:rPr>
          <w:b w:val="0"/>
          <w:color w:val="000000" w:themeColor="text1"/>
          <w:sz w:val="22"/>
          <w:szCs w:val="22"/>
        </w:rPr>
      </w:pPr>
      <w:r w:rsidRPr="007D12C6">
        <w:rPr>
          <w:b w:val="0"/>
          <w:color w:val="000000" w:themeColor="text1"/>
          <w:sz w:val="22"/>
          <w:szCs w:val="22"/>
        </w:rPr>
        <w:t>Zdroj: Národní účetnictví, ČSÚ</w:t>
      </w:r>
    </w:p>
    <w:p w:rsidR="00BB64DB" w:rsidRDefault="00BB64DB" w:rsidP="00BB64DB">
      <w:r>
        <w:t>Dalším sledovaným ukazatelem zachycujícím spotřebitelské chování je participace na kulturních aktivitách. Vzhledem ke změnám spotřebit</w:t>
      </w:r>
      <w:r w:rsidR="00CB5E1F">
        <w:t>elského chování, které proběhly</w:t>
      </w:r>
      <w:r>
        <w:t xml:space="preserve"> ve všech sledovaných oblastech v </w:t>
      </w:r>
      <w:r w:rsidR="00CB5E1F">
        <w:t>posledních dekádách a které byly</w:t>
      </w:r>
      <w:r>
        <w:t xml:space="preserve"> jednoznačně ovlivněné digitalizací a masovým roz</w:t>
      </w:r>
      <w:r w:rsidR="00CB5E1F">
        <w:t>šířením internetu, bude tato analýza v rámci kulturní participace</w:t>
      </w:r>
      <w:r>
        <w:t xml:space="preserve"> </w:t>
      </w:r>
      <w:r w:rsidR="00CB5E1F">
        <w:t>sledovat zejména</w:t>
      </w:r>
      <w:r>
        <w:t xml:space="preserve"> využití internetu a online služeb pro kulturní aktivity.</w:t>
      </w:r>
      <w:r w:rsidR="00F72FAA">
        <w:t xml:space="preserve"> Jako hlavní zdroj</w:t>
      </w:r>
      <w:r>
        <w:t xml:space="preserve"> dat zachycující měnící se spotřebitelské návyky je použito šetření ČSÚ s názvem </w:t>
      </w:r>
      <w:r w:rsidRPr="00CB5E1F">
        <w:t>Využívání informačních a komunikačních technologií v domácnostech a mezi jednotlivci</w:t>
      </w:r>
      <w:r>
        <w:rPr>
          <w:i/>
        </w:rPr>
        <w:t xml:space="preserve"> </w:t>
      </w:r>
      <w:r w:rsidRPr="00DE4E41">
        <w:t>(VŠIT).</w:t>
      </w:r>
      <w:r>
        <w:t xml:space="preserve"> Výstupy z toho</w:t>
      </w:r>
      <w:r w:rsidR="00DE4E41">
        <w:t>to</w:t>
      </w:r>
      <w:r>
        <w:t xml:space="preserve"> šetření</w:t>
      </w:r>
      <w:r w:rsidR="00F72FAA">
        <w:t xml:space="preserve"> jsou pořizovány</w:t>
      </w:r>
      <w:r>
        <w:t xml:space="preserve"> dle ucelené mezinárodní metodiky a umožňují mezinárodní srovnání stejně jako vytvoření delší časové řady. Šetření VŠIT však není uzpůsobené tak, aby zachytilo všechny spotřebitelské trendy probíhající v audiovizuálním a mediálním sektoru, přesto poskytuje zajímavou reflexi změn spotřebitelského chování ve vybraných oblastech.</w:t>
      </w:r>
      <w:r w:rsidR="008018B7">
        <w:t xml:space="preserve"> Údaje z tohoto šetření vypovídají o aktivitách jednotlivců v posledních 3 měsících za sledované období.</w:t>
      </w:r>
      <w:r>
        <w:t xml:space="preserve"> Závěry </w:t>
      </w:r>
      <w:r w:rsidR="00DE4E41">
        <w:t>z </w:t>
      </w:r>
      <w:r>
        <w:t>šetření</w:t>
      </w:r>
      <w:r w:rsidR="00DE4E41">
        <w:t xml:space="preserve"> VŠIT</w:t>
      </w:r>
      <w:r>
        <w:t xml:space="preserve"> pak budou doplněny o poznatky z výzkumů zaměřujících se přímo na audiovizuální a mediální sektor prováděných zavedenými soukromými a výzkumnými organizacemi.</w:t>
      </w:r>
    </w:p>
    <w:p w:rsidR="00BB64DB" w:rsidRDefault="00BB64DB" w:rsidP="00BB64DB">
      <w:pPr>
        <w:ind w:firstLine="708"/>
      </w:pPr>
      <w:r>
        <w:t>Evropská srovnání využití internetu pro jednotlivé aktivity každoročně publikuje Eurostat. Jak je patrné z Grafu 5, ve sledované populaci 16 – 74 let byl internet v rám</w:t>
      </w:r>
      <w:r w:rsidR="005B63CE">
        <w:t>ci kulturních aktivit v roce 2014</w:t>
      </w:r>
      <w:r>
        <w:t xml:space="preserve"> nejčastěji používán pro účely čtení online zpravodajství a časopisů. V této aktivitě Česká republika značně převyšuje evropský průměr a ke čtení on-line zpráv, novin a časopisů využilo v</w:t>
      </w:r>
      <w:r w:rsidR="00DE4E41">
        <w:t> roce 2014</w:t>
      </w:r>
      <w:r>
        <w:t xml:space="preserve"> internet více než </w:t>
      </w:r>
      <w:r>
        <w:lastRenderedPageBreak/>
        <w:t>šedesát procent sledované populace.</w:t>
      </w:r>
      <w:r w:rsidR="00CB5E1F">
        <w:t xml:space="preserve"> Druhou nejrozšířenější aktivitou</w:t>
      </w:r>
      <w:r>
        <w:t>, které se v</w:t>
      </w:r>
      <w:r w:rsidR="00DE4E41">
        <w:t> v roce 2014</w:t>
      </w:r>
      <w:r>
        <w:t xml:space="preserve"> </w:t>
      </w:r>
      <w:r w:rsidR="005B63CE">
        <w:t xml:space="preserve">věnovalo 45 </w:t>
      </w:r>
      <w:r w:rsidR="005B63CE">
        <w:rPr>
          <w:lang w:val="en-US"/>
        </w:rPr>
        <w:t>%</w:t>
      </w:r>
      <w:r>
        <w:t xml:space="preserve"> české populace, </w:t>
      </w:r>
      <w:r w:rsidR="001471DB">
        <w:t>bylo</w:t>
      </w:r>
      <w:r>
        <w:t xml:space="preserve"> hraní či stahování her</w:t>
      </w:r>
      <w:r w:rsidR="005B63CE">
        <w:t>, obrázků, filmů a hudby</w:t>
      </w:r>
      <w:r>
        <w:t>. Č</w:t>
      </w:r>
      <w:r w:rsidR="00DE4E41">
        <w:t>eská populace naopak v roce 2014</w:t>
      </w:r>
      <w:r>
        <w:t xml:space="preserve"> mírně zaostávala za evropským průměrem ve využití internetu k poslechu online rád</w:t>
      </w:r>
      <w:r w:rsidR="005B63CE">
        <w:t>ia</w:t>
      </w:r>
      <w:r>
        <w:t>. K</w:t>
      </w:r>
      <w:r w:rsidR="005B63CE">
        <w:t> tomuto účelu využilo internet</w:t>
      </w:r>
      <w:r>
        <w:t xml:space="preserve"> 22 % české populace. Zmíněné údaje se budou lišit při rozdělení populace podle věkových kategorií, kdy mladší lidé všeobecně používají internet častěji než starší generace. Procentuální využití internetu k různým aktivitám bude také vyšší, pokud se zohlední pouze uživatelé internetu. Detailnější </w:t>
      </w:r>
      <w:r w:rsidR="005B63CE">
        <w:t xml:space="preserve">a podrobněji rozdělené </w:t>
      </w:r>
      <w:r>
        <w:t>výstupy budou prezentovány v kapitolách věnujících se konkrétním oblastem.</w:t>
      </w:r>
    </w:p>
    <w:p w:rsidR="00BB64DB" w:rsidRPr="007D12C6" w:rsidRDefault="00BB64DB" w:rsidP="00BB64DB">
      <w:pPr>
        <w:pStyle w:val="Titulek"/>
        <w:keepNext/>
        <w:rPr>
          <w:b w:val="0"/>
          <w:color w:val="000000" w:themeColor="text1"/>
          <w:sz w:val="22"/>
          <w:szCs w:val="22"/>
        </w:rPr>
      </w:pPr>
      <w:r w:rsidRPr="007D12C6">
        <w:rPr>
          <w:color w:val="000000" w:themeColor="text1"/>
          <w:sz w:val="22"/>
          <w:szCs w:val="22"/>
        </w:rPr>
        <w:t xml:space="preserve">Graf </w:t>
      </w:r>
      <w:r w:rsidR="00EB17AC" w:rsidRPr="007D12C6">
        <w:rPr>
          <w:color w:val="000000" w:themeColor="text1"/>
          <w:sz w:val="22"/>
          <w:szCs w:val="22"/>
        </w:rPr>
        <w:fldChar w:fldCharType="begin"/>
      </w:r>
      <w:r w:rsidRPr="007D12C6">
        <w:rPr>
          <w:color w:val="000000" w:themeColor="text1"/>
          <w:sz w:val="22"/>
          <w:szCs w:val="22"/>
        </w:rPr>
        <w:instrText xml:space="preserve"> SEQ Obrázek \* ARABIC </w:instrText>
      </w:r>
      <w:r w:rsidR="00EB17AC" w:rsidRPr="007D12C6">
        <w:rPr>
          <w:color w:val="000000" w:themeColor="text1"/>
          <w:sz w:val="22"/>
          <w:szCs w:val="22"/>
        </w:rPr>
        <w:fldChar w:fldCharType="separate"/>
      </w:r>
      <w:r w:rsidR="00583523">
        <w:rPr>
          <w:noProof/>
          <w:color w:val="000000" w:themeColor="text1"/>
          <w:sz w:val="22"/>
          <w:szCs w:val="22"/>
        </w:rPr>
        <w:t>5</w:t>
      </w:r>
      <w:r w:rsidR="00EB17AC" w:rsidRPr="007D12C6">
        <w:rPr>
          <w:color w:val="000000" w:themeColor="text1"/>
          <w:sz w:val="22"/>
          <w:szCs w:val="22"/>
        </w:rPr>
        <w:fldChar w:fldCharType="end"/>
      </w:r>
      <w:r w:rsidRPr="007D12C6">
        <w:rPr>
          <w:color w:val="000000" w:themeColor="text1"/>
          <w:sz w:val="22"/>
          <w:szCs w:val="22"/>
        </w:rPr>
        <w:t xml:space="preserve"> </w:t>
      </w:r>
      <w:r w:rsidRPr="007D12C6">
        <w:rPr>
          <w:b w:val="0"/>
          <w:color w:val="000000" w:themeColor="text1"/>
          <w:sz w:val="22"/>
          <w:szCs w:val="22"/>
        </w:rPr>
        <w:t>Mezinárodní srovnání využití internetu ke konkrétním aktivitám v</w:t>
      </w:r>
      <w:r w:rsidR="001471DB">
        <w:rPr>
          <w:b w:val="0"/>
          <w:color w:val="000000" w:themeColor="text1"/>
          <w:sz w:val="22"/>
          <w:szCs w:val="22"/>
        </w:rPr>
        <w:t xml:space="preserve"> populaci </w:t>
      </w:r>
      <w:r w:rsidRPr="007D12C6">
        <w:rPr>
          <w:b w:val="0"/>
          <w:color w:val="000000" w:themeColor="text1"/>
          <w:sz w:val="22"/>
          <w:szCs w:val="22"/>
        </w:rPr>
        <w:t>16-74</w:t>
      </w:r>
      <w:r w:rsidR="001471DB">
        <w:rPr>
          <w:b w:val="0"/>
          <w:color w:val="000000" w:themeColor="text1"/>
          <w:sz w:val="22"/>
          <w:szCs w:val="22"/>
        </w:rPr>
        <w:t xml:space="preserve"> let</w:t>
      </w:r>
      <w:r w:rsidR="005B63CE">
        <w:rPr>
          <w:b w:val="0"/>
          <w:color w:val="000000" w:themeColor="text1"/>
          <w:sz w:val="22"/>
          <w:szCs w:val="22"/>
        </w:rPr>
        <w:t xml:space="preserve"> v roce 2014</w:t>
      </w:r>
    </w:p>
    <w:p w:rsidR="00BB64DB" w:rsidRDefault="005B63CE" w:rsidP="00BB64DB">
      <w:pPr>
        <w:keepNext/>
        <w:jc w:val="center"/>
      </w:pPr>
      <w:r w:rsidRPr="005B63CE">
        <w:rPr>
          <w:noProof/>
        </w:rPr>
        <w:drawing>
          <wp:inline distT="0" distB="0" distL="0" distR="0">
            <wp:extent cx="5153025" cy="2162175"/>
            <wp:effectExtent l="0" t="0" r="0" b="0"/>
            <wp:docPr id="2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64DB" w:rsidRPr="007D12C6" w:rsidRDefault="00BB64DB" w:rsidP="00BB64DB">
      <w:pPr>
        <w:pStyle w:val="Titulek"/>
        <w:rPr>
          <w:b w:val="0"/>
          <w:color w:val="000000" w:themeColor="text1"/>
          <w:sz w:val="22"/>
          <w:szCs w:val="22"/>
        </w:rPr>
      </w:pPr>
      <w:r w:rsidRPr="007D12C6">
        <w:rPr>
          <w:b w:val="0"/>
          <w:color w:val="000000" w:themeColor="text1"/>
          <w:sz w:val="22"/>
          <w:szCs w:val="22"/>
        </w:rPr>
        <w:t>Zdroj: Eurostat</w:t>
      </w:r>
    </w:p>
    <w:p w:rsidR="00BB64DB" w:rsidRDefault="00BB64DB" w:rsidP="00BB64DB">
      <w:r>
        <w:t>Kultur</w:t>
      </w:r>
      <w:r w:rsidR="001471DB">
        <w:t xml:space="preserve">ní participaci </w:t>
      </w:r>
      <w:r w:rsidR="00B508F7">
        <w:t>uživatelů audiovizuálních služeb</w:t>
      </w:r>
      <w:r w:rsidR="001471DB">
        <w:t xml:space="preserve"> </w:t>
      </w:r>
      <w:r>
        <w:t>nad rámec využití internetu zkoumá studie</w:t>
      </w:r>
      <w:r w:rsidR="001471DB">
        <w:t xml:space="preserve"> Audiovizuální trh v ČR. Ta</w:t>
      </w:r>
      <w:r w:rsidR="002A32D6">
        <w:t xml:space="preserve"> je založena na </w:t>
      </w:r>
      <w:r>
        <w:t>šetření</w:t>
      </w:r>
      <w:r w:rsidR="002A32D6">
        <w:t xml:space="preserve"> realizovaném</w:t>
      </w:r>
      <w:r>
        <w:t xml:space="preserve"> společnost</w:t>
      </w:r>
      <w:r w:rsidR="002A32D6">
        <w:t>í</w:t>
      </w:r>
      <w:r>
        <w:t xml:space="preserve"> </w:t>
      </w:r>
      <w:r w:rsidRPr="002A32D6">
        <w:rPr>
          <w:i/>
        </w:rPr>
        <w:t>Millward Brown</w:t>
      </w:r>
      <w:r>
        <w:t xml:space="preserve"> pro Asociaci producentů v audiovizi v roce 2014 na reprezentativním vzorku </w:t>
      </w:r>
      <w:r w:rsidR="00B508F7">
        <w:t>uživatelů audiovizuálních služeb</w:t>
      </w:r>
      <w:r w:rsidR="002A32D6">
        <w:t xml:space="preserve"> (více než 1000 osobních rozhovorů)</w:t>
      </w:r>
      <w:r>
        <w:t xml:space="preserve"> </w:t>
      </w:r>
      <w:r w:rsidR="002A32D6">
        <w:t>ve věkovém rozmezí 15 – 70 let.</w:t>
      </w:r>
      <w:r w:rsidR="00B508F7">
        <w:t xml:space="preserve"> Výzkum se vztahuje pouze na jedince, kteří v posledním roce sledovali placený audiovizuální obsah (např. lístek do kina, DVD apod.)</w:t>
      </w:r>
      <w:r w:rsidR="00DE4E41">
        <w:t>.</w:t>
      </w:r>
      <w:r w:rsidR="00B508F7">
        <w:t xml:space="preserve"> </w:t>
      </w:r>
      <w:r w:rsidR="00DE4E41">
        <w:t>P</w:t>
      </w:r>
      <w:r w:rsidR="00B508F7">
        <w:t>odle uvedené metodiky tvoří uživatelé placených audiovizuálních služeb 87 % celkové populace</w:t>
      </w:r>
      <w:r w:rsidR="001C5D40">
        <w:t xml:space="preserve"> starší 15 let</w:t>
      </w:r>
      <w:r w:rsidR="00B508F7">
        <w:t>.</w:t>
      </w:r>
      <w:r>
        <w:t xml:space="preserve"> Z prezentovaných údajů vyplývá, že </w:t>
      </w:r>
      <w:r w:rsidR="00B508F7">
        <w:t>uživatelé audiovizuálních služeb dávají</w:t>
      </w:r>
      <w:r>
        <w:t xml:space="preserve"> na pravidelné bázi přednost aktivitám</w:t>
      </w:r>
      <w:r w:rsidR="00B508F7">
        <w:t>, které mohou</w:t>
      </w:r>
      <w:r>
        <w:t xml:space="preserve"> provozovat doma – sledování TV, poslech hudby, sledování filmů a čtení knih. Všem jmenovaným aktivitám se věnuje minimálně jednou měsíčně více než </w:t>
      </w:r>
      <w:r w:rsidR="002A32D6">
        <w:t>90</w:t>
      </w:r>
      <w:r w:rsidR="00B508F7">
        <w:t xml:space="preserve"> </w:t>
      </w:r>
      <w:r w:rsidR="00B508F7">
        <w:rPr>
          <w:lang w:val="en-US"/>
        </w:rPr>
        <w:t>% u</w:t>
      </w:r>
      <w:r w:rsidR="00B508F7">
        <w:t>živatelů</w:t>
      </w:r>
      <w:r>
        <w:t>. Oproti tomu aktivitám mimo domov – návštěvě kina, divadla či koncertu - se věnuje alespoň jednou za měsíc</w:t>
      </w:r>
      <w:r w:rsidR="002A32D6">
        <w:t xml:space="preserve"> necelá třetina</w:t>
      </w:r>
      <w:r>
        <w:t xml:space="preserve"> </w:t>
      </w:r>
      <w:r w:rsidR="00B508F7">
        <w:t>této populace</w:t>
      </w:r>
      <w:r>
        <w:t>. Z uv</w:t>
      </w:r>
      <w:r w:rsidR="00B508F7">
        <w:t>edeného srovnání vyplývá, že tato populace</w:t>
      </w:r>
      <w:r>
        <w:t xml:space="preserve"> pravidelně konzumuje audiovizuální a mediální produkty a služby a dává přednost možnosti sledování či poslechu hudebních a audiovizuálních děl ve svých domovech než v kulturních zařízeních. Některé další poznatky z této studie budou rozebrány v kapitole věnující se filmovému průmyslu.</w:t>
      </w:r>
    </w:p>
    <w:p w:rsidR="00BB64DB" w:rsidRPr="007D12C6" w:rsidRDefault="00BB64DB" w:rsidP="00BB64DB">
      <w:pPr>
        <w:pStyle w:val="Titulek"/>
        <w:keepNext/>
        <w:rPr>
          <w:b w:val="0"/>
          <w:color w:val="000000" w:themeColor="text1"/>
          <w:sz w:val="22"/>
          <w:szCs w:val="22"/>
        </w:rPr>
      </w:pPr>
      <w:r w:rsidRPr="007D12C6">
        <w:rPr>
          <w:color w:val="000000" w:themeColor="text1"/>
          <w:sz w:val="22"/>
          <w:szCs w:val="22"/>
        </w:rPr>
        <w:lastRenderedPageBreak/>
        <w:t xml:space="preserve">Graf </w:t>
      </w:r>
      <w:r w:rsidR="00EB17AC" w:rsidRPr="007D12C6">
        <w:rPr>
          <w:color w:val="000000" w:themeColor="text1"/>
          <w:sz w:val="22"/>
          <w:szCs w:val="22"/>
        </w:rPr>
        <w:fldChar w:fldCharType="begin"/>
      </w:r>
      <w:r w:rsidRPr="007D12C6">
        <w:rPr>
          <w:color w:val="000000" w:themeColor="text1"/>
          <w:sz w:val="22"/>
          <w:szCs w:val="22"/>
        </w:rPr>
        <w:instrText xml:space="preserve"> SEQ Obrázek \* ARABIC </w:instrText>
      </w:r>
      <w:r w:rsidR="00EB17AC" w:rsidRPr="007D12C6">
        <w:rPr>
          <w:color w:val="000000" w:themeColor="text1"/>
          <w:sz w:val="22"/>
          <w:szCs w:val="22"/>
        </w:rPr>
        <w:fldChar w:fldCharType="separate"/>
      </w:r>
      <w:r w:rsidR="00583523">
        <w:rPr>
          <w:noProof/>
          <w:color w:val="000000" w:themeColor="text1"/>
          <w:sz w:val="22"/>
          <w:szCs w:val="22"/>
        </w:rPr>
        <w:t>6</w:t>
      </w:r>
      <w:r w:rsidR="00EB17AC" w:rsidRPr="007D12C6">
        <w:rPr>
          <w:color w:val="000000" w:themeColor="text1"/>
          <w:sz w:val="22"/>
          <w:szCs w:val="22"/>
        </w:rPr>
        <w:fldChar w:fldCharType="end"/>
      </w:r>
      <w:r w:rsidRPr="007D12C6">
        <w:rPr>
          <w:color w:val="000000" w:themeColor="text1"/>
          <w:sz w:val="22"/>
          <w:szCs w:val="22"/>
        </w:rPr>
        <w:t xml:space="preserve"> </w:t>
      </w:r>
      <w:r w:rsidR="00B508F7">
        <w:rPr>
          <w:b w:val="0"/>
          <w:color w:val="000000" w:themeColor="text1"/>
          <w:sz w:val="22"/>
          <w:szCs w:val="22"/>
        </w:rPr>
        <w:t>Kulturní participace uživatelů audiovizuálních služeb ve věku</w:t>
      </w:r>
      <w:r w:rsidRPr="007D12C6">
        <w:rPr>
          <w:b w:val="0"/>
          <w:color w:val="000000" w:themeColor="text1"/>
          <w:sz w:val="22"/>
          <w:szCs w:val="22"/>
        </w:rPr>
        <w:t xml:space="preserve"> </w:t>
      </w:r>
      <w:r w:rsidR="002A32D6" w:rsidRPr="007D12C6">
        <w:rPr>
          <w:b w:val="0"/>
          <w:color w:val="000000" w:themeColor="text1"/>
          <w:sz w:val="22"/>
          <w:szCs w:val="22"/>
        </w:rPr>
        <w:t>15 – 70 let</w:t>
      </w:r>
      <w:r w:rsidRPr="007D12C6">
        <w:rPr>
          <w:b w:val="0"/>
          <w:color w:val="000000" w:themeColor="text1"/>
          <w:sz w:val="22"/>
          <w:szCs w:val="22"/>
        </w:rPr>
        <w:t xml:space="preserve"> v roce 2014</w:t>
      </w:r>
    </w:p>
    <w:p w:rsidR="00BB64DB" w:rsidRDefault="002B6FCF" w:rsidP="00BB64DB">
      <w:pPr>
        <w:keepNext/>
      </w:pPr>
      <w:r w:rsidRPr="002B6FCF">
        <w:rPr>
          <w:noProof/>
        </w:rPr>
        <w:drawing>
          <wp:inline distT="0" distB="0" distL="0" distR="0">
            <wp:extent cx="6105525" cy="2476500"/>
            <wp:effectExtent l="0" t="0" r="0" b="0"/>
            <wp:docPr id="3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64DB" w:rsidRPr="007D12C6" w:rsidRDefault="00A96EFF" w:rsidP="00BB64DB">
      <w:pPr>
        <w:pStyle w:val="Titulek"/>
        <w:rPr>
          <w:b w:val="0"/>
          <w:color w:val="000000" w:themeColor="text1"/>
          <w:sz w:val="22"/>
          <w:szCs w:val="22"/>
        </w:rPr>
      </w:pPr>
      <w:r>
        <w:rPr>
          <w:b w:val="0"/>
          <w:color w:val="000000" w:themeColor="text1"/>
          <w:sz w:val="22"/>
          <w:szCs w:val="22"/>
        </w:rPr>
        <w:t xml:space="preserve">Zdroj: Audiovizuální trh v ČR, </w:t>
      </w:r>
      <w:r w:rsidR="00B508F7">
        <w:rPr>
          <w:b w:val="0"/>
          <w:color w:val="000000" w:themeColor="text1"/>
          <w:sz w:val="22"/>
          <w:szCs w:val="22"/>
        </w:rPr>
        <w:t>APA, MilwardBrown</w:t>
      </w:r>
    </w:p>
    <w:p w:rsidR="00BB64DB" w:rsidRPr="00B414F8" w:rsidRDefault="00BB64DB" w:rsidP="00B414F8">
      <w:pPr>
        <w:rPr>
          <w:rFonts w:cs="Arial"/>
        </w:rPr>
      </w:pPr>
      <w:r w:rsidRPr="00B414F8">
        <w:rPr>
          <w:rFonts w:cs="Arial"/>
        </w:rPr>
        <w:t xml:space="preserve">Posledním doplňujícím šetřením, které bylo vybráno pro kapitolu o obecné charakteristice </w:t>
      </w:r>
      <w:r w:rsidR="00BA414E">
        <w:rPr>
          <w:rFonts w:cs="Arial"/>
        </w:rPr>
        <w:t>a</w:t>
      </w:r>
      <w:r w:rsidRPr="00B414F8">
        <w:rPr>
          <w:rFonts w:cs="Arial"/>
        </w:rPr>
        <w:t>udiovizuálního</w:t>
      </w:r>
      <w:r w:rsidR="00282CCA">
        <w:rPr>
          <w:rFonts w:cs="Arial"/>
        </w:rPr>
        <w:t> </w:t>
      </w:r>
      <w:r w:rsidRPr="00B414F8">
        <w:rPr>
          <w:rFonts w:cs="Arial"/>
        </w:rPr>
        <w:t>a</w:t>
      </w:r>
      <w:r w:rsidR="00282CCA">
        <w:rPr>
          <w:rFonts w:cs="Arial"/>
        </w:rPr>
        <w:t> </w:t>
      </w:r>
      <w:r w:rsidRPr="00B414F8">
        <w:rPr>
          <w:rFonts w:cs="Arial"/>
        </w:rPr>
        <w:t>mediálního sektoru, je výstup v rámci mezinárodního projektu Světový proje</w:t>
      </w:r>
      <w:r w:rsidR="00B508F7">
        <w:rPr>
          <w:rFonts w:cs="Arial"/>
        </w:rPr>
        <w:t xml:space="preserve">kt o Internetu. </w:t>
      </w:r>
      <w:r w:rsidRPr="00B414F8">
        <w:rPr>
          <w:rFonts w:cs="Arial"/>
        </w:rPr>
        <w:t>Do tohoto projektu je Česká republika zapojena prostřednictvím Filozofické fakulty Karlovy univerzity,</w:t>
      </w:r>
      <w:r w:rsidR="00282CCA">
        <w:rPr>
          <w:rFonts w:cs="Arial"/>
        </w:rPr>
        <w:t> </w:t>
      </w:r>
      <w:r w:rsidRPr="00B414F8">
        <w:rPr>
          <w:rFonts w:cs="Arial"/>
        </w:rPr>
        <w:t>a</w:t>
      </w:r>
      <w:r w:rsidR="00282CCA">
        <w:rPr>
          <w:rFonts w:cs="Arial"/>
        </w:rPr>
        <w:t> </w:t>
      </w:r>
      <w:r w:rsidRPr="00B414F8">
        <w:rPr>
          <w:rFonts w:cs="Arial"/>
        </w:rPr>
        <w:t xml:space="preserve">jednotlivá média jsou v rámci výzkumu vnímána jako zdroj informací a prostředek komunikace více než jako nosič kulturních děl. Data v rámci výzkumného projektu pro Českou republiku zprostředkovala společnost MEDIAN na vzorku 1316 respondentů starších </w:t>
      </w:r>
      <w:r w:rsidR="00A96EFF">
        <w:rPr>
          <w:rFonts w:cs="Arial"/>
        </w:rPr>
        <w:t>15</w:t>
      </w:r>
      <w:r w:rsidRPr="00B414F8">
        <w:rPr>
          <w:rFonts w:cs="Arial"/>
        </w:rPr>
        <w:t xml:space="preserve"> let. Z Grafu 7 vyplývá, že tradiční média (noviny, telev</w:t>
      </w:r>
      <w:r w:rsidR="00BA414E">
        <w:rPr>
          <w:rFonts w:cs="Arial"/>
        </w:rPr>
        <w:t>ize, rádio) v průběhu poslední</w:t>
      </w:r>
      <w:r w:rsidRPr="00B414F8">
        <w:rPr>
          <w:rFonts w:cs="Arial"/>
        </w:rPr>
        <w:t xml:space="preserve"> dekády ztrácejí jako zdroj informací na důležitosti na rozdíl od internetu, který mezi lety 2006 a 2014 získával </w:t>
      </w:r>
      <w:r w:rsidR="00BA414E">
        <w:rPr>
          <w:rFonts w:cs="Arial"/>
        </w:rPr>
        <w:t xml:space="preserve">jako zdroj informací </w:t>
      </w:r>
      <w:r w:rsidRPr="00B414F8">
        <w:rPr>
          <w:rFonts w:cs="Arial"/>
        </w:rPr>
        <w:t>stále silnější pozici. Toto zjištění koresponduje s všeobecným trendem přechodu z tradičních na digitální média a promítnutí těchto změn do konkrétních oblastí kulturních průmyslů bude rozebráno v</w:t>
      </w:r>
      <w:r w:rsidR="002A32D6">
        <w:rPr>
          <w:rFonts w:cs="Arial"/>
        </w:rPr>
        <w:t> </w:t>
      </w:r>
      <w:r w:rsidRPr="00B414F8">
        <w:rPr>
          <w:rFonts w:cs="Arial"/>
        </w:rPr>
        <w:t>kapitolách</w:t>
      </w:r>
      <w:r w:rsidR="002A32D6">
        <w:rPr>
          <w:rFonts w:cs="Arial"/>
        </w:rPr>
        <w:t xml:space="preserve"> věnujících se konkrétním oblastem</w:t>
      </w:r>
      <w:r w:rsidRPr="00B414F8">
        <w:rPr>
          <w:rFonts w:cs="Arial"/>
        </w:rPr>
        <w:t>.</w:t>
      </w:r>
    </w:p>
    <w:p w:rsidR="00BB64DB" w:rsidRPr="007D12C6" w:rsidRDefault="00BB64DB" w:rsidP="00BB64DB">
      <w:pPr>
        <w:pStyle w:val="Titulek"/>
        <w:keepNext/>
        <w:rPr>
          <w:color w:val="000000" w:themeColor="text1"/>
          <w:sz w:val="22"/>
          <w:szCs w:val="22"/>
        </w:rPr>
      </w:pPr>
      <w:r w:rsidRPr="007D12C6">
        <w:rPr>
          <w:color w:val="000000" w:themeColor="text1"/>
          <w:sz w:val="22"/>
          <w:szCs w:val="22"/>
        </w:rPr>
        <w:t xml:space="preserve">Graf </w:t>
      </w:r>
      <w:r w:rsidR="00EB17AC" w:rsidRPr="007D12C6">
        <w:rPr>
          <w:color w:val="000000" w:themeColor="text1"/>
          <w:sz w:val="22"/>
          <w:szCs w:val="22"/>
        </w:rPr>
        <w:fldChar w:fldCharType="begin"/>
      </w:r>
      <w:r w:rsidRPr="007D12C6">
        <w:rPr>
          <w:color w:val="000000" w:themeColor="text1"/>
          <w:sz w:val="22"/>
          <w:szCs w:val="22"/>
        </w:rPr>
        <w:instrText xml:space="preserve"> SEQ Obrázek \* ARABIC </w:instrText>
      </w:r>
      <w:r w:rsidR="00EB17AC" w:rsidRPr="007D12C6">
        <w:rPr>
          <w:color w:val="000000" w:themeColor="text1"/>
          <w:sz w:val="22"/>
          <w:szCs w:val="22"/>
        </w:rPr>
        <w:fldChar w:fldCharType="separate"/>
      </w:r>
      <w:r w:rsidR="00583523">
        <w:rPr>
          <w:noProof/>
          <w:color w:val="000000" w:themeColor="text1"/>
          <w:sz w:val="22"/>
          <w:szCs w:val="22"/>
        </w:rPr>
        <w:t>7</w:t>
      </w:r>
      <w:r w:rsidR="00EB17AC" w:rsidRPr="007D12C6">
        <w:rPr>
          <w:color w:val="000000" w:themeColor="text1"/>
          <w:sz w:val="22"/>
          <w:szCs w:val="22"/>
        </w:rPr>
        <w:fldChar w:fldCharType="end"/>
      </w:r>
      <w:r w:rsidRPr="007D12C6">
        <w:rPr>
          <w:color w:val="000000" w:themeColor="text1"/>
          <w:sz w:val="22"/>
          <w:szCs w:val="22"/>
        </w:rPr>
        <w:t xml:space="preserve"> </w:t>
      </w:r>
      <w:r w:rsidRPr="007D12C6">
        <w:rPr>
          <w:b w:val="0"/>
          <w:color w:val="000000" w:themeColor="text1"/>
          <w:sz w:val="22"/>
          <w:szCs w:val="22"/>
        </w:rPr>
        <w:t>Význam vybraných médií jako zdroj informací</w:t>
      </w:r>
    </w:p>
    <w:p w:rsidR="00BB64DB" w:rsidRDefault="00126F11" w:rsidP="00BB64DB">
      <w:pPr>
        <w:keepNext/>
        <w:jc w:val="center"/>
      </w:pPr>
      <w:r w:rsidRPr="00126F11">
        <w:rPr>
          <w:noProof/>
        </w:rPr>
        <w:drawing>
          <wp:inline distT="0" distB="0" distL="0" distR="0">
            <wp:extent cx="5905500" cy="1543050"/>
            <wp:effectExtent l="0" t="0" r="0" b="0"/>
            <wp:docPr id="180" name="Graf 1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64DB" w:rsidRDefault="001C5D40" w:rsidP="00BB64DB">
      <w:pPr>
        <w:pStyle w:val="Titulek"/>
        <w:rPr>
          <w:b w:val="0"/>
          <w:color w:val="000000" w:themeColor="text1"/>
          <w:sz w:val="22"/>
          <w:szCs w:val="22"/>
        </w:rPr>
      </w:pPr>
      <w:r>
        <w:rPr>
          <w:b w:val="0"/>
          <w:color w:val="000000" w:themeColor="text1"/>
          <w:sz w:val="22"/>
          <w:szCs w:val="22"/>
        </w:rPr>
        <w:t xml:space="preserve">Zdroj: </w:t>
      </w:r>
      <w:r w:rsidRPr="001C5D40">
        <w:rPr>
          <w:b w:val="0"/>
          <w:color w:val="000000" w:themeColor="text1"/>
          <w:sz w:val="22"/>
          <w:szCs w:val="22"/>
        </w:rPr>
        <w:t>Internet v České republice</w:t>
      </w:r>
      <w:r>
        <w:rPr>
          <w:b w:val="0"/>
          <w:color w:val="000000" w:themeColor="text1"/>
          <w:sz w:val="22"/>
          <w:szCs w:val="22"/>
        </w:rPr>
        <w:t>,</w:t>
      </w:r>
      <w:r w:rsidRPr="001C5D40">
        <w:rPr>
          <w:b w:val="0"/>
          <w:color w:val="000000" w:themeColor="text1"/>
          <w:sz w:val="22"/>
          <w:szCs w:val="22"/>
        </w:rPr>
        <w:t xml:space="preserve"> </w:t>
      </w:r>
      <w:r>
        <w:rPr>
          <w:b w:val="0"/>
          <w:color w:val="000000" w:themeColor="text1"/>
          <w:sz w:val="22"/>
          <w:szCs w:val="22"/>
        </w:rPr>
        <w:t>Univerzita Karlova</w:t>
      </w:r>
    </w:p>
    <w:p w:rsidR="004E419B" w:rsidRDefault="004E419B">
      <w:pPr>
        <w:spacing w:after="0" w:line="240" w:lineRule="auto"/>
        <w:jc w:val="left"/>
        <w:rPr>
          <w:lang w:eastAsia="en-US"/>
        </w:rPr>
      </w:pPr>
    </w:p>
    <w:sectPr w:rsidR="004E419B" w:rsidSect="00D6530D">
      <w:headerReference w:type="even" r:id="rId15"/>
      <w:headerReference w:type="default" r:id="rId16"/>
      <w:footerReference w:type="even" r:id="rId17"/>
      <w:footerReference w:type="default" r:id="rId18"/>
      <w:pgSz w:w="11906" w:h="16838" w:code="9"/>
      <w:pgMar w:top="1134" w:right="1134" w:bottom="1418" w:left="1134" w:header="680" w:footer="680"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A94" w:rsidRDefault="00A24A94" w:rsidP="00E71A58">
      <w:r>
        <w:separator/>
      </w:r>
    </w:p>
  </w:endnote>
  <w:endnote w:type="continuationSeparator" w:id="0">
    <w:p w:rsidR="00A24A94" w:rsidRDefault="00A24A94"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Pr="00641938" w:rsidRDefault="00DE4E41" w:rsidP="003A6B38">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EB17AC" w:rsidRPr="005A21E0">
      <w:rPr>
        <w:rFonts w:ascii="Arial" w:hAnsi="Arial" w:cs="Arial"/>
        <w:sz w:val="16"/>
        <w:szCs w:val="16"/>
      </w:rPr>
      <w:fldChar w:fldCharType="begin"/>
    </w:r>
    <w:r w:rsidRPr="005A21E0">
      <w:rPr>
        <w:rFonts w:ascii="Arial" w:hAnsi="Arial" w:cs="Arial"/>
        <w:sz w:val="16"/>
        <w:szCs w:val="16"/>
      </w:rPr>
      <w:instrText>PAGE   \* MERGEFORMAT</w:instrText>
    </w:r>
    <w:r w:rsidR="00EB17AC" w:rsidRPr="005A21E0">
      <w:rPr>
        <w:rFonts w:ascii="Arial" w:hAnsi="Arial" w:cs="Arial"/>
        <w:sz w:val="16"/>
        <w:szCs w:val="16"/>
      </w:rPr>
      <w:fldChar w:fldCharType="separate"/>
    </w:r>
    <w:r w:rsidR="00D6530D">
      <w:rPr>
        <w:rFonts w:ascii="Arial" w:hAnsi="Arial" w:cs="Arial"/>
        <w:noProof/>
        <w:sz w:val="16"/>
        <w:szCs w:val="16"/>
      </w:rPr>
      <w:t>6</w:t>
    </w:r>
    <w:r w:rsidR="00EB17AC" w:rsidRPr="005A21E0">
      <w:rPr>
        <w:rFonts w:ascii="Arial" w:hAnsi="Arial" w:cs="Arial"/>
        <w:sz w:val="16"/>
        <w:szCs w:val="16"/>
      </w:rPr>
      <w:fldChar w:fldCharType="end"/>
    </w:r>
    <w:r>
      <w:rPr>
        <w:rFonts w:ascii="Arial" w:hAnsi="Arial" w:cs="Arial"/>
        <w:sz w:val="16"/>
        <w:szCs w:val="16"/>
      </w:rPr>
      <w:tab/>
      <w:t>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Default="00DE4E41"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DE4E41" w:rsidRDefault="00DE4E41"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tab/>
    </w:r>
    <w:r>
      <w:tab/>
    </w:r>
    <w:r w:rsidR="00EB17AC" w:rsidRPr="00B6608F">
      <w:rPr>
        <w:rFonts w:ascii="Arial" w:hAnsi="Arial" w:cs="Arial"/>
        <w:sz w:val="16"/>
        <w:szCs w:val="16"/>
      </w:rPr>
      <w:fldChar w:fldCharType="begin"/>
    </w:r>
    <w:r w:rsidRPr="00B6608F">
      <w:rPr>
        <w:rFonts w:ascii="Arial" w:hAnsi="Arial" w:cs="Arial"/>
        <w:sz w:val="16"/>
        <w:szCs w:val="16"/>
      </w:rPr>
      <w:instrText>PAGE   \* MERGEFORMAT</w:instrText>
    </w:r>
    <w:r w:rsidR="00EB17AC" w:rsidRPr="00B6608F">
      <w:rPr>
        <w:rFonts w:ascii="Arial" w:hAnsi="Arial" w:cs="Arial"/>
        <w:sz w:val="16"/>
        <w:szCs w:val="16"/>
      </w:rPr>
      <w:fldChar w:fldCharType="separate"/>
    </w:r>
    <w:r w:rsidR="00D6530D">
      <w:rPr>
        <w:rFonts w:ascii="Arial" w:hAnsi="Arial" w:cs="Arial"/>
        <w:noProof/>
        <w:sz w:val="16"/>
        <w:szCs w:val="16"/>
      </w:rPr>
      <w:t>5</w:t>
    </w:r>
    <w:r w:rsidR="00EB17AC"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A94" w:rsidRDefault="00A24A94" w:rsidP="00E71A58">
      <w:r>
        <w:separator/>
      </w:r>
    </w:p>
  </w:footnote>
  <w:footnote w:type="continuationSeparator" w:id="0">
    <w:p w:rsidR="00A24A94" w:rsidRDefault="00A24A94" w:rsidP="00E71A58">
      <w:r>
        <w:continuationSeparator/>
      </w:r>
    </w:p>
  </w:footnote>
  <w:footnote w:id="1">
    <w:p w:rsidR="00DE4E41" w:rsidRDefault="00DE4E41">
      <w:pPr>
        <w:pStyle w:val="Textpoznpodarou"/>
      </w:pPr>
      <w:r>
        <w:rPr>
          <w:rStyle w:val="Znakapoznpodarou"/>
        </w:rPr>
        <w:footnoteRef/>
      </w:r>
      <w:r>
        <w:t xml:space="preserve"> KEA European Affairs je výzkumná společnost se sídlem v Bruselu zaměřující se na oblast kreativních průmyslů, kulturu, média a sport.</w:t>
      </w:r>
    </w:p>
  </w:footnote>
  <w:footnote w:id="2">
    <w:p w:rsidR="00DE4E41" w:rsidRDefault="00DE4E41" w:rsidP="00BB64DB">
      <w:pPr>
        <w:pStyle w:val="Textpoznpodarou"/>
      </w:pPr>
      <w:r>
        <w:rPr>
          <w:rStyle w:val="Znakapoznpodarou"/>
        </w:rPr>
        <w:footnoteRef/>
      </w:r>
      <w:r>
        <w:t xml:space="preserve"> </w:t>
      </w:r>
      <w:r w:rsidRPr="00C47C7E">
        <w:t>European Statistical System Network on Culture</w:t>
      </w:r>
    </w:p>
  </w:footnote>
  <w:footnote w:id="3">
    <w:p w:rsidR="00DE4E41" w:rsidRDefault="00DE4E41" w:rsidP="00BB64DB">
      <w:pPr>
        <w:pStyle w:val="Textpoznpodarou"/>
      </w:pPr>
      <w:r>
        <w:rPr>
          <w:rStyle w:val="Znakapoznpodarou"/>
        </w:rPr>
        <w:footnoteRef/>
      </w:r>
      <w:r>
        <w:t xml:space="preserve"> bez designu a uměleckých</w:t>
      </w:r>
      <w:r w:rsidRPr="006153C5">
        <w:t xml:space="preserve"> řemesel</w:t>
      </w:r>
    </w:p>
  </w:footnote>
  <w:footnote w:id="4">
    <w:p w:rsidR="00DE4E41" w:rsidRDefault="00DE4E41">
      <w:pPr>
        <w:pStyle w:val="Textpoznpodarou"/>
      </w:pPr>
      <w:r>
        <w:rPr>
          <w:rStyle w:val="Znakapoznpodarou"/>
        </w:rPr>
        <w:footnoteRef/>
      </w:r>
      <w:r>
        <w:t xml:space="preserve"> Pojem ostatní svět zahrnuje zdroje z mezinárodních institucí.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Pr="00AD306C" w:rsidRDefault="00DE4E41"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Pr="00DC5B3B" w:rsidRDefault="00DE4E41"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4A6449C"/>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0"/>
  </w:num>
  <w:num w:numId="5">
    <w:abstractNumId w:val="16"/>
  </w:num>
  <w:num w:numId="6">
    <w:abstractNumId w:val="2"/>
  </w:num>
  <w:num w:numId="7">
    <w:abstractNumId w:val="1"/>
  </w:num>
  <w:num w:numId="8">
    <w:abstractNumId w:val="14"/>
  </w:num>
  <w:num w:numId="9">
    <w:abstractNumId w:val="15"/>
  </w:num>
  <w:num w:numId="10">
    <w:abstractNumId w:val="5"/>
  </w:num>
  <w:num w:numId="11">
    <w:abstractNumId w:val="4"/>
  </w:num>
  <w:num w:numId="12">
    <w:abstractNumId w:val="9"/>
  </w:num>
  <w:num w:numId="13">
    <w:abstractNumId w:val="12"/>
  </w:num>
  <w:num w:numId="14">
    <w:abstractNumId w:val="10"/>
  </w:num>
  <w:num w:numId="15">
    <w:abstractNumId w:val="8"/>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6626">
      <o:colormru v:ext="edit" colors="#ecf4dd,#eaecee,#fcec0a,#fcecdb,#f1daf5"/>
    </o:shapedefaults>
  </w:hdrShapeDefaults>
  <w:footnotePr>
    <w:footnote w:id="-1"/>
    <w:footnote w:id="0"/>
  </w:footnotePr>
  <w:endnotePr>
    <w:endnote w:id="-1"/>
    <w:endnote w:id="0"/>
  </w:endnotePr>
  <w:compat/>
  <w:rsids>
    <w:rsidRoot w:val="00F2719E"/>
    <w:rsid w:val="00005C1A"/>
    <w:rsid w:val="0000767A"/>
    <w:rsid w:val="00010702"/>
    <w:rsid w:val="00020722"/>
    <w:rsid w:val="00033CE1"/>
    <w:rsid w:val="00042B50"/>
    <w:rsid w:val="00042E63"/>
    <w:rsid w:val="0004694F"/>
    <w:rsid w:val="000624C6"/>
    <w:rsid w:val="00062EC5"/>
    <w:rsid w:val="00070E6A"/>
    <w:rsid w:val="000728C1"/>
    <w:rsid w:val="00075BB9"/>
    <w:rsid w:val="00084A0D"/>
    <w:rsid w:val="00087634"/>
    <w:rsid w:val="000A1183"/>
    <w:rsid w:val="000B3FA5"/>
    <w:rsid w:val="000C3408"/>
    <w:rsid w:val="000D21E1"/>
    <w:rsid w:val="000E4FAD"/>
    <w:rsid w:val="00104257"/>
    <w:rsid w:val="00105D5C"/>
    <w:rsid w:val="00114A3F"/>
    <w:rsid w:val="00114BE5"/>
    <w:rsid w:val="00126F11"/>
    <w:rsid w:val="00134579"/>
    <w:rsid w:val="00136A04"/>
    <w:rsid w:val="0014040A"/>
    <w:rsid w:val="001405FA"/>
    <w:rsid w:val="00141FE5"/>
    <w:rsid w:val="001425C3"/>
    <w:rsid w:val="001471DB"/>
    <w:rsid w:val="00150D41"/>
    <w:rsid w:val="00163793"/>
    <w:rsid w:val="00170E8B"/>
    <w:rsid w:val="001714F2"/>
    <w:rsid w:val="00185010"/>
    <w:rsid w:val="001919CC"/>
    <w:rsid w:val="00193560"/>
    <w:rsid w:val="001A552F"/>
    <w:rsid w:val="001A7DF6"/>
    <w:rsid w:val="001B3110"/>
    <w:rsid w:val="001B5EAE"/>
    <w:rsid w:val="001B6DBF"/>
    <w:rsid w:val="001C378C"/>
    <w:rsid w:val="001C5D40"/>
    <w:rsid w:val="001D41F6"/>
    <w:rsid w:val="001D4ECA"/>
    <w:rsid w:val="001E0AA5"/>
    <w:rsid w:val="001F4597"/>
    <w:rsid w:val="00210AA5"/>
    <w:rsid w:val="002130C8"/>
    <w:rsid w:val="0022139E"/>
    <w:rsid w:val="002252E0"/>
    <w:rsid w:val="002255F6"/>
    <w:rsid w:val="00236443"/>
    <w:rsid w:val="002436BA"/>
    <w:rsid w:val="00244A15"/>
    <w:rsid w:val="002473D9"/>
    <w:rsid w:val="0024799E"/>
    <w:rsid w:val="0025640A"/>
    <w:rsid w:val="00264C1E"/>
    <w:rsid w:val="00264D30"/>
    <w:rsid w:val="00282CCA"/>
    <w:rsid w:val="00291420"/>
    <w:rsid w:val="002A0381"/>
    <w:rsid w:val="002A1980"/>
    <w:rsid w:val="002A32D6"/>
    <w:rsid w:val="002B1997"/>
    <w:rsid w:val="002B6FCF"/>
    <w:rsid w:val="002B7E46"/>
    <w:rsid w:val="002C3743"/>
    <w:rsid w:val="002C3AEA"/>
    <w:rsid w:val="002C43BD"/>
    <w:rsid w:val="002D0CCB"/>
    <w:rsid w:val="002D12FB"/>
    <w:rsid w:val="002E02A1"/>
    <w:rsid w:val="00304771"/>
    <w:rsid w:val="00306C5B"/>
    <w:rsid w:val="003209D6"/>
    <w:rsid w:val="00323843"/>
    <w:rsid w:val="00354201"/>
    <w:rsid w:val="003657F3"/>
    <w:rsid w:val="00377195"/>
    <w:rsid w:val="00385D98"/>
    <w:rsid w:val="00393CDB"/>
    <w:rsid w:val="003A2B4D"/>
    <w:rsid w:val="003A478C"/>
    <w:rsid w:val="003A5525"/>
    <w:rsid w:val="003A6B38"/>
    <w:rsid w:val="003A6B7F"/>
    <w:rsid w:val="003B588B"/>
    <w:rsid w:val="003B5A32"/>
    <w:rsid w:val="003C03EB"/>
    <w:rsid w:val="003C6CC2"/>
    <w:rsid w:val="003C7985"/>
    <w:rsid w:val="003F313C"/>
    <w:rsid w:val="004004F4"/>
    <w:rsid w:val="00405FEB"/>
    <w:rsid w:val="00406BC3"/>
    <w:rsid w:val="00421D77"/>
    <w:rsid w:val="00425125"/>
    <w:rsid w:val="004271DC"/>
    <w:rsid w:val="00430E4E"/>
    <w:rsid w:val="0044303F"/>
    <w:rsid w:val="00476265"/>
    <w:rsid w:val="0048086F"/>
    <w:rsid w:val="0048139F"/>
    <w:rsid w:val="00493CD1"/>
    <w:rsid w:val="004A77DF"/>
    <w:rsid w:val="004B55B7"/>
    <w:rsid w:val="004C05A9"/>
    <w:rsid w:val="004C3867"/>
    <w:rsid w:val="004C4CD0"/>
    <w:rsid w:val="004C70DC"/>
    <w:rsid w:val="004D0211"/>
    <w:rsid w:val="004D3A66"/>
    <w:rsid w:val="004D5A93"/>
    <w:rsid w:val="004E419B"/>
    <w:rsid w:val="004F06F5"/>
    <w:rsid w:val="0050025B"/>
    <w:rsid w:val="005101BF"/>
    <w:rsid w:val="005108C0"/>
    <w:rsid w:val="00511873"/>
    <w:rsid w:val="00511E36"/>
    <w:rsid w:val="00513B7E"/>
    <w:rsid w:val="00522F08"/>
    <w:rsid w:val="00525137"/>
    <w:rsid w:val="005251DD"/>
    <w:rsid w:val="00530D45"/>
    <w:rsid w:val="0053607C"/>
    <w:rsid w:val="005366C7"/>
    <w:rsid w:val="0056006C"/>
    <w:rsid w:val="00560B0A"/>
    <w:rsid w:val="005639DB"/>
    <w:rsid w:val="00564762"/>
    <w:rsid w:val="005670CC"/>
    <w:rsid w:val="005771D3"/>
    <w:rsid w:val="00583523"/>
    <w:rsid w:val="00583FFD"/>
    <w:rsid w:val="00593152"/>
    <w:rsid w:val="0059779F"/>
    <w:rsid w:val="005A21E0"/>
    <w:rsid w:val="005A282E"/>
    <w:rsid w:val="005B1EDC"/>
    <w:rsid w:val="005B63CE"/>
    <w:rsid w:val="005C19FC"/>
    <w:rsid w:val="005D1937"/>
    <w:rsid w:val="005D5802"/>
    <w:rsid w:val="005E0178"/>
    <w:rsid w:val="00604307"/>
    <w:rsid w:val="0060487F"/>
    <w:rsid w:val="006103FD"/>
    <w:rsid w:val="00612473"/>
    <w:rsid w:val="00624093"/>
    <w:rsid w:val="00625534"/>
    <w:rsid w:val="006404A7"/>
    <w:rsid w:val="00641938"/>
    <w:rsid w:val="00643AF5"/>
    <w:rsid w:val="006451E4"/>
    <w:rsid w:val="006571EA"/>
    <w:rsid w:val="00657E87"/>
    <w:rsid w:val="0066739F"/>
    <w:rsid w:val="006710C9"/>
    <w:rsid w:val="00673941"/>
    <w:rsid w:val="00673A17"/>
    <w:rsid w:val="00675E37"/>
    <w:rsid w:val="00681439"/>
    <w:rsid w:val="0068260E"/>
    <w:rsid w:val="00683DBB"/>
    <w:rsid w:val="00694914"/>
    <w:rsid w:val="00695BEF"/>
    <w:rsid w:val="006977F6"/>
    <w:rsid w:val="00697A13"/>
    <w:rsid w:val="006A109C"/>
    <w:rsid w:val="006B565D"/>
    <w:rsid w:val="006B78D8"/>
    <w:rsid w:val="006C113F"/>
    <w:rsid w:val="006D61F6"/>
    <w:rsid w:val="006E279A"/>
    <w:rsid w:val="006E313B"/>
    <w:rsid w:val="00711D9A"/>
    <w:rsid w:val="007211F5"/>
    <w:rsid w:val="00730AE8"/>
    <w:rsid w:val="00731CAB"/>
    <w:rsid w:val="00740F4A"/>
    <w:rsid w:val="00741493"/>
    <w:rsid w:val="00752180"/>
    <w:rsid w:val="00755D3A"/>
    <w:rsid w:val="007609C6"/>
    <w:rsid w:val="00772DA1"/>
    <w:rsid w:val="007764CA"/>
    <w:rsid w:val="00776527"/>
    <w:rsid w:val="00793BA5"/>
    <w:rsid w:val="00794608"/>
    <w:rsid w:val="007A39D9"/>
    <w:rsid w:val="007B47EE"/>
    <w:rsid w:val="007B60D9"/>
    <w:rsid w:val="007C4074"/>
    <w:rsid w:val="007D12C6"/>
    <w:rsid w:val="007E12CE"/>
    <w:rsid w:val="007E7E61"/>
    <w:rsid w:val="008018B7"/>
    <w:rsid w:val="008134C4"/>
    <w:rsid w:val="00821FF6"/>
    <w:rsid w:val="0082466D"/>
    <w:rsid w:val="0083143E"/>
    <w:rsid w:val="00834FAA"/>
    <w:rsid w:val="00836086"/>
    <w:rsid w:val="00857BB4"/>
    <w:rsid w:val="00876086"/>
    <w:rsid w:val="00882967"/>
    <w:rsid w:val="008905EC"/>
    <w:rsid w:val="008B7C02"/>
    <w:rsid w:val="008C0E88"/>
    <w:rsid w:val="008D2A16"/>
    <w:rsid w:val="008E31FF"/>
    <w:rsid w:val="008E49E1"/>
    <w:rsid w:val="009003A8"/>
    <w:rsid w:val="0090098A"/>
    <w:rsid w:val="00902EFF"/>
    <w:rsid w:val="00903051"/>
    <w:rsid w:val="0090382A"/>
    <w:rsid w:val="00921F14"/>
    <w:rsid w:val="009253A5"/>
    <w:rsid w:val="00932900"/>
    <w:rsid w:val="009421B4"/>
    <w:rsid w:val="00942F60"/>
    <w:rsid w:val="0094427A"/>
    <w:rsid w:val="00973454"/>
    <w:rsid w:val="00974923"/>
    <w:rsid w:val="009B2F33"/>
    <w:rsid w:val="009B6FD3"/>
    <w:rsid w:val="009D29C0"/>
    <w:rsid w:val="009D572F"/>
    <w:rsid w:val="009F4056"/>
    <w:rsid w:val="00A10D66"/>
    <w:rsid w:val="00A11B36"/>
    <w:rsid w:val="00A20AC3"/>
    <w:rsid w:val="00A23E43"/>
    <w:rsid w:val="00A24A94"/>
    <w:rsid w:val="00A33EFD"/>
    <w:rsid w:val="00A35033"/>
    <w:rsid w:val="00A35492"/>
    <w:rsid w:val="00A35B08"/>
    <w:rsid w:val="00A46DE0"/>
    <w:rsid w:val="00A5138E"/>
    <w:rsid w:val="00A62302"/>
    <w:rsid w:val="00A62CE1"/>
    <w:rsid w:val="00A64348"/>
    <w:rsid w:val="00A7537C"/>
    <w:rsid w:val="00A75E40"/>
    <w:rsid w:val="00A857C0"/>
    <w:rsid w:val="00A92865"/>
    <w:rsid w:val="00A96EFF"/>
    <w:rsid w:val="00AA559A"/>
    <w:rsid w:val="00AB2AF1"/>
    <w:rsid w:val="00AD306C"/>
    <w:rsid w:val="00B00577"/>
    <w:rsid w:val="00B01CAD"/>
    <w:rsid w:val="00B17E71"/>
    <w:rsid w:val="00B17FDE"/>
    <w:rsid w:val="00B32DDB"/>
    <w:rsid w:val="00B34A56"/>
    <w:rsid w:val="00B374C5"/>
    <w:rsid w:val="00B414F8"/>
    <w:rsid w:val="00B508F7"/>
    <w:rsid w:val="00B54975"/>
    <w:rsid w:val="00B554C6"/>
    <w:rsid w:val="00B6608F"/>
    <w:rsid w:val="00B76D1E"/>
    <w:rsid w:val="00B90C58"/>
    <w:rsid w:val="00B94374"/>
    <w:rsid w:val="00B95940"/>
    <w:rsid w:val="00B97BEC"/>
    <w:rsid w:val="00BA414E"/>
    <w:rsid w:val="00BA44D7"/>
    <w:rsid w:val="00BA493B"/>
    <w:rsid w:val="00BB64DB"/>
    <w:rsid w:val="00BC0761"/>
    <w:rsid w:val="00BC3543"/>
    <w:rsid w:val="00BD2F1E"/>
    <w:rsid w:val="00BD366B"/>
    <w:rsid w:val="00BD6D50"/>
    <w:rsid w:val="00BE7BBE"/>
    <w:rsid w:val="00BF33BA"/>
    <w:rsid w:val="00C174DD"/>
    <w:rsid w:val="00C21F94"/>
    <w:rsid w:val="00C30C52"/>
    <w:rsid w:val="00C47F27"/>
    <w:rsid w:val="00C522C1"/>
    <w:rsid w:val="00C53DDA"/>
    <w:rsid w:val="00C80F44"/>
    <w:rsid w:val="00C8582D"/>
    <w:rsid w:val="00C90CF4"/>
    <w:rsid w:val="00C93389"/>
    <w:rsid w:val="00CB5E1F"/>
    <w:rsid w:val="00CB6787"/>
    <w:rsid w:val="00CB7B8F"/>
    <w:rsid w:val="00CD69AB"/>
    <w:rsid w:val="00CE762C"/>
    <w:rsid w:val="00CF3AF7"/>
    <w:rsid w:val="00CF51EC"/>
    <w:rsid w:val="00D040DD"/>
    <w:rsid w:val="00D15C62"/>
    <w:rsid w:val="00D32AAF"/>
    <w:rsid w:val="00D6530D"/>
    <w:rsid w:val="00DC5B3B"/>
    <w:rsid w:val="00DD3310"/>
    <w:rsid w:val="00DE4E41"/>
    <w:rsid w:val="00DE61D7"/>
    <w:rsid w:val="00DF2BE0"/>
    <w:rsid w:val="00E01C0E"/>
    <w:rsid w:val="00E04694"/>
    <w:rsid w:val="00E069D1"/>
    <w:rsid w:val="00E32551"/>
    <w:rsid w:val="00E71A58"/>
    <w:rsid w:val="00E93E77"/>
    <w:rsid w:val="00E95ED4"/>
    <w:rsid w:val="00EA0C68"/>
    <w:rsid w:val="00EB17AC"/>
    <w:rsid w:val="00ED0206"/>
    <w:rsid w:val="00ED286F"/>
    <w:rsid w:val="00ED437A"/>
    <w:rsid w:val="00EE3E78"/>
    <w:rsid w:val="00EE504E"/>
    <w:rsid w:val="00EE7545"/>
    <w:rsid w:val="00EF194E"/>
    <w:rsid w:val="00EF1F5A"/>
    <w:rsid w:val="00EF4D97"/>
    <w:rsid w:val="00F04811"/>
    <w:rsid w:val="00F0488C"/>
    <w:rsid w:val="00F07CC0"/>
    <w:rsid w:val="00F100E0"/>
    <w:rsid w:val="00F12145"/>
    <w:rsid w:val="00F15BEF"/>
    <w:rsid w:val="00F1651D"/>
    <w:rsid w:val="00F24FAA"/>
    <w:rsid w:val="00F2719E"/>
    <w:rsid w:val="00F2751B"/>
    <w:rsid w:val="00F3364D"/>
    <w:rsid w:val="00F63DDE"/>
    <w:rsid w:val="00F63FB7"/>
    <w:rsid w:val="00F72FAA"/>
    <w:rsid w:val="00F73A0C"/>
    <w:rsid w:val="00FA6A70"/>
    <w:rsid w:val="00FB6DE3"/>
    <w:rsid w:val="00FC0E5F"/>
    <w:rsid w:val="00FC54BF"/>
    <w:rsid w:val="00FC56DE"/>
    <w:rsid w:val="00FE26AC"/>
    <w:rsid w:val="00FE2F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B414F8"/>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semiHidden/>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vraznn">
    <w:name w:val="Emphasis"/>
    <w:basedOn w:val="Standardnpsmoodstavce"/>
    <w:uiPriority w:val="20"/>
    <w:qFormat/>
    <w:rsid w:val="00FA6A70"/>
    <w:rPr>
      <w:i/>
      <w:iC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Tabulka%20-%20trojsektorov&#233;%20&#269;len&#283;n&#23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Tabulka%20-%20trojsektorov&#233;%20&#269;len&#283;n&#23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ublikace%20Kulturn&#237;%20pr&#367;mysly%20v%20&#268;R\Tabulka%20-%20v&#253;daje%20dom&#225;ctnost&#237;%20na%20kulturu%20(audioviz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kumenty\GroupWise\data_mil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kumenty\GroupWise\data_mila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7.7630181723467778E-2"/>
          <c:y val="0.19028944298629413"/>
          <c:w val="0.90395864639057855"/>
          <c:h val="0.63164734616506446"/>
        </c:manualLayout>
      </c:layout>
      <c:barChart>
        <c:barDir val="col"/>
        <c:grouping val="stacked"/>
        <c:ser>
          <c:idx val="0"/>
          <c:order val="0"/>
          <c:tx>
            <c:strRef>
              <c:f>List1!$D$11</c:f>
              <c:strCache>
                <c:ptCount val="1"/>
                <c:pt idx="0">
                  <c:v>veřejný sektor</c:v>
                </c:pt>
              </c:strCache>
            </c:strRef>
          </c:tx>
          <c:spPr>
            <a:solidFill>
              <a:schemeClr val="tx2">
                <a:lumMod val="75000"/>
              </a:schemeClr>
            </a:solidFill>
          </c:spPr>
          <c:dLbls>
            <c:numFmt formatCode="0.0%" sourceLinked="0"/>
            <c:dLblPos val="inBase"/>
            <c:showVal val="1"/>
          </c:dLbls>
          <c:cat>
            <c:strRef>
              <c:f>List1!$C$12:$C$16</c:f>
              <c:strCache>
                <c:ptCount val="5"/>
                <c:pt idx="0">
                  <c:v>Kulturní dědictví</c:v>
                </c:pt>
                <c:pt idx="1">
                  <c:v>Interpretační umění</c:v>
                </c:pt>
                <c:pt idx="2">
                  <c:v>Umělecké vzdělávání</c:v>
                </c:pt>
                <c:pt idx="3">
                  <c:v>Periodický a neperiodický tisk</c:v>
                </c:pt>
                <c:pt idx="4">
                  <c:v>Audiovizuální a interaktivní média</c:v>
                </c:pt>
              </c:strCache>
            </c:strRef>
          </c:cat>
          <c:val>
            <c:numRef>
              <c:f>List1!$D$12:$D$16</c:f>
              <c:numCache>
                <c:formatCode>General</c:formatCode>
                <c:ptCount val="5"/>
                <c:pt idx="0">
                  <c:v>0.65766720290373781</c:v>
                </c:pt>
                <c:pt idx="1">
                  <c:v>0.50125888237146166</c:v>
                </c:pt>
                <c:pt idx="2">
                  <c:v>0.87857854785575251</c:v>
                </c:pt>
                <c:pt idx="3">
                  <c:v>1.2074484241022454E-3</c:v>
                </c:pt>
                <c:pt idx="4">
                  <c:v>2.5190339202792678E-2</c:v>
                </c:pt>
              </c:numCache>
            </c:numRef>
          </c:val>
        </c:ser>
        <c:ser>
          <c:idx val="1"/>
          <c:order val="1"/>
          <c:tx>
            <c:strRef>
              <c:f>List1!$E$11</c:f>
              <c:strCache>
                <c:ptCount val="1"/>
                <c:pt idx="0">
                  <c:v>soukromý sektor</c:v>
                </c:pt>
              </c:strCache>
            </c:strRef>
          </c:tx>
          <c:dLbls>
            <c:numFmt formatCode="0.0%" sourceLinked="0"/>
            <c:showVal val="1"/>
          </c:dLbls>
          <c:cat>
            <c:strRef>
              <c:f>List1!$C$12:$C$16</c:f>
              <c:strCache>
                <c:ptCount val="5"/>
                <c:pt idx="0">
                  <c:v>Kulturní dědictví</c:v>
                </c:pt>
                <c:pt idx="1">
                  <c:v>Interpretační umění</c:v>
                </c:pt>
                <c:pt idx="2">
                  <c:v>Umělecké vzdělávání</c:v>
                </c:pt>
                <c:pt idx="3">
                  <c:v>Periodický a neperiodický tisk</c:v>
                </c:pt>
                <c:pt idx="4">
                  <c:v>Audiovizuální a interaktivní média</c:v>
                </c:pt>
              </c:strCache>
            </c:strRef>
          </c:cat>
          <c:val>
            <c:numRef>
              <c:f>List1!$E$12:$E$16</c:f>
              <c:numCache>
                <c:formatCode>General</c:formatCode>
                <c:ptCount val="5"/>
                <c:pt idx="0">
                  <c:v>0.32898489032938683</c:v>
                </c:pt>
                <c:pt idx="1">
                  <c:v>0.49340235987847963</c:v>
                </c:pt>
                <c:pt idx="2">
                  <c:v>0.12133086526825958</c:v>
                </c:pt>
                <c:pt idx="3">
                  <c:v>0.9983306992375065</c:v>
                </c:pt>
                <c:pt idx="4">
                  <c:v>0.93553263179909241</c:v>
                </c:pt>
              </c:numCache>
            </c:numRef>
          </c:val>
        </c:ser>
        <c:ser>
          <c:idx val="2"/>
          <c:order val="2"/>
          <c:tx>
            <c:strRef>
              <c:f>List1!$F$11</c:f>
              <c:strCache>
                <c:ptCount val="1"/>
                <c:pt idx="0">
                  <c:v>ostatní svět</c:v>
                </c:pt>
              </c:strCache>
            </c:strRef>
          </c:tx>
          <c:dLbls>
            <c:dLbl>
              <c:idx val="2"/>
              <c:numFmt formatCode="0%" sourceLinked="0"/>
              <c:spPr/>
              <c:txPr>
                <a:bodyPr/>
                <a:lstStyle/>
                <a:p>
                  <a:pPr>
                    <a:defRPr/>
                  </a:pPr>
                  <a:endParaRPr lang="cs-CZ"/>
                </a:p>
              </c:txPr>
            </c:dLbl>
            <c:dLbl>
              <c:idx val="3"/>
              <c:numFmt formatCode="0%" sourceLinked="0"/>
              <c:spPr/>
              <c:txPr>
                <a:bodyPr/>
                <a:lstStyle/>
                <a:p>
                  <a:pPr>
                    <a:defRPr/>
                  </a:pPr>
                  <a:endParaRPr lang="cs-CZ"/>
                </a:p>
              </c:txPr>
            </c:dLbl>
            <c:numFmt formatCode="0.0%" sourceLinked="0"/>
            <c:dLblPos val="inBase"/>
            <c:showVal val="1"/>
          </c:dLbls>
          <c:cat>
            <c:strRef>
              <c:f>List1!$C$12:$C$16</c:f>
              <c:strCache>
                <c:ptCount val="5"/>
                <c:pt idx="0">
                  <c:v>Kulturní dědictví</c:v>
                </c:pt>
                <c:pt idx="1">
                  <c:v>Interpretační umění</c:v>
                </c:pt>
                <c:pt idx="2">
                  <c:v>Umělecké vzdělávání</c:v>
                </c:pt>
                <c:pt idx="3">
                  <c:v>Periodický a neperiodický tisk</c:v>
                </c:pt>
                <c:pt idx="4">
                  <c:v>Audiovizuální a interaktivní média</c:v>
                </c:pt>
              </c:strCache>
            </c:strRef>
          </c:cat>
          <c:val>
            <c:numRef>
              <c:f>List1!$F$12:$F$16</c:f>
              <c:numCache>
                <c:formatCode>General</c:formatCode>
                <c:ptCount val="5"/>
                <c:pt idx="0">
                  <c:v>1.3347906766880083E-2</c:v>
                </c:pt>
                <c:pt idx="1">
                  <c:v>5.3387577500598393E-3</c:v>
                </c:pt>
                <c:pt idx="2">
                  <c:v>9.058687598827686E-5</c:v>
                </c:pt>
                <c:pt idx="3">
                  <c:v>4.618523383912515E-4</c:v>
                </c:pt>
                <c:pt idx="4">
                  <c:v>3.9277028998115006E-2</c:v>
                </c:pt>
              </c:numCache>
            </c:numRef>
          </c:val>
        </c:ser>
        <c:overlap val="100"/>
        <c:axId val="95268864"/>
        <c:axId val="95270400"/>
      </c:barChart>
      <c:catAx>
        <c:axId val="95268864"/>
        <c:scaling>
          <c:orientation val="minMax"/>
        </c:scaling>
        <c:axPos val="b"/>
        <c:tickLblPos val="nextTo"/>
        <c:crossAx val="95270400"/>
        <c:crosses val="autoZero"/>
        <c:auto val="1"/>
        <c:lblAlgn val="ctr"/>
        <c:lblOffset val="100"/>
      </c:catAx>
      <c:valAx>
        <c:axId val="95270400"/>
        <c:scaling>
          <c:orientation val="minMax"/>
          <c:max val="1"/>
        </c:scaling>
        <c:axPos val="l"/>
        <c:majorGridlines/>
        <c:numFmt formatCode="0%" sourceLinked="0"/>
        <c:tickLblPos val="nextTo"/>
        <c:crossAx val="95268864"/>
        <c:crosses val="autoZero"/>
        <c:crossBetween val="between"/>
      </c:valAx>
    </c:plotArea>
    <c:legend>
      <c:legendPos val="r"/>
      <c:layout>
        <c:manualLayout>
          <c:xMode val="edge"/>
          <c:yMode val="edge"/>
          <c:x val="7.5736410811244409E-2"/>
          <c:y val="4.0536599591717831E-3"/>
          <c:w val="0.88762236781471016"/>
          <c:h val="9.8373797025371537E-2"/>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List2!$C$3</c:f>
              <c:strCache>
                <c:ptCount val="1"/>
                <c:pt idx="0">
                  <c:v>Kreativní průmysly</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dLbl>
              <c:idx val="2"/>
              <c:dLblPos val="b"/>
              <c:showVal val="1"/>
            </c:dLbl>
            <c:dLbl>
              <c:idx val="3"/>
              <c:dLblPos val="b"/>
              <c:showVal val="1"/>
            </c:dLbl>
            <c:numFmt formatCode="#,##0.0" sourceLinked="0"/>
            <c:dLblPos val="t"/>
            <c:showVal val="1"/>
          </c:dLbls>
          <c:cat>
            <c:numRef>
              <c:f>List2!$D$2:$G$2</c:f>
              <c:numCache>
                <c:formatCode>General</c:formatCode>
                <c:ptCount val="4"/>
                <c:pt idx="0">
                  <c:v>2010</c:v>
                </c:pt>
                <c:pt idx="1">
                  <c:v>2011</c:v>
                </c:pt>
                <c:pt idx="2">
                  <c:v>2012</c:v>
                </c:pt>
                <c:pt idx="3">
                  <c:v>2013</c:v>
                </c:pt>
              </c:numCache>
            </c:numRef>
          </c:cat>
          <c:val>
            <c:numRef>
              <c:f>List2!$D$3:$G$3</c:f>
              <c:numCache>
                <c:formatCode>General</c:formatCode>
                <c:ptCount val="4"/>
                <c:pt idx="0">
                  <c:v>99.567234000000099</c:v>
                </c:pt>
                <c:pt idx="1">
                  <c:v>92.6293509999999</c:v>
                </c:pt>
                <c:pt idx="2">
                  <c:v>87.641295999999997</c:v>
                </c:pt>
                <c:pt idx="3">
                  <c:v>84.299260000000146</c:v>
                </c:pt>
              </c:numCache>
            </c:numRef>
          </c:val>
        </c:ser>
        <c:ser>
          <c:idx val="1"/>
          <c:order val="1"/>
          <c:tx>
            <c:strRef>
              <c:f>List2!$C$4</c:f>
              <c:strCache>
                <c:ptCount val="1"/>
                <c:pt idx="0">
                  <c:v>Kulturní průmysly</c:v>
                </c:pt>
              </c:strCache>
            </c:strRef>
          </c:tx>
          <c:dLbls>
            <c:dLbl>
              <c:idx val="2"/>
              <c:dLblPos val="t"/>
              <c:showVal val="1"/>
            </c:dLbl>
            <c:dLbl>
              <c:idx val="3"/>
              <c:dLblPos val="t"/>
              <c:showVal val="1"/>
            </c:dLbl>
            <c:numFmt formatCode="#,##0.0" sourceLinked="0"/>
            <c:dLblPos val="b"/>
            <c:showVal val="1"/>
          </c:dLbls>
          <c:cat>
            <c:numRef>
              <c:f>List2!$D$2:$G$2</c:f>
              <c:numCache>
                <c:formatCode>General</c:formatCode>
                <c:ptCount val="4"/>
                <c:pt idx="0">
                  <c:v>2010</c:v>
                </c:pt>
                <c:pt idx="1">
                  <c:v>2011</c:v>
                </c:pt>
                <c:pt idx="2">
                  <c:v>2012</c:v>
                </c:pt>
                <c:pt idx="3">
                  <c:v>2013</c:v>
                </c:pt>
              </c:numCache>
            </c:numRef>
          </c:cat>
          <c:val>
            <c:numRef>
              <c:f>List2!$D$4:$G$4</c:f>
              <c:numCache>
                <c:formatCode>General</c:formatCode>
                <c:ptCount val="4"/>
                <c:pt idx="0">
                  <c:v>87.857037999999989</c:v>
                </c:pt>
                <c:pt idx="1">
                  <c:v>85.67340199999984</c:v>
                </c:pt>
                <c:pt idx="2">
                  <c:v>88.794704999999993</c:v>
                </c:pt>
                <c:pt idx="3">
                  <c:v>87.026533999999998</c:v>
                </c:pt>
              </c:numCache>
            </c:numRef>
          </c:val>
        </c:ser>
        <c:ser>
          <c:idx val="2"/>
          <c:order val="2"/>
          <c:tx>
            <c:strRef>
              <c:f>List2!$C$5</c:f>
              <c:strCache>
                <c:ptCount val="1"/>
                <c:pt idx="0">
                  <c:v>Tradiční odvětví (kulturní sektor)</c:v>
                </c:pt>
              </c:strCache>
            </c:strRef>
          </c:tx>
          <c:dLbls>
            <c:numFmt formatCode="#,##0.0" sourceLinked="0"/>
            <c:dLblPos val="t"/>
            <c:showVal val="1"/>
          </c:dLbls>
          <c:cat>
            <c:numRef>
              <c:f>List2!$D$2:$G$2</c:f>
              <c:numCache>
                <c:formatCode>General</c:formatCode>
                <c:ptCount val="4"/>
                <c:pt idx="0">
                  <c:v>2010</c:v>
                </c:pt>
                <c:pt idx="1">
                  <c:v>2011</c:v>
                </c:pt>
                <c:pt idx="2">
                  <c:v>2012</c:v>
                </c:pt>
                <c:pt idx="3">
                  <c:v>2013</c:v>
                </c:pt>
              </c:numCache>
            </c:numRef>
          </c:cat>
          <c:val>
            <c:numRef>
              <c:f>List2!$D$5:$G$5</c:f>
              <c:numCache>
                <c:formatCode>General</c:formatCode>
                <c:ptCount val="4"/>
                <c:pt idx="0">
                  <c:v>28.316939000000001</c:v>
                </c:pt>
                <c:pt idx="1">
                  <c:v>28.849734000000002</c:v>
                </c:pt>
                <c:pt idx="2">
                  <c:v>31.414587999999988</c:v>
                </c:pt>
                <c:pt idx="3">
                  <c:v>32.946000000000005</c:v>
                </c:pt>
              </c:numCache>
            </c:numRef>
          </c:val>
        </c:ser>
        <c:marker val="1"/>
        <c:axId val="95780224"/>
        <c:axId val="95799552"/>
      </c:lineChart>
      <c:catAx>
        <c:axId val="95780224"/>
        <c:scaling>
          <c:orientation val="minMax"/>
        </c:scaling>
        <c:axPos val="b"/>
        <c:numFmt formatCode="General" sourceLinked="1"/>
        <c:tickLblPos val="nextTo"/>
        <c:crossAx val="95799552"/>
        <c:crosses val="autoZero"/>
        <c:auto val="1"/>
        <c:lblAlgn val="ctr"/>
        <c:lblOffset val="100"/>
      </c:catAx>
      <c:valAx>
        <c:axId val="95799552"/>
        <c:scaling>
          <c:orientation val="minMax"/>
        </c:scaling>
        <c:axPos val="l"/>
        <c:majorGridlines/>
        <c:numFmt formatCode="General" sourceLinked="1"/>
        <c:tickLblPos val="nextTo"/>
        <c:crossAx val="95780224"/>
        <c:crosses val="autoZero"/>
        <c:crossBetween val="between"/>
      </c:valAx>
    </c:plotArea>
    <c:legend>
      <c:legendPos val="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4.2641848667998743E-2"/>
          <c:y val="0.21433231560340671"/>
          <c:w val="0.94104826346248216"/>
          <c:h val="0.6492618779795406"/>
        </c:manualLayout>
      </c:layout>
      <c:lineChart>
        <c:grouping val="standard"/>
        <c:ser>
          <c:idx val="0"/>
          <c:order val="0"/>
          <c:tx>
            <c:strRef>
              <c:f>List3!$C$2</c:f>
              <c:strCache>
                <c:ptCount val="1"/>
                <c:pt idx="0">
                  <c:v>Tradiční odvětví (kulturní sektor)</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List3!$D$1:$G$1</c:f>
              <c:numCache>
                <c:formatCode>General</c:formatCode>
                <c:ptCount val="4"/>
                <c:pt idx="0">
                  <c:v>2010</c:v>
                </c:pt>
                <c:pt idx="1">
                  <c:v>2011</c:v>
                </c:pt>
                <c:pt idx="2">
                  <c:v>2012</c:v>
                </c:pt>
                <c:pt idx="3">
                  <c:v>2013</c:v>
                </c:pt>
              </c:numCache>
            </c:numRef>
          </c:cat>
          <c:val>
            <c:numRef>
              <c:f>List3!$D$2:$G$2</c:f>
              <c:numCache>
                <c:formatCode>General</c:formatCode>
                <c:ptCount val="4"/>
                <c:pt idx="0">
                  <c:v>32.424000000000007</c:v>
                </c:pt>
                <c:pt idx="1">
                  <c:v>33.621000000000002</c:v>
                </c:pt>
                <c:pt idx="2">
                  <c:v>33.186</c:v>
                </c:pt>
                <c:pt idx="3">
                  <c:v>36.183</c:v>
                </c:pt>
              </c:numCache>
            </c:numRef>
          </c:val>
        </c:ser>
        <c:ser>
          <c:idx val="1"/>
          <c:order val="1"/>
          <c:tx>
            <c:strRef>
              <c:f>List3!$C$3</c:f>
              <c:strCache>
                <c:ptCount val="1"/>
                <c:pt idx="0">
                  <c:v>Kulturní průmysly</c:v>
                </c:pt>
              </c:strCache>
            </c:strRef>
          </c:tx>
          <c:dLbls>
            <c:numFmt formatCode="#,##0.0" sourceLinked="0"/>
            <c:dLblPos val="t"/>
            <c:showVal val="1"/>
          </c:dLbls>
          <c:cat>
            <c:numRef>
              <c:f>List3!$D$1:$G$1</c:f>
              <c:numCache>
                <c:formatCode>General</c:formatCode>
                <c:ptCount val="4"/>
                <c:pt idx="0">
                  <c:v>2010</c:v>
                </c:pt>
                <c:pt idx="1">
                  <c:v>2011</c:v>
                </c:pt>
                <c:pt idx="2">
                  <c:v>2012</c:v>
                </c:pt>
                <c:pt idx="3">
                  <c:v>2013</c:v>
                </c:pt>
              </c:numCache>
            </c:numRef>
          </c:cat>
          <c:val>
            <c:numRef>
              <c:f>List3!$D$3:$G$3</c:f>
              <c:numCache>
                <c:formatCode>General</c:formatCode>
                <c:ptCount val="4"/>
                <c:pt idx="0">
                  <c:v>26.132000000000001</c:v>
                </c:pt>
                <c:pt idx="1">
                  <c:v>23.286999999999942</c:v>
                </c:pt>
                <c:pt idx="2">
                  <c:v>22.532</c:v>
                </c:pt>
                <c:pt idx="3">
                  <c:v>22.616000000000035</c:v>
                </c:pt>
              </c:numCache>
            </c:numRef>
          </c:val>
        </c:ser>
        <c:ser>
          <c:idx val="2"/>
          <c:order val="2"/>
          <c:tx>
            <c:strRef>
              <c:f>List3!$C$4</c:f>
              <c:strCache>
                <c:ptCount val="1"/>
                <c:pt idx="0">
                  <c:v>Kreativní průmysly</c:v>
                </c:pt>
              </c:strCache>
            </c:strRef>
          </c:tx>
          <c:dLbls>
            <c:numFmt formatCode="#,##0.0" sourceLinked="0"/>
            <c:dLblPos val="b"/>
            <c:showVal val="1"/>
          </c:dLbls>
          <c:cat>
            <c:numRef>
              <c:f>List3!$D$1:$G$1</c:f>
              <c:numCache>
                <c:formatCode>General</c:formatCode>
                <c:ptCount val="4"/>
                <c:pt idx="0">
                  <c:v>2010</c:v>
                </c:pt>
                <c:pt idx="1">
                  <c:v>2011</c:v>
                </c:pt>
                <c:pt idx="2">
                  <c:v>2012</c:v>
                </c:pt>
                <c:pt idx="3">
                  <c:v>2013</c:v>
                </c:pt>
              </c:numCache>
            </c:numRef>
          </c:cat>
          <c:val>
            <c:numRef>
              <c:f>List3!$D$4:$G$4</c:f>
              <c:numCache>
                <c:formatCode>General</c:formatCode>
                <c:ptCount val="4"/>
                <c:pt idx="0">
                  <c:v>22.761999999999986</c:v>
                </c:pt>
                <c:pt idx="1">
                  <c:v>21.850999999999999</c:v>
                </c:pt>
                <c:pt idx="2">
                  <c:v>21.053999999999988</c:v>
                </c:pt>
                <c:pt idx="3">
                  <c:v>19.884</c:v>
                </c:pt>
              </c:numCache>
            </c:numRef>
          </c:val>
        </c:ser>
        <c:marker val="1"/>
        <c:axId val="136839936"/>
        <c:axId val="136841472"/>
      </c:lineChart>
      <c:catAx>
        <c:axId val="136839936"/>
        <c:scaling>
          <c:orientation val="minMax"/>
        </c:scaling>
        <c:axPos val="b"/>
        <c:numFmt formatCode="General" sourceLinked="1"/>
        <c:tickLblPos val="nextTo"/>
        <c:crossAx val="136841472"/>
        <c:crosses val="autoZero"/>
        <c:auto val="1"/>
        <c:lblAlgn val="ctr"/>
        <c:lblOffset val="100"/>
      </c:catAx>
      <c:valAx>
        <c:axId val="136841472"/>
        <c:scaling>
          <c:orientation val="minMax"/>
          <c:min val="10"/>
        </c:scaling>
        <c:axPos val="l"/>
        <c:majorGridlines/>
        <c:numFmt formatCode="General" sourceLinked="1"/>
        <c:tickLblPos val="nextTo"/>
        <c:crossAx val="136839936"/>
        <c:crosses val="autoZero"/>
        <c:crossBetween val="between"/>
      </c:valAx>
    </c:plotArea>
    <c:legend>
      <c:legendPos val="r"/>
      <c:layout>
        <c:manualLayout>
          <c:xMode val="edge"/>
          <c:yMode val="edge"/>
          <c:x val="0"/>
          <c:y val="0"/>
          <c:w val="0.99796126401630958"/>
          <c:h val="0.12758876838508387"/>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6556843711118956E-2"/>
          <c:y val="5.8977528207380447E-2"/>
          <c:w val="0.93780943211244561"/>
          <c:h val="0.76967259570641322"/>
        </c:manualLayout>
      </c:layout>
      <c:barChart>
        <c:barDir val="col"/>
        <c:grouping val="clustered"/>
        <c:ser>
          <c:idx val="0"/>
          <c:order val="0"/>
          <c:spPr>
            <a:solidFill>
              <a:schemeClr val="tx2"/>
            </a:solidFill>
          </c:spPr>
          <c:dLbls>
            <c:numFmt formatCode="#,##0.0" sourceLinked="0"/>
            <c:showVal val="1"/>
          </c:dLbls>
          <c:cat>
            <c:strRef>
              <c:f>List2!$B$2:$B$5</c:f>
              <c:strCache>
                <c:ptCount val="4"/>
                <c:pt idx="0">
                  <c:v>Film a hudba (fyzické nosiče)</c:v>
                </c:pt>
                <c:pt idx="1">
                  <c:v>Rozhlas a televize</c:v>
                </c:pt>
                <c:pt idx="2">
                  <c:v>Periodický tisk (časopisy, noviny)</c:v>
                </c:pt>
                <c:pt idx="3">
                  <c:v>Neperiodický tisk (knihy)</c:v>
                </c:pt>
              </c:strCache>
            </c:strRef>
          </c:cat>
          <c:val>
            <c:numRef>
              <c:f>List2!$C$2:$C$5</c:f>
              <c:numCache>
                <c:formatCode>General</c:formatCode>
                <c:ptCount val="4"/>
                <c:pt idx="0">
                  <c:v>1.4769999999999985</c:v>
                </c:pt>
                <c:pt idx="1">
                  <c:v>16.721999999999987</c:v>
                </c:pt>
                <c:pt idx="2">
                  <c:v>7.1179999999999932</c:v>
                </c:pt>
                <c:pt idx="3">
                  <c:v>4.7510000000000003</c:v>
                </c:pt>
              </c:numCache>
            </c:numRef>
          </c:val>
        </c:ser>
        <c:axId val="137754880"/>
        <c:axId val="118427648"/>
      </c:barChart>
      <c:catAx>
        <c:axId val="137754880"/>
        <c:scaling>
          <c:orientation val="minMax"/>
        </c:scaling>
        <c:axPos val="b"/>
        <c:tickLblPos val="nextTo"/>
        <c:crossAx val="118427648"/>
        <c:crosses val="autoZero"/>
        <c:auto val="1"/>
        <c:lblAlgn val="ctr"/>
        <c:lblOffset val="100"/>
      </c:catAx>
      <c:valAx>
        <c:axId val="118427648"/>
        <c:scaling>
          <c:orientation val="minMax"/>
        </c:scaling>
        <c:axPos val="l"/>
        <c:majorGridlines/>
        <c:numFmt formatCode="General" sourceLinked="1"/>
        <c:tickLblPos val="nextTo"/>
        <c:crossAx val="137754880"/>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cs-CZ"/>
  <c:style val="3"/>
  <c:chart>
    <c:plotArea>
      <c:layout/>
      <c:barChart>
        <c:barDir val="col"/>
        <c:grouping val="clustered"/>
        <c:ser>
          <c:idx val="0"/>
          <c:order val="0"/>
          <c:tx>
            <c:strRef>
              <c:f>List1!$D$8</c:f>
              <c:strCache>
                <c:ptCount val="1"/>
                <c:pt idx="0">
                  <c:v>ČR</c:v>
                </c:pt>
              </c:strCache>
            </c:strRef>
          </c:tx>
          <c:spPr>
            <a:solidFill>
              <a:schemeClr val="tx2">
                <a:lumMod val="75000"/>
              </a:schemeClr>
            </a:solidFill>
          </c:spPr>
          <c:dLbls>
            <c:numFmt formatCode="0%" sourceLinked="0"/>
            <c:showVal val="1"/>
          </c:dLbls>
          <c:cat>
            <c:strRef>
              <c:f>List1!$E$7:$G$7</c:f>
              <c:strCache>
                <c:ptCount val="3"/>
                <c:pt idx="0">
                  <c:v>čtení online zpráv, novin a časopisů</c:v>
                </c:pt>
                <c:pt idx="1">
                  <c:v>hraní a stahovaní her, obrázků, filmů a hudby</c:v>
                </c:pt>
                <c:pt idx="2">
                  <c:v>poslouchání webového rádia</c:v>
                </c:pt>
              </c:strCache>
            </c:strRef>
          </c:cat>
          <c:val>
            <c:numRef>
              <c:f>List1!$E$8:$G$8</c:f>
              <c:numCache>
                <c:formatCode>0.00</c:formatCode>
                <c:ptCount val="3"/>
                <c:pt idx="0">
                  <c:v>0.69000000000000061</c:v>
                </c:pt>
                <c:pt idx="1">
                  <c:v>0.45</c:v>
                </c:pt>
                <c:pt idx="2">
                  <c:v>0.22276299999999999</c:v>
                </c:pt>
              </c:numCache>
            </c:numRef>
          </c:val>
        </c:ser>
        <c:ser>
          <c:idx val="1"/>
          <c:order val="1"/>
          <c:tx>
            <c:strRef>
              <c:f>List1!$D$9</c:f>
              <c:strCache>
                <c:ptCount val="1"/>
                <c:pt idx="0">
                  <c:v>Průměr EU 28</c:v>
                </c:pt>
              </c:strCache>
            </c:strRef>
          </c:tx>
          <c:dLbls>
            <c:numFmt formatCode="0%" sourceLinked="0"/>
            <c:showVal val="1"/>
          </c:dLbls>
          <c:cat>
            <c:strRef>
              <c:f>List1!$E$7:$G$7</c:f>
              <c:strCache>
                <c:ptCount val="3"/>
                <c:pt idx="0">
                  <c:v>čtení online zpráv, novin a časopisů</c:v>
                </c:pt>
                <c:pt idx="1">
                  <c:v>hraní a stahovaní her, obrázků, filmů a hudby</c:v>
                </c:pt>
                <c:pt idx="2">
                  <c:v>poslouchání webového rádia</c:v>
                </c:pt>
              </c:strCache>
            </c:strRef>
          </c:cat>
          <c:val>
            <c:numRef>
              <c:f>List1!$E$9:$G$9</c:f>
              <c:numCache>
                <c:formatCode>0.00</c:formatCode>
                <c:ptCount val="3"/>
                <c:pt idx="0">
                  <c:v>0.52</c:v>
                </c:pt>
                <c:pt idx="1">
                  <c:v>0.38397900000000051</c:v>
                </c:pt>
                <c:pt idx="2">
                  <c:v>0.24289300000000019</c:v>
                </c:pt>
              </c:numCache>
            </c:numRef>
          </c:val>
        </c:ser>
        <c:axId val="118468992"/>
        <c:axId val="118470528"/>
      </c:barChart>
      <c:catAx>
        <c:axId val="118468992"/>
        <c:scaling>
          <c:orientation val="minMax"/>
        </c:scaling>
        <c:axPos val="b"/>
        <c:tickLblPos val="nextTo"/>
        <c:crossAx val="118470528"/>
        <c:crosses val="autoZero"/>
        <c:auto val="1"/>
        <c:lblAlgn val="ctr"/>
        <c:lblOffset val="100"/>
      </c:catAx>
      <c:valAx>
        <c:axId val="118470528"/>
        <c:scaling>
          <c:orientation val="minMax"/>
        </c:scaling>
        <c:axPos val="l"/>
        <c:majorGridlines/>
        <c:numFmt formatCode="0%" sourceLinked="0"/>
        <c:tickLblPos val="nextTo"/>
        <c:crossAx val="118468992"/>
        <c:crosses val="autoZero"/>
        <c:crossBetween val="between"/>
      </c:valAx>
    </c:plotArea>
    <c:legend>
      <c:legendPos val="t"/>
      <c:layout>
        <c:manualLayout>
          <c:xMode val="edge"/>
          <c:yMode val="edge"/>
          <c:x val="0.23919309531779903"/>
          <c:y val="3.5242290748898682E-2"/>
          <c:w val="0.53640124004832113"/>
          <c:h val="0.10621388185507649"/>
        </c:manualLayout>
      </c:layout>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9.231145821311923E-2"/>
          <c:y val="0.21709814870936447"/>
          <c:w val="0.89526264174124082"/>
          <c:h val="0.58061618053519959"/>
        </c:manualLayout>
      </c:layout>
      <c:barChart>
        <c:barDir val="col"/>
        <c:grouping val="clustered"/>
        <c:ser>
          <c:idx val="0"/>
          <c:order val="0"/>
          <c:tx>
            <c:strRef>
              <c:f>List2!$D$1</c:f>
              <c:strCache>
                <c:ptCount val="1"/>
                <c:pt idx="0">
                  <c:v>alespoň jednou týdně</c:v>
                </c:pt>
              </c:strCache>
            </c:strRef>
          </c:tx>
          <c:spPr>
            <a:solidFill>
              <a:schemeClr val="tx2">
                <a:lumMod val="75000"/>
              </a:schemeClr>
            </a:solidFill>
          </c:spPr>
          <c:dLbls>
            <c:dLbl>
              <c:idx val="0"/>
              <c:dLblPos val="outEnd"/>
              <c:showVal val="1"/>
            </c:dLbl>
            <c:showVal val="1"/>
          </c:dLbls>
          <c:cat>
            <c:strRef>
              <c:f>List2!$C$2:$C$7</c:f>
              <c:strCache>
                <c:ptCount val="6"/>
                <c:pt idx="0">
                  <c:v>sledování TV</c:v>
                </c:pt>
                <c:pt idx="1">
                  <c:v>poslouchání hudby doma</c:v>
                </c:pt>
                <c:pt idx="2">
                  <c:v>sledování filmů doma</c:v>
                </c:pt>
                <c:pt idx="3">
                  <c:v>čtení knih</c:v>
                </c:pt>
                <c:pt idx="4">
                  <c:v>návštěva kina</c:v>
                </c:pt>
                <c:pt idx="5">
                  <c:v>návštěva divadla či koncertu</c:v>
                </c:pt>
              </c:strCache>
            </c:strRef>
          </c:cat>
          <c:val>
            <c:numRef>
              <c:f>List2!$D$2:$D$7</c:f>
              <c:numCache>
                <c:formatCode>0%</c:formatCode>
                <c:ptCount val="6"/>
                <c:pt idx="0">
                  <c:v>0.97000000000000064</c:v>
                </c:pt>
                <c:pt idx="1">
                  <c:v>0.81</c:v>
                </c:pt>
                <c:pt idx="2">
                  <c:v>0.48000000000000032</c:v>
                </c:pt>
                <c:pt idx="3">
                  <c:v>0.72000000000000064</c:v>
                </c:pt>
                <c:pt idx="4">
                  <c:v>1.0000000000000005E-2</c:v>
                </c:pt>
                <c:pt idx="5">
                  <c:v>3.0000000000000002E-2</c:v>
                </c:pt>
              </c:numCache>
            </c:numRef>
          </c:val>
        </c:ser>
        <c:ser>
          <c:idx val="1"/>
          <c:order val="1"/>
          <c:tx>
            <c:strRef>
              <c:f>List2!$E$1</c:f>
              <c:strCache>
                <c:ptCount val="1"/>
                <c:pt idx="0">
                  <c:v>alespoň jednou měsíčně</c:v>
                </c:pt>
              </c:strCache>
            </c:strRef>
          </c:tx>
          <c:dLbls>
            <c:dLbl>
              <c:idx val="0"/>
              <c:dLblPos val="outEnd"/>
              <c:showVal val="1"/>
            </c:dLbl>
            <c:showVal val="1"/>
          </c:dLbls>
          <c:cat>
            <c:strRef>
              <c:f>List2!$C$2:$C$7</c:f>
              <c:strCache>
                <c:ptCount val="6"/>
                <c:pt idx="0">
                  <c:v>sledování TV</c:v>
                </c:pt>
                <c:pt idx="1">
                  <c:v>poslouchání hudby doma</c:v>
                </c:pt>
                <c:pt idx="2">
                  <c:v>sledování filmů doma</c:v>
                </c:pt>
                <c:pt idx="3">
                  <c:v>čtení knih</c:v>
                </c:pt>
                <c:pt idx="4">
                  <c:v>návštěva kina</c:v>
                </c:pt>
                <c:pt idx="5">
                  <c:v>návštěva divadla či koncertu</c:v>
                </c:pt>
              </c:strCache>
            </c:strRef>
          </c:cat>
          <c:val>
            <c:numRef>
              <c:f>List2!$E$2:$E$7</c:f>
              <c:numCache>
                <c:formatCode>0%</c:formatCode>
                <c:ptCount val="6"/>
                <c:pt idx="0">
                  <c:v>0.99</c:v>
                </c:pt>
                <c:pt idx="1">
                  <c:v>0.98</c:v>
                </c:pt>
                <c:pt idx="2">
                  <c:v>0.93</c:v>
                </c:pt>
                <c:pt idx="3">
                  <c:v>0.96000000000000063</c:v>
                </c:pt>
                <c:pt idx="4">
                  <c:v>0.29000000000000031</c:v>
                </c:pt>
                <c:pt idx="5">
                  <c:v>0.31000000000000238</c:v>
                </c:pt>
              </c:numCache>
            </c:numRef>
          </c:val>
        </c:ser>
        <c:axId val="133728896"/>
        <c:axId val="134685056"/>
      </c:barChart>
      <c:catAx>
        <c:axId val="133728896"/>
        <c:scaling>
          <c:orientation val="minMax"/>
        </c:scaling>
        <c:axPos val="b"/>
        <c:tickLblPos val="nextTo"/>
        <c:crossAx val="134685056"/>
        <c:crosses val="autoZero"/>
        <c:auto val="1"/>
        <c:lblAlgn val="ctr"/>
        <c:lblOffset val="100"/>
      </c:catAx>
      <c:valAx>
        <c:axId val="134685056"/>
        <c:scaling>
          <c:orientation val="minMax"/>
          <c:max val="1"/>
        </c:scaling>
        <c:axPos val="l"/>
        <c:majorGridlines/>
        <c:numFmt formatCode="0%" sourceLinked="1"/>
        <c:tickLblPos val="nextTo"/>
        <c:crossAx val="133728896"/>
        <c:crosses val="autoZero"/>
        <c:crossBetween val="between"/>
      </c:valAx>
    </c:plotArea>
    <c:legend>
      <c:legendPos val="r"/>
      <c:layout>
        <c:manualLayout>
          <c:xMode val="edge"/>
          <c:yMode val="edge"/>
          <c:x val="0.13751530479709848"/>
          <c:y val="6.0031564182436997E-5"/>
          <c:w val="0.77006783610689011"/>
          <c:h val="0.11128858373533781"/>
        </c:manualLayout>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7.0280240943907987E-2"/>
          <c:y val="0.16389229124137294"/>
          <c:w val="0.92971975277283891"/>
          <c:h val="0.69576228897313752"/>
        </c:manualLayout>
      </c:layout>
      <c:barChart>
        <c:barDir val="col"/>
        <c:grouping val="clustered"/>
        <c:ser>
          <c:idx val="0"/>
          <c:order val="0"/>
          <c:tx>
            <c:strRef>
              <c:f>List1!$C$2</c:f>
              <c:strCache>
                <c:ptCount val="1"/>
                <c:pt idx="0">
                  <c:v>2006</c:v>
                </c:pt>
              </c:strCache>
            </c:strRef>
          </c:tx>
          <c:spPr>
            <a:solidFill>
              <a:schemeClr val="tx2">
                <a:lumMod val="75000"/>
              </a:schemeClr>
            </a:solidFill>
          </c:spPr>
          <c:dLbls>
            <c:numFmt formatCode="0%" sourceLinked="0"/>
            <c:showVal val="1"/>
          </c:dLbls>
          <c:cat>
            <c:strRef>
              <c:f>List1!$B$3:$B$6</c:f>
              <c:strCache>
                <c:ptCount val="4"/>
                <c:pt idx="0">
                  <c:v>Internet</c:v>
                </c:pt>
                <c:pt idx="1">
                  <c:v>Televize</c:v>
                </c:pt>
                <c:pt idx="2">
                  <c:v>Noviny</c:v>
                </c:pt>
                <c:pt idx="3">
                  <c:v>Rádio</c:v>
                </c:pt>
              </c:strCache>
            </c:strRef>
          </c:cat>
          <c:val>
            <c:numRef>
              <c:f>List1!$C$3:$C$6</c:f>
              <c:numCache>
                <c:formatCode>General</c:formatCode>
                <c:ptCount val="4"/>
                <c:pt idx="0">
                  <c:v>0.43000000000000038</c:v>
                </c:pt>
                <c:pt idx="1">
                  <c:v>0.75000000000000178</c:v>
                </c:pt>
                <c:pt idx="2">
                  <c:v>0.63000000000000189</c:v>
                </c:pt>
                <c:pt idx="3">
                  <c:v>0.56000000000000005</c:v>
                </c:pt>
              </c:numCache>
            </c:numRef>
          </c:val>
        </c:ser>
        <c:ser>
          <c:idx val="1"/>
          <c:order val="1"/>
          <c:tx>
            <c:strRef>
              <c:f>List1!$D$2</c:f>
              <c:strCache>
                <c:ptCount val="1"/>
                <c:pt idx="0">
                  <c:v>2008</c:v>
                </c:pt>
              </c:strCache>
            </c:strRef>
          </c:tx>
          <c:dLbls>
            <c:numFmt formatCode="0%" sourceLinked="0"/>
            <c:showVal val="1"/>
          </c:dLbls>
          <c:cat>
            <c:strRef>
              <c:f>List1!$B$3:$B$6</c:f>
              <c:strCache>
                <c:ptCount val="4"/>
                <c:pt idx="0">
                  <c:v>Internet</c:v>
                </c:pt>
                <c:pt idx="1">
                  <c:v>Televize</c:v>
                </c:pt>
                <c:pt idx="2">
                  <c:v>Noviny</c:v>
                </c:pt>
                <c:pt idx="3">
                  <c:v>Rádio</c:v>
                </c:pt>
              </c:strCache>
            </c:strRef>
          </c:cat>
          <c:val>
            <c:numRef>
              <c:f>List1!$D$3:$D$6</c:f>
              <c:numCache>
                <c:formatCode>General</c:formatCode>
                <c:ptCount val="4"/>
                <c:pt idx="0">
                  <c:v>0.45</c:v>
                </c:pt>
                <c:pt idx="1">
                  <c:v>0.75000000000000178</c:v>
                </c:pt>
                <c:pt idx="2">
                  <c:v>0.56999999999999995</c:v>
                </c:pt>
                <c:pt idx="3">
                  <c:v>0.52</c:v>
                </c:pt>
              </c:numCache>
            </c:numRef>
          </c:val>
        </c:ser>
        <c:ser>
          <c:idx val="2"/>
          <c:order val="2"/>
          <c:tx>
            <c:strRef>
              <c:f>List1!$E$2</c:f>
              <c:strCache>
                <c:ptCount val="1"/>
                <c:pt idx="0">
                  <c:v>2014</c:v>
                </c:pt>
              </c:strCache>
            </c:strRef>
          </c:tx>
          <c:dLbls>
            <c:numFmt formatCode="0%" sourceLinked="0"/>
            <c:showVal val="1"/>
          </c:dLbls>
          <c:cat>
            <c:strRef>
              <c:f>List1!$B$3:$B$6</c:f>
              <c:strCache>
                <c:ptCount val="4"/>
                <c:pt idx="0">
                  <c:v>Internet</c:v>
                </c:pt>
                <c:pt idx="1">
                  <c:v>Televize</c:v>
                </c:pt>
                <c:pt idx="2">
                  <c:v>Noviny</c:v>
                </c:pt>
                <c:pt idx="3">
                  <c:v>Rádio</c:v>
                </c:pt>
              </c:strCache>
            </c:strRef>
          </c:cat>
          <c:val>
            <c:numRef>
              <c:f>List1!$E$3:$E$6</c:f>
              <c:numCache>
                <c:formatCode>General</c:formatCode>
                <c:ptCount val="4"/>
                <c:pt idx="0">
                  <c:v>0.59</c:v>
                </c:pt>
                <c:pt idx="1">
                  <c:v>0.67000000000000215</c:v>
                </c:pt>
                <c:pt idx="2">
                  <c:v>0.48000000000000032</c:v>
                </c:pt>
                <c:pt idx="3">
                  <c:v>0.49000000000000032</c:v>
                </c:pt>
              </c:numCache>
            </c:numRef>
          </c:val>
        </c:ser>
        <c:axId val="136890624"/>
        <c:axId val="99418112"/>
      </c:barChart>
      <c:catAx>
        <c:axId val="136890624"/>
        <c:scaling>
          <c:orientation val="minMax"/>
        </c:scaling>
        <c:axPos val="b"/>
        <c:tickLblPos val="nextTo"/>
        <c:crossAx val="99418112"/>
        <c:crosses val="autoZero"/>
        <c:auto val="1"/>
        <c:lblAlgn val="ctr"/>
        <c:lblOffset val="100"/>
      </c:catAx>
      <c:valAx>
        <c:axId val="99418112"/>
        <c:scaling>
          <c:orientation val="minMax"/>
        </c:scaling>
        <c:axPos val="l"/>
        <c:majorGridlines/>
        <c:numFmt formatCode="0%" sourceLinked="0"/>
        <c:tickLblPos val="nextTo"/>
        <c:crossAx val="136890624"/>
        <c:crosses val="autoZero"/>
        <c:crossBetween val="between"/>
      </c:valAx>
    </c:plotArea>
    <c:legend>
      <c:legendPos val="r"/>
      <c:layout>
        <c:manualLayout>
          <c:xMode val="edge"/>
          <c:yMode val="edge"/>
          <c:x val="0"/>
          <c:y val="7.0358852202298333E-4"/>
          <c:w val="0.99756212291644986"/>
          <c:h val="0.14144952469176689"/>
        </c:manualLayout>
      </c:layout>
    </c:legend>
    <c:plotVisOnly val="1"/>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BD05-24FD-4C92-9C82-2F098BE5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Template>
  <TotalTime>0</TotalTime>
  <Pages>8</Pages>
  <Words>2532</Words>
  <Characters>14944</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Dedera</dc:creator>
  <cp:lastModifiedBy>Milan Dedera</cp:lastModifiedBy>
  <cp:revision>2</cp:revision>
  <cp:lastPrinted>2015-10-22T10:02:00Z</cp:lastPrinted>
  <dcterms:created xsi:type="dcterms:W3CDTF">2015-10-23T07:54:00Z</dcterms:created>
  <dcterms:modified xsi:type="dcterms:W3CDTF">2015-10-23T07:54:00Z</dcterms:modified>
</cp:coreProperties>
</file>