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7AFA4" w14:textId="77777777" w:rsidR="0024136F" w:rsidRDefault="0024136F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auto"/>
          <w:szCs w:val="17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auto"/>
          <w:szCs w:val="17"/>
          <w:lang w:val="en-GB"/>
        </w:rPr>
        <w:t>3. ENVIRONMENT</w:t>
      </w:r>
    </w:p>
    <w:p w14:paraId="422A26B5" w14:textId="77777777" w:rsidR="0024136F" w:rsidRDefault="0024136F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661BB89B" w14:textId="77777777" w:rsidR="0024136F" w:rsidRDefault="007E1E24">
      <w:pPr>
        <w:pStyle w:val="Normlnweb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environment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shall mean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everything that creates natural conditions for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existence of organisms, including human beings, and </w:t>
      </w:r>
      <w:r w:rsidR="00F4794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forms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prerequisite for their further evolution. Its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comp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artments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are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especially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air, water, rocks, soil, organisms, ecosystems, and energy. </w:t>
      </w:r>
    </w:p>
    <w:p w14:paraId="5085FDC1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 management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refers to activities focused on preventing waste generation, managing waste, and subsequent care for 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localities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permanent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waste deposit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ion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as well as to checking 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these activities. </w:t>
      </w:r>
    </w:p>
    <w:p w14:paraId="3F64C116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Water management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refers to all activities aimed at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use, development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protection of water sources and protection against harmful effects of water</w:t>
      </w:r>
      <w:r w:rsidR="001A18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17503905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Environmental protection expenditure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costs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acquisition of fixed assets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for environmental protection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non-investment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costs for environmental protection.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are collected by means of an annual statistical questionnaire 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CZSO.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on fixed assets are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sum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costs which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reporting units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spent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on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fixed assets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acquisition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(by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purchase or own activities) a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long with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total value of fixed assets acquired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for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free or by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transfer according to relevant legislation or by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reclassification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private use to business</w:t>
      </w:r>
      <w:r w:rsidR="006253E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one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non-investment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costs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 wages and salaries, payments for rent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energy and other material, and payments for services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whose principal purpose is </w:t>
      </w:r>
      <w:r w:rsidR="000D70E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environmental protection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.</w:t>
      </w:r>
    </w:p>
    <w:p w14:paraId="7BA827FD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D13176F" w14:textId="77777777" w:rsidR="0011127E" w:rsidRDefault="0011127E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6076E759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4C961C12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Notes on </w:t>
      </w:r>
      <w:r w:rsidR="001A18B9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Tables</w:t>
      </w:r>
    </w:p>
    <w:p w14:paraId="35BFB71B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16E0551D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372DE5E5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Table </w:t>
      </w:r>
      <w:r>
        <w:rPr>
          <w:rFonts w:ascii="Arial" w:hAnsi="Arial" w:cs="Arial"/>
          <w:b/>
          <w:i/>
          <w:iCs/>
          <w:color w:val="auto"/>
          <w:sz w:val="20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-1 </w:t>
      </w:r>
      <w:r>
        <w:rPr>
          <w:rFonts w:ascii="Arial" w:hAnsi="Arial" w:cs="Arial"/>
          <w:b/>
          <w:bCs/>
          <w:i/>
          <w:iCs/>
          <w:color w:val="auto"/>
          <w:sz w:val="20"/>
          <w:lang w:val="en-GB"/>
        </w:rPr>
        <w:t>Land use</w:t>
      </w:r>
      <w:r w:rsidR="000D70E7">
        <w:rPr>
          <w:rFonts w:ascii="Arial" w:hAnsi="Arial" w:cs="Arial"/>
          <w:b/>
          <w:bCs/>
          <w:i/>
          <w:iCs/>
          <w:color w:val="auto"/>
          <w:sz w:val="20"/>
          <w:lang w:val="en-GB"/>
        </w:rPr>
        <w:t xml:space="preserve"> balance</w:t>
      </w:r>
    </w:p>
    <w:p w14:paraId="76D94A0B" w14:textId="4784F71A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lang w:val="en-GB"/>
        </w:rPr>
        <w:t>All agricultural and non-agricultural land is measured by summing up crop areas recorded in 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real estate </w:t>
      </w:r>
      <w:r w:rsidR="000D70E7">
        <w:rPr>
          <w:rFonts w:ascii="Arial" w:hAnsi="Arial" w:cs="Arial"/>
          <w:i/>
          <w:iCs/>
          <w:color w:val="auto"/>
          <w:sz w:val="20"/>
          <w:lang w:val="en-GB"/>
        </w:rPr>
        <w:t xml:space="preserve">cadastre </w:t>
      </w:r>
      <w:r>
        <w:rPr>
          <w:rFonts w:ascii="Arial" w:hAnsi="Arial" w:cs="Arial"/>
          <w:i/>
          <w:iCs/>
          <w:color w:val="auto"/>
          <w:sz w:val="20"/>
          <w:lang w:val="en-GB"/>
        </w:rPr>
        <w:t>kept by </w:t>
      </w:r>
      <w:r w:rsidR="000D70E7">
        <w:rPr>
          <w:rFonts w:ascii="Arial" w:hAnsi="Arial" w:cs="Arial"/>
          <w:i/>
          <w:iCs/>
          <w:color w:val="auto"/>
          <w:sz w:val="20"/>
          <w:lang w:val="en-GB"/>
        </w:rPr>
        <w:t xml:space="preserve">bodies of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>Czech Office for Surveying, Mapping and Cadastre as at 31 December</w:t>
      </w:r>
      <w:r w:rsidR="000D230A">
        <w:rPr>
          <w:rFonts w:ascii="Arial" w:hAnsi="Arial" w:cs="Arial"/>
          <w:i/>
          <w:iCs/>
          <w:color w:val="auto"/>
          <w:sz w:val="20"/>
          <w:lang w:val="en-GB"/>
        </w:rPr>
        <w:t xml:space="preserve"> of the </w:t>
      </w:r>
      <w:r w:rsidR="00D338D1">
        <w:rPr>
          <w:rFonts w:ascii="Arial" w:hAnsi="Arial" w:cs="Arial"/>
          <w:i/>
          <w:iCs/>
          <w:color w:val="auto"/>
          <w:sz w:val="20"/>
          <w:lang w:val="en-GB"/>
        </w:rPr>
        <w:t>re</w:t>
      </w:r>
      <w:r w:rsidR="007B0026">
        <w:rPr>
          <w:rFonts w:ascii="Arial" w:hAnsi="Arial" w:cs="Arial"/>
          <w:i/>
          <w:iCs/>
          <w:color w:val="auto"/>
          <w:sz w:val="20"/>
          <w:lang w:val="en-GB"/>
        </w:rPr>
        <w:t>ference</w:t>
      </w:r>
      <w:r w:rsidR="000D230A">
        <w:rPr>
          <w:rFonts w:ascii="Arial" w:hAnsi="Arial" w:cs="Arial"/>
          <w:i/>
          <w:iCs/>
          <w:color w:val="auto"/>
          <w:sz w:val="20"/>
          <w:lang w:val="en-GB"/>
        </w:rPr>
        <w:t xml:space="preserve"> year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. </w:t>
      </w:r>
    </w:p>
    <w:p w14:paraId="08FA8F9F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lang w:val="en-GB"/>
        </w:rPr>
        <w:t>Agricultural land</w:t>
      </w:r>
      <w:r w:rsidR="0066799A" w:rsidRPr="0066799A">
        <w:rPr>
          <w:rFonts w:ascii="Arial" w:hAnsi="Arial" w:cs="Arial"/>
          <w:bCs/>
          <w:i/>
          <w:iCs/>
          <w:color w:val="auto"/>
          <w:sz w:val="20"/>
          <w:lang w:val="en-GB"/>
        </w:rPr>
        <w:t xml:space="preserve"> encompasses </w:t>
      </w:r>
      <w:r>
        <w:rPr>
          <w:rFonts w:ascii="Arial" w:hAnsi="Arial" w:cs="Arial"/>
          <w:i/>
          <w:iCs/>
          <w:color w:val="auto"/>
          <w:sz w:val="20"/>
          <w:lang w:val="en-GB"/>
        </w:rPr>
        <w:t>arable land, hop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gardens, vineyards, gardens, orchards, and permanent grassland. </w:t>
      </w:r>
    </w:p>
    <w:p w14:paraId="0F64718D" w14:textId="4F0DABB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lang w:val="en-GB"/>
        </w:rPr>
        <w:t>Non-agricultural land</w:t>
      </w:r>
      <w:r w:rsidR="0066799A">
        <w:rPr>
          <w:rFonts w:ascii="Arial" w:hAnsi="Arial" w:cs="Arial"/>
          <w:b/>
          <w:bCs/>
          <w:i/>
          <w:iCs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lang w:val="en-GB"/>
        </w:rPr>
        <w:t>includes forest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land, 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 xml:space="preserve">surface 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water 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>bodies</w:t>
      </w:r>
      <w:r>
        <w:rPr>
          <w:rFonts w:ascii="Arial" w:hAnsi="Arial" w:cs="Arial"/>
          <w:i/>
          <w:iCs/>
          <w:color w:val="auto"/>
          <w:sz w:val="20"/>
          <w:lang w:val="en-GB"/>
        </w:rPr>
        <w:t>, as we</w:t>
      </w:r>
      <w:r w:rsidR="0038447D">
        <w:rPr>
          <w:rFonts w:ascii="Arial" w:hAnsi="Arial" w:cs="Arial"/>
          <w:i/>
          <w:iCs/>
          <w:color w:val="auto"/>
          <w:sz w:val="20"/>
          <w:lang w:val="en-GB"/>
        </w:rPr>
        <w:t>ll as built-up and other areas.</w:t>
      </w:r>
    </w:p>
    <w:p w14:paraId="1B64D6D6" w14:textId="4C10B7C4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All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data on land are measured as crop areas of agricultural holdings and non-agricultural 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>enterprises</w:t>
      </w:r>
      <w:r w:rsidR="001B0BCE">
        <w:rPr>
          <w:rFonts w:ascii="Arial" w:hAnsi="Arial" w:cs="Arial"/>
          <w:i/>
          <w:iCs/>
          <w:color w:val="auto"/>
          <w:sz w:val="20"/>
          <w:lang w:val="en-GB"/>
        </w:rPr>
        <w:t>,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lang w:val="en-GB"/>
        </w:rPr>
        <w:t>or of private owners</w:t>
      </w:r>
      <w:r w:rsidR="001B0BCE">
        <w:rPr>
          <w:rFonts w:ascii="Arial" w:hAnsi="Arial" w:cs="Arial"/>
          <w:i/>
          <w:iCs/>
          <w:color w:val="auto"/>
          <w:sz w:val="20"/>
          <w:lang w:val="en-GB"/>
        </w:rPr>
        <w:t>,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 xml:space="preserve"> </w:t>
      </w:r>
      <w:r w:rsidR="0062343E">
        <w:rPr>
          <w:rFonts w:ascii="Arial" w:hAnsi="Arial" w:cs="Arial"/>
          <w:i/>
          <w:iCs/>
          <w:color w:val="auto"/>
          <w:sz w:val="20"/>
          <w:lang w:val="en-GB"/>
        </w:rPr>
        <w:t>not</w:t>
      </w:r>
      <w:r w:rsidR="00091FD0">
        <w:rPr>
          <w:rFonts w:ascii="Arial" w:hAnsi="Arial" w:cs="Arial"/>
          <w:i/>
          <w:iCs/>
          <w:color w:val="auto"/>
          <w:sz w:val="20"/>
          <w:lang w:val="en-GB"/>
        </w:rPr>
        <w:t xml:space="preserve"> 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>differentiat</w:t>
      </w:r>
      <w:r w:rsidR="0062343E">
        <w:rPr>
          <w:rFonts w:ascii="Arial" w:hAnsi="Arial" w:cs="Arial"/>
          <w:i/>
          <w:iCs/>
          <w:color w:val="auto"/>
          <w:sz w:val="20"/>
          <w:lang w:val="en-GB"/>
        </w:rPr>
        <w:t>ed by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 land size and type of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 w:rsidR="0066799A">
        <w:rPr>
          <w:rFonts w:ascii="Arial" w:hAnsi="Arial" w:cs="Arial"/>
          <w:i/>
          <w:iCs/>
          <w:color w:val="auto"/>
          <w:sz w:val="20"/>
          <w:lang w:val="en-GB"/>
        </w:rPr>
        <w:t>land management</w:t>
      </w:r>
      <w:r>
        <w:rPr>
          <w:rFonts w:ascii="Arial" w:hAnsi="Arial" w:cs="Arial"/>
          <w:i/>
          <w:iCs/>
          <w:color w:val="auto"/>
          <w:sz w:val="20"/>
          <w:lang w:val="en-GB"/>
        </w:rPr>
        <w:t>.</w:t>
      </w:r>
    </w:p>
    <w:p w14:paraId="06929475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4055EF45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3BC90EB2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-2 to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-5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Protected areas</w:t>
      </w:r>
    </w:p>
    <w:p w14:paraId="2B459A55" w14:textId="0885BE18" w:rsidR="007B0026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Act</w:t>
      </w:r>
      <w:r w:rsidR="00DD1601" w:rsidRP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No</w:t>
      </w:r>
      <w:r w:rsidR="0038447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144/1992</w:t>
      </w:r>
      <w:r w:rsidR="0038447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Sb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on </w:t>
      </w:r>
      <w:r w:rsidR="00653D7B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nature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conservation </w:t>
      </w:r>
      <w:r w:rsidR="00653D7B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landscape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protection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as amended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distinguishes </w:t>
      </w:r>
      <w:r w:rsidR="00D338D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six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categories of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specially protected areas</w:t>
      </w:r>
      <w:r w:rsidR="00DD1601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.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N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ational parks and protected landscape areas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which are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referred to as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large</w:t>
      </w:r>
      <w:r w:rsidR="00DD7FA4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-size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protected areas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and national nature reserves, nature reserves, national nature monuments, and nature monuments</w:t>
      </w:r>
      <w:r w:rsidR="00DD160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which are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referred to as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small</w:t>
      </w:r>
      <w:r w:rsidR="00DD7FA4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-size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protected areas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283E764A" w14:textId="0D5085AA" w:rsidR="00F61FAE" w:rsidRDefault="00DD1601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 w:rsidR="0062343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tarting on </w:t>
      </w:r>
      <w:r w:rsidR="007B002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1</w:t>
      </w:r>
      <w:r w:rsidR="0038447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="007B002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March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20</w:t>
      </w:r>
      <w:r w:rsidR="0062343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1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7 </w:t>
      </w:r>
      <w:r w:rsidR="007B002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methodology of the calculation of total land areas of protected areas is changed. Since then land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areas of </w:t>
      </w:r>
      <w:r w:rsidR="007B002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all </w:t>
      </w:r>
      <w:r w:rsidR="00781E52" w:rsidRPr="00781E52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protected areas</w:t>
      </w: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 xml:space="preserve"> are </w:t>
      </w:r>
      <w:r w:rsidR="007B0026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 xml:space="preserve">calculated using borders of the respective protected areas. The figures written in </w:t>
      </w: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 xml:space="preserve">respective decrees to the Act 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nature conservation and landscape protection</w:t>
      </w:r>
      <w:r w:rsidR="007B002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which the protected areas were </w:t>
      </w:r>
      <w:r w:rsidR="0062343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established by</w:t>
      </w:r>
      <w:r w:rsidR="007B002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are not applied anymore.</w:t>
      </w:r>
    </w:p>
    <w:p w14:paraId="7F4CAC54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given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 </w:t>
      </w:r>
      <w:r w:rsidR="00653F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the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were </w:t>
      </w:r>
      <w:r w:rsidR="00E27D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taken from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Nature Conservation </w:t>
      </w:r>
      <w:r w:rsidR="005F0E9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Agency of the Czech Republic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.</w:t>
      </w:r>
    </w:p>
    <w:p w14:paraId="3B7BFC3D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1E889564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8D7E003" w14:textId="77777777" w:rsidR="0024136F" w:rsidRDefault="0024136F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-6 to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-11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Emissions from air pollut</w:t>
      </w:r>
      <w:r w:rsidR="00722913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ion sources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and specific emissions of </w:t>
      </w:r>
      <w:r w:rsidR="00E31408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main</w:t>
      </w:r>
      <w:r w:rsidR="00722913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air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pollutants</w:t>
      </w:r>
    </w:p>
    <w:p w14:paraId="0CB9C642" w14:textId="77777777" w:rsidR="0024136F" w:rsidRDefault="00017C3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Main </w:t>
      </w:r>
      <w:r w:rsidR="00722913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air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pollutants </w:t>
      </w:r>
      <w:r w:rsidR="00722913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monitored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which are generated</w:t>
      </w:r>
      <w:r w:rsidR="001B0BC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first of all</w:t>
      </w:r>
      <w:r w:rsidR="001B0BC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combusti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 </w:t>
      </w:r>
      <w:r w:rsidR="001B0BC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solid and liquid fuels and 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are released</w:t>
      </w:r>
      <w:r w:rsidR="00ED49E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into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air, 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are</w:t>
      </w:r>
      <w:r w:rsidR="001B0BC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particulate matter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(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as for instance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fly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ing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ash), sulphur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lastRenderedPageBreak/>
        <w:t>dioxide (SO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2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), nitrogen oxides (NO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x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), carbon monoxide (CO), and hydrocarbons (C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x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y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). </w:t>
      </w:r>
      <w:r w:rsidR="003375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Since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2002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reporting 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hydrocarbon (C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x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y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) emissions 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has been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replaced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reporting 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volatile organic compounds (VOC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which also cover emissions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use of solvents, paints</w:t>
      </w:r>
      <w:r w:rsidR="007229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</w:t>
      </w:r>
      <w:r w:rsidR="00ED49E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varnishes for outdoor maintenance and</w:t>
      </w:r>
      <w:r w:rsidR="00ED49E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</w:t>
      </w:r>
      <w:r w:rsidR="00ED49E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households</w:t>
      </w:r>
      <w:r w:rsidR="00ED49E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for instance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.</w:t>
      </w:r>
    </w:p>
    <w:p w14:paraId="2CD5B8A8" w14:textId="77777777" w:rsidR="0024136F" w:rsidRDefault="0024136F" w:rsidP="00AA0DF1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i/>
          <w:iCs/>
          <w:sz w:val="20"/>
          <w:szCs w:val="17"/>
        </w:rPr>
      </w:pPr>
      <w:r>
        <w:rPr>
          <w:rFonts w:ascii="Arial" w:hAnsi="Arial" w:cs="Arial"/>
          <w:i/>
          <w:iCs/>
          <w:sz w:val="20"/>
          <w:szCs w:val="17"/>
        </w:rPr>
        <w:t xml:space="preserve">Amounts of pollutants </w:t>
      </w:r>
      <w:r w:rsidR="00176043">
        <w:rPr>
          <w:rFonts w:ascii="Arial" w:hAnsi="Arial" w:cs="Arial"/>
          <w:i/>
          <w:iCs/>
          <w:sz w:val="20"/>
          <w:szCs w:val="17"/>
        </w:rPr>
        <w:t xml:space="preserve">released </w:t>
      </w:r>
      <w:r>
        <w:rPr>
          <w:rFonts w:ascii="Arial" w:hAnsi="Arial" w:cs="Arial"/>
          <w:i/>
          <w:iCs/>
          <w:sz w:val="20"/>
          <w:szCs w:val="17"/>
        </w:rPr>
        <w:t xml:space="preserve">into </w:t>
      </w:r>
      <w:r w:rsidR="007E1E24">
        <w:rPr>
          <w:rFonts w:ascii="Arial" w:hAnsi="Arial" w:cs="Arial"/>
          <w:i/>
          <w:iCs/>
          <w:sz w:val="20"/>
          <w:szCs w:val="17"/>
        </w:rPr>
        <w:t>the </w:t>
      </w:r>
      <w:r>
        <w:rPr>
          <w:rFonts w:ascii="Arial" w:hAnsi="Arial" w:cs="Arial"/>
          <w:i/>
          <w:iCs/>
          <w:sz w:val="20"/>
          <w:szCs w:val="17"/>
        </w:rPr>
        <w:t xml:space="preserve">air are </w:t>
      </w:r>
      <w:r w:rsidRPr="00B1677E">
        <w:rPr>
          <w:rFonts w:ascii="Arial" w:eastAsia="Arial Unicode MS" w:hAnsi="Arial" w:cs="Arial"/>
          <w:i/>
          <w:iCs/>
          <w:sz w:val="20"/>
          <w:szCs w:val="17"/>
        </w:rPr>
        <w:t xml:space="preserve">listed in </w:t>
      </w:r>
      <w:r w:rsidR="007E1E24">
        <w:rPr>
          <w:rFonts w:ascii="Arial" w:eastAsia="Arial Unicode MS" w:hAnsi="Arial" w:cs="Arial"/>
          <w:i/>
          <w:iCs/>
          <w:sz w:val="20"/>
          <w:szCs w:val="17"/>
        </w:rPr>
        <w:t>the </w:t>
      </w:r>
      <w:r w:rsidR="00B1677E" w:rsidRPr="00B1677E">
        <w:rPr>
          <w:rFonts w:ascii="Arial" w:eastAsia="Arial Unicode MS" w:hAnsi="Arial" w:cs="Arial"/>
          <w:i/>
          <w:iCs/>
          <w:sz w:val="20"/>
          <w:szCs w:val="17"/>
        </w:rPr>
        <w:t>Air Pollution Sources and Emissions Register</w:t>
      </w:r>
      <w:r w:rsidR="00B1677E" w:rsidDel="00B1677E">
        <w:rPr>
          <w:rFonts w:ascii="Arial" w:hAnsi="Arial" w:cs="Arial"/>
          <w:i/>
          <w:iCs/>
          <w:sz w:val="20"/>
          <w:szCs w:val="17"/>
        </w:rPr>
        <w:t xml:space="preserve"> </w:t>
      </w:r>
      <w:r>
        <w:rPr>
          <w:rFonts w:ascii="Arial" w:hAnsi="Arial" w:cs="Arial"/>
          <w:sz w:val="20"/>
          <w:szCs w:val="17"/>
        </w:rPr>
        <w:t>(Registr emisí</w:t>
      </w:r>
      <w:r w:rsidR="007E1E24">
        <w:rPr>
          <w:rFonts w:ascii="Arial" w:hAnsi="Arial" w:cs="Arial"/>
          <w:sz w:val="20"/>
          <w:szCs w:val="17"/>
        </w:rPr>
        <w:t xml:space="preserve"> a </w:t>
      </w:r>
      <w:r>
        <w:rPr>
          <w:rFonts w:ascii="Arial" w:hAnsi="Arial" w:cs="Arial"/>
          <w:sz w:val="20"/>
          <w:szCs w:val="17"/>
        </w:rPr>
        <w:t xml:space="preserve">zdrojů znečišťování ovzduší – REZZO). </w:t>
      </w:r>
      <w:r w:rsidR="007E1E24">
        <w:rPr>
          <w:rFonts w:ascii="Arial" w:hAnsi="Arial" w:cs="Arial"/>
          <w:i/>
          <w:iCs/>
          <w:sz w:val="20"/>
          <w:szCs w:val="17"/>
        </w:rPr>
        <w:t>The </w:t>
      </w:r>
      <w:r>
        <w:rPr>
          <w:rFonts w:ascii="Arial" w:hAnsi="Arial" w:cs="Arial"/>
          <w:i/>
          <w:iCs/>
          <w:sz w:val="20"/>
          <w:szCs w:val="17"/>
        </w:rPr>
        <w:t xml:space="preserve">register </w:t>
      </w:r>
      <w:r w:rsidR="0082087C">
        <w:rPr>
          <w:rFonts w:ascii="Arial" w:hAnsi="Arial" w:cs="Arial"/>
          <w:i/>
          <w:iCs/>
          <w:sz w:val="20"/>
          <w:szCs w:val="17"/>
        </w:rPr>
        <w:t xml:space="preserve">is, depending on </w:t>
      </w:r>
      <w:r w:rsidR="007E1E24">
        <w:rPr>
          <w:rFonts w:ascii="Arial" w:hAnsi="Arial" w:cs="Arial"/>
          <w:i/>
          <w:iCs/>
          <w:sz w:val="20"/>
          <w:szCs w:val="17"/>
        </w:rPr>
        <w:t>the </w:t>
      </w:r>
      <w:r w:rsidR="0082087C">
        <w:rPr>
          <w:rFonts w:ascii="Arial" w:hAnsi="Arial" w:cs="Arial"/>
          <w:i/>
          <w:iCs/>
          <w:sz w:val="20"/>
          <w:szCs w:val="17"/>
        </w:rPr>
        <w:t>type of sources and their thermal output, subdivided as follows</w:t>
      </w:r>
      <w:r>
        <w:rPr>
          <w:rFonts w:ascii="Arial" w:hAnsi="Arial" w:cs="Arial"/>
          <w:i/>
          <w:iCs/>
          <w:sz w:val="20"/>
          <w:szCs w:val="17"/>
        </w:rPr>
        <w:t xml:space="preserve">: </w:t>
      </w:r>
    </w:p>
    <w:p w14:paraId="1E19DAAD" w14:textId="77777777" w:rsidR="0024136F" w:rsidRPr="00E968DC" w:rsidRDefault="0024136F" w:rsidP="00E968DC">
      <w:pPr>
        <w:pStyle w:val="Normlnweb"/>
        <w:tabs>
          <w:tab w:val="left" w:pos="0"/>
        </w:tabs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 w:rsidR="002F6279" w:rsidRPr="0038447D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REZZO 1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technology sets </w:t>
      </w:r>
      <w:r w:rsidR="004C2E97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having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stationary fuel-fired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installation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with heat output over 5</w:t>
      </w:r>
      <w:r w:rsidR="009D011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MW and equipm</w:t>
      </w:r>
      <w:r w:rsidR="009D011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nt of especially important technology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processes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  <w:r w:rsidR="009D011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Installations of this group are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9D011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classified as 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extremely large and large </w:t>
      </w:r>
      <w:r w:rsidR="009D011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pollution </w:t>
      </w:r>
      <w:r w:rsidR="00B1677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sources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; </w:t>
      </w:r>
    </w:p>
    <w:p w14:paraId="60E6E9ED" w14:textId="77777777" w:rsidR="0024136F" w:rsidRPr="00E968DC" w:rsidRDefault="0024136F">
      <w:pPr>
        <w:pStyle w:val="Normlnweb"/>
        <w:tabs>
          <w:tab w:val="left" w:pos="0"/>
        </w:tabs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 w:rsidR="002F6279" w:rsidRPr="0038447D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REZZO 2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</w:t>
      </w:r>
      <w:r w:rsidR="009D011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technology sets </w:t>
      </w:r>
      <w:r w:rsidR="004C2E97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having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4C2E97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stationary fuel-fired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installation</w:t>
      </w:r>
      <w:r w:rsidR="004C2E97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with heat output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from 0.2 to 5 MW, equipment of important technolog</w:t>
      </w:r>
      <w:r w:rsidR="00557903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processes, and coal </w:t>
      </w:r>
      <w:r w:rsidR="00557903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open pits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557903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quarries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similar areas, where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there is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potential of spontaneous fire, gob fire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release, or entrainment or fly away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pollutants.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Installations of this group are classified as medium sized </w:t>
      </w:r>
      <w:r w:rsidR="009750BD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pollution sources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;</w:t>
      </w:r>
    </w:p>
    <w:p w14:paraId="15A90317" w14:textId="77777777" w:rsidR="0024136F" w:rsidRPr="00E968DC" w:rsidRDefault="0024136F">
      <w:pPr>
        <w:pStyle w:val="Normlnweb"/>
        <w:tabs>
          <w:tab w:val="left" w:pos="0"/>
        </w:tabs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 w:rsidR="002F6279" w:rsidRPr="0038447D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REZZO 3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technology sets having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E968D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stationary fuel-fired installation with heat output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lower than 0.2 MW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;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installations of technology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process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es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not falling into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category 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large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and medium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sized </w:t>
      </w:r>
      <w:r w:rsidR="009750BD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pollution sources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;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areas where work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 carried out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can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cause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air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pollution;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storage sites of fuel, raw materials, products, waste and captured pollutants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emissions;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other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constructions,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facilities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activities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causing significant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air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pollution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  <w:r w:rsidR="009750BD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Installations of this group are classified as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small</w:t>
      </w:r>
      <w:r w:rsidR="009750BD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pollution sources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; </w:t>
      </w:r>
    </w:p>
    <w:p w14:paraId="0FE8429B" w14:textId="77777777" w:rsidR="007557BE" w:rsidRPr="00F276C5" w:rsidRDefault="0024136F">
      <w:pPr>
        <w:pStyle w:val="Normlnweb"/>
        <w:tabs>
          <w:tab w:val="left" w:pos="0"/>
        </w:tabs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 w:rsidR="002F6279" w:rsidRPr="0038447D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REZZO 4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includes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mobile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equipment</w:t>
      </w:r>
      <w:r w:rsidR="009750BD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with internal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combustion </w:t>
      </w:r>
      <w:r w:rsidR="00065E5E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engines 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or other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ones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which pollute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9750B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air</w:t>
      </w:r>
      <w:r w:rsidR="00AC663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as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AC663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namely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AC663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road motor vehicles, railway vehicles, boats, vessels, and aircraft.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group</w:t>
      </w:r>
      <w:r w:rsidR="00AC663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members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AC663C" w:rsidRPr="00E968D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are classified as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mobile </w:t>
      </w:r>
      <w:r w:rsidR="00AC663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air pollution sources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Since 1995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balance has </w:t>
      </w:r>
      <w:r w:rsidR="00AC663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include </w:t>
      </w:r>
      <w:r w:rsidR="00AC663C" w:rsidRPr="00F276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transport </w:t>
      </w:r>
      <w:r w:rsidRPr="00F276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emissions of solid </w:t>
      </w:r>
      <w:r w:rsidR="00AC663C" w:rsidRPr="00F276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particulates </w:t>
      </w:r>
      <w:r w:rsidRPr="00F276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and sulphur dioxide.</w:t>
      </w:r>
    </w:p>
    <w:p w14:paraId="7F2E6AB1" w14:textId="77777777" w:rsidR="000C1C93" w:rsidRPr="0038447D" w:rsidRDefault="000C1C93" w:rsidP="000C1C93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color w:val="auto"/>
          <w:sz w:val="20"/>
          <w:szCs w:val="20"/>
          <w:lang w:val="en-GB"/>
        </w:rPr>
      </w:pPr>
      <w:r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Since 2013 the emission balance has been presented in a new structure of stationary air </w:t>
      </w:r>
      <w:r w:rsidR="00A86895"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>pollution</w:t>
      </w:r>
      <w:r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sources. Respective monitored stationary air pollution sources of REZZO 1 and 2 are pursuant to the Act No 201/2012 Sb </w:t>
      </w:r>
      <w:r w:rsidR="00A86895"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>subdivided</w:t>
      </w:r>
      <w:r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into sources, which have to be notified in </w:t>
      </w:r>
      <w:r w:rsidR="00A86895"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>full</w:t>
      </w:r>
      <w:r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 (REZZO 1), and other ones, for which a simplified notification may be applied (REZZO 2 – gas- and oil-fired boiler rooms with output up to 5 MW and </w:t>
      </w:r>
      <w:r w:rsidR="00C63384"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>filling stations</w:t>
      </w:r>
      <w:r w:rsidRPr="0038447D">
        <w:rPr>
          <w:rFonts w:ascii="Arial" w:hAnsi="Arial" w:cs="Arial"/>
          <w:i/>
          <w:color w:val="auto"/>
          <w:sz w:val="20"/>
          <w:szCs w:val="20"/>
          <w:lang w:val="en-GB"/>
        </w:rPr>
        <w:t xml:space="preserve">). </w:t>
      </w:r>
    </w:p>
    <w:p w14:paraId="32BFF360" w14:textId="77777777" w:rsidR="000C1C93" w:rsidRPr="0038447D" w:rsidRDefault="000C1C93" w:rsidP="00A57D47">
      <w:pPr>
        <w:spacing w:before="120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8447D">
        <w:rPr>
          <w:rFonts w:ascii="Arial" w:eastAsia="Calibri" w:hAnsi="Arial" w:cs="Arial"/>
          <w:i/>
          <w:sz w:val="20"/>
          <w:szCs w:val="20"/>
          <w:lang w:eastAsia="en-US"/>
        </w:rPr>
        <w:t xml:space="preserve">In 2018 </w:t>
      </w:r>
      <w:r w:rsidR="00C63384" w:rsidRPr="0038447D">
        <w:rPr>
          <w:rFonts w:ascii="Arial" w:eastAsia="Calibri" w:hAnsi="Arial" w:cs="Arial"/>
          <w:i/>
          <w:sz w:val="20"/>
          <w:szCs w:val="20"/>
          <w:lang w:eastAsia="en-US"/>
        </w:rPr>
        <w:t>the</w:t>
      </w:r>
      <w:r w:rsidRPr="0038447D">
        <w:rPr>
          <w:rFonts w:ascii="Arial" w:eastAsia="Calibri" w:hAnsi="Arial" w:cs="Arial"/>
          <w:i/>
          <w:sz w:val="20"/>
          <w:szCs w:val="20"/>
          <w:lang w:eastAsia="en-US"/>
        </w:rPr>
        <w:t xml:space="preserve"> emission balance for 1990–2017 was developed, which differs in a number of changes to the methodology applied from data presented in the past years. The most important changes were the use of the COPERT 5 </w:t>
      </w:r>
      <w:r w:rsidR="00A86895" w:rsidRPr="0038447D">
        <w:rPr>
          <w:rFonts w:ascii="Arial" w:eastAsia="Calibri" w:hAnsi="Arial" w:cs="Arial"/>
          <w:i/>
          <w:sz w:val="20"/>
          <w:szCs w:val="20"/>
          <w:lang w:eastAsia="en-US"/>
        </w:rPr>
        <w:t xml:space="preserve">software tool </w:t>
      </w:r>
      <w:r w:rsidRPr="0038447D">
        <w:rPr>
          <w:rFonts w:ascii="Arial" w:eastAsia="Calibri" w:hAnsi="Arial" w:cs="Arial"/>
          <w:i/>
          <w:sz w:val="20"/>
          <w:szCs w:val="20"/>
          <w:lang w:eastAsia="en-US"/>
        </w:rPr>
        <w:t xml:space="preserve">for road transport emission estimates, and the use of results of the CZSO survey ENERGO 2015 for estimates of emissions from incineration </w:t>
      </w:r>
      <w:r w:rsidR="00A86895" w:rsidRPr="0038447D">
        <w:rPr>
          <w:rFonts w:ascii="Arial" w:eastAsia="Calibri" w:hAnsi="Arial" w:cs="Arial"/>
          <w:i/>
          <w:sz w:val="20"/>
          <w:szCs w:val="20"/>
          <w:lang w:eastAsia="en-US"/>
        </w:rPr>
        <w:t xml:space="preserve">air pollution </w:t>
      </w:r>
      <w:r w:rsidRPr="0038447D">
        <w:rPr>
          <w:rFonts w:ascii="Arial" w:eastAsia="Calibri" w:hAnsi="Arial" w:cs="Arial"/>
          <w:i/>
          <w:sz w:val="20"/>
          <w:szCs w:val="20"/>
          <w:lang w:eastAsia="en-US"/>
        </w:rPr>
        <w:t>sources in households. The new methodology applied affected the data published in an essential way. More detailed information can be found on</w:t>
      </w:r>
      <w:r w:rsidRPr="0038447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hyperlink r:id="rId7" w:history="1">
        <w:r w:rsidRPr="0038447D">
          <w:rPr>
            <w:rStyle w:val="Hypertextovodkaz"/>
            <w:rFonts w:ascii="Arial" w:eastAsia="Calibri" w:hAnsi="Arial" w:cs="Arial"/>
            <w:sz w:val="20"/>
            <w:szCs w:val="20"/>
            <w:lang w:eastAsia="en-US"/>
          </w:rPr>
          <w:t>http://portal.chmi.cz/files/portal/docs/uoco/oez/emisnibilance_CZ.html</w:t>
        </w:r>
      </w:hyperlink>
      <w:r w:rsidRPr="0038447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8E87315" w14:textId="77777777" w:rsidR="0024136F" w:rsidRPr="000C1C93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 w:rsidRPr="000C1C93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Specific emissions</w:t>
      </w:r>
      <w:r w:rsidRPr="000C1C9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176043" w:rsidRPr="000C1C9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shall mean pollutant </w:t>
      </w:r>
      <w:r w:rsidRPr="000C1C9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emissions per unit of time per unit of area.</w:t>
      </w:r>
    </w:p>
    <w:p w14:paraId="5893B1DD" w14:textId="77777777" w:rsidR="0024136F" w:rsidRDefault="0024136F" w:rsidP="00EB73CC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351B3ED5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1463928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-12 and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-13 </w:t>
      </w:r>
      <w:r w:rsidR="00AA5170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Immissions </w:t>
      </w:r>
      <w:r w:rsidR="00AA0DF1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on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selected loca</w:t>
      </w:r>
      <w:r w:rsidR="00E02A66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lities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and background stations</w:t>
      </w:r>
    </w:p>
    <w:p w14:paraId="2E0BB42F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Background stations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are stations located in </w:t>
      </w:r>
      <w:r w:rsidR="00AA51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areas of lower population density, at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AA51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substantial distance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from urban and industrial areas and unaffected by </w:t>
      </w:r>
      <w:r w:rsidR="00AA51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emissions from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local</w:t>
      </w:r>
      <w:r w:rsidR="00AA51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pollution sources. They must not be located on locati</w:t>
      </w:r>
      <w:r w:rsidR="00E7589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on</w:t>
      </w:r>
      <w:r w:rsidR="00AA51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 where ground-level inversion conditions occur and on mountains summits as well.</w:t>
      </w:r>
    </w:p>
    <w:p w14:paraId="120C4445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The </w:t>
      </w:r>
      <w:r w:rsidR="00AA5170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immission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limit</w:t>
      </w:r>
      <w:r w:rsidR="00AA5170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maximum 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permissible</w:t>
      </w:r>
      <w:r w:rsidR="00AA51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airborne mass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concentration of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pollutant. Permissible 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annual average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concentrations are set for sulphur dioxide 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at 50 µg/m</w:t>
      </w:r>
      <w:r w:rsidR="00BF0564">
        <w:rPr>
          <w:rFonts w:ascii="Arial" w:hAnsi="Arial" w:cs="Arial"/>
          <w:i/>
          <w:iCs/>
          <w:color w:val="auto"/>
          <w:sz w:val="20"/>
          <w:szCs w:val="17"/>
          <w:vertAlign w:val="superscript"/>
          <w:lang w:val="en-GB"/>
        </w:rPr>
        <w:t xml:space="preserve">3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and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for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PM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10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40 µg/m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perscript"/>
          <w:lang w:val="en-GB"/>
        </w:rPr>
        <w:t>3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respectively. </w:t>
      </w:r>
    </w:p>
    <w:p w14:paraId="7BA3D2B2" w14:textId="77777777" w:rsidR="0024136F" w:rsidRDefault="00BF0564">
      <w:pPr>
        <w:pStyle w:val="Normlnweb"/>
        <w:spacing w:before="120" w:beforeAutospacing="0" w:after="0" w:afterAutospacing="0"/>
        <w:ind w:firstLine="708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Measurement methods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:</w:t>
      </w:r>
    </w:p>
    <w:p w14:paraId="56D6E961" w14:textId="77777777" w:rsidR="0024136F" w:rsidRDefault="0024136F">
      <w:pPr>
        <w:pStyle w:val="Normlnweb"/>
        <w:spacing w:before="12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sulphur dioxide (SO</w:t>
      </w:r>
      <w:r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2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is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measured by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colorimetry, coulometry</w:t>
      </w:r>
      <w:r w:rsidR="00BF056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UV fluorescence;</w:t>
      </w:r>
    </w:p>
    <w:p w14:paraId="0DC40BAD" w14:textId="77777777" w:rsidR="0024136F" w:rsidRDefault="0024136F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PM</w:t>
      </w:r>
      <w:r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10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E01B6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respirable fraction of suspended particulate matter with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aerodynamic average of 50% of particulates 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smaller than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10 µm</w:t>
      </w:r>
      <w:r w:rsidR="0098505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also called thoracic fraction</w:t>
      </w:r>
      <w:r w:rsidR="00E01B6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that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is measured by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radiometry;</w:t>
      </w:r>
    </w:p>
    <w:p w14:paraId="3500B2BB" w14:textId="77777777" w:rsidR="0024136F" w:rsidRDefault="0024136F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nitrogen oxides (NO</w:t>
      </w:r>
      <w:r>
        <w:rPr>
          <w:rFonts w:ascii="Arial" w:hAnsi="Arial" w:cs="Arial"/>
          <w:i/>
          <w:iCs/>
          <w:color w:val="auto"/>
          <w:sz w:val="20"/>
          <w:szCs w:val="17"/>
          <w:vertAlign w:val="subscript"/>
          <w:lang w:val="en-GB"/>
        </w:rPr>
        <w:t>x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5D334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is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measured by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colorimetry and chemical luminescence;</w:t>
      </w:r>
      <w:r w:rsidR="001A6ED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</w:t>
      </w:r>
    </w:p>
    <w:p w14:paraId="76D58353" w14:textId="77777777" w:rsidR="0024136F" w:rsidRDefault="0024136F">
      <w:pPr>
        <w:pStyle w:val="Normlnweb"/>
        <w:spacing w:before="12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precipitation acidity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(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pH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 is measured by pH-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metr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781C0DB8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lastRenderedPageBreak/>
        <w:t>Precipitation acidity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is read on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scale 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from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14 to 1, where pH value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14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1A6ED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mean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 extremely alkaline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11127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7 </w:t>
      </w:r>
      <w:r w:rsidR="0021287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neutral,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 1 extremely acidic environment, respectively. </w:t>
      </w:r>
    </w:p>
    <w:p w14:paraId="674754BC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368AAB1B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00D2F97D" w14:textId="77777777" w:rsidR="0024136F" w:rsidRPr="000E295E" w:rsidRDefault="0024136F" w:rsidP="00EA1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rial" w:hAnsi="Arial" w:cs="Arial"/>
          <w:bCs/>
          <w:sz w:val="20"/>
          <w:lang w:val="en-US"/>
        </w:rPr>
      </w:pPr>
      <w:r>
        <w:rPr>
          <w:rFonts w:ascii="Arial" w:hAnsi="Arial" w:cs="Arial"/>
          <w:i/>
          <w:iCs/>
          <w:sz w:val="20"/>
        </w:rPr>
        <w:t xml:space="preserve">Table </w:t>
      </w:r>
      <w:r>
        <w:rPr>
          <w:rFonts w:ascii="Arial" w:hAnsi="Arial" w:cs="Arial"/>
          <w:b/>
          <w:i/>
          <w:iCs/>
          <w:sz w:val="20"/>
        </w:rPr>
        <w:t>3</w:t>
      </w:r>
      <w:r>
        <w:rPr>
          <w:rFonts w:ascii="Arial" w:hAnsi="Arial" w:cs="Arial"/>
          <w:i/>
          <w:iCs/>
          <w:sz w:val="20"/>
        </w:rPr>
        <w:t xml:space="preserve">-14 </w:t>
      </w:r>
      <w:r w:rsidR="00212875">
        <w:rPr>
          <w:rFonts w:ascii="Arial" w:hAnsi="Arial" w:cs="Arial"/>
          <w:b/>
          <w:bCs/>
          <w:i/>
          <w:iCs/>
          <w:sz w:val="20"/>
          <w:lang w:val="en-US"/>
        </w:rPr>
        <w:t xml:space="preserve">Emissions of carbon </w:t>
      </w:r>
      <w:r>
        <w:rPr>
          <w:rFonts w:ascii="Arial" w:hAnsi="Arial" w:cs="Arial"/>
          <w:b/>
          <w:bCs/>
          <w:i/>
          <w:iCs/>
          <w:sz w:val="20"/>
          <w:lang w:val="en-US"/>
        </w:rPr>
        <w:t>dioxide and other greenhouse gases</w:t>
      </w:r>
    </w:p>
    <w:p w14:paraId="38B9D93F" w14:textId="77777777" w:rsidR="0024136F" w:rsidRDefault="0024136F">
      <w:pPr>
        <w:spacing w:before="120"/>
        <w:ind w:firstLine="709"/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 xml:space="preserve">At present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climate change is </w:t>
      </w:r>
      <w:r w:rsidR="00212875">
        <w:rPr>
          <w:rFonts w:ascii="Arial" w:hAnsi="Arial" w:cs="Arial"/>
          <w:i/>
          <w:iCs/>
          <w:sz w:val="20"/>
          <w:lang w:val="en-US"/>
        </w:rPr>
        <w:t>considered to be</w:t>
      </w:r>
      <w:r>
        <w:rPr>
          <w:rFonts w:ascii="Arial" w:hAnsi="Arial" w:cs="Arial"/>
          <w:i/>
          <w:iCs/>
          <w:sz w:val="20"/>
          <w:lang w:val="en-US"/>
        </w:rPr>
        <w:t xml:space="preserve"> one of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most serious global problems.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>climate system is influenced by</w:t>
      </w:r>
      <w:r w:rsidR="007E1E24">
        <w:rPr>
          <w:rFonts w:ascii="Arial" w:hAnsi="Arial" w:cs="Arial"/>
          <w:i/>
          <w:iCs/>
          <w:sz w:val="20"/>
          <w:lang w:val="en-US"/>
        </w:rPr>
        <w:t xml:space="preserve"> a </w:t>
      </w:r>
      <w:r w:rsidR="00212875">
        <w:rPr>
          <w:rFonts w:ascii="Arial" w:hAnsi="Arial" w:cs="Arial"/>
          <w:i/>
          <w:iCs/>
          <w:sz w:val="20"/>
          <w:lang w:val="en-US"/>
        </w:rPr>
        <w:t xml:space="preserve">number of </w:t>
      </w:r>
      <w:r>
        <w:rPr>
          <w:rFonts w:ascii="Arial" w:hAnsi="Arial" w:cs="Arial"/>
          <w:i/>
          <w:iCs/>
          <w:sz w:val="20"/>
          <w:lang w:val="en-US"/>
        </w:rPr>
        <w:t xml:space="preserve">anthropogenic activities and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>prevailing role is assigned to emissions of greenhouse gases (GHG</w:t>
      </w:r>
      <w:r w:rsidR="00212875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 xml:space="preserve">), which </w:t>
      </w:r>
      <w:r w:rsidR="001A6ED4">
        <w:rPr>
          <w:rFonts w:ascii="Arial" w:hAnsi="Arial" w:cs="Arial"/>
          <w:i/>
          <w:iCs/>
          <w:sz w:val="20"/>
          <w:lang w:val="en-US"/>
        </w:rPr>
        <w:t>reinforce</w:t>
      </w:r>
      <w:r>
        <w:rPr>
          <w:rFonts w:ascii="Arial" w:hAnsi="Arial" w:cs="Arial"/>
          <w:i/>
          <w:iCs/>
          <w:sz w:val="20"/>
          <w:lang w:val="en-US"/>
        </w:rPr>
        <w:t xml:space="preserve">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greenhouse effect.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>main anthropogenic greenhouse gases are considered to be carbon dioxide (CO</w:t>
      </w:r>
      <w:r>
        <w:rPr>
          <w:rFonts w:ascii="Arial" w:hAnsi="Arial" w:cs="Arial"/>
          <w:i/>
          <w:iCs/>
          <w:sz w:val="20"/>
          <w:vertAlign w:val="subscript"/>
          <w:lang w:val="en-US"/>
        </w:rPr>
        <w:t>2</w:t>
      </w:r>
      <w:r>
        <w:rPr>
          <w:rFonts w:ascii="Arial" w:hAnsi="Arial" w:cs="Arial"/>
          <w:i/>
          <w:iCs/>
          <w:sz w:val="20"/>
          <w:lang w:val="en-US"/>
        </w:rPr>
        <w:t>), methane (CH</w:t>
      </w:r>
      <w:r>
        <w:rPr>
          <w:rFonts w:ascii="Arial" w:hAnsi="Arial" w:cs="Arial"/>
          <w:i/>
          <w:iCs/>
          <w:sz w:val="20"/>
          <w:vertAlign w:val="subscript"/>
          <w:lang w:val="en-US"/>
        </w:rPr>
        <w:t>4</w:t>
      </w:r>
      <w:r>
        <w:rPr>
          <w:rFonts w:ascii="Arial" w:hAnsi="Arial" w:cs="Arial"/>
          <w:i/>
          <w:iCs/>
          <w:sz w:val="20"/>
          <w:lang w:val="en-US"/>
        </w:rPr>
        <w:t>), nitrous oxide (N</w:t>
      </w:r>
      <w:r>
        <w:rPr>
          <w:rFonts w:ascii="Arial" w:hAnsi="Arial" w:cs="Arial"/>
          <w:i/>
          <w:iCs/>
          <w:sz w:val="20"/>
          <w:vertAlign w:val="subscript"/>
          <w:lang w:val="en-US"/>
        </w:rPr>
        <w:t>2</w:t>
      </w:r>
      <w:r>
        <w:rPr>
          <w:rFonts w:ascii="Arial" w:hAnsi="Arial" w:cs="Arial"/>
          <w:i/>
          <w:iCs/>
          <w:sz w:val="20"/>
          <w:lang w:val="en-US"/>
        </w:rPr>
        <w:t>O), partly (</w:t>
      </w:r>
      <w:r w:rsidR="0066610F">
        <w:rPr>
          <w:rFonts w:ascii="Arial" w:hAnsi="Arial" w:cs="Arial"/>
          <w:i/>
          <w:iCs/>
          <w:sz w:val="20"/>
          <w:lang w:val="en-US"/>
        </w:rPr>
        <w:t xml:space="preserve">hydrofluorocarbons - </w:t>
      </w:r>
      <w:r>
        <w:rPr>
          <w:rFonts w:ascii="Arial" w:hAnsi="Arial" w:cs="Arial"/>
          <w:i/>
          <w:iCs/>
          <w:sz w:val="20"/>
          <w:lang w:val="en-US"/>
        </w:rPr>
        <w:t>HFC</w:t>
      </w:r>
      <w:r w:rsidR="001A6ED4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>) and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lang w:val="en-US"/>
        </w:rPr>
        <w:t>completely (</w:t>
      </w:r>
      <w:r w:rsidR="0066610F">
        <w:rPr>
          <w:rFonts w:ascii="Arial" w:hAnsi="Arial" w:cs="Arial"/>
          <w:i/>
          <w:iCs/>
          <w:sz w:val="20"/>
          <w:lang w:val="en-US"/>
        </w:rPr>
        <w:t xml:space="preserve">perfluorocarbons - </w:t>
      </w:r>
      <w:r>
        <w:rPr>
          <w:rFonts w:ascii="Arial" w:hAnsi="Arial" w:cs="Arial"/>
          <w:i/>
          <w:iCs/>
          <w:sz w:val="20"/>
          <w:lang w:val="en-US"/>
        </w:rPr>
        <w:t>PFC</w:t>
      </w:r>
      <w:r w:rsidR="001A6ED4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>) fluorinated hydrocarbons</w:t>
      </w:r>
      <w:r w:rsidR="001A6ED4">
        <w:rPr>
          <w:rFonts w:ascii="Arial" w:hAnsi="Arial" w:cs="Arial"/>
          <w:i/>
          <w:iCs/>
          <w:sz w:val="20"/>
          <w:lang w:val="en-US"/>
        </w:rPr>
        <w:t>,</w:t>
      </w:r>
      <w:r>
        <w:rPr>
          <w:rFonts w:ascii="Arial" w:hAnsi="Arial" w:cs="Arial"/>
          <w:i/>
          <w:iCs/>
          <w:sz w:val="20"/>
          <w:lang w:val="en-US"/>
        </w:rPr>
        <w:t xml:space="preserve"> sulphur hexafluoride (SF</w:t>
      </w:r>
      <w:r>
        <w:rPr>
          <w:rFonts w:ascii="Arial" w:hAnsi="Arial" w:cs="Arial"/>
          <w:i/>
          <w:iCs/>
          <w:sz w:val="20"/>
          <w:vertAlign w:val="subscript"/>
          <w:lang w:val="en-US"/>
        </w:rPr>
        <w:t>6</w:t>
      </w:r>
      <w:r>
        <w:rPr>
          <w:rFonts w:ascii="Arial" w:hAnsi="Arial" w:cs="Arial"/>
          <w:i/>
          <w:iCs/>
          <w:sz w:val="20"/>
          <w:lang w:val="en-US"/>
        </w:rPr>
        <w:t xml:space="preserve">), </w:t>
      </w:r>
      <w:r w:rsidR="00985054">
        <w:rPr>
          <w:rFonts w:ascii="Arial" w:hAnsi="Arial" w:cs="Arial"/>
          <w:i/>
          <w:iCs/>
          <w:sz w:val="20"/>
          <w:lang w:val="en-US"/>
        </w:rPr>
        <w:t>and nitrogen trifluoride (NF</w:t>
      </w:r>
      <w:r w:rsidR="00781E52" w:rsidRPr="00781E52">
        <w:rPr>
          <w:rFonts w:ascii="Arial" w:hAnsi="Arial" w:cs="Arial"/>
          <w:i/>
          <w:iCs/>
          <w:sz w:val="20"/>
          <w:vertAlign w:val="subscript"/>
          <w:lang w:val="en-US"/>
        </w:rPr>
        <w:t>3</w:t>
      </w:r>
      <w:r w:rsidR="00985054">
        <w:rPr>
          <w:rFonts w:ascii="Arial" w:hAnsi="Arial" w:cs="Arial"/>
          <w:i/>
          <w:iCs/>
          <w:sz w:val="20"/>
          <w:lang w:val="en-US"/>
        </w:rPr>
        <w:t xml:space="preserve">) that are </w:t>
      </w:r>
      <w:r>
        <w:rPr>
          <w:rFonts w:ascii="Arial" w:hAnsi="Arial" w:cs="Arial"/>
          <w:i/>
          <w:iCs/>
          <w:sz w:val="20"/>
          <w:lang w:val="en-US"/>
        </w:rPr>
        <w:t xml:space="preserve">collectively known as fluorinated </w:t>
      </w:r>
      <w:r w:rsidR="001A6ED4">
        <w:rPr>
          <w:rFonts w:ascii="Arial" w:hAnsi="Arial" w:cs="Arial"/>
          <w:i/>
          <w:iCs/>
          <w:sz w:val="20"/>
          <w:lang w:val="en-US"/>
        </w:rPr>
        <w:t>greenhouse gases and</w:t>
      </w:r>
      <w:r>
        <w:rPr>
          <w:rFonts w:ascii="Arial" w:hAnsi="Arial" w:cs="Arial"/>
          <w:i/>
          <w:iCs/>
          <w:sz w:val="20"/>
          <w:lang w:val="en-US"/>
        </w:rPr>
        <w:t xml:space="preserve"> abbreviated 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also </w:t>
      </w:r>
      <w:r>
        <w:rPr>
          <w:rFonts w:ascii="Arial" w:hAnsi="Arial" w:cs="Arial"/>
          <w:i/>
          <w:iCs/>
          <w:sz w:val="20"/>
          <w:lang w:val="en-US"/>
        </w:rPr>
        <w:t>as F-gases.</w:t>
      </w:r>
    </w:p>
    <w:p w14:paraId="4CD01F80" w14:textId="77777777" w:rsidR="0024136F" w:rsidRDefault="0024136F">
      <w:pPr>
        <w:spacing w:before="120"/>
        <w:ind w:firstLine="709"/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CO</w:t>
      </w:r>
      <w:r>
        <w:rPr>
          <w:rFonts w:ascii="Arial" w:hAnsi="Arial" w:cs="Arial"/>
          <w:i/>
          <w:iCs/>
          <w:sz w:val="20"/>
          <w:vertAlign w:val="subscript"/>
          <w:lang w:val="en-US"/>
        </w:rPr>
        <w:t>2</w:t>
      </w:r>
      <w:r w:rsidR="00337585" w:rsidRPr="00337585">
        <w:rPr>
          <w:rFonts w:ascii="Arial" w:hAnsi="Arial" w:cs="Arial"/>
          <w:i/>
          <w:iCs/>
          <w:sz w:val="20"/>
          <w:lang w:val="en-US"/>
        </w:rPr>
        <w:t> </w:t>
      </w:r>
      <w:r>
        <w:rPr>
          <w:rFonts w:ascii="Arial" w:hAnsi="Arial" w:cs="Arial"/>
          <w:i/>
          <w:iCs/>
          <w:sz w:val="20"/>
          <w:lang w:val="en-US"/>
        </w:rPr>
        <w:t xml:space="preserve">emissions </w:t>
      </w:r>
      <w:r w:rsidR="001A6ED4">
        <w:rPr>
          <w:rFonts w:ascii="Arial" w:hAnsi="Arial" w:cs="Arial"/>
          <w:i/>
          <w:iCs/>
          <w:sz w:val="20"/>
          <w:lang w:val="en-US"/>
        </w:rPr>
        <w:t>originate</w:t>
      </w:r>
      <w:r>
        <w:rPr>
          <w:rFonts w:ascii="Arial" w:hAnsi="Arial" w:cs="Arial"/>
          <w:i/>
          <w:iCs/>
          <w:sz w:val="20"/>
          <w:lang w:val="en-US"/>
        </w:rPr>
        <w:t xml:space="preserve"> mainly </w:t>
      </w:r>
      <w:r w:rsidR="001A6ED4">
        <w:rPr>
          <w:rFonts w:ascii="Arial" w:hAnsi="Arial" w:cs="Arial"/>
          <w:i/>
          <w:iCs/>
          <w:sz w:val="20"/>
          <w:lang w:val="en-US"/>
        </w:rPr>
        <w:t>from</w:t>
      </w:r>
      <w:r>
        <w:rPr>
          <w:rFonts w:ascii="Arial" w:hAnsi="Arial" w:cs="Arial"/>
          <w:i/>
          <w:iCs/>
          <w:sz w:val="20"/>
          <w:lang w:val="en-US"/>
        </w:rPr>
        <w:t xml:space="preserve"> fossil fuels combustion, carbonate decomposition in 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>production of cement, lime,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 and </w:t>
      </w:r>
      <w:r>
        <w:rPr>
          <w:rFonts w:ascii="Arial" w:hAnsi="Arial" w:cs="Arial"/>
          <w:i/>
          <w:iCs/>
          <w:sz w:val="20"/>
          <w:lang w:val="en-US"/>
        </w:rPr>
        <w:t>glass, in desulphurization processes</w:t>
      </w:r>
      <w:r w:rsidR="001A6ED4">
        <w:rPr>
          <w:rFonts w:ascii="Arial" w:hAnsi="Arial" w:cs="Arial"/>
          <w:i/>
          <w:iCs/>
          <w:sz w:val="20"/>
          <w:lang w:val="en-US"/>
        </w:rPr>
        <w:t>,</w:t>
      </w:r>
      <w:r>
        <w:rPr>
          <w:rFonts w:ascii="Arial" w:hAnsi="Arial" w:cs="Arial"/>
          <w:i/>
          <w:iCs/>
          <w:sz w:val="20"/>
          <w:lang w:val="en-US"/>
        </w:rPr>
        <w:t xml:space="preserve"> and also in metallurg</w:t>
      </w:r>
      <w:r w:rsidR="001A6ED4">
        <w:rPr>
          <w:rFonts w:ascii="Arial" w:hAnsi="Arial" w:cs="Arial"/>
          <w:i/>
          <w:iCs/>
          <w:sz w:val="20"/>
          <w:lang w:val="en-US"/>
        </w:rPr>
        <w:t>ical</w:t>
      </w:r>
      <w:r>
        <w:rPr>
          <w:rFonts w:ascii="Arial" w:hAnsi="Arial" w:cs="Arial"/>
          <w:i/>
          <w:iCs/>
          <w:sz w:val="20"/>
          <w:lang w:val="en-US"/>
        </w:rPr>
        <w:t xml:space="preserve"> and chemical </w:t>
      </w:r>
      <w:r w:rsidR="001A6ED4">
        <w:rPr>
          <w:rFonts w:ascii="Arial" w:hAnsi="Arial" w:cs="Arial"/>
          <w:i/>
          <w:iCs/>
          <w:sz w:val="20"/>
          <w:lang w:val="en-US"/>
        </w:rPr>
        <w:t>production processes</w:t>
      </w:r>
      <w:r>
        <w:rPr>
          <w:rFonts w:ascii="Arial" w:hAnsi="Arial" w:cs="Arial"/>
          <w:i/>
          <w:iCs/>
          <w:sz w:val="20"/>
          <w:lang w:val="en-US"/>
        </w:rPr>
        <w:t xml:space="preserve">.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>CO</w:t>
      </w:r>
      <w:r>
        <w:rPr>
          <w:rFonts w:ascii="Arial" w:hAnsi="Arial" w:cs="Arial"/>
          <w:i/>
          <w:iCs/>
          <w:sz w:val="20"/>
          <w:vertAlign w:val="subscript"/>
          <w:lang w:val="en-US"/>
        </w:rPr>
        <w:t>2</w:t>
      </w:r>
      <w:r w:rsidR="001A6ED4">
        <w:rPr>
          <w:rFonts w:ascii="Arial" w:hAnsi="Arial" w:cs="Arial"/>
          <w:i/>
          <w:iCs/>
          <w:sz w:val="20"/>
          <w:vertAlign w:val="subscript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lang w:val="en-US"/>
        </w:rPr>
        <w:t xml:space="preserve">emissions and 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sequestration </w:t>
      </w:r>
      <w:r>
        <w:rPr>
          <w:rFonts w:ascii="Arial" w:hAnsi="Arial" w:cs="Arial"/>
          <w:i/>
          <w:iCs/>
          <w:sz w:val="20"/>
          <w:lang w:val="en-US"/>
        </w:rPr>
        <w:t xml:space="preserve">occur 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sector 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of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FA2C1C">
        <w:rPr>
          <w:rFonts w:ascii="Arial" w:hAnsi="Arial" w:cs="Arial"/>
          <w:i/>
          <w:iCs/>
          <w:sz w:val="20"/>
          <w:lang w:val="en-US"/>
        </w:rPr>
        <w:t xml:space="preserve">land </w:t>
      </w:r>
      <w:r>
        <w:rPr>
          <w:rFonts w:ascii="Arial" w:hAnsi="Arial" w:cs="Arial"/>
          <w:i/>
          <w:iCs/>
          <w:sz w:val="20"/>
          <w:lang w:val="en-US"/>
        </w:rPr>
        <w:t>use, land-use change</w:t>
      </w:r>
      <w:r w:rsidR="001A6ED4">
        <w:rPr>
          <w:rFonts w:ascii="Arial" w:hAnsi="Arial" w:cs="Arial"/>
          <w:i/>
          <w:iCs/>
          <w:sz w:val="20"/>
          <w:lang w:val="en-US"/>
        </w:rPr>
        <w:t>,</w:t>
      </w:r>
      <w:r>
        <w:rPr>
          <w:rFonts w:ascii="Arial" w:hAnsi="Arial" w:cs="Arial"/>
          <w:i/>
          <w:iCs/>
          <w:sz w:val="20"/>
          <w:lang w:val="en-US"/>
        </w:rPr>
        <w:t xml:space="preserve"> and forestry (LULUCF); in </w:t>
      </w:r>
      <w:r w:rsidR="00AE72FA">
        <w:rPr>
          <w:rFonts w:ascii="Arial" w:hAnsi="Arial" w:cs="Arial"/>
          <w:i/>
          <w:iCs/>
          <w:sz w:val="20"/>
          <w:lang w:val="en-US"/>
        </w:rPr>
        <w:t>overall</w:t>
      </w:r>
      <w:r>
        <w:rPr>
          <w:rFonts w:ascii="Arial" w:hAnsi="Arial" w:cs="Arial"/>
          <w:i/>
          <w:iCs/>
          <w:sz w:val="20"/>
          <w:lang w:val="en-US"/>
        </w:rPr>
        <w:t xml:space="preserve"> balance of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LULUCF </w:t>
      </w:r>
      <w:r>
        <w:rPr>
          <w:rFonts w:ascii="Arial" w:hAnsi="Arial" w:cs="Arial"/>
          <w:i/>
          <w:iCs/>
          <w:sz w:val="20"/>
          <w:lang w:val="en-US"/>
        </w:rPr>
        <w:t xml:space="preserve">sector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sequestration has </w:t>
      </w:r>
      <w:r>
        <w:rPr>
          <w:rFonts w:ascii="Arial" w:hAnsi="Arial" w:cs="Arial"/>
          <w:i/>
          <w:iCs/>
          <w:sz w:val="20"/>
          <w:lang w:val="en-US"/>
        </w:rPr>
        <w:t xml:space="preserve">prevailed so far. Anthropogenic methane emissions 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Czech </w:t>
      </w:r>
      <w:smartTag w:uri="urn:schemas-microsoft-com:office:smarttags" w:element="PlaceType">
        <w:r>
          <w:rPr>
            <w:rFonts w:ascii="Arial" w:hAnsi="Arial" w:cs="Arial"/>
            <w:i/>
            <w:iCs/>
            <w:sz w:val="20"/>
            <w:lang w:val="en-US"/>
          </w:rPr>
          <w:t>Republic</w:t>
        </w:r>
      </w:smartTag>
      <w:r>
        <w:rPr>
          <w:rFonts w:ascii="Arial" w:hAnsi="Arial" w:cs="Arial"/>
          <w:i/>
          <w:iCs/>
          <w:sz w:val="20"/>
          <w:lang w:val="en-US"/>
        </w:rPr>
        <w:t xml:space="preserve"> have their origin mainly in mining, processing</w:t>
      </w:r>
      <w:r w:rsidR="001A6ED4">
        <w:rPr>
          <w:rFonts w:ascii="Arial" w:hAnsi="Arial" w:cs="Arial"/>
          <w:i/>
          <w:iCs/>
          <w:sz w:val="20"/>
          <w:lang w:val="en-US"/>
        </w:rPr>
        <w:t>,</w:t>
      </w:r>
      <w:r>
        <w:rPr>
          <w:rFonts w:ascii="Arial" w:hAnsi="Arial" w:cs="Arial"/>
          <w:i/>
          <w:iCs/>
          <w:sz w:val="20"/>
          <w:lang w:val="en-US"/>
        </w:rPr>
        <w:t xml:space="preserve"> and distribution of fuels</w:t>
      </w:r>
      <w:r w:rsidR="001A6ED4">
        <w:rPr>
          <w:rFonts w:ascii="Arial" w:hAnsi="Arial" w:cs="Arial"/>
          <w:i/>
          <w:iCs/>
          <w:sz w:val="20"/>
          <w:lang w:val="en-US"/>
        </w:rPr>
        <w:t>.</w:t>
      </w:r>
      <w:r>
        <w:rPr>
          <w:rFonts w:ascii="Arial" w:hAnsi="Arial" w:cs="Arial"/>
          <w:i/>
          <w:iCs/>
          <w:sz w:val="20"/>
          <w:lang w:val="en-US"/>
        </w:rPr>
        <w:t xml:space="preserve"> </w:t>
      </w:r>
      <w:r w:rsidR="001A6ED4">
        <w:rPr>
          <w:rFonts w:ascii="Arial" w:hAnsi="Arial" w:cs="Arial"/>
          <w:i/>
          <w:iCs/>
          <w:sz w:val="20"/>
          <w:lang w:val="en-US"/>
        </w:rPr>
        <w:t xml:space="preserve">This </w:t>
      </w:r>
      <w:r>
        <w:rPr>
          <w:rFonts w:ascii="Arial" w:hAnsi="Arial" w:cs="Arial"/>
          <w:i/>
          <w:iCs/>
          <w:sz w:val="20"/>
          <w:lang w:val="en-US"/>
        </w:rPr>
        <w:t>type of source</w:t>
      </w:r>
      <w:r w:rsidR="001A6ED4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 xml:space="preserve"> is called fugitive source</w:t>
      </w:r>
      <w:r w:rsidR="001A6ED4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 xml:space="preserve">. Other significant methane emission sources are as follows: animal </w:t>
      </w:r>
      <w:r w:rsidR="00AE72FA">
        <w:rPr>
          <w:rFonts w:ascii="Arial" w:hAnsi="Arial" w:cs="Arial"/>
          <w:i/>
          <w:iCs/>
          <w:sz w:val="20"/>
          <w:lang w:val="en-US"/>
        </w:rPr>
        <w:t xml:space="preserve">and livestock rearing and </w:t>
      </w:r>
      <w:r>
        <w:rPr>
          <w:rFonts w:ascii="Arial" w:hAnsi="Arial" w:cs="Arial"/>
          <w:i/>
          <w:iCs/>
          <w:sz w:val="20"/>
          <w:lang w:val="en-US"/>
        </w:rPr>
        <w:t xml:space="preserve">breeding, anaerobic decomposition of </w:t>
      </w:r>
      <w:r w:rsidR="00AE72FA">
        <w:rPr>
          <w:rFonts w:ascii="Arial" w:hAnsi="Arial" w:cs="Arial"/>
          <w:i/>
          <w:iCs/>
          <w:sz w:val="20"/>
          <w:lang w:val="en-US"/>
        </w:rPr>
        <w:t xml:space="preserve">biological </w:t>
      </w:r>
      <w:r>
        <w:rPr>
          <w:rFonts w:ascii="Arial" w:hAnsi="Arial" w:cs="Arial"/>
          <w:i/>
          <w:iCs/>
          <w:sz w:val="20"/>
          <w:lang w:val="en-US"/>
        </w:rPr>
        <w:t xml:space="preserve">waste </w:t>
      </w:r>
      <w:r w:rsidR="00AE72FA">
        <w:rPr>
          <w:rFonts w:ascii="Arial" w:hAnsi="Arial" w:cs="Arial"/>
          <w:i/>
          <w:iCs/>
          <w:sz w:val="20"/>
          <w:lang w:val="en-US"/>
        </w:rPr>
        <w:t xml:space="preserve">in their </w:t>
      </w:r>
      <w:r>
        <w:rPr>
          <w:rFonts w:ascii="Arial" w:hAnsi="Arial" w:cs="Arial"/>
          <w:i/>
          <w:iCs/>
          <w:sz w:val="20"/>
          <w:lang w:val="en-US"/>
        </w:rPr>
        <w:t>land filling</w:t>
      </w:r>
      <w:r w:rsidR="00AE72FA">
        <w:rPr>
          <w:rFonts w:ascii="Arial" w:hAnsi="Arial" w:cs="Arial"/>
          <w:i/>
          <w:iCs/>
          <w:sz w:val="20"/>
          <w:lang w:val="en-US"/>
        </w:rPr>
        <w:t>,</w:t>
      </w:r>
      <w:r>
        <w:rPr>
          <w:rFonts w:ascii="Arial" w:hAnsi="Arial" w:cs="Arial"/>
          <w:i/>
          <w:iCs/>
          <w:sz w:val="20"/>
          <w:lang w:val="en-US"/>
        </w:rPr>
        <w:t xml:space="preserve"> and wastewater treatment.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largest amount of nitrous oxide emissions </w:t>
      </w:r>
      <w:r w:rsidR="00AE72FA">
        <w:rPr>
          <w:rFonts w:ascii="Arial" w:hAnsi="Arial" w:cs="Arial"/>
          <w:i/>
          <w:iCs/>
          <w:sz w:val="20"/>
          <w:lang w:val="en-US"/>
        </w:rPr>
        <w:t xml:space="preserve">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AE72FA">
        <w:rPr>
          <w:rFonts w:ascii="Arial" w:hAnsi="Arial" w:cs="Arial"/>
          <w:i/>
          <w:iCs/>
          <w:sz w:val="20"/>
          <w:lang w:val="en-US"/>
        </w:rPr>
        <w:t>Czech Republic comes from</w:t>
      </w:r>
      <w:r>
        <w:rPr>
          <w:rFonts w:ascii="Arial" w:hAnsi="Arial" w:cs="Arial"/>
          <w:i/>
          <w:iCs/>
          <w:sz w:val="20"/>
          <w:lang w:val="en-US"/>
        </w:rPr>
        <w:t xml:space="preserve"> agricultural activities, </w:t>
      </w:r>
      <w:r w:rsidR="00AE72FA">
        <w:rPr>
          <w:rFonts w:ascii="Arial" w:hAnsi="Arial" w:cs="Arial"/>
          <w:i/>
          <w:iCs/>
          <w:sz w:val="20"/>
          <w:lang w:val="en-US"/>
        </w:rPr>
        <w:t xml:space="preserve">especially due to </w:t>
      </w:r>
      <w:r>
        <w:rPr>
          <w:rFonts w:ascii="Arial" w:hAnsi="Arial" w:cs="Arial"/>
          <w:i/>
          <w:iCs/>
          <w:sz w:val="20"/>
          <w:lang w:val="en-US"/>
        </w:rPr>
        <w:t xml:space="preserve">denitrification of nitrogen supplied to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soil 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AE72FA">
        <w:rPr>
          <w:rFonts w:ascii="Arial" w:hAnsi="Arial" w:cs="Arial"/>
          <w:i/>
          <w:iCs/>
          <w:sz w:val="20"/>
          <w:lang w:val="en-US"/>
        </w:rPr>
        <w:t xml:space="preserve">form of </w:t>
      </w:r>
      <w:r>
        <w:rPr>
          <w:rFonts w:ascii="Arial" w:hAnsi="Arial" w:cs="Arial"/>
          <w:i/>
          <w:iCs/>
          <w:sz w:val="20"/>
          <w:lang w:val="en-US"/>
        </w:rPr>
        <w:t>artificial fertilizers or organic material</w:t>
      </w:r>
      <w:r w:rsidR="00AE72FA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 xml:space="preserve">.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nitric acid </w:t>
      </w:r>
      <w:r>
        <w:rPr>
          <w:rFonts w:ascii="Arial" w:hAnsi="Arial" w:cs="Arial"/>
          <w:i/>
          <w:iCs/>
          <w:sz w:val="20"/>
          <w:lang w:val="en-US"/>
        </w:rPr>
        <w:t xml:space="preserve">production is another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important </w:t>
      </w:r>
      <w:r>
        <w:rPr>
          <w:rFonts w:ascii="Arial" w:hAnsi="Arial" w:cs="Arial"/>
          <w:i/>
          <w:iCs/>
          <w:sz w:val="20"/>
          <w:lang w:val="en-US"/>
        </w:rPr>
        <w:t>source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 thereof</w:t>
      </w:r>
      <w:r>
        <w:rPr>
          <w:rFonts w:ascii="Arial" w:hAnsi="Arial" w:cs="Arial"/>
          <w:i/>
          <w:iCs/>
          <w:sz w:val="20"/>
          <w:lang w:val="en-US"/>
        </w:rPr>
        <w:t xml:space="preserve">.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Because fluorinated greenhouse </w:t>
      </w:r>
      <w:r>
        <w:rPr>
          <w:rFonts w:ascii="Arial" w:hAnsi="Arial" w:cs="Arial"/>
          <w:i/>
          <w:iCs/>
          <w:sz w:val="20"/>
          <w:lang w:val="en-US"/>
        </w:rPr>
        <w:t xml:space="preserve">gases are not produced 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Czech Republic all their emissions come from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their </w:t>
      </w:r>
      <w:r>
        <w:rPr>
          <w:rFonts w:ascii="Arial" w:hAnsi="Arial" w:cs="Arial"/>
          <w:i/>
          <w:iCs/>
          <w:sz w:val="20"/>
          <w:lang w:val="en-US"/>
        </w:rPr>
        <w:t xml:space="preserve">use </w:t>
      </w:r>
      <w:r w:rsidR="00871D67">
        <w:rPr>
          <w:rFonts w:ascii="Arial" w:hAnsi="Arial" w:cs="Arial"/>
          <w:i/>
          <w:iCs/>
          <w:sz w:val="20"/>
          <w:lang w:val="en-US"/>
        </w:rPr>
        <w:t>mostly</w:t>
      </w:r>
      <w:r>
        <w:rPr>
          <w:rFonts w:ascii="Arial" w:hAnsi="Arial" w:cs="Arial"/>
          <w:i/>
          <w:iCs/>
          <w:sz w:val="20"/>
          <w:lang w:val="en-US"/>
        </w:rPr>
        <w:t xml:space="preserve"> in </w:t>
      </w:r>
      <w:r w:rsidR="00871D67">
        <w:rPr>
          <w:rFonts w:ascii="Arial" w:hAnsi="Arial" w:cs="Arial"/>
          <w:i/>
          <w:iCs/>
          <w:sz w:val="20"/>
          <w:lang w:val="en-US"/>
        </w:rPr>
        <w:t>cooling industry</w:t>
      </w:r>
      <w:r>
        <w:rPr>
          <w:rFonts w:ascii="Arial" w:hAnsi="Arial" w:cs="Arial"/>
          <w:i/>
          <w:iCs/>
          <w:sz w:val="20"/>
          <w:lang w:val="en-US"/>
        </w:rPr>
        <w:t xml:space="preserve">, </w:t>
      </w:r>
      <w:r w:rsidR="00871D67">
        <w:rPr>
          <w:rFonts w:ascii="Arial" w:hAnsi="Arial" w:cs="Arial"/>
          <w:i/>
          <w:iCs/>
          <w:sz w:val="20"/>
          <w:lang w:val="en-US"/>
        </w:rPr>
        <w:t>and in</w:t>
      </w:r>
      <w:r w:rsidR="007E1E24">
        <w:rPr>
          <w:rFonts w:ascii="Arial" w:hAnsi="Arial" w:cs="Arial"/>
          <w:i/>
          <w:iCs/>
          <w:sz w:val="20"/>
          <w:lang w:val="en-US"/>
        </w:rPr>
        <w:t xml:space="preserve"> a </w:t>
      </w:r>
      <w:r>
        <w:rPr>
          <w:rFonts w:ascii="Arial" w:hAnsi="Arial" w:cs="Arial"/>
          <w:i/>
          <w:iCs/>
          <w:sz w:val="20"/>
          <w:lang w:val="en-US"/>
        </w:rPr>
        <w:t>lesser extent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 from their </w:t>
      </w:r>
      <w:r>
        <w:rPr>
          <w:rFonts w:ascii="Arial" w:hAnsi="Arial" w:cs="Arial"/>
          <w:i/>
          <w:iCs/>
          <w:sz w:val="20"/>
          <w:lang w:val="en-US"/>
        </w:rPr>
        <w:t xml:space="preserve">use as blowing agents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in </w:t>
      </w:r>
      <w:r>
        <w:rPr>
          <w:rFonts w:ascii="Arial" w:hAnsi="Arial" w:cs="Arial"/>
          <w:i/>
          <w:iCs/>
          <w:sz w:val="20"/>
          <w:lang w:val="en-US"/>
        </w:rPr>
        <w:t>manufactur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ing </w:t>
      </w:r>
      <w:r>
        <w:rPr>
          <w:rFonts w:ascii="Arial" w:hAnsi="Arial" w:cs="Arial"/>
          <w:i/>
          <w:iCs/>
          <w:sz w:val="20"/>
          <w:lang w:val="en-US"/>
        </w:rPr>
        <w:t xml:space="preserve">of foam insulation materials, propellants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of </w:t>
      </w:r>
      <w:r>
        <w:rPr>
          <w:rFonts w:ascii="Arial" w:hAnsi="Arial" w:cs="Arial"/>
          <w:i/>
          <w:iCs/>
          <w:sz w:val="20"/>
          <w:lang w:val="en-US"/>
        </w:rPr>
        <w:t>some aerosol products, fill</w:t>
      </w:r>
      <w:r w:rsidR="00065E5E">
        <w:rPr>
          <w:rFonts w:ascii="Arial" w:hAnsi="Arial" w:cs="Arial"/>
          <w:i/>
          <w:iCs/>
          <w:sz w:val="20"/>
          <w:lang w:val="en-US"/>
        </w:rPr>
        <w:t>ing</w:t>
      </w:r>
      <w:r w:rsidR="00871D67">
        <w:rPr>
          <w:rFonts w:ascii="Arial" w:hAnsi="Arial" w:cs="Arial"/>
          <w:i/>
          <w:iCs/>
          <w:sz w:val="20"/>
          <w:lang w:val="en-US"/>
        </w:rPr>
        <w:t>s</w:t>
      </w:r>
      <w:r>
        <w:rPr>
          <w:rFonts w:ascii="Arial" w:hAnsi="Arial" w:cs="Arial"/>
          <w:i/>
          <w:iCs/>
          <w:sz w:val="20"/>
          <w:lang w:val="en-US"/>
        </w:rPr>
        <w:t xml:space="preserve"> of extinguishers, insulating medi</w:t>
      </w:r>
      <w:r w:rsidR="00871D67">
        <w:rPr>
          <w:rFonts w:ascii="Arial" w:hAnsi="Arial" w:cs="Arial"/>
          <w:i/>
          <w:iCs/>
          <w:sz w:val="20"/>
          <w:lang w:val="en-US"/>
        </w:rPr>
        <w:t>a</w:t>
      </w:r>
      <w:r>
        <w:rPr>
          <w:rFonts w:ascii="Arial" w:hAnsi="Arial" w:cs="Arial"/>
          <w:i/>
          <w:iCs/>
          <w:sz w:val="20"/>
          <w:lang w:val="en-US"/>
        </w:rPr>
        <w:t xml:space="preserve"> in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heavy current </w:t>
      </w:r>
      <w:r>
        <w:rPr>
          <w:rFonts w:ascii="Arial" w:hAnsi="Arial" w:cs="Arial"/>
          <w:i/>
          <w:iCs/>
          <w:sz w:val="20"/>
          <w:lang w:val="en-US"/>
        </w:rPr>
        <w:t>electric equipment</w:t>
      </w:r>
      <w:r w:rsidR="00871D67">
        <w:rPr>
          <w:rFonts w:ascii="Arial" w:hAnsi="Arial" w:cs="Arial"/>
          <w:i/>
          <w:iCs/>
          <w:sz w:val="20"/>
          <w:lang w:val="en-US"/>
        </w:rPr>
        <w:t>,</w:t>
      </w:r>
      <w:r>
        <w:rPr>
          <w:rFonts w:ascii="Arial" w:hAnsi="Arial" w:cs="Arial"/>
          <w:i/>
          <w:iCs/>
          <w:sz w:val="20"/>
          <w:lang w:val="en-US"/>
        </w:rPr>
        <w:t xml:space="preserve"> and </w:t>
      </w:r>
      <w:r w:rsidR="00871D67">
        <w:rPr>
          <w:rFonts w:ascii="Arial" w:hAnsi="Arial" w:cs="Arial"/>
          <w:i/>
          <w:iCs/>
          <w:sz w:val="20"/>
          <w:lang w:val="en-US"/>
        </w:rPr>
        <w:t xml:space="preserve">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>thermal insulation of windows.</w:t>
      </w:r>
    </w:p>
    <w:p w14:paraId="67556018" w14:textId="77777777" w:rsidR="007E1E24" w:rsidRPr="007E1E24" w:rsidRDefault="007E1E24" w:rsidP="007E1E24">
      <w:pPr>
        <w:spacing w:before="120"/>
        <w:ind w:firstLine="709"/>
        <w:jc w:val="both"/>
        <w:rPr>
          <w:rFonts w:ascii="Arial" w:hAnsi="Arial" w:cs="Arial"/>
          <w:i/>
          <w:iCs/>
          <w:sz w:val="20"/>
          <w:lang w:val="en-US"/>
        </w:rPr>
      </w:pPr>
      <w:r w:rsidRPr="007E1E24">
        <w:rPr>
          <w:rFonts w:ascii="Arial" w:hAnsi="Arial" w:cs="Arial"/>
          <w:i/>
          <w:iCs/>
          <w:sz w:val="20"/>
          <w:lang w:val="en-US"/>
        </w:rPr>
        <w:t xml:space="preserve">Greenhouse gases emissions are monitored within </w:t>
      </w:r>
      <w:r>
        <w:rPr>
          <w:rFonts w:ascii="Arial" w:hAnsi="Arial" w:cs="Arial"/>
          <w:i/>
          <w:iCs/>
          <w:sz w:val="20"/>
          <w:lang w:val="en-US"/>
        </w:rPr>
        <w:t>the </w:t>
      </w:r>
      <w:r w:rsidRPr="007E1E24">
        <w:rPr>
          <w:rFonts w:ascii="Arial" w:hAnsi="Arial" w:cs="Arial"/>
          <w:i/>
          <w:iCs/>
          <w:sz w:val="20"/>
          <w:lang w:val="en-US"/>
        </w:rPr>
        <w:t xml:space="preserve">United Nations Framework Convention on </w:t>
      </w:r>
      <w:r w:rsidRPr="00985333">
        <w:rPr>
          <w:rFonts w:ascii="Arial" w:hAnsi="Arial" w:cs="Arial"/>
          <w:i/>
          <w:iCs/>
          <w:sz w:val="20"/>
          <w:lang w:val="en-US"/>
        </w:rPr>
        <w:t>Climate Change, including the Kyoto Protocol thereto, and on the basis of the </w:t>
      </w:r>
      <w:r w:rsidR="00781E52" w:rsidRPr="00781E52">
        <w:rPr>
          <w:rFonts w:ascii="Arial" w:hAnsi="Arial" w:cs="Arial"/>
          <w:i/>
          <w:iCs/>
          <w:sz w:val="20"/>
          <w:lang w:val="en-US"/>
        </w:rPr>
        <w:t>Regulation (EU) No 525/2013 of the European Parliament and of the Council of 21 May 2013 on a mechanism for monitoring and reporting greenhouse gas emissions and for reporting other information at national and Union level relevant to climate change and repealing Decision No 280/2004/EC</w:t>
      </w:r>
      <w:r w:rsidR="00282A34" w:rsidRPr="0066610F">
        <w:rPr>
          <w:rFonts w:ascii="Arial" w:hAnsi="Arial" w:cs="Arial"/>
          <w:i/>
          <w:iCs/>
          <w:sz w:val="20"/>
          <w:lang w:val="en-US"/>
        </w:rPr>
        <w:t>.</w:t>
      </w:r>
      <w:r w:rsidRPr="007E1E24">
        <w:rPr>
          <w:rFonts w:ascii="Arial" w:hAnsi="Arial" w:cs="Arial"/>
          <w:i/>
          <w:iCs/>
          <w:sz w:val="20"/>
          <w:lang w:val="en-US"/>
        </w:rPr>
        <w:t xml:space="preserve"> </w:t>
      </w:r>
      <w:r w:rsidR="00C66ACA" w:rsidRPr="007E1E24">
        <w:rPr>
          <w:rFonts w:ascii="Arial" w:hAnsi="Arial" w:cs="Arial"/>
          <w:i/>
          <w:iCs/>
          <w:sz w:val="20"/>
          <w:lang w:val="en-US"/>
        </w:rPr>
        <w:t xml:space="preserve">Amounts of emissions are determined according to </w:t>
      </w:r>
      <w:r w:rsidR="00C66ACA">
        <w:rPr>
          <w:rFonts w:ascii="Arial" w:hAnsi="Arial" w:cs="Arial"/>
          <w:i/>
          <w:iCs/>
          <w:sz w:val="20"/>
          <w:lang w:val="en-US"/>
        </w:rPr>
        <w:t>the </w:t>
      </w:r>
      <w:r w:rsidR="00C66ACA" w:rsidRPr="007E1E24">
        <w:rPr>
          <w:rFonts w:ascii="Arial" w:hAnsi="Arial" w:cs="Arial"/>
          <w:i/>
          <w:iCs/>
          <w:sz w:val="20"/>
          <w:lang w:val="en-US"/>
        </w:rPr>
        <w:t xml:space="preserve">required methodology </w:t>
      </w:r>
      <w:r w:rsidR="00C66ACA">
        <w:rPr>
          <w:rFonts w:ascii="Arial" w:hAnsi="Arial" w:cs="Arial"/>
          <w:i/>
          <w:iCs/>
          <w:sz w:val="20"/>
          <w:lang w:val="en-US"/>
        </w:rPr>
        <w:t xml:space="preserve">of </w:t>
      </w:r>
      <w:r w:rsidR="00C66ACA" w:rsidRPr="007E1E24">
        <w:rPr>
          <w:rFonts w:ascii="Arial" w:hAnsi="Arial" w:cs="Arial"/>
          <w:i/>
          <w:iCs/>
          <w:sz w:val="20"/>
          <w:lang w:val="en-US"/>
        </w:rPr>
        <w:t>Intergovernmental Panel on Climate Change</w:t>
      </w:r>
      <w:r w:rsidR="00C66ACA" w:rsidRPr="006345B8">
        <w:rPr>
          <w:rFonts w:ascii="Arial" w:hAnsi="Arial" w:cs="Arial"/>
          <w:i/>
          <w:iCs/>
          <w:sz w:val="20"/>
          <w:lang w:val="en-US"/>
        </w:rPr>
        <w:t xml:space="preserve"> </w:t>
      </w:r>
      <w:r w:rsidR="00C66ACA" w:rsidRPr="007E1E24">
        <w:rPr>
          <w:rFonts w:ascii="Arial" w:hAnsi="Arial" w:cs="Arial"/>
          <w:i/>
          <w:iCs/>
          <w:sz w:val="20"/>
          <w:lang w:val="en-US"/>
        </w:rPr>
        <w:t>(IPCC)</w:t>
      </w:r>
      <w:r w:rsidR="00C66ACA">
        <w:rPr>
          <w:rFonts w:ascii="Arial" w:hAnsi="Arial" w:cs="Arial"/>
          <w:i/>
          <w:iCs/>
          <w:sz w:val="20"/>
          <w:lang w:val="en-US"/>
        </w:rPr>
        <w:t xml:space="preserve"> called the </w:t>
      </w:r>
      <w:r w:rsidR="00C66ACA" w:rsidRPr="00EF484F">
        <w:rPr>
          <w:rFonts w:ascii="Arial" w:hAnsi="Arial" w:cs="Arial"/>
          <w:i/>
          <w:iCs/>
          <w:sz w:val="20"/>
          <w:lang w:val="en-US"/>
        </w:rPr>
        <w:t>2006 IPCC Guidelines for National Greenhouse Gas Inventories and ame</w:t>
      </w:r>
      <w:r w:rsidR="00C66ACA">
        <w:rPr>
          <w:rFonts w:ascii="Arial" w:hAnsi="Arial" w:cs="Arial"/>
          <w:i/>
          <w:iCs/>
          <w:sz w:val="20"/>
          <w:lang w:val="en-US"/>
        </w:rPr>
        <w:t>n</w:t>
      </w:r>
      <w:r w:rsidR="00C66ACA" w:rsidRPr="00EF484F">
        <w:rPr>
          <w:rFonts w:ascii="Arial" w:hAnsi="Arial" w:cs="Arial"/>
          <w:i/>
          <w:iCs/>
          <w:sz w:val="20"/>
          <w:lang w:val="en-US"/>
        </w:rPr>
        <w:t>dments</w:t>
      </w:r>
      <w:r w:rsidR="00C66ACA" w:rsidRPr="007E1E24">
        <w:rPr>
          <w:rFonts w:ascii="Arial" w:hAnsi="Arial" w:cs="Arial"/>
          <w:i/>
          <w:iCs/>
          <w:sz w:val="20"/>
          <w:lang w:val="en-US"/>
        </w:rPr>
        <w:t xml:space="preserve">. </w:t>
      </w:r>
      <w:r w:rsidRPr="007E1E24">
        <w:rPr>
          <w:rFonts w:ascii="Arial" w:hAnsi="Arial" w:cs="Arial"/>
          <w:i/>
          <w:iCs/>
          <w:sz w:val="20"/>
          <w:lang w:val="en-US"/>
        </w:rPr>
        <w:t xml:space="preserve">Because </w:t>
      </w:r>
      <w:r>
        <w:rPr>
          <w:rFonts w:ascii="Arial" w:hAnsi="Arial" w:cs="Arial"/>
          <w:i/>
          <w:iCs/>
          <w:sz w:val="20"/>
          <w:lang w:val="en-US"/>
        </w:rPr>
        <w:t>the </w:t>
      </w:r>
      <w:r w:rsidRPr="007E1E24">
        <w:rPr>
          <w:rFonts w:ascii="Arial" w:hAnsi="Arial" w:cs="Arial"/>
          <w:i/>
          <w:iCs/>
          <w:sz w:val="20"/>
          <w:lang w:val="en-US"/>
        </w:rPr>
        <w:t xml:space="preserve">methodology is under constant development and strict implementation of </w:t>
      </w:r>
      <w:r w:rsidR="008E0820" w:rsidRPr="007E1E24">
        <w:rPr>
          <w:rFonts w:ascii="Arial" w:hAnsi="Arial" w:cs="Arial"/>
          <w:i/>
          <w:iCs/>
          <w:sz w:val="20"/>
          <w:lang w:val="en-US"/>
        </w:rPr>
        <w:t xml:space="preserve">QA/QC </w:t>
      </w:r>
      <w:r w:rsidRPr="007E1E24">
        <w:rPr>
          <w:rFonts w:ascii="Arial" w:hAnsi="Arial" w:cs="Arial"/>
          <w:i/>
          <w:iCs/>
          <w:sz w:val="20"/>
          <w:lang w:val="en-US"/>
        </w:rPr>
        <w:t xml:space="preserve">mechanisms are being introduced retroactive recalculations are performed from time to time and therefore minor changes may occur in respective years compared to </w:t>
      </w:r>
      <w:r>
        <w:rPr>
          <w:rFonts w:ascii="Arial" w:hAnsi="Arial" w:cs="Arial"/>
          <w:i/>
          <w:iCs/>
          <w:sz w:val="20"/>
          <w:lang w:val="en-US"/>
        </w:rPr>
        <w:t>the </w:t>
      </w:r>
      <w:r w:rsidRPr="007E1E24">
        <w:rPr>
          <w:rFonts w:ascii="Arial" w:hAnsi="Arial" w:cs="Arial"/>
          <w:i/>
          <w:iCs/>
          <w:sz w:val="20"/>
          <w:lang w:val="en-US"/>
        </w:rPr>
        <w:t>previously reported data</w:t>
      </w:r>
      <w:r>
        <w:rPr>
          <w:rFonts w:ascii="Arial" w:hAnsi="Arial" w:cs="Arial"/>
          <w:i/>
          <w:iCs/>
          <w:sz w:val="20"/>
          <w:lang w:val="en-US"/>
        </w:rPr>
        <w:t>.</w:t>
      </w:r>
    </w:p>
    <w:p w14:paraId="51545674" w14:textId="77777777" w:rsidR="0024136F" w:rsidRPr="000E295E" w:rsidRDefault="00065E5E">
      <w:pPr>
        <w:spacing w:before="120"/>
        <w:ind w:firstLine="709"/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 xml:space="preserve">At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>
        <w:rPr>
          <w:rFonts w:ascii="Arial" w:hAnsi="Arial" w:cs="Arial"/>
          <w:i/>
          <w:iCs/>
          <w:sz w:val="20"/>
          <w:lang w:val="en-US"/>
        </w:rPr>
        <w:t xml:space="preserve">moment emissions </w:t>
      </w:r>
      <w:r w:rsidR="0024136F">
        <w:rPr>
          <w:rFonts w:ascii="Arial" w:hAnsi="Arial" w:cs="Arial"/>
          <w:i/>
          <w:iCs/>
          <w:sz w:val="20"/>
          <w:lang w:val="en-US"/>
        </w:rPr>
        <w:t>from international transport are n</w:t>
      </w:r>
      <w:r>
        <w:rPr>
          <w:rFonts w:ascii="Arial" w:hAnsi="Arial" w:cs="Arial"/>
          <w:i/>
          <w:iCs/>
          <w:sz w:val="20"/>
          <w:lang w:val="en-US"/>
        </w:rPr>
        <w:t>either</w:t>
      </w:r>
      <w:r w:rsidR="0024136F">
        <w:rPr>
          <w:rFonts w:ascii="Arial" w:hAnsi="Arial" w:cs="Arial"/>
          <w:i/>
          <w:iCs/>
          <w:sz w:val="20"/>
          <w:lang w:val="en-US"/>
        </w:rPr>
        <w:t xml:space="preserve"> included 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24136F">
        <w:rPr>
          <w:rFonts w:ascii="Arial" w:hAnsi="Arial" w:cs="Arial"/>
          <w:i/>
          <w:iCs/>
          <w:sz w:val="20"/>
          <w:lang w:val="en-US"/>
        </w:rPr>
        <w:t xml:space="preserve">commitments of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24136F">
        <w:rPr>
          <w:rFonts w:ascii="Arial" w:hAnsi="Arial" w:cs="Arial"/>
          <w:i/>
          <w:iCs/>
          <w:sz w:val="20"/>
          <w:lang w:val="en-US"/>
        </w:rPr>
        <w:t xml:space="preserve">UN Framework Convention on Climate Change nor </w:t>
      </w:r>
      <w:r>
        <w:rPr>
          <w:rFonts w:ascii="Arial" w:hAnsi="Arial" w:cs="Arial"/>
          <w:i/>
          <w:iCs/>
          <w:sz w:val="20"/>
          <w:lang w:val="en-US"/>
        </w:rPr>
        <w:t xml:space="preserve">in </w:t>
      </w:r>
      <w:r w:rsidR="007E1E24">
        <w:rPr>
          <w:rFonts w:ascii="Arial" w:hAnsi="Arial" w:cs="Arial"/>
          <w:i/>
          <w:iCs/>
          <w:sz w:val="20"/>
          <w:lang w:val="en-US"/>
        </w:rPr>
        <w:t>the </w:t>
      </w:r>
      <w:r w:rsidR="0024136F">
        <w:rPr>
          <w:rFonts w:ascii="Arial" w:hAnsi="Arial" w:cs="Arial"/>
          <w:i/>
          <w:iCs/>
          <w:sz w:val="20"/>
          <w:lang w:val="en-US"/>
        </w:rPr>
        <w:t xml:space="preserve">Kyoto </w:t>
      </w:r>
      <w:r w:rsidR="0024136F" w:rsidRPr="000E295E">
        <w:rPr>
          <w:rFonts w:ascii="Arial" w:hAnsi="Arial" w:cs="Arial"/>
          <w:i/>
          <w:iCs/>
          <w:sz w:val="20"/>
          <w:lang w:val="en-US"/>
        </w:rPr>
        <w:t xml:space="preserve">Protocol. They are therefore not </w:t>
      </w:r>
      <w:r w:rsidRPr="000E295E">
        <w:rPr>
          <w:rFonts w:ascii="Arial" w:hAnsi="Arial" w:cs="Arial"/>
          <w:i/>
          <w:iCs/>
          <w:sz w:val="20"/>
          <w:lang w:val="en-US"/>
        </w:rPr>
        <w:t xml:space="preserve">involved </w:t>
      </w:r>
      <w:r w:rsidR="0024136F" w:rsidRPr="000E295E">
        <w:rPr>
          <w:rFonts w:ascii="Arial" w:hAnsi="Arial" w:cs="Arial"/>
          <w:i/>
          <w:iCs/>
          <w:sz w:val="20"/>
          <w:lang w:val="en-US"/>
        </w:rPr>
        <w:t xml:space="preserve">in </w:t>
      </w:r>
      <w:r w:rsidR="007E1E24" w:rsidRPr="000E295E">
        <w:rPr>
          <w:rFonts w:ascii="Arial" w:hAnsi="Arial" w:cs="Arial"/>
          <w:i/>
          <w:iCs/>
          <w:sz w:val="20"/>
          <w:lang w:val="en-US"/>
        </w:rPr>
        <w:t>the </w:t>
      </w:r>
      <w:r w:rsidR="0024136F" w:rsidRPr="000E295E">
        <w:rPr>
          <w:rFonts w:ascii="Arial" w:hAnsi="Arial" w:cs="Arial"/>
          <w:i/>
          <w:iCs/>
          <w:sz w:val="20"/>
          <w:lang w:val="en-US"/>
        </w:rPr>
        <w:t xml:space="preserve">total national emissions and </w:t>
      </w:r>
      <w:r w:rsidRPr="000E295E">
        <w:rPr>
          <w:rFonts w:ascii="Arial" w:hAnsi="Arial" w:cs="Arial"/>
          <w:i/>
          <w:iCs/>
          <w:sz w:val="20"/>
          <w:lang w:val="en-US"/>
        </w:rPr>
        <w:t xml:space="preserve">are </w:t>
      </w:r>
      <w:r w:rsidR="0024136F" w:rsidRPr="000E295E">
        <w:rPr>
          <w:rFonts w:ascii="Arial" w:hAnsi="Arial" w:cs="Arial"/>
          <w:i/>
          <w:iCs/>
          <w:sz w:val="20"/>
          <w:lang w:val="en-US"/>
        </w:rPr>
        <w:t>reported as</w:t>
      </w:r>
      <w:r w:rsidR="007E1E24" w:rsidRPr="000E295E">
        <w:rPr>
          <w:rFonts w:ascii="Arial" w:hAnsi="Arial" w:cs="Arial"/>
          <w:i/>
          <w:iCs/>
          <w:sz w:val="20"/>
          <w:lang w:val="en-US"/>
        </w:rPr>
        <w:t xml:space="preserve"> a </w:t>
      </w:r>
      <w:r w:rsidR="0024136F" w:rsidRPr="000E295E">
        <w:rPr>
          <w:rFonts w:ascii="Arial" w:hAnsi="Arial" w:cs="Arial"/>
          <w:i/>
          <w:iCs/>
          <w:sz w:val="20"/>
          <w:lang w:val="en-US"/>
        </w:rPr>
        <w:t>separate item.</w:t>
      </w:r>
    </w:p>
    <w:p w14:paraId="3BFB7477" w14:textId="77777777" w:rsidR="0024136F" w:rsidRDefault="0024136F">
      <w:pPr>
        <w:spacing w:before="120"/>
        <w:ind w:firstLine="709"/>
        <w:jc w:val="both"/>
        <w:rPr>
          <w:rFonts w:ascii="Arial" w:hAnsi="Arial" w:cs="Arial"/>
          <w:i/>
          <w:iCs/>
          <w:sz w:val="20"/>
          <w:lang w:val="en-US"/>
        </w:rPr>
      </w:pPr>
      <w:r w:rsidRPr="000E295E">
        <w:rPr>
          <w:rFonts w:ascii="Arial" w:hAnsi="Arial" w:cs="Arial"/>
          <w:i/>
          <w:iCs/>
          <w:sz w:val="20"/>
          <w:lang w:val="en-US"/>
        </w:rPr>
        <w:t xml:space="preserve">Emissions in </w:t>
      </w:r>
      <w:r w:rsidR="007E1E24" w:rsidRPr="000E295E">
        <w:rPr>
          <w:rFonts w:ascii="Arial" w:hAnsi="Arial" w:cs="Arial"/>
          <w:i/>
          <w:iCs/>
          <w:sz w:val="20"/>
          <w:lang w:val="en-US"/>
        </w:rPr>
        <w:t>the </w:t>
      </w:r>
      <w:r w:rsidR="00065E5E" w:rsidRPr="000E295E">
        <w:rPr>
          <w:rFonts w:ascii="Arial" w:hAnsi="Arial" w:cs="Arial"/>
          <w:i/>
          <w:iCs/>
          <w:sz w:val="20"/>
          <w:lang w:val="en-US"/>
        </w:rPr>
        <w:t xml:space="preserve">Table </w:t>
      </w:r>
      <w:r w:rsidRPr="000E295E">
        <w:rPr>
          <w:rFonts w:ascii="Arial" w:hAnsi="Arial" w:cs="Arial"/>
          <w:i/>
          <w:iCs/>
          <w:sz w:val="20"/>
          <w:lang w:val="en-US"/>
        </w:rPr>
        <w:t xml:space="preserve">are expressed in </w:t>
      </w:r>
      <w:r w:rsidR="007E1E24" w:rsidRPr="000E295E">
        <w:rPr>
          <w:rFonts w:ascii="Arial" w:hAnsi="Arial" w:cs="Arial"/>
          <w:i/>
          <w:iCs/>
          <w:sz w:val="20"/>
          <w:lang w:val="en-US"/>
        </w:rPr>
        <w:t>the </w:t>
      </w:r>
      <w:r w:rsidRPr="000E295E">
        <w:rPr>
          <w:rFonts w:ascii="Arial" w:hAnsi="Arial" w:cs="Arial"/>
          <w:i/>
          <w:iCs/>
          <w:sz w:val="20"/>
          <w:lang w:val="en-US"/>
        </w:rPr>
        <w:t>CO</w:t>
      </w:r>
      <w:r w:rsidRPr="000E295E">
        <w:rPr>
          <w:rFonts w:ascii="Arial" w:hAnsi="Arial" w:cs="Arial"/>
          <w:i/>
          <w:iCs/>
          <w:sz w:val="20"/>
          <w:vertAlign w:val="subscript"/>
          <w:lang w:val="en-US"/>
        </w:rPr>
        <w:t>2</w:t>
      </w:r>
      <w:r w:rsidRPr="000E295E">
        <w:rPr>
          <w:rFonts w:ascii="Arial" w:hAnsi="Arial" w:cs="Arial"/>
          <w:i/>
          <w:iCs/>
          <w:sz w:val="20"/>
          <w:lang w:val="en-US"/>
        </w:rPr>
        <w:t xml:space="preserve"> equivalent.</w:t>
      </w:r>
    </w:p>
    <w:p w14:paraId="38AFDAF0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lang w:val="en-US"/>
        </w:rPr>
      </w:pPr>
    </w:p>
    <w:p w14:paraId="4D6EFDA2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</w:p>
    <w:p w14:paraId="3604FE87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highlight w:val="yellow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-15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Ground</w:t>
      </w:r>
      <w:r w:rsidR="00065E5E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-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level ozone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concentrations</w:t>
      </w:r>
    </w:p>
    <w:p w14:paraId="78A5503D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maximum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ground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level ozone concentration refers to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maximum 8-hour average 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ozone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concentration measured between 09.00 and 17.00 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o’clock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79043422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ground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level ozone concentrations were measured by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UV absorbance method.</w:t>
      </w:r>
    </w:p>
    <w:p w14:paraId="315105D9" w14:textId="77777777" w:rsidR="00065E5E" w:rsidRDefault="00065E5E" w:rsidP="007E1E24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0C5A154D" w14:textId="77777777" w:rsidR="00AA0DF1" w:rsidRDefault="00AA0DF1" w:rsidP="007E1E24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6EFD8AD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</w:t>
      </w:r>
      <w:r w:rsidR="00065E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given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 </w:t>
      </w:r>
      <w:r w:rsidR="00653F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the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-6 to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-15 were provided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Czech Hydrometeorological Institute.</w:t>
      </w:r>
    </w:p>
    <w:p w14:paraId="6A585D68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5B0442A9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4D7E2C1A" w14:textId="77777777" w:rsidR="0024136F" w:rsidRDefault="0024136F" w:rsidP="0038447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lastRenderedPageBreak/>
        <w:t xml:space="preserve">Table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-16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Total ozone amounts in </w:t>
      </w:r>
      <w:r w:rsidR="007E1E24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atmosphere</w:t>
      </w:r>
    </w:p>
    <w:p w14:paraId="7C6ED20F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1D3A4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ozone concentration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measured </w:t>
      </w:r>
      <w:r w:rsidR="001D3A4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by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Dobson spectrophotometer.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principle </w:t>
      </w:r>
      <w:r w:rsidR="001D3A4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consists in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1D3A4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determination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of wavelength-selective absorption (proportional to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ozone amount) of solar radiation passing through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atmosphere. All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measurements are given in Dobson units (DU) </w:t>
      </w:r>
      <w:r w:rsidR="001D3A4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BP </w:t>
      </w:r>
      <w:r w:rsidR="001D3A4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cale. </w:t>
      </w:r>
    </w:p>
    <w:p w14:paraId="427D89E0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in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653F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were provided by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Solar and Ozone Observatory </w:t>
      </w:r>
      <w:r w:rsidR="0024136F">
        <w:rPr>
          <w:rFonts w:ascii="Arial" w:hAnsi="Arial" w:cs="Arial"/>
          <w:color w:val="auto"/>
          <w:sz w:val="20"/>
          <w:szCs w:val="17"/>
          <w:lang w:val="en-GB"/>
        </w:rPr>
        <w:t>Hradec Králové,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BB7F5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workplace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Czech Hydrometeorological Institute. </w:t>
      </w:r>
    </w:p>
    <w:p w14:paraId="651F3D1A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A77E968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65422840" w14:textId="77777777" w:rsidR="0024136F" w:rsidRDefault="0024136F" w:rsidP="00553BD4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Table</w:t>
      </w:r>
      <w:r w:rsidR="0084490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-17 to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19 </w:t>
      </w:r>
      <w:r w:rsidR="00C762CE" w:rsidRPr="001552D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</w:t>
      </w:r>
      <w:r w:rsidR="00C762CE" w:rsidRPr="001552DF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 </w:t>
      </w:r>
      <w:r w:rsidR="0047665D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generation</w:t>
      </w:r>
    </w:p>
    <w:p w14:paraId="360F07A0" w14:textId="023A0A4F" w:rsidR="00221F90" w:rsidRPr="0038447D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eastAsia="Times New Roman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F6279" w:rsidRPr="0038447D">
        <w:rPr>
          <w:rFonts w:ascii="Arial" w:eastAsia="Times New Roman" w:hAnsi="Arial" w:cs="Arial"/>
          <w:i/>
          <w:iCs/>
          <w:color w:val="auto"/>
          <w:sz w:val="20"/>
          <w:szCs w:val="17"/>
          <w:lang w:val="en-GB"/>
        </w:rPr>
        <w:t xml:space="preserve">means any substance or object which the holder discards or intends or is required to discard. </w:t>
      </w:r>
    </w:p>
    <w:p w14:paraId="79A45FEF" w14:textId="77777777" w:rsidR="00D22566" w:rsidRPr="0038447D" w:rsidRDefault="0024136F" w:rsidP="00A57D47">
      <w:pPr>
        <w:spacing w:before="120"/>
        <w:ind w:firstLine="709"/>
        <w:jc w:val="both"/>
        <w:rPr>
          <w:rFonts w:ascii="Arial" w:hAnsi="Arial" w:cs="Arial"/>
          <w:i/>
          <w:iCs/>
          <w:sz w:val="20"/>
          <w:szCs w:val="17"/>
        </w:rPr>
      </w:pPr>
      <w:r>
        <w:rPr>
          <w:rFonts w:ascii="Arial" w:hAnsi="Arial" w:cs="Arial"/>
          <w:b/>
          <w:bCs/>
          <w:i/>
          <w:iCs/>
          <w:sz w:val="20"/>
          <w:szCs w:val="17"/>
        </w:rPr>
        <w:t>Hazardous waste</w:t>
      </w:r>
      <w:r>
        <w:rPr>
          <w:rFonts w:ascii="Arial" w:hAnsi="Arial" w:cs="Arial"/>
          <w:i/>
          <w:iCs/>
          <w:sz w:val="20"/>
          <w:szCs w:val="17"/>
        </w:rPr>
        <w:t xml:space="preserve"> is waste </w:t>
      </w:r>
      <w:r w:rsidR="00FB1C90">
        <w:rPr>
          <w:rFonts w:ascii="Arial" w:hAnsi="Arial" w:cs="Arial"/>
          <w:i/>
          <w:iCs/>
          <w:sz w:val="20"/>
          <w:szCs w:val="17"/>
        </w:rPr>
        <w:t>exhibiting one or more ha</w:t>
      </w:r>
      <w:r w:rsidR="00553BD4">
        <w:rPr>
          <w:rFonts w:ascii="Arial" w:hAnsi="Arial" w:cs="Arial"/>
          <w:i/>
          <w:iCs/>
          <w:sz w:val="20"/>
          <w:szCs w:val="17"/>
        </w:rPr>
        <w:t xml:space="preserve">zardous properties given in </w:t>
      </w:r>
      <w:r w:rsidR="00221F90">
        <w:rPr>
          <w:rFonts w:ascii="Arial" w:hAnsi="Arial" w:cs="Arial"/>
          <w:i/>
          <w:iCs/>
          <w:sz w:val="20"/>
          <w:szCs w:val="17"/>
        </w:rPr>
        <w:t xml:space="preserve">the </w:t>
      </w:r>
      <w:r w:rsidR="00221F90" w:rsidRPr="00221F90">
        <w:rPr>
          <w:rFonts w:ascii="Arial" w:hAnsi="Arial" w:cs="Arial"/>
          <w:i/>
          <w:iCs/>
          <w:sz w:val="20"/>
          <w:szCs w:val="17"/>
        </w:rPr>
        <w:t xml:space="preserve">Commission Regulation </w:t>
      </w:r>
      <w:r w:rsidR="002F6279" w:rsidRPr="0038447D">
        <w:rPr>
          <w:rFonts w:ascii="Arial" w:hAnsi="Arial" w:cs="Arial"/>
          <w:i/>
          <w:iCs/>
          <w:sz w:val="20"/>
          <w:szCs w:val="17"/>
        </w:rPr>
        <w:t>(EU) No 1357/2014 of 18 December 2014 replacing Annex III to Directive 2008/98/EC of the European Parliament and of the Council on waste and repealing certain Directives</w:t>
      </w:r>
      <w:r w:rsidR="00221F90">
        <w:rPr>
          <w:rFonts w:ascii="Arial" w:hAnsi="Arial" w:cs="Arial"/>
          <w:i/>
          <w:iCs/>
          <w:sz w:val="20"/>
          <w:szCs w:val="17"/>
        </w:rPr>
        <w:t>.</w:t>
      </w:r>
      <w:r w:rsidR="002F6279" w:rsidRPr="0038447D">
        <w:rPr>
          <w:rFonts w:ascii="Arial" w:hAnsi="Arial" w:cs="Arial"/>
          <w:i/>
          <w:iCs/>
          <w:sz w:val="20"/>
          <w:szCs w:val="17"/>
        </w:rPr>
        <w:t xml:space="preserve"> </w:t>
      </w:r>
    </w:p>
    <w:p w14:paraId="78DBD875" w14:textId="43F058E0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 management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refers to </w:t>
      </w:r>
      <w:r w:rsidR="00282A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collection, transport, use, and disposal of waste, including supervis</w:t>
      </w:r>
      <w:r w:rsidR="00D136A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</w:t>
      </w:r>
      <w:r w:rsidR="00282A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on over these activities and follow-up care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disposal </w:t>
      </w:r>
      <w:r w:rsidR="00282A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sites and including activities carried out by a trader or agent. </w:t>
      </w:r>
      <w:r w:rsidR="0081598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Operations</w:t>
      </w:r>
      <w:r w:rsidR="00C762C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waste management are </w:t>
      </w:r>
      <w:r w:rsidR="00C762C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sub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divided</w:t>
      </w:r>
      <w:r w:rsidR="00282A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according to the </w:t>
      </w:r>
      <w:r w:rsidR="00221F9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Annex II of the </w:t>
      </w:r>
      <w:r w:rsidR="00781E52" w:rsidRPr="00781E5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Regulation (EC) No 2150/2002 of the European Parliament and of the Council of 25 November 2002 on waste statistics</w:t>
      </w:r>
      <w:r w:rsidR="00D136A7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, as amended,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into </w:t>
      </w:r>
      <w:r w:rsidR="002F6279" w:rsidRPr="0038447D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recovery operations</w:t>
      </w:r>
      <w:r w:rsidR="00221F9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</w:t>
      </w:r>
      <w:r w:rsidR="002F6279" w:rsidRPr="0038447D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disposal operations</w:t>
      </w:r>
      <w:r w:rsidR="00432C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.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</w:p>
    <w:p w14:paraId="7E589074" w14:textId="77777777" w:rsidR="00320F8A" w:rsidRDefault="00C94EF0" w:rsidP="00980A8B">
      <w:pPr>
        <w:pStyle w:val="doc-ti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sz w:val="20"/>
          <w:szCs w:val="17"/>
          <w:lang w:val="en-GB"/>
        </w:rPr>
      </w:pPr>
      <w:r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According to the </w:t>
      </w:r>
      <w:r w:rsidR="00BE48B3"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Commission Decision </w:t>
      </w:r>
      <w:r w:rsidR="00320F8A" w:rsidRPr="00CB3304">
        <w:rPr>
          <w:rFonts w:ascii="Arial" w:hAnsi="Arial" w:cs="Arial"/>
          <w:i/>
          <w:iCs/>
          <w:sz w:val="20"/>
          <w:szCs w:val="20"/>
          <w:lang w:val="en-GB"/>
        </w:rPr>
        <w:t>of 18</w:t>
      </w:r>
      <w:r w:rsidR="00CB3304" w:rsidRPr="00CB3304">
        <w:rPr>
          <w:rFonts w:ascii="Arial" w:hAnsi="Arial" w:cs="Arial"/>
          <w:i/>
          <w:iCs/>
          <w:sz w:val="20"/>
          <w:szCs w:val="20"/>
          <w:lang w:val="en-GB"/>
        </w:rPr>
        <w:t> </w:t>
      </w:r>
      <w:r w:rsidR="00320F8A" w:rsidRPr="00CB3304">
        <w:rPr>
          <w:rFonts w:ascii="Arial" w:hAnsi="Arial" w:cs="Arial"/>
          <w:i/>
          <w:iCs/>
          <w:sz w:val="20"/>
          <w:szCs w:val="20"/>
          <w:lang w:val="en-GB"/>
        </w:rPr>
        <w:t>November 2011</w:t>
      </w:r>
      <w:r w:rsidR="00BE48B3"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20F8A" w:rsidRPr="00CB3304">
        <w:rPr>
          <w:rFonts w:ascii="Arial" w:hAnsi="Arial" w:cs="Arial"/>
          <w:i/>
          <w:iCs/>
          <w:sz w:val="20"/>
          <w:szCs w:val="20"/>
          <w:lang w:val="en-GB"/>
        </w:rPr>
        <w:t>establishing rules and calculation methods for verifying compliance with the targets set in Article 11(2) of Directive 2008/98/EC of the European Parliament and of the Council</w:t>
      </w:r>
      <w:r w:rsidR="00BE48B3"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820E5" w:rsidRPr="00CB3304">
        <w:rPr>
          <w:rFonts w:ascii="Arial" w:hAnsi="Arial" w:cs="Arial"/>
          <w:i/>
          <w:iCs/>
          <w:sz w:val="20"/>
          <w:szCs w:val="20"/>
          <w:lang w:val="en-GB"/>
        </w:rPr>
        <w:t>(</w:t>
      </w:r>
      <w:r w:rsidRPr="00CB3304">
        <w:rPr>
          <w:rFonts w:ascii="Arial" w:hAnsi="Arial" w:cs="Arial"/>
          <w:i/>
          <w:iCs/>
          <w:sz w:val="20"/>
          <w:szCs w:val="20"/>
          <w:lang w:val="en-GB"/>
        </w:rPr>
        <w:t>2011/753/EU</w:t>
      </w:r>
      <w:r w:rsidR="007820E5" w:rsidRPr="00CB3304"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Pr="00CB3304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r w:rsidRPr="00CB3304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municipal waste</w:t>
      </w:r>
      <w:r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 shall mean household waste and similar waste. Household waste </w:t>
      </w:r>
      <w:r w:rsidR="00BE48B3" w:rsidRPr="00CB3304">
        <w:rPr>
          <w:rFonts w:ascii="Arial" w:hAnsi="Arial" w:cs="Arial"/>
          <w:i/>
          <w:iCs/>
          <w:sz w:val="20"/>
          <w:szCs w:val="20"/>
          <w:lang w:val="en-GB"/>
        </w:rPr>
        <w:t>shall mean</w:t>
      </w:r>
      <w:r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 waste generated by households</w:t>
      </w:r>
      <w:r w:rsidR="00BE48B3" w:rsidRPr="00CB3304">
        <w:rPr>
          <w:rFonts w:ascii="Arial" w:hAnsi="Arial" w:cs="Arial"/>
          <w:i/>
          <w:iCs/>
          <w:sz w:val="20"/>
          <w:szCs w:val="20"/>
          <w:lang w:val="en-GB"/>
        </w:rPr>
        <w:t>. S</w:t>
      </w:r>
      <w:r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imilar waste </w:t>
      </w:r>
      <w:r w:rsidR="00BE48B3" w:rsidRPr="00CB3304">
        <w:rPr>
          <w:rFonts w:ascii="Arial" w:hAnsi="Arial" w:cs="Arial"/>
          <w:i/>
          <w:iCs/>
          <w:sz w:val="20"/>
          <w:szCs w:val="20"/>
          <w:lang w:val="en-GB"/>
        </w:rPr>
        <w:t xml:space="preserve">shall </w:t>
      </w:r>
      <w:r w:rsidRPr="00CB3304">
        <w:rPr>
          <w:rFonts w:ascii="Arial" w:hAnsi="Arial" w:cs="Arial"/>
          <w:i/>
          <w:iCs/>
          <w:sz w:val="20"/>
          <w:szCs w:val="20"/>
          <w:lang w:val="en-GB"/>
        </w:rPr>
        <w:t>mean waste in nature and composition comparable to households waste, excluding production waste and waste from agriculture and forestry.</w:t>
      </w:r>
    </w:p>
    <w:p w14:paraId="26AA9AF8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The </w:t>
      </w:r>
      <w:r w:rsidR="00AA0DF1" w:rsidRPr="00AA0DF1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standard</w:t>
      </w:r>
      <w:r w:rsidR="00A2724E" w:rsidRPr="00AA0DF1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collection </w:t>
      </w:r>
      <w:r w:rsidR="00A2724E" w:rsidRPr="00A2724E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shall mean</w:t>
      </w:r>
      <w:r w:rsidR="00A2724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collection of mixed waste from dustbins, containers</w:t>
      </w:r>
      <w:r w:rsidR="00A2724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or </w:t>
      </w:r>
      <w:r w:rsidR="00A2724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bags.</w:t>
      </w:r>
      <w:r w:rsidR="00383A2B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</w:p>
    <w:p w14:paraId="7A07D410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The </w:t>
      </w:r>
      <w:r w:rsidR="00A2724E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bulky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collection </w:t>
      </w:r>
      <w:r w:rsidR="00A2724E" w:rsidRPr="00A2724E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 xml:space="preserve">shall mean </w:t>
      </w: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collection of waste</w:t>
      </w:r>
      <w:r w:rsidR="00A2724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which due to its dimensions cannot fit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dustbins, containers</w:t>
      </w:r>
      <w:r w:rsidR="00A2724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or bags. </w:t>
      </w:r>
    </w:p>
    <w:p w14:paraId="195F5DF4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AA42218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05BCE55D" w14:textId="77777777" w:rsidR="0024136F" w:rsidRDefault="0024136F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20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Pollutants discharged into watercourses and accidents on water sources</w:t>
      </w:r>
    </w:p>
    <w:p w14:paraId="3AB7D0F7" w14:textId="77777777" w:rsidR="0024136F" w:rsidRDefault="00646478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Quantities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pollutants discharged into watercourses are given in tonnes per year, separately for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respective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pollutants defined as follows: </w:t>
      </w:r>
    </w:p>
    <w:p w14:paraId="38D865B4" w14:textId="77777777" w:rsidR="0024136F" w:rsidRDefault="0024136F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 w:rsidR="00646478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insoluble matter (IM)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substances determined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water </w:t>
      </w:r>
      <w:r w:rsidR="0064647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filtration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drying </w:t>
      </w:r>
      <w:r w:rsidR="0064647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64647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filter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residue to constant weight at 105</w:t>
      </w:r>
      <w:r w:rsidR="00A5537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°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C;</w:t>
      </w:r>
    </w:p>
    <w:p w14:paraId="60C2794A" w14:textId="77777777" w:rsidR="0024136F" w:rsidRDefault="0024136F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dissolved inorganic salts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are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substances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which remain 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filtrate of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water sample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after 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its 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evaporation, drying, and calcination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(at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600</w:t>
      </w:r>
      <w:r w:rsidR="00A5537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°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C) to constant weight; </w:t>
      </w:r>
    </w:p>
    <w:p w14:paraId="1FB3EFFD" w14:textId="77777777" w:rsidR="0024136F" w:rsidRDefault="0024136F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bio</w:t>
      </w:r>
      <w:r w:rsidR="000A1B7B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chemical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oxygen demand (BOD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vertAlign w:val="subscript"/>
          <w:lang w:val="en-GB"/>
        </w:rPr>
        <w:t>5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)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amount of oxygen consumed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aerobic biochemical decomposition of organic matter contained in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water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for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432FD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five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days under standard conditions; </w:t>
      </w:r>
    </w:p>
    <w:p w14:paraId="550A8A29" w14:textId="77777777" w:rsidR="0024136F" w:rsidRDefault="0024136F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– 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chemical oxygen demand (COD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vertAlign w:val="subscript"/>
          <w:lang w:val="en-GB"/>
        </w:rPr>
        <w:t>Cr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)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A14CB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oxygen consumption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determined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dichromate method.</w:t>
      </w:r>
    </w:p>
    <w:p w14:paraId="10632B27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on water source accidents were provided by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Czech Environmental Inspectorate.</w:t>
      </w:r>
    </w:p>
    <w:p w14:paraId="477B2BFE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5B538B49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2F134B75" w14:textId="77777777" w:rsidR="0024136F" w:rsidRDefault="0024136F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21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Watercourses and surface water abstraction under </w:t>
      </w:r>
      <w:r w:rsidR="00A14CB9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administration of </w:t>
      </w:r>
      <w:r w:rsidR="00AA0DF1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state-owned enterprises of </w:t>
      </w:r>
      <w:r w:rsidR="00AA0DF1" w:rsidRPr="00AA0DF1">
        <w:rPr>
          <w:rFonts w:ascii="Arial" w:hAnsi="Arial" w:cs="Arial"/>
          <w:b/>
          <w:bCs/>
          <w:iCs/>
          <w:color w:val="auto"/>
          <w:sz w:val="20"/>
          <w:szCs w:val="17"/>
          <w:lang w:val="en-GB"/>
        </w:rPr>
        <w:t>Povodí</w:t>
      </w:r>
    </w:p>
    <w:p w14:paraId="12429C7A" w14:textId="5BA7FA11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decisive part of watercourses is under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administration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of water management organizations</w:t>
      </w:r>
      <w:r w:rsidR="00221F9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which are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45543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state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-owned enterprises 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called </w:t>
      </w:r>
      <w:r w:rsidR="0024136F">
        <w:rPr>
          <w:rFonts w:ascii="Arial" w:hAnsi="Arial" w:cs="Arial"/>
          <w:color w:val="auto"/>
          <w:sz w:val="20"/>
          <w:szCs w:val="17"/>
          <w:lang w:val="en-GB"/>
        </w:rPr>
        <w:t>Povodí</w:t>
      </w:r>
      <w:r w:rsidR="00B27616">
        <w:rPr>
          <w:rFonts w:ascii="Arial" w:hAnsi="Arial" w:cs="Arial"/>
          <w:color w:val="auto"/>
          <w:sz w:val="20"/>
          <w:szCs w:val="17"/>
          <w:lang w:val="en-GB"/>
        </w:rPr>
        <w:t> </w:t>
      </w:r>
      <w:r w:rsidR="00287D99">
        <w:rPr>
          <w:rFonts w:ascii="Arial" w:hAnsi="Arial" w:cs="Arial"/>
          <w:color w:val="auto"/>
          <w:sz w:val="20"/>
          <w:szCs w:val="17"/>
          <w:lang w:val="en-GB"/>
        </w:rPr>
        <w:t>s.</w:t>
      </w:r>
      <w:r w:rsidR="00B204E9">
        <w:rPr>
          <w:rFonts w:ascii="Arial" w:hAnsi="Arial" w:cs="Arial"/>
          <w:color w:val="auto"/>
          <w:sz w:val="20"/>
          <w:szCs w:val="17"/>
          <w:lang w:val="en-GB"/>
        </w:rPr>
        <w:t> </w:t>
      </w:r>
      <w:r w:rsidR="00287D99">
        <w:rPr>
          <w:rFonts w:ascii="Arial" w:hAnsi="Arial" w:cs="Arial"/>
          <w:color w:val="auto"/>
          <w:sz w:val="20"/>
          <w:szCs w:val="17"/>
          <w:lang w:val="en-GB"/>
        </w:rPr>
        <w:t>p.</w:t>
      </w:r>
      <w:r w:rsidR="005D3342">
        <w:rPr>
          <w:rFonts w:ascii="Arial" w:hAnsi="Arial" w:cs="Arial"/>
          <w:color w:val="auto"/>
          <w:sz w:val="20"/>
          <w:szCs w:val="17"/>
          <w:lang w:val="en-GB"/>
        </w:rPr>
        <w:t xml:space="preserve"> </w:t>
      </w:r>
      <w:r w:rsidR="0014158C" w:rsidRPr="00511C4C">
        <w:rPr>
          <w:rFonts w:ascii="Arial" w:hAnsi="Arial" w:cs="Arial"/>
          <w:i/>
          <w:color w:val="auto"/>
          <w:sz w:val="20"/>
          <w:szCs w:val="17"/>
          <w:lang w:val="en-GB"/>
        </w:rPr>
        <w:t>(Catchment</w:t>
      </w:r>
      <w:r w:rsidR="00287D99">
        <w:rPr>
          <w:rFonts w:ascii="Arial" w:hAnsi="Arial" w:cs="Arial"/>
          <w:i/>
          <w:color w:val="auto"/>
          <w:sz w:val="20"/>
          <w:szCs w:val="17"/>
          <w:lang w:val="en-GB"/>
        </w:rPr>
        <w:t>, s</w:t>
      </w:r>
      <w:r w:rsidR="0045543E">
        <w:rPr>
          <w:rFonts w:ascii="Arial" w:hAnsi="Arial" w:cs="Arial"/>
          <w:i/>
          <w:color w:val="auto"/>
          <w:sz w:val="20"/>
          <w:szCs w:val="17"/>
          <w:lang w:val="en-GB"/>
        </w:rPr>
        <w:t>.</w:t>
      </w:r>
      <w:r w:rsidR="00287D99">
        <w:rPr>
          <w:rFonts w:ascii="Arial" w:hAnsi="Arial" w:cs="Arial"/>
          <w:i/>
          <w:color w:val="auto"/>
          <w:sz w:val="20"/>
          <w:szCs w:val="17"/>
          <w:lang w:val="en-GB"/>
        </w:rPr>
        <w:t>o</w:t>
      </w:r>
      <w:r w:rsidR="0045543E">
        <w:rPr>
          <w:rFonts w:ascii="Arial" w:hAnsi="Arial" w:cs="Arial"/>
          <w:i/>
          <w:color w:val="auto"/>
          <w:sz w:val="20"/>
          <w:szCs w:val="17"/>
          <w:lang w:val="en-GB"/>
        </w:rPr>
        <w:t>.</w:t>
      </w:r>
      <w:r w:rsidR="00287D99">
        <w:rPr>
          <w:rFonts w:ascii="Arial" w:hAnsi="Arial" w:cs="Arial"/>
          <w:i/>
          <w:color w:val="auto"/>
          <w:sz w:val="20"/>
          <w:szCs w:val="17"/>
          <w:lang w:val="en-GB"/>
        </w:rPr>
        <w:t>e</w:t>
      </w:r>
      <w:r w:rsidR="0045543E">
        <w:rPr>
          <w:rFonts w:ascii="Arial" w:hAnsi="Arial" w:cs="Arial"/>
          <w:i/>
          <w:color w:val="auto"/>
          <w:sz w:val="20"/>
          <w:szCs w:val="17"/>
          <w:lang w:val="en-GB"/>
        </w:rPr>
        <w:t>.</w:t>
      </w:r>
      <w:r w:rsidR="0014158C" w:rsidRPr="00511C4C">
        <w:rPr>
          <w:rFonts w:ascii="Arial" w:hAnsi="Arial" w:cs="Arial"/>
          <w:i/>
          <w:color w:val="auto"/>
          <w:sz w:val="20"/>
          <w:szCs w:val="17"/>
          <w:lang w:val="en-GB"/>
        </w:rPr>
        <w:t>)</w:t>
      </w:r>
      <w:r w:rsidR="0024136F" w:rsidRPr="00511C4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.</w:t>
      </w:r>
      <w:r w:rsidR="00B2761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</w:p>
    <w:p w14:paraId="2079A70D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lastRenderedPageBreak/>
        <w:t>The </w:t>
      </w:r>
      <w:r w:rsidR="0014158C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length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of watercourses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(km) includes </w:t>
      </w:r>
      <w:r w:rsidR="00983CD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canalised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partially </w:t>
      </w:r>
      <w:r w:rsidR="00983CD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canalised,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and non-</w:t>
      </w:r>
      <w:r w:rsidR="00983CD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canalised, natural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watercourses and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length of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drainage, irrigation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feeding channels</w:t>
      </w:r>
      <w:r w:rsidR="001415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is not included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760A5012" w14:textId="77777777" w:rsidR="005D01CE" w:rsidRDefault="00001E3E" w:rsidP="007C2049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Style w:val="Zdraznn"/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Since</w:t>
      </w:r>
      <w:r w:rsidRPr="007C204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2011 </w:t>
      </w:r>
      <w:r w:rsidR="00287D99" w:rsidRPr="007C2049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the</w:t>
      </w:r>
      <w:r w:rsidR="007C2049">
        <w:rPr>
          <w:rFonts w:ascii="Arial" w:hAnsi="Arial" w:cs="Arial"/>
          <w:bCs/>
          <w:i/>
          <w:iCs/>
          <w:color w:val="auto"/>
          <w:sz w:val="20"/>
          <w:szCs w:val="17"/>
          <w:lang w:val="en-GB"/>
        </w:rPr>
        <w:t> </w:t>
      </w:r>
      <w:r w:rsidR="004D0AC2" w:rsidRPr="007C2049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length of watercourses</w:t>
      </w:r>
      <w:r w:rsidR="004D0AC2" w:rsidRPr="007C204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h</w:t>
      </w:r>
      <w:r w:rsidR="004D0AC2" w:rsidRPr="007C204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been 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affected</w:t>
      </w:r>
      <w:r w:rsidR="004D0AC2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 by the transformation of the</w:t>
      </w:r>
      <w:r w:rsid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 </w:t>
      </w:r>
      <w:r w:rsidR="004D0AC2" w:rsidRPr="007C2049">
        <w:rPr>
          <w:rStyle w:val="Zdraznn"/>
          <w:rFonts w:ascii="Arial" w:hAnsi="Arial" w:cs="Arial"/>
          <w:i w:val="0"/>
          <w:color w:val="auto"/>
          <w:sz w:val="20"/>
          <w:szCs w:val="20"/>
          <w:lang w:val="en-GB"/>
        </w:rPr>
        <w:t>Zemědělská vodohospodářská správa</w:t>
      </w:r>
      <w:r w:rsidR="004D0AC2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 (Agricultural Water 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Management </w:t>
      </w:r>
      <w:r w:rsidR="004D0AC2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Administration)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,</w:t>
      </w:r>
      <w:r w:rsidR="004D0AC2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 in whi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ch </w:t>
      </w:r>
      <w:r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mostly 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companies of </w:t>
      </w:r>
      <w:r w:rsidR="00287D99" w:rsidRPr="007C2049">
        <w:rPr>
          <w:rStyle w:val="Zdraznn"/>
          <w:rFonts w:ascii="Arial" w:hAnsi="Arial" w:cs="Arial"/>
          <w:i w:val="0"/>
          <w:color w:val="auto"/>
          <w:sz w:val="20"/>
          <w:szCs w:val="20"/>
          <w:lang w:val="en-GB"/>
        </w:rPr>
        <w:t>Povodí</w:t>
      </w:r>
      <w:r w:rsidR="007C2049">
        <w:rPr>
          <w:rStyle w:val="Zdraznn"/>
          <w:rFonts w:ascii="Arial" w:hAnsi="Arial" w:cs="Arial"/>
          <w:i w:val="0"/>
          <w:color w:val="auto"/>
          <w:sz w:val="20"/>
          <w:szCs w:val="20"/>
          <w:lang w:val="en-GB"/>
        </w:rPr>
        <w:t> </w:t>
      </w:r>
      <w:r w:rsidR="00287D99" w:rsidRPr="007C2049">
        <w:rPr>
          <w:rStyle w:val="Zdraznn"/>
          <w:rFonts w:ascii="Arial" w:hAnsi="Arial" w:cs="Arial"/>
          <w:i w:val="0"/>
          <w:color w:val="auto"/>
          <w:sz w:val="20"/>
          <w:szCs w:val="20"/>
          <w:lang w:val="en-GB"/>
        </w:rPr>
        <w:t>s.</w:t>
      </w:r>
      <w:r w:rsidR="007C2049">
        <w:rPr>
          <w:rStyle w:val="Zdraznn"/>
          <w:rFonts w:ascii="Arial" w:hAnsi="Arial" w:cs="Arial"/>
          <w:i w:val="0"/>
          <w:color w:val="auto"/>
          <w:sz w:val="20"/>
          <w:szCs w:val="20"/>
          <w:lang w:val="en-GB"/>
        </w:rPr>
        <w:t> </w:t>
      </w:r>
      <w:r w:rsidR="00287D99" w:rsidRPr="007C2049">
        <w:rPr>
          <w:rStyle w:val="Zdraznn"/>
          <w:rFonts w:ascii="Arial" w:hAnsi="Arial" w:cs="Arial"/>
          <w:i w:val="0"/>
          <w:color w:val="auto"/>
          <w:sz w:val="20"/>
          <w:szCs w:val="20"/>
          <w:lang w:val="en-GB"/>
        </w:rPr>
        <w:t>p.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 were delegated to </w:t>
      </w:r>
      <w:r w:rsidR="004D0AC2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the water management of small watercourses</w:t>
      </w:r>
      <w:r w:rsidR="00287D99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.</w:t>
      </w:r>
      <w:r w:rsidR="004D0AC2" w:rsidRPr="007C2049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 </w:t>
      </w:r>
    </w:p>
    <w:p w14:paraId="04AEC525" w14:textId="77777777" w:rsidR="005D01CE" w:rsidRDefault="000E295E" w:rsidP="007C2049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Style w:val="Zdraznn"/>
          <w:rFonts w:ascii="Arial" w:hAnsi="Arial" w:cs="Arial"/>
          <w:color w:val="auto"/>
          <w:sz w:val="20"/>
          <w:szCs w:val="20"/>
          <w:lang w:val="en-GB"/>
        </w:rPr>
      </w:pPr>
      <w:r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Since </w:t>
      </w:r>
      <w:r w:rsidR="005D01CE"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>2013 the length of watercourses has been taken from the Central Registry of Watercourses, and at present classification of watercourses is under revision.</w:t>
      </w:r>
    </w:p>
    <w:p w14:paraId="3FCDC0A2" w14:textId="77777777" w:rsidR="0024136F" w:rsidRPr="000D272E" w:rsidRDefault="00FD6E1E" w:rsidP="007C2049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Style w:val="Zdraznn"/>
          <w:rFonts w:ascii="Arial" w:hAnsi="Arial" w:cs="Arial"/>
          <w:color w:val="auto"/>
          <w:sz w:val="20"/>
          <w:szCs w:val="20"/>
          <w:lang w:val="en-GB"/>
        </w:rPr>
      </w:pPr>
      <w:r>
        <w:rPr>
          <w:rStyle w:val="Zdraznn"/>
          <w:rFonts w:ascii="Arial" w:hAnsi="Arial" w:cs="Arial"/>
          <w:color w:val="auto"/>
          <w:sz w:val="20"/>
          <w:szCs w:val="20"/>
          <w:lang w:val="en-GB"/>
        </w:rPr>
        <w:t xml:space="preserve">Therefore results may not be comparable in full to those of previous years. </w:t>
      </w:r>
    </w:p>
    <w:p w14:paraId="5363D66D" w14:textId="77777777" w:rsidR="00D136A7" w:rsidRPr="000D272E" w:rsidRDefault="00D136A7" w:rsidP="0083078E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3825E9B1" w14:textId="77777777" w:rsidR="00D136A7" w:rsidRPr="000D272E" w:rsidRDefault="00D136A7" w:rsidP="0083078E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2182F9D4" w14:textId="77777777" w:rsidR="0024136F" w:rsidRDefault="00FD6E1E" w:rsidP="0083078E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22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to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27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Water supply systems and sewerage systems, and wastewater treatment plants (WWTPs</w:t>
      </w:r>
      <w:r w:rsidR="0014158C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) for public needs;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</w:t>
      </w:r>
      <w:r w:rsidR="0014158C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sludge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production </w:t>
      </w:r>
      <w:r w:rsidR="0014158C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in WWTPs</w:t>
      </w:r>
    </w:p>
    <w:p w14:paraId="38B6FB47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industry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of water</w:t>
      </w:r>
      <w:r w:rsidR="008D383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511C4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supply systems</w:t>
      </w:r>
      <w:r w:rsidR="008D383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sewerage systems </w:t>
      </w:r>
      <w:r w:rsidR="008D383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involves 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water management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activities related to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operation and management of 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water </w:t>
      </w:r>
      <w:r w:rsidR="00C64FD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supply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sewerage systems,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i.e.</w:t>
      </w:r>
      <w:r w:rsidR="00DA5A7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production and distribution of good quality drinking water and 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wastewater collection and treatment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5ED2B4A6" w14:textId="77777777" w:rsidR="0024136F" w:rsidRPr="000E295E" w:rsidRDefault="00E30622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Water </w:t>
      </w:r>
      <w:r w:rsidR="00511C4C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supply systems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and sewerage systems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for </w:t>
      </w:r>
      <w:r w:rsidRPr="000E295E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public needs</w:t>
      </w:r>
      <w:r w:rsidR="0024136F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are </w:t>
      </w:r>
      <w:r w:rsidR="0024136F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water</w:t>
      </w:r>
      <w:r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C64FD9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supply</w:t>
      </w:r>
      <w:r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sewerage systems established and </w:t>
      </w:r>
      <w:r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operated </w:t>
      </w:r>
      <w:r w:rsidR="0024136F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 </w:t>
      </w:r>
      <w:r w:rsidR="007E1E24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 w:rsidRPr="000E295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public interest.</w:t>
      </w:r>
    </w:p>
    <w:p w14:paraId="546926AF" w14:textId="5631425B" w:rsidR="00B03940" w:rsidRPr="000E295E" w:rsidRDefault="000E295E" w:rsidP="00B039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Since 2014, the </w:t>
      </w:r>
      <w:r w:rsidR="00B03940" w:rsidRPr="000E295E">
        <w:rPr>
          <w:rFonts w:ascii="Arial" w:hAnsi="Arial" w:cs="Arial"/>
          <w:bCs/>
          <w:i/>
          <w:sz w:val="20"/>
        </w:rPr>
        <w:t xml:space="preserve">volume of water invoiced to households </w:t>
      </w:r>
      <w:r w:rsidR="00031814" w:rsidRPr="000E295E">
        <w:rPr>
          <w:rFonts w:ascii="Arial" w:hAnsi="Arial" w:cs="Arial"/>
          <w:bCs/>
          <w:i/>
          <w:sz w:val="20"/>
        </w:rPr>
        <w:t>has been</w:t>
      </w:r>
      <w:r w:rsidR="00B03940" w:rsidRPr="000E295E">
        <w:rPr>
          <w:rFonts w:ascii="Arial" w:hAnsi="Arial" w:cs="Arial"/>
          <w:bCs/>
          <w:i/>
          <w:sz w:val="20"/>
        </w:rPr>
        <w:t xml:space="preserve"> influenced </w:t>
      </w:r>
      <w:r>
        <w:rPr>
          <w:rFonts w:ascii="Arial" w:hAnsi="Arial" w:cs="Arial"/>
          <w:bCs/>
          <w:i/>
          <w:sz w:val="20"/>
        </w:rPr>
        <w:t>by a </w:t>
      </w:r>
      <w:r w:rsidR="00B03940" w:rsidRPr="000E295E">
        <w:rPr>
          <w:rFonts w:ascii="Arial" w:hAnsi="Arial" w:cs="Arial"/>
          <w:bCs/>
          <w:i/>
          <w:sz w:val="20"/>
        </w:rPr>
        <w:t xml:space="preserve">change of </w:t>
      </w:r>
      <w:r w:rsidR="00DF069B">
        <w:rPr>
          <w:rFonts w:ascii="Arial" w:hAnsi="Arial" w:cs="Arial"/>
          <w:bCs/>
          <w:i/>
          <w:sz w:val="20"/>
        </w:rPr>
        <w:t>the Decree No</w:t>
      </w:r>
      <w:r>
        <w:rPr>
          <w:rFonts w:ascii="Arial" w:hAnsi="Arial" w:cs="Arial"/>
          <w:bCs/>
          <w:i/>
          <w:sz w:val="20"/>
        </w:rPr>
        <w:t> 428/2001 </w:t>
      </w:r>
      <w:r w:rsidR="00B03940" w:rsidRPr="000E295E">
        <w:rPr>
          <w:rFonts w:ascii="Arial" w:hAnsi="Arial" w:cs="Arial"/>
          <w:bCs/>
          <w:i/>
          <w:sz w:val="20"/>
        </w:rPr>
        <w:t xml:space="preserve">Sb, </w:t>
      </w:r>
      <w:r w:rsidR="00DF069B">
        <w:rPr>
          <w:rFonts w:ascii="Arial" w:hAnsi="Arial" w:cs="Arial"/>
          <w:bCs/>
          <w:i/>
          <w:sz w:val="20"/>
        </w:rPr>
        <w:t>implementing the Act No</w:t>
      </w:r>
      <w:r>
        <w:rPr>
          <w:rFonts w:ascii="Arial" w:hAnsi="Arial" w:cs="Arial"/>
          <w:bCs/>
          <w:i/>
          <w:sz w:val="20"/>
        </w:rPr>
        <w:t> 274/2001 </w:t>
      </w:r>
      <w:r w:rsidR="00B03940" w:rsidRPr="000E295E">
        <w:rPr>
          <w:rFonts w:ascii="Arial" w:hAnsi="Arial" w:cs="Arial"/>
          <w:bCs/>
          <w:i/>
          <w:sz w:val="20"/>
        </w:rPr>
        <w:t>Sb, on water mains and se</w:t>
      </w:r>
      <w:r>
        <w:rPr>
          <w:rFonts w:ascii="Arial" w:hAnsi="Arial" w:cs="Arial"/>
          <w:bCs/>
          <w:i/>
          <w:sz w:val="20"/>
        </w:rPr>
        <w:t>werage systems, as amended. The Decree specifies the </w:t>
      </w:r>
      <w:r w:rsidR="00B03940" w:rsidRPr="000E295E">
        <w:rPr>
          <w:rFonts w:ascii="Arial" w:hAnsi="Arial" w:cs="Arial"/>
          <w:bCs/>
          <w:i/>
          <w:sz w:val="20"/>
        </w:rPr>
        <w:t xml:space="preserve">term of water invoiced to households and related to that sewerage </w:t>
      </w:r>
      <w:r w:rsidR="00CC7251" w:rsidRPr="000E295E">
        <w:rPr>
          <w:rFonts w:ascii="Arial" w:hAnsi="Arial" w:cs="Arial"/>
          <w:bCs/>
          <w:i/>
          <w:sz w:val="20"/>
        </w:rPr>
        <w:t>waste</w:t>
      </w:r>
      <w:r w:rsidR="00B03940" w:rsidRPr="000E295E">
        <w:rPr>
          <w:rFonts w:ascii="Arial" w:hAnsi="Arial" w:cs="Arial"/>
          <w:bCs/>
          <w:i/>
          <w:sz w:val="20"/>
        </w:rPr>
        <w:t xml:space="preserve">water. </w:t>
      </w:r>
    </w:p>
    <w:p w14:paraId="60FDF45E" w14:textId="4140BEE3" w:rsidR="00B27616" w:rsidRDefault="00B03940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Style w:val="Zdraznn"/>
          <w:rFonts w:ascii="Arial" w:hAnsi="Arial" w:cs="Arial"/>
          <w:color w:val="auto"/>
          <w:sz w:val="20"/>
          <w:szCs w:val="20"/>
          <w:lang w:val="en-GB"/>
        </w:rPr>
      </w:pPr>
      <w:r w:rsidRPr="000E295E">
        <w:rPr>
          <w:rFonts w:ascii="Arial" w:hAnsi="Arial" w:cs="Arial"/>
          <w:bCs/>
          <w:i/>
          <w:color w:val="auto"/>
          <w:sz w:val="20"/>
          <w:lang w:val="en-GB"/>
        </w:rPr>
        <w:t>Since</w:t>
      </w:r>
      <w:r w:rsidR="000E295E">
        <w:rPr>
          <w:rFonts w:ascii="Arial" w:hAnsi="Arial" w:cs="Arial"/>
          <w:bCs/>
          <w:i/>
          <w:color w:val="auto"/>
          <w:sz w:val="20"/>
          <w:lang w:val="en-GB"/>
        </w:rPr>
        <w:t> </w:t>
      </w:r>
      <w:r w:rsidRPr="000E295E">
        <w:rPr>
          <w:rFonts w:ascii="Arial" w:hAnsi="Arial" w:cs="Arial"/>
          <w:bCs/>
          <w:i/>
          <w:color w:val="auto"/>
          <w:sz w:val="20"/>
          <w:lang w:val="en-GB"/>
        </w:rPr>
        <w:t xml:space="preserve">2013, </w:t>
      </w:r>
      <w:r w:rsidR="00CF77AE">
        <w:rPr>
          <w:rFonts w:ascii="Arial" w:hAnsi="Arial" w:cs="Arial"/>
          <w:i/>
          <w:color w:val="auto"/>
          <w:sz w:val="20"/>
          <w:szCs w:val="20"/>
        </w:rPr>
        <w:t>‘</w:t>
      </w:r>
      <w:r w:rsidRPr="000E295E">
        <w:rPr>
          <w:rFonts w:ascii="Arial" w:hAnsi="Arial" w:cs="Arial"/>
          <w:bCs/>
          <w:i/>
          <w:color w:val="auto"/>
          <w:sz w:val="20"/>
          <w:lang w:val="en-GB"/>
        </w:rPr>
        <w:t>wastewater discharged into public sewerage systems</w:t>
      </w:r>
      <w:r w:rsidR="00CF77AE">
        <w:rPr>
          <w:rFonts w:ascii="Arial" w:hAnsi="Arial" w:cs="Arial"/>
          <w:bCs/>
          <w:i/>
          <w:color w:val="auto"/>
          <w:sz w:val="20"/>
          <w:lang w:val="en-GB"/>
        </w:rPr>
        <w:t>’</w:t>
      </w:r>
      <w:r w:rsidR="00CF77AE" w:rsidRPr="000E295E">
        <w:rPr>
          <w:rFonts w:ascii="Arial" w:hAnsi="Arial" w:cs="Arial"/>
          <w:bCs/>
          <w:i/>
          <w:color w:val="auto"/>
          <w:sz w:val="20"/>
          <w:lang w:val="en-GB"/>
        </w:rPr>
        <w:t xml:space="preserve"> </w:t>
      </w:r>
      <w:r w:rsidRPr="000E295E">
        <w:rPr>
          <w:rFonts w:ascii="Arial" w:hAnsi="Arial" w:cs="Arial"/>
          <w:bCs/>
          <w:i/>
          <w:color w:val="auto"/>
          <w:sz w:val="20"/>
          <w:lang w:val="en-GB"/>
        </w:rPr>
        <w:t>includes</w:t>
      </w:r>
      <w:r w:rsidR="00F8243E">
        <w:rPr>
          <w:rFonts w:ascii="Arial" w:hAnsi="Arial" w:cs="Arial"/>
          <w:bCs/>
          <w:i/>
          <w:color w:val="auto"/>
          <w:sz w:val="20"/>
          <w:lang w:val="en-GB"/>
        </w:rPr>
        <w:t>,</w:t>
      </w:r>
      <w:r w:rsidRPr="000E295E">
        <w:rPr>
          <w:rFonts w:ascii="Arial" w:hAnsi="Arial" w:cs="Arial"/>
          <w:bCs/>
          <w:i/>
          <w:color w:val="auto"/>
          <w:sz w:val="20"/>
          <w:lang w:val="en-GB"/>
        </w:rPr>
        <w:t xml:space="preserve"> besides sewerage, industrial, and other wastewater</w:t>
      </w:r>
      <w:r w:rsidR="00F8243E">
        <w:rPr>
          <w:rFonts w:ascii="Arial" w:hAnsi="Arial" w:cs="Arial"/>
          <w:bCs/>
          <w:i/>
          <w:color w:val="auto"/>
          <w:sz w:val="20"/>
          <w:lang w:val="en-GB"/>
        </w:rPr>
        <w:t>,</w:t>
      </w:r>
      <w:r w:rsidRPr="000E295E">
        <w:rPr>
          <w:rFonts w:ascii="Arial" w:hAnsi="Arial" w:cs="Arial"/>
          <w:bCs/>
          <w:i/>
          <w:color w:val="auto"/>
          <w:sz w:val="20"/>
          <w:lang w:val="en-GB"/>
        </w:rPr>
        <w:t xml:space="preserve"> also levied rainwater.</w:t>
      </w:r>
    </w:p>
    <w:p w14:paraId="0994B077" w14:textId="77777777" w:rsidR="0024136F" w:rsidRDefault="00E30622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Water produced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includes both invoiced and non-invoiced water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supply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sum of these two items may differ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water production figures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amount of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water received from or supplied to other organizations.</w:t>
      </w:r>
    </w:p>
    <w:p w14:paraId="28427171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Wastewater treatment plants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(WWTPs) are 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premises and equipment serving for wastewater treatment and having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mechanical, biological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and/or other </w:t>
      </w:r>
      <w:r w:rsidR="00E3062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stage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treatment. </w:t>
      </w:r>
      <w:r w:rsidR="00A31C3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Equipment for wastewater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pre-treatment (rakes, sand traps, oil traps,</w:t>
      </w:r>
      <w:r w:rsidR="00A31C3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grit traps,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etc.), cesspools</w:t>
      </w:r>
      <w:r w:rsidR="00A31C3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sumps, and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simple facilities</w:t>
      </w:r>
      <w:r w:rsidR="00A31C3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with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 </w:t>
      </w:r>
      <w:r w:rsidR="00A31C3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mechanical functionality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which are not regularly observed and operated</w:t>
      </w:r>
      <w:r w:rsidR="00A31C3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are not considered to be wastewater treatment plants. </w:t>
      </w:r>
    </w:p>
    <w:p w14:paraId="1806B5F9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capacity of WWTPs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given as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design capacity in m</w:t>
      </w:r>
      <w:r w:rsidR="0024136F">
        <w:rPr>
          <w:rFonts w:ascii="Arial" w:hAnsi="Arial" w:cs="Arial"/>
          <w:i/>
          <w:iCs/>
          <w:color w:val="auto"/>
          <w:sz w:val="20"/>
          <w:szCs w:val="17"/>
          <w:vertAlign w:val="superscript"/>
          <w:lang w:val="en-GB"/>
        </w:rPr>
        <w:t>3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/day. Higher capacity than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design capacity is given where implemented intensification measures have been approved by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water 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management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authority.</w:t>
      </w:r>
    </w:p>
    <w:p w14:paraId="547FD498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470B9B78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235812AD" w14:textId="77777777" w:rsidR="0024136F" w:rsidRDefault="007E1E24">
      <w:pPr>
        <w:pStyle w:val="Normlnweb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listed in </w:t>
      </w:r>
      <w:r w:rsidR="00653F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the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423F96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20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to </w:t>
      </w:r>
      <w:r w:rsidR="0024136F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27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have been obtained from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processing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CZSO questionnaires filled in by watercourse management organizations and operators of water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C64FD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supply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sewerage systems. Information on water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C64FD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supply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sewerage systems has been </w:t>
      </w:r>
      <w:r w:rsidR="00D343E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based on </w:t>
      </w:r>
      <w:r w:rsidR="00F35B7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results of regular survey on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major operators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</w:t>
      </w:r>
      <w:r w:rsidR="00F35B7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sample survey </w:t>
      </w:r>
      <w:r w:rsidR="00F35B7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of a</w:t>
      </w:r>
      <w:r w:rsidR="00442BC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="00F35B7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selected set of municipalities. Then</w:t>
      </w:r>
      <w:r w:rsidR="00442BC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obtained are grossed up to regions and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whole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Czech Republic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04D146A6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6B9012F0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113369B7" w14:textId="77777777" w:rsidR="0024136F" w:rsidRDefault="0024136F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28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to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33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Investment</w:t>
      </w:r>
      <w:r w:rsidR="000D04C5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, non-investment </w:t>
      </w:r>
      <w:r w:rsidR="00E31408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expenditure</w:t>
      </w:r>
      <w:r w:rsidR="000D04C5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,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and economic benefit</w:t>
      </w:r>
      <w:r w:rsidR="00AA0DF1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 from environmental protection activities</w:t>
      </w:r>
    </w:p>
    <w:p w14:paraId="7C6B53F0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Environmental protection is divided into </w:t>
      </w:r>
      <w:r w:rsidR="00432FD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nine 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areas</w:t>
      </w:r>
      <w:r w:rsidR="00CF77A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as follows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:</w:t>
      </w:r>
    </w:p>
    <w:p w14:paraId="3C8022D0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</w:rPr>
        <w:t>Protection of ambient air and climate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includes 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modifications 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 technolog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processes to prevent pollution (air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pollution control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, 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protection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climate and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ozone layer); removal of waste gas</w:t>
      </w:r>
      <w:r w:rsidR="000D04C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vented air; removal of solid and gaseous emissions; air quality monitoring systems,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etc. </w:t>
      </w:r>
    </w:p>
    <w:p w14:paraId="1AC44C86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Wastewater management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modifications 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 technolog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processes to prevent pollution; construction of wastewater treatment plants; construction of sewerage systems connected to wastewater treatment plants; cooling water management; water quality monitoring systems,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etc. </w:t>
      </w:r>
    </w:p>
    <w:p w14:paraId="77B864AD" w14:textId="77777777" w:rsidR="0024136F" w:rsidRPr="00613F85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lastRenderedPageBreak/>
        <w:t>Waste management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modifications to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technolog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processes to prevent waste generation; facilities and equipment for waste collection, transport, </w:t>
      </w:r>
      <w:r w:rsidR="000E29A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sorting,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treatment; construction of incineration plants, recycling </w:t>
      </w:r>
      <w:r w:rsidRPr="00613F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plants, controlled landfills, and composting plants; re</w:t>
      </w:r>
      <w:r w:rsidR="000E29AD" w:rsidRPr="00613F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mediation </w:t>
      </w:r>
      <w:r w:rsidRPr="00613F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of old landfills; waste monitoring systems,</w:t>
      </w:r>
      <w:r w:rsidR="00553BD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 w:rsidRPr="00613F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etc.</w:t>
      </w:r>
    </w:p>
    <w:p w14:paraId="77FB434B" w14:textId="6BE7D1CB" w:rsidR="0024136F" w:rsidRDefault="00E75897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i/>
          <w:iCs/>
          <w:color w:val="auto"/>
          <w:sz w:val="20"/>
          <w:szCs w:val="20"/>
          <w:lang w:val="en-GB"/>
        </w:rPr>
        <w:t xml:space="preserve">Protection of </w:t>
      </w:r>
      <w:r w:rsidRPr="00613F85">
        <w:rPr>
          <w:rFonts w:ascii="Arial" w:hAnsi="Arial" w:cs="Arial"/>
          <w:b/>
          <w:i/>
          <w:iCs/>
          <w:color w:val="auto"/>
          <w:sz w:val="20"/>
          <w:szCs w:val="20"/>
          <w:lang w:val="en-GB"/>
        </w:rPr>
        <w:t xml:space="preserve">biodiversity </w:t>
      </w:r>
      <w:r w:rsidR="00652861">
        <w:rPr>
          <w:rFonts w:ascii="Arial" w:hAnsi="Arial" w:cs="Arial"/>
          <w:b/>
          <w:i/>
          <w:iCs/>
          <w:color w:val="auto"/>
          <w:sz w:val="20"/>
          <w:szCs w:val="20"/>
          <w:lang w:val="en-GB"/>
        </w:rPr>
        <w:t xml:space="preserve">and </w:t>
      </w:r>
      <w:r w:rsidR="00652861" w:rsidRPr="00613F85">
        <w:rPr>
          <w:rFonts w:ascii="Arial" w:hAnsi="Arial" w:cs="Arial"/>
          <w:b/>
          <w:i/>
          <w:iCs/>
          <w:color w:val="auto"/>
          <w:sz w:val="20"/>
          <w:szCs w:val="20"/>
          <w:lang w:val="en-GB"/>
        </w:rPr>
        <w:t>landscape</w:t>
      </w:r>
      <w:r>
        <w:rPr>
          <w:rFonts w:ascii="Arial" w:hAnsi="Arial" w:cs="Arial"/>
          <w:b/>
          <w:i/>
          <w:iCs/>
          <w:color w:val="auto"/>
          <w:sz w:val="20"/>
          <w:szCs w:val="20"/>
          <w:lang w:val="en-GB"/>
        </w:rPr>
        <w:t>s</w:t>
      </w:r>
      <w:r w:rsidR="00652861" w:rsidRPr="00613F85">
        <w:rPr>
          <w:rFonts w:ascii="Arial" w:hAnsi="Arial" w:cs="Arial"/>
          <w:b/>
          <w:i/>
          <w:iCs/>
          <w:color w:val="auto"/>
          <w:sz w:val="20"/>
          <w:szCs w:val="20"/>
          <w:lang w:val="en-GB"/>
        </w:rPr>
        <w:t xml:space="preserve"> </w:t>
      </w:r>
      <w:r w:rsidR="0024136F" w:rsidRPr="00613F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includes protection and rehabilitation of habitats and species; protection of natural and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natur</w:t>
      </w:r>
      <w:r w:rsidR="00021CB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</w:t>
      </w:r>
      <w:r w:rsidR="003D0E18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-close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types of landscape; protection and renewal of environmental stability elements; revitalization of hydrological network; costs of solutions to duties resulting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Act</w:t>
      </w:r>
      <w:r w:rsidR="00553BD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No 44/1988 </w:t>
      </w:r>
      <w:r w:rsidR="0078428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Sb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on 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432FD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protection and utilisation of mineral resources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(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Mining Act),</w:t>
      </w:r>
      <w:r w:rsidR="00553BD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as amended,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etc.</w:t>
      </w:r>
    </w:p>
    <w:p w14:paraId="7D519D96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Protection and remediation of soil, groundwater and surface water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volves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prevention of pollutants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’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deposition in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to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soil 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including subsequent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infiltration into water; prevention of soil contamination and degradation by chemical effects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subsequent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soil remediation; protection of soil against erosion, slope 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slides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and other degradation caused by physical phenomena, including costs of solutions o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landslide issues; costs of geological survey tasks aimed at protection of soil, groundwater and surface water, etc.</w:t>
      </w:r>
    </w:p>
    <w:p w14:paraId="3F1781BF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Noise and vibration </w:t>
      </w:r>
      <w:r w:rsidRPr="00432FD7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abatement </w:t>
      </w:r>
      <w:r w:rsidR="001373F9" w:rsidRPr="001373F9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(excluding protection at </w:t>
      </w:r>
      <w:r w:rsidR="00B27616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the </w:t>
      </w:r>
      <w:r w:rsidR="001373F9" w:rsidRPr="001373F9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workplace)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includes prevention of noise and vibration through technolog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 modifications, design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application of noise and vibration control systems in transport by road, rail and air and in industry; measuring equipment,</w:t>
      </w:r>
      <w:r w:rsidR="00CC26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etc.</w:t>
      </w:r>
    </w:p>
    <w:p w14:paraId="03D958C7" w14:textId="77777777" w:rsidR="0024136F" w:rsidRDefault="00E75897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Protection against radiation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includes radon 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control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measures; geological work connected with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issue of locating deep nuclear waste depositories; measuring equipment; transport and handling of highly radioactive waste,</w:t>
      </w:r>
      <w:r w:rsidR="00F806D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etc.</w:t>
      </w:r>
    </w:p>
    <w:p w14:paraId="442F7C58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Research and development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include R&amp;D activities dealing with air pollution control and protection of climate and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ozone layer; water pollution control; waste management; soil and groundwater protection; noise and vibration abatement; biodiversity 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conservation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landscape protection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; radiological protection; other environmental research and development,</w:t>
      </w:r>
      <w:r w:rsidR="00613F85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etc.</w:t>
      </w:r>
    </w:p>
    <w:p w14:paraId="6CC222B1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Narrow,Bold" w:hAnsi="ArialNarrow,Bold"/>
          <w:color w:val="auto"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Other environmental protection activities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volve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acquisition of tangible fixed assets to prevent floods, environmental protection education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training,</w:t>
      </w:r>
      <w:r w:rsidR="00CC26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etc.</w:t>
      </w:r>
    </w:p>
    <w:p w14:paraId="6EB9E1A0" w14:textId="77777777" w:rsidR="0024136F" w:rsidRDefault="004D34B0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Data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given in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653F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come from 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annual questionnaires 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4136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CZSO. </w:t>
      </w:r>
    </w:p>
    <w:p w14:paraId="6C11A4BE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BEA0355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5B8ECCE3" w14:textId="77777777" w:rsidR="0024136F" w:rsidRDefault="0024136F" w:rsidP="007E1E24">
      <w:pPr>
        <w:pStyle w:val="Normlnweb"/>
        <w:spacing w:before="0" w:beforeAutospacing="0" w:after="0" w:afterAutospacing="0"/>
        <w:ind w:left="709" w:hanging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34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 xml:space="preserve">Environmental expenditure </w:t>
      </w:r>
      <w:r w:rsidR="000B5105"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of selected central government institutions</w:t>
      </w:r>
    </w:p>
    <w:p w14:paraId="105707CB" w14:textId="376855F4" w:rsidR="0024136F" w:rsidRDefault="00C72A03" w:rsidP="00C72A03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Environmental expen</w:t>
      </w:r>
      <w:r w:rsidR="0077353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diture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from </w:t>
      </w:r>
      <w:r w:rsidR="0088725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central 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government </w:t>
      </w:r>
      <w:r w:rsidR="0088725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budget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 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consists of 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expen</w:t>
      </w:r>
      <w:r w:rsidR="0034249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ses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State Environmental Fund (without administrative expenses 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Fund 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office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) and 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State Agricultural Intervention Fund, which activities 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for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environmental protection are co-financed</w:t>
      </w:r>
      <w:r w:rsidR="00CF77A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from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</w:t>
      </w:r>
    </w:p>
    <w:p w14:paraId="75D2BCBA" w14:textId="77777777" w:rsidR="00874B75" w:rsidRDefault="00874B75" w:rsidP="00874B75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309F1E70" w14:textId="77777777" w:rsidR="00874B75" w:rsidRDefault="00874B75" w:rsidP="00874B75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635F73B2" w14:textId="0F57B221" w:rsidR="00C72A03" w:rsidRPr="00CC2634" w:rsidRDefault="00C72A03" w:rsidP="00874B75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35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Income and expenditure of </w:t>
      </w:r>
      <w:r w:rsidR="007E1E24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State Environmental Fund</w:t>
      </w:r>
      <w:r w:rsidR="0077353D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 </w:t>
      </w:r>
      <w:r w:rsidR="00887259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of </w:t>
      </w:r>
      <w:r w:rsidR="007E1E24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the </w:t>
      </w:r>
      <w:r w:rsidR="00887259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 xml:space="preserve">CR </w:t>
      </w:r>
    </w:p>
    <w:p w14:paraId="5FE658AA" w14:textId="77777777" w:rsidR="00C72A03" w:rsidRDefault="007E1E24" w:rsidP="00874B75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88725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income of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2F6279" w:rsidRPr="0038447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State Environmental Fund of the CR </w:t>
      </w:r>
      <w:r w:rsidR="00CF77A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(</w:t>
      </w:r>
      <w:r w:rsidR="00C72A0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SEF</w:t>
      </w:r>
      <w:r w:rsidR="0088725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CR</w:t>
      </w:r>
      <w:r w:rsidR="00CF77A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</w:t>
      </w:r>
      <w:r w:rsidR="00C72A0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consist</w:t>
      </w:r>
      <w:r w:rsidR="0088725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 w:rsidR="00C72A0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of various payments and charges plus resources from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C72A0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National Programme of Air Pollution Control (NPAPC), while SEF</w:t>
      </w:r>
      <w:r w:rsidR="00CF77A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CR</w:t>
      </w:r>
      <w:r w:rsidR="00C72A0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's 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expenditure include</w:t>
      </w:r>
      <w:r w:rsidR="00320DA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grants and loans.</w:t>
      </w:r>
    </w:p>
    <w:p w14:paraId="22E46C45" w14:textId="3E143192" w:rsidR="00BC749D" w:rsidRDefault="00BC749D" w:rsidP="00874B75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Since 2009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4D5C13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F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und </w:t>
      </w:r>
      <w:r w:rsidR="004D34B0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has been receiving </w:t>
      </w:r>
      <w:r w:rsidR="0034249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income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Green Savings programme</w:t>
      </w:r>
      <w:r w:rsidR="00B844DE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 the Czech national Green Investment Scheme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(GIS)</w:t>
      </w:r>
      <w:r w:rsidR="00021CB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</w:t>
      </w:r>
      <w:r w:rsidR="00AD7ACB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ale of emission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permits (also called carbon</w:t>
      </w:r>
      <w:r w:rsidR="00AD7ACB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credits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)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. These are </w:t>
      </w:r>
      <w:r w:rsidR="0034249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earmark</w:t>
      </w:r>
      <w:r w:rsidR="00DC6929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ed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funds for implementation of measures leading to energy savings and 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utilisation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of renewable </w:t>
      </w:r>
      <w:r w:rsidR="00AD7ACB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energy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sources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in family houses and multi-dwelling buildings.</w:t>
      </w:r>
    </w:p>
    <w:p w14:paraId="301A45DE" w14:textId="77777777" w:rsidR="00DA5A70" w:rsidRDefault="00DA5A70" w:rsidP="00DA5A70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AF73554" w14:textId="77777777" w:rsidR="00DA5A70" w:rsidRDefault="00DA5A70" w:rsidP="00DA5A70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78C5D5FE" w14:textId="5297FE1C" w:rsidR="00BC749D" w:rsidRPr="00C72A03" w:rsidRDefault="00160EAD" w:rsidP="00DA5A70">
      <w:pPr>
        <w:pStyle w:val="Normlnweb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D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ata in </w:t>
      </w:r>
      <w:r w:rsidR="00653F61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the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ables </w:t>
      </w:r>
      <w:r w:rsidR="00BC749D" w:rsidRPr="00160EAD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3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34 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and </w:t>
      </w:r>
      <w:r w:rsidR="00BC749D" w:rsidRPr="00160EAD"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3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35 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were provided by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State Environmental Fund, National Property Fund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 w:rsidR="00BC749D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and Ministry of Finance</w:t>
      </w:r>
      <w:r w:rsidR="00CC263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.</w:t>
      </w:r>
    </w:p>
    <w:p w14:paraId="58AF627D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5B6240EE" w14:textId="77777777" w:rsidR="0024136F" w:rsidRDefault="0024136F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6361DD66" w14:textId="77777777" w:rsidR="0024136F" w:rsidRDefault="0024136F" w:rsidP="00EA1BDD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Table </w:t>
      </w:r>
      <w:r>
        <w:rPr>
          <w:rFonts w:ascii="Arial" w:hAnsi="Arial" w:cs="Arial"/>
          <w:b/>
          <w:i/>
          <w:iCs/>
          <w:color w:val="auto"/>
          <w:sz w:val="20"/>
          <w:szCs w:val="17"/>
          <w:lang w:val="en-GB"/>
        </w:rPr>
        <w:t>3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-</w:t>
      </w:r>
      <w:r w:rsidR="00377807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36</w:t>
      </w:r>
      <w:r w:rsidR="00E8698C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Selected material flow indicators</w:t>
      </w:r>
    </w:p>
    <w:p w14:paraId="3C778452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Most environmental problems are directly or indirectly connected with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material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flow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s through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economy.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compilation of macroeconomic material flow accounts 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objective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is 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to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quantif</w:t>
      </w:r>
      <w:r w:rsidR="009358BF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y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total material intensity of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economic system. This intensity can be expressed as material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lastRenderedPageBreak/>
        <w:t xml:space="preserve">inputs </w:t>
      </w:r>
      <w:r w:rsidR="008C6B8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in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to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>economic system, material consumption</w:t>
      </w:r>
      <w:r w:rsidR="008C6B8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or </w:t>
      </w:r>
      <w:r w:rsidR="008C6B82"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as 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total waste flows from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economic system back to </w:t>
      </w:r>
      <w:r w:rsidR="007E1E24">
        <w:rPr>
          <w:rFonts w:ascii="Arial" w:hAnsi="Arial" w:cs="Arial"/>
          <w:i/>
          <w:iCs/>
          <w:color w:val="auto"/>
          <w:sz w:val="20"/>
          <w:szCs w:val="17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environment. </w:t>
      </w:r>
    </w:p>
    <w:p w14:paraId="501C17B4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17"/>
          <w:lang w:val="en-GB"/>
        </w:rPr>
        <w:t>Direct material input (DMI)</w:t>
      </w:r>
      <w:r>
        <w:rPr>
          <w:rFonts w:ascii="Arial" w:hAnsi="Arial" w:cs="Arial"/>
          <w:i/>
          <w:iCs/>
          <w:color w:val="auto"/>
          <w:sz w:val="20"/>
          <w:szCs w:val="17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measures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input of materials used in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>economy, i.e. all materials</w:t>
      </w:r>
      <w:r w:rsidR="008C6B82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,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which are of economic value and are used in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production and consumption activities. DMI equals domestic </w:t>
      </w:r>
      <w:r w:rsidR="00013C3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(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>used</w:t>
      </w:r>
      <w:r w:rsidR="00013C3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)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extraction (extracted raw materials</w:t>
      </w:r>
      <w:r w:rsidR="00013C3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and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grown biomass) plus imports. </w:t>
      </w:r>
    </w:p>
    <w:p w14:paraId="60C62D07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  <w:lang w:val="en-GB"/>
        </w:rPr>
        <w:t xml:space="preserve">Domestic material consumption (DMC) 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measures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total amount of materials directly used in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economy, excluding hidden flows. DMC is calculated as DMI minus exports. </w:t>
      </w:r>
    </w:p>
    <w:p w14:paraId="2DBA612D" w14:textId="77777777" w:rsidR="0024136F" w:rsidRDefault="0024136F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>Further</w:t>
      </w:r>
      <w:r w:rsidR="0082301F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more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, economic performance indicators can be related to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input or output material flow indicators. For example, GDP per DMI or DMC unit </w:t>
      </w:r>
      <w:r w:rsidR="00613F85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indicate</w:t>
      </w:r>
      <w:r w:rsidR="0082301F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direct 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lang w:val="en-GB"/>
        </w:rPr>
        <w:t xml:space="preserve">material productivity 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of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economy. Conversely, input indicators related to GDP give 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lang w:val="en-GB"/>
        </w:rPr>
        <w:t xml:space="preserve">material intensity 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of </w:t>
      </w:r>
      <w:r w:rsidR="007E1E24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economy. </w:t>
      </w:r>
    </w:p>
    <w:p w14:paraId="622EC9F2" w14:textId="77777777" w:rsidR="0024136F" w:rsidRDefault="007E1E24">
      <w:pPr>
        <w:pStyle w:val="Normlnweb"/>
        <w:tabs>
          <w:tab w:val="left" w:pos="0"/>
        </w:tabs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The </w:t>
      </w:r>
      <w:r w:rsidR="0024136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material </w:t>
      </w:r>
      <w:r w:rsidR="0082301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flow</w:t>
      </w:r>
      <w:r w:rsidR="0024136F">
        <w:rPr>
          <w:rFonts w:ascii="Arial" w:hAnsi="Arial" w:cs="Arial"/>
          <w:bCs/>
          <w:i/>
          <w:iCs/>
          <w:color w:val="000000"/>
          <w:sz w:val="20"/>
          <w:szCs w:val="20"/>
          <w:lang w:val="en-GB"/>
        </w:rPr>
        <w:t xml:space="preserve"> indicators</w:t>
      </w:r>
      <w:r w:rsidR="0024136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of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the </w:t>
      </w:r>
      <w:r w:rsidR="0024136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Czech Republic </w:t>
      </w:r>
      <w:r w:rsidR="0082301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we</w:t>
      </w:r>
      <w:r w:rsidR="0024136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re </w:t>
      </w:r>
      <w:r w:rsidR="0082301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sub</w:t>
      </w:r>
      <w:r w:rsidR="0024136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divided into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the </w:t>
      </w:r>
      <w:r w:rsidR="0024136F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following categories: </w:t>
      </w:r>
    </w:p>
    <w:p w14:paraId="38063782" w14:textId="77777777" w:rsidR="0024136F" w:rsidRPr="00836EC4" w:rsidRDefault="0024136F" w:rsidP="00A57D4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– </w:t>
      </w:r>
      <w:r w:rsidRPr="00836EC4">
        <w:rPr>
          <w:rFonts w:ascii="Arial" w:hAnsi="Arial" w:cs="Arial"/>
          <w:i/>
          <w:iCs/>
          <w:sz w:val="20"/>
          <w:szCs w:val="20"/>
        </w:rPr>
        <w:t>biomass (raw materials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>,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intermediates,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E3853" w:rsidRPr="00836EC4">
        <w:rPr>
          <w:rFonts w:ascii="Arial" w:hAnsi="Arial" w:cs="Arial"/>
          <w:i/>
          <w:iCs/>
          <w:sz w:val="20"/>
          <w:szCs w:val="20"/>
        </w:rPr>
        <w:t xml:space="preserve">semi-finished products, 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 xml:space="preserve">and products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o</w:t>
      </w:r>
      <w:r w:rsidRPr="00836EC4">
        <w:rPr>
          <w:rFonts w:ascii="Arial" w:hAnsi="Arial" w:cs="Arial"/>
          <w:i/>
          <w:iCs/>
          <w:sz w:val="20"/>
          <w:szCs w:val="20"/>
        </w:rPr>
        <w:t>f biomass);</w:t>
      </w:r>
    </w:p>
    <w:p w14:paraId="618C53F6" w14:textId="77777777" w:rsidR="0024136F" w:rsidRPr="00836EC4" w:rsidRDefault="0024136F" w:rsidP="00A57D4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836EC4">
        <w:rPr>
          <w:rFonts w:ascii="Arial" w:hAnsi="Arial" w:cs="Arial"/>
          <w:i/>
          <w:iCs/>
          <w:sz w:val="20"/>
          <w:szCs w:val="20"/>
        </w:rPr>
        <w:t>– fossil fuels (raw materials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>,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E3853" w:rsidRPr="00836EC4">
        <w:rPr>
          <w:rFonts w:ascii="Arial" w:hAnsi="Arial" w:cs="Arial"/>
          <w:i/>
          <w:iCs/>
          <w:sz w:val="20"/>
          <w:szCs w:val="20"/>
        </w:rPr>
        <w:t xml:space="preserve">intermediates, semi-finished products, 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 xml:space="preserve">and products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o</w:t>
      </w:r>
      <w:r w:rsidRPr="00836EC4">
        <w:rPr>
          <w:rFonts w:ascii="Arial" w:hAnsi="Arial" w:cs="Arial"/>
          <w:i/>
          <w:iCs/>
          <w:sz w:val="20"/>
          <w:szCs w:val="20"/>
        </w:rPr>
        <w:t>f fossil fuels);</w:t>
      </w:r>
    </w:p>
    <w:p w14:paraId="5F7DE71F" w14:textId="77777777" w:rsidR="0024136F" w:rsidRPr="00836EC4" w:rsidRDefault="0024136F" w:rsidP="00A57D4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836EC4">
        <w:rPr>
          <w:rFonts w:ascii="Arial" w:hAnsi="Arial" w:cs="Arial"/>
          <w:i/>
          <w:iCs/>
          <w:sz w:val="20"/>
          <w:szCs w:val="20"/>
        </w:rPr>
        <w:t>– metal ores (raw materials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>,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E3853" w:rsidRPr="00836EC4">
        <w:rPr>
          <w:rFonts w:ascii="Arial" w:hAnsi="Arial" w:cs="Arial"/>
          <w:i/>
          <w:iCs/>
          <w:sz w:val="20"/>
          <w:szCs w:val="20"/>
        </w:rPr>
        <w:t xml:space="preserve">intermediates, semi-finished products, 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 xml:space="preserve">and products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o</w:t>
      </w:r>
      <w:r w:rsidRPr="00836EC4">
        <w:rPr>
          <w:rFonts w:ascii="Arial" w:hAnsi="Arial" w:cs="Arial"/>
          <w:i/>
          <w:iCs/>
          <w:sz w:val="20"/>
          <w:szCs w:val="20"/>
        </w:rPr>
        <w:t>f metal ores);</w:t>
      </w:r>
    </w:p>
    <w:p w14:paraId="7C187988" w14:textId="77777777" w:rsidR="0024136F" w:rsidRPr="00836EC4" w:rsidRDefault="0024136F" w:rsidP="00A57D47">
      <w:pPr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i/>
          <w:iCs/>
          <w:sz w:val="20"/>
          <w:szCs w:val="20"/>
        </w:rPr>
      </w:pPr>
      <w:r w:rsidRPr="00836EC4">
        <w:rPr>
          <w:rFonts w:ascii="Arial" w:hAnsi="Arial" w:cs="Arial"/>
          <w:i/>
          <w:iCs/>
          <w:sz w:val="20"/>
          <w:szCs w:val="20"/>
        </w:rPr>
        <w:t>– non-ferrous minerals (raw materials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>,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intermediates,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E3853" w:rsidRPr="00836EC4">
        <w:rPr>
          <w:rFonts w:ascii="Arial" w:hAnsi="Arial" w:cs="Arial"/>
          <w:i/>
          <w:iCs/>
          <w:sz w:val="20"/>
          <w:szCs w:val="20"/>
        </w:rPr>
        <w:t xml:space="preserve">semi-finished products, </w:t>
      </w:r>
      <w:r w:rsidR="00872B56" w:rsidRPr="00836EC4">
        <w:rPr>
          <w:rFonts w:ascii="Arial" w:hAnsi="Arial" w:cs="Arial"/>
          <w:i/>
          <w:iCs/>
          <w:sz w:val="20"/>
          <w:szCs w:val="20"/>
        </w:rPr>
        <w:t xml:space="preserve">and products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o</w:t>
      </w:r>
      <w:r w:rsidRPr="00836EC4">
        <w:rPr>
          <w:rFonts w:ascii="Arial" w:hAnsi="Arial" w:cs="Arial"/>
          <w:i/>
          <w:iCs/>
          <w:sz w:val="20"/>
          <w:szCs w:val="20"/>
        </w:rPr>
        <w:t xml:space="preserve">f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 xml:space="preserve">minerals for </w:t>
      </w:r>
      <w:r w:rsidR="006B452A" w:rsidRPr="00836EC4">
        <w:rPr>
          <w:rFonts w:ascii="Arial" w:hAnsi="Arial" w:cs="Arial"/>
          <w:i/>
          <w:iCs/>
          <w:sz w:val="20"/>
          <w:szCs w:val="20"/>
        </w:rPr>
        <w:t xml:space="preserve">industrial and </w:t>
      </w:r>
      <w:r w:rsidR="001C6598" w:rsidRPr="00836EC4">
        <w:rPr>
          <w:rFonts w:ascii="Arial" w:hAnsi="Arial" w:cs="Arial"/>
          <w:i/>
          <w:iCs/>
          <w:sz w:val="20"/>
          <w:szCs w:val="20"/>
        </w:rPr>
        <w:t>construction</w:t>
      </w:r>
      <w:r w:rsidR="00935712" w:rsidRPr="00836EC4">
        <w:rPr>
          <w:rFonts w:ascii="Arial" w:hAnsi="Arial" w:cs="Arial"/>
          <w:i/>
          <w:iCs/>
          <w:sz w:val="20"/>
          <w:szCs w:val="20"/>
        </w:rPr>
        <w:t xml:space="preserve"> </w:t>
      </w:r>
      <w:r w:rsidR="0082301F" w:rsidRPr="00836EC4">
        <w:rPr>
          <w:rFonts w:ascii="Arial" w:hAnsi="Arial" w:cs="Arial"/>
          <w:i/>
          <w:iCs/>
          <w:sz w:val="20"/>
          <w:szCs w:val="20"/>
        </w:rPr>
        <w:t>production</w:t>
      </w:r>
      <w:r w:rsidRPr="00836EC4">
        <w:rPr>
          <w:rFonts w:ascii="Arial" w:hAnsi="Arial" w:cs="Arial"/>
          <w:i/>
          <w:iCs/>
          <w:sz w:val="20"/>
          <w:szCs w:val="20"/>
        </w:rPr>
        <w:t>);</w:t>
      </w:r>
      <w:r w:rsidR="00CF77AE" w:rsidRPr="00836EC4">
        <w:rPr>
          <w:rFonts w:ascii="Arial" w:hAnsi="Arial" w:cs="Arial"/>
          <w:i/>
          <w:iCs/>
          <w:sz w:val="20"/>
          <w:szCs w:val="20"/>
        </w:rPr>
        <w:t xml:space="preserve"> and</w:t>
      </w:r>
    </w:p>
    <w:p w14:paraId="51FB5E7A" w14:textId="77777777" w:rsidR="0024136F" w:rsidRPr="00836EC4" w:rsidRDefault="0024136F" w:rsidP="00A57D47">
      <w:pPr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i/>
          <w:iCs/>
          <w:sz w:val="20"/>
          <w:szCs w:val="20"/>
        </w:rPr>
      </w:pPr>
      <w:r w:rsidRPr="00836EC4">
        <w:rPr>
          <w:rFonts w:ascii="Arial" w:hAnsi="Arial" w:cs="Arial"/>
          <w:i/>
          <w:iCs/>
          <w:sz w:val="20"/>
          <w:szCs w:val="20"/>
        </w:rPr>
        <w:t>– others (other products</w:t>
      </w:r>
      <w:r w:rsidR="009E67D4" w:rsidRPr="00836EC4">
        <w:rPr>
          <w:rFonts w:ascii="Arial" w:hAnsi="Arial" w:cs="Arial"/>
          <w:i/>
          <w:iCs/>
          <w:sz w:val="20"/>
          <w:szCs w:val="20"/>
        </w:rPr>
        <w:t xml:space="preserve"> not elsewhere classified and waste</w:t>
      </w:r>
      <w:r w:rsidR="006B452A" w:rsidRPr="00836EC4">
        <w:rPr>
          <w:rFonts w:ascii="Arial" w:hAnsi="Arial" w:cs="Arial"/>
          <w:i/>
          <w:iCs/>
          <w:sz w:val="20"/>
          <w:szCs w:val="20"/>
        </w:rPr>
        <w:t>s</w:t>
      </w:r>
      <w:r w:rsidR="009E67D4" w:rsidRPr="00836EC4">
        <w:rPr>
          <w:rFonts w:ascii="Arial" w:hAnsi="Arial" w:cs="Arial"/>
          <w:i/>
          <w:iCs/>
          <w:sz w:val="20"/>
          <w:szCs w:val="20"/>
        </w:rPr>
        <w:t>)</w:t>
      </w:r>
      <w:r w:rsidRPr="00836EC4">
        <w:rPr>
          <w:rFonts w:ascii="Arial" w:hAnsi="Arial" w:cs="Arial"/>
          <w:i/>
          <w:iCs/>
          <w:sz w:val="20"/>
          <w:szCs w:val="20"/>
        </w:rPr>
        <w:t>.</w:t>
      </w:r>
    </w:p>
    <w:p w14:paraId="336442C4" w14:textId="77777777" w:rsidR="0024136F" w:rsidRPr="00836EC4" w:rsidRDefault="0024136F" w:rsidP="000A1B7B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286227E1" w14:textId="77777777" w:rsidR="0024136F" w:rsidRDefault="0024136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17"/>
          <w:lang w:val="en-GB"/>
        </w:rPr>
      </w:pPr>
    </w:p>
    <w:p w14:paraId="58A0B1F0" w14:textId="77777777" w:rsidR="0024136F" w:rsidRPr="007E1E24" w:rsidRDefault="0024136F">
      <w:pPr>
        <w:jc w:val="center"/>
        <w:rPr>
          <w:rFonts w:ascii="Arial" w:hAnsi="Arial" w:cs="Arial"/>
          <w:bCs/>
          <w:i/>
          <w:iCs/>
          <w:sz w:val="20"/>
          <w:szCs w:val="17"/>
        </w:rPr>
      </w:pPr>
      <w:r w:rsidRPr="007E1E24">
        <w:rPr>
          <w:rFonts w:ascii="Arial" w:hAnsi="Arial" w:cs="Arial"/>
          <w:bCs/>
          <w:i/>
          <w:iCs/>
          <w:sz w:val="20"/>
          <w:szCs w:val="17"/>
        </w:rPr>
        <w:t>*          *          *</w:t>
      </w:r>
    </w:p>
    <w:p w14:paraId="27D71DCE" w14:textId="77777777" w:rsidR="0024136F" w:rsidRDefault="0024136F">
      <w:pPr>
        <w:rPr>
          <w:rFonts w:ascii="Arial" w:hAnsi="Arial" w:cs="Arial"/>
          <w:i/>
          <w:iCs/>
          <w:sz w:val="20"/>
          <w:szCs w:val="17"/>
        </w:rPr>
      </w:pPr>
    </w:p>
    <w:p w14:paraId="029F249B" w14:textId="77777777" w:rsidR="0024136F" w:rsidRDefault="0024136F">
      <w:pPr>
        <w:jc w:val="both"/>
        <w:rPr>
          <w:rFonts w:ascii="Arial" w:hAnsi="Arial" w:cs="Arial"/>
          <w:i/>
          <w:iCs/>
          <w:sz w:val="20"/>
          <w:szCs w:val="17"/>
        </w:rPr>
      </w:pPr>
    </w:p>
    <w:p w14:paraId="2E4C0DB3" w14:textId="2BFC53BC" w:rsidR="0024136F" w:rsidRDefault="0024136F">
      <w:pPr>
        <w:pStyle w:val="Normlnweb"/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Further </w:t>
      </w:r>
      <w:r w:rsidR="00066B57">
        <w:rPr>
          <w:rFonts w:ascii="Arial" w:hAnsi="Arial" w:cs="Arial"/>
          <w:i/>
          <w:iCs/>
          <w:color w:val="auto"/>
          <w:sz w:val="20"/>
          <w:lang w:val="en-GB"/>
        </w:rPr>
        <w:t xml:space="preserve">information 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can be found on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>web</w:t>
      </w:r>
      <w:r w:rsidR="005D01CE">
        <w:rPr>
          <w:rFonts w:ascii="Arial" w:hAnsi="Arial" w:cs="Arial"/>
          <w:i/>
          <w:iCs/>
          <w:color w:val="auto"/>
          <w:sz w:val="20"/>
          <w:lang w:val="en-GB"/>
        </w:rPr>
        <w:t>site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 of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Czech Statistical Office at: </w:t>
      </w:r>
    </w:p>
    <w:p w14:paraId="36B65922" w14:textId="77777777" w:rsidR="00CC2634" w:rsidRDefault="0024136F">
      <w:pPr>
        <w:pStyle w:val="Normlnweb"/>
        <w:spacing w:before="120" w:beforeAutospacing="0" w:after="0" w:afterAutospacing="0"/>
        <w:jc w:val="both"/>
        <w:rPr>
          <w:rFonts w:ascii="Arial" w:hAnsi="Arial" w:cs="Arial"/>
          <w:color w:val="auto"/>
          <w:sz w:val="20"/>
          <w:lang w:val="en-GB"/>
        </w:rPr>
      </w:pPr>
      <w:r>
        <w:rPr>
          <w:rFonts w:ascii="Arial" w:hAnsi="Arial" w:cs="Arial"/>
          <w:color w:val="auto"/>
          <w:sz w:val="20"/>
          <w:lang w:val="en-GB"/>
        </w:rPr>
        <w:t>– </w:t>
      </w:r>
      <w:hyperlink r:id="rId8" w:history="1">
        <w:r w:rsidR="00CC2634" w:rsidRPr="00C70001">
          <w:rPr>
            <w:rStyle w:val="Hypertextovodkaz"/>
            <w:rFonts w:ascii="Arial" w:hAnsi="Arial" w:cs="Arial"/>
            <w:sz w:val="20"/>
            <w:lang w:val="en-GB"/>
          </w:rPr>
          <w:t>www.czso.cz/csu/czso/environment_zem</w:t>
        </w:r>
      </w:hyperlink>
    </w:p>
    <w:p w14:paraId="0C863450" w14:textId="77777777" w:rsidR="0024136F" w:rsidRDefault="0024136F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i/>
          <w:iCs/>
          <w:color w:val="auto"/>
          <w:sz w:val="20"/>
          <w:lang w:val="en-GB"/>
        </w:rPr>
      </w:pP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or </w:t>
      </w:r>
      <w:r w:rsidR="000265BE">
        <w:rPr>
          <w:rFonts w:ascii="Arial" w:hAnsi="Arial" w:cs="Arial"/>
          <w:i/>
          <w:iCs/>
          <w:color w:val="auto"/>
          <w:sz w:val="20"/>
          <w:lang w:val="en-GB"/>
        </w:rPr>
        <w:t xml:space="preserve">on websites </w:t>
      </w:r>
      <w:r>
        <w:rPr>
          <w:rFonts w:ascii="Arial" w:hAnsi="Arial" w:cs="Arial"/>
          <w:i/>
          <w:iCs/>
          <w:color w:val="auto"/>
          <w:sz w:val="20"/>
          <w:lang w:val="en-GB"/>
        </w:rPr>
        <w:t>of other institutions at:</w:t>
      </w:r>
    </w:p>
    <w:p w14:paraId="13919511" w14:textId="77777777" w:rsidR="0024136F" w:rsidRDefault="0024136F">
      <w:pPr>
        <w:pStyle w:val="Normlnweb"/>
        <w:spacing w:before="120" w:beforeAutospacing="0" w:after="0" w:afterAutospacing="0"/>
        <w:jc w:val="both"/>
        <w:rPr>
          <w:rFonts w:ascii="Arial" w:hAnsi="Arial" w:cs="Arial"/>
          <w:color w:val="auto"/>
          <w:sz w:val="20"/>
          <w:lang w:val="en-GB"/>
        </w:rPr>
      </w:pPr>
      <w:r>
        <w:rPr>
          <w:rFonts w:ascii="Arial" w:hAnsi="Arial" w:cs="Arial"/>
          <w:color w:val="auto"/>
          <w:sz w:val="20"/>
          <w:lang w:val="en-GB"/>
        </w:rPr>
        <w:t>– </w:t>
      </w:r>
      <w:hyperlink r:id="rId9" w:history="1">
        <w:r w:rsidR="00DD4080" w:rsidRPr="00B52978">
          <w:rPr>
            <w:rStyle w:val="Hypertextovodkaz"/>
            <w:rFonts w:ascii="Arial" w:hAnsi="Arial" w:cs="Arial"/>
            <w:sz w:val="20"/>
            <w:lang w:val="en-GB"/>
          </w:rPr>
          <w:t>www1.cenia.cz/www/</w:t>
        </w:r>
      </w:hyperlink>
      <w:r w:rsidR="00DD4080">
        <w:rPr>
          <w:rFonts w:ascii="Arial" w:hAnsi="Arial" w:cs="Arial"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color w:val="auto"/>
          <w:sz w:val="20"/>
          <w:lang w:val="en-GB"/>
        </w:rPr>
        <w:t xml:space="preserve">–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Czech Environmental Information Agency</w:t>
      </w:r>
    </w:p>
    <w:p w14:paraId="531062E6" w14:textId="77777777" w:rsidR="0024136F" w:rsidRDefault="0024136F">
      <w:pPr>
        <w:pStyle w:val="Normlnweb"/>
        <w:spacing w:before="120" w:beforeAutospacing="0" w:after="0" w:afterAutospacing="0"/>
        <w:jc w:val="both"/>
        <w:rPr>
          <w:rFonts w:ascii="Arial" w:hAnsi="Arial" w:cs="Arial"/>
          <w:color w:val="auto"/>
          <w:sz w:val="20"/>
          <w:lang w:val="en-GB"/>
        </w:rPr>
      </w:pPr>
      <w:r>
        <w:rPr>
          <w:rFonts w:ascii="Arial" w:hAnsi="Arial" w:cs="Arial"/>
          <w:color w:val="auto"/>
          <w:sz w:val="20"/>
          <w:lang w:val="en-GB"/>
        </w:rPr>
        <w:t>– </w:t>
      </w:r>
      <w:hyperlink r:id="rId10" w:history="1">
        <w:r w:rsidR="00781E52" w:rsidRPr="00781E52">
          <w:rPr>
            <w:rStyle w:val="Hypertextovodkaz"/>
            <w:sz w:val="20"/>
            <w:szCs w:val="20"/>
          </w:rPr>
          <w:t>http://portal.chmi.cz/?l=en</w:t>
        </w:r>
      </w:hyperlink>
      <w:r w:rsidR="00111BBB">
        <w:rPr>
          <w:sz w:val="20"/>
          <w:szCs w:val="20"/>
        </w:rPr>
        <w:t xml:space="preserve"> </w:t>
      </w:r>
      <w:r w:rsidRPr="009E55F5">
        <w:rPr>
          <w:rFonts w:ascii="Arial" w:hAnsi="Arial" w:cs="Arial"/>
          <w:color w:val="auto"/>
          <w:sz w:val="20"/>
          <w:lang w:val="en-GB"/>
        </w:rPr>
        <w:t>–</w:t>
      </w:r>
      <w:r>
        <w:rPr>
          <w:rFonts w:ascii="Arial" w:hAnsi="Arial" w:cs="Arial"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lang w:val="en-GB"/>
        </w:rPr>
        <w:t>Czech Hydrometeorological Institute</w:t>
      </w:r>
    </w:p>
    <w:p w14:paraId="36AEF476" w14:textId="77777777" w:rsidR="0024136F" w:rsidRDefault="0024136F">
      <w:pPr>
        <w:pStyle w:val="Normlnweb"/>
        <w:spacing w:before="120" w:beforeAutospacing="0" w:after="0" w:afterAutospacing="0"/>
        <w:jc w:val="both"/>
        <w:rPr>
          <w:rFonts w:ascii="Arial" w:hAnsi="Arial" w:cs="Arial"/>
          <w:color w:val="auto"/>
          <w:sz w:val="20"/>
          <w:lang w:val="en-GB"/>
        </w:rPr>
      </w:pPr>
      <w:r>
        <w:rPr>
          <w:rFonts w:ascii="Arial" w:hAnsi="Arial" w:cs="Arial"/>
          <w:color w:val="auto"/>
          <w:sz w:val="20"/>
          <w:lang w:val="en-GB"/>
        </w:rPr>
        <w:t>– </w:t>
      </w:r>
      <w:hyperlink r:id="rId11" w:history="1">
        <w:r w:rsidR="00553BD4" w:rsidRPr="00AC5F75">
          <w:rPr>
            <w:rStyle w:val="Hypertextovodkaz"/>
            <w:rFonts w:ascii="Arial" w:hAnsi="Arial" w:cs="Arial"/>
            <w:sz w:val="20"/>
            <w:lang w:val="en-GB"/>
          </w:rPr>
          <w:t>www.mzp.cz/en/</w:t>
        </w:r>
      </w:hyperlink>
      <w:r>
        <w:rPr>
          <w:rFonts w:ascii="Arial" w:hAnsi="Arial" w:cs="Arial"/>
          <w:color w:val="auto"/>
          <w:sz w:val="20"/>
          <w:lang w:val="en-GB"/>
        </w:rPr>
        <w:t xml:space="preserve"> – 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Ministry of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>Environment</w:t>
      </w:r>
    </w:p>
    <w:p w14:paraId="70E523B6" w14:textId="77777777" w:rsidR="0024136F" w:rsidRDefault="0024136F" w:rsidP="000E295E">
      <w:pPr>
        <w:pStyle w:val="Normlnweb"/>
        <w:spacing w:before="120" w:beforeAutospacing="0" w:after="0" w:afterAutospacing="0"/>
        <w:ind w:left="170" w:hanging="170"/>
        <w:jc w:val="both"/>
        <w:rPr>
          <w:rFonts w:ascii="Arial" w:hAnsi="Arial" w:cs="Arial"/>
          <w:color w:val="auto"/>
          <w:sz w:val="20"/>
          <w:lang w:val="en-GB"/>
        </w:rPr>
      </w:pPr>
      <w:r>
        <w:rPr>
          <w:rFonts w:ascii="Arial" w:hAnsi="Arial" w:cs="Arial"/>
          <w:color w:val="auto"/>
          <w:sz w:val="20"/>
          <w:lang w:val="en-GB"/>
        </w:rPr>
        <w:t>– </w:t>
      </w:r>
      <w:hyperlink r:id="rId12" w:history="1">
        <w:r w:rsidR="000E295E" w:rsidRPr="00C70001">
          <w:rPr>
            <w:rStyle w:val="Hypertextovodkaz"/>
            <w:rFonts w:ascii="Arial" w:hAnsi="Arial" w:cs="Arial"/>
            <w:sz w:val="20"/>
            <w:lang w:val="en-GB"/>
          </w:rPr>
          <w:t>www.ochranaprirody.cz/en/</w:t>
        </w:r>
      </w:hyperlink>
      <w:r w:rsidR="002E592A">
        <w:rPr>
          <w:rFonts w:ascii="Arial" w:hAnsi="Arial" w:cs="Arial"/>
          <w:color w:val="auto"/>
          <w:sz w:val="20"/>
          <w:lang w:val="en-GB"/>
        </w:rPr>
        <w:t xml:space="preserve"> </w:t>
      </w:r>
      <w:r>
        <w:rPr>
          <w:rFonts w:ascii="Arial" w:hAnsi="Arial" w:cs="Arial"/>
          <w:color w:val="auto"/>
          <w:sz w:val="20"/>
          <w:lang w:val="en-GB"/>
        </w:rPr>
        <w:t>–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 Nature Conservation </w:t>
      </w:r>
      <w:r w:rsidR="005F0E9C">
        <w:rPr>
          <w:rFonts w:ascii="Arial" w:hAnsi="Arial" w:cs="Arial"/>
          <w:i/>
          <w:iCs/>
          <w:color w:val="auto"/>
          <w:sz w:val="20"/>
          <w:lang w:val="en-GB"/>
        </w:rPr>
        <w:t xml:space="preserve">Agency </w:t>
      </w:r>
      <w:r>
        <w:rPr>
          <w:rFonts w:ascii="Arial" w:hAnsi="Arial" w:cs="Arial"/>
          <w:i/>
          <w:iCs/>
          <w:color w:val="auto"/>
          <w:sz w:val="20"/>
          <w:lang w:val="en-GB"/>
        </w:rPr>
        <w:t xml:space="preserve">of </w:t>
      </w:r>
      <w:r w:rsidR="007E1E24">
        <w:rPr>
          <w:rFonts w:ascii="Arial" w:hAnsi="Arial" w:cs="Arial"/>
          <w:i/>
          <w:iCs/>
          <w:color w:val="auto"/>
          <w:sz w:val="20"/>
          <w:lang w:val="en-GB"/>
        </w:rPr>
        <w:t>the </w:t>
      </w:r>
      <w:r>
        <w:rPr>
          <w:rFonts w:ascii="Arial" w:hAnsi="Arial" w:cs="Arial"/>
          <w:i/>
          <w:iCs/>
          <w:color w:val="auto"/>
          <w:sz w:val="20"/>
          <w:lang w:val="en-GB"/>
        </w:rPr>
        <w:t>CR</w:t>
      </w:r>
    </w:p>
    <w:sectPr w:rsidR="0024136F" w:rsidSect="001373F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71421" w14:textId="77777777" w:rsidR="0082398F" w:rsidRDefault="0082398F">
      <w:r>
        <w:separator/>
      </w:r>
    </w:p>
  </w:endnote>
  <w:endnote w:type="continuationSeparator" w:id="0">
    <w:p w14:paraId="611B4F4E" w14:textId="77777777" w:rsidR="0082398F" w:rsidRDefault="0082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B6E8" w14:textId="77777777" w:rsidR="0082398F" w:rsidRDefault="0082398F">
      <w:r>
        <w:separator/>
      </w:r>
    </w:p>
  </w:footnote>
  <w:footnote w:type="continuationSeparator" w:id="0">
    <w:p w14:paraId="4EC4B79C" w14:textId="77777777" w:rsidR="0082398F" w:rsidRDefault="0082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3F18"/>
    <w:multiLevelType w:val="hybridMultilevel"/>
    <w:tmpl w:val="FA6CBB6A"/>
    <w:lvl w:ilvl="0" w:tplc="BF162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219"/>
    <w:multiLevelType w:val="hybridMultilevel"/>
    <w:tmpl w:val="913663FE"/>
    <w:lvl w:ilvl="0" w:tplc="FC98034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0AEF"/>
    <w:multiLevelType w:val="hybridMultilevel"/>
    <w:tmpl w:val="47C82284"/>
    <w:lvl w:ilvl="0" w:tplc="FC98034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F75FC"/>
    <w:multiLevelType w:val="hybridMultilevel"/>
    <w:tmpl w:val="1EB214B6"/>
    <w:lvl w:ilvl="0" w:tplc="3F88A0EC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C85"/>
    <w:rsid w:val="00000942"/>
    <w:rsid w:val="00001E3E"/>
    <w:rsid w:val="00006CE5"/>
    <w:rsid w:val="00013C34"/>
    <w:rsid w:val="0001664A"/>
    <w:rsid w:val="00017B73"/>
    <w:rsid w:val="00017C3F"/>
    <w:rsid w:val="00021CBC"/>
    <w:rsid w:val="00022D42"/>
    <w:rsid w:val="000265BE"/>
    <w:rsid w:val="00031814"/>
    <w:rsid w:val="00040141"/>
    <w:rsid w:val="00043CA0"/>
    <w:rsid w:val="00051A4B"/>
    <w:rsid w:val="0005719C"/>
    <w:rsid w:val="00065E5E"/>
    <w:rsid w:val="00066B57"/>
    <w:rsid w:val="00072DA1"/>
    <w:rsid w:val="000867D2"/>
    <w:rsid w:val="00091FD0"/>
    <w:rsid w:val="000A1B7B"/>
    <w:rsid w:val="000A5A11"/>
    <w:rsid w:val="000B3523"/>
    <w:rsid w:val="000B5105"/>
    <w:rsid w:val="000B6136"/>
    <w:rsid w:val="000B76B3"/>
    <w:rsid w:val="000C1C93"/>
    <w:rsid w:val="000D04C5"/>
    <w:rsid w:val="000D1840"/>
    <w:rsid w:val="000D230A"/>
    <w:rsid w:val="000D272E"/>
    <w:rsid w:val="000D4F70"/>
    <w:rsid w:val="000D70E7"/>
    <w:rsid w:val="000E0828"/>
    <w:rsid w:val="000E1148"/>
    <w:rsid w:val="000E25D5"/>
    <w:rsid w:val="000E295E"/>
    <w:rsid w:val="000E29AD"/>
    <w:rsid w:val="000E3964"/>
    <w:rsid w:val="000F38ED"/>
    <w:rsid w:val="00107FFB"/>
    <w:rsid w:val="00110996"/>
    <w:rsid w:val="0011127E"/>
    <w:rsid w:val="00111BBB"/>
    <w:rsid w:val="00115EE2"/>
    <w:rsid w:val="00122CCE"/>
    <w:rsid w:val="00124E58"/>
    <w:rsid w:val="001261E7"/>
    <w:rsid w:val="001337DB"/>
    <w:rsid w:val="001373F9"/>
    <w:rsid w:val="0014158C"/>
    <w:rsid w:val="00151168"/>
    <w:rsid w:val="001552DF"/>
    <w:rsid w:val="001573AA"/>
    <w:rsid w:val="00160EAD"/>
    <w:rsid w:val="00176043"/>
    <w:rsid w:val="001872C1"/>
    <w:rsid w:val="0019067A"/>
    <w:rsid w:val="001908C7"/>
    <w:rsid w:val="00196389"/>
    <w:rsid w:val="001A0949"/>
    <w:rsid w:val="001A18B9"/>
    <w:rsid w:val="001A32A8"/>
    <w:rsid w:val="001A5935"/>
    <w:rsid w:val="001A6ED4"/>
    <w:rsid w:val="001A7D9A"/>
    <w:rsid w:val="001B0BCE"/>
    <w:rsid w:val="001B256F"/>
    <w:rsid w:val="001B3991"/>
    <w:rsid w:val="001C26C5"/>
    <w:rsid w:val="001C4A14"/>
    <w:rsid w:val="001C5533"/>
    <w:rsid w:val="001C6598"/>
    <w:rsid w:val="001D007C"/>
    <w:rsid w:val="001D1F3F"/>
    <w:rsid w:val="001D2637"/>
    <w:rsid w:val="001D3A4F"/>
    <w:rsid w:val="001D6D80"/>
    <w:rsid w:val="001E031F"/>
    <w:rsid w:val="001E24BC"/>
    <w:rsid w:val="001E33F5"/>
    <w:rsid w:val="002011D1"/>
    <w:rsid w:val="002014D7"/>
    <w:rsid w:val="0020456B"/>
    <w:rsid w:val="00205B87"/>
    <w:rsid w:val="00212875"/>
    <w:rsid w:val="002152E9"/>
    <w:rsid w:val="0021787D"/>
    <w:rsid w:val="00221F90"/>
    <w:rsid w:val="00226DC2"/>
    <w:rsid w:val="0024136F"/>
    <w:rsid w:val="00282A34"/>
    <w:rsid w:val="00287D99"/>
    <w:rsid w:val="002A274E"/>
    <w:rsid w:val="002A7B43"/>
    <w:rsid w:val="002C6711"/>
    <w:rsid w:val="002E2839"/>
    <w:rsid w:val="002E592A"/>
    <w:rsid w:val="002E5EA6"/>
    <w:rsid w:val="002F6279"/>
    <w:rsid w:val="00317C2E"/>
    <w:rsid w:val="00320DA7"/>
    <w:rsid w:val="00320F8A"/>
    <w:rsid w:val="003227A8"/>
    <w:rsid w:val="00332883"/>
    <w:rsid w:val="003356A0"/>
    <w:rsid w:val="00337585"/>
    <w:rsid w:val="00337D84"/>
    <w:rsid w:val="0034249C"/>
    <w:rsid w:val="00345BD3"/>
    <w:rsid w:val="00364F93"/>
    <w:rsid w:val="0037695D"/>
    <w:rsid w:val="00377807"/>
    <w:rsid w:val="00383A2B"/>
    <w:rsid w:val="0038447D"/>
    <w:rsid w:val="003B4704"/>
    <w:rsid w:val="003B7953"/>
    <w:rsid w:val="003C231B"/>
    <w:rsid w:val="003C7431"/>
    <w:rsid w:val="003D0E18"/>
    <w:rsid w:val="003D3EC4"/>
    <w:rsid w:val="003E0DBF"/>
    <w:rsid w:val="00402AA9"/>
    <w:rsid w:val="004046C5"/>
    <w:rsid w:val="00423F96"/>
    <w:rsid w:val="00424B06"/>
    <w:rsid w:val="00432C61"/>
    <w:rsid w:val="00432FD7"/>
    <w:rsid w:val="0043722B"/>
    <w:rsid w:val="00441D85"/>
    <w:rsid w:val="00442BC0"/>
    <w:rsid w:val="0045543E"/>
    <w:rsid w:val="004571F2"/>
    <w:rsid w:val="00457990"/>
    <w:rsid w:val="0047665D"/>
    <w:rsid w:val="00480B41"/>
    <w:rsid w:val="004A72D1"/>
    <w:rsid w:val="004B76AE"/>
    <w:rsid w:val="004C0EE6"/>
    <w:rsid w:val="004C2E97"/>
    <w:rsid w:val="004C508C"/>
    <w:rsid w:val="004C6B24"/>
    <w:rsid w:val="004D0AC2"/>
    <w:rsid w:val="004D34B0"/>
    <w:rsid w:val="004D3BFF"/>
    <w:rsid w:val="004D5C13"/>
    <w:rsid w:val="004E371B"/>
    <w:rsid w:val="004E5CA8"/>
    <w:rsid w:val="00511C4C"/>
    <w:rsid w:val="00512537"/>
    <w:rsid w:val="00525770"/>
    <w:rsid w:val="00547DA3"/>
    <w:rsid w:val="00552C26"/>
    <w:rsid w:val="00553BD4"/>
    <w:rsid w:val="005540A1"/>
    <w:rsid w:val="005574D3"/>
    <w:rsid w:val="00557903"/>
    <w:rsid w:val="0056449E"/>
    <w:rsid w:val="0056744C"/>
    <w:rsid w:val="005708F6"/>
    <w:rsid w:val="00586EEA"/>
    <w:rsid w:val="005A3665"/>
    <w:rsid w:val="005A6D3C"/>
    <w:rsid w:val="005B0384"/>
    <w:rsid w:val="005B2455"/>
    <w:rsid w:val="005B7BA9"/>
    <w:rsid w:val="005C28B8"/>
    <w:rsid w:val="005D01CE"/>
    <w:rsid w:val="005D0BD2"/>
    <w:rsid w:val="005D2212"/>
    <w:rsid w:val="005D3342"/>
    <w:rsid w:val="005D4C16"/>
    <w:rsid w:val="005F039E"/>
    <w:rsid w:val="005F0E9C"/>
    <w:rsid w:val="00605CF6"/>
    <w:rsid w:val="006064A6"/>
    <w:rsid w:val="0061204B"/>
    <w:rsid w:val="00613F85"/>
    <w:rsid w:val="00621672"/>
    <w:rsid w:val="0062343E"/>
    <w:rsid w:val="006253E2"/>
    <w:rsid w:val="00633B3F"/>
    <w:rsid w:val="006345B8"/>
    <w:rsid w:val="006438E2"/>
    <w:rsid w:val="00646478"/>
    <w:rsid w:val="00652861"/>
    <w:rsid w:val="00653D7B"/>
    <w:rsid w:val="00653F61"/>
    <w:rsid w:val="0065557F"/>
    <w:rsid w:val="0065616C"/>
    <w:rsid w:val="00665ADA"/>
    <w:rsid w:val="0066610F"/>
    <w:rsid w:val="0066799A"/>
    <w:rsid w:val="00672961"/>
    <w:rsid w:val="0068070A"/>
    <w:rsid w:val="006864FF"/>
    <w:rsid w:val="006A090F"/>
    <w:rsid w:val="006B452A"/>
    <w:rsid w:val="006B486D"/>
    <w:rsid w:val="006C2F0B"/>
    <w:rsid w:val="006C3348"/>
    <w:rsid w:val="006C633C"/>
    <w:rsid w:val="006D2F44"/>
    <w:rsid w:val="006D7BF8"/>
    <w:rsid w:val="006E198E"/>
    <w:rsid w:val="006F0423"/>
    <w:rsid w:val="006F5FD6"/>
    <w:rsid w:val="006F69B1"/>
    <w:rsid w:val="00700EB7"/>
    <w:rsid w:val="00707EEA"/>
    <w:rsid w:val="00713724"/>
    <w:rsid w:val="00722913"/>
    <w:rsid w:val="0072558C"/>
    <w:rsid w:val="00725856"/>
    <w:rsid w:val="00751207"/>
    <w:rsid w:val="00752ADF"/>
    <w:rsid w:val="00753B55"/>
    <w:rsid w:val="007557BE"/>
    <w:rsid w:val="00757D9B"/>
    <w:rsid w:val="00765EEB"/>
    <w:rsid w:val="00766CBF"/>
    <w:rsid w:val="00772E0E"/>
    <w:rsid w:val="0077353D"/>
    <w:rsid w:val="00780BFF"/>
    <w:rsid w:val="00781E52"/>
    <w:rsid w:val="007820E5"/>
    <w:rsid w:val="00784282"/>
    <w:rsid w:val="007B0026"/>
    <w:rsid w:val="007C2049"/>
    <w:rsid w:val="007D0D4F"/>
    <w:rsid w:val="007E1E24"/>
    <w:rsid w:val="007E2CDF"/>
    <w:rsid w:val="007E40D7"/>
    <w:rsid w:val="007F423E"/>
    <w:rsid w:val="00815984"/>
    <w:rsid w:val="0082087C"/>
    <w:rsid w:val="0082301F"/>
    <w:rsid w:val="0082398F"/>
    <w:rsid w:val="008242A3"/>
    <w:rsid w:val="0083078E"/>
    <w:rsid w:val="00836EC4"/>
    <w:rsid w:val="00844908"/>
    <w:rsid w:val="008602C2"/>
    <w:rsid w:val="00871D67"/>
    <w:rsid w:val="008721B1"/>
    <w:rsid w:val="00872B56"/>
    <w:rsid w:val="00874B75"/>
    <w:rsid w:val="00876CAD"/>
    <w:rsid w:val="00883D1F"/>
    <w:rsid w:val="00885E6F"/>
    <w:rsid w:val="00887259"/>
    <w:rsid w:val="00894507"/>
    <w:rsid w:val="008A179E"/>
    <w:rsid w:val="008B05F2"/>
    <w:rsid w:val="008C2B7A"/>
    <w:rsid w:val="008C5933"/>
    <w:rsid w:val="008C62C2"/>
    <w:rsid w:val="008C6B82"/>
    <w:rsid w:val="008C729F"/>
    <w:rsid w:val="008D240B"/>
    <w:rsid w:val="008D383D"/>
    <w:rsid w:val="008D5E5F"/>
    <w:rsid w:val="008E0820"/>
    <w:rsid w:val="008E3853"/>
    <w:rsid w:val="008E6134"/>
    <w:rsid w:val="00905C85"/>
    <w:rsid w:val="00914213"/>
    <w:rsid w:val="00930FBC"/>
    <w:rsid w:val="00935712"/>
    <w:rsid w:val="009358BF"/>
    <w:rsid w:val="00945FFC"/>
    <w:rsid w:val="00947E57"/>
    <w:rsid w:val="009707E4"/>
    <w:rsid w:val="009750BD"/>
    <w:rsid w:val="00977D5A"/>
    <w:rsid w:val="00980A8B"/>
    <w:rsid w:val="00983CD9"/>
    <w:rsid w:val="00985054"/>
    <w:rsid w:val="00985333"/>
    <w:rsid w:val="009975BA"/>
    <w:rsid w:val="009A1220"/>
    <w:rsid w:val="009A6822"/>
    <w:rsid w:val="009B5D7E"/>
    <w:rsid w:val="009B714F"/>
    <w:rsid w:val="009C36BD"/>
    <w:rsid w:val="009C6B34"/>
    <w:rsid w:val="009D011E"/>
    <w:rsid w:val="009E55F5"/>
    <w:rsid w:val="009E67D4"/>
    <w:rsid w:val="009F2A9F"/>
    <w:rsid w:val="00A14A3C"/>
    <w:rsid w:val="00A14CB9"/>
    <w:rsid w:val="00A20576"/>
    <w:rsid w:val="00A2724E"/>
    <w:rsid w:val="00A31C38"/>
    <w:rsid w:val="00A47B1F"/>
    <w:rsid w:val="00A55371"/>
    <w:rsid w:val="00A56316"/>
    <w:rsid w:val="00A57D47"/>
    <w:rsid w:val="00A657E8"/>
    <w:rsid w:val="00A7565E"/>
    <w:rsid w:val="00A77F09"/>
    <w:rsid w:val="00A86895"/>
    <w:rsid w:val="00A91B05"/>
    <w:rsid w:val="00AA0DF1"/>
    <w:rsid w:val="00AA399B"/>
    <w:rsid w:val="00AA5170"/>
    <w:rsid w:val="00AC4BCB"/>
    <w:rsid w:val="00AC663C"/>
    <w:rsid w:val="00AC73BC"/>
    <w:rsid w:val="00AD4C50"/>
    <w:rsid w:val="00AD7ACB"/>
    <w:rsid w:val="00AE517D"/>
    <w:rsid w:val="00AE72FA"/>
    <w:rsid w:val="00AF3FB1"/>
    <w:rsid w:val="00B03940"/>
    <w:rsid w:val="00B1368A"/>
    <w:rsid w:val="00B1677E"/>
    <w:rsid w:val="00B204E9"/>
    <w:rsid w:val="00B27616"/>
    <w:rsid w:val="00B304F5"/>
    <w:rsid w:val="00B331C2"/>
    <w:rsid w:val="00B3564E"/>
    <w:rsid w:val="00B523EC"/>
    <w:rsid w:val="00B52F02"/>
    <w:rsid w:val="00B54262"/>
    <w:rsid w:val="00B72FCA"/>
    <w:rsid w:val="00B844DE"/>
    <w:rsid w:val="00B91214"/>
    <w:rsid w:val="00BA7B03"/>
    <w:rsid w:val="00BB3A26"/>
    <w:rsid w:val="00BB7F51"/>
    <w:rsid w:val="00BC2CE8"/>
    <w:rsid w:val="00BC749D"/>
    <w:rsid w:val="00BE08D5"/>
    <w:rsid w:val="00BE48B3"/>
    <w:rsid w:val="00BE763D"/>
    <w:rsid w:val="00BF0564"/>
    <w:rsid w:val="00BF1C6F"/>
    <w:rsid w:val="00C122AD"/>
    <w:rsid w:val="00C1411B"/>
    <w:rsid w:val="00C213B5"/>
    <w:rsid w:val="00C36232"/>
    <w:rsid w:val="00C41B99"/>
    <w:rsid w:val="00C546B7"/>
    <w:rsid w:val="00C63384"/>
    <w:rsid w:val="00C64FD9"/>
    <w:rsid w:val="00C650F9"/>
    <w:rsid w:val="00C66ACA"/>
    <w:rsid w:val="00C72A03"/>
    <w:rsid w:val="00C73BFF"/>
    <w:rsid w:val="00C762CE"/>
    <w:rsid w:val="00C77DEA"/>
    <w:rsid w:val="00C83112"/>
    <w:rsid w:val="00C8480F"/>
    <w:rsid w:val="00C908C4"/>
    <w:rsid w:val="00C923C6"/>
    <w:rsid w:val="00C94EF0"/>
    <w:rsid w:val="00C97E5E"/>
    <w:rsid w:val="00CA098D"/>
    <w:rsid w:val="00CA09F4"/>
    <w:rsid w:val="00CA36C2"/>
    <w:rsid w:val="00CB26C3"/>
    <w:rsid w:val="00CB303F"/>
    <w:rsid w:val="00CB3304"/>
    <w:rsid w:val="00CC2634"/>
    <w:rsid w:val="00CC7251"/>
    <w:rsid w:val="00CD0CA2"/>
    <w:rsid w:val="00CE1F21"/>
    <w:rsid w:val="00CE26C1"/>
    <w:rsid w:val="00CF77AE"/>
    <w:rsid w:val="00D136A7"/>
    <w:rsid w:val="00D22566"/>
    <w:rsid w:val="00D338D1"/>
    <w:rsid w:val="00D343E0"/>
    <w:rsid w:val="00D36EA5"/>
    <w:rsid w:val="00D400C4"/>
    <w:rsid w:val="00D41699"/>
    <w:rsid w:val="00D42063"/>
    <w:rsid w:val="00D45008"/>
    <w:rsid w:val="00D61BD6"/>
    <w:rsid w:val="00D6246C"/>
    <w:rsid w:val="00D70B62"/>
    <w:rsid w:val="00D77991"/>
    <w:rsid w:val="00DA5A70"/>
    <w:rsid w:val="00DB3675"/>
    <w:rsid w:val="00DB7831"/>
    <w:rsid w:val="00DC4654"/>
    <w:rsid w:val="00DC6929"/>
    <w:rsid w:val="00DD10A0"/>
    <w:rsid w:val="00DD1601"/>
    <w:rsid w:val="00DD4080"/>
    <w:rsid w:val="00DD7FA4"/>
    <w:rsid w:val="00DF069B"/>
    <w:rsid w:val="00DF0FB9"/>
    <w:rsid w:val="00DF71EE"/>
    <w:rsid w:val="00E01B60"/>
    <w:rsid w:val="00E02A66"/>
    <w:rsid w:val="00E039FF"/>
    <w:rsid w:val="00E14E16"/>
    <w:rsid w:val="00E27D75"/>
    <w:rsid w:val="00E30622"/>
    <w:rsid w:val="00E313FB"/>
    <w:rsid w:val="00E31408"/>
    <w:rsid w:val="00E32291"/>
    <w:rsid w:val="00E341CB"/>
    <w:rsid w:val="00E40AE8"/>
    <w:rsid w:val="00E45FE2"/>
    <w:rsid w:val="00E66AF1"/>
    <w:rsid w:val="00E701BC"/>
    <w:rsid w:val="00E75897"/>
    <w:rsid w:val="00E77FBE"/>
    <w:rsid w:val="00E8698C"/>
    <w:rsid w:val="00E92EBA"/>
    <w:rsid w:val="00E94197"/>
    <w:rsid w:val="00E9671B"/>
    <w:rsid w:val="00E968DC"/>
    <w:rsid w:val="00EA1BDD"/>
    <w:rsid w:val="00EB73CC"/>
    <w:rsid w:val="00EC441B"/>
    <w:rsid w:val="00EC5A8F"/>
    <w:rsid w:val="00ED2539"/>
    <w:rsid w:val="00ED49E6"/>
    <w:rsid w:val="00EE17A8"/>
    <w:rsid w:val="00EE7E47"/>
    <w:rsid w:val="00EF11F2"/>
    <w:rsid w:val="00EF3C0A"/>
    <w:rsid w:val="00EF484F"/>
    <w:rsid w:val="00F04334"/>
    <w:rsid w:val="00F04A95"/>
    <w:rsid w:val="00F05AD7"/>
    <w:rsid w:val="00F2384E"/>
    <w:rsid w:val="00F276C5"/>
    <w:rsid w:val="00F27898"/>
    <w:rsid w:val="00F35B7F"/>
    <w:rsid w:val="00F453DC"/>
    <w:rsid w:val="00F4794C"/>
    <w:rsid w:val="00F55184"/>
    <w:rsid w:val="00F57421"/>
    <w:rsid w:val="00F57D42"/>
    <w:rsid w:val="00F61FAE"/>
    <w:rsid w:val="00F676C4"/>
    <w:rsid w:val="00F7112C"/>
    <w:rsid w:val="00F72C01"/>
    <w:rsid w:val="00F806DD"/>
    <w:rsid w:val="00F8243E"/>
    <w:rsid w:val="00F84C41"/>
    <w:rsid w:val="00F91E30"/>
    <w:rsid w:val="00FA01D6"/>
    <w:rsid w:val="00FA1E8C"/>
    <w:rsid w:val="00FA2C1C"/>
    <w:rsid w:val="00FB15D2"/>
    <w:rsid w:val="00FB1C90"/>
    <w:rsid w:val="00FD3F6B"/>
    <w:rsid w:val="00FD4171"/>
    <w:rsid w:val="00FD6E1E"/>
    <w:rsid w:val="00FD73AD"/>
    <w:rsid w:val="00FF2054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75A859DD"/>
  <w15:docId w15:val="{EB562F87-8139-48D9-8779-65AA696D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73F9"/>
    <w:rPr>
      <w:sz w:val="24"/>
      <w:szCs w:val="24"/>
      <w:lang w:val="en-GB"/>
    </w:rPr>
  </w:style>
  <w:style w:type="paragraph" w:styleId="Nadpis2">
    <w:name w:val="heading 2"/>
    <w:basedOn w:val="Normln"/>
    <w:next w:val="Normln"/>
    <w:qFormat/>
    <w:rsid w:val="001373F9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1373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  <w:lang w:val="cs-CZ"/>
    </w:rPr>
  </w:style>
  <w:style w:type="character" w:styleId="Hypertextovodkaz">
    <w:name w:val="Hyperlink"/>
    <w:semiHidden/>
    <w:rsid w:val="001373F9"/>
    <w:rPr>
      <w:color w:val="0000FF"/>
      <w:u w:val="single"/>
    </w:rPr>
  </w:style>
  <w:style w:type="character" w:styleId="Sledovanodkaz">
    <w:name w:val="FollowedHyperlink"/>
    <w:semiHidden/>
    <w:rsid w:val="001373F9"/>
    <w:rPr>
      <w:color w:val="800080"/>
      <w:u w:val="single"/>
    </w:rPr>
  </w:style>
  <w:style w:type="paragraph" w:styleId="Zhlav">
    <w:name w:val="header"/>
    <w:basedOn w:val="Normln"/>
    <w:semiHidden/>
    <w:rsid w:val="001373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73F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72B56"/>
    <w:rPr>
      <w:rFonts w:ascii="Tahoma" w:hAnsi="Tahoma" w:cs="Tahoma"/>
      <w:sz w:val="16"/>
      <w:szCs w:val="16"/>
    </w:rPr>
  </w:style>
  <w:style w:type="character" w:styleId="Zdraznn">
    <w:name w:val="Emphasis"/>
    <w:uiPriority w:val="20"/>
    <w:qFormat/>
    <w:rsid w:val="00432C61"/>
    <w:rPr>
      <w:i/>
      <w:iCs/>
    </w:rPr>
  </w:style>
  <w:style w:type="character" w:styleId="Siln">
    <w:name w:val="Strong"/>
    <w:uiPriority w:val="22"/>
    <w:qFormat/>
    <w:rsid w:val="004D0AC2"/>
    <w:rPr>
      <w:b/>
      <w:bCs/>
    </w:rPr>
  </w:style>
  <w:style w:type="paragraph" w:styleId="Zkladntextodsazen3">
    <w:name w:val="Body Text Indent 3"/>
    <w:basedOn w:val="Normln"/>
    <w:link w:val="Zkladntextodsazen3Char"/>
    <w:semiHidden/>
    <w:rsid w:val="007557B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before="120"/>
      <w:ind w:left="936" w:firstLine="709"/>
      <w:jc w:val="both"/>
    </w:pPr>
    <w:rPr>
      <w:rFonts w:ascii="Arial" w:hAnsi="Arial"/>
      <w:b/>
      <w:bCs/>
      <w:color w:val="FF0000"/>
      <w:sz w:val="20"/>
      <w:lang w:val="cs-CZ"/>
    </w:rPr>
  </w:style>
  <w:style w:type="character" w:customStyle="1" w:styleId="Zkladntextodsazen3Char">
    <w:name w:val="Základní text odsazený 3 Char"/>
    <w:link w:val="Zkladntextodsazen3"/>
    <w:semiHidden/>
    <w:rsid w:val="007557BE"/>
    <w:rPr>
      <w:rFonts w:ascii="Arial" w:hAnsi="Arial"/>
      <w:b/>
      <w:bCs/>
      <w:color w:val="FF0000"/>
      <w:szCs w:val="24"/>
    </w:rPr>
  </w:style>
  <w:style w:type="character" w:styleId="Odkaznakoment">
    <w:name w:val="annotation reference"/>
    <w:uiPriority w:val="99"/>
    <w:semiHidden/>
    <w:unhideWhenUsed/>
    <w:rsid w:val="00985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0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85054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5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5054"/>
    <w:rPr>
      <w:b/>
      <w:bCs/>
      <w:lang w:val="en-GB"/>
    </w:rPr>
  </w:style>
  <w:style w:type="paragraph" w:styleId="Revize">
    <w:name w:val="Revision"/>
    <w:hidden/>
    <w:uiPriority w:val="99"/>
    <w:semiHidden/>
    <w:rsid w:val="00EE17A8"/>
    <w:rPr>
      <w:sz w:val="24"/>
      <w:szCs w:val="24"/>
      <w:lang w:val="en-GB"/>
    </w:rPr>
  </w:style>
  <w:style w:type="paragraph" w:customStyle="1" w:styleId="doc-ti">
    <w:name w:val="doc-ti"/>
    <w:basedOn w:val="Normln"/>
    <w:rsid w:val="00BE48B3"/>
    <w:pPr>
      <w:spacing w:before="100" w:beforeAutospacing="1" w:after="100" w:afterAutospacing="1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environment_z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chmi.cz/files/portal/docs/uoco/oez/emisnibilance_CZ.html" TargetMode="External"/><Relationship Id="rId12" Type="http://schemas.openxmlformats.org/officeDocument/2006/relationships/hyperlink" Target="http://www.ochranaprirody.cz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zp.cz/e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rtal.chmi.cz/?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cenia.cz/ww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3619</Words>
  <Characters>21356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The environment comprises anything that creates natural conditions for the existence of organisms, including human being</vt:lpstr>
    </vt:vector>
  </TitlesOfParts>
  <Company>csu</Company>
  <LinksUpToDate>false</LinksUpToDate>
  <CharactersWithSpaces>24926</CharactersWithSpaces>
  <SharedDoc>false</SharedDoc>
  <HLinks>
    <vt:vector size="30" baseType="variant">
      <vt:variant>
        <vt:i4>3801121</vt:i4>
      </vt:variant>
      <vt:variant>
        <vt:i4>12</vt:i4>
      </vt:variant>
      <vt:variant>
        <vt:i4>0</vt:i4>
      </vt:variant>
      <vt:variant>
        <vt:i4>5</vt:i4>
      </vt:variant>
      <vt:variant>
        <vt:lpwstr>http://www.ochranaprirody.cz/wps/portal/en/</vt:lpwstr>
      </vt:variant>
      <vt:variant>
        <vt:lpwstr/>
      </vt:variant>
      <vt:variant>
        <vt:i4>1310747</vt:i4>
      </vt:variant>
      <vt:variant>
        <vt:i4>9</vt:i4>
      </vt:variant>
      <vt:variant>
        <vt:i4>0</vt:i4>
      </vt:variant>
      <vt:variant>
        <vt:i4>5</vt:i4>
      </vt:variant>
      <vt:variant>
        <vt:lpwstr>http://www.mzp.cz/en/</vt:lpwstr>
      </vt:variant>
      <vt:variant>
        <vt:lpwstr/>
      </vt:variant>
      <vt:variant>
        <vt:i4>4784142</vt:i4>
      </vt:variant>
      <vt:variant>
        <vt:i4>6</vt:i4>
      </vt:variant>
      <vt:variant>
        <vt:i4>0</vt:i4>
      </vt:variant>
      <vt:variant>
        <vt:i4>5</vt:i4>
      </vt:variant>
      <vt:variant>
        <vt:lpwstr>http://www.chmi.cz/portal/dt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http://www1.cenia.cz/www/</vt:lpwstr>
      </vt:variant>
      <vt:variant>
        <vt:lpwstr/>
      </vt:variant>
      <vt:variant>
        <vt:i4>1900579</vt:i4>
      </vt:variant>
      <vt:variant>
        <vt:i4>0</vt:i4>
      </vt:variant>
      <vt:variant>
        <vt:i4>0</vt:i4>
      </vt:variant>
      <vt:variant>
        <vt:i4>5</vt:i4>
      </vt:variant>
      <vt:variant>
        <vt:lpwstr>http://www.czso.cz/eng/redakce.nsf/i/environment_zem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 comprises anything that creates natural conditions for the existence of organisms, including human being</dc:title>
  <dc:creator>csu</dc:creator>
  <cp:lastModifiedBy>Ing. Venuše Novotná</cp:lastModifiedBy>
  <cp:revision>10</cp:revision>
  <cp:lastPrinted>2018-09-17T08:04:00Z</cp:lastPrinted>
  <dcterms:created xsi:type="dcterms:W3CDTF">2018-09-14T08:47:00Z</dcterms:created>
  <dcterms:modified xsi:type="dcterms:W3CDTF">2018-10-09T09:07:00Z</dcterms:modified>
</cp:coreProperties>
</file>