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CCDFA" w14:textId="66D80720" w:rsidR="00617E4C" w:rsidRPr="008A5DA2" w:rsidRDefault="006D595B" w:rsidP="005E6023">
      <w:pPr>
        <w:keepNext/>
        <w:spacing w:after="240" w:line="288" w:lineRule="auto"/>
        <w:outlineLvl w:val="3"/>
        <w:rPr>
          <w:b/>
          <w:sz w:val="28"/>
          <w:lang w:val="en-GB"/>
        </w:rPr>
      </w:pPr>
      <w:r w:rsidRPr="008A5DA2">
        <w:rPr>
          <w:b/>
          <w:sz w:val="28"/>
          <w:lang w:val="en-GB"/>
        </w:rPr>
        <w:t>Methodological notes</w:t>
      </w:r>
    </w:p>
    <w:p w14:paraId="172A9F94" w14:textId="3A82A2F2" w:rsidR="00CC0C6F" w:rsidRPr="008A5DA2" w:rsidRDefault="006D595B" w:rsidP="005E6023">
      <w:pPr>
        <w:spacing w:after="120" w:line="288" w:lineRule="auto"/>
        <w:rPr>
          <w:rFonts w:eastAsia="Arial Unicode MS" w:cs="Arial"/>
          <w:bCs w:val="0"/>
          <w:sz w:val="20"/>
          <w:lang w:val="en-GB"/>
        </w:rPr>
      </w:pPr>
      <w:r w:rsidRPr="008A5DA2">
        <w:rPr>
          <w:rFonts w:eastAsia="Arial Unicode MS" w:cs="Arial"/>
          <w:bCs w:val="0"/>
          <w:sz w:val="20"/>
          <w:lang w:val="en-GB"/>
        </w:rPr>
        <w:t xml:space="preserve">The basis for information on the size and demographic structure of </w:t>
      </w:r>
      <w:r w:rsidR="00DE3705">
        <w:rPr>
          <w:rFonts w:eastAsia="Arial Unicode MS" w:cs="Arial"/>
          <w:bCs w:val="0"/>
          <w:sz w:val="20"/>
          <w:lang w:val="en-GB"/>
        </w:rPr>
        <w:t xml:space="preserve">the </w:t>
      </w:r>
      <w:r w:rsidRPr="008A5DA2">
        <w:rPr>
          <w:rFonts w:eastAsia="Arial Unicode MS" w:cs="Arial"/>
          <w:bCs w:val="0"/>
          <w:sz w:val="20"/>
          <w:lang w:val="en-GB"/>
        </w:rPr>
        <w:t xml:space="preserve">population are periodic </w:t>
      </w:r>
      <w:r w:rsidR="000C0B85">
        <w:rPr>
          <w:rFonts w:eastAsia="Arial Unicode MS" w:cs="Arial"/>
          <w:bCs w:val="0"/>
          <w:sz w:val="20"/>
          <w:lang w:val="en-GB"/>
        </w:rPr>
        <w:t>c</w:t>
      </w:r>
      <w:r w:rsidR="006552DF">
        <w:rPr>
          <w:rFonts w:eastAsia="Arial Unicode MS" w:cs="Arial"/>
          <w:bCs w:val="0"/>
          <w:sz w:val="20"/>
          <w:lang w:val="en-GB"/>
        </w:rPr>
        <w:t>ensus</w:t>
      </w:r>
      <w:r w:rsidR="006552DF" w:rsidRPr="008A5DA2">
        <w:rPr>
          <w:rFonts w:eastAsia="Arial Unicode MS" w:cs="Arial"/>
          <w:bCs w:val="0"/>
          <w:sz w:val="20"/>
          <w:lang w:val="en-GB"/>
        </w:rPr>
        <w:t xml:space="preserve">es </w:t>
      </w:r>
      <w:r w:rsidR="00D202FB">
        <w:rPr>
          <w:rFonts w:eastAsia="Arial Unicode MS" w:cs="Arial"/>
          <w:bCs w:val="0"/>
          <w:sz w:val="20"/>
          <w:lang w:val="en-GB"/>
        </w:rPr>
        <w:t xml:space="preserve">of </w:t>
      </w:r>
      <w:r w:rsidRPr="008A5DA2">
        <w:rPr>
          <w:rFonts w:eastAsia="Arial Unicode MS" w:cs="Arial"/>
          <w:bCs w:val="0"/>
          <w:sz w:val="20"/>
          <w:lang w:val="en-GB"/>
        </w:rPr>
        <w:t>population</w:t>
      </w:r>
      <w:r w:rsidR="00D202FB">
        <w:rPr>
          <w:rFonts w:eastAsia="Arial Unicode MS" w:cs="Arial"/>
          <w:bCs w:val="0"/>
          <w:sz w:val="20"/>
          <w:lang w:val="en-GB"/>
        </w:rPr>
        <w:t>,</w:t>
      </w:r>
      <w:r w:rsidR="00C01E0D">
        <w:rPr>
          <w:rFonts w:eastAsia="Arial Unicode MS" w:cs="Arial"/>
          <w:bCs w:val="0"/>
          <w:sz w:val="20"/>
          <w:lang w:val="en-GB"/>
        </w:rPr>
        <w:t xml:space="preserve"> </w:t>
      </w:r>
      <w:r w:rsidRPr="008A5DA2">
        <w:rPr>
          <w:rFonts w:eastAsia="Arial Unicode MS" w:cs="Arial"/>
          <w:bCs w:val="0"/>
          <w:sz w:val="20"/>
          <w:lang w:val="en-GB"/>
        </w:rPr>
        <w:t>hous</w:t>
      </w:r>
      <w:r w:rsidR="00D202FB">
        <w:rPr>
          <w:rFonts w:eastAsia="Arial Unicode MS" w:cs="Arial"/>
          <w:bCs w:val="0"/>
          <w:sz w:val="20"/>
          <w:lang w:val="en-GB"/>
        </w:rPr>
        <w:t>es and dwellings</w:t>
      </w:r>
      <w:r w:rsidRPr="008A5DA2">
        <w:rPr>
          <w:rFonts w:eastAsia="Arial Unicode MS" w:cs="Arial"/>
          <w:bCs w:val="0"/>
          <w:sz w:val="20"/>
          <w:lang w:val="en-GB"/>
        </w:rPr>
        <w:t xml:space="preserve">, </w:t>
      </w:r>
      <w:r w:rsidR="00D202FB">
        <w:rPr>
          <w:rFonts w:eastAsia="Arial Unicode MS" w:cs="Arial"/>
          <w:bCs w:val="0"/>
          <w:sz w:val="20"/>
          <w:lang w:val="en-GB"/>
        </w:rPr>
        <w:t xml:space="preserve">held </w:t>
      </w:r>
      <w:r w:rsidR="001B0A41">
        <w:rPr>
          <w:rFonts w:eastAsia="Arial Unicode MS" w:cs="Arial"/>
          <w:bCs w:val="0"/>
          <w:sz w:val="20"/>
          <w:lang w:val="en-GB"/>
        </w:rPr>
        <w:t xml:space="preserve">at </w:t>
      </w:r>
      <w:r w:rsidRPr="008A5DA2">
        <w:rPr>
          <w:rFonts w:eastAsia="Arial Unicode MS" w:cs="Arial"/>
          <w:bCs w:val="0"/>
          <w:sz w:val="20"/>
          <w:lang w:val="en-GB"/>
        </w:rPr>
        <w:t xml:space="preserve">approximately </w:t>
      </w:r>
      <w:r w:rsidR="001B0A41">
        <w:rPr>
          <w:rFonts w:eastAsia="Arial Unicode MS" w:cs="Arial"/>
          <w:bCs w:val="0"/>
          <w:sz w:val="20"/>
          <w:lang w:val="en-GB"/>
        </w:rPr>
        <w:t xml:space="preserve">ten-year </w:t>
      </w:r>
      <w:r w:rsidRPr="008A5DA2">
        <w:rPr>
          <w:rFonts w:eastAsia="Arial Unicode MS" w:cs="Arial"/>
          <w:bCs w:val="0"/>
          <w:sz w:val="20"/>
          <w:lang w:val="en-GB"/>
        </w:rPr>
        <w:t xml:space="preserve">intervals. </w:t>
      </w:r>
      <w:r w:rsidR="00FC43EF">
        <w:rPr>
          <w:rFonts w:eastAsia="Arial Unicode MS" w:cs="Arial"/>
          <w:bCs w:val="0"/>
          <w:sz w:val="20"/>
          <w:lang w:val="en-GB"/>
        </w:rPr>
        <w:t xml:space="preserve">The </w:t>
      </w:r>
      <w:r w:rsidR="000C0B85">
        <w:rPr>
          <w:rFonts w:eastAsia="Arial Unicode MS" w:cs="Arial"/>
          <w:bCs w:val="0"/>
          <w:sz w:val="20"/>
          <w:lang w:val="en-GB"/>
        </w:rPr>
        <w:t>c</w:t>
      </w:r>
      <w:r w:rsidR="00C80687">
        <w:rPr>
          <w:rFonts w:eastAsia="Arial Unicode MS" w:cs="Arial"/>
          <w:bCs w:val="0"/>
          <w:sz w:val="20"/>
          <w:lang w:val="en-GB"/>
        </w:rPr>
        <w:t>ensus</w:t>
      </w:r>
      <w:r w:rsidRPr="008A5DA2">
        <w:rPr>
          <w:rFonts w:eastAsia="Arial Unicode MS" w:cs="Arial"/>
          <w:bCs w:val="0"/>
          <w:sz w:val="20"/>
          <w:lang w:val="en-GB"/>
        </w:rPr>
        <w:t xml:space="preserve"> data are followed by intercensal statistical population balance and annually processed statistics on marriages, divorces, births, deaths, abortions</w:t>
      </w:r>
      <w:r w:rsidR="00675DA1">
        <w:rPr>
          <w:rFonts w:eastAsia="Arial Unicode MS" w:cs="Arial"/>
          <w:bCs w:val="0"/>
          <w:sz w:val="20"/>
          <w:lang w:val="en-GB"/>
        </w:rPr>
        <w:t>,</w:t>
      </w:r>
      <w:r w:rsidRPr="008A5DA2">
        <w:rPr>
          <w:rFonts w:eastAsia="Arial Unicode MS" w:cs="Arial"/>
          <w:bCs w:val="0"/>
          <w:sz w:val="20"/>
          <w:lang w:val="en-GB"/>
        </w:rPr>
        <w:t xml:space="preserve"> and migration.</w:t>
      </w:r>
      <w:r w:rsidR="007D7E9F" w:rsidRPr="008A5DA2">
        <w:rPr>
          <w:rFonts w:eastAsia="Arial Unicode MS" w:cs="Arial"/>
          <w:bCs w:val="0"/>
          <w:sz w:val="20"/>
          <w:lang w:val="en-GB"/>
        </w:rPr>
        <w:t xml:space="preserve"> </w:t>
      </w:r>
      <w:r w:rsidR="00837B14">
        <w:rPr>
          <w:rFonts w:eastAsia="Arial Unicode MS" w:cs="Arial"/>
          <w:bCs w:val="0"/>
          <w:sz w:val="20"/>
          <w:lang w:val="en-GB"/>
        </w:rPr>
        <w:t>These are currently</w:t>
      </w:r>
      <w:r w:rsidR="007D7E9F" w:rsidRPr="008A5DA2">
        <w:rPr>
          <w:rFonts w:eastAsia="Arial Unicode MS" w:cs="Arial"/>
          <w:bCs w:val="0"/>
          <w:sz w:val="20"/>
          <w:lang w:val="en-GB"/>
        </w:rPr>
        <w:t xml:space="preserve"> </w:t>
      </w:r>
      <w:r w:rsidR="00837B14">
        <w:rPr>
          <w:rFonts w:eastAsia="Arial Unicode MS" w:cs="Arial"/>
          <w:bCs w:val="0"/>
          <w:sz w:val="20"/>
          <w:lang w:val="en-GB"/>
        </w:rPr>
        <w:t>based on</w:t>
      </w:r>
      <w:r w:rsidR="007D7E9F" w:rsidRPr="008A5DA2">
        <w:rPr>
          <w:rFonts w:eastAsia="Arial Unicode MS" w:cs="Arial"/>
          <w:bCs w:val="0"/>
          <w:sz w:val="20"/>
          <w:lang w:val="en-GB"/>
        </w:rPr>
        <w:t xml:space="preserve"> the processing of statistical reports on marriages, births, and deaths provided by registry offices</w:t>
      </w:r>
      <w:r w:rsidR="00837B14">
        <w:rPr>
          <w:rFonts w:eastAsia="Arial Unicode MS" w:cs="Arial"/>
          <w:bCs w:val="0"/>
          <w:sz w:val="20"/>
          <w:lang w:val="en-GB"/>
        </w:rPr>
        <w:t>,</w:t>
      </w:r>
      <w:r w:rsidR="007D7E9F" w:rsidRPr="008A5DA2">
        <w:rPr>
          <w:rFonts w:eastAsia="Arial Unicode MS" w:cs="Arial"/>
          <w:bCs w:val="0"/>
          <w:sz w:val="20"/>
          <w:lang w:val="en-GB"/>
        </w:rPr>
        <w:t xml:space="preserve"> and </w:t>
      </w:r>
      <w:r w:rsidR="00837B14">
        <w:rPr>
          <w:rFonts w:eastAsia="Arial Unicode MS" w:cs="Arial"/>
          <w:bCs w:val="0"/>
          <w:sz w:val="20"/>
          <w:lang w:val="en-GB"/>
        </w:rPr>
        <w:t>on the</w:t>
      </w:r>
      <w:r w:rsidR="007D7E9F" w:rsidRPr="008A5DA2">
        <w:rPr>
          <w:rFonts w:eastAsia="Arial Unicode MS" w:cs="Arial"/>
          <w:bCs w:val="0"/>
          <w:sz w:val="20"/>
          <w:lang w:val="en-GB"/>
        </w:rPr>
        <w:t xml:space="preserve"> processing of data taken from other information systems. Since 2007</w:t>
      </w:r>
      <w:r w:rsidR="009415D2">
        <w:rPr>
          <w:rFonts w:eastAsia="Arial Unicode MS" w:cs="Arial"/>
          <w:bCs w:val="0"/>
          <w:sz w:val="20"/>
          <w:lang w:val="en-GB"/>
        </w:rPr>
        <w:t>,</w:t>
      </w:r>
      <w:r w:rsidR="007D7E9F" w:rsidRPr="008A5DA2">
        <w:rPr>
          <w:rFonts w:eastAsia="Arial Unicode MS" w:cs="Arial"/>
          <w:bCs w:val="0"/>
          <w:sz w:val="20"/>
          <w:lang w:val="en-GB"/>
        </w:rPr>
        <w:t xml:space="preserve"> the information system of the Ministry of Justice of the CR is the source of data on divorces (</w:t>
      </w:r>
      <w:r w:rsidR="00B97608">
        <w:rPr>
          <w:rFonts w:eastAsia="Arial Unicode MS" w:cs="Arial"/>
          <w:bCs w:val="0"/>
          <w:sz w:val="20"/>
          <w:lang w:val="en-GB"/>
        </w:rPr>
        <w:t>until 2006</w:t>
      </w:r>
      <w:r w:rsidR="008A5DA2" w:rsidRPr="008A5DA2">
        <w:rPr>
          <w:rFonts w:eastAsia="Arial Unicode MS" w:cs="Arial"/>
          <w:bCs w:val="0"/>
          <w:sz w:val="20"/>
          <w:lang w:val="en-GB"/>
        </w:rPr>
        <w:t>,</w:t>
      </w:r>
      <w:r w:rsidR="007D7E9F" w:rsidRPr="008A5DA2">
        <w:rPr>
          <w:rFonts w:eastAsia="Arial Unicode MS" w:cs="Arial"/>
          <w:bCs w:val="0"/>
          <w:sz w:val="20"/>
          <w:lang w:val="en-GB"/>
        </w:rPr>
        <w:t xml:space="preserve"> the statistics was based on </w:t>
      </w:r>
      <w:r w:rsidR="008A5DA2" w:rsidRPr="008A5DA2">
        <w:rPr>
          <w:rFonts w:eastAsia="Arial Unicode MS" w:cs="Arial"/>
          <w:bCs w:val="0"/>
          <w:sz w:val="20"/>
          <w:lang w:val="en-GB"/>
        </w:rPr>
        <w:t xml:space="preserve">the </w:t>
      </w:r>
      <w:r w:rsidR="007D7E9F" w:rsidRPr="008A5DA2">
        <w:rPr>
          <w:rFonts w:eastAsia="Arial Unicode MS" w:cs="Arial"/>
          <w:bCs w:val="0"/>
          <w:sz w:val="20"/>
          <w:lang w:val="en-GB"/>
        </w:rPr>
        <w:t xml:space="preserve">processing of reports on divorce). </w:t>
      </w:r>
      <w:r w:rsidR="007025CB">
        <w:rPr>
          <w:rFonts w:eastAsia="Arial Unicode MS" w:cs="Arial"/>
          <w:bCs w:val="0"/>
          <w:sz w:val="20"/>
          <w:lang w:val="en-GB"/>
        </w:rPr>
        <w:t>D</w:t>
      </w:r>
      <w:r w:rsidR="007D7E9F" w:rsidRPr="008A5DA2">
        <w:rPr>
          <w:rFonts w:eastAsia="Arial Unicode MS" w:cs="Arial"/>
          <w:bCs w:val="0"/>
          <w:sz w:val="20"/>
          <w:lang w:val="en-GB"/>
        </w:rPr>
        <w:t>a</w:t>
      </w:r>
      <w:r w:rsidR="00C05087">
        <w:rPr>
          <w:rFonts w:eastAsia="Arial Unicode MS" w:cs="Arial"/>
          <w:bCs w:val="0"/>
          <w:sz w:val="20"/>
          <w:lang w:val="en-GB"/>
        </w:rPr>
        <w:t xml:space="preserve">ta on abortions and, since 2013 </w:t>
      </w:r>
      <w:r w:rsidR="007D7E9F" w:rsidRPr="008A5DA2">
        <w:rPr>
          <w:rFonts w:eastAsia="Arial Unicode MS" w:cs="Arial"/>
          <w:bCs w:val="0"/>
          <w:sz w:val="20"/>
          <w:lang w:val="en-GB"/>
        </w:rPr>
        <w:t>also on causes of death</w:t>
      </w:r>
      <w:r w:rsidR="00C05087">
        <w:rPr>
          <w:rFonts w:eastAsia="Arial Unicode MS" w:cs="Arial"/>
          <w:bCs w:val="0"/>
          <w:sz w:val="20"/>
          <w:lang w:val="en-GB"/>
        </w:rPr>
        <w:t>,</w:t>
      </w:r>
      <w:r w:rsidR="007D7E9F" w:rsidRPr="008A5DA2">
        <w:rPr>
          <w:rFonts w:eastAsia="Arial Unicode MS" w:cs="Arial"/>
          <w:bCs w:val="0"/>
          <w:sz w:val="20"/>
          <w:lang w:val="en-GB"/>
        </w:rPr>
        <w:t xml:space="preserve"> are provided to the Czech Statistical Office by the Institute of Health Information and Statistics of the CR</w:t>
      </w:r>
      <w:r w:rsidR="00CC0C6F" w:rsidRPr="008A5DA2">
        <w:rPr>
          <w:rFonts w:eastAsia="Arial Unicode MS" w:cs="Arial"/>
          <w:bCs w:val="0"/>
          <w:sz w:val="20"/>
          <w:lang w:val="en-GB"/>
        </w:rPr>
        <w:t xml:space="preserve"> (</w:t>
      </w:r>
      <w:r w:rsidR="00284A0B">
        <w:rPr>
          <w:rFonts w:eastAsia="Arial Unicode MS" w:cs="Arial"/>
          <w:bCs w:val="0"/>
          <w:sz w:val="20"/>
          <w:lang w:val="en-GB"/>
        </w:rPr>
        <w:t>until 2012</w:t>
      </w:r>
      <w:r w:rsidR="00CC0C6F" w:rsidRPr="008A5DA2">
        <w:rPr>
          <w:rFonts w:eastAsia="Arial Unicode MS" w:cs="Arial"/>
          <w:bCs w:val="0"/>
          <w:sz w:val="20"/>
          <w:lang w:val="en-GB"/>
        </w:rPr>
        <w:t>, causes of death were collected by the CZSO through the registry offices via the statistical reports on death)</w:t>
      </w:r>
      <w:r w:rsidR="007D7E9F" w:rsidRPr="008A5DA2">
        <w:rPr>
          <w:rFonts w:eastAsia="Arial Unicode MS" w:cs="Arial"/>
          <w:bCs w:val="0"/>
          <w:sz w:val="20"/>
          <w:lang w:val="en-GB"/>
        </w:rPr>
        <w:t>.</w:t>
      </w:r>
      <w:r w:rsidR="00CC0C6F" w:rsidRPr="008A5DA2">
        <w:rPr>
          <w:rFonts w:eastAsia="Arial Unicode MS" w:cs="Arial"/>
          <w:bCs w:val="0"/>
          <w:sz w:val="20"/>
          <w:lang w:val="en-GB"/>
        </w:rPr>
        <w:t xml:space="preserve"> </w:t>
      </w:r>
      <w:r w:rsidR="00284A0B">
        <w:rPr>
          <w:rFonts w:eastAsia="Arial Unicode MS" w:cs="Arial"/>
          <w:bCs w:val="0"/>
          <w:sz w:val="20"/>
          <w:lang w:val="en-GB"/>
        </w:rPr>
        <w:t xml:space="preserve">The </w:t>
      </w:r>
      <w:r w:rsidR="0066094E" w:rsidRPr="008A5DA2">
        <w:rPr>
          <w:rFonts w:eastAsia="Arial Unicode MS" w:cs="Arial"/>
          <w:bCs w:val="0"/>
          <w:sz w:val="20"/>
          <w:lang w:val="en-GB"/>
        </w:rPr>
        <w:t>CZSO obtains</w:t>
      </w:r>
      <w:r w:rsidR="00CC0C6F" w:rsidRPr="008A5DA2">
        <w:rPr>
          <w:rFonts w:eastAsia="Arial Unicode MS" w:cs="Arial"/>
          <w:bCs w:val="0"/>
          <w:sz w:val="20"/>
          <w:lang w:val="en-GB"/>
        </w:rPr>
        <w:t xml:space="preserve"> data on migration from information systems of the </w:t>
      </w:r>
      <w:r w:rsidR="00CC0C6F" w:rsidRPr="00450A4D">
        <w:rPr>
          <w:rFonts w:eastAsia="Arial Unicode MS" w:cs="Arial"/>
          <w:bCs w:val="0"/>
          <w:sz w:val="20"/>
          <w:lang w:val="en-GB"/>
        </w:rPr>
        <w:t>Directorate of the Foreign Police Service (since 2001</w:t>
      </w:r>
      <w:r w:rsidR="00CC0C6F" w:rsidRPr="008A5DA2">
        <w:rPr>
          <w:rFonts w:eastAsia="Arial Unicode MS" w:cs="Arial"/>
          <w:bCs w:val="0"/>
          <w:sz w:val="20"/>
          <w:lang w:val="en-GB"/>
        </w:rPr>
        <w:t>) and the Ministry of Interior of the CR (since 2005).</w:t>
      </w:r>
      <w:r w:rsidR="008A5DA2" w:rsidRPr="008A5DA2">
        <w:rPr>
          <w:rFonts w:eastAsia="Arial Unicode MS" w:cs="Arial"/>
          <w:bCs w:val="0"/>
          <w:sz w:val="20"/>
          <w:lang w:val="en-GB"/>
        </w:rPr>
        <w:t xml:space="preserve"> </w:t>
      </w:r>
      <w:r w:rsidR="00284A0B">
        <w:rPr>
          <w:rFonts w:eastAsia="Arial Unicode MS" w:cs="Arial"/>
          <w:bCs w:val="0"/>
          <w:sz w:val="20"/>
          <w:lang w:val="en-GB"/>
        </w:rPr>
        <w:t>Until 2004</w:t>
      </w:r>
      <w:r w:rsidR="00C05087">
        <w:rPr>
          <w:rFonts w:eastAsia="Arial Unicode MS" w:cs="Arial"/>
          <w:bCs w:val="0"/>
          <w:sz w:val="20"/>
          <w:lang w:val="en-GB"/>
        </w:rPr>
        <w:t>,</w:t>
      </w:r>
      <w:r w:rsidR="008A5DA2" w:rsidRPr="008A5DA2">
        <w:rPr>
          <w:rFonts w:eastAsia="Arial Unicode MS" w:cs="Arial"/>
          <w:bCs w:val="0"/>
          <w:sz w:val="20"/>
          <w:lang w:val="en-GB"/>
        </w:rPr>
        <w:t xml:space="preserve"> the statistics was based on the pro</w:t>
      </w:r>
      <w:r w:rsidR="00450A4D">
        <w:rPr>
          <w:rFonts w:eastAsia="Arial Unicode MS" w:cs="Arial"/>
          <w:bCs w:val="0"/>
          <w:sz w:val="20"/>
          <w:lang w:val="en-GB"/>
        </w:rPr>
        <w:t>cessing of reports on migration</w:t>
      </w:r>
      <w:r w:rsidR="008A5DA2" w:rsidRPr="008A5DA2">
        <w:rPr>
          <w:rFonts w:eastAsia="Arial Unicode MS" w:cs="Arial"/>
          <w:bCs w:val="0"/>
          <w:sz w:val="20"/>
          <w:lang w:val="en-GB"/>
        </w:rPr>
        <w:t>.</w:t>
      </w:r>
    </w:p>
    <w:p w14:paraId="6806128E" w14:textId="650E7999" w:rsidR="00013D51" w:rsidRPr="00013D51" w:rsidRDefault="00013D51" w:rsidP="005E6023">
      <w:pPr>
        <w:pStyle w:val="Zkladntextodsazen"/>
        <w:spacing w:after="120" w:line="288" w:lineRule="auto"/>
        <w:ind w:firstLine="0"/>
        <w:jc w:val="left"/>
        <w:rPr>
          <w:rFonts w:eastAsia="Arial Unicode MS"/>
          <w:sz w:val="20"/>
          <w:szCs w:val="20"/>
          <w:lang w:val="en-GB"/>
        </w:rPr>
      </w:pPr>
      <w:r w:rsidRPr="00013D51">
        <w:rPr>
          <w:rFonts w:eastAsia="Arial Unicode MS"/>
          <w:sz w:val="20"/>
          <w:szCs w:val="20"/>
          <w:lang w:val="en-GB"/>
        </w:rPr>
        <w:t>The basic sources of data for the Demographic Handbook were the source publications of demographic statistics</w:t>
      </w:r>
      <w:r w:rsidR="00421F96">
        <w:rPr>
          <w:rFonts w:eastAsia="Arial Unicode MS"/>
          <w:sz w:val="20"/>
          <w:szCs w:val="20"/>
          <w:lang w:val="en-GB"/>
        </w:rPr>
        <w:t>,</w:t>
      </w:r>
      <w:r w:rsidRPr="00013D51">
        <w:rPr>
          <w:rFonts w:eastAsia="Arial Unicode MS"/>
          <w:sz w:val="20"/>
          <w:szCs w:val="20"/>
          <w:lang w:val="en-GB"/>
        </w:rPr>
        <w:t xml:space="preserve"> </w:t>
      </w:r>
      <w:r w:rsidR="001B0A41">
        <w:rPr>
          <w:rFonts w:eastAsia="Arial Unicode MS"/>
          <w:sz w:val="20"/>
          <w:szCs w:val="20"/>
          <w:lang w:val="en-GB"/>
        </w:rPr>
        <w:t xml:space="preserve">results of </w:t>
      </w:r>
      <w:r w:rsidRPr="00013D51">
        <w:rPr>
          <w:rFonts w:eastAsia="Arial Unicode MS"/>
          <w:sz w:val="20"/>
          <w:szCs w:val="20"/>
          <w:lang w:val="en-GB"/>
        </w:rPr>
        <w:t>censuses, and previous editions of the Demographic Handbook.</w:t>
      </w:r>
    </w:p>
    <w:p w14:paraId="12E6D55B" w14:textId="2E268ABE" w:rsidR="00013D51" w:rsidRPr="00D0774E" w:rsidRDefault="00013D51" w:rsidP="005E6023">
      <w:pPr>
        <w:spacing w:after="120" w:line="288" w:lineRule="auto"/>
        <w:rPr>
          <w:rFonts w:cs="Arial"/>
          <w:sz w:val="20"/>
          <w:szCs w:val="20"/>
          <w:lang w:val="en-GB"/>
        </w:rPr>
      </w:pPr>
      <w:r w:rsidRPr="00D0774E">
        <w:rPr>
          <w:rFonts w:cs="Arial"/>
          <w:b/>
          <w:sz w:val="20"/>
          <w:szCs w:val="20"/>
          <w:lang w:val="en-GB"/>
        </w:rPr>
        <w:t>Data on demographic events</w:t>
      </w:r>
      <w:r w:rsidRPr="00D0774E">
        <w:rPr>
          <w:rFonts w:cs="Arial"/>
          <w:sz w:val="20"/>
          <w:szCs w:val="20"/>
          <w:lang w:val="en-GB"/>
        </w:rPr>
        <w:t xml:space="preserve"> always respect the legislation </w:t>
      </w:r>
      <w:r w:rsidR="00D0774E">
        <w:rPr>
          <w:rFonts w:cs="Arial"/>
          <w:sz w:val="20"/>
          <w:szCs w:val="20"/>
          <w:lang w:val="en-GB"/>
        </w:rPr>
        <w:t>effective</w:t>
      </w:r>
      <w:r w:rsidRPr="00D0774E">
        <w:rPr>
          <w:rFonts w:cs="Arial"/>
          <w:sz w:val="20"/>
          <w:szCs w:val="20"/>
          <w:lang w:val="en-GB"/>
        </w:rPr>
        <w:t xml:space="preserve"> in the year </w:t>
      </w:r>
      <w:r w:rsidR="00736AC5">
        <w:rPr>
          <w:rFonts w:cs="Arial"/>
          <w:sz w:val="20"/>
          <w:szCs w:val="20"/>
          <w:lang w:val="en-GB"/>
        </w:rPr>
        <w:t>of the event</w:t>
      </w:r>
      <w:r w:rsidRPr="00D0774E">
        <w:rPr>
          <w:rFonts w:cs="Arial"/>
          <w:sz w:val="20"/>
          <w:szCs w:val="20"/>
          <w:lang w:val="en-GB"/>
        </w:rPr>
        <w:t xml:space="preserve">, with definitions of individual events changing over </w:t>
      </w:r>
      <w:r w:rsidR="0015075E">
        <w:rPr>
          <w:rFonts w:cs="Arial"/>
          <w:sz w:val="20"/>
          <w:szCs w:val="20"/>
          <w:lang w:val="en-GB"/>
        </w:rPr>
        <w:t xml:space="preserve">the years </w:t>
      </w:r>
      <w:r w:rsidR="00844E63">
        <w:rPr>
          <w:rFonts w:cs="Arial"/>
          <w:sz w:val="20"/>
          <w:szCs w:val="20"/>
          <w:lang w:val="en-GB"/>
        </w:rPr>
        <w:t>(</w:t>
      </w:r>
      <w:r w:rsidRPr="00D0774E">
        <w:rPr>
          <w:rFonts w:cs="Arial"/>
          <w:sz w:val="20"/>
          <w:szCs w:val="20"/>
          <w:lang w:val="en-GB"/>
        </w:rPr>
        <w:t xml:space="preserve">see below). Unless otherwise stated, </w:t>
      </w:r>
      <w:r w:rsidR="00C05087">
        <w:rPr>
          <w:rFonts w:cs="Arial"/>
          <w:sz w:val="20"/>
          <w:szCs w:val="20"/>
          <w:lang w:val="en-GB"/>
        </w:rPr>
        <w:t>the regional data correspond to the territorial breakdown</w:t>
      </w:r>
      <w:r w:rsidR="00D0774E" w:rsidRPr="00D0774E">
        <w:rPr>
          <w:rFonts w:cs="Arial"/>
          <w:sz w:val="20"/>
          <w:szCs w:val="20"/>
          <w:lang w:val="en-GB"/>
        </w:rPr>
        <w:t xml:space="preserve"> valid as </w:t>
      </w:r>
      <w:r w:rsidR="001F7D55">
        <w:rPr>
          <w:rFonts w:cs="Arial"/>
          <w:sz w:val="20"/>
          <w:szCs w:val="20"/>
          <w:lang w:val="en-GB"/>
        </w:rPr>
        <w:t>of</w:t>
      </w:r>
      <w:r w:rsidR="00D0774E" w:rsidRPr="00D0774E">
        <w:rPr>
          <w:rFonts w:cs="Arial"/>
          <w:sz w:val="20"/>
          <w:szCs w:val="20"/>
          <w:lang w:val="en-GB"/>
        </w:rPr>
        <w:t xml:space="preserve"> </w:t>
      </w:r>
      <w:r w:rsidRPr="00D0774E">
        <w:rPr>
          <w:rFonts w:cs="Arial"/>
          <w:sz w:val="20"/>
          <w:szCs w:val="20"/>
          <w:lang w:val="en-GB"/>
        </w:rPr>
        <w:t xml:space="preserve">1 January of the </w:t>
      </w:r>
      <w:r w:rsidR="00D0774E" w:rsidRPr="00D0774E">
        <w:rPr>
          <w:rFonts w:cs="Arial"/>
          <w:sz w:val="20"/>
          <w:szCs w:val="20"/>
          <w:lang w:val="en-GB"/>
        </w:rPr>
        <w:t>reference year</w:t>
      </w:r>
      <w:r w:rsidRPr="00D0774E">
        <w:rPr>
          <w:rFonts w:cs="Arial"/>
          <w:sz w:val="20"/>
          <w:szCs w:val="20"/>
          <w:lang w:val="en-GB"/>
        </w:rPr>
        <w:t>.</w:t>
      </w:r>
    </w:p>
    <w:p w14:paraId="78F52419" w14:textId="67E2E367" w:rsidR="006B2978" w:rsidRPr="006268AA" w:rsidRDefault="006B2978" w:rsidP="005E6023">
      <w:pPr>
        <w:spacing w:after="120" w:line="288" w:lineRule="auto"/>
        <w:rPr>
          <w:rFonts w:cs="Arial"/>
          <w:sz w:val="20"/>
          <w:szCs w:val="20"/>
          <w:lang w:val="en-GB"/>
        </w:rPr>
      </w:pPr>
      <w:r>
        <w:rPr>
          <w:rFonts w:cs="Arial"/>
          <w:sz w:val="20"/>
          <w:szCs w:val="20"/>
          <w:lang w:val="en-GB"/>
        </w:rPr>
        <w:t>The data also include events</w:t>
      </w:r>
      <w:r w:rsidRPr="006268AA">
        <w:rPr>
          <w:rFonts w:cs="Arial"/>
          <w:sz w:val="20"/>
          <w:szCs w:val="20"/>
          <w:lang w:val="en-GB"/>
        </w:rPr>
        <w:t xml:space="preserve"> </w:t>
      </w:r>
      <w:r>
        <w:rPr>
          <w:rFonts w:cs="Arial"/>
          <w:sz w:val="20"/>
          <w:szCs w:val="20"/>
          <w:lang w:val="en-GB"/>
        </w:rPr>
        <w:t>(</w:t>
      </w:r>
      <w:r w:rsidRPr="006268AA">
        <w:rPr>
          <w:rFonts w:cs="Arial"/>
          <w:sz w:val="20"/>
          <w:szCs w:val="20"/>
          <w:lang w:val="en-GB"/>
        </w:rPr>
        <w:t>marriages, births and deaths</w:t>
      </w:r>
      <w:r>
        <w:rPr>
          <w:rFonts w:cs="Arial"/>
          <w:sz w:val="20"/>
          <w:szCs w:val="20"/>
          <w:lang w:val="en-GB"/>
        </w:rPr>
        <w:t>)</w:t>
      </w:r>
      <w:r w:rsidRPr="006268AA">
        <w:rPr>
          <w:rFonts w:cs="Arial"/>
          <w:sz w:val="20"/>
          <w:szCs w:val="20"/>
          <w:lang w:val="en-GB"/>
        </w:rPr>
        <w:t xml:space="preserve"> of Czech </w:t>
      </w:r>
      <w:r>
        <w:rPr>
          <w:rFonts w:cs="Arial"/>
          <w:sz w:val="20"/>
          <w:szCs w:val="20"/>
          <w:lang w:val="en-GB"/>
        </w:rPr>
        <w:t>citizens</w:t>
      </w:r>
      <w:r w:rsidRPr="006268AA">
        <w:rPr>
          <w:rFonts w:cs="Arial"/>
          <w:sz w:val="20"/>
          <w:szCs w:val="20"/>
          <w:lang w:val="en-GB"/>
        </w:rPr>
        <w:t xml:space="preserve"> (at least one of the fiancés was a Czech citizen in the case of a marriage, and at least one of the parents of the child was a Czech citizen in the case of a birth) with permanent residence in the Czech Republic that occurred abroad and were registered in the Czech Republic within a period that allowed their inclusion into the statistics.</w:t>
      </w:r>
    </w:p>
    <w:p w14:paraId="33B75474" w14:textId="03ED3DD9" w:rsidR="00FF791D" w:rsidRPr="00FF791D" w:rsidRDefault="00DE3705" w:rsidP="005E6023">
      <w:pPr>
        <w:spacing w:after="120" w:line="288" w:lineRule="auto"/>
        <w:rPr>
          <w:rFonts w:eastAsia="Arial Unicode MS" w:cs="Arial"/>
          <w:bCs w:val="0"/>
          <w:sz w:val="20"/>
          <w:lang w:val="en-GB"/>
        </w:rPr>
      </w:pPr>
      <w:r w:rsidRPr="001B0A41">
        <w:rPr>
          <w:rFonts w:eastAsia="Arial Unicode MS" w:cs="Arial"/>
          <w:bCs w:val="0"/>
          <w:sz w:val="20"/>
          <w:lang w:val="en-GB"/>
        </w:rPr>
        <w:t xml:space="preserve">The </w:t>
      </w:r>
      <w:r>
        <w:rPr>
          <w:rFonts w:eastAsia="Arial Unicode MS" w:cs="Arial"/>
          <w:b/>
          <w:bCs w:val="0"/>
          <w:sz w:val="20"/>
          <w:lang w:val="en-GB"/>
        </w:rPr>
        <w:t>a</w:t>
      </w:r>
      <w:r w:rsidR="00FF791D" w:rsidRPr="00FF791D">
        <w:rPr>
          <w:rFonts w:eastAsia="Arial Unicode MS" w:cs="Arial"/>
          <w:b/>
          <w:bCs w:val="0"/>
          <w:sz w:val="20"/>
          <w:lang w:val="en-GB"/>
        </w:rPr>
        <w:t>ge</w:t>
      </w:r>
      <w:r w:rsidR="00FF791D" w:rsidRPr="00FF791D">
        <w:rPr>
          <w:rFonts w:eastAsia="Arial Unicode MS" w:cs="Arial"/>
          <w:bCs w:val="0"/>
          <w:sz w:val="20"/>
          <w:lang w:val="en-GB"/>
        </w:rPr>
        <w:t xml:space="preserve"> of </w:t>
      </w:r>
      <w:r w:rsidR="00960CB8">
        <w:rPr>
          <w:rFonts w:eastAsia="Arial Unicode MS" w:cs="Arial"/>
          <w:bCs w:val="0"/>
          <w:sz w:val="20"/>
          <w:lang w:val="en-GB"/>
        </w:rPr>
        <w:t xml:space="preserve">a </w:t>
      </w:r>
      <w:r w:rsidR="00FF791D" w:rsidRPr="00FF791D">
        <w:rPr>
          <w:rFonts w:eastAsia="Arial Unicode MS" w:cs="Arial"/>
          <w:bCs w:val="0"/>
          <w:sz w:val="20"/>
          <w:lang w:val="en-GB"/>
        </w:rPr>
        <w:t>person is given in completed years, i.e. represents the age at the last birthday. In the cas</w:t>
      </w:r>
      <w:r w:rsidR="00200530">
        <w:rPr>
          <w:rFonts w:eastAsia="Arial Unicode MS" w:cs="Arial"/>
          <w:bCs w:val="0"/>
          <w:sz w:val="20"/>
          <w:lang w:val="en-GB"/>
        </w:rPr>
        <w:t>e of the age of deceased infant</w:t>
      </w:r>
      <w:r w:rsidR="00FF791D" w:rsidRPr="00FF791D">
        <w:rPr>
          <w:rFonts w:eastAsia="Arial Unicode MS" w:cs="Arial"/>
          <w:bCs w:val="0"/>
          <w:sz w:val="20"/>
          <w:lang w:val="en-GB"/>
        </w:rPr>
        <w:t>, it is the age in completed days.</w:t>
      </w:r>
    </w:p>
    <w:p w14:paraId="296311D6" w14:textId="694E9C5E" w:rsidR="00D02C7F" w:rsidRPr="00966CF2" w:rsidRDefault="00D02C7F" w:rsidP="005E6023">
      <w:pPr>
        <w:spacing w:after="120" w:line="288" w:lineRule="auto"/>
        <w:rPr>
          <w:rFonts w:eastAsia="Arial Unicode MS" w:cs="Arial"/>
          <w:bCs w:val="0"/>
          <w:sz w:val="20"/>
          <w:lang w:val="en-GB"/>
        </w:rPr>
      </w:pPr>
      <w:r w:rsidRPr="00966CF2">
        <w:rPr>
          <w:rFonts w:eastAsia="Arial Unicode MS" w:cs="Arial"/>
          <w:bCs w:val="0"/>
          <w:sz w:val="20"/>
          <w:lang w:val="en-GB"/>
        </w:rPr>
        <w:t xml:space="preserve">In the case of relative indicators per (usually thousand) </w:t>
      </w:r>
      <w:r w:rsidR="00966CF2" w:rsidRPr="00966CF2">
        <w:rPr>
          <w:rFonts w:eastAsia="Arial Unicode MS" w:cs="Arial"/>
          <w:bCs w:val="0"/>
          <w:sz w:val="20"/>
          <w:lang w:val="en-GB"/>
        </w:rPr>
        <w:t>population</w:t>
      </w:r>
      <w:r w:rsidRPr="00966CF2">
        <w:rPr>
          <w:rFonts w:eastAsia="Arial Unicode MS" w:cs="Arial"/>
          <w:bCs w:val="0"/>
          <w:sz w:val="20"/>
          <w:lang w:val="en-GB"/>
        </w:rPr>
        <w:t xml:space="preserve">, the events </w:t>
      </w:r>
      <w:r w:rsidR="00966CF2" w:rsidRPr="00966CF2">
        <w:rPr>
          <w:rFonts w:eastAsia="Arial Unicode MS" w:cs="Arial"/>
          <w:bCs w:val="0"/>
          <w:sz w:val="20"/>
          <w:lang w:val="en-GB"/>
        </w:rPr>
        <w:t>are</w:t>
      </w:r>
      <w:r w:rsidRPr="00966CF2">
        <w:rPr>
          <w:rFonts w:eastAsia="Arial Unicode MS" w:cs="Arial"/>
          <w:bCs w:val="0"/>
          <w:sz w:val="20"/>
          <w:lang w:val="en-GB"/>
        </w:rPr>
        <w:t xml:space="preserve"> related to the </w:t>
      </w:r>
      <w:r w:rsidR="00966CF2" w:rsidRPr="00966CF2">
        <w:rPr>
          <w:rFonts w:eastAsia="Arial Unicode MS" w:cs="Arial"/>
          <w:bCs w:val="0"/>
          <w:sz w:val="20"/>
          <w:lang w:val="en-GB"/>
        </w:rPr>
        <w:t>mid-year</w:t>
      </w:r>
      <w:r w:rsidRPr="00966CF2">
        <w:rPr>
          <w:rFonts w:eastAsia="Arial Unicode MS" w:cs="Arial"/>
          <w:bCs w:val="0"/>
          <w:sz w:val="20"/>
          <w:lang w:val="en-GB"/>
        </w:rPr>
        <w:t xml:space="preserve"> population (as </w:t>
      </w:r>
      <w:r w:rsidR="00966CF2" w:rsidRPr="00966CF2">
        <w:rPr>
          <w:rFonts w:eastAsia="Arial Unicode MS" w:cs="Arial"/>
          <w:bCs w:val="0"/>
          <w:sz w:val="20"/>
          <w:lang w:val="en-GB"/>
        </w:rPr>
        <w:t xml:space="preserve">at </w:t>
      </w:r>
      <w:r w:rsidRPr="00966CF2">
        <w:rPr>
          <w:rFonts w:eastAsia="Arial Unicode MS" w:cs="Arial"/>
          <w:bCs w:val="0"/>
          <w:sz w:val="20"/>
          <w:lang w:val="en-GB"/>
        </w:rPr>
        <w:t>1 July).</w:t>
      </w:r>
    </w:p>
    <w:p w14:paraId="60C5006E" w14:textId="77777777" w:rsidR="00796710" w:rsidRPr="00796710" w:rsidRDefault="00796710" w:rsidP="005E6023">
      <w:pPr>
        <w:tabs>
          <w:tab w:val="left" w:pos="2552"/>
          <w:tab w:val="left" w:pos="3686"/>
        </w:tabs>
        <w:spacing w:after="120" w:line="288" w:lineRule="auto"/>
        <w:rPr>
          <w:rFonts w:eastAsia="Arial Unicode MS" w:cs="Arial"/>
          <w:bCs w:val="0"/>
          <w:sz w:val="20"/>
          <w:lang w:val="en-GB"/>
        </w:rPr>
      </w:pPr>
      <w:r w:rsidRPr="00796710">
        <w:rPr>
          <w:rFonts w:eastAsia="Arial Unicode MS" w:cs="Arial"/>
          <w:bCs w:val="0"/>
          <w:sz w:val="20"/>
          <w:lang w:val="en-GB"/>
        </w:rPr>
        <w:t>Symbols used in the tables:</w:t>
      </w:r>
    </w:p>
    <w:p w14:paraId="6F3DD9A8" w14:textId="57107D37" w:rsidR="0047105C" w:rsidRPr="00796710" w:rsidRDefault="00796710" w:rsidP="004E26C8">
      <w:pPr>
        <w:tabs>
          <w:tab w:val="left" w:pos="426"/>
        </w:tabs>
        <w:spacing w:after="240" w:line="288" w:lineRule="auto"/>
        <w:rPr>
          <w:rFonts w:eastAsia="Arial Unicode MS" w:cs="Arial"/>
          <w:bCs w:val="0"/>
          <w:sz w:val="20"/>
          <w:lang w:val="en-GB"/>
        </w:rPr>
      </w:pPr>
      <w:r w:rsidRPr="00796710">
        <w:rPr>
          <w:rFonts w:eastAsia="Arial Unicode MS" w:cs="Arial"/>
          <w:bCs w:val="0"/>
          <w:sz w:val="20"/>
          <w:lang w:val="en-GB"/>
        </w:rPr>
        <w:tab/>
      </w:r>
      <w:r w:rsidR="00960CB8">
        <w:rPr>
          <w:rFonts w:eastAsia="Arial Unicode MS" w:cs="Arial"/>
          <w:bCs w:val="0"/>
          <w:sz w:val="20"/>
          <w:lang w:val="en-GB"/>
        </w:rPr>
        <w:t xml:space="preserve">a </w:t>
      </w:r>
      <w:r w:rsidRPr="00796710">
        <w:rPr>
          <w:rFonts w:eastAsia="Arial Unicode MS" w:cs="Arial"/>
          <w:bCs w:val="0"/>
          <w:sz w:val="20"/>
          <w:lang w:val="en-GB"/>
        </w:rPr>
        <w:t>hyphen</w:t>
      </w:r>
      <w:r w:rsidR="0047105C" w:rsidRPr="00796710">
        <w:rPr>
          <w:rFonts w:eastAsia="Arial Unicode MS" w:cs="Arial"/>
          <w:bCs w:val="0"/>
          <w:sz w:val="20"/>
          <w:lang w:val="en-GB"/>
        </w:rPr>
        <w:t xml:space="preserve"> (-)</w:t>
      </w:r>
      <w:r w:rsidRPr="00796710">
        <w:rPr>
          <w:rFonts w:eastAsia="Arial Unicode MS" w:cs="Arial"/>
          <w:bCs w:val="0"/>
          <w:sz w:val="20"/>
          <w:lang w:val="en-GB"/>
        </w:rPr>
        <w:t xml:space="preserve"> in place of the number indicates that the phenomenon did not occur</w:t>
      </w:r>
      <w:r w:rsidR="0047105C" w:rsidRPr="00796710">
        <w:rPr>
          <w:rFonts w:eastAsia="Arial Unicode MS" w:cs="Arial"/>
          <w:bCs w:val="0"/>
          <w:sz w:val="20"/>
          <w:lang w:val="en-GB"/>
        </w:rPr>
        <w:br/>
      </w:r>
      <w:r w:rsidR="0047105C" w:rsidRPr="00796710">
        <w:rPr>
          <w:rFonts w:eastAsia="Arial Unicode MS" w:cs="Arial"/>
          <w:bCs w:val="0"/>
          <w:sz w:val="20"/>
          <w:lang w:val="en-GB"/>
        </w:rPr>
        <w:tab/>
      </w:r>
      <w:r w:rsidR="00960CB8">
        <w:rPr>
          <w:rFonts w:eastAsia="Arial Unicode MS" w:cs="Arial"/>
          <w:bCs w:val="0"/>
          <w:sz w:val="20"/>
          <w:lang w:val="en-GB"/>
        </w:rPr>
        <w:t xml:space="preserve">a </w:t>
      </w:r>
      <w:r w:rsidRPr="00796710">
        <w:rPr>
          <w:rFonts w:eastAsia="Arial Unicode MS" w:cs="Arial"/>
          <w:bCs w:val="0"/>
          <w:sz w:val="20"/>
          <w:lang w:val="en-GB"/>
        </w:rPr>
        <w:t>dot</w:t>
      </w:r>
      <w:r w:rsidR="0047105C" w:rsidRPr="00796710">
        <w:rPr>
          <w:rFonts w:eastAsia="Arial Unicode MS" w:cs="Arial"/>
          <w:bCs w:val="0"/>
          <w:sz w:val="20"/>
          <w:lang w:val="en-GB"/>
        </w:rPr>
        <w:t xml:space="preserve"> (.)</w:t>
      </w:r>
      <w:r w:rsidRPr="00796710">
        <w:rPr>
          <w:rFonts w:eastAsia="Arial Unicode MS" w:cs="Arial"/>
          <w:bCs w:val="0"/>
          <w:sz w:val="20"/>
          <w:lang w:val="en-GB"/>
        </w:rPr>
        <w:t xml:space="preserve"> in place of the number indicates that the data is not available or is unreliable</w:t>
      </w:r>
      <w:r w:rsidR="0047105C" w:rsidRPr="00796710">
        <w:rPr>
          <w:rFonts w:eastAsia="Arial Unicode MS" w:cs="Arial"/>
          <w:bCs w:val="0"/>
          <w:sz w:val="20"/>
          <w:lang w:val="en-GB"/>
        </w:rPr>
        <w:br/>
      </w:r>
      <w:r w:rsidR="0047105C" w:rsidRPr="00796710">
        <w:rPr>
          <w:rFonts w:eastAsia="Arial Unicode MS" w:cs="Arial"/>
          <w:bCs w:val="0"/>
          <w:sz w:val="20"/>
          <w:lang w:val="en-GB"/>
        </w:rPr>
        <w:tab/>
      </w:r>
      <w:r w:rsidR="00960CB8">
        <w:rPr>
          <w:rFonts w:eastAsia="Arial Unicode MS" w:cs="Arial"/>
          <w:bCs w:val="0"/>
          <w:sz w:val="20"/>
          <w:lang w:val="en-GB"/>
        </w:rPr>
        <w:t xml:space="preserve">a </w:t>
      </w:r>
      <w:r w:rsidRPr="00796710">
        <w:rPr>
          <w:rFonts w:eastAsia="Arial Unicode MS" w:cs="Arial"/>
          <w:bCs w:val="0"/>
          <w:sz w:val="20"/>
          <w:lang w:val="en-GB"/>
        </w:rPr>
        <w:t>horizontal cross (x) in place of the number indicates that record</w:t>
      </w:r>
      <w:r w:rsidR="00960CB8">
        <w:rPr>
          <w:rFonts w:eastAsia="Arial Unicode MS" w:cs="Arial"/>
          <w:bCs w:val="0"/>
          <w:sz w:val="20"/>
          <w:lang w:val="en-GB"/>
        </w:rPr>
        <w:t>ing</w:t>
      </w:r>
      <w:r w:rsidRPr="00796710">
        <w:rPr>
          <w:rFonts w:eastAsia="Arial Unicode MS" w:cs="Arial"/>
          <w:bCs w:val="0"/>
          <w:sz w:val="20"/>
          <w:lang w:val="en-GB"/>
        </w:rPr>
        <w:t xml:space="preserve"> is not possible for logical reasons</w:t>
      </w:r>
    </w:p>
    <w:p w14:paraId="2A451CF1" w14:textId="7C189B1D" w:rsidR="00592579" w:rsidRPr="00450A4D" w:rsidRDefault="00534032" w:rsidP="005E6023">
      <w:pPr>
        <w:spacing w:after="120" w:line="288" w:lineRule="auto"/>
        <w:rPr>
          <w:rFonts w:eastAsia="Arial Unicode MS" w:cs="Arial"/>
          <w:b/>
          <w:bCs w:val="0"/>
          <w:sz w:val="24"/>
          <w:lang w:val="en-GB"/>
        </w:rPr>
      </w:pPr>
      <w:r>
        <w:rPr>
          <w:rFonts w:eastAsia="Arial Unicode MS" w:cs="Arial"/>
          <w:b/>
          <w:bCs w:val="0"/>
          <w:sz w:val="24"/>
          <w:lang w:val="en-GB"/>
        </w:rPr>
        <w:t>Methodological notes on</w:t>
      </w:r>
      <w:r w:rsidR="00291CCD" w:rsidRPr="00450A4D">
        <w:rPr>
          <w:rFonts w:eastAsia="Arial Unicode MS" w:cs="Arial"/>
          <w:b/>
          <w:bCs w:val="0"/>
          <w:sz w:val="24"/>
          <w:lang w:val="en-GB"/>
        </w:rPr>
        <w:t xml:space="preserve"> the concept of population </w:t>
      </w:r>
    </w:p>
    <w:p w14:paraId="2D04F808" w14:textId="481FA8B0" w:rsidR="007C7C10" w:rsidRPr="007C7C10" w:rsidRDefault="007C7C10" w:rsidP="005E6023">
      <w:pPr>
        <w:spacing w:after="120" w:line="288" w:lineRule="auto"/>
        <w:rPr>
          <w:rFonts w:eastAsia="Arial Unicode MS" w:cs="Arial"/>
          <w:bCs w:val="0"/>
          <w:sz w:val="20"/>
          <w:lang w:val="en-GB"/>
        </w:rPr>
      </w:pPr>
      <w:r w:rsidRPr="007C7C10">
        <w:rPr>
          <w:rFonts w:eastAsia="Arial Unicode MS" w:cs="Arial"/>
          <w:bCs w:val="0"/>
          <w:sz w:val="20"/>
          <w:lang w:val="en-GB"/>
        </w:rPr>
        <w:t xml:space="preserve">In the pre-war periods, the subject of demographic statistics was the present population, defined by </w:t>
      </w:r>
      <w:r w:rsidR="00960CB8">
        <w:rPr>
          <w:rFonts w:eastAsia="Arial Unicode MS" w:cs="Arial"/>
          <w:bCs w:val="0"/>
          <w:sz w:val="20"/>
          <w:lang w:val="en-GB"/>
        </w:rPr>
        <w:t xml:space="preserve">the </w:t>
      </w:r>
      <w:r w:rsidRPr="007C7C10">
        <w:rPr>
          <w:rFonts w:eastAsia="Arial Unicode MS" w:cs="Arial"/>
          <w:bCs w:val="0"/>
          <w:sz w:val="20"/>
          <w:lang w:val="en-GB"/>
        </w:rPr>
        <w:t>simple presence in a given territory.</w:t>
      </w:r>
      <w:r>
        <w:rPr>
          <w:rFonts w:eastAsia="Arial Unicode MS" w:cs="Arial"/>
          <w:bCs w:val="0"/>
          <w:sz w:val="20"/>
          <w:lang w:val="en-GB"/>
        </w:rPr>
        <w:t xml:space="preserve"> </w:t>
      </w:r>
      <w:r w:rsidRPr="007C7C10">
        <w:rPr>
          <w:rFonts w:eastAsia="Arial Unicode MS" w:cs="Arial"/>
          <w:bCs w:val="0"/>
          <w:sz w:val="20"/>
          <w:lang w:val="en-GB"/>
        </w:rPr>
        <w:t xml:space="preserve">All time series of population statistics up to 1950 (last applied in the 1950 </w:t>
      </w:r>
      <w:r w:rsidR="00C80687">
        <w:rPr>
          <w:rFonts w:eastAsia="Arial Unicode MS" w:cs="Arial"/>
          <w:bCs w:val="0"/>
          <w:sz w:val="20"/>
          <w:lang w:val="en-GB"/>
        </w:rPr>
        <w:t>Census</w:t>
      </w:r>
      <w:r w:rsidRPr="007C7C10">
        <w:rPr>
          <w:rFonts w:eastAsia="Arial Unicode MS" w:cs="Arial"/>
          <w:bCs w:val="0"/>
          <w:sz w:val="20"/>
          <w:lang w:val="en-GB"/>
        </w:rPr>
        <w:t>) are based on this</w:t>
      </w:r>
      <w:r>
        <w:rPr>
          <w:rFonts w:eastAsia="Arial Unicode MS" w:cs="Arial"/>
          <w:bCs w:val="0"/>
          <w:sz w:val="20"/>
          <w:lang w:val="en-GB"/>
        </w:rPr>
        <w:t xml:space="preserve"> (present population)</w:t>
      </w:r>
      <w:r w:rsidRPr="007C7C10">
        <w:rPr>
          <w:rFonts w:eastAsia="Arial Unicode MS" w:cs="Arial"/>
          <w:bCs w:val="0"/>
          <w:sz w:val="20"/>
          <w:lang w:val="en-GB"/>
        </w:rPr>
        <w:t xml:space="preserve"> concept. The more recent time series are based on the concept of </w:t>
      </w:r>
      <w:r w:rsidR="00960CB8">
        <w:rPr>
          <w:rFonts w:eastAsia="Arial Unicode MS" w:cs="Arial"/>
          <w:bCs w:val="0"/>
          <w:sz w:val="20"/>
          <w:lang w:val="en-GB"/>
        </w:rPr>
        <w:t xml:space="preserve">the </w:t>
      </w:r>
      <w:r w:rsidRPr="007C7C10">
        <w:rPr>
          <w:rFonts w:eastAsia="Arial Unicode MS" w:cs="Arial"/>
          <w:bCs w:val="0"/>
          <w:sz w:val="20"/>
          <w:lang w:val="en-GB"/>
        </w:rPr>
        <w:t xml:space="preserve">resident population, i.e. they </w:t>
      </w:r>
      <w:r>
        <w:rPr>
          <w:rFonts w:eastAsia="Arial Unicode MS" w:cs="Arial"/>
          <w:bCs w:val="0"/>
          <w:sz w:val="20"/>
          <w:lang w:val="en-GB"/>
        </w:rPr>
        <w:t>relate to</w:t>
      </w:r>
      <w:r w:rsidRPr="007C7C10">
        <w:rPr>
          <w:rFonts w:eastAsia="Arial Unicode MS" w:cs="Arial"/>
          <w:bCs w:val="0"/>
          <w:sz w:val="20"/>
          <w:lang w:val="en-GB"/>
        </w:rPr>
        <w:t xml:space="preserve"> persons </w:t>
      </w:r>
      <w:r>
        <w:rPr>
          <w:rFonts w:eastAsia="Arial Unicode MS" w:cs="Arial"/>
          <w:bCs w:val="0"/>
          <w:sz w:val="20"/>
          <w:lang w:val="en-GB"/>
        </w:rPr>
        <w:t xml:space="preserve">with </w:t>
      </w:r>
      <w:r w:rsidRPr="007C7C10">
        <w:rPr>
          <w:rFonts w:eastAsia="Arial Unicode MS" w:cs="Arial"/>
          <w:bCs w:val="0"/>
          <w:sz w:val="20"/>
          <w:lang w:val="en-GB"/>
        </w:rPr>
        <w:t xml:space="preserve">registered </w:t>
      </w:r>
      <w:r>
        <w:rPr>
          <w:rFonts w:eastAsia="Arial Unicode MS" w:cs="Arial"/>
          <w:bCs w:val="0"/>
          <w:sz w:val="20"/>
          <w:lang w:val="en-GB"/>
        </w:rPr>
        <w:t xml:space="preserve">residence </w:t>
      </w:r>
      <w:r w:rsidRPr="007C7C10">
        <w:rPr>
          <w:rFonts w:eastAsia="Arial Unicode MS" w:cs="Arial"/>
          <w:bCs w:val="0"/>
          <w:sz w:val="20"/>
          <w:lang w:val="en-GB"/>
        </w:rPr>
        <w:t>in the territory and their events. However, the differences in dat</w:t>
      </w:r>
      <w:r w:rsidR="00B87367">
        <w:rPr>
          <w:rFonts w:eastAsia="Arial Unicode MS" w:cs="Arial"/>
          <w:bCs w:val="0"/>
          <w:sz w:val="20"/>
          <w:lang w:val="en-GB"/>
        </w:rPr>
        <w:t xml:space="preserve">a between the numbers of </w:t>
      </w:r>
      <w:r w:rsidR="00B87367" w:rsidRPr="00B87367">
        <w:rPr>
          <w:rFonts w:eastAsia="Arial Unicode MS" w:cs="Arial"/>
          <w:bCs w:val="0"/>
          <w:sz w:val="20"/>
          <w:lang w:val="en-GB"/>
        </w:rPr>
        <w:t>‘present’ and ‘</w:t>
      </w:r>
      <w:r w:rsidRPr="00B87367">
        <w:rPr>
          <w:rFonts w:eastAsia="Arial Unicode MS" w:cs="Arial"/>
          <w:bCs w:val="0"/>
          <w:sz w:val="20"/>
          <w:lang w:val="en-GB"/>
        </w:rPr>
        <w:t>resident</w:t>
      </w:r>
      <w:r w:rsidR="00B87367" w:rsidRPr="00B87367">
        <w:rPr>
          <w:rFonts w:eastAsia="Arial Unicode MS" w:cs="Arial"/>
          <w:bCs w:val="0"/>
          <w:sz w:val="20"/>
          <w:lang w:val="en-GB"/>
        </w:rPr>
        <w:t>’</w:t>
      </w:r>
      <w:r w:rsidRPr="007C7C10">
        <w:rPr>
          <w:rFonts w:eastAsia="Arial Unicode MS" w:cs="Arial"/>
          <w:bCs w:val="0"/>
          <w:sz w:val="20"/>
          <w:lang w:val="en-GB"/>
        </w:rPr>
        <w:t xml:space="preserve"> populat</w:t>
      </w:r>
      <w:r>
        <w:rPr>
          <w:rFonts w:eastAsia="Arial Unicode MS" w:cs="Arial"/>
          <w:bCs w:val="0"/>
          <w:sz w:val="20"/>
          <w:lang w:val="en-GB"/>
        </w:rPr>
        <w:t xml:space="preserve">ions were not significant at </w:t>
      </w:r>
      <w:r w:rsidR="006A6742">
        <w:rPr>
          <w:rFonts w:eastAsia="Arial Unicode MS" w:cs="Arial"/>
          <w:bCs w:val="0"/>
          <w:sz w:val="20"/>
          <w:lang w:val="en-GB"/>
        </w:rPr>
        <w:t>the</w:t>
      </w:r>
      <w:r w:rsidRPr="007C7C10">
        <w:rPr>
          <w:rFonts w:eastAsia="Arial Unicode MS" w:cs="Arial"/>
          <w:bCs w:val="0"/>
          <w:sz w:val="20"/>
          <w:lang w:val="en-GB"/>
        </w:rPr>
        <w:t xml:space="preserve"> time</w:t>
      </w:r>
      <w:r w:rsidR="001F7D55">
        <w:rPr>
          <w:rFonts w:eastAsia="Arial Unicode MS" w:cs="Arial"/>
          <w:bCs w:val="0"/>
          <w:sz w:val="20"/>
          <w:lang w:val="en-GB"/>
        </w:rPr>
        <w:t>,</w:t>
      </w:r>
      <w:r w:rsidR="00FD2EF0">
        <w:rPr>
          <w:rFonts w:eastAsia="Arial Unicode MS" w:cs="Arial"/>
          <w:bCs w:val="0"/>
          <w:sz w:val="20"/>
          <w:lang w:val="en-GB"/>
        </w:rPr>
        <w:t xml:space="preserve"> </w:t>
      </w:r>
      <w:r w:rsidRPr="007C7C10">
        <w:rPr>
          <w:rFonts w:eastAsia="Arial Unicode MS" w:cs="Arial"/>
          <w:bCs w:val="0"/>
          <w:sz w:val="20"/>
          <w:lang w:val="en-GB"/>
        </w:rPr>
        <w:t>and data based on the present population</w:t>
      </w:r>
      <w:r w:rsidR="00EF6223">
        <w:rPr>
          <w:rFonts w:eastAsia="Arial Unicode MS" w:cs="Arial"/>
          <w:bCs w:val="0"/>
          <w:sz w:val="20"/>
          <w:lang w:val="en-GB"/>
        </w:rPr>
        <w:t xml:space="preserve"> concept</w:t>
      </w:r>
      <w:r w:rsidRPr="007C7C10">
        <w:rPr>
          <w:rFonts w:eastAsia="Arial Unicode MS" w:cs="Arial"/>
          <w:bCs w:val="0"/>
          <w:sz w:val="20"/>
          <w:lang w:val="en-GB"/>
        </w:rPr>
        <w:t xml:space="preserve"> are comparable to those based on </w:t>
      </w:r>
      <w:r w:rsidR="00960CB8">
        <w:rPr>
          <w:rFonts w:eastAsia="Arial Unicode MS" w:cs="Arial"/>
          <w:bCs w:val="0"/>
          <w:sz w:val="20"/>
          <w:lang w:val="en-GB"/>
        </w:rPr>
        <w:t xml:space="preserve">the </w:t>
      </w:r>
      <w:r w:rsidRPr="007C7C10">
        <w:rPr>
          <w:rFonts w:eastAsia="Arial Unicode MS" w:cs="Arial"/>
          <w:bCs w:val="0"/>
          <w:sz w:val="20"/>
          <w:lang w:val="en-GB"/>
        </w:rPr>
        <w:t>resident population</w:t>
      </w:r>
      <w:r w:rsidR="00EF6223">
        <w:rPr>
          <w:rFonts w:eastAsia="Arial Unicode MS" w:cs="Arial"/>
          <w:bCs w:val="0"/>
          <w:sz w:val="20"/>
          <w:lang w:val="en-GB"/>
        </w:rPr>
        <w:t xml:space="preserve"> concept</w:t>
      </w:r>
      <w:r w:rsidRPr="007C7C10">
        <w:rPr>
          <w:rFonts w:eastAsia="Arial Unicode MS" w:cs="Arial"/>
          <w:bCs w:val="0"/>
          <w:sz w:val="20"/>
          <w:lang w:val="en-GB"/>
        </w:rPr>
        <w:t>.</w:t>
      </w:r>
    </w:p>
    <w:p w14:paraId="2BDC20E8" w14:textId="40E73AE9" w:rsidR="003B43D4" w:rsidRPr="003B43D4" w:rsidRDefault="003B43D4" w:rsidP="004E26C8">
      <w:pPr>
        <w:spacing w:after="240" w:line="288" w:lineRule="auto"/>
        <w:rPr>
          <w:rFonts w:eastAsia="Arial Unicode MS" w:cs="Arial"/>
          <w:bCs w:val="0"/>
          <w:sz w:val="20"/>
          <w:lang w:val="en-GB"/>
        </w:rPr>
      </w:pPr>
      <w:r w:rsidRPr="003B43D4">
        <w:rPr>
          <w:rFonts w:eastAsia="Arial Unicode MS" w:cs="Arial"/>
          <w:bCs w:val="0"/>
          <w:sz w:val="20"/>
          <w:lang w:val="en-GB"/>
        </w:rPr>
        <w:t xml:space="preserve">In the practice of Czech and the former Czechoslovak demographic statistics, since 1950 not only citizens of the Czech Republic or former Czechoslovakia are considered </w:t>
      </w:r>
      <w:r>
        <w:rPr>
          <w:rFonts w:eastAsia="Arial Unicode MS" w:cs="Arial"/>
          <w:bCs w:val="0"/>
          <w:sz w:val="20"/>
          <w:lang w:val="en-GB"/>
        </w:rPr>
        <w:t xml:space="preserve">to be </w:t>
      </w:r>
      <w:r w:rsidRPr="003B43D4">
        <w:rPr>
          <w:rFonts w:eastAsia="Arial Unicode MS" w:cs="Arial"/>
          <w:bCs w:val="0"/>
          <w:sz w:val="20"/>
          <w:lang w:val="en-GB"/>
        </w:rPr>
        <w:t xml:space="preserve">residents, but all persons who were registered for residence in a given territory at reference </w:t>
      </w:r>
      <w:r>
        <w:rPr>
          <w:rFonts w:eastAsia="Arial Unicode MS" w:cs="Arial"/>
          <w:bCs w:val="0"/>
          <w:sz w:val="20"/>
          <w:lang w:val="en-GB"/>
        </w:rPr>
        <w:t>time</w:t>
      </w:r>
      <w:r w:rsidRPr="003B43D4">
        <w:rPr>
          <w:rFonts w:eastAsia="Arial Unicode MS" w:cs="Arial"/>
          <w:bCs w:val="0"/>
          <w:sz w:val="20"/>
          <w:lang w:val="en-GB"/>
        </w:rPr>
        <w:t>, i.e. including foreigners.</w:t>
      </w:r>
      <w:r>
        <w:rPr>
          <w:rFonts w:eastAsia="Arial Unicode MS" w:cs="Arial"/>
          <w:bCs w:val="0"/>
          <w:sz w:val="20"/>
          <w:lang w:val="en-GB"/>
        </w:rPr>
        <w:t xml:space="preserve"> </w:t>
      </w:r>
      <w:r w:rsidR="00257233">
        <w:rPr>
          <w:rFonts w:eastAsia="Arial Unicode MS" w:cs="Arial"/>
          <w:bCs w:val="0"/>
          <w:sz w:val="20"/>
          <w:lang w:val="en-GB"/>
        </w:rPr>
        <w:t>Until 2000</w:t>
      </w:r>
      <w:r w:rsidRPr="003B43D4">
        <w:rPr>
          <w:rFonts w:eastAsia="Arial Unicode MS" w:cs="Arial"/>
          <w:bCs w:val="0"/>
          <w:sz w:val="20"/>
          <w:lang w:val="en-GB"/>
        </w:rPr>
        <w:t xml:space="preserve">, </w:t>
      </w:r>
      <w:r w:rsidR="00F95621">
        <w:rPr>
          <w:rFonts w:eastAsia="Arial Unicode MS" w:cs="Arial"/>
          <w:bCs w:val="0"/>
          <w:sz w:val="20"/>
          <w:lang w:val="en-GB"/>
        </w:rPr>
        <w:t xml:space="preserve">the </w:t>
      </w:r>
      <w:r w:rsidRPr="003B43D4">
        <w:rPr>
          <w:rFonts w:eastAsia="Arial Unicode MS" w:cs="Arial"/>
          <w:bCs w:val="0"/>
          <w:sz w:val="20"/>
          <w:lang w:val="en-GB"/>
        </w:rPr>
        <w:t>data only referred to the population with permanent residence in the Czech Republic</w:t>
      </w:r>
      <w:r w:rsidR="00F34F1F">
        <w:rPr>
          <w:rFonts w:eastAsia="Arial Unicode MS" w:cs="Arial"/>
          <w:bCs w:val="0"/>
          <w:sz w:val="20"/>
          <w:lang w:val="en-GB"/>
        </w:rPr>
        <w:t>. S</w:t>
      </w:r>
      <w:r w:rsidR="00F34F1F" w:rsidRPr="00F34F1F">
        <w:rPr>
          <w:rFonts w:eastAsia="Arial Unicode MS" w:cs="Arial"/>
          <w:bCs w:val="0"/>
          <w:sz w:val="20"/>
          <w:lang w:val="en-GB"/>
        </w:rPr>
        <w:t xml:space="preserve">ince 2001, following the 2001 </w:t>
      </w:r>
      <w:r w:rsidR="00C80687">
        <w:rPr>
          <w:rFonts w:eastAsia="Arial Unicode MS" w:cs="Arial"/>
          <w:bCs w:val="0"/>
          <w:sz w:val="20"/>
          <w:lang w:val="en-GB"/>
        </w:rPr>
        <w:t>Census</w:t>
      </w:r>
      <w:r w:rsidR="00571DB6">
        <w:rPr>
          <w:rFonts w:eastAsia="Arial Unicode MS" w:cs="Arial"/>
          <w:bCs w:val="0"/>
          <w:sz w:val="20"/>
          <w:lang w:val="en-GB"/>
        </w:rPr>
        <w:t xml:space="preserve"> of population, houses and dwellings</w:t>
      </w:r>
      <w:r w:rsidR="00F34F1F" w:rsidRPr="00F34F1F">
        <w:rPr>
          <w:rFonts w:eastAsia="Arial Unicode MS" w:cs="Arial"/>
          <w:bCs w:val="0"/>
          <w:sz w:val="20"/>
          <w:lang w:val="en-GB"/>
        </w:rPr>
        <w:t xml:space="preserve">, the data have also newly included foreigners with a visa for </w:t>
      </w:r>
      <w:r w:rsidR="001F7D55">
        <w:rPr>
          <w:rFonts w:eastAsia="Arial Unicode MS" w:cs="Arial"/>
          <w:bCs w:val="0"/>
          <w:sz w:val="20"/>
          <w:lang w:val="en-GB"/>
        </w:rPr>
        <w:t xml:space="preserve">a </w:t>
      </w:r>
      <w:r w:rsidR="00F34F1F" w:rsidRPr="00F34F1F">
        <w:rPr>
          <w:rFonts w:eastAsia="Arial Unicode MS" w:cs="Arial"/>
          <w:bCs w:val="0"/>
          <w:sz w:val="20"/>
          <w:lang w:val="en-GB"/>
        </w:rPr>
        <w:t>stay over 90 days and foreigners with asylum status.</w:t>
      </w:r>
      <w:r w:rsidR="0026713B">
        <w:rPr>
          <w:rFonts w:eastAsia="Arial Unicode MS" w:cs="Arial"/>
          <w:bCs w:val="0"/>
          <w:sz w:val="20"/>
          <w:lang w:val="en-GB"/>
        </w:rPr>
        <w:t xml:space="preserve"> </w:t>
      </w:r>
      <w:r w:rsidR="0026713B" w:rsidRPr="00C44A6B">
        <w:rPr>
          <w:rFonts w:eastAsia="Arial Unicode MS" w:cs="Arial"/>
          <w:bCs w:val="0"/>
          <w:sz w:val="20"/>
          <w:lang w:val="en-GB"/>
        </w:rPr>
        <w:t>Since 1 May 2004</w:t>
      </w:r>
      <w:r w:rsidR="00C44A6B" w:rsidRPr="00C44A6B">
        <w:rPr>
          <w:rFonts w:eastAsia="Arial Unicode MS" w:cs="Arial"/>
          <w:bCs w:val="0"/>
          <w:sz w:val="20"/>
          <w:lang w:val="en-GB"/>
        </w:rPr>
        <w:t xml:space="preserve"> (in connection</w:t>
      </w:r>
      <w:r w:rsidR="00C44A6B">
        <w:rPr>
          <w:rFonts w:eastAsia="Arial Unicode MS" w:cs="Arial"/>
          <w:bCs w:val="0"/>
          <w:sz w:val="20"/>
          <w:lang w:val="en-GB"/>
        </w:rPr>
        <w:t xml:space="preserve"> with the </w:t>
      </w:r>
      <w:r w:rsidR="00C44A6B">
        <w:rPr>
          <w:rFonts w:eastAsia="Arial Unicode MS" w:cs="Arial"/>
          <w:bCs w:val="0"/>
          <w:sz w:val="20"/>
          <w:lang w:val="en-GB"/>
        </w:rPr>
        <w:lastRenderedPageBreak/>
        <w:t>accession of the CR to the European Union)</w:t>
      </w:r>
      <w:r w:rsidR="0026713B" w:rsidRPr="0026713B">
        <w:rPr>
          <w:rFonts w:eastAsia="Arial Unicode MS" w:cs="Arial"/>
          <w:bCs w:val="0"/>
          <w:sz w:val="20"/>
          <w:lang w:val="en-GB"/>
        </w:rPr>
        <w:t>, all data refer to citizens of the Czech Republic and foreigners with permanent residence in the Czech Republic, third-country nationals with temporary residence in the territory of the Czech Republic based on a long-term visa (over 90 days) or a long-term residence permit, nationals of the EU Member States, Norway, Switzerland, Iceland, Liechtenstein and their family members with notified temporary residence in the territory of the Czech Republic and foreigners with valid asylum status in the Czech Republic</w:t>
      </w:r>
      <w:r w:rsidR="00571DB6">
        <w:rPr>
          <w:rFonts w:eastAsia="Arial Unicode MS" w:cs="Arial"/>
          <w:bCs w:val="0"/>
          <w:sz w:val="20"/>
          <w:lang w:val="en-GB"/>
        </w:rPr>
        <w:t xml:space="preserve"> (hereinafter referred </w:t>
      </w:r>
      <w:r w:rsidR="00770C26">
        <w:rPr>
          <w:rFonts w:eastAsia="Arial Unicode MS" w:cs="Arial"/>
          <w:bCs w:val="0"/>
          <w:sz w:val="20"/>
          <w:lang w:val="en-GB"/>
        </w:rPr>
        <w:t xml:space="preserve">to </w:t>
      </w:r>
      <w:r w:rsidR="00571DB6">
        <w:rPr>
          <w:rFonts w:eastAsia="Arial Unicode MS" w:cs="Arial"/>
          <w:bCs w:val="0"/>
          <w:sz w:val="20"/>
          <w:lang w:val="en-GB"/>
        </w:rPr>
        <w:t>as ‘</w:t>
      </w:r>
      <w:r w:rsidR="00333045">
        <w:rPr>
          <w:rFonts w:eastAsia="Arial Unicode MS" w:cs="Arial"/>
          <w:bCs w:val="0"/>
          <w:sz w:val="20"/>
          <w:lang w:val="en-GB"/>
        </w:rPr>
        <w:t>with</w:t>
      </w:r>
      <w:r w:rsidR="00770C26">
        <w:rPr>
          <w:rFonts w:eastAsia="Arial Unicode MS" w:cs="Arial"/>
          <w:bCs w:val="0"/>
          <w:sz w:val="20"/>
          <w:lang w:val="en-GB"/>
        </w:rPr>
        <w:t xml:space="preserve"> </w:t>
      </w:r>
      <w:r w:rsidR="00571DB6">
        <w:rPr>
          <w:rFonts w:eastAsia="Arial Unicode MS" w:cs="Arial"/>
          <w:bCs w:val="0"/>
          <w:sz w:val="20"/>
          <w:lang w:val="en-GB"/>
        </w:rPr>
        <w:t>registered residence’)</w:t>
      </w:r>
      <w:r w:rsidR="0026713B" w:rsidRPr="0026713B">
        <w:rPr>
          <w:rFonts w:eastAsia="Arial Unicode MS" w:cs="Arial"/>
          <w:bCs w:val="0"/>
          <w:sz w:val="20"/>
          <w:lang w:val="en-GB"/>
        </w:rPr>
        <w:t>.</w:t>
      </w:r>
    </w:p>
    <w:p w14:paraId="1EE3781E" w14:textId="0076D178" w:rsidR="001F7D55" w:rsidRPr="001F7D55" w:rsidRDefault="001F7D55" w:rsidP="005E6023">
      <w:pPr>
        <w:spacing w:after="120" w:line="288" w:lineRule="auto"/>
        <w:rPr>
          <w:rFonts w:eastAsia="Arial Unicode MS" w:cs="Arial"/>
          <w:b/>
          <w:sz w:val="24"/>
          <w:lang w:val="en-GB"/>
        </w:rPr>
      </w:pPr>
      <w:r w:rsidRPr="001F7D55">
        <w:rPr>
          <w:rFonts w:eastAsia="Arial Unicode MS" w:cs="Arial"/>
          <w:b/>
          <w:sz w:val="24"/>
          <w:lang w:val="en-GB"/>
        </w:rPr>
        <w:t>Methodological notes on censuses</w:t>
      </w:r>
    </w:p>
    <w:p w14:paraId="376D3F37" w14:textId="01CBD24B" w:rsidR="00E0560C" w:rsidRPr="00E0560C" w:rsidRDefault="004E3401" w:rsidP="004E26C8">
      <w:pPr>
        <w:spacing w:after="240" w:line="288" w:lineRule="auto"/>
        <w:rPr>
          <w:rFonts w:eastAsia="Arial Unicode MS" w:cs="Arial"/>
          <w:sz w:val="20"/>
          <w:lang w:val="en-GB"/>
        </w:rPr>
      </w:pPr>
      <w:r w:rsidRPr="001F7D55">
        <w:rPr>
          <w:rFonts w:eastAsia="Arial Unicode MS" w:cs="Arial"/>
          <w:sz w:val="20"/>
          <w:lang w:val="en-GB"/>
        </w:rPr>
        <w:t xml:space="preserve">A different conception of </w:t>
      </w:r>
      <w:r w:rsidR="00770C26">
        <w:rPr>
          <w:rFonts w:eastAsia="Arial Unicode MS" w:cs="Arial"/>
          <w:sz w:val="20"/>
          <w:lang w:val="en-GB"/>
        </w:rPr>
        <w:t xml:space="preserve">the </w:t>
      </w:r>
      <w:r w:rsidRPr="001F7D55">
        <w:rPr>
          <w:rFonts w:eastAsia="Arial Unicode MS" w:cs="Arial"/>
          <w:sz w:val="20"/>
          <w:lang w:val="en-GB"/>
        </w:rPr>
        <w:t xml:space="preserve">population is represented by the data from the 2011 and 2021 Censuses of population, houses and dwellings, which consider the usual residence declared by persons as the determining factor. A person's usual place of residence has been defined as the place where the person usually spends his or her daily rest time (regardless of temporary absence) and where he or she is a member of a particular household; it should therefore better correspond to the person's actual residence, as opposed to registered residence, which may in some cases be more of a registry. All 2011 and 2021 </w:t>
      </w:r>
      <w:r w:rsidR="004656AE" w:rsidRPr="001F7D55">
        <w:rPr>
          <w:rFonts w:eastAsia="Arial Unicode MS" w:cs="Arial"/>
          <w:sz w:val="20"/>
          <w:lang w:val="en-GB"/>
        </w:rPr>
        <w:t>C</w:t>
      </w:r>
      <w:r w:rsidRPr="001F7D55">
        <w:rPr>
          <w:rFonts w:eastAsia="Arial Unicode MS" w:cs="Arial"/>
          <w:sz w:val="20"/>
          <w:lang w:val="en-GB"/>
        </w:rPr>
        <w:t xml:space="preserve">ensus data in this publication are therefore reported for the usual resident population. </w:t>
      </w:r>
      <w:r w:rsidR="00770C26" w:rsidRPr="00770C26">
        <w:rPr>
          <w:rFonts w:eastAsia="Arial Unicode MS" w:cs="Arial"/>
          <w:sz w:val="20"/>
          <w:lang w:val="en-GB"/>
        </w:rPr>
        <w:t>(Other population and demographic data continue to be linked to registered residence of persons after 2011.)</w:t>
      </w:r>
    </w:p>
    <w:p w14:paraId="5B1E8C58" w14:textId="59CF989F" w:rsidR="00C44A6B" w:rsidRPr="00B15CC0" w:rsidRDefault="00C44A6B" w:rsidP="005E6023">
      <w:pPr>
        <w:spacing w:after="240" w:line="288" w:lineRule="auto"/>
        <w:rPr>
          <w:rFonts w:eastAsia="Arial Unicode MS" w:cs="Arial"/>
          <w:b/>
          <w:bCs w:val="0"/>
          <w:sz w:val="24"/>
          <w:lang w:val="en-GB"/>
        </w:rPr>
      </w:pPr>
      <w:r w:rsidRPr="00B15CC0">
        <w:rPr>
          <w:rFonts w:eastAsia="Arial Unicode MS" w:cs="Arial"/>
          <w:b/>
          <w:bCs w:val="0"/>
          <w:sz w:val="24"/>
          <w:lang w:val="en-GB"/>
        </w:rPr>
        <w:t xml:space="preserve">Methodological notes </w:t>
      </w:r>
      <w:r w:rsidR="00B15CC0" w:rsidRPr="00B15CC0">
        <w:rPr>
          <w:rFonts w:eastAsia="Arial Unicode MS" w:cs="Arial"/>
          <w:b/>
          <w:bCs w:val="0"/>
          <w:sz w:val="24"/>
          <w:lang w:val="en-GB"/>
        </w:rPr>
        <w:t>on data on population increase and age structure</w:t>
      </w:r>
      <w:r w:rsidRPr="00B15CC0">
        <w:rPr>
          <w:rFonts w:eastAsia="Arial Unicode MS" w:cs="Arial"/>
          <w:b/>
          <w:bCs w:val="0"/>
          <w:sz w:val="24"/>
          <w:lang w:val="en-GB"/>
        </w:rPr>
        <w:t xml:space="preserve"> </w:t>
      </w:r>
    </w:p>
    <w:p w14:paraId="695CF9A0" w14:textId="7F7772A4" w:rsidR="00B15CC0" w:rsidRPr="009778D8" w:rsidRDefault="00B15CC0" w:rsidP="004E26C8">
      <w:pPr>
        <w:pStyle w:val="Normlnweb"/>
        <w:spacing w:before="0" w:beforeAutospacing="0" w:after="240" w:afterAutospacing="0" w:line="288" w:lineRule="auto"/>
        <w:rPr>
          <w:rFonts w:ascii="Arial" w:hAnsi="Arial" w:cs="Arial"/>
          <w:bCs/>
          <w:sz w:val="20"/>
          <w:szCs w:val="20"/>
          <w:lang w:val="en-GB"/>
        </w:rPr>
      </w:pPr>
      <w:r w:rsidRPr="00262A53">
        <w:rPr>
          <w:rFonts w:ascii="Arial" w:hAnsi="Arial" w:cs="Arial"/>
          <w:b/>
          <w:bCs/>
          <w:sz w:val="20"/>
          <w:szCs w:val="20"/>
          <w:lang w:val="en-GB"/>
        </w:rPr>
        <w:t>Natural increase</w:t>
      </w:r>
      <w:r>
        <w:rPr>
          <w:rFonts w:ascii="Arial" w:hAnsi="Arial" w:cs="Arial"/>
          <w:bCs/>
          <w:sz w:val="20"/>
          <w:szCs w:val="20"/>
          <w:lang w:val="en-GB"/>
        </w:rPr>
        <w:t xml:space="preserve"> </w:t>
      </w:r>
      <w:r w:rsidRPr="000B40E3">
        <w:rPr>
          <w:rFonts w:ascii="Arial" w:hAnsi="Arial" w:cs="Arial"/>
          <w:bCs/>
          <w:sz w:val="20"/>
          <w:szCs w:val="20"/>
          <w:lang w:val="en-GB"/>
        </w:rPr>
        <w:t>–</w:t>
      </w:r>
      <w:r>
        <w:rPr>
          <w:rFonts w:ascii="Arial" w:hAnsi="Arial" w:cs="Arial"/>
          <w:bCs/>
          <w:sz w:val="20"/>
          <w:szCs w:val="20"/>
          <w:lang w:val="en-GB"/>
        </w:rPr>
        <w:t xml:space="preserve"> t</w:t>
      </w:r>
      <w:r w:rsidRPr="00C01E4C">
        <w:rPr>
          <w:rFonts w:ascii="Arial" w:hAnsi="Arial" w:cs="Arial"/>
          <w:bCs/>
          <w:sz w:val="20"/>
          <w:szCs w:val="20"/>
          <w:lang w:val="en-GB"/>
        </w:rPr>
        <w:t>he difference between the number of live births and the number of deaths in</w:t>
      </w:r>
      <w:r>
        <w:rPr>
          <w:rFonts w:ascii="Arial" w:hAnsi="Arial" w:cs="Arial"/>
          <w:bCs/>
          <w:sz w:val="20"/>
          <w:szCs w:val="20"/>
          <w:lang w:val="en-GB"/>
        </w:rPr>
        <w:t xml:space="preserve"> the</w:t>
      </w:r>
      <w:r w:rsidRPr="00C01E4C">
        <w:rPr>
          <w:rFonts w:ascii="Arial" w:hAnsi="Arial" w:cs="Arial"/>
          <w:bCs/>
          <w:sz w:val="20"/>
          <w:szCs w:val="20"/>
          <w:lang w:val="en-GB"/>
        </w:rPr>
        <w:t xml:space="preserve"> reference period.</w:t>
      </w:r>
      <w:r>
        <w:rPr>
          <w:rFonts w:ascii="Arial" w:hAnsi="Arial" w:cs="Arial"/>
          <w:bCs/>
          <w:sz w:val="20"/>
          <w:szCs w:val="20"/>
          <w:lang w:val="en-GB"/>
        </w:rPr>
        <w:t xml:space="preserve"> </w:t>
      </w:r>
      <w:r w:rsidRPr="00B15CC0">
        <w:rPr>
          <w:rFonts w:ascii="Arial" w:hAnsi="Arial" w:cs="Arial"/>
          <w:bCs/>
          <w:sz w:val="20"/>
          <w:szCs w:val="20"/>
          <w:lang w:val="en-GB"/>
        </w:rPr>
        <w:t>If the number of live births is l</w:t>
      </w:r>
      <w:r>
        <w:rPr>
          <w:rFonts w:ascii="Arial" w:hAnsi="Arial" w:cs="Arial"/>
          <w:bCs/>
          <w:sz w:val="20"/>
          <w:szCs w:val="20"/>
          <w:lang w:val="en-GB"/>
        </w:rPr>
        <w:t>ower</w:t>
      </w:r>
      <w:r w:rsidRPr="00B15CC0">
        <w:rPr>
          <w:rFonts w:ascii="Arial" w:hAnsi="Arial" w:cs="Arial"/>
          <w:bCs/>
          <w:sz w:val="20"/>
          <w:szCs w:val="20"/>
          <w:lang w:val="en-GB"/>
        </w:rPr>
        <w:t xml:space="preserve"> than the number of deaths, the natural increase </w:t>
      </w:r>
      <w:r w:rsidR="00330C29">
        <w:rPr>
          <w:rFonts w:ascii="Arial" w:hAnsi="Arial" w:cs="Arial"/>
          <w:bCs/>
          <w:sz w:val="20"/>
          <w:szCs w:val="20"/>
          <w:lang w:val="en-GB"/>
        </w:rPr>
        <w:t>has</w:t>
      </w:r>
      <w:r>
        <w:rPr>
          <w:rFonts w:ascii="Arial" w:hAnsi="Arial" w:cs="Arial"/>
          <w:bCs/>
          <w:sz w:val="20"/>
          <w:szCs w:val="20"/>
          <w:lang w:val="en-GB"/>
        </w:rPr>
        <w:t xml:space="preserve"> a </w:t>
      </w:r>
      <w:r w:rsidRPr="009778D8">
        <w:rPr>
          <w:rFonts w:ascii="Arial" w:hAnsi="Arial" w:cs="Arial"/>
          <w:bCs/>
          <w:sz w:val="20"/>
          <w:szCs w:val="20"/>
          <w:lang w:val="en-GB"/>
        </w:rPr>
        <w:t>negative value (natural decrease).</w:t>
      </w:r>
    </w:p>
    <w:p w14:paraId="589E2EDB" w14:textId="394FA360" w:rsidR="00B15CC0" w:rsidRPr="009778D8" w:rsidRDefault="00B15CC0" w:rsidP="004E26C8">
      <w:pPr>
        <w:spacing w:after="240" w:line="288" w:lineRule="auto"/>
        <w:rPr>
          <w:rFonts w:eastAsia="Arial Unicode MS" w:cs="Arial"/>
          <w:sz w:val="20"/>
          <w:lang w:val="en-GB"/>
        </w:rPr>
      </w:pPr>
      <w:r w:rsidRPr="009778D8">
        <w:rPr>
          <w:rFonts w:eastAsia="Arial Unicode MS" w:cs="Arial"/>
          <w:b/>
          <w:sz w:val="20"/>
          <w:lang w:val="en-GB"/>
        </w:rPr>
        <w:t xml:space="preserve">Total population increase </w:t>
      </w:r>
      <w:r w:rsidRPr="00262A53">
        <w:rPr>
          <w:rFonts w:eastAsia="Arial Unicode MS" w:cs="Arial"/>
          <w:sz w:val="20"/>
          <w:lang w:val="en-GB"/>
        </w:rPr>
        <w:t>–</w:t>
      </w:r>
      <w:r w:rsidRPr="009778D8">
        <w:rPr>
          <w:rFonts w:eastAsia="Arial Unicode MS" w:cs="Arial"/>
          <w:b/>
          <w:sz w:val="20"/>
          <w:lang w:val="en-GB"/>
        </w:rPr>
        <w:t xml:space="preserve"> </w:t>
      </w:r>
      <w:r w:rsidRPr="009778D8">
        <w:rPr>
          <w:rFonts w:eastAsia="Arial Unicode MS" w:cs="Arial"/>
          <w:sz w:val="20"/>
          <w:lang w:val="en-GB"/>
        </w:rPr>
        <w:t xml:space="preserve">the difference between the population at the beginning and </w:t>
      </w:r>
      <w:r w:rsidR="00645864">
        <w:rPr>
          <w:rFonts w:eastAsia="Arial Unicode MS" w:cs="Arial"/>
          <w:sz w:val="20"/>
          <w:lang w:val="en-GB"/>
        </w:rPr>
        <w:t xml:space="preserve">the </w:t>
      </w:r>
      <w:r w:rsidRPr="009778D8">
        <w:rPr>
          <w:rFonts w:eastAsia="Arial Unicode MS" w:cs="Arial"/>
          <w:sz w:val="20"/>
          <w:lang w:val="en-GB"/>
        </w:rPr>
        <w:t xml:space="preserve">end of the reference year of a given </w:t>
      </w:r>
      <w:r w:rsidR="009778D8" w:rsidRPr="009778D8">
        <w:rPr>
          <w:rFonts w:eastAsia="Arial Unicode MS" w:cs="Arial"/>
          <w:sz w:val="20"/>
          <w:lang w:val="en-GB"/>
        </w:rPr>
        <w:t>territory</w:t>
      </w:r>
      <w:r w:rsidRPr="009778D8">
        <w:rPr>
          <w:rFonts w:eastAsia="Arial Unicode MS" w:cs="Arial"/>
          <w:sz w:val="20"/>
          <w:lang w:val="en-GB"/>
        </w:rPr>
        <w:t xml:space="preserve">. It </w:t>
      </w:r>
      <w:r w:rsidR="009778D8" w:rsidRPr="009778D8">
        <w:rPr>
          <w:rFonts w:eastAsia="Arial Unicode MS" w:cs="Arial"/>
          <w:sz w:val="20"/>
          <w:lang w:val="en-GB"/>
        </w:rPr>
        <w:t>equals</w:t>
      </w:r>
      <w:r w:rsidRPr="009778D8">
        <w:rPr>
          <w:rFonts w:eastAsia="Arial Unicode MS" w:cs="Arial"/>
          <w:sz w:val="20"/>
          <w:lang w:val="en-GB"/>
        </w:rPr>
        <w:t xml:space="preserve"> the sum of the natural increase and </w:t>
      </w:r>
      <w:r w:rsidR="009778D8" w:rsidRPr="009778D8">
        <w:rPr>
          <w:rFonts w:eastAsia="Arial Unicode MS" w:cs="Arial"/>
          <w:sz w:val="20"/>
          <w:lang w:val="en-GB"/>
        </w:rPr>
        <w:t xml:space="preserve">net migration </w:t>
      </w:r>
      <w:r w:rsidRPr="009778D8">
        <w:rPr>
          <w:rFonts w:eastAsia="Arial Unicode MS" w:cs="Arial"/>
          <w:sz w:val="20"/>
          <w:lang w:val="en-GB"/>
        </w:rPr>
        <w:t xml:space="preserve">in the </w:t>
      </w:r>
      <w:r w:rsidR="009778D8" w:rsidRPr="009778D8">
        <w:rPr>
          <w:rFonts w:eastAsia="Arial Unicode MS" w:cs="Arial"/>
          <w:sz w:val="20"/>
          <w:lang w:val="en-GB"/>
        </w:rPr>
        <w:t xml:space="preserve">reference </w:t>
      </w:r>
      <w:r w:rsidRPr="009778D8">
        <w:rPr>
          <w:rFonts w:eastAsia="Arial Unicode MS" w:cs="Arial"/>
          <w:sz w:val="20"/>
          <w:lang w:val="en-GB"/>
        </w:rPr>
        <w:t>period.</w:t>
      </w:r>
    </w:p>
    <w:p w14:paraId="49635ACC" w14:textId="206F2BF7" w:rsidR="00645864" w:rsidRPr="00645864" w:rsidRDefault="00645864" w:rsidP="004E26C8">
      <w:pPr>
        <w:spacing w:after="240" w:line="288" w:lineRule="auto"/>
        <w:rPr>
          <w:rFonts w:eastAsia="Arial Unicode MS" w:cs="Arial"/>
          <w:bCs w:val="0"/>
          <w:sz w:val="20"/>
          <w:lang w:val="en-GB"/>
        </w:rPr>
      </w:pPr>
      <w:r w:rsidRPr="00645864">
        <w:rPr>
          <w:rFonts w:eastAsia="Arial Unicode MS" w:cs="Arial"/>
          <w:bCs w:val="0"/>
          <w:sz w:val="20"/>
          <w:lang w:val="en-GB"/>
        </w:rPr>
        <w:t>The start-year population equals the end-year population of the preceding year, except in years when a census took place</w:t>
      </w:r>
      <w:r w:rsidR="0008122B">
        <w:rPr>
          <w:rStyle w:val="Znakapoznpodarou"/>
          <w:rFonts w:eastAsia="Arial Unicode MS" w:cs="Arial"/>
          <w:bCs w:val="0"/>
          <w:sz w:val="20"/>
        </w:rPr>
        <w:footnoteReference w:id="1"/>
      </w:r>
      <w:r w:rsidRPr="00645864">
        <w:rPr>
          <w:rFonts w:eastAsia="Arial Unicode MS" w:cs="Arial"/>
          <w:bCs w:val="0"/>
          <w:sz w:val="20"/>
          <w:lang w:val="en-GB"/>
        </w:rPr>
        <w:t xml:space="preserve"> or when there were territorial changes.</w:t>
      </w:r>
    </w:p>
    <w:p w14:paraId="4EB81008" w14:textId="6EB44D43" w:rsidR="00645864" w:rsidRPr="00D016FA" w:rsidRDefault="00645864" w:rsidP="005E6023">
      <w:pPr>
        <w:spacing w:after="120" w:line="288" w:lineRule="auto"/>
        <w:rPr>
          <w:rFonts w:eastAsia="Arial Unicode MS" w:cs="Arial"/>
          <w:b/>
          <w:bCs w:val="0"/>
          <w:sz w:val="24"/>
          <w:lang w:val="en-GB"/>
        </w:rPr>
      </w:pPr>
      <w:r w:rsidRPr="00D016FA">
        <w:rPr>
          <w:rFonts w:eastAsia="Arial Unicode MS" w:cs="Arial"/>
          <w:b/>
          <w:bCs w:val="0"/>
          <w:sz w:val="24"/>
          <w:lang w:val="en-GB"/>
        </w:rPr>
        <w:t>Methodological notes on data on marriages</w:t>
      </w:r>
    </w:p>
    <w:p w14:paraId="1D411EAC" w14:textId="0BAAFC4D" w:rsidR="00770C26" w:rsidRDefault="009D6E26" w:rsidP="005E6023">
      <w:pPr>
        <w:spacing w:after="120" w:line="288" w:lineRule="auto"/>
        <w:rPr>
          <w:rFonts w:cs="Arial"/>
          <w:sz w:val="20"/>
          <w:lang w:val="en-GB"/>
        </w:rPr>
      </w:pPr>
      <w:r w:rsidRPr="002445B5">
        <w:rPr>
          <w:rFonts w:cs="Arial"/>
          <w:sz w:val="20"/>
          <w:lang w:val="en-GB"/>
        </w:rPr>
        <w:t>The number of marriages include</w:t>
      </w:r>
      <w:r>
        <w:rPr>
          <w:rFonts w:cs="Arial"/>
          <w:sz w:val="20"/>
          <w:lang w:val="en-GB"/>
        </w:rPr>
        <w:t>s</w:t>
      </w:r>
      <w:r w:rsidRPr="002445B5">
        <w:rPr>
          <w:rFonts w:cs="Arial"/>
          <w:sz w:val="20"/>
          <w:lang w:val="en-GB"/>
        </w:rPr>
        <w:t xml:space="preserve"> both civil and (</w:t>
      </w:r>
      <w:r w:rsidR="00284A0B">
        <w:rPr>
          <w:rFonts w:cs="Arial"/>
          <w:sz w:val="20"/>
          <w:lang w:val="en-GB"/>
        </w:rPr>
        <w:t>until 1949</w:t>
      </w:r>
      <w:r w:rsidRPr="002445B5">
        <w:rPr>
          <w:rFonts w:cs="Arial"/>
          <w:sz w:val="20"/>
          <w:lang w:val="en-GB"/>
        </w:rPr>
        <w:t xml:space="preserve"> and since 1 July 1992) religious marriages</w:t>
      </w:r>
      <w:r>
        <w:rPr>
          <w:rFonts w:cs="Arial"/>
          <w:sz w:val="20"/>
          <w:lang w:val="en-GB"/>
        </w:rPr>
        <w:t xml:space="preserve">. </w:t>
      </w:r>
      <w:r w:rsidRPr="009D6E26">
        <w:rPr>
          <w:rFonts w:cs="Arial"/>
          <w:sz w:val="20"/>
          <w:lang w:val="en-GB"/>
        </w:rPr>
        <w:t xml:space="preserve">In terms of </w:t>
      </w:r>
      <w:r w:rsidR="00960CB8">
        <w:rPr>
          <w:rFonts w:cs="Arial"/>
          <w:sz w:val="20"/>
          <w:lang w:val="en-GB"/>
        </w:rPr>
        <w:t xml:space="preserve">the </w:t>
      </w:r>
      <w:r w:rsidRPr="009D6E26">
        <w:rPr>
          <w:rFonts w:cs="Arial"/>
          <w:sz w:val="20"/>
          <w:lang w:val="en-GB"/>
        </w:rPr>
        <w:t>te</w:t>
      </w:r>
      <w:r w:rsidR="0087332A">
        <w:rPr>
          <w:rFonts w:cs="Arial"/>
          <w:sz w:val="20"/>
          <w:lang w:val="en-GB"/>
        </w:rPr>
        <w:t>rritorial breakdown</w:t>
      </w:r>
      <w:r w:rsidRPr="009D6E26">
        <w:rPr>
          <w:rFonts w:cs="Arial"/>
          <w:sz w:val="20"/>
          <w:lang w:val="en-GB"/>
        </w:rPr>
        <w:t xml:space="preserve">, </w:t>
      </w:r>
      <w:r w:rsidR="003351E4">
        <w:rPr>
          <w:rFonts w:cs="Arial"/>
          <w:sz w:val="20"/>
          <w:lang w:val="en-GB"/>
        </w:rPr>
        <w:t>marriages</w:t>
      </w:r>
      <w:r w:rsidR="003351E4" w:rsidRPr="009D6E26">
        <w:rPr>
          <w:rFonts w:cs="Arial"/>
          <w:sz w:val="20"/>
          <w:lang w:val="en-GB"/>
        </w:rPr>
        <w:t xml:space="preserve"> </w:t>
      </w:r>
      <w:r w:rsidRPr="009D6E26">
        <w:rPr>
          <w:rFonts w:cs="Arial"/>
          <w:sz w:val="20"/>
          <w:lang w:val="en-GB"/>
        </w:rPr>
        <w:t xml:space="preserve">are </w:t>
      </w:r>
      <w:r w:rsidR="005C6B93">
        <w:rPr>
          <w:rFonts w:cs="Arial"/>
          <w:sz w:val="20"/>
          <w:lang w:val="en-GB"/>
        </w:rPr>
        <w:t xml:space="preserve">by default </w:t>
      </w:r>
      <w:r w:rsidRPr="009D6E26">
        <w:rPr>
          <w:rFonts w:cs="Arial"/>
          <w:sz w:val="20"/>
          <w:lang w:val="en-GB"/>
        </w:rPr>
        <w:t xml:space="preserve">classified </w:t>
      </w:r>
      <w:r w:rsidR="004A41B8">
        <w:rPr>
          <w:rFonts w:cs="Arial"/>
          <w:sz w:val="20"/>
          <w:lang w:val="en-GB"/>
        </w:rPr>
        <w:t>according to</w:t>
      </w:r>
      <w:r w:rsidR="004A41B8" w:rsidRPr="009D6E26">
        <w:rPr>
          <w:rFonts w:cs="Arial"/>
          <w:sz w:val="20"/>
          <w:lang w:val="en-GB"/>
        </w:rPr>
        <w:t xml:space="preserve"> </w:t>
      </w:r>
      <w:r w:rsidR="00960CB8">
        <w:rPr>
          <w:rFonts w:cs="Arial"/>
          <w:sz w:val="20"/>
          <w:lang w:val="en-GB"/>
        </w:rPr>
        <w:t xml:space="preserve">the </w:t>
      </w:r>
      <w:r w:rsidRPr="009D6E26">
        <w:rPr>
          <w:rFonts w:cs="Arial"/>
          <w:sz w:val="20"/>
          <w:lang w:val="en-GB"/>
        </w:rPr>
        <w:t>place of residence</w:t>
      </w:r>
      <w:r w:rsidR="004A41B8">
        <w:rPr>
          <w:rFonts w:cs="Arial"/>
          <w:sz w:val="20"/>
          <w:lang w:val="en-GB"/>
        </w:rPr>
        <w:t xml:space="preserve"> of the groom</w:t>
      </w:r>
      <w:r w:rsidRPr="009D6E26">
        <w:rPr>
          <w:rFonts w:cs="Arial"/>
          <w:sz w:val="20"/>
          <w:lang w:val="en-GB"/>
        </w:rPr>
        <w:t xml:space="preserve"> (unless stated otherwise).</w:t>
      </w:r>
      <w:r>
        <w:rPr>
          <w:rFonts w:cs="Arial"/>
          <w:sz w:val="20"/>
          <w:lang w:val="en-GB"/>
        </w:rPr>
        <w:t xml:space="preserve"> </w:t>
      </w:r>
      <w:r w:rsidR="00960CB8">
        <w:rPr>
          <w:rFonts w:cs="Arial"/>
          <w:sz w:val="20"/>
          <w:lang w:val="en-GB"/>
        </w:rPr>
        <w:t xml:space="preserve">The average </w:t>
      </w:r>
      <w:r>
        <w:rPr>
          <w:rFonts w:cs="Arial"/>
          <w:sz w:val="20"/>
          <w:lang w:val="en-GB"/>
        </w:rPr>
        <w:t>age of men/women at first marriage</w:t>
      </w:r>
      <w:r w:rsidR="005B7852">
        <w:rPr>
          <w:rFonts w:cs="Arial"/>
          <w:sz w:val="20"/>
          <w:lang w:val="en-GB"/>
        </w:rPr>
        <w:t xml:space="preserve"> in this publication</w:t>
      </w:r>
      <w:r>
        <w:rPr>
          <w:rFonts w:cs="Arial"/>
          <w:sz w:val="20"/>
          <w:lang w:val="en-GB"/>
        </w:rPr>
        <w:t xml:space="preserve"> </w:t>
      </w:r>
      <w:r w:rsidR="00D016FA">
        <w:rPr>
          <w:rFonts w:cs="Arial"/>
          <w:sz w:val="20"/>
          <w:lang w:val="en-GB"/>
        </w:rPr>
        <w:t>is based on the distribution of absolute numbers of marria</w:t>
      </w:r>
      <w:r w:rsidR="00DF1406">
        <w:rPr>
          <w:rFonts w:cs="Arial"/>
          <w:sz w:val="20"/>
          <w:lang w:val="en-GB"/>
        </w:rPr>
        <w:t>ges of single men/women by age.</w:t>
      </w:r>
    </w:p>
    <w:p w14:paraId="2CEC72CE" w14:textId="43AEEC63" w:rsidR="00D016FA" w:rsidRPr="00E72509" w:rsidRDefault="001336A1" w:rsidP="005E6023">
      <w:pPr>
        <w:spacing w:after="240" w:line="288" w:lineRule="auto"/>
        <w:rPr>
          <w:rFonts w:eastAsia="Arial Unicode MS" w:cs="Arial"/>
          <w:bCs w:val="0"/>
          <w:sz w:val="20"/>
          <w:lang w:val="en-GB"/>
        </w:rPr>
      </w:pPr>
      <w:r>
        <w:rPr>
          <w:rFonts w:eastAsia="Arial Unicode MS" w:cs="Arial"/>
          <w:bCs w:val="0"/>
          <w:sz w:val="20"/>
          <w:lang w:val="en-GB"/>
        </w:rPr>
        <w:t>Since 2008</w:t>
      </w:r>
      <w:r w:rsidR="00417241">
        <w:rPr>
          <w:rFonts w:eastAsia="Arial Unicode MS" w:cs="Arial"/>
          <w:bCs w:val="0"/>
          <w:sz w:val="20"/>
          <w:lang w:val="en-GB"/>
        </w:rPr>
        <w:t>,</w:t>
      </w:r>
      <w:r>
        <w:rPr>
          <w:rFonts w:eastAsia="Arial Unicode MS" w:cs="Arial"/>
          <w:bCs w:val="0"/>
          <w:sz w:val="20"/>
          <w:lang w:val="en-GB"/>
        </w:rPr>
        <w:t xml:space="preserve"> the e</w:t>
      </w:r>
      <w:r w:rsidR="00D016FA" w:rsidRPr="00E72509">
        <w:rPr>
          <w:rFonts w:eastAsia="Arial Unicode MS" w:cs="Arial"/>
          <w:bCs w:val="0"/>
          <w:sz w:val="20"/>
          <w:lang w:val="en-GB"/>
        </w:rPr>
        <w:t xml:space="preserve">ducation of </w:t>
      </w:r>
      <w:r w:rsidR="00DE3705">
        <w:rPr>
          <w:rFonts w:eastAsia="Arial Unicode MS" w:cs="Arial"/>
          <w:bCs w:val="0"/>
          <w:sz w:val="20"/>
          <w:lang w:val="en-GB"/>
        </w:rPr>
        <w:t xml:space="preserve">the </w:t>
      </w:r>
      <w:r w:rsidR="00D016FA" w:rsidRPr="00E72509">
        <w:rPr>
          <w:rFonts w:eastAsia="Arial Unicode MS" w:cs="Arial"/>
          <w:bCs w:val="0"/>
          <w:sz w:val="20"/>
          <w:lang w:val="en-GB"/>
        </w:rPr>
        <w:t>groom/bride is collected on</w:t>
      </w:r>
      <w:r w:rsidR="00DE3705">
        <w:rPr>
          <w:rFonts w:eastAsia="Arial Unicode MS" w:cs="Arial"/>
          <w:bCs w:val="0"/>
          <w:sz w:val="20"/>
          <w:lang w:val="en-GB"/>
        </w:rPr>
        <w:t xml:space="preserve"> a</w:t>
      </w:r>
      <w:r w:rsidR="00D016FA" w:rsidRPr="00E72509">
        <w:rPr>
          <w:rFonts w:eastAsia="Arial Unicode MS" w:cs="Arial"/>
          <w:bCs w:val="0"/>
          <w:sz w:val="20"/>
          <w:lang w:val="en-GB"/>
        </w:rPr>
        <w:t xml:space="preserve"> voluntary basis. </w:t>
      </w:r>
      <w:r w:rsidR="007A5FE8" w:rsidRPr="007A5FE8">
        <w:rPr>
          <w:rFonts w:eastAsia="Arial Unicode MS" w:cs="Arial"/>
          <w:bCs w:val="0"/>
          <w:sz w:val="20"/>
          <w:lang w:val="en-GB"/>
        </w:rPr>
        <w:t xml:space="preserve">Since 2015, the surveyed levels of the highest completed education of the </w:t>
      </w:r>
      <w:r w:rsidR="007A5FE8">
        <w:rPr>
          <w:rFonts w:eastAsia="Arial Unicode MS" w:cs="Arial"/>
          <w:bCs w:val="0"/>
          <w:sz w:val="20"/>
          <w:lang w:val="en-GB"/>
        </w:rPr>
        <w:t>groom</w:t>
      </w:r>
      <w:r w:rsidR="007A5FE8" w:rsidRPr="007A5FE8">
        <w:rPr>
          <w:rFonts w:eastAsia="Arial Unicode MS" w:cs="Arial"/>
          <w:bCs w:val="0"/>
          <w:sz w:val="20"/>
          <w:lang w:val="en-GB"/>
        </w:rPr>
        <w:t>/</w:t>
      </w:r>
      <w:r w:rsidR="007A5FE8">
        <w:rPr>
          <w:rFonts w:eastAsia="Arial Unicode MS" w:cs="Arial"/>
          <w:bCs w:val="0"/>
          <w:sz w:val="20"/>
          <w:lang w:val="en-GB"/>
        </w:rPr>
        <w:t>bride</w:t>
      </w:r>
      <w:r w:rsidR="007A5FE8" w:rsidRPr="007A5FE8">
        <w:rPr>
          <w:rFonts w:eastAsia="Arial Unicode MS" w:cs="Arial"/>
          <w:bCs w:val="0"/>
          <w:sz w:val="20"/>
          <w:lang w:val="en-GB"/>
        </w:rPr>
        <w:t xml:space="preserve"> have been expanded to include a separate category for tertiary technical education.</w:t>
      </w:r>
      <w:r w:rsidR="007A5FE8">
        <w:rPr>
          <w:rFonts w:eastAsia="Arial Unicode MS" w:cs="Arial"/>
          <w:bCs w:val="0"/>
          <w:sz w:val="20"/>
          <w:lang w:val="en-GB"/>
        </w:rPr>
        <w:t xml:space="preserve"> </w:t>
      </w:r>
    </w:p>
    <w:p w14:paraId="20AFCDD7" w14:textId="7AE1A184" w:rsidR="004E26C8" w:rsidRDefault="00E72509" w:rsidP="004E26C8">
      <w:pPr>
        <w:spacing w:after="240" w:line="288" w:lineRule="auto"/>
        <w:rPr>
          <w:rFonts w:eastAsia="Arial Unicode MS" w:cs="Arial"/>
          <w:bCs w:val="0"/>
          <w:sz w:val="20"/>
          <w:lang w:val="en-GB"/>
        </w:rPr>
      </w:pPr>
      <w:r w:rsidRPr="00574A82">
        <w:rPr>
          <w:rFonts w:eastAsia="Arial Unicode MS" w:cs="Arial"/>
          <w:b/>
          <w:sz w:val="20"/>
          <w:lang w:val="en-GB"/>
        </w:rPr>
        <w:t xml:space="preserve">Age-specific </w:t>
      </w:r>
      <w:proofErr w:type="spellStart"/>
      <w:r w:rsidRPr="00574A82">
        <w:rPr>
          <w:rFonts w:eastAsia="Arial Unicode MS" w:cs="Arial"/>
          <w:b/>
          <w:sz w:val="20"/>
          <w:lang w:val="en-GB"/>
        </w:rPr>
        <w:t>nuptiality</w:t>
      </w:r>
      <w:proofErr w:type="spellEnd"/>
      <w:r w:rsidRPr="00574A82">
        <w:rPr>
          <w:rFonts w:eastAsia="Arial Unicode MS" w:cs="Arial"/>
          <w:b/>
          <w:sz w:val="20"/>
          <w:lang w:val="en-GB"/>
        </w:rPr>
        <w:t xml:space="preserve"> rate of unmarried women </w:t>
      </w:r>
      <w:r w:rsidRPr="005377B0">
        <w:rPr>
          <w:rFonts w:eastAsia="Arial Unicode MS" w:cs="Arial"/>
          <w:sz w:val="20"/>
          <w:lang w:val="en-GB"/>
        </w:rPr>
        <w:t>–</w:t>
      </w:r>
      <w:r w:rsidR="00574A82" w:rsidRPr="00574A82">
        <w:rPr>
          <w:rFonts w:eastAsia="Arial Unicode MS" w:cs="Arial"/>
          <w:b/>
          <w:sz w:val="20"/>
          <w:lang w:val="en-GB"/>
        </w:rPr>
        <w:t xml:space="preserve"> </w:t>
      </w:r>
      <w:r w:rsidR="00960CB8" w:rsidRPr="00F202B9">
        <w:rPr>
          <w:rFonts w:eastAsia="Arial Unicode MS" w:cs="Arial"/>
          <w:sz w:val="20"/>
          <w:lang w:val="en-GB"/>
        </w:rPr>
        <w:t>the</w:t>
      </w:r>
      <w:r w:rsidR="00DE3705">
        <w:rPr>
          <w:rFonts w:eastAsia="Arial Unicode MS" w:cs="Arial"/>
          <w:b/>
          <w:sz w:val="20"/>
          <w:lang w:val="en-GB"/>
        </w:rPr>
        <w:t xml:space="preserve"> </w:t>
      </w:r>
      <w:r w:rsidR="00574A82" w:rsidRPr="00574A82">
        <w:rPr>
          <w:rFonts w:eastAsia="Arial Unicode MS" w:cs="Arial"/>
          <w:sz w:val="20"/>
          <w:lang w:val="en-GB"/>
        </w:rPr>
        <w:t>n</w:t>
      </w:r>
      <w:r w:rsidRPr="00574A82">
        <w:rPr>
          <w:rFonts w:eastAsia="Arial Unicode MS" w:cs="Arial"/>
          <w:bCs w:val="0"/>
          <w:sz w:val="20"/>
          <w:lang w:val="en-GB"/>
        </w:rPr>
        <w:t xml:space="preserve">umber of marriages of women </w:t>
      </w:r>
      <w:r w:rsidR="00574A82" w:rsidRPr="00574A82">
        <w:rPr>
          <w:rFonts w:eastAsia="Arial Unicode MS" w:cs="Arial"/>
          <w:bCs w:val="0"/>
          <w:sz w:val="20"/>
          <w:lang w:val="en-GB"/>
        </w:rPr>
        <w:t>of</w:t>
      </w:r>
      <w:r w:rsidRPr="00574A82">
        <w:rPr>
          <w:rFonts w:eastAsia="Arial Unicode MS" w:cs="Arial"/>
          <w:bCs w:val="0"/>
          <w:sz w:val="20"/>
          <w:lang w:val="en-GB"/>
        </w:rPr>
        <w:t xml:space="preserve"> a given age </w:t>
      </w:r>
      <w:r w:rsidR="00574A82" w:rsidRPr="00574A82">
        <w:rPr>
          <w:rFonts w:eastAsia="Arial Unicode MS" w:cs="Arial"/>
          <w:bCs w:val="0"/>
          <w:sz w:val="20"/>
          <w:lang w:val="en-GB"/>
        </w:rPr>
        <w:t>group per 1,</w:t>
      </w:r>
      <w:r w:rsidRPr="00574A82">
        <w:rPr>
          <w:rFonts w:eastAsia="Arial Unicode MS" w:cs="Arial"/>
          <w:bCs w:val="0"/>
          <w:sz w:val="20"/>
          <w:lang w:val="en-GB"/>
        </w:rPr>
        <w:t xml:space="preserve">000 </w:t>
      </w:r>
      <w:r w:rsidR="00574A82" w:rsidRPr="00574A82">
        <w:rPr>
          <w:rFonts w:eastAsia="Arial Unicode MS" w:cs="Arial"/>
          <w:bCs w:val="0"/>
          <w:sz w:val="20"/>
          <w:lang w:val="en-GB"/>
        </w:rPr>
        <w:t xml:space="preserve">mid-year population of </w:t>
      </w:r>
      <w:r w:rsidRPr="00574A82">
        <w:rPr>
          <w:rFonts w:eastAsia="Arial Unicode MS" w:cs="Arial"/>
          <w:bCs w:val="0"/>
          <w:sz w:val="20"/>
          <w:lang w:val="en-GB"/>
        </w:rPr>
        <w:t xml:space="preserve">unmarried women </w:t>
      </w:r>
      <w:r w:rsidR="00574A82" w:rsidRPr="00574A82">
        <w:rPr>
          <w:rFonts w:eastAsia="Arial Unicode MS" w:cs="Arial"/>
          <w:bCs w:val="0"/>
          <w:sz w:val="20"/>
          <w:lang w:val="en-GB"/>
        </w:rPr>
        <w:t>of</w:t>
      </w:r>
      <w:r w:rsidRPr="00574A82">
        <w:rPr>
          <w:rFonts w:eastAsia="Arial Unicode MS" w:cs="Arial"/>
          <w:bCs w:val="0"/>
          <w:sz w:val="20"/>
          <w:lang w:val="en-GB"/>
        </w:rPr>
        <w:t xml:space="preserve"> that age.</w:t>
      </w:r>
      <w:r w:rsidRPr="00E72509">
        <w:rPr>
          <w:rFonts w:eastAsia="Arial Unicode MS" w:cs="Arial"/>
          <w:bCs w:val="0"/>
          <w:sz w:val="20"/>
        </w:rPr>
        <w:t xml:space="preserve"> </w:t>
      </w:r>
      <w:r w:rsidRPr="00574A82">
        <w:rPr>
          <w:rFonts w:eastAsia="Arial Unicode MS" w:cs="Arial"/>
          <w:bCs w:val="0"/>
          <w:sz w:val="20"/>
          <w:lang w:val="en-GB"/>
        </w:rPr>
        <w:t xml:space="preserve">The </w:t>
      </w:r>
      <w:r w:rsidR="00574A82" w:rsidRPr="00574A82">
        <w:rPr>
          <w:rFonts w:eastAsia="Arial Unicode MS" w:cs="Arial"/>
          <w:bCs w:val="0"/>
          <w:sz w:val="20"/>
          <w:lang w:val="en-GB"/>
        </w:rPr>
        <w:t xml:space="preserve">mid-year population of </w:t>
      </w:r>
      <w:r w:rsidRPr="00574A82">
        <w:rPr>
          <w:rFonts w:eastAsia="Arial Unicode MS" w:cs="Arial"/>
          <w:bCs w:val="0"/>
          <w:sz w:val="20"/>
          <w:lang w:val="en-GB"/>
        </w:rPr>
        <w:t xml:space="preserve">unmarried women is </w:t>
      </w:r>
      <w:r w:rsidR="00574A82">
        <w:rPr>
          <w:rFonts w:eastAsia="Arial Unicode MS" w:cs="Arial"/>
          <w:bCs w:val="0"/>
          <w:sz w:val="20"/>
          <w:lang w:val="en-GB"/>
        </w:rPr>
        <w:t>calculated</w:t>
      </w:r>
      <w:r w:rsidRPr="00574A82">
        <w:rPr>
          <w:rFonts w:eastAsia="Arial Unicode MS" w:cs="Arial"/>
          <w:bCs w:val="0"/>
          <w:sz w:val="20"/>
          <w:lang w:val="en-GB"/>
        </w:rPr>
        <w:t xml:space="preserve"> as the arithmetic mean of the two </w:t>
      </w:r>
      <w:r w:rsidR="00574A82">
        <w:rPr>
          <w:rFonts w:eastAsia="Arial Unicode MS" w:cs="Arial"/>
          <w:bCs w:val="0"/>
          <w:sz w:val="20"/>
          <w:lang w:val="en-GB"/>
        </w:rPr>
        <w:t xml:space="preserve">relevant </w:t>
      </w:r>
      <w:r w:rsidR="00574A82" w:rsidRPr="00574A82">
        <w:rPr>
          <w:rFonts w:eastAsia="Arial Unicode MS" w:cs="Arial"/>
          <w:bCs w:val="0"/>
          <w:sz w:val="20"/>
          <w:lang w:val="en-GB"/>
        </w:rPr>
        <w:t>end-year populations</w:t>
      </w:r>
      <w:r w:rsidRPr="00574A82">
        <w:rPr>
          <w:rFonts w:eastAsia="Arial Unicode MS" w:cs="Arial"/>
          <w:bCs w:val="0"/>
          <w:sz w:val="20"/>
          <w:lang w:val="en-GB"/>
        </w:rPr>
        <w:t xml:space="preserve"> (or start</w:t>
      </w:r>
      <w:r w:rsidR="00574A82" w:rsidRPr="00574A82">
        <w:rPr>
          <w:rFonts w:eastAsia="Arial Unicode MS" w:cs="Arial"/>
          <w:bCs w:val="0"/>
          <w:sz w:val="20"/>
          <w:lang w:val="en-GB"/>
        </w:rPr>
        <w:t>-year</w:t>
      </w:r>
      <w:r w:rsidRPr="00574A82">
        <w:rPr>
          <w:rFonts w:eastAsia="Arial Unicode MS" w:cs="Arial"/>
          <w:bCs w:val="0"/>
          <w:sz w:val="20"/>
          <w:lang w:val="en-GB"/>
        </w:rPr>
        <w:t xml:space="preserve"> and end</w:t>
      </w:r>
      <w:r w:rsidR="00574A82" w:rsidRPr="00574A82">
        <w:rPr>
          <w:rFonts w:eastAsia="Arial Unicode MS" w:cs="Arial"/>
          <w:bCs w:val="0"/>
          <w:sz w:val="20"/>
          <w:lang w:val="en-GB"/>
        </w:rPr>
        <w:t>-year</w:t>
      </w:r>
      <w:r w:rsidRPr="00574A82">
        <w:rPr>
          <w:rFonts w:eastAsia="Arial Unicode MS" w:cs="Arial"/>
          <w:bCs w:val="0"/>
          <w:sz w:val="20"/>
          <w:lang w:val="en-GB"/>
        </w:rPr>
        <w:t xml:space="preserve"> in the case of the census year).</w:t>
      </w:r>
    </w:p>
    <w:p w14:paraId="51E09472" w14:textId="77777777" w:rsidR="005E6023" w:rsidRDefault="005E6023" w:rsidP="004E26C8">
      <w:pPr>
        <w:spacing w:after="160" w:line="288" w:lineRule="auto"/>
        <w:rPr>
          <w:rFonts w:eastAsia="Arial Unicode MS" w:cs="Arial"/>
          <w:b/>
          <w:bCs w:val="0"/>
          <w:sz w:val="24"/>
          <w:lang w:val="en-GB"/>
        </w:rPr>
      </w:pPr>
    </w:p>
    <w:p w14:paraId="41409738" w14:textId="2890B0EF" w:rsidR="000613EC" w:rsidRPr="000613EC" w:rsidRDefault="000613EC" w:rsidP="005E6023">
      <w:pPr>
        <w:spacing w:after="120" w:line="288" w:lineRule="auto"/>
        <w:rPr>
          <w:rFonts w:eastAsia="Arial Unicode MS" w:cs="Arial"/>
          <w:b/>
          <w:bCs w:val="0"/>
          <w:sz w:val="24"/>
          <w:lang w:val="en-GB"/>
        </w:rPr>
      </w:pPr>
      <w:r w:rsidRPr="000613EC">
        <w:rPr>
          <w:rFonts w:eastAsia="Arial Unicode MS" w:cs="Arial"/>
          <w:b/>
          <w:bCs w:val="0"/>
          <w:sz w:val="24"/>
          <w:lang w:val="en-GB"/>
        </w:rPr>
        <w:lastRenderedPageBreak/>
        <w:t>Methodological notes on data on divorces</w:t>
      </w:r>
    </w:p>
    <w:p w14:paraId="0B3402F0" w14:textId="52280F7A" w:rsidR="001336A1" w:rsidRPr="001336A1" w:rsidRDefault="001336A1" w:rsidP="005E6023">
      <w:pPr>
        <w:spacing w:after="120" w:line="288" w:lineRule="auto"/>
        <w:rPr>
          <w:rFonts w:eastAsia="Arial Unicode MS" w:cs="Arial"/>
          <w:bCs w:val="0"/>
          <w:sz w:val="20"/>
          <w:lang w:val="en-GB"/>
        </w:rPr>
      </w:pPr>
      <w:r w:rsidRPr="001336A1">
        <w:rPr>
          <w:rFonts w:eastAsia="Arial Unicode MS" w:cs="Arial"/>
          <w:bCs w:val="0"/>
          <w:sz w:val="20"/>
          <w:lang w:val="en-GB"/>
        </w:rPr>
        <w:t>In the years 1919</w:t>
      </w:r>
      <w:r w:rsidR="00330C29">
        <w:rPr>
          <w:rFonts w:eastAsia="Arial Unicode MS" w:cs="Arial"/>
          <w:bCs w:val="0"/>
          <w:sz w:val="20"/>
          <w:lang w:val="en-GB"/>
        </w:rPr>
        <w:t>–</w:t>
      </w:r>
      <w:r w:rsidRPr="001336A1">
        <w:rPr>
          <w:rFonts w:eastAsia="Arial Unicode MS" w:cs="Arial"/>
          <w:bCs w:val="0"/>
          <w:sz w:val="20"/>
          <w:lang w:val="en-GB"/>
        </w:rPr>
        <w:t>1949, divorces include</w:t>
      </w:r>
      <w:r>
        <w:rPr>
          <w:rFonts w:eastAsia="Arial Unicode MS" w:cs="Arial"/>
          <w:bCs w:val="0"/>
          <w:sz w:val="20"/>
          <w:lang w:val="en-GB"/>
        </w:rPr>
        <w:t>d only dissolutions of marriage</w:t>
      </w:r>
      <w:r w:rsidRPr="001336A1">
        <w:rPr>
          <w:rFonts w:eastAsia="Arial Unicode MS" w:cs="Arial"/>
          <w:bCs w:val="0"/>
          <w:sz w:val="20"/>
          <w:lang w:val="en-GB"/>
        </w:rPr>
        <w:t xml:space="preserve"> which, according to the valid legislation</w:t>
      </w:r>
      <w:r>
        <w:rPr>
          <w:rFonts w:eastAsia="Arial Unicode MS" w:cs="Arial"/>
          <w:bCs w:val="0"/>
          <w:sz w:val="20"/>
          <w:lang w:val="en-GB"/>
        </w:rPr>
        <w:t xml:space="preserve"> </w:t>
      </w:r>
      <w:r w:rsidR="00E05D17">
        <w:rPr>
          <w:rFonts w:eastAsia="Arial Unicode MS" w:cs="Arial"/>
          <w:bCs w:val="0"/>
          <w:sz w:val="20"/>
          <w:lang w:val="en-GB"/>
        </w:rPr>
        <w:t>at the</w:t>
      </w:r>
      <w:r w:rsidRPr="001336A1">
        <w:rPr>
          <w:rFonts w:eastAsia="Arial Unicode MS" w:cs="Arial"/>
          <w:bCs w:val="0"/>
          <w:sz w:val="20"/>
          <w:lang w:val="en-GB"/>
        </w:rPr>
        <w:t xml:space="preserve"> t</w:t>
      </w:r>
      <w:r w:rsidR="00BF5B4F">
        <w:rPr>
          <w:rFonts w:eastAsia="Arial Unicode MS" w:cs="Arial"/>
          <w:bCs w:val="0"/>
          <w:sz w:val="20"/>
          <w:lang w:val="en-GB"/>
        </w:rPr>
        <w:t xml:space="preserve">ime, corresponded to divorce in its </w:t>
      </w:r>
      <w:r w:rsidRPr="001336A1">
        <w:rPr>
          <w:rFonts w:eastAsia="Arial Unicode MS" w:cs="Arial"/>
          <w:bCs w:val="0"/>
          <w:sz w:val="20"/>
          <w:lang w:val="en-GB"/>
        </w:rPr>
        <w:t>current meaning.</w:t>
      </w:r>
    </w:p>
    <w:p w14:paraId="224A8843" w14:textId="4E553FAA" w:rsidR="001336A1" w:rsidRPr="00E72509" w:rsidRDefault="001336A1" w:rsidP="004E26C8">
      <w:pPr>
        <w:spacing w:after="240" w:line="288" w:lineRule="auto"/>
        <w:rPr>
          <w:rFonts w:eastAsia="Arial Unicode MS" w:cs="Arial"/>
          <w:bCs w:val="0"/>
          <w:sz w:val="20"/>
          <w:lang w:val="en-GB"/>
        </w:rPr>
      </w:pPr>
      <w:r>
        <w:rPr>
          <w:rFonts w:eastAsia="Arial Unicode MS" w:cs="Arial"/>
          <w:bCs w:val="0"/>
          <w:sz w:val="20"/>
          <w:lang w:val="en-GB"/>
        </w:rPr>
        <w:t>Since 2007</w:t>
      </w:r>
      <w:r w:rsidR="0038010F">
        <w:rPr>
          <w:rFonts w:eastAsia="Arial Unicode MS" w:cs="Arial"/>
          <w:bCs w:val="0"/>
          <w:sz w:val="20"/>
          <w:lang w:val="en-GB"/>
        </w:rPr>
        <w:t>,</w:t>
      </w:r>
      <w:r>
        <w:rPr>
          <w:rFonts w:eastAsia="Arial Unicode MS" w:cs="Arial"/>
          <w:bCs w:val="0"/>
          <w:sz w:val="20"/>
          <w:lang w:val="en-GB"/>
        </w:rPr>
        <w:t xml:space="preserve"> the e</w:t>
      </w:r>
      <w:r w:rsidRPr="00E72509">
        <w:rPr>
          <w:rFonts w:eastAsia="Arial Unicode MS" w:cs="Arial"/>
          <w:bCs w:val="0"/>
          <w:sz w:val="20"/>
          <w:lang w:val="en-GB"/>
        </w:rPr>
        <w:t xml:space="preserve">ducation of </w:t>
      </w:r>
      <w:r>
        <w:rPr>
          <w:rFonts w:eastAsia="Arial Unicode MS" w:cs="Arial"/>
          <w:bCs w:val="0"/>
          <w:sz w:val="20"/>
          <w:lang w:val="en-GB"/>
        </w:rPr>
        <w:t>man</w:t>
      </w:r>
      <w:r w:rsidRPr="00E72509">
        <w:rPr>
          <w:rFonts w:eastAsia="Arial Unicode MS" w:cs="Arial"/>
          <w:bCs w:val="0"/>
          <w:sz w:val="20"/>
          <w:lang w:val="en-GB"/>
        </w:rPr>
        <w:t>/</w:t>
      </w:r>
      <w:r>
        <w:rPr>
          <w:rFonts w:eastAsia="Arial Unicode MS" w:cs="Arial"/>
          <w:bCs w:val="0"/>
          <w:sz w:val="20"/>
          <w:lang w:val="en-GB"/>
        </w:rPr>
        <w:t>woman</w:t>
      </w:r>
      <w:r w:rsidRPr="00E72509">
        <w:rPr>
          <w:rFonts w:eastAsia="Arial Unicode MS" w:cs="Arial"/>
          <w:bCs w:val="0"/>
          <w:sz w:val="20"/>
          <w:lang w:val="en-GB"/>
        </w:rPr>
        <w:t xml:space="preserve"> is collected on </w:t>
      </w:r>
      <w:r w:rsidR="00960CB8">
        <w:rPr>
          <w:rFonts w:eastAsia="Arial Unicode MS" w:cs="Arial"/>
          <w:bCs w:val="0"/>
          <w:sz w:val="20"/>
          <w:lang w:val="en-GB"/>
        </w:rPr>
        <w:t xml:space="preserve">a </w:t>
      </w:r>
      <w:r w:rsidRPr="00E72509">
        <w:rPr>
          <w:rFonts w:eastAsia="Arial Unicode MS" w:cs="Arial"/>
          <w:bCs w:val="0"/>
          <w:sz w:val="20"/>
          <w:lang w:val="en-GB"/>
        </w:rPr>
        <w:t xml:space="preserve">voluntary basis. </w:t>
      </w:r>
      <w:r w:rsidRPr="001336A1">
        <w:rPr>
          <w:rFonts w:eastAsia="Arial Unicode MS" w:cs="Arial"/>
          <w:bCs w:val="0"/>
          <w:sz w:val="20"/>
          <w:lang w:val="en-GB"/>
        </w:rPr>
        <w:t xml:space="preserve">In terms of territorial breakdown, </w:t>
      </w:r>
      <w:r>
        <w:rPr>
          <w:rFonts w:eastAsia="Arial Unicode MS" w:cs="Arial"/>
          <w:bCs w:val="0"/>
          <w:sz w:val="20"/>
          <w:lang w:val="en-GB"/>
        </w:rPr>
        <w:t>divorces</w:t>
      </w:r>
      <w:r w:rsidRPr="001336A1">
        <w:rPr>
          <w:rFonts w:eastAsia="Arial Unicode MS" w:cs="Arial"/>
          <w:bCs w:val="0"/>
          <w:sz w:val="20"/>
          <w:lang w:val="en-GB"/>
        </w:rPr>
        <w:t xml:space="preserve"> are classified by the last common place of</w:t>
      </w:r>
      <w:r>
        <w:rPr>
          <w:rFonts w:eastAsia="Arial Unicode MS" w:cs="Arial"/>
          <w:bCs w:val="0"/>
          <w:sz w:val="20"/>
          <w:lang w:val="en-GB"/>
        </w:rPr>
        <w:t xml:space="preserve"> residence of the man and woman.</w:t>
      </w:r>
    </w:p>
    <w:p w14:paraId="6FA2CE48" w14:textId="09340BC6" w:rsidR="006F2E1D" w:rsidRPr="005E5703" w:rsidRDefault="006F2E1D" w:rsidP="004E26C8">
      <w:pPr>
        <w:spacing w:after="240" w:line="288" w:lineRule="auto"/>
        <w:rPr>
          <w:rFonts w:eastAsia="Arial Unicode MS" w:cs="Arial"/>
          <w:bCs w:val="0"/>
          <w:sz w:val="20"/>
          <w:lang w:val="en-GB"/>
        </w:rPr>
      </w:pPr>
      <w:r w:rsidRPr="005E5703">
        <w:rPr>
          <w:rFonts w:eastAsia="Arial Unicode MS" w:cs="Arial"/>
          <w:b/>
          <w:bCs w:val="0"/>
          <w:sz w:val="20"/>
          <w:lang w:val="en-GB"/>
        </w:rPr>
        <w:t xml:space="preserve">Divorce rates by the duration of marriage </w:t>
      </w:r>
      <w:r w:rsidRPr="005E5703">
        <w:rPr>
          <w:rFonts w:eastAsia="Arial Unicode MS" w:cs="Arial"/>
          <w:bCs w:val="0"/>
          <w:sz w:val="20"/>
          <w:lang w:val="en-GB"/>
        </w:rPr>
        <w:t xml:space="preserve">– the number of divorces </w:t>
      </w:r>
      <w:r w:rsidR="00EA6AC5" w:rsidRPr="005E5703">
        <w:rPr>
          <w:rFonts w:eastAsia="Arial Unicode MS" w:cs="Arial"/>
          <w:bCs w:val="0"/>
          <w:sz w:val="20"/>
          <w:lang w:val="en-GB"/>
        </w:rPr>
        <w:t>of</w:t>
      </w:r>
      <w:r w:rsidRPr="005E5703">
        <w:rPr>
          <w:rFonts w:eastAsia="Arial Unicode MS" w:cs="Arial"/>
          <w:bCs w:val="0"/>
          <w:sz w:val="20"/>
          <w:lang w:val="en-GB"/>
        </w:rPr>
        <w:t xml:space="preserve"> a given duration of marriage </w:t>
      </w:r>
      <w:r w:rsidR="00EA6AC5" w:rsidRPr="005E5703">
        <w:rPr>
          <w:rFonts w:eastAsia="Arial Unicode MS" w:cs="Arial"/>
          <w:bCs w:val="0"/>
          <w:sz w:val="20"/>
          <w:lang w:val="en-GB"/>
        </w:rPr>
        <w:t xml:space="preserve">(in years) </w:t>
      </w:r>
      <w:r w:rsidRPr="005E5703">
        <w:rPr>
          <w:rFonts w:eastAsia="Arial Unicode MS" w:cs="Arial"/>
          <w:bCs w:val="0"/>
          <w:sz w:val="20"/>
          <w:lang w:val="en-GB"/>
        </w:rPr>
        <w:t xml:space="preserve">per </w:t>
      </w:r>
      <w:r w:rsidR="00EA6AC5" w:rsidRPr="005E5703">
        <w:rPr>
          <w:rFonts w:eastAsia="Arial Unicode MS" w:cs="Arial"/>
          <w:bCs w:val="0"/>
          <w:sz w:val="20"/>
          <w:lang w:val="en-GB"/>
        </w:rPr>
        <w:t>a hundred</w:t>
      </w:r>
      <w:r w:rsidR="00D923CD">
        <w:rPr>
          <w:rFonts w:eastAsia="Arial Unicode MS" w:cs="Arial"/>
          <w:bCs w:val="0"/>
          <w:sz w:val="20"/>
          <w:lang w:val="en-GB"/>
        </w:rPr>
        <w:t xml:space="preserve"> marriages that occurred </w:t>
      </w:r>
      <w:r w:rsidRPr="005E5703">
        <w:rPr>
          <w:rFonts w:eastAsia="Arial Unicode MS" w:cs="Arial"/>
          <w:bCs w:val="0"/>
          <w:sz w:val="20"/>
          <w:lang w:val="en-GB"/>
        </w:rPr>
        <w:t>before the relevant number of years</w:t>
      </w:r>
      <w:r w:rsidR="005E5703" w:rsidRPr="005E5703">
        <w:rPr>
          <w:rFonts w:eastAsia="Arial Unicode MS" w:cs="Arial"/>
          <w:bCs w:val="0"/>
          <w:sz w:val="20"/>
          <w:lang w:val="en-GB"/>
        </w:rPr>
        <w:t xml:space="preserve">. </w:t>
      </w:r>
      <w:r w:rsidR="005E5703" w:rsidRPr="005E5703">
        <w:rPr>
          <w:rFonts w:eastAsia="Arial Unicode MS" w:cs="Arial"/>
          <w:b/>
          <w:bCs w:val="0"/>
          <w:sz w:val="20"/>
          <w:lang w:val="en-GB"/>
        </w:rPr>
        <w:t xml:space="preserve">The mean duration of marriage at divorce </w:t>
      </w:r>
      <w:r w:rsidR="005E5703" w:rsidRPr="005E5703">
        <w:rPr>
          <w:rFonts w:eastAsia="Arial Unicode MS" w:cs="Arial"/>
          <w:bCs w:val="0"/>
          <w:sz w:val="20"/>
          <w:lang w:val="en-GB"/>
        </w:rPr>
        <w:t xml:space="preserve">is calculated on the </w:t>
      </w:r>
      <w:r w:rsidR="00960CB8" w:rsidRPr="005E5703">
        <w:rPr>
          <w:rFonts w:eastAsia="Arial Unicode MS" w:cs="Arial"/>
          <w:bCs w:val="0"/>
          <w:sz w:val="20"/>
          <w:lang w:val="en-GB"/>
        </w:rPr>
        <w:t>bas</w:t>
      </w:r>
      <w:r w:rsidR="00960CB8">
        <w:rPr>
          <w:rFonts w:eastAsia="Arial Unicode MS" w:cs="Arial"/>
          <w:bCs w:val="0"/>
          <w:sz w:val="20"/>
          <w:lang w:val="en-GB"/>
        </w:rPr>
        <w:t>is</w:t>
      </w:r>
      <w:r w:rsidR="00960CB8" w:rsidRPr="005E5703">
        <w:rPr>
          <w:rFonts w:eastAsia="Arial Unicode MS" w:cs="Arial"/>
          <w:bCs w:val="0"/>
          <w:sz w:val="20"/>
          <w:lang w:val="en-GB"/>
        </w:rPr>
        <w:t xml:space="preserve"> </w:t>
      </w:r>
      <w:r w:rsidR="005E5703" w:rsidRPr="005E5703">
        <w:rPr>
          <w:rFonts w:eastAsia="Arial Unicode MS" w:cs="Arial"/>
          <w:bCs w:val="0"/>
          <w:sz w:val="20"/>
          <w:lang w:val="en-GB"/>
        </w:rPr>
        <w:t xml:space="preserve">of the distribution of divorce rates by </w:t>
      </w:r>
      <w:r w:rsidR="00960CB8">
        <w:rPr>
          <w:rFonts w:eastAsia="Arial Unicode MS" w:cs="Arial"/>
          <w:bCs w:val="0"/>
          <w:sz w:val="20"/>
          <w:lang w:val="en-GB"/>
        </w:rPr>
        <w:t xml:space="preserve">the </w:t>
      </w:r>
      <w:r w:rsidR="005E5703" w:rsidRPr="005E5703">
        <w:rPr>
          <w:rFonts w:eastAsia="Arial Unicode MS" w:cs="Arial"/>
          <w:bCs w:val="0"/>
          <w:sz w:val="20"/>
          <w:lang w:val="en-GB"/>
        </w:rPr>
        <w:t xml:space="preserve">duration of </w:t>
      </w:r>
      <w:r w:rsidR="00960CB8">
        <w:rPr>
          <w:rFonts w:eastAsia="Arial Unicode MS" w:cs="Arial"/>
          <w:bCs w:val="0"/>
          <w:sz w:val="20"/>
          <w:lang w:val="en-GB"/>
        </w:rPr>
        <w:t xml:space="preserve">the </w:t>
      </w:r>
      <w:r w:rsidR="005E5703" w:rsidRPr="005E5703">
        <w:rPr>
          <w:rFonts w:eastAsia="Arial Unicode MS" w:cs="Arial"/>
          <w:bCs w:val="0"/>
          <w:sz w:val="20"/>
          <w:lang w:val="en-GB"/>
        </w:rPr>
        <w:t>marriage.</w:t>
      </w:r>
    </w:p>
    <w:p w14:paraId="7699D8C3" w14:textId="1D474807" w:rsidR="005E5703" w:rsidRPr="005E5703" w:rsidRDefault="005E5703" w:rsidP="004E26C8">
      <w:pPr>
        <w:spacing w:after="240" w:line="288" w:lineRule="auto"/>
        <w:rPr>
          <w:rFonts w:eastAsia="Arial Unicode MS" w:cs="Arial"/>
          <w:bCs w:val="0"/>
          <w:sz w:val="20"/>
          <w:lang w:val="en-GB"/>
        </w:rPr>
      </w:pPr>
      <w:r w:rsidRPr="005E5703">
        <w:rPr>
          <w:rFonts w:eastAsia="Arial Unicode MS" w:cs="Arial"/>
          <w:b/>
          <w:bCs w:val="0"/>
          <w:sz w:val="20"/>
          <w:lang w:val="en-GB"/>
        </w:rPr>
        <w:t xml:space="preserve">Total divorce rate </w:t>
      </w:r>
      <w:r w:rsidRPr="005E5703">
        <w:rPr>
          <w:rFonts w:eastAsia="Arial Unicode MS" w:cs="Arial"/>
          <w:bCs w:val="0"/>
          <w:sz w:val="20"/>
          <w:lang w:val="en-GB"/>
        </w:rPr>
        <w:t>– the proportion of marriages that would terminate in divorce, provided that the divorce rates by th</w:t>
      </w:r>
      <w:r w:rsidR="00D923CD">
        <w:rPr>
          <w:rFonts w:eastAsia="Arial Unicode MS" w:cs="Arial"/>
          <w:bCs w:val="0"/>
          <w:sz w:val="20"/>
          <w:lang w:val="en-GB"/>
        </w:rPr>
        <w:t xml:space="preserve">e duration of the marriage of the </w:t>
      </w:r>
      <w:r w:rsidRPr="005E5703">
        <w:rPr>
          <w:rFonts w:eastAsia="Arial Unicode MS" w:cs="Arial"/>
          <w:bCs w:val="0"/>
          <w:sz w:val="20"/>
          <w:lang w:val="en-GB"/>
        </w:rPr>
        <w:t>reference year remained unchanged.</w:t>
      </w:r>
    </w:p>
    <w:p w14:paraId="1038D3A7" w14:textId="57EF788E" w:rsidR="00EF63CC" w:rsidRPr="00EF63CC" w:rsidRDefault="00EF63CC" w:rsidP="005E6023">
      <w:pPr>
        <w:spacing w:after="120" w:line="288" w:lineRule="auto"/>
        <w:rPr>
          <w:rFonts w:eastAsia="Arial Unicode MS" w:cs="Arial"/>
          <w:b/>
          <w:bCs w:val="0"/>
          <w:sz w:val="24"/>
          <w:lang w:val="en-GB"/>
        </w:rPr>
      </w:pPr>
      <w:r w:rsidRPr="00EF63CC">
        <w:rPr>
          <w:rFonts w:eastAsia="Arial Unicode MS" w:cs="Arial"/>
          <w:b/>
          <w:bCs w:val="0"/>
          <w:sz w:val="24"/>
          <w:lang w:val="en-GB"/>
        </w:rPr>
        <w:t>Methodological notes on data on births</w:t>
      </w:r>
    </w:p>
    <w:p w14:paraId="68A13E44" w14:textId="6A40CC9B" w:rsidR="00EF63CC" w:rsidRPr="00E0159B" w:rsidRDefault="00EF63CC" w:rsidP="005E6023">
      <w:pPr>
        <w:pStyle w:val="Zkladntextodsazen"/>
        <w:spacing w:after="120" w:line="288" w:lineRule="auto"/>
        <w:ind w:firstLine="0"/>
        <w:jc w:val="left"/>
        <w:rPr>
          <w:rFonts w:eastAsia="Arial Unicode MS" w:cs="Arial"/>
          <w:sz w:val="20"/>
          <w:lang w:val="en-GB"/>
        </w:rPr>
      </w:pPr>
      <w:r w:rsidRPr="00E0159B">
        <w:rPr>
          <w:rFonts w:eastAsia="Arial Unicode MS" w:cs="Arial"/>
          <w:sz w:val="20"/>
          <w:lang w:val="en-GB"/>
        </w:rPr>
        <w:t xml:space="preserve">The number of births does not include children whose mother has requested </w:t>
      </w:r>
      <w:r w:rsidR="008D2DEA">
        <w:rPr>
          <w:rFonts w:eastAsia="Arial Unicode MS" w:cs="Arial"/>
          <w:sz w:val="20"/>
          <w:lang w:val="en-GB"/>
        </w:rPr>
        <w:t>to be</w:t>
      </w:r>
      <w:r w:rsidR="00A01843">
        <w:rPr>
          <w:rFonts w:eastAsia="Arial Unicode MS" w:cs="Arial"/>
          <w:sz w:val="20"/>
          <w:lang w:val="en-GB"/>
        </w:rPr>
        <w:t xml:space="preserve"> </w:t>
      </w:r>
      <w:r w:rsidR="00960CB8" w:rsidRPr="00960CB8">
        <w:rPr>
          <w:rFonts w:eastAsia="Arial Unicode MS" w:cs="Arial"/>
          <w:sz w:val="20"/>
          <w:lang w:val="en-GB"/>
        </w:rPr>
        <w:t>undisclosed</w:t>
      </w:r>
      <w:r w:rsidRPr="00E0159B">
        <w:rPr>
          <w:rFonts w:eastAsia="Arial Unicode MS" w:cs="Arial"/>
          <w:sz w:val="20"/>
          <w:lang w:val="en-GB"/>
        </w:rPr>
        <w:t xml:space="preserve"> in connection with childbirth (pursuant to </w:t>
      </w:r>
      <w:r w:rsidR="00580446">
        <w:rPr>
          <w:rFonts w:eastAsia="Arial Unicode MS" w:cs="Arial"/>
          <w:sz w:val="20"/>
          <w:lang w:val="en-GB"/>
        </w:rPr>
        <w:t xml:space="preserve">the </w:t>
      </w:r>
      <w:r w:rsidRPr="00E0159B">
        <w:rPr>
          <w:rFonts w:eastAsia="Arial Unicode MS" w:cs="Arial"/>
          <w:sz w:val="20"/>
          <w:lang w:val="en-GB"/>
        </w:rPr>
        <w:t xml:space="preserve">Act No 20/1966 Sb, on Public Health Care, as amended by </w:t>
      </w:r>
      <w:r w:rsidR="00580446">
        <w:rPr>
          <w:rFonts w:eastAsia="Arial Unicode MS" w:cs="Arial"/>
          <w:sz w:val="20"/>
          <w:lang w:val="en-GB"/>
        </w:rPr>
        <w:t xml:space="preserve">the </w:t>
      </w:r>
      <w:r w:rsidRPr="00E0159B">
        <w:rPr>
          <w:rFonts w:eastAsia="Arial Unicode MS" w:cs="Arial"/>
          <w:sz w:val="20"/>
          <w:lang w:val="en-GB"/>
        </w:rPr>
        <w:t xml:space="preserve">Act No 422/2004 Sb), and foundlings (with </w:t>
      </w:r>
      <w:r w:rsidR="00960CB8">
        <w:rPr>
          <w:rFonts w:eastAsia="Arial Unicode MS" w:cs="Arial"/>
          <w:sz w:val="20"/>
          <w:lang w:val="en-GB"/>
        </w:rPr>
        <w:t xml:space="preserve">the </w:t>
      </w:r>
      <w:r w:rsidRPr="00E0159B">
        <w:rPr>
          <w:rFonts w:eastAsia="Arial Unicode MS" w:cs="Arial"/>
          <w:sz w:val="20"/>
          <w:lang w:val="en-GB"/>
        </w:rPr>
        <w:t xml:space="preserve">unknown </w:t>
      </w:r>
      <w:r w:rsidR="00E0159B" w:rsidRPr="00E0159B">
        <w:rPr>
          <w:rFonts w:eastAsia="Arial Unicode MS" w:cs="Arial"/>
          <w:sz w:val="20"/>
          <w:lang w:val="en-GB"/>
        </w:rPr>
        <w:t>identity</w:t>
      </w:r>
      <w:r w:rsidRPr="00E0159B">
        <w:rPr>
          <w:rFonts w:eastAsia="Arial Unicode MS" w:cs="Arial"/>
          <w:sz w:val="20"/>
          <w:lang w:val="en-GB"/>
        </w:rPr>
        <w:t xml:space="preserve"> of mother).</w:t>
      </w:r>
      <w:r w:rsidR="00F30266">
        <w:rPr>
          <w:rFonts w:eastAsia="Arial Unicode MS" w:cs="Arial"/>
          <w:sz w:val="20"/>
          <w:lang w:val="en-GB"/>
        </w:rPr>
        <w:t xml:space="preserve"> </w:t>
      </w:r>
      <w:r w:rsidR="00F30266" w:rsidRPr="00F30266">
        <w:rPr>
          <w:rFonts w:eastAsia="Arial Unicode MS" w:cs="Arial"/>
          <w:sz w:val="20"/>
          <w:lang w:val="en-GB"/>
        </w:rPr>
        <w:t xml:space="preserve">In terms of territorial breakdown, </w:t>
      </w:r>
      <w:r w:rsidR="00F30266">
        <w:rPr>
          <w:rFonts w:eastAsia="Arial Unicode MS" w:cs="Arial"/>
          <w:sz w:val="20"/>
          <w:lang w:val="en-GB"/>
        </w:rPr>
        <w:t>births</w:t>
      </w:r>
      <w:r w:rsidR="00F30266" w:rsidRPr="00F30266">
        <w:rPr>
          <w:rFonts w:eastAsia="Arial Unicode MS" w:cs="Arial"/>
          <w:sz w:val="20"/>
          <w:lang w:val="en-GB"/>
        </w:rPr>
        <w:t xml:space="preserve"> are classified by</w:t>
      </w:r>
      <w:r w:rsidR="00960CB8">
        <w:rPr>
          <w:rFonts w:eastAsia="Arial Unicode MS" w:cs="Arial"/>
          <w:sz w:val="20"/>
          <w:lang w:val="en-GB"/>
        </w:rPr>
        <w:t xml:space="preserve"> the</w:t>
      </w:r>
      <w:r w:rsidR="00F30266" w:rsidRPr="00F30266">
        <w:rPr>
          <w:rFonts w:eastAsia="Arial Unicode MS" w:cs="Arial"/>
          <w:sz w:val="20"/>
          <w:lang w:val="en-GB"/>
        </w:rPr>
        <w:t xml:space="preserve"> place of residence</w:t>
      </w:r>
      <w:r w:rsidR="00A26DC5">
        <w:rPr>
          <w:rFonts w:eastAsia="Arial Unicode MS" w:cs="Arial"/>
          <w:sz w:val="20"/>
          <w:lang w:val="en-GB"/>
        </w:rPr>
        <w:t xml:space="preserve"> of </w:t>
      </w:r>
      <w:r w:rsidR="00DD2813">
        <w:rPr>
          <w:rFonts w:eastAsia="Arial Unicode MS" w:cs="Arial"/>
          <w:sz w:val="20"/>
          <w:lang w:val="en-GB"/>
        </w:rPr>
        <w:t xml:space="preserve">the </w:t>
      </w:r>
      <w:r w:rsidR="00A26DC5">
        <w:rPr>
          <w:rFonts w:eastAsia="Arial Unicode MS" w:cs="Arial"/>
          <w:sz w:val="20"/>
          <w:lang w:val="en-GB"/>
        </w:rPr>
        <w:t>mother</w:t>
      </w:r>
      <w:r w:rsidR="00F30266" w:rsidRPr="00F30266">
        <w:rPr>
          <w:rFonts w:eastAsia="Arial Unicode MS" w:cs="Arial"/>
          <w:sz w:val="20"/>
          <w:lang w:val="en-GB"/>
        </w:rPr>
        <w:t xml:space="preserve"> at the time </w:t>
      </w:r>
      <w:r w:rsidR="00F30266">
        <w:rPr>
          <w:rFonts w:eastAsia="Arial Unicode MS" w:cs="Arial"/>
          <w:sz w:val="20"/>
          <w:lang w:val="en-GB"/>
        </w:rPr>
        <w:t>of childbirth (if the mother had</w:t>
      </w:r>
      <w:r w:rsidR="00F30266" w:rsidRPr="00F30266">
        <w:rPr>
          <w:rFonts w:eastAsia="Arial Unicode MS" w:cs="Arial"/>
          <w:sz w:val="20"/>
          <w:lang w:val="en-GB"/>
        </w:rPr>
        <w:t xml:space="preserve"> not registered residence in the Czech Republic, by the place of residence </w:t>
      </w:r>
      <w:r w:rsidR="00A26DC5">
        <w:rPr>
          <w:rFonts w:eastAsia="Arial Unicode MS" w:cs="Arial"/>
          <w:sz w:val="20"/>
          <w:lang w:val="en-GB"/>
        </w:rPr>
        <w:t xml:space="preserve">of </w:t>
      </w:r>
      <w:r w:rsidR="00DD2813">
        <w:rPr>
          <w:rFonts w:eastAsia="Arial Unicode MS" w:cs="Arial"/>
          <w:sz w:val="20"/>
          <w:lang w:val="en-GB"/>
        </w:rPr>
        <w:t xml:space="preserve">the </w:t>
      </w:r>
      <w:r w:rsidR="00A26DC5">
        <w:rPr>
          <w:rFonts w:eastAsia="Arial Unicode MS" w:cs="Arial"/>
          <w:sz w:val="20"/>
          <w:lang w:val="en-GB"/>
        </w:rPr>
        <w:t xml:space="preserve">father </w:t>
      </w:r>
      <w:r w:rsidR="00F30266" w:rsidRPr="00F30266">
        <w:rPr>
          <w:rFonts w:eastAsia="Arial Unicode MS" w:cs="Arial"/>
          <w:sz w:val="20"/>
          <w:lang w:val="en-GB"/>
        </w:rPr>
        <w:t>at the time of childbirth).</w:t>
      </w:r>
    </w:p>
    <w:p w14:paraId="30AC793B" w14:textId="52F63637" w:rsidR="00420EAD" w:rsidRDefault="00770C26" w:rsidP="005E6023">
      <w:pPr>
        <w:spacing w:after="120" w:line="288" w:lineRule="auto"/>
        <w:rPr>
          <w:rFonts w:eastAsia="Arial Unicode MS" w:cs="Arial"/>
          <w:bCs w:val="0"/>
          <w:sz w:val="20"/>
        </w:rPr>
      </w:pPr>
      <w:r w:rsidRPr="00770C26">
        <w:rPr>
          <w:rFonts w:cs="Arial"/>
          <w:sz w:val="20"/>
          <w:lang w:val="en-GB"/>
        </w:rPr>
        <w:t xml:space="preserve">The distinction between </w:t>
      </w:r>
      <w:r w:rsidRPr="00770C26">
        <w:rPr>
          <w:rFonts w:cs="Arial"/>
          <w:b/>
          <w:sz w:val="20"/>
          <w:lang w:val="en-GB"/>
        </w:rPr>
        <w:t>live birth</w:t>
      </w:r>
      <w:r w:rsidRPr="00770C26">
        <w:rPr>
          <w:rFonts w:cs="Arial"/>
          <w:sz w:val="20"/>
          <w:lang w:val="en-GB"/>
        </w:rPr>
        <w:t xml:space="preserve"> and </w:t>
      </w:r>
      <w:r w:rsidRPr="00770C26">
        <w:rPr>
          <w:rFonts w:cs="Arial"/>
          <w:b/>
          <w:sz w:val="20"/>
          <w:lang w:val="en-GB"/>
        </w:rPr>
        <w:t>stillbirth</w:t>
      </w:r>
      <w:r>
        <w:rPr>
          <w:rFonts w:cs="Arial"/>
          <w:b/>
          <w:sz w:val="20"/>
          <w:lang w:val="en-GB"/>
        </w:rPr>
        <w:t xml:space="preserve"> </w:t>
      </w:r>
      <w:r w:rsidRPr="00770C26">
        <w:rPr>
          <w:rFonts w:cs="Arial"/>
          <w:sz w:val="20"/>
          <w:lang w:val="en-GB"/>
        </w:rPr>
        <w:t xml:space="preserve">is based on </w:t>
      </w:r>
      <w:r w:rsidR="00420EAD" w:rsidRPr="00770C26">
        <w:rPr>
          <w:rFonts w:cs="Arial"/>
          <w:sz w:val="20"/>
          <w:lang w:val="en-GB"/>
        </w:rPr>
        <w:t>the information</w:t>
      </w:r>
      <w:r w:rsidR="00420EAD" w:rsidRPr="002F02E5">
        <w:rPr>
          <w:rFonts w:cs="Arial"/>
          <w:sz w:val="20"/>
          <w:lang w:val="en-GB"/>
        </w:rPr>
        <w:t xml:space="preserve"> </w:t>
      </w:r>
      <w:r w:rsidR="00883307">
        <w:rPr>
          <w:rFonts w:cs="Arial"/>
          <w:sz w:val="20"/>
          <w:lang w:val="en-GB"/>
        </w:rPr>
        <w:t>provided</w:t>
      </w:r>
      <w:r w:rsidR="00420EAD" w:rsidRPr="002F02E5">
        <w:rPr>
          <w:rFonts w:cs="Arial"/>
          <w:sz w:val="20"/>
          <w:lang w:val="en-GB"/>
        </w:rPr>
        <w:t xml:space="preserve"> in the report on birth, complia</w:t>
      </w:r>
      <w:r w:rsidR="00420EAD">
        <w:rPr>
          <w:rFonts w:cs="Arial"/>
          <w:sz w:val="20"/>
          <w:lang w:val="en-GB"/>
        </w:rPr>
        <w:t>nce with the definition</w:t>
      </w:r>
      <w:r>
        <w:rPr>
          <w:rFonts w:cs="Arial"/>
          <w:sz w:val="20"/>
          <w:lang w:val="en-GB"/>
        </w:rPr>
        <w:t>s</w:t>
      </w:r>
      <w:r w:rsidR="00420EAD">
        <w:rPr>
          <w:rFonts w:cs="Arial"/>
          <w:sz w:val="20"/>
          <w:lang w:val="en-GB"/>
        </w:rPr>
        <w:t xml:space="preserve"> is assumed</w:t>
      </w:r>
      <w:r w:rsidR="00420EAD" w:rsidRPr="002F02E5">
        <w:rPr>
          <w:rFonts w:cs="Arial"/>
          <w:sz w:val="20"/>
          <w:lang w:val="en-GB"/>
        </w:rPr>
        <w:t>.</w:t>
      </w:r>
    </w:p>
    <w:p w14:paraId="13540A56" w14:textId="6D12F827" w:rsidR="00420EAD" w:rsidRPr="00420EAD" w:rsidRDefault="00420EAD" w:rsidP="005E6023">
      <w:pPr>
        <w:spacing w:after="120" w:line="288" w:lineRule="auto"/>
        <w:rPr>
          <w:rFonts w:eastAsia="Arial Unicode MS" w:cs="Arial"/>
          <w:bCs w:val="0"/>
          <w:sz w:val="20"/>
          <w:lang w:val="en-GB"/>
        </w:rPr>
      </w:pPr>
      <w:r w:rsidRPr="00420EAD">
        <w:rPr>
          <w:rFonts w:eastAsia="Arial Unicode MS" w:cs="Arial"/>
          <w:bCs w:val="0"/>
          <w:sz w:val="20"/>
          <w:lang w:val="en-GB"/>
        </w:rPr>
        <w:t>The definitions of live</w:t>
      </w:r>
      <w:r w:rsidR="007A67EF">
        <w:rPr>
          <w:rFonts w:eastAsia="Arial Unicode MS" w:cs="Arial"/>
          <w:bCs w:val="0"/>
          <w:sz w:val="20"/>
          <w:lang w:val="en-GB"/>
        </w:rPr>
        <w:t xml:space="preserve"> </w:t>
      </w:r>
      <w:r w:rsidRPr="00420EAD">
        <w:rPr>
          <w:rFonts w:eastAsia="Arial Unicode MS" w:cs="Arial"/>
          <w:bCs w:val="0"/>
          <w:sz w:val="20"/>
          <w:lang w:val="en-GB"/>
        </w:rPr>
        <w:t xml:space="preserve">birth and stillbirth have changed over </w:t>
      </w:r>
      <w:r w:rsidR="004B0E85">
        <w:rPr>
          <w:rFonts w:eastAsia="Arial Unicode MS" w:cs="Arial"/>
          <w:bCs w:val="0"/>
          <w:sz w:val="20"/>
          <w:lang w:val="en-GB"/>
        </w:rPr>
        <w:t>the years</w:t>
      </w:r>
      <w:r w:rsidRPr="00420EAD">
        <w:rPr>
          <w:rFonts w:eastAsia="Arial Unicode MS" w:cs="Arial"/>
          <w:bCs w:val="0"/>
          <w:sz w:val="20"/>
          <w:lang w:val="en-GB"/>
        </w:rPr>
        <w:t>:</w:t>
      </w:r>
    </w:p>
    <w:p w14:paraId="2B831889" w14:textId="2064EBA1" w:rsidR="007A67EF" w:rsidRPr="00F23F2B" w:rsidRDefault="007A67EF" w:rsidP="005E6023">
      <w:pPr>
        <w:pStyle w:val="Odstavecseseznamem"/>
        <w:numPr>
          <w:ilvl w:val="0"/>
          <w:numId w:val="5"/>
        </w:numPr>
        <w:spacing w:after="120" w:line="288" w:lineRule="auto"/>
        <w:rPr>
          <w:rFonts w:eastAsia="Arial Unicode MS" w:cs="Arial"/>
          <w:bCs w:val="0"/>
          <w:sz w:val="20"/>
          <w:lang w:val="en-GB"/>
        </w:rPr>
      </w:pPr>
      <w:r w:rsidRPr="00F23F2B">
        <w:rPr>
          <w:rFonts w:eastAsia="Arial Unicode MS" w:cs="Arial"/>
          <w:bCs w:val="0"/>
          <w:sz w:val="20"/>
          <w:lang w:val="en-GB"/>
        </w:rPr>
        <w:t xml:space="preserve">Until 1948, the international definition of live birth was effective in the Czech Republic, according to which the foetus with recognized signs of respiration or heartbeat (regardless of </w:t>
      </w:r>
      <w:r w:rsidR="00EF2C83">
        <w:rPr>
          <w:rFonts w:eastAsia="Arial Unicode MS" w:cs="Arial"/>
          <w:bCs w:val="0"/>
          <w:sz w:val="20"/>
          <w:lang w:val="en-GB"/>
        </w:rPr>
        <w:t>its</w:t>
      </w:r>
      <w:r w:rsidRPr="00F23F2B">
        <w:rPr>
          <w:rFonts w:eastAsia="Arial Unicode MS" w:cs="Arial"/>
          <w:bCs w:val="0"/>
          <w:sz w:val="20"/>
          <w:lang w:val="en-GB"/>
        </w:rPr>
        <w:t xml:space="preserve"> </w:t>
      </w:r>
      <w:r w:rsidR="00EF2C83">
        <w:rPr>
          <w:rFonts w:eastAsia="Arial Unicode MS" w:cs="Arial"/>
          <w:bCs w:val="0"/>
          <w:sz w:val="20"/>
          <w:lang w:val="en-GB"/>
        </w:rPr>
        <w:t>gestational age</w:t>
      </w:r>
      <w:r w:rsidRPr="00F23F2B">
        <w:rPr>
          <w:rFonts w:eastAsia="Arial Unicode MS" w:cs="Arial"/>
          <w:bCs w:val="0"/>
          <w:sz w:val="20"/>
          <w:lang w:val="en-GB"/>
        </w:rPr>
        <w:t xml:space="preserve">) was considered </w:t>
      </w:r>
      <w:r w:rsidR="00D75A41">
        <w:rPr>
          <w:rFonts w:eastAsia="Arial Unicode MS" w:cs="Arial"/>
          <w:bCs w:val="0"/>
          <w:sz w:val="20"/>
          <w:lang w:val="en-GB"/>
        </w:rPr>
        <w:t xml:space="preserve">to be </w:t>
      </w:r>
      <w:r w:rsidR="00F23F2B" w:rsidRPr="00F23F2B">
        <w:rPr>
          <w:rFonts w:eastAsia="Arial Unicode MS" w:cs="Arial"/>
          <w:bCs w:val="0"/>
          <w:sz w:val="20"/>
          <w:lang w:val="en-GB"/>
        </w:rPr>
        <w:t xml:space="preserve">a </w:t>
      </w:r>
      <w:r w:rsidR="00307116" w:rsidRPr="00F23F2B">
        <w:rPr>
          <w:rFonts w:eastAsia="Arial Unicode MS" w:cs="Arial"/>
          <w:bCs w:val="0"/>
          <w:sz w:val="20"/>
          <w:lang w:val="en-GB"/>
        </w:rPr>
        <w:t>live</w:t>
      </w:r>
      <w:r w:rsidR="00307116">
        <w:rPr>
          <w:rFonts w:eastAsia="Arial Unicode MS" w:cs="Arial"/>
          <w:bCs w:val="0"/>
          <w:sz w:val="20"/>
          <w:lang w:val="en-GB"/>
        </w:rPr>
        <w:t>-</w:t>
      </w:r>
      <w:r w:rsidR="00F23F2B" w:rsidRPr="00F23F2B">
        <w:rPr>
          <w:rFonts w:eastAsia="Arial Unicode MS" w:cs="Arial"/>
          <w:bCs w:val="0"/>
          <w:sz w:val="20"/>
          <w:lang w:val="en-GB"/>
        </w:rPr>
        <w:t xml:space="preserve">born child, </w:t>
      </w:r>
      <w:r w:rsidRPr="00F23F2B">
        <w:rPr>
          <w:rFonts w:eastAsia="Arial Unicode MS" w:cs="Arial"/>
          <w:bCs w:val="0"/>
          <w:sz w:val="20"/>
          <w:lang w:val="en-GB"/>
        </w:rPr>
        <w:t xml:space="preserve">and the definition of stillbirth, </w:t>
      </w:r>
      <w:r w:rsidR="00F23F2B" w:rsidRPr="00F23F2B">
        <w:rPr>
          <w:rFonts w:eastAsia="Arial Unicode MS" w:cs="Arial"/>
          <w:bCs w:val="0"/>
          <w:sz w:val="20"/>
          <w:lang w:val="en-GB"/>
        </w:rPr>
        <w:t>according to</w:t>
      </w:r>
      <w:r w:rsidRPr="00F23F2B">
        <w:rPr>
          <w:rFonts w:eastAsia="Arial Unicode MS" w:cs="Arial"/>
          <w:bCs w:val="0"/>
          <w:sz w:val="20"/>
          <w:lang w:val="en-GB"/>
        </w:rPr>
        <w:t xml:space="preserve"> which the stillborn foetus born after </w:t>
      </w:r>
      <w:r w:rsidR="00F23F2B" w:rsidRPr="00F23F2B">
        <w:rPr>
          <w:rFonts w:eastAsia="Arial Unicode MS" w:cs="Arial"/>
          <w:bCs w:val="0"/>
          <w:sz w:val="20"/>
          <w:lang w:val="en-GB"/>
        </w:rPr>
        <w:t xml:space="preserve">the </w:t>
      </w:r>
      <w:r w:rsidRPr="00F23F2B">
        <w:rPr>
          <w:rFonts w:eastAsia="Arial Unicode MS" w:cs="Arial"/>
          <w:bCs w:val="0"/>
          <w:sz w:val="20"/>
          <w:lang w:val="en-GB"/>
        </w:rPr>
        <w:t xml:space="preserve">28th week of </w:t>
      </w:r>
      <w:r w:rsidR="0015075E">
        <w:rPr>
          <w:rFonts w:eastAsia="Arial Unicode MS" w:cs="Arial"/>
          <w:bCs w:val="0"/>
          <w:sz w:val="20"/>
          <w:lang w:val="en-GB"/>
        </w:rPr>
        <w:t>pregnancy</w:t>
      </w:r>
      <w:r w:rsidRPr="00F23F2B">
        <w:rPr>
          <w:rFonts w:eastAsia="Arial Unicode MS" w:cs="Arial"/>
          <w:bCs w:val="0"/>
          <w:sz w:val="20"/>
          <w:lang w:val="en-GB"/>
        </w:rPr>
        <w:t xml:space="preserve"> was considered</w:t>
      </w:r>
      <w:r w:rsidR="00F23F2B" w:rsidRPr="00F23F2B">
        <w:rPr>
          <w:rFonts w:eastAsia="Arial Unicode MS" w:cs="Arial"/>
          <w:bCs w:val="0"/>
          <w:sz w:val="20"/>
          <w:lang w:val="en-GB"/>
        </w:rPr>
        <w:t xml:space="preserve"> </w:t>
      </w:r>
      <w:r w:rsidR="00D75A41">
        <w:rPr>
          <w:rFonts w:eastAsia="Arial Unicode MS" w:cs="Arial"/>
          <w:bCs w:val="0"/>
          <w:sz w:val="20"/>
          <w:lang w:val="en-GB"/>
        </w:rPr>
        <w:t xml:space="preserve">to be </w:t>
      </w:r>
      <w:r w:rsidR="00F23F2B" w:rsidRPr="00F23F2B">
        <w:rPr>
          <w:rFonts w:eastAsia="Arial Unicode MS" w:cs="Arial"/>
          <w:bCs w:val="0"/>
          <w:sz w:val="20"/>
          <w:lang w:val="en-GB"/>
        </w:rPr>
        <w:t>a stillborn child</w:t>
      </w:r>
      <w:r w:rsidRPr="00F23F2B">
        <w:rPr>
          <w:rFonts w:eastAsia="Arial Unicode MS" w:cs="Arial"/>
          <w:bCs w:val="0"/>
          <w:sz w:val="20"/>
          <w:lang w:val="en-GB"/>
        </w:rPr>
        <w:t>.</w:t>
      </w:r>
    </w:p>
    <w:p w14:paraId="4D09D4DA" w14:textId="4A8AC900" w:rsidR="00F23F2B" w:rsidRPr="004C1867" w:rsidRDefault="00F23F2B" w:rsidP="00123F2B">
      <w:pPr>
        <w:pStyle w:val="Odstavecseseznamem"/>
        <w:numPr>
          <w:ilvl w:val="0"/>
          <w:numId w:val="5"/>
        </w:numPr>
        <w:spacing w:after="240" w:line="288" w:lineRule="auto"/>
        <w:rPr>
          <w:rFonts w:eastAsia="Arial Unicode MS" w:cs="Arial"/>
          <w:bCs w:val="0"/>
          <w:sz w:val="20"/>
          <w:lang w:val="en-GB"/>
        </w:rPr>
      </w:pPr>
      <w:r w:rsidRPr="004C1867">
        <w:rPr>
          <w:rFonts w:eastAsia="Arial Unicode MS" w:cs="Arial"/>
          <w:bCs w:val="0"/>
          <w:sz w:val="20"/>
          <w:lang w:val="en-GB"/>
        </w:rPr>
        <w:t xml:space="preserve">In the years 1949–1952 according to the national definition, a foetus had to weigh at least 400 g to be considered a child. </w:t>
      </w:r>
      <w:r w:rsidR="004C191B">
        <w:rPr>
          <w:rFonts w:eastAsia="Arial Unicode MS" w:cs="Arial"/>
          <w:bCs w:val="0"/>
          <w:sz w:val="20"/>
          <w:lang w:val="en-GB"/>
        </w:rPr>
        <w:t xml:space="preserve">Whether </w:t>
      </w:r>
      <w:r w:rsidRPr="004C1867">
        <w:rPr>
          <w:rFonts w:eastAsia="Arial Unicode MS" w:cs="Arial"/>
          <w:bCs w:val="0"/>
          <w:sz w:val="20"/>
          <w:lang w:val="en-GB"/>
        </w:rPr>
        <w:t xml:space="preserve">it was </w:t>
      </w:r>
      <w:r w:rsidR="008D2DEA">
        <w:rPr>
          <w:rFonts w:eastAsia="Arial Unicode MS" w:cs="Arial"/>
          <w:bCs w:val="0"/>
          <w:sz w:val="20"/>
          <w:lang w:val="en-GB"/>
        </w:rPr>
        <w:t xml:space="preserve">a </w:t>
      </w:r>
      <w:r w:rsidR="00307116" w:rsidRPr="004C1867">
        <w:rPr>
          <w:rFonts w:eastAsia="Arial Unicode MS" w:cs="Arial"/>
          <w:bCs w:val="0"/>
          <w:sz w:val="20"/>
          <w:lang w:val="en-GB"/>
        </w:rPr>
        <w:t>live</w:t>
      </w:r>
      <w:r w:rsidR="00307116">
        <w:rPr>
          <w:rFonts w:eastAsia="Arial Unicode MS" w:cs="Arial"/>
          <w:bCs w:val="0"/>
          <w:sz w:val="20"/>
          <w:lang w:val="en-GB"/>
        </w:rPr>
        <w:t>-</w:t>
      </w:r>
      <w:r w:rsidRPr="004C1867">
        <w:rPr>
          <w:rFonts w:eastAsia="Arial Unicode MS" w:cs="Arial"/>
          <w:bCs w:val="0"/>
          <w:sz w:val="20"/>
          <w:lang w:val="en-GB"/>
        </w:rPr>
        <w:t xml:space="preserve">born or stillborn child was determined depending on whether the foetus showed </w:t>
      </w:r>
      <w:r w:rsidR="00A01843">
        <w:rPr>
          <w:rFonts w:eastAsia="Arial Unicode MS" w:cs="Arial"/>
          <w:bCs w:val="0"/>
          <w:sz w:val="20"/>
          <w:lang w:val="en-GB"/>
        </w:rPr>
        <w:t>an evidence</w:t>
      </w:r>
      <w:r w:rsidRPr="004C1867">
        <w:rPr>
          <w:rFonts w:eastAsia="Arial Unicode MS" w:cs="Arial"/>
          <w:bCs w:val="0"/>
          <w:sz w:val="20"/>
          <w:lang w:val="en-GB"/>
        </w:rPr>
        <w:t xml:space="preserve"> of life at birth</w:t>
      </w:r>
      <w:r w:rsidR="004C191B">
        <w:rPr>
          <w:rFonts w:eastAsia="Arial Unicode MS" w:cs="Arial"/>
          <w:bCs w:val="0"/>
          <w:sz w:val="20"/>
          <w:lang w:val="en-GB"/>
        </w:rPr>
        <w:t xml:space="preserve"> or not</w:t>
      </w:r>
      <w:r w:rsidRPr="004C1867">
        <w:rPr>
          <w:rFonts w:eastAsia="Arial Unicode MS" w:cs="Arial"/>
          <w:bCs w:val="0"/>
          <w:sz w:val="20"/>
          <w:lang w:val="en-GB"/>
        </w:rPr>
        <w:t>.</w:t>
      </w:r>
    </w:p>
    <w:p w14:paraId="76D0753D" w14:textId="77BAAE9D" w:rsidR="00264789" w:rsidRPr="00D75A41" w:rsidRDefault="00264789" w:rsidP="00123F2B">
      <w:pPr>
        <w:pStyle w:val="Odstavecseseznamem"/>
        <w:numPr>
          <w:ilvl w:val="0"/>
          <w:numId w:val="5"/>
        </w:numPr>
        <w:spacing w:after="240" w:line="288" w:lineRule="auto"/>
        <w:rPr>
          <w:rFonts w:eastAsia="Arial Unicode MS" w:cs="Arial"/>
          <w:bCs w:val="0"/>
          <w:sz w:val="20"/>
          <w:lang w:val="en-GB"/>
        </w:rPr>
      </w:pPr>
      <w:r w:rsidRPr="00D75A41">
        <w:rPr>
          <w:rFonts w:eastAsia="Arial Unicode MS" w:cs="Arial"/>
          <w:bCs w:val="0"/>
          <w:sz w:val="20"/>
          <w:lang w:val="en-GB"/>
        </w:rPr>
        <w:t xml:space="preserve">In the years 1953–1964, a foetus measuring at least 35 cm and weighing at least 1,000 g, and whose gestational age was at least 28 weeks was considered </w:t>
      </w:r>
      <w:r w:rsidR="00D75A41" w:rsidRPr="00D75A41">
        <w:rPr>
          <w:rFonts w:eastAsia="Arial Unicode MS" w:cs="Arial"/>
          <w:bCs w:val="0"/>
          <w:sz w:val="20"/>
          <w:lang w:val="en-GB"/>
        </w:rPr>
        <w:t xml:space="preserve">to be </w:t>
      </w:r>
      <w:r w:rsidRPr="00D75A41">
        <w:rPr>
          <w:rFonts w:eastAsia="Arial Unicode MS" w:cs="Arial"/>
          <w:bCs w:val="0"/>
          <w:sz w:val="20"/>
          <w:lang w:val="en-GB"/>
        </w:rPr>
        <w:t xml:space="preserve">a child (all three criteria had to be met). The criterion of life was at least one breath. The live birth was also a foetus which was born alive and did not meet these criteria but survived for 24 hours. In the case of multiple births, at least one foetus had to </w:t>
      </w:r>
      <w:r w:rsidR="00CD777C" w:rsidRPr="00D75A41">
        <w:rPr>
          <w:rFonts w:eastAsia="Arial Unicode MS" w:cs="Arial"/>
          <w:bCs w:val="0"/>
          <w:sz w:val="20"/>
          <w:lang w:val="en-GB"/>
        </w:rPr>
        <w:t>fulfil</w:t>
      </w:r>
      <w:r w:rsidR="00D75A41" w:rsidRPr="00D75A41">
        <w:rPr>
          <w:rFonts w:eastAsia="Arial Unicode MS" w:cs="Arial"/>
          <w:bCs w:val="0"/>
          <w:sz w:val="20"/>
          <w:lang w:val="en-GB"/>
        </w:rPr>
        <w:t xml:space="preserve"> all criteria</w:t>
      </w:r>
      <w:r w:rsidRPr="00D75A41">
        <w:rPr>
          <w:rFonts w:eastAsia="Arial Unicode MS" w:cs="Arial"/>
          <w:bCs w:val="0"/>
          <w:sz w:val="20"/>
          <w:lang w:val="en-GB"/>
        </w:rPr>
        <w:t xml:space="preserve"> of </w:t>
      </w:r>
      <w:r w:rsidR="00D75A41" w:rsidRPr="00D75A41">
        <w:rPr>
          <w:rFonts w:eastAsia="Arial Unicode MS" w:cs="Arial"/>
          <w:bCs w:val="0"/>
          <w:sz w:val="20"/>
          <w:lang w:val="en-GB"/>
        </w:rPr>
        <w:t xml:space="preserve">a </w:t>
      </w:r>
      <w:r w:rsidRPr="00D75A41">
        <w:rPr>
          <w:rFonts w:eastAsia="Arial Unicode MS" w:cs="Arial"/>
          <w:bCs w:val="0"/>
          <w:sz w:val="20"/>
          <w:lang w:val="en-GB"/>
        </w:rPr>
        <w:t xml:space="preserve">child and all foetuses from the </w:t>
      </w:r>
      <w:r w:rsidR="007E5F88">
        <w:rPr>
          <w:rFonts w:eastAsia="Arial Unicode MS" w:cs="Arial"/>
          <w:bCs w:val="0"/>
          <w:sz w:val="20"/>
          <w:lang w:val="en-GB"/>
        </w:rPr>
        <w:t xml:space="preserve">pregnancy </w:t>
      </w:r>
      <w:r w:rsidRPr="00D75A41">
        <w:rPr>
          <w:rFonts w:eastAsia="Arial Unicode MS" w:cs="Arial"/>
          <w:bCs w:val="0"/>
          <w:sz w:val="20"/>
          <w:lang w:val="en-GB"/>
        </w:rPr>
        <w:t>were considered to be children.</w:t>
      </w:r>
    </w:p>
    <w:p w14:paraId="74E7E3D1" w14:textId="01A65EA1" w:rsidR="00D75A41" w:rsidRPr="00D75A41" w:rsidRDefault="00D75A41" w:rsidP="00123F2B">
      <w:pPr>
        <w:pStyle w:val="Odstavecseseznamem"/>
        <w:numPr>
          <w:ilvl w:val="0"/>
          <w:numId w:val="5"/>
        </w:numPr>
        <w:spacing w:after="240" w:line="288" w:lineRule="auto"/>
        <w:rPr>
          <w:rFonts w:eastAsia="Arial Unicode MS" w:cs="Arial"/>
          <w:bCs w:val="0"/>
          <w:sz w:val="20"/>
          <w:lang w:val="en-GB"/>
        </w:rPr>
      </w:pPr>
      <w:r w:rsidRPr="00D75A41">
        <w:rPr>
          <w:rFonts w:eastAsia="Arial Unicode MS" w:cs="Arial"/>
          <w:bCs w:val="0"/>
          <w:sz w:val="20"/>
          <w:lang w:val="en-GB"/>
        </w:rPr>
        <w:t>In the period from 1 January 1965 to 29 February 1988, internationally recommended definitions of a child were effective in the Czech Republic, according to which: a birth of a live</w:t>
      </w:r>
      <w:r w:rsidR="00E33E6B">
        <w:rPr>
          <w:rFonts w:eastAsia="Arial Unicode MS" w:cs="Arial"/>
          <w:bCs w:val="0"/>
          <w:sz w:val="20"/>
          <w:lang w:val="en-GB"/>
        </w:rPr>
        <w:t xml:space="preserve"> foetus (a live-born foetus) was </w:t>
      </w:r>
      <w:r w:rsidRPr="00D75A41">
        <w:rPr>
          <w:rFonts w:eastAsia="Arial Unicode MS" w:cs="Arial"/>
          <w:bCs w:val="0"/>
          <w:sz w:val="20"/>
          <w:lang w:val="en-GB"/>
        </w:rPr>
        <w:t xml:space="preserve">a complete expulsion or extraction of a foetus from its mother (regardless </w:t>
      </w:r>
      <w:r w:rsidR="0015075E">
        <w:rPr>
          <w:rFonts w:eastAsia="Arial Unicode MS" w:cs="Arial"/>
          <w:bCs w:val="0"/>
          <w:sz w:val="20"/>
          <w:lang w:val="en-GB"/>
        </w:rPr>
        <w:t>of its gestational age</w:t>
      </w:r>
      <w:r w:rsidRPr="00D75A41">
        <w:rPr>
          <w:rFonts w:eastAsia="Arial Unicode MS" w:cs="Arial"/>
          <w:bCs w:val="0"/>
          <w:sz w:val="20"/>
          <w:lang w:val="en-GB"/>
        </w:rPr>
        <w:t>) provided that t</w:t>
      </w:r>
      <w:r w:rsidR="00E33E6B">
        <w:rPr>
          <w:rFonts w:eastAsia="Arial Unicode MS" w:cs="Arial"/>
          <w:bCs w:val="0"/>
          <w:sz w:val="20"/>
          <w:lang w:val="en-GB"/>
        </w:rPr>
        <w:t xml:space="preserve">he foetus after the delivery was breathing or showed other evidence of life such as </w:t>
      </w:r>
      <w:r w:rsidRPr="00D75A41">
        <w:rPr>
          <w:rFonts w:eastAsia="Arial Unicode MS" w:cs="Arial"/>
          <w:bCs w:val="0"/>
          <w:sz w:val="20"/>
          <w:lang w:val="en-GB"/>
        </w:rPr>
        <w:t>beating of the heart, pulsation of the umbilical cord, or movement of voluntary muscles, although the umbilical cord had not been cut or the</w:t>
      </w:r>
      <w:r w:rsidR="00E33E6B">
        <w:rPr>
          <w:rFonts w:eastAsia="Arial Unicode MS" w:cs="Arial"/>
          <w:bCs w:val="0"/>
          <w:sz w:val="20"/>
          <w:lang w:val="en-GB"/>
        </w:rPr>
        <w:t xml:space="preserve"> placenta was attached</w:t>
      </w:r>
      <w:r w:rsidRPr="00D75A41">
        <w:rPr>
          <w:rFonts w:eastAsia="Arial Unicode MS" w:cs="Arial"/>
          <w:bCs w:val="0"/>
          <w:sz w:val="20"/>
          <w:lang w:val="en-GB"/>
        </w:rPr>
        <w:t>; a birth of a dea</w:t>
      </w:r>
      <w:r w:rsidR="00E33E6B">
        <w:rPr>
          <w:rFonts w:eastAsia="Arial Unicode MS" w:cs="Arial"/>
          <w:bCs w:val="0"/>
          <w:sz w:val="20"/>
          <w:lang w:val="en-GB"/>
        </w:rPr>
        <w:t>d foetus (a stillborn foetus) was</w:t>
      </w:r>
      <w:r w:rsidRPr="00D75A41">
        <w:rPr>
          <w:rFonts w:eastAsia="Arial Unicode MS" w:cs="Arial"/>
          <w:bCs w:val="0"/>
          <w:sz w:val="20"/>
          <w:lang w:val="en-GB"/>
        </w:rPr>
        <w:t xml:space="preserve"> a birth of a foetus that died prior to the complete expulsion or extraction from its mother (regardless </w:t>
      </w:r>
      <w:r w:rsidR="0015075E">
        <w:rPr>
          <w:rFonts w:eastAsia="Arial Unicode MS" w:cs="Arial"/>
          <w:bCs w:val="0"/>
          <w:sz w:val="20"/>
          <w:lang w:val="en-GB"/>
        </w:rPr>
        <w:t>of its gestational age</w:t>
      </w:r>
      <w:r w:rsidR="00E33E6B">
        <w:rPr>
          <w:rFonts w:eastAsia="Arial Unicode MS" w:cs="Arial"/>
          <w:bCs w:val="0"/>
          <w:sz w:val="20"/>
          <w:lang w:val="en-GB"/>
        </w:rPr>
        <w:t xml:space="preserve">). The death was </w:t>
      </w:r>
      <w:r w:rsidRPr="00D75A41">
        <w:rPr>
          <w:rFonts w:eastAsia="Arial Unicode MS" w:cs="Arial"/>
          <w:bCs w:val="0"/>
          <w:sz w:val="20"/>
          <w:lang w:val="en-GB"/>
        </w:rPr>
        <w:t xml:space="preserve">indicated </w:t>
      </w:r>
      <w:r w:rsidR="00E33E6B">
        <w:rPr>
          <w:rFonts w:eastAsia="Arial Unicode MS" w:cs="Arial"/>
          <w:bCs w:val="0"/>
          <w:sz w:val="20"/>
          <w:lang w:val="en-GB"/>
        </w:rPr>
        <w:t>by the fact that the foetus did</w:t>
      </w:r>
      <w:r w:rsidRPr="00D75A41">
        <w:rPr>
          <w:rFonts w:eastAsia="Arial Unicode MS" w:cs="Arial"/>
          <w:bCs w:val="0"/>
          <w:sz w:val="20"/>
          <w:lang w:val="en-GB"/>
        </w:rPr>
        <w:t xml:space="preserve"> not breathe or show any other evidence of life, such as </w:t>
      </w:r>
      <w:r w:rsidR="00960CB8">
        <w:rPr>
          <w:rFonts w:eastAsia="Arial Unicode MS" w:cs="Arial"/>
          <w:bCs w:val="0"/>
          <w:sz w:val="20"/>
          <w:lang w:val="en-GB"/>
        </w:rPr>
        <w:t xml:space="preserve">the </w:t>
      </w:r>
      <w:r w:rsidRPr="00D75A41">
        <w:rPr>
          <w:rFonts w:eastAsia="Arial Unicode MS" w:cs="Arial"/>
          <w:bCs w:val="0"/>
          <w:sz w:val="20"/>
          <w:lang w:val="en-GB"/>
        </w:rPr>
        <w:t xml:space="preserve">beating of the heart, pulsation of the umbilical cord, or definite movement of voluntary muscles (the Decree of the Ministry of Health No 194/1964 Sb). A foetus born after 28 weeks of pregnancy or, when the duration of pregnancy </w:t>
      </w:r>
      <w:r w:rsidR="00E13CDD">
        <w:rPr>
          <w:rFonts w:eastAsia="Arial Unicode MS" w:cs="Arial"/>
          <w:bCs w:val="0"/>
          <w:sz w:val="20"/>
          <w:lang w:val="en-GB"/>
        </w:rPr>
        <w:t xml:space="preserve">could not </w:t>
      </w:r>
      <w:r w:rsidR="00E33E6B">
        <w:rPr>
          <w:rFonts w:eastAsia="Arial Unicode MS" w:cs="Arial"/>
          <w:bCs w:val="0"/>
          <w:sz w:val="20"/>
          <w:lang w:val="en-GB"/>
        </w:rPr>
        <w:t xml:space="preserve">be determined </w:t>
      </w:r>
      <w:r w:rsidRPr="00D75A41">
        <w:rPr>
          <w:rFonts w:eastAsia="Arial Unicode MS" w:cs="Arial"/>
          <w:bCs w:val="0"/>
          <w:sz w:val="20"/>
          <w:lang w:val="en-GB"/>
        </w:rPr>
        <w:t>a foe</w:t>
      </w:r>
      <w:r w:rsidR="00E33E6B">
        <w:rPr>
          <w:rFonts w:eastAsia="Arial Unicode MS" w:cs="Arial"/>
          <w:bCs w:val="0"/>
          <w:sz w:val="20"/>
          <w:lang w:val="en-GB"/>
        </w:rPr>
        <w:t>tus weighing at least 1,000 g, was</w:t>
      </w:r>
      <w:r w:rsidRPr="00D75A41">
        <w:rPr>
          <w:rFonts w:eastAsia="Arial Unicode MS" w:cs="Arial"/>
          <w:bCs w:val="0"/>
          <w:sz w:val="20"/>
          <w:lang w:val="en-GB"/>
        </w:rPr>
        <w:t xml:space="preserve"> considered to be a stillborn child. </w:t>
      </w:r>
    </w:p>
    <w:p w14:paraId="61E7024B" w14:textId="7010FF10" w:rsidR="00D75A41" w:rsidRPr="005E402A" w:rsidRDefault="00D75A41" w:rsidP="00123F2B">
      <w:pPr>
        <w:pStyle w:val="Odstavecseseznamem"/>
        <w:numPr>
          <w:ilvl w:val="0"/>
          <w:numId w:val="5"/>
        </w:numPr>
        <w:spacing w:after="240" w:line="288" w:lineRule="auto"/>
        <w:rPr>
          <w:rFonts w:eastAsia="Arial Unicode MS" w:cs="Arial"/>
          <w:bCs w:val="0"/>
          <w:sz w:val="20"/>
          <w:lang w:val="en-GB"/>
        </w:rPr>
      </w:pPr>
      <w:r w:rsidRPr="005E402A">
        <w:rPr>
          <w:rFonts w:eastAsia="Arial Unicode MS" w:cs="Arial"/>
          <w:bCs w:val="0"/>
          <w:sz w:val="20"/>
          <w:lang w:val="en-GB"/>
        </w:rPr>
        <w:lastRenderedPageBreak/>
        <w:t xml:space="preserve">In the period from 1 March 1988 to 31 March 2012, live birth was defined by the Decree of the Ministry of Health No 11/1988 Sb, on </w:t>
      </w:r>
      <w:r w:rsidR="00C02C77">
        <w:rPr>
          <w:rFonts w:eastAsia="Arial Unicode MS" w:cs="Arial"/>
          <w:bCs w:val="0"/>
          <w:sz w:val="20"/>
          <w:lang w:val="en-GB"/>
        </w:rPr>
        <w:t>M</w:t>
      </w:r>
      <w:r w:rsidRPr="005E402A">
        <w:rPr>
          <w:rFonts w:eastAsia="Arial Unicode MS" w:cs="Arial"/>
          <w:bCs w:val="0"/>
          <w:sz w:val="20"/>
          <w:lang w:val="en-GB"/>
        </w:rPr>
        <w:t xml:space="preserve">andatory </w:t>
      </w:r>
      <w:r w:rsidR="00C02C77">
        <w:rPr>
          <w:rFonts w:eastAsia="Arial Unicode MS" w:cs="Arial"/>
          <w:bCs w:val="0"/>
          <w:sz w:val="20"/>
          <w:lang w:val="en-GB"/>
        </w:rPr>
        <w:t>N</w:t>
      </w:r>
      <w:r w:rsidRPr="005E402A">
        <w:rPr>
          <w:rFonts w:eastAsia="Arial Unicode MS" w:cs="Arial"/>
          <w:bCs w:val="0"/>
          <w:sz w:val="20"/>
          <w:lang w:val="en-GB"/>
        </w:rPr>
        <w:t xml:space="preserve">otifications of </w:t>
      </w:r>
      <w:r w:rsidR="00C02C77">
        <w:rPr>
          <w:rFonts w:eastAsia="Arial Unicode MS" w:cs="Arial"/>
          <w:bCs w:val="0"/>
          <w:sz w:val="20"/>
          <w:lang w:val="en-GB"/>
        </w:rPr>
        <w:t>T</w:t>
      </w:r>
      <w:r w:rsidRPr="005E402A">
        <w:rPr>
          <w:rFonts w:eastAsia="Arial Unicode MS" w:cs="Arial"/>
          <w:bCs w:val="0"/>
          <w:sz w:val="20"/>
          <w:lang w:val="en-GB"/>
        </w:rPr>
        <w:t xml:space="preserve">erminated </w:t>
      </w:r>
      <w:r w:rsidR="00C02C77">
        <w:rPr>
          <w:rFonts w:eastAsia="Arial Unicode MS" w:cs="Arial"/>
          <w:bCs w:val="0"/>
          <w:sz w:val="20"/>
          <w:lang w:val="en-GB"/>
        </w:rPr>
        <w:t>P</w:t>
      </w:r>
      <w:r w:rsidRPr="005E402A">
        <w:rPr>
          <w:rFonts w:eastAsia="Arial Unicode MS" w:cs="Arial"/>
          <w:bCs w:val="0"/>
          <w:sz w:val="20"/>
          <w:lang w:val="en-GB"/>
        </w:rPr>
        <w:t xml:space="preserve">regnancies, </w:t>
      </w:r>
      <w:r w:rsidR="00C02C77">
        <w:rPr>
          <w:rFonts w:eastAsia="Arial Unicode MS" w:cs="Arial"/>
          <w:bCs w:val="0"/>
          <w:sz w:val="20"/>
          <w:lang w:val="en-GB"/>
        </w:rPr>
        <w:t>D</w:t>
      </w:r>
      <w:r w:rsidRPr="005E402A">
        <w:rPr>
          <w:rFonts w:eastAsia="Arial Unicode MS" w:cs="Arial"/>
          <w:bCs w:val="0"/>
          <w:sz w:val="20"/>
          <w:lang w:val="en-GB"/>
        </w:rPr>
        <w:t xml:space="preserve">eath of a </w:t>
      </w:r>
      <w:r w:rsidR="00C02C77">
        <w:rPr>
          <w:rFonts w:eastAsia="Arial Unicode MS" w:cs="Arial"/>
          <w:bCs w:val="0"/>
          <w:sz w:val="20"/>
          <w:lang w:val="en-GB"/>
        </w:rPr>
        <w:t>Ch</w:t>
      </w:r>
      <w:r w:rsidRPr="005E402A">
        <w:rPr>
          <w:rFonts w:eastAsia="Arial Unicode MS" w:cs="Arial"/>
          <w:bCs w:val="0"/>
          <w:sz w:val="20"/>
          <w:lang w:val="en-GB"/>
        </w:rPr>
        <w:t xml:space="preserve">ild, and </w:t>
      </w:r>
      <w:r w:rsidR="00C02C77">
        <w:rPr>
          <w:rFonts w:eastAsia="Arial Unicode MS" w:cs="Arial"/>
          <w:bCs w:val="0"/>
          <w:sz w:val="20"/>
          <w:lang w:val="en-GB"/>
        </w:rPr>
        <w:t>D</w:t>
      </w:r>
      <w:r w:rsidRPr="005E402A">
        <w:rPr>
          <w:rFonts w:eastAsia="Arial Unicode MS" w:cs="Arial"/>
          <w:bCs w:val="0"/>
          <w:sz w:val="20"/>
          <w:lang w:val="en-GB"/>
        </w:rPr>
        <w:t xml:space="preserve">eath of the </w:t>
      </w:r>
      <w:r w:rsidR="00C02C77">
        <w:rPr>
          <w:rFonts w:eastAsia="Arial Unicode MS" w:cs="Arial"/>
          <w:bCs w:val="0"/>
          <w:sz w:val="20"/>
          <w:lang w:val="en-GB"/>
        </w:rPr>
        <w:t>M</w:t>
      </w:r>
      <w:r w:rsidRPr="005E402A">
        <w:rPr>
          <w:rFonts w:eastAsia="Arial Unicode MS" w:cs="Arial"/>
          <w:bCs w:val="0"/>
          <w:sz w:val="20"/>
          <w:lang w:val="en-GB"/>
        </w:rPr>
        <w:t>other, as the complete expulsion or extraction of a child from its mother provided that the child showed at least one evidence o</w:t>
      </w:r>
      <w:r w:rsidR="00B56E99" w:rsidRPr="005E402A">
        <w:rPr>
          <w:rFonts w:eastAsia="Arial Unicode MS" w:cs="Arial"/>
          <w:bCs w:val="0"/>
          <w:sz w:val="20"/>
          <w:lang w:val="en-GB"/>
        </w:rPr>
        <w:t>f life and its birth weight was 500 g or more, or lower than 500 g if it lived the first 24 hours after birth.</w:t>
      </w:r>
      <w:r w:rsidR="005E402A">
        <w:rPr>
          <w:rFonts w:eastAsia="Arial Unicode MS" w:cs="Arial"/>
          <w:bCs w:val="0"/>
          <w:sz w:val="20"/>
          <w:lang w:val="en-GB"/>
        </w:rPr>
        <w:t xml:space="preserve"> The evidence of life </w:t>
      </w:r>
      <w:r w:rsidR="005E79C9">
        <w:rPr>
          <w:rFonts w:eastAsia="Arial Unicode MS" w:cs="Arial"/>
          <w:bCs w:val="0"/>
          <w:sz w:val="20"/>
          <w:lang w:val="en-GB"/>
        </w:rPr>
        <w:t>was</w:t>
      </w:r>
      <w:r w:rsidR="005E79C9" w:rsidRPr="005E402A">
        <w:rPr>
          <w:rFonts w:eastAsia="Arial Unicode MS" w:cs="Arial"/>
          <w:bCs w:val="0"/>
          <w:sz w:val="20"/>
          <w:lang w:val="en-GB"/>
        </w:rPr>
        <w:t xml:space="preserve"> </w:t>
      </w:r>
      <w:r w:rsidR="00B56E99" w:rsidRPr="005E402A">
        <w:rPr>
          <w:rFonts w:eastAsia="Arial Unicode MS" w:cs="Arial"/>
          <w:bCs w:val="0"/>
          <w:sz w:val="20"/>
          <w:lang w:val="en-GB"/>
        </w:rPr>
        <w:t>breathing or beating of the heart or pulsation of the umbilical cord or movement of voluntary muscles, although the umbilical cord had not been cut or the placenta had not been delivered.</w:t>
      </w:r>
      <w:r w:rsidR="005E402A">
        <w:rPr>
          <w:rFonts w:eastAsia="Arial Unicode MS" w:cs="Arial"/>
          <w:bCs w:val="0"/>
          <w:sz w:val="20"/>
          <w:lang w:val="en-GB"/>
        </w:rPr>
        <w:t xml:space="preserve"> </w:t>
      </w:r>
      <w:r w:rsidR="005E402A" w:rsidRPr="005E402A">
        <w:rPr>
          <w:rFonts w:eastAsia="Arial Unicode MS" w:cs="Arial"/>
          <w:bCs w:val="0"/>
          <w:sz w:val="20"/>
          <w:lang w:val="en-GB"/>
        </w:rPr>
        <w:t>A stillbirth was understood as the complet</w:t>
      </w:r>
      <w:r w:rsidR="008D2DEA">
        <w:rPr>
          <w:rFonts w:eastAsia="Arial Unicode MS" w:cs="Arial"/>
          <w:bCs w:val="0"/>
          <w:sz w:val="20"/>
          <w:lang w:val="en-GB"/>
        </w:rPr>
        <w:t>e expulsion or extraction from the</w:t>
      </w:r>
      <w:r w:rsidR="005E402A" w:rsidRPr="005E402A">
        <w:rPr>
          <w:rFonts w:eastAsia="Arial Unicode MS" w:cs="Arial"/>
          <w:bCs w:val="0"/>
          <w:sz w:val="20"/>
          <w:lang w:val="en-GB"/>
        </w:rPr>
        <w:t xml:space="preserve"> mother of a foetus that showed no evidence of life and its birth weight was 1</w:t>
      </w:r>
      <w:r w:rsidR="00C17373">
        <w:rPr>
          <w:rFonts w:eastAsia="Arial Unicode MS" w:cs="Arial"/>
          <w:bCs w:val="0"/>
          <w:sz w:val="20"/>
          <w:lang w:val="en-GB"/>
        </w:rPr>
        <w:t>,</w:t>
      </w:r>
      <w:r w:rsidR="005E402A" w:rsidRPr="005E402A">
        <w:rPr>
          <w:rFonts w:eastAsia="Arial Unicode MS" w:cs="Arial"/>
          <w:bCs w:val="0"/>
          <w:sz w:val="20"/>
          <w:lang w:val="en-GB"/>
        </w:rPr>
        <w:t>000 g or more</w:t>
      </w:r>
      <w:r w:rsidR="005E402A">
        <w:rPr>
          <w:rFonts w:eastAsia="Arial Unicode MS" w:cs="Arial"/>
          <w:bCs w:val="0"/>
          <w:sz w:val="20"/>
          <w:lang w:val="en-GB"/>
        </w:rPr>
        <w:t>.</w:t>
      </w:r>
    </w:p>
    <w:p w14:paraId="287FA708" w14:textId="10F5BB4E" w:rsidR="005E402A" w:rsidRPr="007E5F88" w:rsidRDefault="005E402A" w:rsidP="005E6023">
      <w:pPr>
        <w:pStyle w:val="Odstavecseseznamem"/>
        <w:numPr>
          <w:ilvl w:val="0"/>
          <w:numId w:val="5"/>
        </w:numPr>
        <w:spacing w:after="120" w:line="288" w:lineRule="auto"/>
        <w:ind w:left="714" w:hanging="357"/>
        <w:rPr>
          <w:rFonts w:cs="Arial"/>
          <w:sz w:val="20"/>
          <w:szCs w:val="20"/>
          <w:lang w:val="en-GB"/>
        </w:rPr>
      </w:pPr>
      <w:r w:rsidRPr="007E5F88">
        <w:rPr>
          <w:rFonts w:cs="Arial"/>
          <w:sz w:val="20"/>
          <w:szCs w:val="20"/>
          <w:lang w:val="en-GB"/>
        </w:rPr>
        <w:t xml:space="preserve">As of 1 April 2012, the Decree No 11/1988 Sb was repealed by </w:t>
      </w:r>
      <w:r w:rsidR="007E5F88" w:rsidRPr="007E5F88">
        <w:rPr>
          <w:rFonts w:cs="Arial"/>
          <w:sz w:val="20"/>
          <w:szCs w:val="20"/>
          <w:lang w:val="en-GB"/>
        </w:rPr>
        <w:t xml:space="preserve">the </w:t>
      </w:r>
      <w:r w:rsidRPr="007E5F88">
        <w:rPr>
          <w:rFonts w:cs="Arial"/>
          <w:sz w:val="20"/>
          <w:szCs w:val="20"/>
          <w:lang w:val="en-GB"/>
        </w:rPr>
        <w:t xml:space="preserve">Act No 372/2011 Sb, on </w:t>
      </w:r>
      <w:r w:rsidR="00421F96">
        <w:rPr>
          <w:rFonts w:cs="Arial"/>
          <w:sz w:val="20"/>
          <w:szCs w:val="20"/>
          <w:lang w:val="en-GB"/>
        </w:rPr>
        <w:t xml:space="preserve">Health </w:t>
      </w:r>
      <w:r w:rsidR="00C02C77">
        <w:rPr>
          <w:rFonts w:cs="Arial"/>
          <w:sz w:val="20"/>
          <w:szCs w:val="20"/>
          <w:lang w:val="en-GB"/>
        </w:rPr>
        <w:t>S</w:t>
      </w:r>
      <w:r w:rsidR="00904BF4">
        <w:rPr>
          <w:rFonts w:cs="Arial"/>
          <w:sz w:val="20"/>
          <w:szCs w:val="20"/>
          <w:lang w:val="en-GB"/>
        </w:rPr>
        <w:t>ervices</w:t>
      </w:r>
      <w:r w:rsidR="00904BF4" w:rsidRPr="007E5F88">
        <w:rPr>
          <w:rFonts w:cs="Arial"/>
          <w:sz w:val="20"/>
          <w:szCs w:val="20"/>
          <w:lang w:val="en-GB"/>
        </w:rPr>
        <w:t xml:space="preserve"> </w:t>
      </w:r>
      <w:r w:rsidR="007E5F88" w:rsidRPr="007E5F88">
        <w:rPr>
          <w:rFonts w:cs="Arial"/>
          <w:sz w:val="20"/>
          <w:szCs w:val="20"/>
          <w:lang w:val="en-GB"/>
        </w:rPr>
        <w:t>which defines a foetus after abortion that is a foetus, which after the complete expulsion or extraction from its mother shows no evidence of life and at the same time its birth weight is lower than 500 g and provided that the weight cannot be measured if the pregnancy lasted less than 22 weeks</w:t>
      </w:r>
      <w:r w:rsidR="000E4B1D">
        <w:rPr>
          <w:rFonts w:cs="Arial"/>
          <w:sz w:val="20"/>
          <w:szCs w:val="20"/>
          <w:lang w:val="en-GB"/>
        </w:rPr>
        <w:t xml:space="preserve"> (</w:t>
      </w:r>
      <w:r w:rsidR="000E4B1D" w:rsidRPr="000E4B1D">
        <w:rPr>
          <w:rFonts w:cs="Arial"/>
          <w:sz w:val="20"/>
          <w:szCs w:val="20"/>
          <w:lang w:val="en-GB"/>
        </w:rPr>
        <w:t>which implies that if the f</w:t>
      </w:r>
      <w:r w:rsidR="000E4B1D">
        <w:rPr>
          <w:rFonts w:cs="Arial"/>
          <w:sz w:val="20"/>
          <w:szCs w:val="20"/>
          <w:lang w:val="en-GB"/>
        </w:rPr>
        <w:t>o</w:t>
      </w:r>
      <w:r w:rsidR="000E4B1D" w:rsidRPr="000E4B1D">
        <w:rPr>
          <w:rFonts w:cs="Arial"/>
          <w:sz w:val="20"/>
          <w:szCs w:val="20"/>
          <w:lang w:val="en-GB"/>
        </w:rPr>
        <w:t xml:space="preserve">etus </w:t>
      </w:r>
      <w:r w:rsidR="000E4B1D">
        <w:rPr>
          <w:rFonts w:cs="Arial"/>
          <w:sz w:val="20"/>
          <w:szCs w:val="20"/>
          <w:lang w:val="en-GB"/>
        </w:rPr>
        <w:t>weigh</w:t>
      </w:r>
      <w:r w:rsidR="005E79C9">
        <w:rPr>
          <w:rFonts w:cs="Arial"/>
          <w:sz w:val="20"/>
          <w:szCs w:val="20"/>
          <w:lang w:val="en-GB"/>
        </w:rPr>
        <w:t>s</w:t>
      </w:r>
      <w:r w:rsidR="000E4B1D" w:rsidRPr="000E4B1D">
        <w:rPr>
          <w:rFonts w:cs="Arial"/>
          <w:sz w:val="20"/>
          <w:szCs w:val="20"/>
          <w:lang w:val="en-GB"/>
        </w:rPr>
        <w:t xml:space="preserve"> 500 g or more, it is stillborn)</w:t>
      </w:r>
      <w:r w:rsidR="007E5F88" w:rsidRPr="007E5F88">
        <w:rPr>
          <w:rFonts w:cs="Arial"/>
          <w:sz w:val="20"/>
          <w:szCs w:val="20"/>
          <w:lang w:val="en-GB"/>
        </w:rPr>
        <w:t>.</w:t>
      </w:r>
      <w:r w:rsidR="000E4B1D">
        <w:rPr>
          <w:rFonts w:cs="Arial"/>
          <w:sz w:val="20"/>
          <w:szCs w:val="20"/>
          <w:lang w:val="en-GB"/>
        </w:rPr>
        <w:t xml:space="preserve"> D</w:t>
      </w:r>
      <w:r w:rsidR="000E4B1D" w:rsidRPr="000E4B1D">
        <w:rPr>
          <w:rFonts w:cs="Arial"/>
          <w:sz w:val="20"/>
          <w:szCs w:val="20"/>
          <w:lang w:val="en-GB"/>
        </w:rPr>
        <w:t xml:space="preserve">efinitions of a live birth and a stillbirth </w:t>
      </w:r>
      <w:r w:rsidR="000E4B1D">
        <w:rPr>
          <w:rFonts w:cs="Arial"/>
          <w:sz w:val="20"/>
          <w:szCs w:val="20"/>
          <w:lang w:val="en-GB"/>
        </w:rPr>
        <w:t>(along with definitions of a</w:t>
      </w:r>
      <w:r w:rsidR="000E4B1D" w:rsidRPr="000E4B1D">
        <w:rPr>
          <w:rFonts w:cs="Arial"/>
          <w:sz w:val="20"/>
          <w:szCs w:val="20"/>
          <w:lang w:val="en-GB"/>
        </w:rPr>
        <w:t>ll types of abortion</w:t>
      </w:r>
      <w:r w:rsidR="000E4B1D">
        <w:rPr>
          <w:rFonts w:cs="Arial"/>
          <w:sz w:val="20"/>
          <w:szCs w:val="20"/>
          <w:lang w:val="en-GB"/>
        </w:rPr>
        <w:t>)</w:t>
      </w:r>
      <w:r w:rsidR="000E4B1D" w:rsidRPr="000E4B1D">
        <w:rPr>
          <w:rFonts w:cs="Arial"/>
          <w:sz w:val="20"/>
          <w:szCs w:val="20"/>
          <w:lang w:val="en-GB"/>
        </w:rPr>
        <w:t xml:space="preserve"> are </w:t>
      </w:r>
      <w:r w:rsidR="000E4B1D">
        <w:rPr>
          <w:rFonts w:cs="Arial"/>
          <w:sz w:val="20"/>
          <w:szCs w:val="20"/>
          <w:lang w:val="en-GB"/>
        </w:rPr>
        <w:t>provided</w:t>
      </w:r>
      <w:r w:rsidR="000E4B1D" w:rsidRPr="000E4B1D">
        <w:rPr>
          <w:rFonts w:cs="Arial"/>
          <w:sz w:val="20"/>
          <w:szCs w:val="20"/>
          <w:lang w:val="en-GB"/>
        </w:rPr>
        <w:t xml:space="preserve"> in the </w:t>
      </w:r>
      <w:r w:rsidR="000E4B1D">
        <w:rPr>
          <w:rFonts w:cs="Arial"/>
          <w:sz w:val="20"/>
          <w:szCs w:val="20"/>
          <w:lang w:val="en-GB"/>
        </w:rPr>
        <w:t xml:space="preserve">instructions </w:t>
      </w:r>
      <w:r w:rsidR="000E4B1D" w:rsidRPr="000E4B1D">
        <w:rPr>
          <w:rFonts w:cs="Arial"/>
          <w:sz w:val="20"/>
          <w:szCs w:val="20"/>
          <w:lang w:val="en-GB"/>
        </w:rPr>
        <w:t xml:space="preserve">for filling in </w:t>
      </w:r>
      <w:r w:rsidR="000E4B1D">
        <w:rPr>
          <w:rFonts w:cs="Arial"/>
          <w:sz w:val="20"/>
          <w:szCs w:val="20"/>
          <w:lang w:val="en-GB"/>
        </w:rPr>
        <w:t>the</w:t>
      </w:r>
      <w:r w:rsidR="000E4B1D" w:rsidRPr="000E4B1D">
        <w:rPr>
          <w:rFonts w:cs="Arial"/>
          <w:sz w:val="20"/>
          <w:szCs w:val="20"/>
          <w:lang w:val="en-GB"/>
        </w:rPr>
        <w:t xml:space="preserve"> Report on examination of the deceased person (in the Decree No 297/2012 Sb, on the Report on </w:t>
      </w:r>
      <w:r w:rsidR="00C02C77">
        <w:rPr>
          <w:rFonts w:cs="Arial"/>
          <w:sz w:val="20"/>
          <w:szCs w:val="20"/>
          <w:lang w:val="en-GB"/>
        </w:rPr>
        <w:t>E</w:t>
      </w:r>
      <w:r w:rsidR="000E4B1D" w:rsidRPr="000E4B1D">
        <w:rPr>
          <w:rFonts w:cs="Arial"/>
          <w:sz w:val="20"/>
          <w:szCs w:val="20"/>
          <w:lang w:val="en-GB"/>
        </w:rPr>
        <w:t xml:space="preserve">xamination of the </w:t>
      </w:r>
      <w:r w:rsidR="00C02C77">
        <w:rPr>
          <w:rFonts w:cs="Arial"/>
          <w:sz w:val="20"/>
          <w:szCs w:val="20"/>
          <w:lang w:val="en-GB"/>
        </w:rPr>
        <w:t>D</w:t>
      </w:r>
      <w:r w:rsidR="000E4B1D" w:rsidRPr="000E4B1D">
        <w:rPr>
          <w:rFonts w:cs="Arial"/>
          <w:sz w:val="20"/>
          <w:szCs w:val="20"/>
          <w:lang w:val="en-GB"/>
        </w:rPr>
        <w:t xml:space="preserve">eceased </w:t>
      </w:r>
      <w:r w:rsidR="00C02C77">
        <w:rPr>
          <w:rFonts w:cs="Arial"/>
          <w:sz w:val="20"/>
          <w:szCs w:val="20"/>
          <w:lang w:val="en-GB"/>
        </w:rPr>
        <w:t>P</w:t>
      </w:r>
      <w:r w:rsidR="000E4B1D" w:rsidRPr="000E4B1D">
        <w:rPr>
          <w:rFonts w:cs="Arial"/>
          <w:sz w:val="20"/>
          <w:szCs w:val="20"/>
          <w:lang w:val="en-GB"/>
        </w:rPr>
        <w:t xml:space="preserve">erson, as amended), namely for the </w:t>
      </w:r>
      <w:r w:rsidR="00986E2D">
        <w:rPr>
          <w:rFonts w:cs="Arial"/>
          <w:sz w:val="20"/>
          <w:szCs w:val="20"/>
          <w:lang w:val="en-GB"/>
        </w:rPr>
        <w:t>purpose</w:t>
      </w:r>
      <w:r w:rsidR="000E4B1D" w:rsidRPr="000E4B1D">
        <w:rPr>
          <w:rFonts w:cs="Arial"/>
          <w:sz w:val="20"/>
          <w:szCs w:val="20"/>
          <w:lang w:val="en-GB"/>
        </w:rPr>
        <w:t xml:space="preserve"> of filling in th</w:t>
      </w:r>
      <w:r w:rsidR="000E4B1D">
        <w:rPr>
          <w:rFonts w:cs="Arial"/>
          <w:sz w:val="20"/>
          <w:szCs w:val="20"/>
          <w:lang w:val="en-GB"/>
        </w:rPr>
        <w:t>is</w:t>
      </w:r>
      <w:r w:rsidR="000E4B1D" w:rsidRPr="000E4B1D">
        <w:rPr>
          <w:rFonts w:cs="Arial"/>
          <w:sz w:val="20"/>
          <w:szCs w:val="20"/>
          <w:lang w:val="en-GB"/>
        </w:rPr>
        <w:t xml:space="preserve"> </w:t>
      </w:r>
      <w:r w:rsidR="000E4B1D">
        <w:rPr>
          <w:rFonts w:cs="Arial"/>
          <w:sz w:val="20"/>
          <w:szCs w:val="20"/>
          <w:lang w:val="en-GB"/>
        </w:rPr>
        <w:t>report.</w:t>
      </w:r>
    </w:p>
    <w:p w14:paraId="2B724926" w14:textId="3E1F4C25" w:rsidR="00757AAF" w:rsidRPr="00CE39C7" w:rsidRDefault="00757AAF" w:rsidP="005E6023">
      <w:pPr>
        <w:spacing w:after="120" w:line="288" w:lineRule="auto"/>
        <w:rPr>
          <w:rFonts w:eastAsia="Arial Unicode MS" w:cs="Arial"/>
          <w:bCs w:val="0"/>
          <w:iCs/>
          <w:sz w:val="20"/>
          <w:lang w:val="en-GB"/>
        </w:rPr>
      </w:pPr>
      <w:r w:rsidRPr="00CE39C7">
        <w:rPr>
          <w:rFonts w:eastAsia="Arial Unicode MS" w:cs="Arial"/>
          <w:bCs w:val="0"/>
          <w:iCs/>
          <w:sz w:val="20"/>
          <w:lang w:val="en-GB"/>
        </w:rPr>
        <w:t>In accordance with</w:t>
      </w:r>
      <w:r w:rsidR="00580446">
        <w:rPr>
          <w:rFonts w:eastAsia="Arial Unicode MS" w:cs="Arial"/>
          <w:bCs w:val="0"/>
          <w:iCs/>
          <w:sz w:val="20"/>
          <w:lang w:val="en-GB"/>
        </w:rPr>
        <w:t xml:space="preserve"> the</w:t>
      </w:r>
      <w:r w:rsidRPr="00CE39C7">
        <w:rPr>
          <w:rFonts w:eastAsia="Arial Unicode MS" w:cs="Arial"/>
          <w:bCs w:val="0"/>
          <w:iCs/>
          <w:sz w:val="20"/>
          <w:lang w:val="en-GB"/>
        </w:rPr>
        <w:t xml:space="preserve"> Regulation (EU) No 1260/2013 of the European Parliament and of the Council on European demographic statistics, the methodology for reporting </w:t>
      </w:r>
      <w:r w:rsidR="00CE39C7" w:rsidRPr="00CE39C7">
        <w:rPr>
          <w:rFonts w:eastAsia="Arial Unicode MS" w:cs="Arial"/>
          <w:bCs w:val="0"/>
          <w:iCs/>
          <w:sz w:val="20"/>
          <w:lang w:val="en-GB"/>
        </w:rPr>
        <w:t xml:space="preserve">birth order has changed since </w:t>
      </w:r>
      <w:r w:rsidRPr="00CE39C7">
        <w:rPr>
          <w:rFonts w:eastAsia="Arial Unicode MS" w:cs="Arial"/>
          <w:bCs w:val="0"/>
          <w:iCs/>
          <w:sz w:val="20"/>
          <w:lang w:val="en-GB"/>
        </w:rPr>
        <w:t xml:space="preserve">2014. </w:t>
      </w:r>
      <w:r w:rsidR="008D2DEA">
        <w:rPr>
          <w:rFonts w:eastAsia="Arial Unicode MS" w:cs="Arial"/>
          <w:bCs w:val="0"/>
          <w:iCs/>
          <w:sz w:val="20"/>
          <w:lang w:val="en-GB"/>
        </w:rPr>
        <w:t>Until</w:t>
      </w:r>
      <w:r w:rsidR="00C277FC" w:rsidRPr="00C277FC">
        <w:rPr>
          <w:rFonts w:eastAsia="Arial Unicode MS" w:cs="Arial"/>
          <w:bCs w:val="0"/>
          <w:iCs/>
          <w:sz w:val="20"/>
          <w:lang w:val="en-GB"/>
        </w:rPr>
        <w:t xml:space="preserve"> 2013</w:t>
      </w:r>
      <w:r w:rsidRPr="00CE39C7">
        <w:rPr>
          <w:rFonts w:eastAsia="Arial Unicode MS" w:cs="Arial"/>
          <w:bCs w:val="0"/>
          <w:iCs/>
          <w:sz w:val="20"/>
          <w:lang w:val="en-GB"/>
        </w:rPr>
        <w:t xml:space="preserve">, the </w:t>
      </w:r>
      <w:r w:rsidR="00CE39C7" w:rsidRPr="00CE39C7">
        <w:rPr>
          <w:rFonts w:eastAsia="Arial Unicode MS" w:cs="Arial"/>
          <w:bCs w:val="0"/>
          <w:iCs/>
          <w:sz w:val="20"/>
          <w:lang w:val="en-GB"/>
        </w:rPr>
        <w:t xml:space="preserve">birth order </w:t>
      </w:r>
      <w:r w:rsidR="009C019B">
        <w:rPr>
          <w:rFonts w:eastAsia="Arial Unicode MS" w:cs="Arial"/>
          <w:bCs w:val="0"/>
          <w:iCs/>
          <w:sz w:val="20"/>
          <w:lang w:val="en-GB"/>
        </w:rPr>
        <w:t>reflected</w:t>
      </w:r>
      <w:r w:rsidR="00E3436F" w:rsidRPr="00CE39C7">
        <w:rPr>
          <w:rFonts w:eastAsia="Arial Unicode MS" w:cs="Arial"/>
          <w:bCs w:val="0"/>
          <w:iCs/>
          <w:sz w:val="20"/>
          <w:lang w:val="en-GB"/>
        </w:rPr>
        <w:t xml:space="preserve"> </w:t>
      </w:r>
      <w:r w:rsidRPr="00CE39C7">
        <w:rPr>
          <w:rFonts w:eastAsia="Arial Unicode MS" w:cs="Arial"/>
          <w:bCs w:val="0"/>
          <w:iCs/>
          <w:sz w:val="20"/>
          <w:lang w:val="en-GB"/>
        </w:rPr>
        <w:t>all children born to a woman, i.e. including</w:t>
      </w:r>
      <w:r w:rsidR="009C3725">
        <w:rPr>
          <w:rFonts w:eastAsia="Arial Unicode MS" w:cs="Arial"/>
          <w:bCs w:val="0"/>
          <w:iCs/>
          <w:sz w:val="20"/>
          <w:lang w:val="en-GB"/>
        </w:rPr>
        <w:t xml:space="preserve"> stillbirths; since</w:t>
      </w:r>
      <w:r w:rsidR="003934D8">
        <w:rPr>
          <w:rFonts w:eastAsia="Arial Unicode MS" w:cs="Arial"/>
          <w:bCs w:val="0"/>
          <w:iCs/>
          <w:sz w:val="20"/>
          <w:lang w:val="en-GB"/>
        </w:rPr>
        <w:t xml:space="preserve"> 2014 </w:t>
      </w:r>
      <w:r w:rsidRPr="00CE39C7">
        <w:rPr>
          <w:rFonts w:eastAsia="Arial Unicode MS" w:cs="Arial"/>
          <w:bCs w:val="0"/>
          <w:iCs/>
          <w:sz w:val="20"/>
          <w:lang w:val="en-GB"/>
        </w:rPr>
        <w:t xml:space="preserve">the </w:t>
      </w:r>
      <w:r w:rsidR="00CE39C7" w:rsidRPr="00CE39C7">
        <w:rPr>
          <w:rFonts w:eastAsia="Arial Unicode MS" w:cs="Arial"/>
          <w:bCs w:val="0"/>
          <w:iCs/>
          <w:sz w:val="20"/>
          <w:lang w:val="en-GB"/>
        </w:rPr>
        <w:t xml:space="preserve">birth order is </w:t>
      </w:r>
      <w:r w:rsidR="009C3725">
        <w:rPr>
          <w:rFonts w:eastAsia="Arial Unicode MS" w:cs="Arial"/>
          <w:bCs w:val="0"/>
          <w:iCs/>
          <w:sz w:val="20"/>
          <w:lang w:val="en-GB"/>
        </w:rPr>
        <w:t>determined</w:t>
      </w:r>
      <w:r w:rsidR="00CE39C7" w:rsidRPr="00CE39C7">
        <w:rPr>
          <w:rFonts w:eastAsia="Arial Unicode MS" w:cs="Arial"/>
          <w:bCs w:val="0"/>
          <w:iCs/>
          <w:sz w:val="20"/>
          <w:lang w:val="en-GB"/>
        </w:rPr>
        <w:t xml:space="preserve"> </w:t>
      </w:r>
      <w:r w:rsidRPr="00CE39C7">
        <w:rPr>
          <w:rFonts w:eastAsia="Arial Unicode MS" w:cs="Arial"/>
          <w:bCs w:val="0"/>
          <w:iCs/>
          <w:sz w:val="20"/>
          <w:lang w:val="en-GB"/>
        </w:rPr>
        <w:t xml:space="preserve">only </w:t>
      </w:r>
      <w:r w:rsidR="009C3725">
        <w:rPr>
          <w:rFonts w:eastAsia="Arial Unicode MS" w:cs="Arial"/>
          <w:bCs w:val="0"/>
          <w:iCs/>
          <w:sz w:val="20"/>
          <w:lang w:val="en-GB"/>
        </w:rPr>
        <w:t>from</w:t>
      </w:r>
      <w:r w:rsidR="006C52BE">
        <w:rPr>
          <w:rFonts w:eastAsia="Arial Unicode MS" w:cs="Arial"/>
          <w:bCs w:val="0"/>
          <w:iCs/>
          <w:sz w:val="20"/>
          <w:lang w:val="en-GB"/>
        </w:rPr>
        <w:t xml:space="preserve"> </w:t>
      </w:r>
      <w:r w:rsidR="006C52BE" w:rsidRPr="00CE39C7">
        <w:rPr>
          <w:rFonts w:eastAsia="Arial Unicode MS" w:cs="Arial"/>
          <w:bCs w:val="0"/>
          <w:iCs/>
          <w:sz w:val="20"/>
          <w:lang w:val="en-GB"/>
        </w:rPr>
        <w:t>and for</w:t>
      </w:r>
      <w:r w:rsidR="00E3436F" w:rsidRPr="00CE39C7">
        <w:rPr>
          <w:rFonts w:eastAsia="Arial Unicode MS" w:cs="Arial"/>
          <w:bCs w:val="0"/>
          <w:iCs/>
          <w:sz w:val="20"/>
          <w:lang w:val="en-GB"/>
        </w:rPr>
        <w:t xml:space="preserve"> </w:t>
      </w:r>
      <w:r w:rsidR="009C3725">
        <w:rPr>
          <w:rFonts w:eastAsia="Arial Unicode MS" w:cs="Arial"/>
          <w:bCs w:val="0"/>
          <w:iCs/>
          <w:sz w:val="20"/>
          <w:lang w:val="en-GB"/>
        </w:rPr>
        <w:t>live births of a woma</w:t>
      </w:r>
      <w:r w:rsidR="00CE39C7" w:rsidRPr="00CE39C7">
        <w:rPr>
          <w:rFonts w:eastAsia="Arial Unicode MS" w:cs="Arial"/>
          <w:bCs w:val="0"/>
          <w:iCs/>
          <w:sz w:val="20"/>
          <w:lang w:val="en-GB"/>
        </w:rPr>
        <w:t>n</w:t>
      </w:r>
      <w:r w:rsidR="001D3977">
        <w:rPr>
          <w:rFonts w:eastAsia="Arial Unicode MS" w:cs="Arial"/>
          <w:bCs w:val="0"/>
          <w:iCs/>
          <w:sz w:val="20"/>
          <w:lang w:val="en-GB"/>
        </w:rPr>
        <w:t>.</w:t>
      </w:r>
      <w:r w:rsidR="00CE39C7" w:rsidRPr="00CE39C7">
        <w:rPr>
          <w:rFonts w:eastAsia="Arial Unicode MS" w:cs="Arial"/>
          <w:bCs w:val="0"/>
          <w:iCs/>
          <w:sz w:val="20"/>
          <w:lang w:val="en-GB"/>
        </w:rPr>
        <w:t xml:space="preserve"> </w:t>
      </w:r>
    </w:p>
    <w:p w14:paraId="048EFDE8" w14:textId="51B8F2BE" w:rsidR="0093321C" w:rsidRPr="00450000" w:rsidRDefault="003934D8" w:rsidP="004E26C8">
      <w:pPr>
        <w:spacing w:after="240" w:line="288" w:lineRule="auto"/>
        <w:rPr>
          <w:rFonts w:eastAsia="Arial Unicode MS" w:cs="Arial"/>
          <w:bCs w:val="0"/>
          <w:sz w:val="20"/>
          <w:lang w:val="en-GB"/>
        </w:rPr>
      </w:pPr>
      <w:r>
        <w:rPr>
          <w:rFonts w:eastAsia="Arial Unicode MS" w:cs="Arial"/>
          <w:bCs w:val="0"/>
          <w:sz w:val="20"/>
          <w:lang w:val="en-GB"/>
        </w:rPr>
        <w:t>Since 2007</w:t>
      </w:r>
      <w:r w:rsidR="00404103">
        <w:rPr>
          <w:rFonts w:eastAsia="Arial Unicode MS" w:cs="Arial"/>
          <w:bCs w:val="0"/>
          <w:sz w:val="20"/>
          <w:lang w:val="en-GB"/>
        </w:rPr>
        <w:t>,</w:t>
      </w:r>
      <w:r>
        <w:rPr>
          <w:rFonts w:eastAsia="Arial Unicode MS" w:cs="Arial"/>
          <w:bCs w:val="0"/>
          <w:sz w:val="20"/>
          <w:lang w:val="en-GB"/>
        </w:rPr>
        <w:t xml:space="preserve"> e</w:t>
      </w:r>
      <w:r w:rsidRPr="00E72509">
        <w:rPr>
          <w:rFonts w:eastAsia="Arial Unicode MS" w:cs="Arial"/>
          <w:bCs w:val="0"/>
          <w:sz w:val="20"/>
          <w:lang w:val="en-GB"/>
        </w:rPr>
        <w:t xml:space="preserve">ducation is collected on </w:t>
      </w:r>
      <w:r w:rsidR="00FA7D4A">
        <w:rPr>
          <w:rFonts w:eastAsia="Arial Unicode MS" w:cs="Arial"/>
          <w:bCs w:val="0"/>
          <w:sz w:val="20"/>
          <w:lang w:val="en-GB"/>
        </w:rPr>
        <w:t xml:space="preserve">a </w:t>
      </w:r>
      <w:r w:rsidRPr="00E72509">
        <w:rPr>
          <w:rFonts w:eastAsia="Arial Unicode MS" w:cs="Arial"/>
          <w:bCs w:val="0"/>
          <w:sz w:val="20"/>
          <w:lang w:val="en-GB"/>
        </w:rPr>
        <w:t xml:space="preserve">voluntary basis. </w:t>
      </w:r>
      <w:r w:rsidR="008D2DEA" w:rsidRPr="008D2DEA">
        <w:rPr>
          <w:rFonts w:eastAsia="Arial Unicode MS" w:cs="Arial"/>
          <w:bCs w:val="0"/>
          <w:sz w:val="20"/>
          <w:lang w:val="en-GB"/>
        </w:rPr>
        <w:t>Since 2015, the surveyed levels of the highest completed education of the mother/father of the child have been expanded to include a separate category for tertiary technical education.</w:t>
      </w:r>
      <w:r w:rsidR="008D2DEA">
        <w:rPr>
          <w:rFonts w:eastAsia="Arial Unicode MS" w:cs="Arial"/>
          <w:bCs w:val="0"/>
          <w:sz w:val="20"/>
          <w:lang w:val="en-GB"/>
        </w:rPr>
        <w:t xml:space="preserve"> </w:t>
      </w:r>
      <w:r w:rsidR="00A018F5">
        <w:rPr>
          <w:rFonts w:eastAsia="Arial Unicode MS" w:cs="Arial"/>
          <w:bCs w:val="0"/>
          <w:sz w:val="20"/>
          <w:lang w:val="en-GB"/>
        </w:rPr>
        <w:t xml:space="preserve">For children </w:t>
      </w:r>
      <w:r w:rsidR="0093321C" w:rsidRPr="0093321C">
        <w:rPr>
          <w:rFonts w:eastAsia="Arial Unicode MS" w:cs="Arial"/>
          <w:bCs w:val="0"/>
          <w:sz w:val="20"/>
          <w:lang w:val="en-GB"/>
        </w:rPr>
        <w:t>born to unmarried wom</w:t>
      </w:r>
      <w:r w:rsidR="00A018F5">
        <w:rPr>
          <w:rFonts w:eastAsia="Arial Unicode MS" w:cs="Arial"/>
          <w:bCs w:val="0"/>
          <w:sz w:val="20"/>
          <w:lang w:val="en-GB"/>
        </w:rPr>
        <w:t>e</w:t>
      </w:r>
      <w:r w:rsidR="0093321C" w:rsidRPr="0093321C">
        <w:rPr>
          <w:rFonts w:eastAsia="Arial Unicode MS" w:cs="Arial"/>
          <w:bCs w:val="0"/>
          <w:sz w:val="20"/>
          <w:lang w:val="en-GB"/>
        </w:rPr>
        <w:t>n, the data on</w:t>
      </w:r>
      <w:r w:rsidR="007332B8">
        <w:rPr>
          <w:rFonts w:eastAsia="Arial Unicode MS" w:cs="Arial"/>
          <w:bCs w:val="0"/>
          <w:sz w:val="20"/>
          <w:lang w:val="en-GB"/>
        </w:rPr>
        <w:t xml:space="preserve"> the</w:t>
      </w:r>
      <w:r w:rsidR="0093321C" w:rsidRPr="0093321C">
        <w:rPr>
          <w:rFonts w:eastAsia="Arial Unicode MS" w:cs="Arial"/>
          <w:bCs w:val="0"/>
          <w:sz w:val="20"/>
          <w:lang w:val="en-GB"/>
        </w:rPr>
        <w:t xml:space="preserve"> father are not always available</w:t>
      </w:r>
      <w:r w:rsidR="0093321C">
        <w:rPr>
          <w:rFonts w:eastAsia="Arial Unicode MS" w:cs="Arial"/>
          <w:bCs w:val="0"/>
          <w:sz w:val="20"/>
          <w:lang w:val="en-GB"/>
        </w:rPr>
        <w:t>.</w:t>
      </w:r>
      <w:r w:rsidR="0093321C" w:rsidRPr="0093321C">
        <w:rPr>
          <w:rFonts w:eastAsia="Arial Unicode MS" w:cs="Arial"/>
          <w:bCs w:val="0"/>
          <w:sz w:val="20"/>
          <w:lang w:val="en-GB"/>
        </w:rPr>
        <w:t xml:space="preserve"> </w:t>
      </w:r>
      <w:r w:rsidR="00D93F3A">
        <w:rPr>
          <w:rFonts w:eastAsia="Arial Unicode MS" w:cs="Arial"/>
          <w:bCs w:val="0"/>
          <w:sz w:val="20"/>
          <w:lang w:val="en-GB"/>
        </w:rPr>
        <w:t>Until 200</w:t>
      </w:r>
      <w:r w:rsidR="00844E63">
        <w:rPr>
          <w:rFonts w:eastAsia="Arial Unicode MS" w:cs="Arial"/>
          <w:bCs w:val="0"/>
          <w:sz w:val="20"/>
          <w:lang w:val="en-GB"/>
        </w:rPr>
        <w:t>6</w:t>
      </w:r>
      <w:r w:rsidR="004B0E85">
        <w:rPr>
          <w:rFonts w:eastAsia="Arial Unicode MS" w:cs="Arial"/>
          <w:bCs w:val="0"/>
          <w:sz w:val="20"/>
          <w:lang w:val="en-GB"/>
        </w:rPr>
        <w:t>,</w:t>
      </w:r>
      <w:r w:rsidR="0093321C">
        <w:rPr>
          <w:rFonts w:eastAsia="Arial Unicode MS" w:cs="Arial"/>
          <w:bCs w:val="0"/>
          <w:sz w:val="20"/>
          <w:lang w:val="en-GB"/>
        </w:rPr>
        <w:t xml:space="preserve"> d</w:t>
      </w:r>
      <w:r w:rsidR="0093321C" w:rsidRPr="0093321C">
        <w:rPr>
          <w:rFonts w:eastAsia="Arial Unicode MS" w:cs="Arial"/>
          <w:bCs w:val="0"/>
          <w:sz w:val="20"/>
          <w:lang w:val="en-GB"/>
        </w:rPr>
        <w:t xml:space="preserve">ata on </w:t>
      </w:r>
      <w:r w:rsidR="0093321C" w:rsidRPr="00450000">
        <w:rPr>
          <w:rFonts w:eastAsia="Arial Unicode MS" w:cs="Arial"/>
          <w:bCs w:val="0"/>
          <w:sz w:val="20"/>
          <w:lang w:val="en-GB"/>
        </w:rPr>
        <w:t>fathers of all children born to unmarried women were not included in birth statistics at all.</w:t>
      </w:r>
    </w:p>
    <w:p w14:paraId="4BB8A8F8" w14:textId="38265CE9" w:rsidR="00450000" w:rsidRPr="00450000" w:rsidRDefault="00450000" w:rsidP="004E26C8">
      <w:pPr>
        <w:spacing w:after="240" w:line="288" w:lineRule="auto"/>
        <w:rPr>
          <w:rFonts w:eastAsia="Arial Unicode MS" w:cs="Arial"/>
          <w:sz w:val="20"/>
          <w:lang w:val="en-GB"/>
        </w:rPr>
      </w:pPr>
      <w:r w:rsidRPr="00450000">
        <w:rPr>
          <w:rFonts w:eastAsia="Arial Unicode MS" w:cs="Arial"/>
          <w:b/>
          <w:sz w:val="20"/>
          <w:lang w:val="en-GB"/>
        </w:rPr>
        <w:t xml:space="preserve">Total fertility rate </w:t>
      </w:r>
      <w:r w:rsidRPr="00450000">
        <w:rPr>
          <w:rFonts w:eastAsia="Arial Unicode MS" w:cs="Arial"/>
          <w:sz w:val="20"/>
          <w:lang w:val="en-GB"/>
        </w:rPr>
        <w:t>– the average number of children that would be born alive to a woman provided that ag</w:t>
      </w:r>
      <w:r w:rsidR="005A0034">
        <w:rPr>
          <w:rFonts w:eastAsia="Arial Unicode MS" w:cs="Arial"/>
          <w:sz w:val="20"/>
          <w:lang w:val="en-GB"/>
        </w:rPr>
        <w:t xml:space="preserve">e-specific fertility rates of the </w:t>
      </w:r>
      <w:r w:rsidRPr="00450000">
        <w:rPr>
          <w:rFonts w:eastAsia="Arial Unicode MS" w:cs="Arial"/>
          <w:sz w:val="20"/>
          <w:lang w:val="en-GB"/>
        </w:rPr>
        <w:t>reference year remained unchanged during her childbearing period (age 15–49 years).</w:t>
      </w:r>
    </w:p>
    <w:p w14:paraId="2CC51DA7" w14:textId="2210328E" w:rsidR="0027645A" w:rsidRPr="00450000" w:rsidRDefault="00450000" w:rsidP="004E26C8">
      <w:pPr>
        <w:spacing w:after="240" w:line="288" w:lineRule="auto"/>
        <w:rPr>
          <w:rFonts w:eastAsia="Arial Unicode MS" w:cs="Arial"/>
          <w:bCs w:val="0"/>
          <w:sz w:val="20"/>
          <w:lang w:val="en-GB"/>
        </w:rPr>
      </w:pPr>
      <w:r w:rsidRPr="00450000">
        <w:rPr>
          <w:rFonts w:eastAsia="Arial Unicode MS" w:cs="Arial"/>
          <w:b/>
          <w:bCs w:val="0"/>
          <w:sz w:val="20"/>
          <w:lang w:val="en-GB"/>
        </w:rPr>
        <w:t xml:space="preserve">The mean age of women at first childbirth </w:t>
      </w:r>
      <w:r w:rsidRPr="00450000">
        <w:rPr>
          <w:rFonts w:eastAsia="Arial Unicode MS" w:cs="Arial"/>
          <w:bCs w:val="0"/>
          <w:sz w:val="20"/>
          <w:lang w:val="en-GB"/>
        </w:rPr>
        <w:t xml:space="preserve">is based on the distribution of age-specific fertility </w:t>
      </w:r>
      <w:r w:rsidRPr="00E04FB5">
        <w:rPr>
          <w:rFonts w:eastAsia="Arial Unicode MS" w:cs="Arial"/>
          <w:bCs w:val="0"/>
          <w:sz w:val="20"/>
          <w:lang w:val="en-GB"/>
        </w:rPr>
        <w:t>rates of the first birth order.</w:t>
      </w:r>
      <w:r w:rsidRPr="00450000">
        <w:rPr>
          <w:rFonts w:eastAsia="Arial Unicode MS" w:cs="Arial"/>
          <w:b/>
          <w:bCs w:val="0"/>
          <w:sz w:val="20"/>
          <w:lang w:val="en-GB"/>
        </w:rPr>
        <w:t xml:space="preserve"> </w:t>
      </w:r>
    </w:p>
    <w:p w14:paraId="2AF522DA" w14:textId="17A3EA78" w:rsidR="00450000" w:rsidRPr="00450000" w:rsidRDefault="00450000" w:rsidP="004E26C8">
      <w:pPr>
        <w:spacing w:after="240" w:line="288" w:lineRule="auto"/>
        <w:rPr>
          <w:rFonts w:eastAsia="Arial Unicode MS" w:cs="Arial"/>
          <w:sz w:val="20"/>
          <w:lang w:val="en-GB"/>
        </w:rPr>
      </w:pPr>
      <w:r w:rsidRPr="00450000">
        <w:rPr>
          <w:rFonts w:eastAsia="Arial Unicode MS" w:cs="Arial"/>
          <w:b/>
          <w:sz w:val="20"/>
          <w:lang w:val="en-GB"/>
        </w:rPr>
        <w:t xml:space="preserve">Gross reproduction rate </w:t>
      </w:r>
      <w:r w:rsidRPr="00450000">
        <w:rPr>
          <w:rFonts w:eastAsia="Arial Unicode MS" w:cs="Arial"/>
          <w:sz w:val="20"/>
          <w:lang w:val="en-GB"/>
        </w:rPr>
        <w:t>– the average number of live-born daughters that would be born to a woman provided that the age-spe</w:t>
      </w:r>
      <w:r w:rsidR="005A0034">
        <w:rPr>
          <w:rFonts w:eastAsia="Arial Unicode MS" w:cs="Arial"/>
          <w:sz w:val="20"/>
          <w:lang w:val="en-GB"/>
        </w:rPr>
        <w:t xml:space="preserve">cific fertility rates of the </w:t>
      </w:r>
      <w:r w:rsidRPr="00450000">
        <w:rPr>
          <w:rFonts w:eastAsia="Arial Unicode MS" w:cs="Arial"/>
          <w:sz w:val="20"/>
          <w:lang w:val="en-GB"/>
        </w:rPr>
        <w:t>reference year remained unchanged during her childbearing period (age 15–49 years).</w:t>
      </w:r>
    </w:p>
    <w:p w14:paraId="43CF649E" w14:textId="77D897DC" w:rsidR="00617E4C" w:rsidRPr="00450000" w:rsidRDefault="00450000" w:rsidP="004E26C8">
      <w:pPr>
        <w:spacing w:after="240" w:line="288" w:lineRule="auto"/>
        <w:rPr>
          <w:rFonts w:eastAsia="Arial Unicode MS" w:cs="Arial"/>
          <w:bCs w:val="0"/>
          <w:sz w:val="20"/>
          <w:lang w:val="en-GB"/>
        </w:rPr>
      </w:pPr>
      <w:r w:rsidRPr="00450000">
        <w:rPr>
          <w:rFonts w:eastAsia="Arial Unicode MS" w:cs="Arial"/>
          <w:b/>
          <w:bCs w:val="0"/>
          <w:sz w:val="20"/>
          <w:lang w:val="en-GB"/>
        </w:rPr>
        <w:t>Net reproduction rate</w:t>
      </w:r>
      <w:r w:rsidRPr="00450000">
        <w:rPr>
          <w:rFonts w:eastAsia="Arial Unicode MS" w:cs="Arial"/>
          <w:bCs w:val="0"/>
          <w:sz w:val="20"/>
          <w:lang w:val="en-GB"/>
        </w:rPr>
        <w:t xml:space="preserve"> – the average number of live-born daughters that would be born to a woman and live to the age of their mother at the time of the childbirth provided that the age-specific intensities </w:t>
      </w:r>
      <w:r w:rsidR="005A0034">
        <w:rPr>
          <w:rFonts w:eastAsia="Arial Unicode MS" w:cs="Arial"/>
          <w:bCs w:val="0"/>
          <w:sz w:val="20"/>
          <w:lang w:val="en-GB"/>
        </w:rPr>
        <w:t xml:space="preserve">of fertility and mortality of the </w:t>
      </w:r>
      <w:r w:rsidRPr="00450000">
        <w:rPr>
          <w:rFonts w:eastAsia="Arial Unicode MS" w:cs="Arial"/>
          <w:bCs w:val="0"/>
          <w:sz w:val="20"/>
          <w:lang w:val="en-GB"/>
        </w:rPr>
        <w:t xml:space="preserve">reference year remained unchanged during her childbearing period (age 15–49 years). </w:t>
      </w:r>
    </w:p>
    <w:p w14:paraId="067541EC" w14:textId="77777777" w:rsidR="005E6023" w:rsidRDefault="000A7435" w:rsidP="005E6023">
      <w:pPr>
        <w:spacing w:after="240" w:line="288" w:lineRule="auto"/>
        <w:rPr>
          <w:rFonts w:eastAsia="Arial Unicode MS" w:cs="Arial"/>
          <w:sz w:val="20"/>
          <w:lang w:val="en-GB"/>
        </w:rPr>
      </w:pPr>
      <w:r w:rsidRPr="00CC5DC3">
        <w:rPr>
          <w:rFonts w:cs="Arial"/>
          <w:b/>
          <w:bCs w:val="0"/>
          <w:sz w:val="20"/>
          <w:lang w:val="en-GB"/>
        </w:rPr>
        <w:t xml:space="preserve">Total pregnancies rate </w:t>
      </w:r>
      <w:r w:rsidRPr="003F1B5D">
        <w:rPr>
          <w:rFonts w:cs="Arial"/>
          <w:bCs w:val="0"/>
          <w:sz w:val="20"/>
          <w:lang w:val="en-GB"/>
        </w:rPr>
        <w:t>–</w:t>
      </w:r>
      <w:r w:rsidRPr="00CC5DC3">
        <w:rPr>
          <w:rFonts w:cs="Arial"/>
          <w:b/>
          <w:bCs w:val="0"/>
          <w:sz w:val="20"/>
          <w:lang w:val="en-GB"/>
        </w:rPr>
        <w:t xml:space="preserve"> </w:t>
      </w:r>
      <w:r w:rsidRPr="00CC5DC3">
        <w:rPr>
          <w:rFonts w:eastAsia="Arial Unicode MS" w:cs="Arial"/>
          <w:sz w:val="20"/>
          <w:lang w:val="en-GB"/>
        </w:rPr>
        <w:t xml:space="preserve">the average number of </w:t>
      </w:r>
      <w:r w:rsidR="00CC5DC3" w:rsidRPr="00CC5DC3">
        <w:rPr>
          <w:rFonts w:eastAsia="Arial Unicode MS" w:cs="Arial"/>
          <w:sz w:val="20"/>
          <w:lang w:val="en-GB"/>
        </w:rPr>
        <w:t xml:space="preserve">terminated </w:t>
      </w:r>
      <w:r w:rsidRPr="00CC5DC3">
        <w:rPr>
          <w:rFonts w:eastAsia="Arial Unicode MS" w:cs="Arial"/>
          <w:sz w:val="20"/>
          <w:lang w:val="en-GB"/>
        </w:rPr>
        <w:t xml:space="preserve">pregnancies that </w:t>
      </w:r>
      <w:r w:rsidR="00CC5DC3" w:rsidRPr="00CC5DC3">
        <w:rPr>
          <w:rFonts w:eastAsia="Arial Unicode MS" w:cs="Arial"/>
          <w:sz w:val="20"/>
          <w:lang w:val="en-GB"/>
        </w:rPr>
        <w:t xml:space="preserve">a woman </w:t>
      </w:r>
      <w:r w:rsidRPr="00CC5DC3">
        <w:rPr>
          <w:rFonts w:eastAsia="Arial Unicode MS" w:cs="Arial"/>
          <w:sz w:val="20"/>
          <w:lang w:val="en-GB"/>
        </w:rPr>
        <w:t xml:space="preserve">would have provided that age-specific </w:t>
      </w:r>
      <w:r w:rsidR="00CC5DC3" w:rsidRPr="00CC5DC3">
        <w:rPr>
          <w:rFonts w:eastAsia="Arial Unicode MS" w:cs="Arial"/>
          <w:sz w:val="20"/>
          <w:lang w:val="en-GB"/>
        </w:rPr>
        <w:t xml:space="preserve">rates of </w:t>
      </w:r>
      <w:r w:rsidRPr="00CC5DC3">
        <w:rPr>
          <w:rFonts w:eastAsia="Arial Unicode MS" w:cs="Arial"/>
          <w:sz w:val="20"/>
          <w:lang w:val="en-GB"/>
        </w:rPr>
        <w:t>fertility</w:t>
      </w:r>
      <w:r w:rsidR="00CC5DC3" w:rsidRPr="00CC5DC3">
        <w:rPr>
          <w:rFonts w:eastAsia="Arial Unicode MS" w:cs="Arial"/>
          <w:sz w:val="20"/>
          <w:lang w:val="en-GB"/>
        </w:rPr>
        <w:t>, stillbirth rate and abortion</w:t>
      </w:r>
      <w:r w:rsidR="005A0034">
        <w:rPr>
          <w:rFonts w:eastAsia="Arial Unicode MS" w:cs="Arial"/>
          <w:sz w:val="20"/>
          <w:lang w:val="en-GB"/>
        </w:rPr>
        <w:t xml:space="preserve"> of the </w:t>
      </w:r>
      <w:r w:rsidRPr="00CC5DC3">
        <w:rPr>
          <w:rFonts w:eastAsia="Arial Unicode MS" w:cs="Arial"/>
          <w:sz w:val="20"/>
          <w:lang w:val="en-GB"/>
        </w:rPr>
        <w:t>reference year remained unchanged during her childbearing period (age 15–49 years).</w:t>
      </w:r>
    </w:p>
    <w:p w14:paraId="20059156" w14:textId="77777777" w:rsidR="005E6023" w:rsidRDefault="005E6023" w:rsidP="005E6023">
      <w:pPr>
        <w:spacing w:after="120" w:line="288" w:lineRule="auto"/>
        <w:rPr>
          <w:rFonts w:eastAsia="Arial Unicode MS" w:cs="Arial"/>
          <w:b/>
          <w:bCs w:val="0"/>
          <w:sz w:val="24"/>
          <w:lang w:val="en-GB"/>
        </w:rPr>
      </w:pPr>
    </w:p>
    <w:p w14:paraId="2F09DCAE" w14:textId="77777777" w:rsidR="005E6023" w:rsidRDefault="005E6023" w:rsidP="005E6023">
      <w:pPr>
        <w:spacing w:after="120" w:line="288" w:lineRule="auto"/>
        <w:rPr>
          <w:rFonts w:eastAsia="Arial Unicode MS" w:cs="Arial"/>
          <w:b/>
          <w:bCs w:val="0"/>
          <w:sz w:val="24"/>
          <w:lang w:val="en-GB"/>
        </w:rPr>
      </w:pPr>
    </w:p>
    <w:p w14:paraId="19487C5F" w14:textId="77777777" w:rsidR="005E6023" w:rsidRDefault="005E6023" w:rsidP="005E6023">
      <w:pPr>
        <w:spacing w:after="120" w:line="288" w:lineRule="auto"/>
        <w:rPr>
          <w:rFonts w:eastAsia="Arial Unicode MS" w:cs="Arial"/>
          <w:b/>
          <w:bCs w:val="0"/>
          <w:sz w:val="24"/>
          <w:lang w:val="en-GB"/>
        </w:rPr>
      </w:pPr>
    </w:p>
    <w:p w14:paraId="37E0213B" w14:textId="2863D754" w:rsidR="005E6023" w:rsidRPr="005E6023" w:rsidRDefault="0008122B" w:rsidP="005E6023">
      <w:pPr>
        <w:spacing w:after="120" w:line="288" w:lineRule="auto"/>
        <w:rPr>
          <w:rFonts w:eastAsia="Arial Unicode MS" w:cs="Arial"/>
          <w:sz w:val="20"/>
          <w:lang w:val="en-GB"/>
        </w:rPr>
      </w:pPr>
      <w:r w:rsidRPr="00B720F3">
        <w:rPr>
          <w:rFonts w:eastAsia="Arial Unicode MS" w:cs="Arial"/>
          <w:b/>
          <w:bCs w:val="0"/>
          <w:sz w:val="24"/>
          <w:lang w:val="en-GB"/>
        </w:rPr>
        <w:lastRenderedPageBreak/>
        <w:t>Methodological notes on data on abortions</w:t>
      </w:r>
    </w:p>
    <w:p w14:paraId="183A2C59" w14:textId="3ADFD44B" w:rsidR="00B720F3" w:rsidRPr="005E6023" w:rsidRDefault="00B720F3" w:rsidP="005E6023">
      <w:pPr>
        <w:spacing w:after="120" w:line="288" w:lineRule="auto"/>
        <w:rPr>
          <w:rFonts w:eastAsia="Arial Unicode MS" w:cs="Arial"/>
          <w:b/>
          <w:bCs w:val="0"/>
          <w:sz w:val="24"/>
          <w:lang w:val="en-GB"/>
        </w:rPr>
      </w:pPr>
      <w:r w:rsidRPr="00B720F3">
        <w:rPr>
          <w:rFonts w:cs="Arial"/>
          <w:bCs w:val="0"/>
          <w:sz w:val="20"/>
          <w:lang w:val="en-GB"/>
        </w:rPr>
        <w:t>Abortion statistics has been kept in Czechoslovakia since 1953</w:t>
      </w:r>
      <w:r w:rsidRPr="00B720F3">
        <w:rPr>
          <w:rFonts w:cs="Arial"/>
          <w:bCs w:val="0"/>
          <w:sz w:val="20"/>
          <w:vertAlign w:val="superscript"/>
          <w:lang w:val="en-GB"/>
        </w:rPr>
        <w:footnoteReference w:id="2"/>
      </w:r>
      <w:r w:rsidRPr="00B720F3">
        <w:rPr>
          <w:rFonts w:cs="Arial"/>
          <w:bCs w:val="0"/>
          <w:sz w:val="20"/>
          <w:lang w:val="en-GB"/>
        </w:rPr>
        <w:t xml:space="preserve">, and detailed statistics (broken down by all types of abortions: legally induced, spontaneous and other) have been kept since 1958 in connection with the entry into force of </w:t>
      </w:r>
      <w:r w:rsidR="00580446">
        <w:rPr>
          <w:rFonts w:cs="Arial"/>
          <w:bCs w:val="0"/>
          <w:sz w:val="20"/>
          <w:lang w:val="en-GB"/>
        </w:rPr>
        <w:t xml:space="preserve">the </w:t>
      </w:r>
      <w:r w:rsidRPr="00B720F3">
        <w:rPr>
          <w:rFonts w:cs="Arial"/>
          <w:bCs w:val="0"/>
          <w:sz w:val="20"/>
          <w:lang w:val="en-GB"/>
        </w:rPr>
        <w:t xml:space="preserve">Act No 68/1957 Sb, on Induced </w:t>
      </w:r>
      <w:r w:rsidR="00C02C77">
        <w:rPr>
          <w:rFonts w:cs="Arial"/>
          <w:bCs w:val="0"/>
          <w:sz w:val="20"/>
          <w:lang w:val="en-GB"/>
        </w:rPr>
        <w:t>T</w:t>
      </w:r>
      <w:r w:rsidRPr="00B720F3">
        <w:rPr>
          <w:rFonts w:cs="Arial"/>
          <w:bCs w:val="0"/>
          <w:sz w:val="20"/>
          <w:lang w:val="en-GB"/>
        </w:rPr>
        <w:t xml:space="preserve">ermination of </w:t>
      </w:r>
      <w:r w:rsidR="00C02C77">
        <w:rPr>
          <w:rFonts w:cs="Arial"/>
          <w:bCs w:val="0"/>
          <w:sz w:val="20"/>
          <w:lang w:val="en-GB"/>
        </w:rPr>
        <w:t>P</w:t>
      </w:r>
      <w:r w:rsidRPr="00B720F3">
        <w:rPr>
          <w:rFonts w:cs="Arial"/>
          <w:bCs w:val="0"/>
          <w:sz w:val="20"/>
          <w:lang w:val="en-GB"/>
        </w:rPr>
        <w:t xml:space="preserve">regnancy. </w:t>
      </w:r>
      <w:r w:rsidR="009D6F15">
        <w:rPr>
          <w:rFonts w:cs="Arial"/>
          <w:bCs w:val="0"/>
          <w:sz w:val="20"/>
          <w:lang w:val="en-GB"/>
        </w:rPr>
        <w:t>Over the years, t</w:t>
      </w:r>
      <w:r w:rsidRPr="00B720F3">
        <w:rPr>
          <w:rFonts w:cs="Arial"/>
          <w:bCs w:val="0"/>
          <w:sz w:val="20"/>
          <w:lang w:val="en-GB"/>
        </w:rPr>
        <w:t>he definition of abortion has changed:</w:t>
      </w:r>
    </w:p>
    <w:p w14:paraId="54A1A967" w14:textId="49C4229C" w:rsidR="00F81E0F" w:rsidRPr="00AC50EC" w:rsidRDefault="00637A07" w:rsidP="00123F2B">
      <w:pPr>
        <w:pStyle w:val="Odstavecseseznamem"/>
        <w:numPr>
          <w:ilvl w:val="0"/>
          <w:numId w:val="6"/>
        </w:numPr>
        <w:spacing w:after="240" w:line="288" w:lineRule="auto"/>
        <w:rPr>
          <w:rFonts w:cs="Arial"/>
          <w:bCs w:val="0"/>
          <w:sz w:val="20"/>
          <w:lang w:val="en-GB"/>
        </w:rPr>
      </w:pPr>
      <w:r>
        <w:rPr>
          <w:rFonts w:cs="Arial"/>
          <w:bCs w:val="0"/>
          <w:sz w:val="20"/>
          <w:lang w:val="en-GB"/>
        </w:rPr>
        <w:t>Until 1964</w:t>
      </w:r>
      <w:r w:rsidR="00F81E0F" w:rsidRPr="00AC50EC">
        <w:rPr>
          <w:rFonts w:cs="Arial"/>
          <w:bCs w:val="0"/>
          <w:sz w:val="20"/>
          <w:lang w:val="en-GB"/>
        </w:rPr>
        <w:t xml:space="preserve"> all foetuses which could not be considered </w:t>
      </w:r>
      <w:r w:rsidR="002C445B">
        <w:rPr>
          <w:rFonts w:cs="Arial"/>
          <w:bCs w:val="0"/>
          <w:sz w:val="20"/>
          <w:lang w:val="en-GB"/>
        </w:rPr>
        <w:t xml:space="preserve">to be </w:t>
      </w:r>
      <w:r w:rsidR="00F81E0F" w:rsidRPr="00AC50EC">
        <w:rPr>
          <w:rFonts w:cs="Arial"/>
          <w:bCs w:val="0"/>
          <w:sz w:val="20"/>
          <w:lang w:val="en-GB"/>
        </w:rPr>
        <w:t>children according to</w:t>
      </w:r>
      <w:r w:rsidR="00AC50EC" w:rsidRPr="00AC50EC">
        <w:rPr>
          <w:rFonts w:cs="Arial"/>
          <w:bCs w:val="0"/>
          <w:sz w:val="20"/>
          <w:lang w:val="en-GB"/>
        </w:rPr>
        <w:t xml:space="preserve"> </w:t>
      </w:r>
      <w:r w:rsidR="003F1B5D">
        <w:rPr>
          <w:rFonts w:cs="Arial"/>
          <w:bCs w:val="0"/>
          <w:sz w:val="20"/>
          <w:lang w:val="en-GB"/>
        </w:rPr>
        <w:t xml:space="preserve">the </w:t>
      </w:r>
      <w:r w:rsidR="00AC50EC" w:rsidRPr="00421F96">
        <w:rPr>
          <w:rFonts w:cs="Arial"/>
          <w:bCs w:val="0"/>
          <w:sz w:val="20"/>
          <w:lang w:val="en-GB"/>
        </w:rPr>
        <w:t>national</w:t>
      </w:r>
      <w:r w:rsidR="00B716B4">
        <w:rPr>
          <w:rFonts w:cs="Arial"/>
          <w:bCs w:val="0"/>
          <w:sz w:val="20"/>
          <w:lang w:val="en-GB"/>
        </w:rPr>
        <w:t xml:space="preserve"> definition effective at the t</w:t>
      </w:r>
      <w:r w:rsidR="00AC50EC" w:rsidRPr="00AC50EC">
        <w:rPr>
          <w:rFonts w:cs="Arial"/>
          <w:bCs w:val="0"/>
          <w:sz w:val="20"/>
          <w:lang w:val="en-GB"/>
        </w:rPr>
        <w:t>ime were considered to be abortions</w:t>
      </w:r>
      <w:r w:rsidR="00F81E0F" w:rsidRPr="00AC50EC">
        <w:rPr>
          <w:rFonts w:cs="Arial"/>
          <w:bCs w:val="0"/>
          <w:sz w:val="20"/>
          <w:lang w:val="en-GB"/>
        </w:rPr>
        <w:t>.</w:t>
      </w:r>
    </w:p>
    <w:p w14:paraId="2961EC5A" w14:textId="31075F3D" w:rsidR="00821C7B" w:rsidRPr="00821C7B" w:rsidRDefault="00821C7B" w:rsidP="00123F2B">
      <w:pPr>
        <w:pStyle w:val="Odstavecseseznamem"/>
        <w:numPr>
          <w:ilvl w:val="0"/>
          <w:numId w:val="6"/>
        </w:numPr>
        <w:spacing w:after="240" w:line="288" w:lineRule="auto"/>
        <w:rPr>
          <w:rFonts w:cs="Arial"/>
          <w:bCs w:val="0"/>
          <w:sz w:val="20"/>
          <w:lang w:val="en-GB"/>
        </w:rPr>
      </w:pPr>
      <w:r w:rsidRPr="00821C7B">
        <w:rPr>
          <w:rFonts w:cs="Arial"/>
          <w:bCs w:val="0"/>
          <w:sz w:val="20"/>
          <w:lang w:val="en-GB"/>
        </w:rPr>
        <w:t xml:space="preserve">In the period from 1 January 1965 to 29 February 1988, according to the internationally recommended definitions </w:t>
      </w:r>
      <w:r w:rsidR="00696777">
        <w:rPr>
          <w:rFonts w:cs="Arial"/>
          <w:bCs w:val="0"/>
          <w:sz w:val="20"/>
          <w:lang w:val="en-GB"/>
        </w:rPr>
        <w:t xml:space="preserve">of </w:t>
      </w:r>
      <w:r w:rsidRPr="00821C7B">
        <w:rPr>
          <w:rFonts w:cs="Arial"/>
          <w:bCs w:val="0"/>
          <w:sz w:val="20"/>
          <w:lang w:val="en-GB"/>
        </w:rPr>
        <w:t>a child</w:t>
      </w:r>
      <w:r w:rsidR="00696777">
        <w:rPr>
          <w:rFonts w:cs="Arial"/>
          <w:bCs w:val="0"/>
          <w:sz w:val="20"/>
          <w:lang w:val="en-GB"/>
        </w:rPr>
        <w:t>,</w:t>
      </w:r>
      <w:r w:rsidRPr="00821C7B">
        <w:rPr>
          <w:rFonts w:cs="Arial"/>
          <w:bCs w:val="0"/>
          <w:sz w:val="20"/>
          <w:lang w:val="en-GB"/>
        </w:rPr>
        <w:t xml:space="preserve"> an abortion was every stillborn foetus born before the 28th week of pregnancy, or when the duration of pregnancy c</w:t>
      </w:r>
      <w:r>
        <w:rPr>
          <w:rFonts w:cs="Arial"/>
          <w:bCs w:val="0"/>
          <w:sz w:val="20"/>
          <w:lang w:val="en-GB"/>
        </w:rPr>
        <w:t xml:space="preserve">ould not </w:t>
      </w:r>
      <w:r w:rsidRPr="00821C7B">
        <w:rPr>
          <w:rFonts w:cs="Arial"/>
          <w:bCs w:val="0"/>
          <w:sz w:val="20"/>
          <w:lang w:val="en-GB"/>
        </w:rPr>
        <w:t>be determined a foetus</w:t>
      </w:r>
      <w:r>
        <w:rPr>
          <w:rFonts w:cs="Arial"/>
          <w:bCs w:val="0"/>
          <w:sz w:val="20"/>
          <w:lang w:val="en-GB"/>
        </w:rPr>
        <w:t xml:space="preserve"> weighed less than 1,</w:t>
      </w:r>
      <w:r w:rsidRPr="00821C7B">
        <w:rPr>
          <w:rFonts w:cs="Arial"/>
          <w:bCs w:val="0"/>
          <w:sz w:val="20"/>
          <w:lang w:val="en-GB"/>
        </w:rPr>
        <w:t>000 g.</w:t>
      </w:r>
    </w:p>
    <w:p w14:paraId="7CAC7F5A" w14:textId="1CAA251A" w:rsidR="00AC50EC" w:rsidRPr="00584A8D" w:rsidRDefault="00441B4F" w:rsidP="00123F2B">
      <w:pPr>
        <w:pStyle w:val="Odstavecseseznamem"/>
        <w:numPr>
          <w:ilvl w:val="0"/>
          <w:numId w:val="6"/>
        </w:numPr>
        <w:spacing w:after="240" w:line="288" w:lineRule="auto"/>
        <w:rPr>
          <w:rFonts w:cs="Arial"/>
          <w:bCs w:val="0"/>
          <w:sz w:val="20"/>
          <w:lang w:val="en-GB"/>
        </w:rPr>
      </w:pPr>
      <w:r w:rsidRPr="00584A8D">
        <w:rPr>
          <w:rFonts w:cs="Arial"/>
          <w:bCs w:val="0"/>
          <w:sz w:val="20"/>
          <w:lang w:val="en-GB"/>
        </w:rPr>
        <w:t>From 1 March 1988</w:t>
      </w:r>
      <w:r w:rsidR="006E700F">
        <w:rPr>
          <w:rFonts w:cs="Arial"/>
          <w:bCs w:val="0"/>
          <w:sz w:val="20"/>
          <w:lang w:val="en-GB"/>
        </w:rPr>
        <w:t xml:space="preserve"> </w:t>
      </w:r>
      <w:r w:rsidR="006E700F" w:rsidRPr="005E402A">
        <w:rPr>
          <w:rFonts w:eastAsia="Arial Unicode MS" w:cs="Arial"/>
          <w:bCs w:val="0"/>
          <w:sz w:val="20"/>
          <w:lang w:val="en-GB"/>
        </w:rPr>
        <w:t>to 31 March 2012</w:t>
      </w:r>
      <w:r w:rsidRPr="00584A8D">
        <w:rPr>
          <w:rFonts w:cs="Arial"/>
          <w:bCs w:val="0"/>
          <w:sz w:val="20"/>
          <w:lang w:val="en-GB"/>
        </w:rPr>
        <w:t xml:space="preserve">, the definitions of abortion were </w:t>
      </w:r>
      <w:r w:rsidR="003F1B5D">
        <w:rPr>
          <w:rFonts w:cs="Arial"/>
          <w:bCs w:val="0"/>
          <w:sz w:val="20"/>
          <w:lang w:val="en-GB"/>
        </w:rPr>
        <w:t>defined by</w:t>
      </w:r>
      <w:r w:rsidRPr="00584A8D">
        <w:rPr>
          <w:rFonts w:cs="Arial"/>
          <w:bCs w:val="0"/>
          <w:sz w:val="20"/>
          <w:lang w:val="en-GB"/>
        </w:rPr>
        <w:t xml:space="preserve"> the Decree of the M</w:t>
      </w:r>
      <w:r w:rsidR="003F1B5D">
        <w:rPr>
          <w:rFonts w:cs="Arial"/>
          <w:bCs w:val="0"/>
          <w:sz w:val="20"/>
          <w:lang w:val="en-GB"/>
        </w:rPr>
        <w:t>inistry of Health No 11/1988 Sb</w:t>
      </w:r>
      <w:r w:rsidRPr="00584A8D">
        <w:rPr>
          <w:rFonts w:cs="Arial"/>
          <w:bCs w:val="0"/>
          <w:sz w:val="20"/>
          <w:lang w:val="en-GB"/>
        </w:rPr>
        <w:t>, on</w:t>
      </w:r>
      <w:r w:rsidR="00584A8D" w:rsidRPr="00584A8D">
        <w:rPr>
          <w:lang w:val="en-GB"/>
        </w:rPr>
        <w:t xml:space="preserve"> </w:t>
      </w:r>
      <w:r w:rsidR="00C02C77">
        <w:rPr>
          <w:rFonts w:cs="Arial"/>
          <w:bCs w:val="0"/>
          <w:sz w:val="20"/>
          <w:lang w:val="en-GB"/>
        </w:rPr>
        <w:t>M</w:t>
      </w:r>
      <w:r w:rsidR="00584A8D" w:rsidRPr="00584A8D">
        <w:rPr>
          <w:rFonts w:cs="Arial"/>
          <w:bCs w:val="0"/>
          <w:sz w:val="20"/>
          <w:lang w:val="en-GB"/>
        </w:rPr>
        <w:t xml:space="preserve">andatory </w:t>
      </w:r>
      <w:r w:rsidR="00C02C77">
        <w:rPr>
          <w:rFonts w:cs="Arial"/>
          <w:bCs w:val="0"/>
          <w:sz w:val="20"/>
          <w:lang w:val="en-GB"/>
        </w:rPr>
        <w:t>N</w:t>
      </w:r>
      <w:r w:rsidR="00584A8D" w:rsidRPr="00584A8D">
        <w:rPr>
          <w:rFonts w:cs="Arial"/>
          <w:bCs w:val="0"/>
          <w:sz w:val="20"/>
          <w:lang w:val="en-GB"/>
        </w:rPr>
        <w:t xml:space="preserve">otifications of </w:t>
      </w:r>
      <w:r w:rsidR="00C02C77">
        <w:rPr>
          <w:rFonts w:cs="Arial"/>
          <w:bCs w:val="0"/>
          <w:sz w:val="20"/>
          <w:lang w:val="en-GB"/>
        </w:rPr>
        <w:t>T</w:t>
      </w:r>
      <w:r w:rsidR="00584A8D" w:rsidRPr="00584A8D">
        <w:rPr>
          <w:rFonts w:cs="Arial"/>
          <w:bCs w:val="0"/>
          <w:sz w:val="20"/>
          <w:lang w:val="en-GB"/>
        </w:rPr>
        <w:t xml:space="preserve">erminated </w:t>
      </w:r>
      <w:r w:rsidR="00C02C77">
        <w:rPr>
          <w:rFonts w:cs="Arial"/>
          <w:bCs w:val="0"/>
          <w:sz w:val="20"/>
          <w:lang w:val="en-GB"/>
        </w:rPr>
        <w:t>P</w:t>
      </w:r>
      <w:r w:rsidR="00584A8D" w:rsidRPr="00584A8D">
        <w:rPr>
          <w:rFonts w:cs="Arial"/>
          <w:bCs w:val="0"/>
          <w:sz w:val="20"/>
          <w:lang w:val="en-GB"/>
        </w:rPr>
        <w:t xml:space="preserve">regnancies, </w:t>
      </w:r>
      <w:r w:rsidR="00C02C77">
        <w:rPr>
          <w:rFonts w:cs="Arial"/>
          <w:bCs w:val="0"/>
          <w:sz w:val="20"/>
          <w:lang w:val="en-GB"/>
        </w:rPr>
        <w:t>D</w:t>
      </w:r>
      <w:r w:rsidR="00584A8D" w:rsidRPr="00584A8D">
        <w:rPr>
          <w:rFonts w:cs="Arial"/>
          <w:bCs w:val="0"/>
          <w:sz w:val="20"/>
          <w:lang w:val="en-GB"/>
        </w:rPr>
        <w:t xml:space="preserve">eath of a </w:t>
      </w:r>
      <w:r w:rsidR="00C02C77">
        <w:rPr>
          <w:rFonts w:cs="Arial"/>
          <w:bCs w:val="0"/>
          <w:sz w:val="20"/>
          <w:lang w:val="en-GB"/>
        </w:rPr>
        <w:t>C</w:t>
      </w:r>
      <w:r w:rsidR="00584A8D" w:rsidRPr="00584A8D">
        <w:rPr>
          <w:rFonts w:cs="Arial"/>
          <w:bCs w:val="0"/>
          <w:sz w:val="20"/>
          <w:lang w:val="en-GB"/>
        </w:rPr>
        <w:t xml:space="preserve">hild, and </w:t>
      </w:r>
      <w:r w:rsidR="00C02C77">
        <w:rPr>
          <w:rFonts w:cs="Arial"/>
          <w:bCs w:val="0"/>
          <w:sz w:val="20"/>
          <w:lang w:val="en-GB"/>
        </w:rPr>
        <w:t>D</w:t>
      </w:r>
      <w:r w:rsidR="00584A8D" w:rsidRPr="00584A8D">
        <w:rPr>
          <w:rFonts w:cs="Arial"/>
          <w:bCs w:val="0"/>
          <w:sz w:val="20"/>
          <w:lang w:val="en-GB"/>
        </w:rPr>
        <w:t xml:space="preserve">eath of the </w:t>
      </w:r>
      <w:r w:rsidR="00C02C77">
        <w:rPr>
          <w:rFonts w:cs="Arial"/>
          <w:bCs w:val="0"/>
          <w:sz w:val="20"/>
          <w:lang w:val="en-GB"/>
        </w:rPr>
        <w:t>M</w:t>
      </w:r>
      <w:r w:rsidR="00584A8D" w:rsidRPr="00584A8D">
        <w:rPr>
          <w:rFonts w:cs="Arial"/>
          <w:bCs w:val="0"/>
          <w:sz w:val="20"/>
          <w:lang w:val="en-GB"/>
        </w:rPr>
        <w:t>other</w:t>
      </w:r>
      <w:r w:rsidRPr="00584A8D">
        <w:rPr>
          <w:rFonts w:cs="Arial"/>
          <w:bCs w:val="0"/>
          <w:sz w:val="20"/>
          <w:lang w:val="en-GB"/>
        </w:rPr>
        <w:t>.</w:t>
      </w:r>
      <w:r w:rsidR="00584A8D" w:rsidRPr="00584A8D">
        <w:rPr>
          <w:rFonts w:cs="Arial"/>
          <w:bCs w:val="0"/>
          <w:sz w:val="20"/>
          <w:lang w:val="en-GB"/>
        </w:rPr>
        <w:t xml:space="preserve"> An abortion was understood as the termination of a pregnancy of a woman, at which: a) the foetus showed no evidence of life a</w:t>
      </w:r>
      <w:r w:rsidR="003F1B5D">
        <w:rPr>
          <w:rFonts w:cs="Arial"/>
          <w:bCs w:val="0"/>
          <w:sz w:val="20"/>
          <w:lang w:val="en-GB"/>
        </w:rPr>
        <w:t>nd its birth weight was below 1,</w:t>
      </w:r>
      <w:r w:rsidR="00584A8D" w:rsidRPr="00584A8D">
        <w:rPr>
          <w:rFonts w:cs="Arial"/>
          <w:bCs w:val="0"/>
          <w:sz w:val="20"/>
          <w:lang w:val="en-GB"/>
        </w:rPr>
        <w:t>000 g</w:t>
      </w:r>
      <w:r w:rsidR="00637A07">
        <w:rPr>
          <w:rFonts w:cs="Arial"/>
          <w:bCs w:val="0"/>
          <w:sz w:val="20"/>
          <w:lang w:val="en-GB"/>
        </w:rPr>
        <w:t>,</w:t>
      </w:r>
      <w:r w:rsidR="00584A8D" w:rsidRPr="00584A8D">
        <w:rPr>
          <w:rFonts w:cs="Arial"/>
          <w:bCs w:val="0"/>
          <w:sz w:val="20"/>
          <w:lang w:val="en-GB"/>
        </w:rPr>
        <w:t xml:space="preserve"> and in </w:t>
      </w:r>
      <w:r w:rsidR="003F1B5D">
        <w:rPr>
          <w:rFonts w:cs="Arial"/>
          <w:bCs w:val="0"/>
          <w:sz w:val="20"/>
          <w:lang w:val="en-GB"/>
        </w:rPr>
        <w:t xml:space="preserve">the </w:t>
      </w:r>
      <w:r w:rsidR="00584A8D" w:rsidRPr="00584A8D">
        <w:rPr>
          <w:rFonts w:cs="Arial"/>
          <w:bCs w:val="0"/>
          <w:sz w:val="20"/>
          <w:lang w:val="en-GB"/>
        </w:rPr>
        <w:t>case the weight could not be measured if the pregnancy lasted less than 28 weeks; b) the foetus showed at least one evidence of life and its birth weight was below 500 g, but it did not survive the first 24 hours after birth; c) the foetal egg without a foetus or decidua was removed out of the mother’s uterus.</w:t>
      </w:r>
    </w:p>
    <w:p w14:paraId="207DFB43" w14:textId="465E08A6" w:rsidR="00584A8D" w:rsidRPr="00584A8D" w:rsidRDefault="00584A8D" w:rsidP="004E26C8">
      <w:pPr>
        <w:pStyle w:val="Odstavecseseznamem"/>
        <w:numPr>
          <w:ilvl w:val="0"/>
          <w:numId w:val="6"/>
        </w:numPr>
        <w:spacing w:after="160" w:line="288" w:lineRule="auto"/>
        <w:ind w:left="714" w:hanging="357"/>
        <w:rPr>
          <w:rFonts w:cs="Arial"/>
          <w:bCs w:val="0"/>
          <w:sz w:val="20"/>
          <w:lang w:val="en-GB"/>
        </w:rPr>
      </w:pPr>
      <w:r w:rsidRPr="00584A8D">
        <w:rPr>
          <w:rFonts w:cs="Arial"/>
          <w:bCs w:val="0"/>
          <w:sz w:val="20"/>
          <w:lang w:val="en-GB"/>
        </w:rPr>
        <w:t xml:space="preserve">As of 1 April 2012, the Decree No 11/1988 Sb was repealed by the Act No 372/2011 Sb, on Health </w:t>
      </w:r>
      <w:r w:rsidR="00C02C77">
        <w:rPr>
          <w:rFonts w:cs="Arial"/>
          <w:bCs w:val="0"/>
          <w:sz w:val="20"/>
          <w:lang w:val="en-GB"/>
        </w:rPr>
        <w:t>S</w:t>
      </w:r>
      <w:r w:rsidR="00904BF4" w:rsidRPr="00584A8D">
        <w:rPr>
          <w:rFonts w:cs="Arial"/>
          <w:bCs w:val="0"/>
          <w:sz w:val="20"/>
          <w:lang w:val="en-GB"/>
        </w:rPr>
        <w:t>ervices</w:t>
      </w:r>
      <w:r w:rsidRPr="00584A8D">
        <w:rPr>
          <w:rFonts w:cs="Arial"/>
          <w:bCs w:val="0"/>
          <w:sz w:val="20"/>
          <w:lang w:val="en-GB"/>
        </w:rPr>
        <w:t>. This current legislation defines a foetus after abortion that is a foetus, which after the complete expulsion or extraction from its mother shows no evidence of life and at the same time its birth weight is lower than 500 g and provided that the weight cannot be measured if the pregnancy lasted less than 22 weeks.</w:t>
      </w:r>
    </w:p>
    <w:p w14:paraId="42DF2AD8" w14:textId="3B55D5E1" w:rsidR="00584A8D" w:rsidRPr="00EF4AC0" w:rsidRDefault="00367487" w:rsidP="005E6023">
      <w:pPr>
        <w:spacing w:after="240" w:line="288" w:lineRule="auto"/>
        <w:rPr>
          <w:rFonts w:cs="Arial"/>
          <w:bCs w:val="0"/>
          <w:sz w:val="20"/>
          <w:lang w:val="en-GB"/>
        </w:rPr>
      </w:pPr>
      <w:r w:rsidRPr="00367487">
        <w:rPr>
          <w:rFonts w:cs="Arial"/>
          <w:bCs w:val="0"/>
          <w:sz w:val="20"/>
          <w:lang w:val="en-GB"/>
        </w:rPr>
        <w:t>Abortion also</w:t>
      </w:r>
      <w:r w:rsidR="00DB0C35">
        <w:rPr>
          <w:rFonts w:cs="Arial"/>
          <w:bCs w:val="0"/>
          <w:sz w:val="20"/>
          <w:lang w:val="en-GB"/>
        </w:rPr>
        <w:t xml:space="preserve"> means</w:t>
      </w:r>
      <w:r w:rsidRPr="00367487">
        <w:rPr>
          <w:rFonts w:cs="Arial"/>
          <w:bCs w:val="0"/>
          <w:sz w:val="20"/>
          <w:lang w:val="en-GB"/>
        </w:rPr>
        <w:t xml:space="preserve"> </w:t>
      </w:r>
      <w:r w:rsidR="005E79C9">
        <w:rPr>
          <w:rFonts w:cs="Arial"/>
          <w:bCs w:val="0"/>
          <w:sz w:val="20"/>
          <w:lang w:val="en-GB"/>
        </w:rPr>
        <w:t xml:space="preserve">the </w:t>
      </w:r>
      <w:r w:rsidRPr="00367487">
        <w:rPr>
          <w:rFonts w:cs="Arial"/>
          <w:bCs w:val="0"/>
          <w:sz w:val="20"/>
          <w:lang w:val="en-GB"/>
        </w:rPr>
        <w:t>termination of an ectopic pregnancy or a legally induced abortion performed in accordance with special regulations.</w:t>
      </w:r>
      <w:r w:rsidRPr="00367487">
        <w:t xml:space="preserve"> </w:t>
      </w:r>
      <w:r w:rsidRPr="00367487">
        <w:rPr>
          <w:rFonts w:cs="Arial"/>
          <w:bCs w:val="0"/>
          <w:sz w:val="20"/>
          <w:lang w:val="en-GB"/>
        </w:rPr>
        <w:t>In</w:t>
      </w:r>
      <w:r w:rsidR="005E79C9">
        <w:rPr>
          <w:rFonts w:cs="Arial"/>
          <w:bCs w:val="0"/>
          <w:sz w:val="20"/>
          <w:lang w:val="en-GB"/>
        </w:rPr>
        <w:t xml:space="preserve"> the period </w:t>
      </w:r>
      <w:r w:rsidR="0015075E">
        <w:rPr>
          <w:rFonts w:cs="Arial"/>
          <w:bCs w:val="0"/>
          <w:sz w:val="20"/>
          <w:lang w:val="en-GB"/>
        </w:rPr>
        <w:t xml:space="preserve">from 1958 to </w:t>
      </w:r>
      <w:r w:rsidRPr="00367487">
        <w:rPr>
          <w:rFonts w:cs="Arial"/>
          <w:bCs w:val="0"/>
          <w:sz w:val="20"/>
          <w:lang w:val="en-GB"/>
        </w:rPr>
        <w:t>1986</w:t>
      </w:r>
      <w:r w:rsidR="000014C8">
        <w:rPr>
          <w:rFonts w:cs="Arial"/>
          <w:bCs w:val="0"/>
          <w:sz w:val="20"/>
          <w:lang w:val="en-GB"/>
        </w:rPr>
        <w:t>,</w:t>
      </w:r>
      <w:r w:rsidRPr="00367487">
        <w:rPr>
          <w:rFonts w:cs="Arial"/>
          <w:bCs w:val="0"/>
          <w:sz w:val="20"/>
          <w:lang w:val="en-GB"/>
        </w:rPr>
        <w:t xml:space="preserve"> ectopic pregnancies were not registered. </w:t>
      </w:r>
      <w:r>
        <w:rPr>
          <w:rFonts w:cs="Arial"/>
          <w:bCs w:val="0"/>
          <w:sz w:val="20"/>
          <w:lang w:val="en-GB"/>
        </w:rPr>
        <w:t xml:space="preserve">Since </w:t>
      </w:r>
      <w:r w:rsidRPr="00367487">
        <w:rPr>
          <w:rFonts w:cs="Arial"/>
          <w:bCs w:val="0"/>
          <w:sz w:val="20"/>
          <w:lang w:val="en-GB"/>
        </w:rPr>
        <w:t xml:space="preserve">1987 </w:t>
      </w:r>
      <w:r w:rsidR="00494DAA">
        <w:rPr>
          <w:rFonts w:cs="Arial"/>
          <w:bCs w:val="0"/>
          <w:sz w:val="20"/>
          <w:lang w:val="en-GB"/>
        </w:rPr>
        <w:t>ectopic pregnancies have been registered</w:t>
      </w:r>
      <w:r w:rsidRPr="00367487">
        <w:rPr>
          <w:rFonts w:cs="Arial"/>
          <w:bCs w:val="0"/>
          <w:sz w:val="20"/>
          <w:lang w:val="en-GB"/>
        </w:rPr>
        <w:t xml:space="preserve">, from 1988 to 1991 </w:t>
      </w:r>
      <w:r w:rsidR="000014C8">
        <w:rPr>
          <w:rFonts w:cs="Arial"/>
          <w:bCs w:val="0"/>
          <w:sz w:val="20"/>
          <w:lang w:val="en-GB"/>
        </w:rPr>
        <w:t>they were included in</w:t>
      </w:r>
      <w:r w:rsidR="00494DAA">
        <w:rPr>
          <w:rFonts w:cs="Arial"/>
          <w:bCs w:val="0"/>
          <w:sz w:val="20"/>
          <w:lang w:val="en-GB"/>
        </w:rPr>
        <w:t xml:space="preserve"> </w:t>
      </w:r>
      <w:r w:rsidR="005E79C9">
        <w:rPr>
          <w:rFonts w:cs="Arial"/>
          <w:bCs w:val="0"/>
          <w:sz w:val="20"/>
          <w:lang w:val="en-GB"/>
        </w:rPr>
        <w:t xml:space="preserve">the </w:t>
      </w:r>
      <w:r w:rsidR="00494DAA">
        <w:rPr>
          <w:rFonts w:cs="Arial"/>
          <w:bCs w:val="0"/>
          <w:sz w:val="20"/>
          <w:lang w:val="en-GB"/>
        </w:rPr>
        <w:t xml:space="preserve">category (and the number) of </w:t>
      </w:r>
      <w:r w:rsidR="00494DAA" w:rsidRPr="00EF4AC0">
        <w:rPr>
          <w:rFonts w:cs="Arial"/>
          <w:bCs w:val="0"/>
          <w:sz w:val="20"/>
          <w:lang w:val="en-GB"/>
        </w:rPr>
        <w:t xml:space="preserve">legally </w:t>
      </w:r>
      <w:r w:rsidRPr="00EF4AC0">
        <w:rPr>
          <w:rFonts w:cs="Arial"/>
          <w:bCs w:val="0"/>
          <w:sz w:val="20"/>
          <w:lang w:val="en-GB"/>
        </w:rPr>
        <w:t xml:space="preserve">induced abortions, since 1992 </w:t>
      </w:r>
      <w:r w:rsidR="00494DAA" w:rsidRPr="00EF4AC0">
        <w:rPr>
          <w:rFonts w:cs="Arial"/>
          <w:bCs w:val="0"/>
          <w:sz w:val="20"/>
          <w:lang w:val="en-GB"/>
        </w:rPr>
        <w:t xml:space="preserve">they have been included </w:t>
      </w:r>
      <w:r w:rsidRPr="00EF4AC0">
        <w:rPr>
          <w:rFonts w:cs="Arial"/>
          <w:bCs w:val="0"/>
          <w:sz w:val="20"/>
          <w:lang w:val="en-GB"/>
        </w:rPr>
        <w:t>in the category of other abortions.</w:t>
      </w:r>
    </w:p>
    <w:p w14:paraId="7381DF11" w14:textId="54395B03" w:rsidR="003858C5" w:rsidRPr="00EF4AC0" w:rsidRDefault="003858C5" w:rsidP="004E26C8">
      <w:pPr>
        <w:spacing w:after="240" w:line="288" w:lineRule="auto"/>
        <w:rPr>
          <w:rFonts w:cs="Arial"/>
          <w:b/>
          <w:sz w:val="20"/>
          <w:lang w:val="en-GB"/>
        </w:rPr>
      </w:pPr>
      <w:r w:rsidRPr="00EF4AC0">
        <w:rPr>
          <w:rFonts w:cs="Arial"/>
          <w:b/>
          <w:sz w:val="20"/>
          <w:lang w:val="en-GB"/>
        </w:rPr>
        <w:t xml:space="preserve">Total abortion rate </w:t>
      </w:r>
      <w:r w:rsidRPr="00EF4AC0">
        <w:rPr>
          <w:rFonts w:cs="Arial"/>
          <w:sz w:val="20"/>
          <w:lang w:val="en-GB"/>
        </w:rPr>
        <w:t>– the average number of abortions that a woman would have provided that a</w:t>
      </w:r>
      <w:r w:rsidR="006A73B7">
        <w:rPr>
          <w:rFonts w:cs="Arial"/>
          <w:sz w:val="20"/>
          <w:lang w:val="en-GB"/>
        </w:rPr>
        <w:t xml:space="preserve">ge-specific abortion rates of the </w:t>
      </w:r>
      <w:r w:rsidRPr="00EF4AC0">
        <w:rPr>
          <w:rFonts w:cs="Arial"/>
          <w:sz w:val="20"/>
          <w:lang w:val="en-GB"/>
        </w:rPr>
        <w:t xml:space="preserve">reference year remained unchanged during her childbearing period (age 15–49 years). </w:t>
      </w:r>
      <w:r w:rsidR="000958CD" w:rsidRPr="00EF4AC0">
        <w:rPr>
          <w:rFonts w:cs="Arial"/>
          <w:sz w:val="20"/>
          <w:lang w:val="en-GB"/>
        </w:rPr>
        <w:t>Similarly,</w:t>
      </w:r>
      <w:r w:rsidRPr="00EF4AC0">
        <w:rPr>
          <w:rFonts w:cs="Arial"/>
          <w:sz w:val="20"/>
          <w:lang w:val="en-GB"/>
        </w:rPr>
        <w:t xml:space="preserve"> </w:t>
      </w:r>
      <w:r w:rsidRPr="00EF4AC0">
        <w:rPr>
          <w:rFonts w:cs="Arial"/>
          <w:b/>
          <w:sz w:val="20"/>
          <w:lang w:val="en-GB"/>
        </w:rPr>
        <w:t xml:space="preserve">total legally induced abortion rate </w:t>
      </w:r>
      <w:r w:rsidRPr="00EF4AC0">
        <w:rPr>
          <w:rFonts w:cs="Arial"/>
          <w:sz w:val="20"/>
          <w:lang w:val="en-GB"/>
        </w:rPr>
        <w:t xml:space="preserve">and </w:t>
      </w:r>
      <w:r w:rsidRPr="00EF4AC0">
        <w:rPr>
          <w:rFonts w:cs="Arial"/>
          <w:b/>
          <w:sz w:val="20"/>
          <w:lang w:val="en-GB"/>
        </w:rPr>
        <w:t xml:space="preserve">total spontaneous abortion rate </w:t>
      </w:r>
      <w:r w:rsidRPr="00EF4AC0">
        <w:rPr>
          <w:rFonts w:cs="Arial"/>
          <w:sz w:val="20"/>
          <w:lang w:val="en-GB"/>
        </w:rPr>
        <w:t>are defined as the average number of abortions of</w:t>
      </w:r>
      <w:r w:rsidR="005E79C9">
        <w:rPr>
          <w:rFonts w:cs="Arial"/>
          <w:sz w:val="20"/>
          <w:lang w:val="en-GB"/>
        </w:rPr>
        <w:t xml:space="preserve"> a</w:t>
      </w:r>
      <w:r w:rsidRPr="00EF4AC0">
        <w:rPr>
          <w:rFonts w:cs="Arial"/>
          <w:sz w:val="20"/>
          <w:lang w:val="en-GB"/>
        </w:rPr>
        <w:t xml:space="preserve"> given </w:t>
      </w:r>
      <w:r w:rsidR="00EF4AC0" w:rsidRPr="00EF4AC0">
        <w:rPr>
          <w:rFonts w:cs="Arial"/>
          <w:sz w:val="20"/>
          <w:lang w:val="en-GB"/>
        </w:rPr>
        <w:t>type</w:t>
      </w:r>
      <w:r w:rsidRPr="00EF4AC0">
        <w:rPr>
          <w:rFonts w:cs="Arial"/>
          <w:sz w:val="20"/>
          <w:lang w:val="en-GB"/>
        </w:rPr>
        <w:t xml:space="preserve"> </w:t>
      </w:r>
      <w:r w:rsidR="00EF4AC0" w:rsidRPr="00EF4AC0">
        <w:rPr>
          <w:rFonts w:cs="Arial"/>
          <w:sz w:val="20"/>
          <w:lang w:val="en-GB"/>
        </w:rPr>
        <w:t xml:space="preserve">per </w:t>
      </w:r>
      <w:r w:rsidR="00653160">
        <w:rPr>
          <w:rFonts w:cs="Arial"/>
          <w:sz w:val="20"/>
          <w:lang w:val="en-GB"/>
        </w:rPr>
        <w:t xml:space="preserve">a </w:t>
      </w:r>
      <w:r w:rsidR="00EF4AC0" w:rsidRPr="00EF4AC0">
        <w:rPr>
          <w:rFonts w:cs="Arial"/>
          <w:sz w:val="20"/>
          <w:lang w:val="en-GB"/>
        </w:rPr>
        <w:t>woma</w:t>
      </w:r>
      <w:r w:rsidRPr="00EF4AC0">
        <w:rPr>
          <w:rFonts w:cs="Arial"/>
          <w:sz w:val="20"/>
          <w:lang w:val="en-GB"/>
        </w:rPr>
        <w:t>n.</w:t>
      </w:r>
    </w:p>
    <w:p w14:paraId="4E6F5907" w14:textId="3629FB83" w:rsidR="00EF4AC0" w:rsidRPr="00EF4AC0" w:rsidRDefault="00EF4AC0" w:rsidP="005E6023">
      <w:pPr>
        <w:spacing w:after="240" w:line="288" w:lineRule="auto"/>
        <w:rPr>
          <w:rFonts w:eastAsia="Arial Unicode MS" w:cs="Arial"/>
          <w:b/>
          <w:bCs w:val="0"/>
          <w:sz w:val="24"/>
          <w:lang w:val="en-GB"/>
        </w:rPr>
      </w:pPr>
      <w:r w:rsidRPr="00EF4AC0">
        <w:rPr>
          <w:rFonts w:eastAsia="Arial Unicode MS" w:cs="Arial"/>
          <w:b/>
          <w:bCs w:val="0"/>
          <w:sz w:val="24"/>
          <w:lang w:val="en-GB"/>
        </w:rPr>
        <w:t>Methodological notes on data on deaths and mortality</w:t>
      </w:r>
    </w:p>
    <w:p w14:paraId="0FAD26E6" w14:textId="2B56AB2C" w:rsidR="00EF4AC0" w:rsidRPr="00EF4AC0" w:rsidRDefault="00EF4AC0" w:rsidP="004E26C8">
      <w:pPr>
        <w:spacing w:after="240" w:line="288" w:lineRule="auto"/>
        <w:rPr>
          <w:rFonts w:cs="Arial"/>
          <w:sz w:val="20"/>
          <w:lang w:val="en-GB"/>
        </w:rPr>
      </w:pPr>
      <w:r w:rsidRPr="00EF4AC0">
        <w:rPr>
          <w:rFonts w:cs="Arial"/>
          <w:b/>
          <w:sz w:val="20"/>
          <w:lang w:val="en-GB"/>
        </w:rPr>
        <w:t xml:space="preserve">Infant mortality rate </w:t>
      </w:r>
      <w:r w:rsidRPr="00653160">
        <w:rPr>
          <w:rFonts w:cs="Arial"/>
          <w:sz w:val="20"/>
          <w:lang w:val="en-GB"/>
        </w:rPr>
        <w:t>–</w:t>
      </w:r>
      <w:r w:rsidRPr="00EF4AC0">
        <w:rPr>
          <w:rFonts w:cs="Arial"/>
          <w:b/>
          <w:sz w:val="20"/>
          <w:lang w:val="en-GB"/>
        </w:rPr>
        <w:t xml:space="preserve"> </w:t>
      </w:r>
      <w:r w:rsidRPr="00EF4AC0">
        <w:rPr>
          <w:rFonts w:cs="Arial"/>
          <w:sz w:val="20"/>
          <w:lang w:val="en-GB"/>
        </w:rPr>
        <w:t xml:space="preserve">the ratio of the number of deaths aged under 1 year </w:t>
      </w:r>
      <w:r w:rsidR="006A73B7">
        <w:rPr>
          <w:rFonts w:cs="Arial"/>
          <w:sz w:val="20"/>
          <w:lang w:val="en-GB"/>
        </w:rPr>
        <w:t xml:space="preserve">to the number of live births in the </w:t>
      </w:r>
      <w:r w:rsidRPr="00EF4AC0">
        <w:rPr>
          <w:rFonts w:cs="Arial"/>
          <w:sz w:val="20"/>
          <w:lang w:val="en-GB"/>
        </w:rPr>
        <w:t>reference period (here per 1,000 total births).</w:t>
      </w:r>
    </w:p>
    <w:p w14:paraId="09011296" w14:textId="0592B5AE" w:rsidR="00EF4AC0" w:rsidRPr="00EF4AC0" w:rsidRDefault="00EF4AC0" w:rsidP="004E26C8">
      <w:pPr>
        <w:spacing w:after="240" w:line="288" w:lineRule="auto"/>
        <w:rPr>
          <w:rFonts w:cs="Arial"/>
          <w:b/>
          <w:sz w:val="20"/>
          <w:lang w:val="en-GB"/>
        </w:rPr>
      </w:pPr>
      <w:r w:rsidRPr="00EF4AC0">
        <w:rPr>
          <w:rFonts w:cs="Arial"/>
          <w:b/>
          <w:sz w:val="20"/>
          <w:lang w:val="en-GB"/>
        </w:rPr>
        <w:t xml:space="preserve">Neonatal mortality rate </w:t>
      </w:r>
      <w:r w:rsidRPr="00EF4AC0">
        <w:rPr>
          <w:rFonts w:cs="Arial"/>
          <w:sz w:val="20"/>
          <w:lang w:val="en-GB"/>
        </w:rPr>
        <w:t>– the ratio of the number of deaths of infants aged under 28 days to</w:t>
      </w:r>
      <w:r w:rsidR="006A73B7">
        <w:rPr>
          <w:rFonts w:cs="Arial"/>
          <w:sz w:val="20"/>
          <w:lang w:val="en-GB"/>
        </w:rPr>
        <w:t xml:space="preserve"> the number of live births in the </w:t>
      </w:r>
      <w:r w:rsidRPr="00EF4AC0">
        <w:rPr>
          <w:rFonts w:cs="Arial"/>
          <w:sz w:val="20"/>
          <w:lang w:val="en-GB"/>
        </w:rPr>
        <w:t>reference period (here per 1</w:t>
      </w:r>
      <w:r w:rsidR="008472D9">
        <w:rPr>
          <w:rFonts w:cs="Arial"/>
          <w:sz w:val="20"/>
          <w:lang w:val="en-GB"/>
        </w:rPr>
        <w:t>,</w:t>
      </w:r>
      <w:r w:rsidRPr="00EF4AC0">
        <w:rPr>
          <w:rFonts w:cs="Arial"/>
          <w:sz w:val="20"/>
          <w:lang w:val="en-GB"/>
        </w:rPr>
        <w:t>000 live births).</w:t>
      </w:r>
    </w:p>
    <w:p w14:paraId="6F51F0F7" w14:textId="77777777" w:rsidR="005E6023" w:rsidRDefault="008472D9" w:rsidP="004E26C8">
      <w:pPr>
        <w:spacing w:after="240" w:line="288" w:lineRule="auto"/>
        <w:rPr>
          <w:rFonts w:cs="Arial"/>
          <w:sz w:val="20"/>
          <w:lang w:val="en-GB"/>
        </w:rPr>
      </w:pPr>
      <w:r w:rsidRPr="008472D9">
        <w:rPr>
          <w:rFonts w:cs="Arial"/>
          <w:b/>
          <w:sz w:val="20"/>
          <w:lang w:val="en-GB"/>
        </w:rPr>
        <w:t xml:space="preserve">The stillbirth rate </w:t>
      </w:r>
      <w:r w:rsidRPr="008472D9">
        <w:rPr>
          <w:rFonts w:cs="Arial"/>
          <w:sz w:val="20"/>
          <w:lang w:val="en-GB"/>
        </w:rPr>
        <w:t>– the proportion of s</w:t>
      </w:r>
      <w:r w:rsidR="006A73B7">
        <w:rPr>
          <w:rFonts w:cs="Arial"/>
          <w:sz w:val="20"/>
          <w:lang w:val="en-GB"/>
        </w:rPr>
        <w:t xml:space="preserve">tillbirths of total births in the </w:t>
      </w:r>
      <w:r w:rsidRPr="008472D9">
        <w:rPr>
          <w:rFonts w:cs="Arial"/>
          <w:sz w:val="20"/>
          <w:lang w:val="en-GB"/>
        </w:rPr>
        <w:t>reference period (here per 100 births)</w:t>
      </w:r>
      <w:r>
        <w:rPr>
          <w:rFonts w:cs="Arial"/>
          <w:sz w:val="20"/>
          <w:lang w:val="en-GB"/>
        </w:rPr>
        <w:t>.</w:t>
      </w:r>
    </w:p>
    <w:p w14:paraId="337D6354" w14:textId="118D285B" w:rsidR="00D1135B" w:rsidRPr="00D1135B" w:rsidRDefault="00D1135B" w:rsidP="004E26C8">
      <w:pPr>
        <w:spacing w:after="240" w:line="288" w:lineRule="auto"/>
        <w:rPr>
          <w:rFonts w:cs="Arial"/>
          <w:sz w:val="20"/>
          <w:lang w:val="en-GB"/>
        </w:rPr>
      </w:pPr>
      <w:r w:rsidRPr="00D1135B">
        <w:rPr>
          <w:rFonts w:cs="Arial"/>
          <w:b/>
          <w:sz w:val="20"/>
          <w:lang w:val="en-GB"/>
        </w:rPr>
        <w:lastRenderedPageBreak/>
        <w:t xml:space="preserve">The perinatal mortality rate </w:t>
      </w:r>
      <w:r w:rsidRPr="00D1135B">
        <w:rPr>
          <w:rFonts w:cs="Arial"/>
          <w:sz w:val="20"/>
          <w:lang w:val="en-GB"/>
        </w:rPr>
        <w:t xml:space="preserve">– the ratio of the number of stillbirths and deaths of infants aged under 7 days to </w:t>
      </w:r>
      <w:r w:rsidR="001A1DD7">
        <w:rPr>
          <w:rFonts w:cs="Arial"/>
          <w:sz w:val="20"/>
          <w:lang w:val="en-GB"/>
        </w:rPr>
        <w:t xml:space="preserve">the number of total births in the </w:t>
      </w:r>
      <w:r w:rsidRPr="00D1135B">
        <w:rPr>
          <w:rFonts w:cs="Arial"/>
          <w:sz w:val="20"/>
          <w:lang w:val="en-GB"/>
        </w:rPr>
        <w:t>reference period (here per 1,000 births).</w:t>
      </w:r>
    </w:p>
    <w:p w14:paraId="292DFD00" w14:textId="4A795A73" w:rsidR="00D1135B" w:rsidRPr="00CE10EE" w:rsidRDefault="00D1135B" w:rsidP="00123F2B">
      <w:pPr>
        <w:spacing w:after="240" w:line="288" w:lineRule="auto"/>
        <w:rPr>
          <w:rFonts w:cs="Arial"/>
          <w:bCs w:val="0"/>
          <w:sz w:val="20"/>
          <w:lang w:val="en-GB"/>
        </w:rPr>
      </w:pPr>
      <w:r w:rsidRPr="007C34E8">
        <w:rPr>
          <w:rFonts w:cs="Arial"/>
          <w:bCs w:val="0"/>
          <w:sz w:val="20"/>
          <w:lang w:val="en-GB"/>
        </w:rPr>
        <w:t>Life tables</w:t>
      </w:r>
      <w:r w:rsidR="00CE10EE">
        <w:rPr>
          <w:rFonts w:cs="Arial"/>
          <w:bCs w:val="0"/>
          <w:sz w:val="20"/>
          <w:lang w:val="en-GB"/>
        </w:rPr>
        <w:t xml:space="preserve"> </w:t>
      </w:r>
      <w:r w:rsidRPr="007C34E8">
        <w:rPr>
          <w:rFonts w:cs="Arial"/>
          <w:bCs w:val="0"/>
          <w:sz w:val="20"/>
          <w:lang w:val="en-GB"/>
        </w:rPr>
        <w:t xml:space="preserve">are used to characterize the survivorship of a population </w:t>
      </w:r>
      <w:r w:rsidR="004207DD">
        <w:rPr>
          <w:rFonts w:cs="Arial"/>
          <w:bCs w:val="0"/>
          <w:sz w:val="20"/>
          <w:lang w:val="en-GB"/>
        </w:rPr>
        <w:t xml:space="preserve">and </w:t>
      </w:r>
      <w:r w:rsidRPr="007C34E8">
        <w:rPr>
          <w:rFonts w:cs="Arial"/>
          <w:bCs w:val="0"/>
          <w:sz w:val="20"/>
          <w:lang w:val="en-GB"/>
        </w:rPr>
        <w:t xml:space="preserve">provide the most accurate </w:t>
      </w:r>
      <w:r w:rsidR="007C34E8" w:rsidRPr="007C34E8">
        <w:rPr>
          <w:rFonts w:cs="Arial"/>
          <w:bCs w:val="0"/>
          <w:sz w:val="20"/>
          <w:lang w:val="en-GB"/>
        </w:rPr>
        <w:t>expression</w:t>
      </w:r>
      <w:r w:rsidRPr="007C34E8">
        <w:rPr>
          <w:rFonts w:cs="Arial"/>
          <w:bCs w:val="0"/>
          <w:sz w:val="20"/>
          <w:lang w:val="en-GB"/>
        </w:rPr>
        <w:t xml:space="preserve"> of the mortality intensity of </w:t>
      </w:r>
      <w:r w:rsidR="007C34E8" w:rsidRPr="007C34E8">
        <w:rPr>
          <w:rFonts w:cs="Arial"/>
          <w:bCs w:val="0"/>
          <w:sz w:val="20"/>
          <w:lang w:val="en-GB"/>
        </w:rPr>
        <w:t>a given</w:t>
      </w:r>
      <w:r w:rsidRPr="007C34E8">
        <w:rPr>
          <w:rFonts w:cs="Arial"/>
          <w:bCs w:val="0"/>
          <w:sz w:val="20"/>
          <w:lang w:val="en-GB"/>
        </w:rPr>
        <w:t xml:space="preserve"> population.</w:t>
      </w:r>
      <w:r w:rsidRPr="00D1135B">
        <w:rPr>
          <w:rFonts w:cs="Arial"/>
          <w:bCs w:val="0"/>
          <w:sz w:val="20"/>
        </w:rPr>
        <w:t xml:space="preserve"> </w:t>
      </w:r>
      <w:r w:rsidRPr="007C34E8">
        <w:rPr>
          <w:rFonts w:cs="Arial"/>
          <w:bCs w:val="0"/>
          <w:sz w:val="20"/>
          <w:lang w:val="en-GB"/>
        </w:rPr>
        <w:t>The</w:t>
      </w:r>
      <w:r w:rsidR="007C34E8" w:rsidRPr="007C34E8">
        <w:rPr>
          <w:rFonts w:cs="Arial"/>
          <w:bCs w:val="0"/>
          <w:sz w:val="20"/>
          <w:lang w:val="en-GB"/>
        </w:rPr>
        <w:t xml:space="preserve"> result of </w:t>
      </w:r>
      <w:r w:rsidR="007859D7">
        <w:rPr>
          <w:rFonts w:cs="Arial"/>
          <w:bCs w:val="0"/>
          <w:sz w:val="20"/>
          <w:lang w:val="en-GB"/>
        </w:rPr>
        <w:t xml:space="preserve">the </w:t>
      </w:r>
      <w:r w:rsidRPr="007C34E8">
        <w:rPr>
          <w:rFonts w:cs="Arial"/>
          <w:bCs w:val="0"/>
          <w:sz w:val="20"/>
          <w:lang w:val="en-GB"/>
        </w:rPr>
        <w:t>calculation of</w:t>
      </w:r>
      <w:r w:rsidR="007C34E8" w:rsidRPr="007C34E8">
        <w:rPr>
          <w:rFonts w:cs="Arial"/>
          <w:bCs w:val="0"/>
          <w:sz w:val="20"/>
          <w:lang w:val="en-GB"/>
        </w:rPr>
        <w:t xml:space="preserve"> the life tables</w:t>
      </w:r>
      <w:r w:rsidRPr="007C34E8">
        <w:rPr>
          <w:rFonts w:cs="Arial"/>
          <w:bCs w:val="0"/>
          <w:sz w:val="20"/>
          <w:lang w:val="en-GB"/>
        </w:rPr>
        <w:t xml:space="preserve"> </w:t>
      </w:r>
      <w:r w:rsidR="007C34E8" w:rsidRPr="007C34E8">
        <w:rPr>
          <w:rFonts w:cs="Arial"/>
          <w:bCs w:val="0"/>
          <w:sz w:val="20"/>
          <w:lang w:val="en-GB"/>
        </w:rPr>
        <w:t>is,</w:t>
      </w:r>
      <w:r w:rsidRPr="007C34E8">
        <w:rPr>
          <w:rFonts w:cs="Arial"/>
          <w:bCs w:val="0"/>
          <w:sz w:val="20"/>
          <w:lang w:val="en-GB"/>
        </w:rPr>
        <w:t xml:space="preserve"> </w:t>
      </w:r>
      <w:r w:rsidR="007C34E8">
        <w:rPr>
          <w:rFonts w:cs="Arial"/>
          <w:bCs w:val="0"/>
          <w:sz w:val="20"/>
          <w:lang w:val="en-GB"/>
        </w:rPr>
        <w:t>besides</w:t>
      </w:r>
      <w:r w:rsidRPr="007C34E8">
        <w:rPr>
          <w:rFonts w:cs="Arial"/>
          <w:bCs w:val="0"/>
          <w:sz w:val="20"/>
          <w:lang w:val="en-GB"/>
        </w:rPr>
        <w:t xml:space="preserve"> other </w:t>
      </w:r>
      <w:r w:rsidR="007C34E8" w:rsidRPr="007C34E8">
        <w:rPr>
          <w:rFonts w:cs="Arial"/>
          <w:bCs w:val="0"/>
          <w:sz w:val="20"/>
          <w:lang w:val="en-GB"/>
        </w:rPr>
        <w:t>indicators, a</w:t>
      </w:r>
      <w:r w:rsidR="007C34E8">
        <w:rPr>
          <w:rFonts w:cs="Arial"/>
          <w:bCs w:val="0"/>
          <w:sz w:val="20"/>
          <w:lang w:val="en-GB"/>
        </w:rPr>
        <w:t>n</w:t>
      </w:r>
      <w:r w:rsidR="007C34E8" w:rsidRPr="007C34E8">
        <w:rPr>
          <w:rFonts w:cs="Arial"/>
          <w:bCs w:val="0"/>
          <w:sz w:val="20"/>
          <w:lang w:val="en-GB"/>
        </w:rPr>
        <w:t xml:space="preserve"> indicator of </w:t>
      </w:r>
      <w:r w:rsidRPr="007C34E8">
        <w:rPr>
          <w:rFonts w:cs="Arial"/>
          <w:bCs w:val="0"/>
          <w:sz w:val="20"/>
          <w:lang w:val="en-GB"/>
        </w:rPr>
        <w:t>life ex</w:t>
      </w:r>
      <w:r w:rsidR="007C34E8">
        <w:rPr>
          <w:rFonts w:cs="Arial"/>
          <w:bCs w:val="0"/>
          <w:sz w:val="20"/>
          <w:lang w:val="en-GB"/>
        </w:rPr>
        <w:t>pectancy</w:t>
      </w:r>
      <w:r w:rsidRPr="007C34E8">
        <w:rPr>
          <w:rFonts w:cs="Arial"/>
          <w:bCs w:val="0"/>
          <w:sz w:val="20"/>
          <w:lang w:val="en-GB"/>
        </w:rPr>
        <w:t>.</w:t>
      </w:r>
      <w:r w:rsidRPr="00CE10EE">
        <w:rPr>
          <w:rFonts w:cs="Arial"/>
          <w:bCs w:val="0"/>
          <w:sz w:val="20"/>
          <w:lang w:val="en-GB"/>
        </w:rPr>
        <w:t xml:space="preserve"> In 2018, the Czech Statistical Office modified the methodology for constructing </w:t>
      </w:r>
      <w:r w:rsidR="007C34E8" w:rsidRPr="00CE10EE">
        <w:rPr>
          <w:rFonts w:cs="Arial"/>
          <w:bCs w:val="0"/>
          <w:sz w:val="20"/>
          <w:lang w:val="en-GB"/>
        </w:rPr>
        <w:t xml:space="preserve">life </w:t>
      </w:r>
      <w:r w:rsidRPr="00CE10EE">
        <w:rPr>
          <w:rFonts w:cs="Arial"/>
          <w:bCs w:val="0"/>
          <w:sz w:val="20"/>
          <w:lang w:val="en-GB"/>
        </w:rPr>
        <w:t xml:space="preserve">tables, with the main change being the use of the </w:t>
      </w:r>
      <w:proofErr w:type="spellStart"/>
      <w:r w:rsidRPr="00CE10EE">
        <w:rPr>
          <w:rFonts w:cs="Arial"/>
          <w:bCs w:val="0"/>
          <w:sz w:val="20"/>
          <w:lang w:val="en-GB"/>
        </w:rPr>
        <w:t>Kannisto</w:t>
      </w:r>
      <w:proofErr w:type="spellEnd"/>
      <w:r w:rsidRPr="00CE10EE">
        <w:rPr>
          <w:rFonts w:cs="Arial"/>
          <w:bCs w:val="0"/>
          <w:sz w:val="20"/>
          <w:lang w:val="en-GB"/>
        </w:rPr>
        <w:t xml:space="preserve"> function (instead of </w:t>
      </w:r>
      <w:proofErr w:type="spellStart"/>
      <w:r w:rsidRPr="00CE10EE">
        <w:rPr>
          <w:rFonts w:cs="Arial"/>
          <w:bCs w:val="0"/>
          <w:sz w:val="20"/>
          <w:lang w:val="en-GB"/>
        </w:rPr>
        <w:t>Gompertz-Makeham</w:t>
      </w:r>
      <w:proofErr w:type="spellEnd"/>
      <w:r w:rsidRPr="00CE10EE">
        <w:rPr>
          <w:rFonts w:cs="Arial"/>
          <w:bCs w:val="0"/>
          <w:sz w:val="20"/>
          <w:lang w:val="en-GB"/>
        </w:rPr>
        <w:t xml:space="preserve">) for </w:t>
      </w:r>
      <w:r w:rsidR="00CD777C" w:rsidRPr="00CE10EE">
        <w:rPr>
          <w:rFonts w:cs="Arial"/>
          <w:bCs w:val="0"/>
          <w:sz w:val="20"/>
          <w:lang w:val="en-GB"/>
        </w:rPr>
        <w:t>modelling</w:t>
      </w:r>
      <w:r w:rsidRPr="00CE10EE">
        <w:rPr>
          <w:rFonts w:cs="Arial"/>
          <w:bCs w:val="0"/>
          <w:sz w:val="20"/>
          <w:lang w:val="en-GB"/>
        </w:rPr>
        <w:t xml:space="preserve"> mortality at the highest ages. All data in this publication (time series since 1920) are based on </w:t>
      </w:r>
      <w:r w:rsidR="00CE10EE" w:rsidRPr="00CE10EE">
        <w:rPr>
          <w:rFonts w:cs="Arial"/>
          <w:bCs w:val="0"/>
          <w:sz w:val="20"/>
          <w:lang w:val="en-GB"/>
        </w:rPr>
        <w:t>life</w:t>
      </w:r>
      <w:r w:rsidRPr="00CE10EE">
        <w:rPr>
          <w:rFonts w:cs="Arial"/>
          <w:bCs w:val="0"/>
          <w:sz w:val="20"/>
          <w:lang w:val="en-GB"/>
        </w:rPr>
        <w:t xml:space="preserve"> tables that have been </w:t>
      </w:r>
      <w:r w:rsidR="00CE10EE" w:rsidRPr="00CE10EE">
        <w:rPr>
          <w:rFonts w:cs="Arial"/>
          <w:bCs w:val="0"/>
          <w:sz w:val="20"/>
          <w:lang w:val="en-GB"/>
        </w:rPr>
        <w:t>(re)calculated using the</w:t>
      </w:r>
      <w:r w:rsidRPr="00CE10EE">
        <w:rPr>
          <w:rFonts w:cs="Arial"/>
          <w:bCs w:val="0"/>
          <w:sz w:val="20"/>
          <w:lang w:val="en-GB"/>
        </w:rPr>
        <w:t xml:space="preserve"> new methodology.</w:t>
      </w:r>
    </w:p>
    <w:p w14:paraId="71454DFE" w14:textId="6ADE6317" w:rsidR="005141D4" w:rsidRPr="005141D4" w:rsidRDefault="005141D4" w:rsidP="00123F2B">
      <w:pPr>
        <w:spacing w:after="240" w:line="288" w:lineRule="auto"/>
        <w:rPr>
          <w:rFonts w:eastAsia="Arial Unicode MS" w:cs="Arial"/>
          <w:sz w:val="20"/>
          <w:lang w:val="en-GB"/>
        </w:rPr>
      </w:pPr>
      <w:r w:rsidRPr="005141D4">
        <w:rPr>
          <w:rFonts w:eastAsia="Arial Unicode MS" w:cs="Arial"/>
          <w:b/>
          <w:sz w:val="20"/>
          <w:lang w:val="en-GB"/>
        </w:rPr>
        <w:t xml:space="preserve">The life expectancy </w:t>
      </w:r>
      <w:r w:rsidRPr="000B40E3">
        <w:rPr>
          <w:rFonts w:eastAsia="Arial Unicode MS" w:cs="Arial"/>
          <w:sz w:val="20"/>
          <w:lang w:val="en-GB"/>
        </w:rPr>
        <w:t>–</w:t>
      </w:r>
      <w:r w:rsidRPr="005141D4">
        <w:rPr>
          <w:rFonts w:eastAsia="Arial Unicode MS" w:cs="Arial"/>
          <w:sz w:val="20"/>
          <w:lang w:val="en-GB"/>
        </w:rPr>
        <w:t xml:space="preserve"> the average number of years an x-year-old individual can expect to live provided that </w:t>
      </w:r>
      <w:proofErr w:type="gramStart"/>
      <w:r w:rsidRPr="005141D4">
        <w:rPr>
          <w:rFonts w:eastAsia="Arial Unicode MS" w:cs="Arial"/>
          <w:sz w:val="20"/>
          <w:lang w:val="en-GB"/>
        </w:rPr>
        <w:t>age-spe</w:t>
      </w:r>
      <w:r w:rsidR="001A1DD7">
        <w:rPr>
          <w:rFonts w:eastAsia="Arial Unicode MS" w:cs="Arial"/>
          <w:sz w:val="20"/>
          <w:lang w:val="en-GB"/>
        </w:rPr>
        <w:t>cific</w:t>
      </w:r>
      <w:proofErr w:type="gramEnd"/>
      <w:r w:rsidR="001A1DD7">
        <w:rPr>
          <w:rFonts w:eastAsia="Arial Unicode MS" w:cs="Arial"/>
          <w:sz w:val="20"/>
          <w:lang w:val="en-GB"/>
        </w:rPr>
        <w:t xml:space="preserve"> mortality conditions of the </w:t>
      </w:r>
      <w:r w:rsidRPr="005141D4">
        <w:rPr>
          <w:rFonts w:eastAsia="Arial Unicode MS" w:cs="Arial"/>
          <w:sz w:val="20"/>
          <w:lang w:val="en-GB"/>
        </w:rPr>
        <w:t>reference period remained unchanged</w:t>
      </w:r>
      <w:r>
        <w:rPr>
          <w:rFonts w:eastAsia="Arial Unicode MS" w:cs="Arial"/>
          <w:sz w:val="20"/>
          <w:lang w:val="en-GB"/>
        </w:rPr>
        <w:t xml:space="preserve">. </w:t>
      </w:r>
      <w:r w:rsidRPr="005141D4">
        <w:rPr>
          <w:rFonts w:eastAsia="Arial Unicode MS" w:cs="Arial"/>
          <w:sz w:val="20"/>
          <w:lang w:val="en-GB"/>
        </w:rPr>
        <w:t>Due t</w:t>
      </w:r>
      <w:r>
        <w:rPr>
          <w:rFonts w:eastAsia="Arial Unicode MS" w:cs="Arial"/>
          <w:sz w:val="20"/>
          <w:lang w:val="en-GB"/>
        </w:rPr>
        <w:t>o the different</w:t>
      </w:r>
      <w:r w:rsidRPr="005141D4">
        <w:rPr>
          <w:rFonts w:eastAsia="Arial Unicode MS" w:cs="Arial"/>
          <w:sz w:val="20"/>
          <w:lang w:val="en-GB"/>
        </w:rPr>
        <w:t xml:space="preserve"> mortality </w:t>
      </w:r>
      <w:r>
        <w:rPr>
          <w:rFonts w:eastAsia="Arial Unicode MS" w:cs="Arial"/>
          <w:sz w:val="20"/>
          <w:lang w:val="en-GB"/>
        </w:rPr>
        <w:t>level by sex</w:t>
      </w:r>
      <w:r w:rsidRPr="005141D4">
        <w:rPr>
          <w:rFonts w:eastAsia="Arial Unicode MS" w:cs="Arial"/>
          <w:sz w:val="20"/>
          <w:lang w:val="en-GB"/>
        </w:rPr>
        <w:t xml:space="preserve">, </w:t>
      </w:r>
      <w:r>
        <w:rPr>
          <w:rFonts w:eastAsia="Arial Unicode MS" w:cs="Arial"/>
          <w:sz w:val="20"/>
          <w:lang w:val="en-GB"/>
        </w:rPr>
        <w:t xml:space="preserve">the </w:t>
      </w:r>
      <w:r w:rsidRPr="005141D4">
        <w:rPr>
          <w:rFonts w:eastAsia="Arial Unicode MS" w:cs="Arial"/>
          <w:sz w:val="20"/>
          <w:lang w:val="en-GB"/>
        </w:rPr>
        <w:t>life expectancy is calculated separately for men and women.</w:t>
      </w:r>
    </w:p>
    <w:p w14:paraId="5134C14B" w14:textId="358ECEAC" w:rsidR="005141D4" w:rsidRPr="005141D4" w:rsidRDefault="005141D4" w:rsidP="005E6023">
      <w:pPr>
        <w:spacing w:after="120" w:line="288" w:lineRule="auto"/>
        <w:rPr>
          <w:rFonts w:eastAsia="Arial Unicode MS" w:cs="Arial"/>
          <w:b/>
          <w:bCs w:val="0"/>
          <w:sz w:val="24"/>
          <w:lang w:val="en-GB"/>
        </w:rPr>
      </w:pPr>
      <w:r w:rsidRPr="005141D4">
        <w:rPr>
          <w:rFonts w:eastAsia="Arial Unicode MS" w:cs="Arial"/>
          <w:b/>
          <w:bCs w:val="0"/>
          <w:sz w:val="24"/>
          <w:lang w:val="en-GB"/>
        </w:rPr>
        <w:t>Methodological notes on data on cause of death</w:t>
      </w:r>
    </w:p>
    <w:p w14:paraId="424EBCE0" w14:textId="7E7AE514" w:rsidR="005141D4" w:rsidRPr="004E26C8" w:rsidRDefault="00EA5AF1" w:rsidP="005E6023">
      <w:pPr>
        <w:spacing w:after="120" w:line="288" w:lineRule="auto"/>
        <w:rPr>
          <w:rFonts w:eastAsia="Arial Unicode MS" w:cs="Arial"/>
          <w:bCs w:val="0"/>
          <w:sz w:val="20"/>
          <w:lang w:val="en-GB"/>
        </w:rPr>
      </w:pPr>
      <w:r>
        <w:rPr>
          <w:rFonts w:eastAsia="Arial Unicode MS" w:cs="Arial"/>
          <w:bCs w:val="0"/>
          <w:sz w:val="20"/>
          <w:lang w:val="en-GB"/>
        </w:rPr>
        <w:t>Since 1919, c</w:t>
      </w:r>
      <w:r w:rsidR="005141D4" w:rsidRPr="00EA5AF1">
        <w:rPr>
          <w:rFonts w:eastAsia="Arial Unicode MS" w:cs="Arial"/>
          <w:bCs w:val="0"/>
          <w:sz w:val="20"/>
          <w:lang w:val="en-GB"/>
        </w:rPr>
        <w:t>auses of death have been coded according to the decennial revisions of</w:t>
      </w:r>
      <w:r w:rsidR="007332B8">
        <w:rPr>
          <w:rFonts w:eastAsia="Arial Unicode MS" w:cs="Arial"/>
          <w:bCs w:val="0"/>
          <w:sz w:val="20"/>
          <w:lang w:val="en-GB"/>
        </w:rPr>
        <w:t xml:space="preserve"> the</w:t>
      </w:r>
      <w:r w:rsidR="005141D4" w:rsidRPr="00EA5AF1">
        <w:rPr>
          <w:rFonts w:eastAsia="Arial Unicode MS" w:cs="Arial"/>
          <w:bCs w:val="0"/>
          <w:sz w:val="20"/>
          <w:lang w:val="en-GB"/>
        </w:rPr>
        <w:t xml:space="preserve"> International Statistical Classification of Diseases and Related Health Problems </w:t>
      </w:r>
      <w:r w:rsidRPr="00EA5AF1">
        <w:rPr>
          <w:rFonts w:eastAsia="Arial Unicode MS" w:cs="Arial"/>
          <w:bCs w:val="0"/>
          <w:sz w:val="20"/>
          <w:lang w:val="en-GB"/>
        </w:rPr>
        <w:t>(ICD) effective</w:t>
      </w:r>
      <w:r w:rsidR="005141D4" w:rsidRPr="00EA5AF1">
        <w:rPr>
          <w:rFonts w:eastAsia="Arial Unicode MS" w:cs="Arial"/>
          <w:bCs w:val="0"/>
          <w:sz w:val="20"/>
          <w:lang w:val="en-GB"/>
        </w:rPr>
        <w:t xml:space="preserve"> in the Czech Republic</w:t>
      </w:r>
      <w:r w:rsidRPr="00EA5AF1">
        <w:rPr>
          <w:rFonts w:eastAsia="Arial Unicode MS" w:cs="Arial"/>
          <w:bCs w:val="0"/>
          <w:sz w:val="20"/>
          <w:lang w:val="en-GB"/>
        </w:rPr>
        <w:t>.</w:t>
      </w:r>
      <w:r w:rsidR="005141D4" w:rsidRPr="00EA5AF1">
        <w:rPr>
          <w:rFonts w:eastAsia="Arial Unicode MS" w:cs="Arial"/>
          <w:bCs w:val="0"/>
          <w:sz w:val="20"/>
          <w:lang w:val="en-GB"/>
        </w:rPr>
        <w:t xml:space="preserve"> Since 2009, updates of the 10th revision issued by the World Health Organization (WHO) have been implemented in the Czech Republic. The IHIS CR is responsible for </w:t>
      </w:r>
      <w:r w:rsidRPr="00EA5AF1">
        <w:rPr>
          <w:rFonts w:eastAsia="Arial Unicode MS" w:cs="Arial"/>
          <w:bCs w:val="0"/>
          <w:sz w:val="20"/>
          <w:lang w:val="en-GB"/>
        </w:rPr>
        <w:t xml:space="preserve">the </w:t>
      </w:r>
      <w:r w:rsidR="005141D4" w:rsidRPr="00EA5AF1">
        <w:rPr>
          <w:rFonts w:eastAsia="Arial Unicode MS" w:cs="Arial"/>
          <w:bCs w:val="0"/>
          <w:sz w:val="20"/>
          <w:lang w:val="en-GB"/>
        </w:rPr>
        <w:t>translation of the ICD-10 and its updates to Czech, and their implementation in the CR.</w:t>
      </w:r>
    </w:p>
    <w:p w14:paraId="387D15EF" w14:textId="23D85F57" w:rsidR="00EA5AF1" w:rsidRPr="009B0110" w:rsidRDefault="00EA5AF1" w:rsidP="005E6023">
      <w:pPr>
        <w:pStyle w:val="Zkladntextodsazen"/>
        <w:spacing w:after="120" w:line="288" w:lineRule="auto"/>
        <w:ind w:firstLine="0"/>
        <w:rPr>
          <w:rFonts w:cs="Arial"/>
          <w:sz w:val="20"/>
          <w:lang w:val="en-GB"/>
        </w:rPr>
      </w:pPr>
      <w:r w:rsidRPr="009B0110">
        <w:rPr>
          <w:rFonts w:cs="Arial"/>
          <w:sz w:val="20"/>
          <w:lang w:val="en-GB"/>
        </w:rPr>
        <w:t>In statistical outputs, the data are tabulated according t</w:t>
      </w:r>
      <w:r w:rsidR="004207DD">
        <w:rPr>
          <w:rFonts w:cs="Arial"/>
          <w:sz w:val="20"/>
          <w:lang w:val="en-GB"/>
        </w:rPr>
        <w:t>o the underlying cause of death</w:t>
      </w:r>
      <w:r w:rsidR="00894073">
        <w:rPr>
          <w:rFonts w:cs="Arial"/>
          <w:sz w:val="20"/>
          <w:lang w:val="en-GB"/>
        </w:rPr>
        <w:t>,</w:t>
      </w:r>
      <w:r w:rsidRPr="009B0110">
        <w:rPr>
          <w:rFonts w:cs="Arial"/>
          <w:sz w:val="20"/>
          <w:lang w:val="en-GB"/>
        </w:rPr>
        <w:t xml:space="preserve"> which is defined by the WHO as the disease or injury which initiated the train of morbid events leading directly to death, or the circumstances of the accident or violence which produced the fatal injury. Since 2011, the CZSO has used the programme for automated coding (IRIS) for </w:t>
      </w:r>
      <w:r w:rsidR="007332B8">
        <w:rPr>
          <w:rFonts w:cs="Arial"/>
          <w:sz w:val="20"/>
          <w:lang w:val="en-GB"/>
        </w:rPr>
        <w:t xml:space="preserve">the </w:t>
      </w:r>
      <w:r w:rsidRPr="009B0110">
        <w:rPr>
          <w:rFonts w:cs="Arial"/>
          <w:sz w:val="20"/>
          <w:lang w:val="en-GB"/>
        </w:rPr>
        <w:t>selection of the underlying cause of death.</w:t>
      </w:r>
    </w:p>
    <w:p w14:paraId="1290E8C6" w14:textId="77777777" w:rsidR="00421F96" w:rsidRDefault="004A3243" w:rsidP="005E6023">
      <w:pPr>
        <w:spacing w:after="120" w:line="288" w:lineRule="auto"/>
        <w:rPr>
          <w:rFonts w:cs="Arial"/>
          <w:bCs w:val="0"/>
          <w:sz w:val="20"/>
          <w:lang w:val="en-AU"/>
        </w:rPr>
      </w:pPr>
      <w:r w:rsidRPr="00421F96">
        <w:rPr>
          <w:rFonts w:cs="Arial"/>
          <w:bCs w:val="0"/>
          <w:sz w:val="20"/>
          <w:lang w:val="en-AU"/>
        </w:rPr>
        <w:t xml:space="preserve">The comparability of individual decennial </w:t>
      </w:r>
      <w:r w:rsidR="00421F96">
        <w:rPr>
          <w:rFonts w:cs="Arial"/>
          <w:bCs w:val="0"/>
          <w:sz w:val="20"/>
          <w:lang w:val="en-AU"/>
        </w:rPr>
        <w:t>revisions is limited.</w:t>
      </w:r>
    </w:p>
    <w:p w14:paraId="4BEAE98A" w14:textId="5153AFED" w:rsidR="004A3243" w:rsidRPr="00421F96" w:rsidRDefault="004A3243" w:rsidP="005E6023">
      <w:pPr>
        <w:spacing w:after="120" w:line="288" w:lineRule="auto"/>
        <w:rPr>
          <w:rFonts w:cs="Arial"/>
          <w:bCs w:val="0"/>
          <w:sz w:val="20"/>
          <w:lang w:val="en-AU"/>
        </w:rPr>
      </w:pPr>
      <w:r w:rsidRPr="00421F96">
        <w:rPr>
          <w:rFonts w:cs="Arial"/>
          <w:bCs w:val="0"/>
          <w:sz w:val="20"/>
          <w:lang w:val="en-AU"/>
        </w:rPr>
        <w:t>Period of validity of individual revisions of the International Classification of Diseases in the Czech Republic:</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701"/>
        <w:gridCol w:w="2268"/>
      </w:tblGrid>
      <w:tr w:rsidR="004A3243" w:rsidRPr="00617E4C" w14:paraId="0CF0042B" w14:textId="77777777" w:rsidTr="004D761C">
        <w:trPr>
          <w:trHeight w:hRule="exact" w:val="255"/>
        </w:trPr>
        <w:tc>
          <w:tcPr>
            <w:tcW w:w="1752" w:type="dxa"/>
            <w:vAlign w:val="center"/>
          </w:tcPr>
          <w:p w14:paraId="2FB84570" w14:textId="262EC3A8" w:rsidR="004A3243" w:rsidRPr="00617E4C" w:rsidRDefault="004A3243" w:rsidP="00123F2B">
            <w:pPr>
              <w:spacing w:line="288" w:lineRule="auto"/>
              <w:rPr>
                <w:rFonts w:eastAsia="Arial Unicode MS" w:cs="Arial"/>
                <w:b/>
                <w:bCs w:val="0"/>
                <w:szCs w:val="16"/>
              </w:rPr>
            </w:pPr>
            <w:r w:rsidRPr="008660D0">
              <w:rPr>
                <w:rFonts w:cs="Arial"/>
                <w:b/>
                <w:i/>
                <w:color w:val="000000"/>
                <w:szCs w:val="16"/>
                <w:lang w:val="en-GB"/>
              </w:rPr>
              <w:t>Revision</w:t>
            </w:r>
          </w:p>
        </w:tc>
        <w:tc>
          <w:tcPr>
            <w:tcW w:w="1701" w:type="dxa"/>
            <w:vAlign w:val="center"/>
          </w:tcPr>
          <w:p w14:paraId="4B4CAD28" w14:textId="194034D1" w:rsidR="004A3243" w:rsidRPr="00617E4C" w:rsidRDefault="004A3243" w:rsidP="00123F2B">
            <w:pPr>
              <w:spacing w:line="288" w:lineRule="auto"/>
              <w:rPr>
                <w:rFonts w:eastAsia="Arial Unicode MS" w:cs="Arial"/>
                <w:b/>
                <w:bCs w:val="0"/>
                <w:szCs w:val="16"/>
              </w:rPr>
            </w:pPr>
            <w:r w:rsidRPr="008660D0">
              <w:rPr>
                <w:rFonts w:cs="Arial"/>
                <w:b/>
                <w:i/>
                <w:color w:val="000000"/>
                <w:szCs w:val="16"/>
                <w:lang w:val="en-GB"/>
              </w:rPr>
              <w:t>WHO approved in</w:t>
            </w:r>
          </w:p>
        </w:tc>
        <w:tc>
          <w:tcPr>
            <w:tcW w:w="2268" w:type="dxa"/>
            <w:vAlign w:val="center"/>
          </w:tcPr>
          <w:p w14:paraId="579BBEB5" w14:textId="16C2FCDC" w:rsidR="004A3243" w:rsidRPr="00617E4C" w:rsidRDefault="004A3243" w:rsidP="00123F2B">
            <w:pPr>
              <w:spacing w:line="288" w:lineRule="auto"/>
              <w:rPr>
                <w:rFonts w:eastAsia="Arial Unicode MS" w:cs="Arial"/>
                <w:b/>
                <w:bCs w:val="0"/>
                <w:szCs w:val="16"/>
              </w:rPr>
            </w:pPr>
            <w:r>
              <w:rPr>
                <w:rFonts w:cs="Arial"/>
                <w:b/>
                <w:i/>
                <w:color w:val="000000"/>
                <w:szCs w:val="16"/>
                <w:lang w:val="en-GB"/>
              </w:rPr>
              <w:t>Effective</w:t>
            </w:r>
            <w:r w:rsidRPr="008660D0">
              <w:rPr>
                <w:rFonts w:cs="Arial"/>
                <w:b/>
                <w:i/>
                <w:color w:val="000000"/>
                <w:szCs w:val="16"/>
                <w:lang w:val="en-GB"/>
              </w:rPr>
              <w:t xml:space="preserve"> in the CR</w:t>
            </w:r>
          </w:p>
        </w:tc>
      </w:tr>
      <w:tr w:rsidR="004A3243" w:rsidRPr="00617E4C" w14:paraId="5373330A" w14:textId="77777777" w:rsidTr="004D761C">
        <w:trPr>
          <w:trHeight w:hRule="exact" w:val="255"/>
        </w:trPr>
        <w:tc>
          <w:tcPr>
            <w:tcW w:w="1752" w:type="dxa"/>
            <w:vAlign w:val="center"/>
          </w:tcPr>
          <w:p w14:paraId="6EDC9400" w14:textId="2BBEDC9B"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ICD-3*</w:t>
            </w:r>
          </w:p>
        </w:tc>
        <w:tc>
          <w:tcPr>
            <w:tcW w:w="1701" w:type="dxa"/>
            <w:vAlign w:val="center"/>
          </w:tcPr>
          <w:p w14:paraId="1F26AE8D" w14:textId="33E02C58"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1920**</w:t>
            </w:r>
          </w:p>
        </w:tc>
        <w:tc>
          <w:tcPr>
            <w:tcW w:w="2268" w:type="dxa"/>
            <w:vAlign w:val="center"/>
          </w:tcPr>
          <w:p w14:paraId="2A031617" w14:textId="6013EC44"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1919–1930</w:t>
            </w:r>
          </w:p>
        </w:tc>
      </w:tr>
      <w:tr w:rsidR="004A3243" w:rsidRPr="00617E4C" w14:paraId="336A0A80" w14:textId="77777777" w:rsidTr="004D761C">
        <w:trPr>
          <w:trHeight w:hRule="exact" w:val="255"/>
        </w:trPr>
        <w:tc>
          <w:tcPr>
            <w:tcW w:w="1752" w:type="dxa"/>
            <w:vAlign w:val="center"/>
          </w:tcPr>
          <w:p w14:paraId="0579F9CD" w14:textId="1A8B69C0"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ICD-4</w:t>
            </w:r>
          </w:p>
        </w:tc>
        <w:tc>
          <w:tcPr>
            <w:tcW w:w="1701" w:type="dxa"/>
            <w:vAlign w:val="center"/>
          </w:tcPr>
          <w:p w14:paraId="3370E7EB" w14:textId="40723690"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1929**</w:t>
            </w:r>
          </w:p>
        </w:tc>
        <w:tc>
          <w:tcPr>
            <w:tcW w:w="2268" w:type="dxa"/>
            <w:vAlign w:val="center"/>
          </w:tcPr>
          <w:p w14:paraId="0D7DEFED" w14:textId="4A3EF126"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1931–1940</w:t>
            </w:r>
          </w:p>
        </w:tc>
      </w:tr>
      <w:tr w:rsidR="004A3243" w:rsidRPr="00617E4C" w14:paraId="21673E58" w14:textId="77777777" w:rsidTr="004D761C">
        <w:trPr>
          <w:trHeight w:hRule="exact" w:val="255"/>
        </w:trPr>
        <w:tc>
          <w:tcPr>
            <w:tcW w:w="1752" w:type="dxa"/>
            <w:vAlign w:val="center"/>
          </w:tcPr>
          <w:p w14:paraId="06219B35" w14:textId="42BCD08C"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ICD-5</w:t>
            </w:r>
          </w:p>
        </w:tc>
        <w:tc>
          <w:tcPr>
            <w:tcW w:w="1701" w:type="dxa"/>
            <w:vAlign w:val="center"/>
          </w:tcPr>
          <w:p w14:paraId="524BF766" w14:textId="76320A49"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1938**</w:t>
            </w:r>
          </w:p>
        </w:tc>
        <w:tc>
          <w:tcPr>
            <w:tcW w:w="2268" w:type="dxa"/>
            <w:vAlign w:val="center"/>
          </w:tcPr>
          <w:p w14:paraId="475EF845" w14:textId="32D66F99"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1941–1948</w:t>
            </w:r>
          </w:p>
        </w:tc>
      </w:tr>
      <w:tr w:rsidR="004A3243" w:rsidRPr="00617E4C" w14:paraId="1E658D14" w14:textId="77777777" w:rsidTr="004D761C">
        <w:trPr>
          <w:trHeight w:hRule="exact" w:val="255"/>
        </w:trPr>
        <w:tc>
          <w:tcPr>
            <w:tcW w:w="1752" w:type="dxa"/>
            <w:vAlign w:val="center"/>
          </w:tcPr>
          <w:p w14:paraId="10CF7031" w14:textId="4DF16134"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ICD-6</w:t>
            </w:r>
          </w:p>
        </w:tc>
        <w:tc>
          <w:tcPr>
            <w:tcW w:w="1701" w:type="dxa"/>
            <w:vAlign w:val="center"/>
          </w:tcPr>
          <w:p w14:paraId="010FC073" w14:textId="4AB1F71E"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1948</w:t>
            </w:r>
          </w:p>
        </w:tc>
        <w:tc>
          <w:tcPr>
            <w:tcW w:w="2268" w:type="dxa"/>
            <w:vAlign w:val="center"/>
          </w:tcPr>
          <w:p w14:paraId="5456BB8A" w14:textId="58762A7B"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1949–1957</w:t>
            </w:r>
          </w:p>
        </w:tc>
      </w:tr>
      <w:tr w:rsidR="004A3243" w:rsidRPr="00617E4C" w14:paraId="139CBBDD" w14:textId="77777777" w:rsidTr="004D761C">
        <w:trPr>
          <w:trHeight w:hRule="exact" w:val="255"/>
        </w:trPr>
        <w:tc>
          <w:tcPr>
            <w:tcW w:w="1752" w:type="dxa"/>
            <w:vAlign w:val="center"/>
          </w:tcPr>
          <w:p w14:paraId="38E20571" w14:textId="2601D9CC"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ICD-7</w:t>
            </w:r>
          </w:p>
        </w:tc>
        <w:tc>
          <w:tcPr>
            <w:tcW w:w="1701" w:type="dxa"/>
            <w:vAlign w:val="center"/>
          </w:tcPr>
          <w:p w14:paraId="51F79D56" w14:textId="03936938"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1955</w:t>
            </w:r>
          </w:p>
        </w:tc>
        <w:tc>
          <w:tcPr>
            <w:tcW w:w="2268" w:type="dxa"/>
            <w:vAlign w:val="center"/>
          </w:tcPr>
          <w:p w14:paraId="235BCB8E" w14:textId="0B20B162"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1958–1967</w:t>
            </w:r>
          </w:p>
        </w:tc>
      </w:tr>
      <w:tr w:rsidR="004A3243" w:rsidRPr="00617E4C" w14:paraId="1B3BB67D" w14:textId="77777777" w:rsidTr="004D761C">
        <w:trPr>
          <w:trHeight w:hRule="exact" w:val="255"/>
        </w:trPr>
        <w:tc>
          <w:tcPr>
            <w:tcW w:w="1752" w:type="dxa"/>
            <w:vAlign w:val="center"/>
          </w:tcPr>
          <w:p w14:paraId="7EDFC661" w14:textId="71AE10B6"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ICD-8</w:t>
            </w:r>
          </w:p>
        </w:tc>
        <w:tc>
          <w:tcPr>
            <w:tcW w:w="1701" w:type="dxa"/>
            <w:vAlign w:val="center"/>
          </w:tcPr>
          <w:p w14:paraId="69CA60CF" w14:textId="272321B7"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1965</w:t>
            </w:r>
          </w:p>
        </w:tc>
        <w:tc>
          <w:tcPr>
            <w:tcW w:w="2268" w:type="dxa"/>
            <w:vAlign w:val="center"/>
          </w:tcPr>
          <w:p w14:paraId="13F0E2DB" w14:textId="3B6C99D5"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1968–1978</w:t>
            </w:r>
          </w:p>
        </w:tc>
      </w:tr>
      <w:tr w:rsidR="004A3243" w:rsidRPr="00617E4C" w14:paraId="3145168B" w14:textId="77777777" w:rsidTr="004D761C">
        <w:trPr>
          <w:trHeight w:hRule="exact" w:val="255"/>
        </w:trPr>
        <w:tc>
          <w:tcPr>
            <w:tcW w:w="1752" w:type="dxa"/>
            <w:vAlign w:val="center"/>
          </w:tcPr>
          <w:p w14:paraId="5CD4A576" w14:textId="1C73C0A6"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ICD-9</w:t>
            </w:r>
          </w:p>
        </w:tc>
        <w:tc>
          <w:tcPr>
            <w:tcW w:w="1701" w:type="dxa"/>
            <w:vAlign w:val="center"/>
          </w:tcPr>
          <w:p w14:paraId="64DC87B7" w14:textId="167E9A41"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1975</w:t>
            </w:r>
          </w:p>
        </w:tc>
        <w:tc>
          <w:tcPr>
            <w:tcW w:w="2268" w:type="dxa"/>
            <w:vAlign w:val="center"/>
          </w:tcPr>
          <w:p w14:paraId="7B4F6E3D" w14:textId="50638084" w:rsidR="004A3243" w:rsidRPr="00617E4C" w:rsidRDefault="004A3243" w:rsidP="00123F2B">
            <w:pPr>
              <w:spacing w:line="288" w:lineRule="auto"/>
              <w:rPr>
                <w:rFonts w:eastAsia="Arial Unicode MS" w:cs="Arial"/>
                <w:bCs w:val="0"/>
                <w:szCs w:val="16"/>
              </w:rPr>
            </w:pPr>
            <w:r w:rsidRPr="008660D0">
              <w:rPr>
                <w:rFonts w:cs="Arial"/>
                <w:i/>
                <w:color w:val="000000"/>
                <w:szCs w:val="16"/>
                <w:lang w:val="en-GB"/>
              </w:rPr>
              <w:t>1979–1993</w:t>
            </w:r>
          </w:p>
        </w:tc>
      </w:tr>
      <w:tr w:rsidR="004A3243" w:rsidRPr="00617E4C" w14:paraId="076F57CF" w14:textId="77777777" w:rsidTr="004D761C">
        <w:trPr>
          <w:trHeight w:hRule="exact" w:val="255"/>
        </w:trPr>
        <w:tc>
          <w:tcPr>
            <w:tcW w:w="1752" w:type="dxa"/>
            <w:vAlign w:val="center"/>
          </w:tcPr>
          <w:p w14:paraId="427E9A0E" w14:textId="615A5C9D" w:rsidR="004A3243" w:rsidRPr="004D761C" w:rsidRDefault="004A3243" w:rsidP="00123F2B">
            <w:pPr>
              <w:spacing w:line="288" w:lineRule="auto"/>
              <w:rPr>
                <w:rFonts w:cs="Arial"/>
                <w:i/>
                <w:color w:val="000000"/>
                <w:szCs w:val="16"/>
                <w:lang w:val="en-GB"/>
              </w:rPr>
            </w:pPr>
            <w:r w:rsidRPr="008660D0">
              <w:rPr>
                <w:rFonts w:cs="Arial"/>
                <w:i/>
                <w:color w:val="000000"/>
                <w:szCs w:val="16"/>
                <w:lang w:val="en-GB"/>
              </w:rPr>
              <w:t>ICD-10</w:t>
            </w:r>
          </w:p>
        </w:tc>
        <w:tc>
          <w:tcPr>
            <w:tcW w:w="1701" w:type="dxa"/>
            <w:vAlign w:val="center"/>
          </w:tcPr>
          <w:p w14:paraId="0DE8D079" w14:textId="2C32291F" w:rsidR="004A3243" w:rsidRPr="004D761C" w:rsidRDefault="004A3243" w:rsidP="00123F2B">
            <w:pPr>
              <w:spacing w:line="288" w:lineRule="auto"/>
              <w:rPr>
                <w:rFonts w:cs="Arial"/>
                <w:i/>
                <w:color w:val="000000"/>
                <w:szCs w:val="16"/>
                <w:lang w:val="en-GB"/>
              </w:rPr>
            </w:pPr>
            <w:r w:rsidRPr="008660D0">
              <w:rPr>
                <w:rFonts w:cs="Arial"/>
                <w:i/>
                <w:color w:val="000000"/>
                <w:szCs w:val="16"/>
                <w:lang w:val="en-GB"/>
              </w:rPr>
              <w:t>1990</w:t>
            </w:r>
          </w:p>
        </w:tc>
        <w:tc>
          <w:tcPr>
            <w:tcW w:w="2268" w:type="dxa"/>
            <w:vAlign w:val="center"/>
          </w:tcPr>
          <w:p w14:paraId="37926D14" w14:textId="5749E087" w:rsidR="004A3243" w:rsidRPr="004D761C" w:rsidRDefault="004A3243" w:rsidP="00123F2B">
            <w:pPr>
              <w:spacing w:line="288" w:lineRule="auto"/>
              <w:rPr>
                <w:rFonts w:cs="Arial"/>
                <w:i/>
                <w:color w:val="000000"/>
                <w:szCs w:val="16"/>
                <w:lang w:val="en-GB"/>
              </w:rPr>
            </w:pPr>
            <w:r w:rsidRPr="008660D0">
              <w:rPr>
                <w:rFonts w:cs="Arial"/>
                <w:i/>
                <w:color w:val="000000"/>
                <w:szCs w:val="16"/>
                <w:lang w:val="en-GB"/>
              </w:rPr>
              <w:t>1994–</w:t>
            </w:r>
          </w:p>
        </w:tc>
      </w:tr>
    </w:tbl>
    <w:p w14:paraId="76816FFC" w14:textId="77777777" w:rsidR="004A3243" w:rsidRPr="008660D0" w:rsidRDefault="004A3243" w:rsidP="00123F2B">
      <w:pPr>
        <w:spacing w:line="288" w:lineRule="auto"/>
        <w:ind w:firstLine="142"/>
        <w:rPr>
          <w:rFonts w:eastAsia="Calibri" w:cs="Arial"/>
          <w:i/>
          <w:szCs w:val="16"/>
          <w:lang w:val="en-GB" w:eastAsia="en-US"/>
        </w:rPr>
      </w:pPr>
      <w:r w:rsidRPr="008660D0">
        <w:rPr>
          <w:rFonts w:eastAsia="Calibri" w:cs="Arial"/>
          <w:i/>
          <w:szCs w:val="16"/>
          <w:lang w:val="en-GB" w:eastAsia="en-US"/>
        </w:rPr>
        <w:t>*) International Classification of Causes of Deaths</w:t>
      </w:r>
    </w:p>
    <w:p w14:paraId="5EB2134D" w14:textId="77777777" w:rsidR="004A3243" w:rsidRPr="008660D0" w:rsidRDefault="004A3243" w:rsidP="00123F2B">
      <w:pPr>
        <w:spacing w:after="120" w:line="288" w:lineRule="auto"/>
        <w:ind w:firstLine="142"/>
        <w:rPr>
          <w:rFonts w:eastAsia="Calibri" w:cs="Arial"/>
          <w:i/>
          <w:szCs w:val="16"/>
          <w:lang w:val="en-GB" w:eastAsia="en-US"/>
        </w:rPr>
      </w:pPr>
      <w:r w:rsidRPr="008660D0">
        <w:rPr>
          <w:rFonts w:eastAsia="Calibri" w:cs="Arial"/>
          <w:i/>
          <w:szCs w:val="16"/>
          <w:lang w:val="en-GB" w:eastAsia="en-US"/>
        </w:rPr>
        <w:t>**) Approved by International Statistical Institute, resp. by Health Organisation of League of Nations.</w:t>
      </w:r>
    </w:p>
    <w:p w14:paraId="683DADE9" w14:textId="7760D1BC" w:rsidR="004A3243" w:rsidRPr="00D9616F" w:rsidRDefault="004D761C" w:rsidP="005E6023">
      <w:pPr>
        <w:spacing w:after="120" w:line="288" w:lineRule="auto"/>
        <w:rPr>
          <w:rFonts w:eastAsia="Arial Unicode MS" w:cs="Arial"/>
          <w:bCs w:val="0"/>
          <w:sz w:val="20"/>
          <w:lang w:val="en-GB"/>
        </w:rPr>
      </w:pPr>
      <w:r w:rsidRPr="00D9616F">
        <w:rPr>
          <w:rFonts w:eastAsia="Arial Unicode MS" w:cs="Arial"/>
          <w:bCs w:val="0"/>
          <w:sz w:val="20"/>
          <w:lang w:val="en-GB"/>
        </w:rPr>
        <w:t xml:space="preserve">Titles of </w:t>
      </w:r>
      <w:r w:rsidR="004A3243" w:rsidRPr="00D9616F">
        <w:rPr>
          <w:rFonts w:eastAsia="Arial Unicode MS" w:cs="Arial"/>
          <w:bCs w:val="0"/>
          <w:sz w:val="20"/>
          <w:lang w:val="en-GB"/>
        </w:rPr>
        <w:t>chapter</w:t>
      </w:r>
      <w:r w:rsidRPr="00D9616F">
        <w:rPr>
          <w:rFonts w:eastAsia="Arial Unicode MS" w:cs="Arial"/>
          <w:bCs w:val="0"/>
          <w:sz w:val="20"/>
          <w:lang w:val="en-GB"/>
        </w:rPr>
        <w:t>s</w:t>
      </w:r>
      <w:r w:rsidR="004A3243" w:rsidRPr="00D9616F">
        <w:rPr>
          <w:rFonts w:eastAsia="Arial Unicode MS" w:cs="Arial"/>
          <w:bCs w:val="0"/>
          <w:sz w:val="20"/>
          <w:lang w:val="en-GB"/>
        </w:rPr>
        <w:t xml:space="preserve"> of </w:t>
      </w:r>
      <w:r w:rsidRPr="00D9616F">
        <w:rPr>
          <w:rFonts w:eastAsia="Arial Unicode MS" w:cs="Arial"/>
          <w:bCs w:val="0"/>
          <w:sz w:val="20"/>
          <w:lang w:val="en-GB"/>
        </w:rPr>
        <w:t>ICD</w:t>
      </w:r>
      <w:r w:rsidR="004A3243" w:rsidRPr="00D9616F">
        <w:rPr>
          <w:rFonts w:eastAsia="Arial Unicode MS" w:cs="Arial"/>
          <w:bCs w:val="0"/>
          <w:sz w:val="20"/>
          <w:lang w:val="en-GB"/>
        </w:rPr>
        <w:t xml:space="preserve"> </w:t>
      </w:r>
      <w:r w:rsidRPr="00D9616F">
        <w:rPr>
          <w:rFonts w:eastAsia="Arial Unicode MS" w:cs="Arial"/>
          <w:bCs w:val="0"/>
          <w:sz w:val="20"/>
          <w:lang w:val="en-GB"/>
        </w:rPr>
        <w:t>presented</w:t>
      </w:r>
      <w:r w:rsidR="004A3243" w:rsidRPr="00D9616F">
        <w:rPr>
          <w:rFonts w:eastAsia="Arial Unicode MS" w:cs="Arial"/>
          <w:bCs w:val="0"/>
          <w:sz w:val="20"/>
          <w:lang w:val="en-GB"/>
        </w:rPr>
        <w:t xml:space="preserve"> in Demographic Handbook:</w:t>
      </w:r>
    </w:p>
    <w:tbl>
      <w:tblPr>
        <w:tblW w:w="928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81"/>
        <w:gridCol w:w="732"/>
        <w:gridCol w:w="3319"/>
        <w:gridCol w:w="4052"/>
      </w:tblGrid>
      <w:tr w:rsidR="004D761C" w:rsidRPr="004D761C" w14:paraId="2C6C3C71" w14:textId="77777777" w:rsidTr="004D761C">
        <w:trPr>
          <w:trHeight w:hRule="exact" w:val="255"/>
        </w:trPr>
        <w:tc>
          <w:tcPr>
            <w:tcW w:w="1181" w:type="dxa"/>
            <w:shd w:val="clear" w:color="auto" w:fill="auto"/>
            <w:noWrap/>
            <w:vAlign w:val="center"/>
            <w:hideMark/>
          </w:tcPr>
          <w:p w14:paraId="3C78AFD7" w14:textId="4679F12B" w:rsidR="004D761C" w:rsidRPr="004D761C" w:rsidRDefault="004D761C" w:rsidP="00123F2B">
            <w:pPr>
              <w:spacing w:line="288" w:lineRule="auto"/>
              <w:rPr>
                <w:rFonts w:cs="Arial"/>
                <w:b/>
                <w:i/>
                <w:color w:val="000000"/>
                <w:szCs w:val="16"/>
                <w:lang w:val="en-GB"/>
              </w:rPr>
            </w:pPr>
            <w:r w:rsidRPr="004D761C">
              <w:rPr>
                <w:rFonts w:eastAsia="Calibri" w:cs="Arial"/>
                <w:b/>
                <w:i/>
                <w:szCs w:val="16"/>
                <w:lang w:val="en-GB" w:eastAsia="en-US"/>
              </w:rPr>
              <w:t>Chapter</w:t>
            </w:r>
          </w:p>
        </w:tc>
        <w:tc>
          <w:tcPr>
            <w:tcW w:w="4051" w:type="dxa"/>
            <w:gridSpan w:val="2"/>
            <w:shd w:val="clear" w:color="auto" w:fill="auto"/>
            <w:noWrap/>
            <w:vAlign w:val="center"/>
            <w:hideMark/>
          </w:tcPr>
          <w:p w14:paraId="7CFEA6AA" w14:textId="17F71850" w:rsidR="004D761C" w:rsidRPr="004D761C" w:rsidRDefault="004D761C" w:rsidP="00123F2B">
            <w:pPr>
              <w:spacing w:line="288" w:lineRule="auto"/>
              <w:rPr>
                <w:rFonts w:cs="Arial"/>
                <w:b/>
                <w:i/>
                <w:color w:val="000000"/>
                <w:szCs w:val="16"/>
                <w:lang w:val="en-GB"/>
              </w:rPr>
            </w:pPr>
            <w:r w:rsidRPr="004D761C">
              <w:rPr>
                <w:rFonts w:eastAsia="Calibri" w:cs="Arial"/>
                <w:b/>
                <w:i/>
                <w:szCs w:val="16"/>
                <w:lang w:val="en-GB" w:eastAsia="en-US"/>
              </w:rPr>
              <w:t>ICD-6</w:t>
            </w:r>
          </w:p>
        </w:tc>
        <w:tc>
          <w:tcPr>
            <w:tcW w:w="4052" w:type="dxa"/>
            <w:shd w:val="clear" w:color="auto" w:fill="auto"/>
            <w:noWrap/>
            <w:vAlign w:val="center"/>
            <w:hideMark/>
          </w:tcPr>
          <w:p w14:paraId="504CC69C" w14:textId="13F2C1C6" w:rsidR="004D761C" w:rsidRPr="004D761C" w:rsidRDefault="004D761C" w:rsidP="00123F2B">
            <w:pPr>
              <w:spacing w:line="288" w:lineRule="auto"/>
              <w:rPr>
                <w:rFonts w:cs="Arial"/>
                <w:b/>
                <w:i/>
                <w:color w:val="000000"/>
                <w:szCs w:val="16"/>
                <w:lang w:val="en-GB"/>
              </w:rPr>
            </w:pPr>
            <w:r w:rsidRPr="004D761C">
              <w:rPr>
                <w:b/>
                <w:i/>
                <w:lang w:val="en-GB"/>
              </w:rPr>
              <w:t>ICD-7</w:t>
            </w:r>
          </w:p>
        </w:tc>
      </w:tr>
      <w:tr w:rsidR="004D761C" w:rsidRPr="004D761C" w14:paraId="65EDDEF3" w14:textId="77777777" w:rsidTr="004D761C">
        <w:trPr>
          <w:trHeight w:hRule="exact" w:val="255"/>
        </w:trPr>
        <w:tc>
          <w:tcPr>
            <w:tcW w:w="1181" w:type="dxa"/>
            <w:shd w:val="clear" w:color="auto" w:fill="auto"/>
            <w:noWrap/>
            <w:vAlign w:val="center"/>
            <w:hideMark/>
          </w:tcPr>
          <w:p w14:paraId="4F5798DC" w14:textId="46CA5B93"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I</w:t>
            </w:r>
          </w:p>
        </w:tc>
        <w:tc>
          <w:tcPr>
            <w:tcW w:w="4051" w:type="dxa"/>
            <w:gridSpan w:val="2"/>
            <w:shd w:val="clear" w:color="auto" w:fill="auto"/>
            <w:noWrap/>
            <w:vAlign w:val="center"/>
            <w:hideMark/>
          </w:tcPr>
          <w:p w14:paraId="6E9019A5" w14:textId="04A83BA5" w:rsidR="004D761C" w:rsidRPr="004D761C" w:rsidRDefault="004D761C" w:rsidP="00123F2B">
            <w:pPr>
              <w:spacing w:line="288" w:lineRule="auto"/>
              <w:rPr>
                <w:rFonts w:cs="Arial"/>
                <w:bCs w:val="0"/>
                <w:i/>
                <w:szCs w:val="16"/>
                <w:lang w:val="en-GB"/>
              </w:rPr>
            </w:pPr>
            <w:r w:rsidRPr="004D761C">
              <w:rPr>
                <w:rFonts w:eastAsia="Calibri" w:cs="Arial"/>
                <w:i/>
                <w:szCs w:val="16"/>
                <w:lang w:val="en-GB" w:eastAsia="en-US"/>
              </w:rPr>
              <w:t>Infective and parasitic diseases</w:t>
            </w:r>
          </w:p>
        </w:tc>
        <w:tc>
          <w:tcPr>
            <w:tcW w:w="4052" w:type="dxa"/>
            <w:shd w:val="clear" w:color="auto" w:fill="auto"/>
            <w:noWrap/>
            <w:vAlign w:val="center"/>
            <w:hideMark/>
          </w:tcPr>
          <w:p w14:paraId="2934B419" w14:textId="289CA652" w:rsidR="004D761C" w:rsidRPr="004D761C" w:rsidRDefault="004D761C" w:rsidP="00123F2B">
            <w:pPr>
              <w:spacing w:line="288" w:lineRule="auto"/>
              <w:rPr>
                <w:rFonts w:cs="Arial"/>
                <w:bCs w:val="0"/>
                <w:i/>
                <w:color w:val="000000"/>
                <w:szCs w:val="16"/>
                <w:lang w:val="en-GB"/>
              </w:rPr>
            </w:pPr>
            <w:r w:rsidRPr="004D761C">
              <w:rPr>
                <w:i/>
                <w:lang w:val="en-GB"/>
              </w:rPr>
              <w:t>Infectious and parasitic diseases</w:t>
            </w:r>
          </w:p>
        </w:tc>
      </w:tr>
      <w:tr w:rsidR="004D761C" w:rsidRPr="004D761C" w14:paraId="70951BA4" w14:textId="77777777" w:rsidTr="004D761C">
        <w:trPr>
          <w:trHeight w:hRule="exact" w:val="255"/>
        </w:trPr>
        <w:tc>
          <w:tcPr>
            <w:tcW w:w="1181" w:type="dxa"/>
            <w:shd w:val="clear" w:color="auto" w:fill="auto"/>
            <w:noWrap/>
            <w:vAlign w:val="center"/>
            <w:hideMark/>
          </w:tcPr>
          <w:p w14:paraId="718EEF22" w14:textId="67E776C3"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II</w:t>
            </w:r>
          </w:p>
        </w:tc>
        <w:tc>
          <w:tcPr>
            <w:tcW w:w="4051" w:type="dxa"/>
            <w:gridSpan w:val="2"/>
            <w:shd w:val="clear" w:color="auto" w:fill="auto"/>
            <w:noWrap/>
            <w:vAlign w:val="center"/>
            <w:hideMark/>
          </w:tcPr>
          <w:p w14:paraId="1378E9E9" w14:textId="3E085A6E" w:rsidR="004D761C" w:rsidRPr="004D761C" w:rsidRDefault="004D761C" w:rsidP="00123F2B">
            <w:pPr>
              <w:spacing w:line="288" w:lineRule="auto"/>
              <w:rPr>
                <w:rFonts w:cs="Arial"/>
                <w:bCs w:val="0"/>
                <w:i/>
                <w:szCs w:val="16"/>
                <w:lang w:val="en-GB"/>
              </w:rPr>
            </w:pPr>
            <w:r w:rsidRPr="004D761C">
              <w:rPr>
                <w:rFonts w:eastAsia="Calibri" w:cs="Arial"/>
                <w:i/>
                <w:szCs w:val="16"/>
                <w:lang w:val="en-GB" w:eastAsia="en-US"/>
              </w:rPr>
              <w:t>Neoplasms</w:t>
            </w:r>
          </w:p>
        </w:tc>
        <w:tc>
          <w:tcPr>
            <w:tcW w:w="4052" w:type="dxa"/>
            <w:shd w:val="clear" w:color="auto" w:fill="auto"/>
            <w:noWrap/>
            <w:vAlign w:val="center"/>
            <w:hideMark/>
          </w:tcPr>
          <w:p w14:paraId="20B23B2E" w14:textId="0F224066" w:rsidR="004D761C" w:rsidRPr="004D761C" w:rsidRDefault="004D761C" w:rsidP="00123F2B">
            <w:pPr>
              <w:spacing w:line="288" w:lineRule="auto"/>
              <w:rPr>
                <w:rFonts w:cs="Arial"/>
                <w:bCs w:val="0"/>
                <w:i/>
                <w:color w:val="000000"/>
                <w:szCs w:val="16"/>
                <w:lang w:val="en-GB"/>
              </w:rPr>
            </w:pPr>
            <w:r w:rsidRPr="004D761C">
              <w:rPr>
                <w:i/>
                <w:lang w:val="en-GB"/>
              </w:rPr>
              <w:t>Neoplasms</w:t>
            </w:r>
          </w:p>
        </w:tc>
      </w:tr>
      <w:tr w:rsidR="004D761C" w:rsidRPr="004D761C" w14:paraId="7DAF9282" w14:textId="77777777" w:rsidTr="004D761C">
        <w:trPr>
          <w:trHeight w:hRule="exact" w:val="255"/>
        </w:trPr>
        <w:tc>
          <w:tcPr>
            <w:tcW w:w="1181" w:type="dxa"/>
            <w:shd w:val="clear" w:color="auto" w:fill="auto"/>
            <w:noWrap/>
            <w:vAlign w:val="center"/>
            <w:hideMark/>
          </w:tcPr>
          <w:p w14:paraId="23524ACE" w14:textId="51307AA6"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III</w:t>
            </w:r>
          </w:p>
        </w:tc>
        <w:tc>
          <w:tcPr>
            <w:tcW w:w="4051" w:type="dxa"/>
            <w:gridSpan w:val="2"/>
            <w:shd w:val="clear" w:color="auto" w:fill="auto"/>
            <w:noWrap/>
            <w:vAlign w:val="center"/>
            <w:hideMark/>
          </w:tcPr>
          <w:p w14:paraId="270C8DCA" w14:textId="2153AFCE" w:rsidR="004D761C" w:rsidRPr="004D761C" w:rsidRDefault="004D761C" w:rsidP="00123F2B">
            <w:pPr>
              <w:spacing w:line="288" w:lineRule="auto"/>
              <w:rPr>
                <w:rFonts w:cs="Arial"/>
                <w:bCs w:val="0"/>
                <w:i/>
                <w:szCs w:val="16"/>
                <w:lang w:val="en-GB"/>
              </w:rPr>
            </w:pPr>
            <w:r w:rsidRPr="004D761C">
              <w:rPr>
                <w:rFonts w:eastAsia="Calibri" w:cs="Arial"/>
                <w:i/>
                <w:szCs w:val="16"/>
                <w:lang w:val="en-GB" w:eastAsia="en-US"/>
              </w:rPr>
              <w:t>Allergic, endocrine, metabolic and nutritional diseases</w:t>
            </w:r>
          </w:p>
        </w:tc>
        <w:tc>
          <w:tcPr>
            <w:tcW w:w="4052" w:type="dxa"/>
            <w:shd w:val="clear" w:color="auto" w:fill="auto"/>
            <w:noWrap/>
            <w:vAlign w:val="center"/>
            <w:hideMark/>
          </w:tcPr>
          <w:p w14:paraId="27A846C4" w14:textId="0A44B7A3" w:rsidR="004D761C" w:rsidRPr="004D761C" w:rsidRDefault="004D761C" w:rsidP="00123F2B">
            <w:pPr>
              <w:spacing w:line="288" w:lineRule="auto"/>
              <w:rPr>
                <w:rFonts w:cs="Arial"/>
                <w:bCs w:val="0"/>
                <w:i/>
                <w:color w:val="000000"/>
                <w:szCs w:val="16"/>
                <w:lang w:val="en-GB"/>
              </w:rPr>
            </w:pPr>
            <w:r w:rsidRPr="004D761C">
              <w:rPr>
                <w:i/>
                <w:lang w:val="en-GB"/>
              </w:rPr>
              <w:t>Allergic, endocrine, metabolic and nutritional diseases</w:t>
            </w:r>
          </w:p>
        </w:tc>
      </w:tr>
      <w:tr w:rsidR="004D761C" w:rsidRPr="004D761C" w14:paraId="3FAA9893" w14:textId="77777777" w:rsidTr="004D761C">
        <w:trPr>
          <w:trHeight w:hRule="exact" w:val="255"/>
        </w:trPr>
        <w:tc>
          <w:tcPr>
            <w:tcW w:w="1181" w:type="dxa"/>
            <w:shd w:val="clear" w:color="auto" w:fill="auto"/>
            <w:noWrap/>
            <w:vAlign w:val="center"/>
            <w:hideMark/>
          </w:tcPr>
          <w:p w14:paraId="5394861A" w14:textId="76F5EEEB"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IV</w:t>
            </w:r>
          </w:p>
        </w:tc>
        <w:tc>
          <w:tcPr>
            <w:tcW w:w="4051" w:type="dxa"/>
            <w:gridSpan w:val="2"/>
            <w:shd w:val="clear" w:color="auto" w:fill="auto"/>
            <w:vAlign w:val="center"/>
            <w:hideMark/>
          </w:tcPr>
          <w:p w14:paraId="03E97D79" w14:textId="2DC13099" w:rsidR="004D761C" w:rsidRPr="004D761C" w:rsidRDefault="004D761C" w:rsidP="00123F2B">
            <w:pPr>
              <w:spacing w:line="288" w:lineRule="auto"/>
              <w:rPr>
                <w:rFonts w:cs="Arial"/>
                <w:bCs w:val="0"/>
                <w:i/>
                <w:szCs w:val="16"/>
                <w:lang w:val="en-GB"/>
              </w:rPr>
            </w:pPr>
            <w:r w:rsidRPr="004D761C">
              <w:rPr>
                <w:rFonts w:eastAsia="Calibri" w:cs="Arial"/>
                <w:i/>
                <w:szCs w:val="16"/>
                <w:lang w:val="en-GB" w:eastAsia="en-US"/>
              </w:rPr>
              <w:t>Diseases of the blood and blood-forming organs</w:t>
            </w:r>
          </w:p>
        </w:tc>
        <w:tc>
          <w:tcPr>
            <w:tcW w:w="4052" w:type="dxa"/>
            <w:shd w:val="clear" w:color="auto" w:fill="auto"/>
            <w:noWrap/>
            <w:vAlign w:val="center"/>
            <w:hideMark/>
          </w:tcPr>
          <w:p w14:paraId="2F7F3F42" w14:textId="4FBD3819" w:rsidR="004D761C" w:rsidRPr="004D761C" w:rsidRDefault="004D761C" w:rsidP="00123F2B">
            <w:pPr>
              <w:spacing w:line="288" w:lineRule="auto"/>
              <w:rPr>
                <w:rFonts w:cs="Arial"/>
                <w:bCs w:val="0"/>
                <w:i/>
                <w:color w:val="000000"/>
                <w:szCs w:val="16"/>
                <w:lang w:val="en-GB"/>
              </w:rPr>
            </w:pPr>
            <w:r w:rsidRPr="004D761C">
              <w:rPr>
                <w:i/>
                <w:lang w:val="en-GB"/>
              </w:rPr>
              <w:t>Diseases of the blood and blood-forming organs</w:t>
            </w:r>
          </w:p>
        </w:tc>
      </w:tr>
      <w:tr w:rsidR="004D761C" w:rsidRPr="004D761C" w14:paraId="02D925E4" w14:textId="77777777" w:rsidTr="004D761C">
        <w:trPr>
          <w:trHeight w:hRule="exact" w:val="255"/>
        </w:trPr>
        <w:tc>
          <w:tcPr>
            <w:tcW w:w="1181" w:type="dxa"/>
            <w:shd w:val="clear" w:color="auto" w:fill="auto"/>
            <w:noWrap/>
            <w:vAlign w:val="center"/>
            <w:hideMark/>
          </w:tcPr>
          <w:p w14:paraId="0EAC11D4" w14:textId="2315A3CC"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V</w:t>
            </w:r>
          </w:p>
        </w:tc>
        <w:tc>
          <w:tcPr>
            <w:tcW w:w="4051" w:type="dxa"/>
            <w:gridSpan w:val="2"/>
            <w:shd w:val="clear" w:color="auto" w:fill="auto"/>
            <w:noWrap/>
            <w:vAlign w:val="center"/>
            <w:hideMark/>
          </w:tcPr>
          <w:p w14:paraId="7A349DFF" w14:textId="0B899458" w:rsidR="004D761C" w:rsidRPr="004D761C" w:rsidRDefault="004D761C" w:rsidP="00123F2B">
            <w:pPr>
              <w:spacing w:line="288" w:lineRule="auto"/>
              <w:rPr>
                <w:rFonts w:cs="Arial"/>
                <w:bCs w:val="0"/>
                <w:i/>
                <w:szCs w:val="16"/>
                <w:lang w:val="en-GB"/>
              </w:rPr>
            </w:pPr>
            <w:r w:rsidRPr="004D761C">
              <w:rPr>
                <w:rFonts w:eastAsia="Calibri" w:cs="Arial"/>
                <w:i/>
                <w:szCs w:val="16"/>
                <w:lang w:val="en-GB" w:eastAsia="en-US"/>
              </w:rPr>
              <w:t>Mental disorders, psychoneuroses and personality disorders</w:t>
            </w:r>
          </w:p>
        </w:tc>
        <w:tc>
          <w:tcPr>
            <w:tcW w:w="4052" w:type="dxa"/>
            <w:shd w:val="clear" w:color="auto" w:fill="auto"/>
            <w:noWrap/>
            <w:vAlign w:val="center"/>
            <w:hideMark/>
          </w:tcPr>
          <w:p w14:paraId="4F9E3161" w14:textId="00569561" w:rsidR="004D761C" w:rsidRPr="004D761C" w:rsidRDefault="004D761C" w:rsidP="00123F2B">
            <w:pPr>
              <w:spacing w:line="288" w:lineRule="auto"/>
              <w:rPr>
                <w:rFonts w:cs="Arial"/>
                <w:bCs w:val="0"/>
                <w:i/>
                <w:color w:val="000000"/>
                <w:szCs w:val="16"/>
                <w:lang w:val="en-GB"/>
              </w:rPr>
            </w:pPr>
            <w:r w:rsidRPr="004D761C">
              <w:rPr>
                <w:i/>
                <w:lang w:val="en-GB"/>
              </w:rPr>
              <w:t>Mental disorders, psychoneuroses and personality disorders</w:t>
            </w:r>
          </w:p>
        </w:tc>
      </w:tr>
      <w:tr w:rsidR="004D761C" w:rsidRPr="004D761C" w14:paraId="407CA924" w14:textId="77777777" w:rsidTr="004D761C">
        <w:trPr>
          <w:trHeight w:hRule="exact" w:val="255"/>
        </w:trPr>
        <w:tc>
          <w:tcPr>
            <w:tcW w:w="1181" w:type="dxa"/>
            <w:shd w:val="clear" w:color="auto" w:fill="auto"/>
            <w:noWrap/>
            <w:vAlign w:val="center"/>
            <w:hideMark/>
          </w:tcPr>
          <w:p w14:paraId="5F8F5286" w14:textId="59D6A2B2"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VI</w:t>
            </w:r>
          </w:p>
        </w:tc>
        <w:tc>
          <w:tcPr>
            <w:tcW w:w="4051" w:type="dxa"/>
            <w:gridSpan w:val="2"/>
            <w:shd w:val="clear" w:color="auto" w:fill="auto"/>
            <w:vAlign w:val="center"/>
            <w:hideMark/>
          </w:tcPr>
          <w:p w14:paraId="185DCF74" w14:textId="34ACD8F5" w:rsidR="004D761C" w:rsidRPr="004D761C" w:rsidRDefault="004D761C" w:rsidP="00123F2B">
            <w:pPr>
              <w:spacing w:line="288" w:lineRule="auto"/>
              <w:rPr>
                <w:rFonts w:cs="Arial"/>
                <w:bCs w:val="0"/>
                <w:i/>
                <w:szCs w:val="16"/>
                <w:lang w:val="en-GB"/>
              </w:rPr>
            </w:pPr>
            <w:r w:rsidRPr="004D761C">
              <w:rPr>
                <w:rFonts w:eastAsia="Calibri" w:cs="Arial"/>
                <w:i/>
                <w:szCs w:val="16"/>
                <w:lang w:val="en-GB" w:eastAsia="en-US"/>
              </w:rPr>
              <w:t>Diseases of the nervous system and sense organs</w:t>
            </w:r>
          </w:p>
        </w:tc>
        <w:tc>
          <w:tcPr>
            <w:tcW w:w="4052" w:type="dxa"/>
            <w:shd w:val="clear" w:color="auto" w:fill="auto"/>
            <w:noWrap/>
            <w:vAlign w:val="center"/>
            <w:hideMark/>
          </w:tcPr>
          <w:p w14:paraId="61EC476A" w14:textId="5A61221C" w:rsidR="004D761C" w:rsidRPr="004D761C" w:rsidRDefault="004D761C" w:rsidP="00123F2B">
            <w:pPr>
              <w:spacing w:line="288" w:lineRule="auto"/>
              <w:rPr>
                <w:rFonts w:cs="Arial"/>
                <w:bCs w:val="0"/>
                <w:i/>
                <w:color w:val="000000"/>
                <w:szCs w:val="16"/>
                <w:lang w:val="en-GB"/>
              </w:rPr>
            </w:pPr>
            <w:r w:rsidRPr="004D761C">
              <w:rPr>
                <w:i/>
                <w:lang w:val="en-GB"/>
              </w:rPr>
              <w:t>Diseases of the nervous system and sense organs</w:t>
            </w:r>
          </w:p>
        </w:tc>
      </w:tr>
      <w:tr w:rsidR="004D761C" w:rsidRPr="004D761C" w14:paraId="7D6F08C6" w14:textId="77777777" w:rsidTr="004D761C">
        <w:trPr>
          <w:trHeight w:hRule="exact" w:val="255"/>
        </w:trPr>
        <w:tc>
          <w:tcPr>
            <w:tcW w:w="1181" w:type="dxa"/>
            <w:shd w:val="clear" w:color="auto" w:fill="auto"/>
            <w:noWrap/>
            <w:vAlign w:val="center"/>
            <w:hideMark/>
          </w:tcPr>
          <w:p w14:paraId="097198AE" w14:textId="750FCB68"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VII</w:t>
            </w:r>
          </w:p>
        </w:tc>
        <w:tc>
          <w:tcPr>
            <w:tcW w:w="4051" w:type="dxa"/>
            <w:gridSpan w:val="2"/>
            <w:shd w:val="clear" w:color="auto" w:fill="auto"/>
            <w:noWrap/>
            <w:vAlign w:val="center"/>
            <w:hideMark/>
          </w:tcPr>
          <w:p w14:paraId="65FB1371" w14:textId="39EF799B" w:rsidR="004D761C" w:rsidRPr="004D761C" w:rsidRDefault="004D761C" w:rsidP="00123F2B">
            <w:pPr>
              <w:spacing w:line="288" w:lineRule="auto"/>
              <w:rPr>
                <w:rFonts w:cs="Arial"/>
                <w:bCs w:val="0"/>
                <w:i/>
                <w:szCs w:val="16"/>
                <w:lang w:val="en-GB"/>
              </w:rPr>
            </w:pPr>
            <w:r w:rsidRPr="004D761C">
              <w:rPr>
                <w:rFonts w:eastAsia="Calibri" w:cs="Arial"/>
                <w:i/>
                <w:szCs w:val="16"/>
                <w:lang w:val="en-GB" w:eastAsia="en-US"/>
              </w:rPr>
              <w:t>Diseases of the circulatory system</w:t>
            </w:r>
          </w:p>
        </w:tc>
        <w:tc>
          <w:tcPr>
            <w:tcW w:w="4052" w:type="dxa"/>
            <w:shd w:val="clear" w:color="auto" w:fill="auto"/>
            <w:noWrap/>
            <w:vAlign w:val="center"/>
            <w:hideMark/>
          </w:tcPr>
          <w:p w14:paraId="6C25B3C9" w14:textId="03636F4F" w:rsidR="004D761C" w:rsidRPr="004D761C" w:rsidRDefault="004D761C" w:rsidP="00123F2B">
            <w:pPr>
              <w:spacing w:line="288" w:lineRule="auto"/>
              <w:rPr>
                <w:rFonts w:cs="Arial"/>
                <w:bCs w:val="0"/>
                <w:i/>
                <w:color w:val="000000"/>
                <w:szCs w:val="16"/>
                <w:lang w:val="en-GB"/>
              </w:rPr>
            </w:pPr>
            <w:r w:rsidRPr="004D761C">
              <w:rPr>
                <w:i/>
                <w:lang w:val="en-GB"/>
              </w:rPr>
              <w:t>Diseases of the circulatory system</w:t>
            </w:r>
          </w:p>
        </w:tc>
      </w:tr>
      <w:tr w:rsidR="004D761C" w:rsidRPr="004D761C" w14:paraId="4407DC84" w14:textId="77777777" w:rsidTr="004D761C">
        <w:trPr>
          <w:trHeight w:hRule="exact" w:val="255"/>
        </w:trPr>
        <w:tc>
          <w:tcPr>
            <w:tcW w:w="1181" w:type="dxa"/>
            <w:shd w:val="clear" w:color="auto" w:fill="auto"/>
            <w:noWrap/>
            <w:vAlign w:val="center"/>
            <w:hideMark/>
          </w:tcPr>
          <w:p w14:paraId="27B07D5B" w14:textId="644CB3C8"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VIII</w:t>
            </w:r>
          </w:p>
        </w:tc>
        <w:tc>
          <w:tcPr>
            <w:tcW w:w="4051" w:type="dxa"/>
            <w:gridSpan w:val="2"/>
            <w:shd w:val="clear" w:color="auto" w:fill="auto"/>
            <w:noWrap/>
            <w:vAlign w:val="center"/>
            <w:hideMark/>
          </w:tcPr>
          <w:p w14:paraId="38C5D56A" w14:textId="46D439C9" w:rsidR="004D761C" w:rsidRPr="004D761C" w:rsidRDefault="004D761C" w:rsidP="00123F2B">
            <w:pPr>
              <w:spacing w:line="288" w:lineRule="auto"/>
              <w:rPr>
                <w:rFonts w:cs="Arial"/>
                <w:bCs w:val="0"/>
                <w:i/>
                <w:szCs w:val="16"/>
                <w:lang w:val="en-GB"/>
              </w:rPr>
            </w:pPr>
            <w:r w:rsidRPr="004D761C">
              <w:rPr>
                <w:rFonts w:eastAsia="Calibri" w:cs="Arial"/>
                <w:i/>
                <w:szCs w:val="16"/>
                <w:lang w:val="en-GB" w:eastAsia="en-US"/>
              </w:rPr>
              <w:t>Diseases of the respiratory system</w:t>
            </w:r>
          </w:p>
        </w:tc>
        <w:tc>
          <w:tcPr>
            <w:tcW w:w="4052" w:type="dxa"/>
            <w:shd w:val="clear" w:color="auto" w:fill="auto"/>
            <w:noWrap/>
            <w:vAlign w:val="center"/>
            <w:hideMark/>
          </w:tcPr>
          <w:p w14:paraId="189916AE" w14:textId="779EFA20" w:rsidR="004D761C" w:rsidRPr="004D761C" w:rsidRDefault="004D761C" w:rsidP="00123F2B">
            <w:pPr>
              <w:spacing w:line="288" w:lineRule="auto"/>
              <w:rPr>
                <w:rFonts w:cs="Arial"/>
                <w:bCs w:val="0"/>
                <w:i/>
                <w:color w:val="000000"/>
                <w:szCs w:val="16"/>
                <w:lang w:val="en-GB"/>
              </w:rPr>
            </w:pPr>
            <w:r w:rsidRPr="004D761C">
              <w:rPr>
                <w:i/>
                <w:lang w:val="en-GB"/>
              </w:rPr>
              <w:t>Diseases of the respiratory system</w:t>
            </w:r>
          </w:p>
        </w:tc>
      </w:tr>
      <w:tr w:rsidR="004D761C" w:rsidRPr="004D761C" w14:paraId="749D1998" w14:textId="77777777" w:rsidTr="004D761C">
        <w:trPr>
          <w:trHeight w:hRule="exact" w:val="255"/>
        </w:trPr>
        <w:tc>
          <w:tcPr>
            <w:tcW w:w="1181" w:type="dxa"/>
            <w:shd w:val="clear" w:color="auto" w:fill="auto"/>
            <w:noWrap/>
            <w:vAlign w:val="center"/>
            <w:hideMark/>
          </w:tcPr>
          <w:p w14:paraId="7CA37C7B" w14:textId="2BFF2637"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IX</w:t>
            </w:r>
          </w:p>
        </w:tc>
        <w:tc>
          <w:tcPr>
            <w:tcW w:w="4051" w:type="dxa"/>
            <w:gridSpan w:val="2"/>
            <w:shd w:val="clear" w:color="auto" w:fill="auto"/>
            <w:noWrap/>
            <w:vAlign w:val="center"/>
            <w:hideMark/>
          </w:tcPr>
          <w:p w14:paraId="26EB744B" w14:textId="579CBB38" w:rsidR="004D761C" w:rsidRPr="004D761C" w:rsidRDefault="004D761C" w:rsidP="00123F2B">
            <w:pPr>
              <w:spacing w:line="288" w:lineRule="auto"/>
              <w:rPr>
                <w:rFonts w:cs="Arial"/>
                <w:bCs w:val="0"/>
                <w:i/>
                <w:szCs w:val="16"/>
                <w:lang w:val="en-GB"/>
              </w:rPr>
            </w:pPr>
            <w:r w:rsidRPr="004D761C">
              <w:rPr>
                <w:rFonts w:eastAsia="Calibri" w:cs="Arial"/>
                <w:i/>
                <w:szCs w:val="16"/>
                <w:lang w:val="en-GB" w:eastAsia="en-US"/>
              </w:rPr>
              <w:t>Diseases of the digestive system</w:t>
            </w:r>
          </w:p>
        </w:tc>
        <w:tc>
          <w:tcPr>
            <w:tcW w:w="4052" w:type="dxa"/>
            <w:shd w:val="clear" w:color="auto" w:fill="auto"/>
            <w:noWrap/>
            <w:vAlign w:val="center"/>
            <w:hideMark/>
          </w:tcPr>
          <w:p w14:paraId="31D93398" w14:textId="623881A5" w:rsidR="004D761C" w:rsidRPr="004D761C" w:rsidRDefault="004D761C" w:rsidP="00123F2B">
            <w:pPr>
              <w:spacing w:line="288" w:lineRule="auto"/>
              <w:rPr>
                <w:rFonts w:cs="Arial"/>
                <w:bCs w:val="0"/>
                <w:i/>
                <w:color w:val="000000"/>
                <w:szCs w:val="16"/>
                <w:lang w:val="en-GB"/>
              </w:rPr>
            </w:pPr>
            <w:r w:rsidRPr="004D761C">
              <w:rPr>
                <w:i/>
                <w:lang w:val="en-GB"/>
              </w:rPr>
              <w:t>Diseases of the digestive system</w:t>
            </w:r>
          </w:p>
        </w:tc>
      </w:tr>
      <w:tr w:rsidR="004D761C" w:rsidRPr="004D761C" w14:paraId="7024179E" w14:textId="77777777" w:rsidTr="004D761C">
        <w:trPr>
          <w:trHeight w:hRule="exact" w:val="255"/>
        </w:trPr>
        <w:tc>
          <w:tcPr>
            <w:tcW w:w="1181" w:type="dxa"/>
            <w:shd w:val="clear" w:color="auto" w:fill="auto"/>
            <w:noWrap/>
            <w:vAlign w:val="center"/>
            <w:hideMark/>
          </w:tcPr>
          <w:p w14:paraId="49EBD215" w14:textId="1F48284C"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w:t>
            </w:r>
          </w:p>
        </w:tc>
        <w:tc>
          <w:tcPr>
            <w:tcW w:w="4051" w:type="dxa"/>
            <w:gridSpan w:val="2"/>
            <w:shd w:val="clear" w:color="auto" w:fill="auto"/>
            <w:noWrap/>
            <w:vAlign w:val="center"/>
            <w:hideMark/>
          </w:tcPr>
          <w:p w14:paraId="76E73ED3" w14:textId="381B6A9B" w:rsidR="004D761C" w:rsidRPr="004D761C" w:rsidRDefault="004D761C" w:rsidP="00123F2B">
            <w:pPr>
              <w:spacing w:line="288" w:lineRule="auto"/>
              <w:rPr>
                <w:rFonts w:cs="Arial"/>
                <w:bCs w:val="0"/>
                <w:i/>
                <w:szCs w:val="16"/>
                <w:lang w:val="en-GB"/>
              </w:rPr>
            </w:pPr>
            <w:r w:rsidRPr="004D761C">
              <w:rPr>
                <w:rFonts w:eastAsia="Calibri" w:cs="Arial"/>
                <w:i/>
                <w:szCs w:val="16"/>
                <w:lang w:val="en-GB" w:eastAsia="en-US"/>
              </w:rPr>
              <w:t>Diseases of the genitourinary system</w:t>
            </w:r>
          </w:p>
        </w:tc>
        <w:tc>
          <w:tcPr>
            <w:tcW w:w="4052" w:type="dxa"/>
            <w:shd w:val="clear" w:color="auto" w:fill="auto"/>
            <w:noWrap/>
            <w:vAlign w:val="center"/>
            <w:hideMark/>
          </w:tcPr>
          <w:p w14:paraId="206224A2" w14:textId="220C4582" w:rsidR="004D761C" w:rsidRPr="004D761C" w:rsidRDefault="004D761C" w:rsidP="00123F2B">
            <w:pPr>
              <w:spacing w:line="288" w:lineRule="auto"/>
              <w:rPr>
                <w:rFonts w:cs="Arial"/>
                <w:bCs w:val="0"/>
                <w:i/>
                <w:color w:val="000000"/>
                <w:szCs w:val="16"/>
                <w:lang w:val="en-GB"/>
              </w:rPr>
            </w:pPr>
            <w:r w:rsidRPr="004D761C">
              <w:rPr>
                <w:i/>
                <w:lang w:val="en-GB"/>
              </w:rPr>
              <w:t>Diseases of the genitourinary system</w:t>
            </w:r>
          </w:p>
        </w:tc>
      </w:tr>
      <w:tr w:rsidR="004D761C" w:rsidRPr="004D761C" w14:paraId="167CF2D1" w14:textId="77777777" w:rsidTr="004D761C">
        <w:trPr>
          <w:trHeight w:hRule="exact" w:val="397"/>
        </w:trPr>
        <w:tc>
          <w:tcPr>
            <w:tcW w:w="1181" w:type="dxa"/>
            <w:shd w:val="clear" w:color="auto" w:fill="auto"/>
            <w:noWrap/>
            <w:vAlign w:val="center"/>
            <w:hideMark/>
          </w:tcPr>
          <w:p w14:paraId="33AAEE27" w14:textId="336C7BCA"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XI</w:t>
            </w:r>
          </w:p>
        </w:tc>
        <w:tc>
          <w:tcPr>
            <w:tcW w:w="4051" w:type="dxa"/>
            <w:gridSpan w:val="2"/>
            <w:shd w:val="clear" w:color="auto" w:fill="auto"/>
            <w:noWrap/>
            <w:vAlign w:val="center"/>
            <w:hideMark/>
          </w:tcPr>
          <w:p w14:paraId="3F7F1B6B" w14:textId="1816A344" w:rsidR="004D761C" w:rsidRPr="004D761C" w:rsidRDefault="004D761C" w:rsidP="00123F2B">
            <w:pPr>
              <w:spacing w:line="288" w:lineRule="auto"/>
              <w:rPr>
                <w:rFonts w:cs="Arial"/>
                <w:bCs w:val="0"/>
                <w:i/>
                <w:szCs w:val="16"/>
                <w:lang w:val="en-GB"/>
              </w:rPr>
            </w:pPr>
            <w:r w:rsidRPr="004D761C">
              <w:rPr>
                <w:rFonts w:eastAsia="Calibri" w:cs="Arial"/>
                <w:i/>
                <w:szCs w:val="16"/>
                <w:lang w:val="en-GB" w:eastAsia="en-US"/>
              </w:rPr>
              <w:t>Deliveries, complications of pregnancy, childbirth, and the puerperium</w:t>
            </w:r>
          </w:p>
        </w:tc>
        <w:tc>
          <w:tcPr>
            <w:tcW w:w="4052" w:type="dxa"/>
            <w:shd w:val="clear" w:color="auto" w:fill="auto"/>
            <w:noWrap/>
            <w:vAlign w:val="center"/>
            <w:hideMark/>
          </w:tcPr>
          <w:p w14:paraId="0A4BBC21" w14:textId="063C2028" w:rsidR="004D761C" w:rsidRPr="004D761C" w:rsidRDefault="004D761C" w:rsidP="00123F2B">
            <w:pPr>
              <w:spacing w:line="288" w:lineRule="auto"/>
              <w:rPr>
                <w:rFonts w:cs="Arial"/>
                <w:bCs w:val="0"/>
                <w:i/>
                <w:color w:val="000000"/>
                <w:szCs w:val="16"/>
                <w:lang w:val="en-GB"/>
              </w:rPr>
            </w:pPr>
            <w:r w:rsidRPr="004D761C">
              <w:rPr>
                <w:i/>
                <w:lang w:val="en-GB"/>
              </w:rPr>
              <w:t>Deliveries, complications of pregnancy, childbirth, and the puerperium</w:t>
            </w:r>
          </w:p>
        </w:tc>
      </w:tr>
      <w:tr w:rsidR="004D761C" w:rsidRPr="004D761C" w14:paraId="4B2B76A4" w14:textId="77777777" w:rsidTr="004D761C">
        <w:trPr>
          <w:trHeight w:hRule="exact" w:val="255"/>
        </w:trPr>
        <w:tc>
          <w:tcPr>
            <w:tcW w:w="1181" w:type="dxa"/>
            <w:shd w:val="clear" w:color="auto" w:fill="auto"/>
            <w:noWrap/>
            <w:vAlign w:val="center"/>
            <w:hideMark/>
          </w:tcPr>
          <w:p w14:paraId="527BF193" w14:textId="18C35E12"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lastRenderedPageBreak/>
              <w:t>XII</w:t>
            </w:r>
          </w:p>
        </w:tc>
        <w:tc>
          <w:tcPr>
            <w:tcW w:w="4051" w:type="dxa"/>
            <w:gridSpan w:val="2"/>
            <w:shd w:val="clear" w:color="auto" w:fill="auto"/>
            <w:noWrap/>
            <w:vAlign w:val="center"/>
            <w:hideMark/>
          </w:tcPr>
          <w:p w14:paraId="77EF7056" w14:textId="0A7CF125" w:rsidR="004D761C" w:rsidRPr="004D761C" w:rsidRDefault="004D761C" w:rsidP="00123F2B">
            <w:pPr>
              <w:spacing w:line="288" w:lineRule="auto"/>
              <w:rPr>
                <w:rFonts w:cs="Arial"/>
                <w:bCs w:val="0"/>
                <w:i/>
                <w:szCs w:val="16"/>
                <w:lang w:val="en-GB"/>
              </w:rPr>
            </w:pPr>
            <w:r w:rsidRPr="004D761C">
              <w:rPr>
                <w:rFonts w:eastAsia="Calibri" w:cs="Arial"/>
                <w:i/>
                <w:szCs w:val="16"/>
                <w:lang w:val="en-GB" w:eastAsia="en-US"/>
              </w:rPr>
              <w:t>Diseases of the skin</w:t>
            </w:r>
          </w:p>
        </w:tc>
        <w:tc>
          <w:tcPr>
            <w:tcW w:w="4052" w:type="dxa"/>
            <w:shd w:val="clear" w:color="auto" w:fill="auto"/>
            <w:noWrap/>
            <w:vAlign w:val="center"/>
            <w:hideMark/>
          </w:tcPr>
          <w:p w14:paraId="37B58E93" w14:textId="5F415219" w:rsidR="004D761C" w:rsidRPr="004D761C" w:rsidRDefault="004D761C" w:rsidP="00123F2B">
            <w:pPr>
              <w:spacing w:line="288" w:lineRule="auto"/>
              <w:rPr>
                <w:rFonts w:cs="Arial"/>
                <w:bCs w:val="0"/>
                <w:i/>
                <w:color w:val="000000"/>
                <w:szCs w:val="16"/>
                <w:lang w:val="en-GB"/>
              </w:rPr>
            </w:pPr>
            <w:r w:rsidRPr="004D761C">
              <w:rPr>
                <w:i/>
                <w:lang w:val="en-GB"/>
              </w:rPr>
              <w:t>Diseases of the skin</w:t>
            </w:r>
          </w:p>
        </w:tc>
      </w:tr>
      <w:tr w:rsidR="004D761C" w:rsidRPr="004D761C" w14:paraId="1D83DF5E" w14:textId="77777777" w:rsidTr="004D761C">
        <w:trPr>
          <w:trHeight w:hRule="exact" w:val="255"/>
        </w:trPr>
        <w:tc>
          <w:tcPr>
            <w:tcW w:w="1181" w:type="dxa"/>
            <w:shd w:val="clear" w:color="auto" w:fill="auto"/>
            <w:noWrap/>
            <w:vAlign w:val="center"/>
            <w:hideMark/>
          </w:tcPr>
          <w:p w14:paraId="5D73583A" w14:textId="6D785A25"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XIII</w:t>
            </w:r>
          </w:p>
        </w:tc>
        <w:tc>
          <w:tcPr>
            <w:tcW w:w="4051" w:type="dxa"/>
            <w:gridSpan w:val="2"/>
            <w:shd w:val="clear" w:color="auto" w:fill="auto"/>
            <w:noWrap/>
            <w:vAlign w:val="center"/>
            <w:hideMark/>
          </w:tcPr>
          <w:p w14:paraId="2D0CA36E" w14:textId="25A2B29F" w:rsidR="004D761C" w:rsidRPr="004D761C" w:rsidRDefault="004D761C" w:rsidP="00123F2B">
            <w:pPr>
              <w:spacing w:line="288" w:lineRule="auto"/>
              <w:rPr>
                <w:rFonts w:cs="Arial"/>
                <w:bCs w:val="0"/>
                <w:i/>
                <w:szCs w:val="16"/>
                <w:lang w:val="en-GB"/>
              </w:rPr>
            </w:pPr>
            <w:r w:rsidRPr="004D761C">
              <w:rPr>
                <w:rFonts w:eastAsia="Calibri" w:cs="Arial"/>
                <w:i/>
                <w:szCs w:val="16"/>
                <w:lang w:val="en-GB" w:eastAsia="en-US"/>
              </w:rPr>
              <w:t>Diseases of the bones and musculoskeletal system</w:t>
            </w:r>
          </w:p>
        </w:tc>
        <w:tc>
          <w:tcPr>
            <w:tcW w:w="4052" w:type="dxa"/>
            <w:shd w:val="clear" w:color="auto" w:fill="auto"/>
            <w:noWrap/>
            <w:vAlign w:val="center"/>
            <w:hideMark/>
          </w:tcPr>
          <w:p w14:paraId="58E67E30" w14:textId="18DCE66F" w:rsidR="004D761C" w:rsidRPr="004D761C" w:rsidRDefault="004D761C" w:rsidP="00123F2B">
            <w:pPr>
              <w:spacing w:line="288" w:lineRule="auto"/>
              <w:rPr>
                <w:rFonts w:cs="Arial"/>
                <w:bCs w:val="0"/>
                <w:i/>
                <w:color w:val="000000"/>
                <w:szCs w:val="16"/>
                <w:lang w:val="en-GB"/>
              </w:rPr>
            </w:pPr>
            <w:r w:rsidRPr="004D761C">
              <w:rPr>
                <w:i/>
                <w:lang w:val="en-GB"/>
              </w:rPr>
              <w:t>Diseases of the bones and musculoskeletal system</w:t>
            </w:r>
          </w:p>
        </w:tc>
      </w:tr>
      <w:tr w:rsidR="004D761C" w:rsidRPr="004D761C" w14:paraId="14A3E409" w14:textId="77777777" w:rsidTr="004D761C">
        <w:trPr>
          <w:trHeight w:hRule="exact" w:val="255"/>
        </w:trPr>
        <w:tc>
          <w:tcPr>
            <w:tcW w:w="1181" w:type="dxa"/>
            <w:shd w:val="clear" w:color="auto" w:fill="auto"/>
            <w:noWrap/>
            <w:vAlign w:val="center"/>
            <w:hideMark/>
          </w:tcPr>
          <w:p w14:paraId="671CCA26" w14:textId="5E24C4F5"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XIV</w:t>
            </w:r>
          </w:p>
        </w:tc>
        <w:tc>
          <w:tcPr>
            <w:tcW w:w="4051" w:type="dxa"/>
            <w:gridSpan w:val="2"/>
            <w:shd w:val="clear" w:color="auto" w:fill="auto"/>
            <w:noWrap/>
            <w:vAlign w:val="center"/>
            <w:hideMark/>
          </w:tcPr>
          <w:p w14:paraId="56840C10" w14:textId="24231881" w:rsidR="004D761C" w:rsidRPr="004D761C" w:rsidRDefault="004D761C" w:rsidP="00123F2B">
            <w:pPr>
              <w:spacing w:line="288" w:lineRule="auto"/>
              <w:rPr>
                <w:rFonts w:cs="Arial"/>
                <w:bCs w:val="0"/>
                <w:i/>
                <w:szCs w:val="16"/>
                <w:lang w:val="en-GB"/>
              </w:rPr>
            </w:pPr>
            <w:r w:rsidRPr="004D761C">
              <w:rPr>
                <w:rFonts w:eastAsia="Calibri" w:cs="Arial"/>
                <w:i/>
                <w:szCs w:val="16"/>
                <w:lang w:val="en-GB" w:eastAsia="en-US"/>
              </w:rPr>
              <w:t>Congenital malformations</w:t>
            </w:r>
          </w:p>
        </w:tc>
        <w:tc>
          <w:tcPr>
            <w:tcW w:w="4052" w:type="dxa"/>
            <w:shd w:val="clear" w:color="auto" w:fill="auto"/>
            <w:noWrap/>
            <w:vAlign w:val="center"/>
            <w:hideMark/>
          </w:tcPr>
          <w:p w14:paraId="22CFB01C" w14:textId="07A9BEE0" w:rsidR="004D761C" w:rsidRPr="004D761C" w:rsidRDefault="004D761C" w:rsidP="00123F2B">
            <w:pPr>
              <w:spacing w:line="288" w:lineRule="auto"/>
              <w:rPr>
                <w:rFonts w:cs="Arial"/>
                <w:bCs w:val="0"/>
                <w:i/>
                <w:color w:val="000000"/>
                <w:szCs w:val="16"/>
                <w:lang w:val="en-GB"/>
              </w:rPr>
            </w:pPr>
            <w:r w:rsidRPr="004D761C">
              <w:rPr>
                <w:i/>
                <w:lang w:val="en-GB"/>
              </w:rPr>
              <w:t>Congenital malformations</w:t>
            </w:r>
          </w:p>
        </w:tc>
      </w:tr>
      <w:tr w:rsidR="004D761C" w:rsidRPr="004D761C" w14:paraId="756FEBF0" w14:textId="77777777" w:rsidTr="004D761C">
        <w:trPr>
          <w:trHeight w:hRule="exact" w:val="255"/>
        </w:trPr>
        <w:tc>
          <w:tcPr>
            <w:tcW w:w="1181" w:type="dxa"/>
            <w:shd w:val="clear" w:color="auto" w:fill="auto"/>
            <w:noWrap/>
            <w:vAlign w:val="center"/>
            <w:hideMark/>
          </w:tcPr>
          <w:p w14:paraId="6E6FFA25" w14:textId="690A0611"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XV</w:t>
            </w:r>
          </w:p>
        </w:tc>
        <w:tc>
          <w:tcPr>
            <w:tcW w:w="4051" w:type="dxa"/>
            <w:gridSpan w:val="2"/>
            <w:shd w:val="clear" w:color="auto" w:fill="auto"/>
            <w:noWrap/>
            <w:vAlign w:val="center"/>
            <w:hideMark/>
          </w:tcPr>
          <w:p w14:paraId="58DC4537" w14:textId="143E164C" w:rsidR="004D761C" w:rsidRPr="004D761C" w:rsidRDefault="004D761C" w:rsidP="00123F2B">
            <w:pPr>
              <w:spacing w:line="288" w:lineRule="auto"/>
              <w:rPr>
                <w:rFonts w:cs="Arial"/>
                <w:bCs w:val="0"/>
                <w:i/>
                <w:szCs w:val="16"/>
                <w:lang w:val="en-GB"/>
              </w:rPr>
            </w:pPr>
            <w:r w:rsidRPr="004D761C">
              <w:rPr>
                <w:rFonts w:eastAsia="Calibri" w:cs="Arial"/>
                <w:i/>
                <w:szCs w:val="16"/>
                <w:lang w:val="en-GB" w:eastAsia="en-US"/>
              </w:rPr>
              <w:t>Certain diseases of early infancy</w:t>
            </w:r>
          </w:p>
        </w:tc>
        <w:tc>
          <w:tcPr>
            <w:tcW w:w="4052" w:type="dxa"/>
            <w:shd w:val="clear" w:color="auto" w:fill="auto"/>
            <w:noWrap/>
            <w:vAlign w:val="center"/>
            <w:hideMark/>
          </w:tcPr>
          <w:p w14:paraId="15583EDA" w14:textId="73A2BC34" w:rsidR="004D761C" w:rsidRPr="004D761C" w:rsidRDefault="004D761C" w:rsidP="00123F2B">
            <w:pPr>
              <w:spacing w:line="288" w:lineRule="auto"/>
              <w:rPr>
                <w:rFonts w:cs="Arial"/>
                <w:bCs w:val="0"/>
                <w:i/>
                <w:color w:val="000000"/>
                <w:szCs w:val="16"/>
                <w:lang w:val="en-GB"/>
              </w:rPr>
            </w:pPr>
            <w:r w:rsidRPr="004D761C">
              <w:rPr>
                <w:i/>
                <w:lang w:val="en-GB"/>
              </w:rPr>
              <w:t>Certain diseases of early infancy</w:t>
            </w:r>
          </w:p>
        </w:tc>
      </w:tr>
      <w:tr w:rsidR="004D761C" w:rsidRPr="004D761C" w14:paraId="026737CF" w14:textId="77777777" w:rsidTr="004D761C">
        <w:trPr>
          <w:trHeight w:hRule="exact" w:val="255"/>
        </w:trPr>
        <w:tc>
          <w:tcPr>
            <w:tcW w:w="1181" w:type="dxa"/>
            <w:shd w:val="clear" w:color="auto" w:fill="auto"/>
            <w:noWrap/>
            <w:vAlign w:val="center"/>
            <w:hideMark/>
          </w:tcPr>
          <w:p w14:paraId="61BB3F9C" w14:textId="2D4E669C"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XVI</w:t>
            </w:r>
          </w:p>
        </w:tc>
        <w:tc>
          <w:tcPr>
            <w:tcW w:w="4051" w:type="dxa"/>
            <w:gridSpan w:val="2"/>
            <w:shd w:val="clear" w:color="auto" w:fill="auto"/>
            <w:noWrap/>
            <w:vAlign w:val="center"/>
            <w:hideMark/>
          </w:tcPr>
          <w:p w14:paraId="67843363" w14:textId="65CD1ABE" w:rsidR="004D761C" w:rsidRPr="004D761C" w:rsidRDefault="004D761C" w:rsidP="00123F2B">
            <w:pPr>
              <w:spacing w:line="288" w:lineRule="auto"/>
              <w:rPr>
                <w:rFonts w:cs="Arial"/>
                <w:bCs w:val="0"/>
                <w:i/>
                <w:szCs w:val="16"/>
                <w:lang w:val="en-GB"/>
              </w:rPr>
            </w:pPr>
            <w:r w:rsidRPr="004D761C">
              <w:rPr>
                <w:rFonts w:eastAsia="Calibri" w:cs="Arial"/>
                <w:i/>
                <w:szCs w:val="16"/>
                <w:lang w:val="en-GB" w:eastAsia="en-US"/>
              </w:rPr>
              <w:t>Symptoms, senility, and ill-defined conditions</w:t>
            </w:r>
          </w:p>
        </w:tc>
        <w:tc>
          <w:tcPr>
            <w:tcW w:w="4052" w:type="dxa"/>
            <w:shd w:val="clear" w:color="auto" w:fill="auto"/>
            <w:noWrap/>
            <w:vAlign w:val="center"/>
            <w:hideMark/>
          </w:tcPr>
          <w:p w14:paraId="55B4567F" w14:textId="3C76F846" w:rsidR="004D761C" w:rsidRPr="004D761C" w:rsidRDefault="004D761C" w:rsidP="00123F2B">
            <w:pPr>
              <w:spacing w:line="288" w:lineRule="auto"/>
              <w:rPr>
                <w:rFonts w:cs="Arial"/>
                <w:bCs w:val="0"/>
                <w:i/>
                <w:color w:val="000000"/>
                <w:szCs w:val="16"/>
                <w:lang w:val="en-GB"/>
              </w:rPr>
            </w:pPr>
            <w:r w:rsidRPr="004D761C">
              <w:rPr>
                <w:i/>
                <w:lang w:val="en-GB"/>
              </w:rPr>
              <w:t>Symptoms, senility, and ill-defined conditions</w:t>
            </w:r>
          </w:p>
        </w:tc>
      </w:tr>
      <w:tr w:rsidR="004D761C" w:rsidRPr="004D761C" w14:paraId="3FE0FF70" w14:textId="77777777" w:rsidTr="004D761C">
        <w:trPr>
          <w:trHeight w:hRule="exact" w:val="255"/>
        </w:trPr>
        <w:tc>
          <w:tcPr>
            <w:tcW w:w="1181" w:type="dxa"/>
            <w:shd w:val="clear" w:color="auto" w:fill="auto"/>
            <w:noWrap/>
            <w:vAlign w:val="center"/>
            <w:hideMark/>
          </w:tcPr>
          <w:p w14:paraId="4CD4A25E" w14:textId="5ECE3EF8"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XVII</w:t>
            </w:r>
          </w:p>
        </w:tc>
        <w:tc>
          <w:tcPr>
            <w:tcW w:w="4051" w:type="dxa"/>
            <w:gridSpan w:val="2"/>
            <w:shd w:val="clear" w:color="auto" w:fill="auto"/>
            <w:noWrap/>
            <w:vAlign w:val="center"/>
            <w:hideMark/>
          </w:tcPr>
          <w:p w14:paraId="1465C366" w14:textId="600955E8" w:rsidR="004D761C" w:rsidRPr="004D761C" w:rsidRDefault="004D761C" w:rsidP="00123F2B">
            <w:pPr>
              <w:spacing w:line="288" w:lineRule="auto"/>
              <w:rPr>
                <w:rFonts w:cs="Arial"/>
                <w:bCs w:val="0"/>
                <w:i/>
                <w:szCs w:val="16"/>
                <w:lang w:val="en-GB"/>
              </w:rPr>
            </w:pPr>
            <w:r w:rsidRPr="004D761C">
              <w:rPr>
                <w:rFonts w:eastAsia="Calibri" w:cs="Arial"/>
                <w:i/>
                <w:szCs w:val="16"/>
                <w:lang w:val="en-GB" w:eastAsia="en-US"/>
              </w:rPr>
              <w:t>Accidents and poisonings</w:t>
            </w:r>
          </w:p>
        </w:tc>
        <w:tc>
          <w:tcPr>
            <w:tcW w:w="4052" w:type="dxa"/>
            <w:shd w:val="clear" w:color="auto" w:fill="auto"/>
            <w:noWrap/>
            <w:vAlign w:val="center"/>
            <w:hideMark/>
          </w:tcPr>
          <w:p w14:paraId="1F05E2F8" w14:textId="4135CDA4" w:rsidR="004D761C" w:rsidRPr="004D761C" w:rsidRDefault="004D761C" w:rsidP="00123F2B">
            <w:pPr>
              <w:spacing w:line="288" w:lineRule="auto"/>
              <w:rPr>
                <w:rFonts w:cs="Arial"/>
                <w:bCs w:val="0"/>
                <w:i/>
                <w:color w:val="000000"/>
                <w:szCs w:val="16"/>
                <w:lang w:val="en-GB"/>
              </w:rPr>
            </w:pPr>
            <w:r w:rsidRPr="004D761C">
              <w:rPr>
                <w:i/>
                <w:lang w:val="en-GB"/>
              </w:rPr>
              <w:t>Accidents and poisonings, and violence</w:t>
            </w:r>
          </w:p>
        </w:tc>
      </w:tr>
      <w:tr w:rsidR="004D761C" w:rsidRPr="004D761C" w14:paraId="6DD280A3" w14:textId="77777777" w:rsidTr="004D761C">
        <w:trPr>
          <w:trHeight w:hRule="exact" w:val="255"/>
        </w:trPr>
        <w:tc>
          <w:tcPr>
            <w:tcW w:w="1181" w:type="dxa"/>
            <w:shd w:val="clear" w:color="auto" w:fill="auto"/>
            <w:noWrap/>
            <w:vAlign w:val="center"/>
            <w:hideMark/>
          </w:tcPr>
          <w:p w14:paraId="35B44022" w14:textId="451440D8" w:rsidR="004D761C" w:rsidRPr="004D761C" w:rsidRDefault="004D761C" w:rsidP="00123F2B">
            <w:pPr>
              <w:spacing w:line="288" w:lineRule="auto"/>
              <w:rPr>
                <w:rFonts w:cs="Arial"/>
                <w:b/>
                <w:i/>
                <w:color w:val="000000"/>
                <w:szCs w:val="16"/>
                <w:lang w:val="en-GB"/>
              </w:rPr>
            </w:pPr>
            <w:r w:rsidRPr="004D761C">
              <w:rPr>
                <w:rFonts w:eastAsia="Calibri" w:cs="Arial"/>
                <w:b/>
                <w:i/>
                <w:szCs w:val="16"/>
                <w:lang w:val="en-GB" w:eastAsia="en-US"/>
              </w:rPr>
              <w:t>Class/Chapter</w:t>
            </w:r>
          </w:p>
        </w:tc>
        <w:tc>
          <w:tcPr>
            <w:tcW w:w="4051" w:type="dxa"/>
            <w:gridSpan w:val="2"/>
            <w:shd w:val="clear" w:color="auto" w:fill="auto"/>
            <w:noWrap/>
            <w:vAlign w:val="center"/>
            <w:hideMark/>
          </w:tcPr>
          <w:p w14:paraId="5F0D2706" w14:textId="21D6B68B" w:rsidR="004D761C" w:rsidRPr="004D761C" w:rsidRDefault="004D761C" w:rsidP="00123F2B">
            <w:pPr>
              <w:spacing w:line="288" w:lineRule="auto"/>
              <w:rPr>
                <w:rFonts w:cs="Arial"/>
                <w:b/>
                <w:i/>
                <w:color w:val="000000"/>
                <w:szCs w:val="16"/>
                <w:lang w:val="en-GB"/>
              </w:rPr>
            </w:pPr>
            <w:r w:rsidRPr="004D761C">
              <w:rPr>
                <w:rFonts w:eastAsia="Calibri" w:cs="Arial"/>
                <w:b/>
                <w:i/>
                <w:szCs w:val="16"/>
                <w:lang w:val="en-GB" w:eastAsia="en-US"/>
              </w:rPr>
              <w:t>ICD-8</w:t>
            </w:r>
          </w:p>
        </w:tc>
        <w:tc>
          <w:tcPr>
            <w:tcW w:w="4052" w:type="dxa"/>
            <w:shd w:val="clear" w:color="auto" w:fill="auto"/>
            <w:noWrap/>
            <w:vAlign w:val="center"/>
            <w:hideMark/>
          </w:tcPr>
          <w:p w14:paraId="169F06BF" w14:textId="6615760C" w:rsidR="004D761C" w:rsidRPr="004D761C" w:rsidRDefault="004D761C" w:rsidP="00123F2B">
            <w:pPr>
              <w:spacing w:line="288" w:lineRule="auto"/>
              <w:rPr>
                <w:rFonts w:cs="Arial"/>
                <w:b/>
                <w:i/>
                <w:color w:val="000000"/>
                <w:szCs w:val="16"/>
                <w:lang w:val="en-GB"/>
              </w:rPr>
            </w:pPr>
            <w:r w:rsidRPr="004D761C">
              <w:rPr>
                <w:b/>
                <w:i/>
                <w:lang w:val="en-GB"/>
              </w:rPr>
              <w:t>ICD-9</w:t>
            </w:r>
          </w:p>
        </w:tc>
      </w:tr>
      <w:tr w:rsidR="004D761C" w:rsidRPr="004D761C" w14:paraId="178C51E9" w14:textId="77777777" w:rsidTr="004D761C">
        <w:trPr>
          <w:trHeight w:hRule="exact" w:val="255"/>
        </w:trPr>
        <w:tc>
          <w:tcPr>
            <w:tcW w:w="1181" w:type="dxa"/>
            <w:shd w:val="clear" w:color="auto" w:fill="auto"/>
            <w:noWrap/>
            <w:vAlign w:val="center"/>
            <w:hideMark/>
          </w:tcPr>
          <w:p w14:paraId="3F9DD058" w14:textId="551A1C8D"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I</w:t>
            </w:r>
          </w:p>
        </w:tc>
        <w:tc>
          <w:tcPr>
            <w:tcW w:w="4051" w:type="dxa"/>
            <w:gridSpan w:val="2"/>
            <w:shd w:val="clear" w:color="auto" w:fill="auto"/>
            <w:noWrap/>
            <w:vAlign w:val="center"/>
            <w:hideMark/>
          </w:tcPr>
          <w:p w14:paraId="244EA5CC" w14:textId="019B3709"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Infectious and parasitic diseases</w:t>
            </w:r>
          </w:p>
        </w:tc>
        <w:tc>
          <w:tcPr>
            <w:tcW w:w="4052" w:type="dxa"/>
            <w:shd w:val="clear" w:color="auto" w:fill="auto"/>
            <w:noWrap/>
            <w:vAlign w:val="center"/>
            <w:hideMark/>
          </w:tcPr>
          <w:p w14:paraId="783B572D" w14:textId="289D20B0" w:rsidR="004D761C" w:rsidRPr="004D761C" w:rsidRDefault="004D761C" w:rsidP="00123F2B">
            <w:pPr>
              <w:spacing w:line="288" w:lineRule="auto"/>
              <w:rPr>
                <w:rFonts w:cs="Arial"/>
                <w:bCs w:val="0"/>
                <w:i/>
                <w:color w:val="000000"/>
                <w:szCs w:val="16"/>
                <w:lang w:val="en-GB"/>
              </w:rPr>
            </w:pPr>
            <w:r w:rsidRPr="004D761C">
              <w:rPr>
                <w:i/>
                <w:lang w:val="en-GB"/>
              </w:rPr>
              <w:t>Infectious and parasitic diseases</w:t>
            </w:r>
          </w:p>
        </w:tc>
      </w:tr>
      <w:tr w:rsidR="004D761C" w:rsidRPr="004D761C" w14:paraId="6147A660" w14:textId="77777777" w:rsidTr="004D761C">
        <w:trPr>
          <w:trHeight w:hRule="exact" w:val="255"/>
        </w:trPr>
        <w:tc>
          <w:tcPr>
            <w:tcW w:w="1181" w:type="dxa"/>
            <w:shd w:val="clear" w:color="auto" w:fill="auto"/>
            <w:noWrap/>
            <w:vAlign w:val="center"/>
            <w:hideMark/>
          </w:tcPr>
          <w:p w14:paraId="7D2F1528" w14:textId="67E9C30B"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II</w:t>
            </w:r>
          </w:p>
        </w:tc>
        <w:tc>
          <w:tcPr>
            <w:tcW w:w="4051" w:type="dxa"/>
            <w:gridSpan w:val="2"/>
            <w:shd w:val="clear" w:color="auto" w:fill="auto"/>
            <w:noWrap/>
            <w:vAlign w:val="center"/>
            <w:hideMark/>
          </w:tcPr>
          <w:p w14:paraId="124BA49B" w14:textId="3F4D7B98"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Neoplasms</w:t>
            </w:r>
          </w:p>
        </w:tc>
        <w:tc>
          <w:tcPr>
            <w:tcW w:w="4052" w:type="dxa"/>
            <w:shd w:val="clear" w:color="auto" w:fill="auto"/>
            <w:noWrap/>
            <w:vAlign w:val="center"/>
            <w:hideMark/>
          </w:tcPr>
          <w:p w14:paraId="7AF6988F" w14:textId="0C0739B0" w:rsidR="004D761C" w:rsidRPr="004D761C" w:rsidRDefault="004D761C" w:rsidP="00123F2B">
            <w:pPr>
              <w:spacing w:line="288" w:lineRule="auto"/>
              <w:rPr>
                <w:rFonts w:cs="Arial"/>
                <w:bCs w:val="0"/>
                <w:i/>
                <w:color w:val="000000"/>
                <w:szCs w:val="16"/>
                <w:lang w:val="en-GB"/>
              </w:rPr>
            </w:pPr>
            <w:r w:rsidRPr="004D761C">
              <w:rPr>
                <w:i/>
                <w:lang w:val="en-GB"/>
              </w:rPr>
              <w:t>Neoplasms</w:t>
            </w:r>
          </w:p>
        </w:tc>
      </w:tr>
      <w:tr w:rsidR="004D761C" w:rsidRPr="004D761C" w14:paraId="7A87CC0C" w14:textId="77777777" w:rsidTr="004D761C">
        <w:trPr>
          <w:trHeight w:hRule="exact" w:val="397"/>
        </w:trPr>
        <w:tc>
          <w:tcPr>
            <w:tcW w:w="1181" w:type="dxa"/>
            <w:shd w:val="clear" w:color="auto" w:fill="auto"/>
            <w:noWrap/>
            <w:vAlign w:val="center"/>
            <w:hideMark/>
          </w:tcPr>
          <w:p w14:paraId="14C6979B" w14:textId="6E6E36E7"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III</w:t>
            </w:r>
          </w:p>
        </w:tc>
        <w:tc>
          <w:tcPr>
            <w:tcW w:w="4051" w:type="dxa"/>
            <w:gridSpan w:val="2"/>
            <w:shd w:val="clear" w:color="auto" w:fill="auto"/>
            <w:noWrap/>
            <w:vAlign w:val="center"/>
            <w:hideMark/>
          </w:tcPr>
          <w:p w14:paraId="21B2C9E9" w14:textId="665B43E9"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Endocrine, metabolic and nutritional diseases</w:t>
            </w:r>
          </w:p>
        </w:tc>
        <w:tc>
          <w:tcPr>
            <w:tcW w:w="4052" w:type="dxa"/>
            <w:shd w:val="clear" w:color="auto" w:fill="auto"/>
            <w:noWrap/>
            <w:vAlign w:val="center"/>
            <w:hideMark/>
          </w:tcPr>
          <w:p w14:paraId="62F8B6C0" w14:textId="13D5B131" w:rsidR="004D761C" w:rsidRPr="004D761C" w:rsidRDefault="004D761C" w:rsidP="00123F2B">
            <w:pPr>
              <w:spacing w:line="288" w:lineRule="auto"/>
              <w:rPr>
                <w:rFonts w:cs="Arial"/>
                <w:bCs w:val="0"/>
                <w:i/>
                <w:color w:val="000000"/>
                <w:szCs w:val="16"/>
                <w:lang w:val="en-GB"/>
              </w:rPr>
            </w:pPr>
            <w:r w:rsidRPr="004D761C">
              <w:rPr>
                <w:i/>
                <w:lang w:val="en-GB"/>
              </w:rPr>
              <w:t>Endocrine, nutritional and metabolic diseases, and immunity disorders</w:t>
            </w:r>
          </w:p>
        </w:tc>
      </w:tr>
      <w:tr w:rsidR="004D761C" w:rsidRPr="004D761C" w14:paraId="5A56A015" w14:textId="77777777" w:rsidTr="004D761C">
        <w:trPr>
          <w:trHeight w:hRule="exact" w:val="255"/>
        </w:trPr>
        <w:tc>
          <w:tcPr>
            <w:tcW w:w="1181" w:type="dxa"/>
            <w:shd w:val="clear" w:color="auto" w:fill="auto"/>
            <w:noWrap/>
            <w:vAlign w:val="center"/>
            <w:hideMark/>
          </w:tcPr>
          <w:p w14:paraId="46ABE291" w14:textId="4FE0BC80"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IV</w:t>
            </w:r>
          </w:p>
        </w:tc>
        <w:tc>
          <w:tcPr>
            <w:tcW w:w="4051" w:type="dxa"/>
            <w:gridSpan w:val="2"/>
            <w:shd w:val="clear" w:color="auto" w:fill="auto"/>
            <w:noWrap/>
            <w:vAlign w:val="center"/>
            <w:hideMark/>
          </w:tcPr>
          <w:p w14:paraId="4B1FB868" w14:textId="1D68BC90"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Diseases of the blood and blood-forming organs</w:t>
            </w:r>
          </w:p>
        </w:tc>
        <w:tc>
          <w:tcPr>
            <w:tcW w:w="4052" w:type="dxa"/>
            <w:shd w:val="clear" w:color="auto" w:fill="auto"/>
            <w:noWrap/>
            <w:vAlign w:val="center"/>
            <w:hideMark/>
          </w:tcPr>
          <w:p w14:paraId="1AF23E8E" w14:textId="4FA496E8" w:rsidR="004D761C" w:rsidRPr="004D761C" w:rsidRDefault="004D761C" w:rsidP="00123F2B">
            <w:pPr>
              <w:spacing w:line="288" w:lineRule="auto"/>
              <w:rPr>
                <w:rFonts w:cs="Arial"/>
                <w:bCs w:val="0"/>
                <w:i/>
                <w:color w:val="000000"/>
                <w:szCs w:val="16"/>
                <w:lang w:val="en-GB"/>
              </w:rPr>
            </w:pPr>
            <w:r w:rsidRPr="004D761C">
              <w:rPr>
                <w:i/>
                <w:lang w:val="en-GB"/>
              </w:rPr>
              <w:t>Diseases of the blood and blood-forming organs</w:t>
            </w:r>
          </w:p>
        </w:tc>
      </w:tr>
      <w:tr w:rsidR="004D761C" w:rsidRPr="004D761C" w14:paraId="10FD6787" w14:textId="77777777" w:rsidTr="004D761C">
        <w:trPr>
          <w:trHeight w:hRule="exact" w:val="255"/>
        </w:trPr>
        <w:tc>
          <w:tcPr>
            <w:tcW w:w="1181" w:type="dxa"/>
            <w:shd w:val="clear" w:color="auto" w:fill="auto"/>
            <w:noWrap/>
            <w:vAlign w:val="center"/>
            <w:hideMark/>
          </w:tcPr>
          <w:p w14:paraId="48481EF1" w14:textId="3F694D6E"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V</w:t>
            </w:r>
          </w:p>
        </w:tc>
        <w:tc>
          <w:tcPr>
            <w:tcW w:w="4051" w:type="dxa"/>
            <w:gridSpan w:val="2"/>
            <w:shd w:val="clear" w:color="auto" w:fill="auto"/>
            <w:noWrap/>
            <w:vAlign w:val="center"/>
            <w:hideMark/>
          </w:tcPr>
          <w:p w14:paraId="11D7F12D" w14:textId="47A7BAC9"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Mental disorders</w:t>
            </w:r>
          </w:p>
        </w:tc>
        <w:tc>
          <w:tcPr>
            <w:tcW w:w="4052" w:type="dxa"/>
            <w:shd w:val="clear" w:color="auto" w:fill="auto"/>
            <w:noWrap/>
            <w:vAlign w:val="center"/>
            <w:hideMark/>
          </w:tcPr>
          <w:p w14:paraId="244BF4DC" w14:textId="00CF8E30" w:rsidR="004D761C" w:rsidRPr="004D761C" w:rsidRDefault="004D761C" w:rsidP="00123F2B">
            <w:pPr>
              <w:spacing w:line="288" w:lineRule="auto"/>
              <w:rPr>
                <w:rFonts w:cs="Arial"/>
                <w:bCs w:val="0"/>
                <w:i/>
                <w:color w:val="000000"/>
                <w:szCs w:val="16"/>
                <w:lang w:val="en-GB"/>
              </w:rPr>
            </w:pPr>
            <w:r w:rsidRPr="004D761C">
              <w:rPr>
                <w:i/>
                <w:lang w:val="en-GB"/>
              </w:rPr>
              <w:t>Mental disorders</w:t>
            </w:r>
          </w:p>
        </w:tc>
      </w:tr>
      <w:tr w:rsidR="004D761C" w:rsidRPr="004D761C" w14:paraId="70230FC9" w14:textId="77777777" w:rsidTr="004D761C">
        <w:trPr>
          <w:trHeight w:hRule="exact" w:val="255"/>
        </w:trPr>
        <w:tc>
          <w:tcPr>
            <w:tcW w:w="1181" w:type="dxa"/>
            <w:shd w:val="clear" w:color="auto" w:fill="auto"/>
            <w:noWrap/>
            <w:vAlign w:val="center"/>
            <w:hideMark/>
          </w:tcPr>
          <w:p w14:paraId="64796415" w14:textId="384963D6"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VI</w:t>
            </w:r>
          </w:p>
        </w:tc>
        <w:tc>
          <w:tcPr>
            <w:tcW w:w="4051" w:type="dxa"/>
            <w:gridSpan w:val="2"/>
            <w:shd w:val="clear" w:color="auto" w:fill="auto"/>
            <w:noWrap/>
            <w:vAlign w:val="center"/>
            <w:hideMark/>
          </w:tcPr>
          <w:p w14:paraId="200162C1" w14:textId="5F6B9E10"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Diseases of the nervous system and sense organs</w:t>
            </w:r>
          </w:p>
        </w:tc>
        <w:tc>
          <w:tcPr>
            <w:tcW w:w="4052" w:type="dxa"/>
            <w:shd w:val="clear" w:color="auto" w:fill="auto"/>
            <w:noWrap/>
            <w:vAlign w:val="center"/>
            <w:hideMark/>
          </w:tcPr>
          <w:p w14:paraId="703659E1" w14:textId="37FC9E70" w:rsidR="004D761C" w:rsidRPr="004D761C" w:rsidRDefault="004D761C" w:rsidP="00123F2B">
            <w:pPr>
              <w:spacing w:line="288" w:lineRule="auto"/>
              <w:rPr>
                <w:rFonts w:cs="Arial"/>
                <w:bCs w:val="0"/>
                <w:i/>
                <w:color w:val="000000"/>
                <w:szCs w:val="16"/>
                <w:lang w:val="en-GB"/>
              </w:rPr>
            </w:pPr>
            <w:r w:rsidRPr="004D761C">
              <w:rPr>
                <w:i/>
                <w:lang w:val="en-GB"/>
              </w:rPr>
              <w:t>Diseases of the nervous system and sense organs</w:t>
            </w:r>
          </w:p>
        </w:tc>
      </w:tr>
      <w:tr w:rsidR="004D761C" w:rsidRPr="004D761C" w14:paraId="63398891" w14:textId="77777777" w:rsidTr="004D761C">
        <w:trPr>
          <w:trHeight w:hRule="exact" w:val="255"/>
        </w:trPr>
        <w:tc>
          <w:tcPr>
            <w:tcW w:w="1181" w:type="dxa"/>
            <w:shd w:val="clear" w:color="auto" w:fill="auto"/>
            <w:noWrap/>
            <w:vAlign w:val="center"/>
            <w:hideMark/>
          </w:tcPr>
          <w:p w14:paraId="0C218663" w14:textId="74E6C10F"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VII</w:t>
            </w:r>
          </w:p>
        </w:tc>
        <w:tc>
          <w:tcPr>
            <w:tcW w:w="4051" w:type="dxa"/>
            <w:gridSpan w:val="2"/>
            <w:shd w:val="clear" w:color="auto" w:fill="auto"/>
            <w:noWrap/>
            <w:vAlign w:val="center"/>
            <w:hideMark/>
          </w:tcPr>
          <w:p w14:paraId="7D2D3AE2" w14:textId="585AFCEA"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Diseases of the circulatory system</w:t>
            </w:r>
          </w:p>
        </w:tc>
        <w:tc>
          <w:tcPr>
            <w:tcW w:w="4052" w:type="dxa"/>
            <w:shd w:val="clear" w:color="auto" w:fill="auto"/>
            <w:noWrap/>
            <w:vAlign w:val="center"/>
            <w:hideMark/>
          </w:tcPr>
          <w:p w14:paraId="4B38F5C6" w14:textId="31D82143" w:rsidR="004D761C" w:rsidRPr="004D761C" w:rsidRDefault="004D761C" w:rsidP="00123F2B">
            <w:pPr>
              <w:spacing w:line="288" w:lineRule="auto"/>
              <w:rPr>
                <w:rFonts w:cs="Arial"/>
                <w:bCs w:val="0"/>
                <w:i/>
                <w:color w:val="000000"/>
                <w:szCs w:val="16"/>
                <w:lang w:val="en-GB"/>
              </w:rPr>
            </w:pPr>
            <w:r w:rsidRPr="004D761C">
              <w:rPr>
                <w:i/>
                <w:lang w:val="en-GB"/>
              </w:rPr>
              <w:t>Diseases of the circulatory system</w:t>
            </w:r>
          </w:p>
        </w:tc>
      </w:tr>
      <w:tr w:rsidR="004D761C" w:rsidRPr="004D761C" w14:paraId="19B8C963" w14:textId="77777777" w:rsidTr="004D761C">
        <w:trPr>
          <w:trHeight w:hRule="exact" w:val="255"/>
        </w:trPr>
        <w:tc>
          <w:tcPr>
            <w:tcW w:w="1181" w:type="dxa"/>
            <w:shd w:val="clear" w:color="auto" w:fill="auto"/>
            <w:noWrap/>
            <w:vAlign w:val="center"/>
            <w:hideMark/>
          </w:tcPr>
          <w:p w14:paraId="31390223" w14:textId="27741884"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VIII</w:t>
            </w:r>
          </w:p>
        </w:tc>
        <w:tc>
          <w:tcPr>
            <w:tcW w:w="4051" w:type="dxa"/>
            <w:gridSpan w:val="2"/>
            <w:shd w:val="clear" w:color="auto" w:fill="auto"/>
            <w:noWrap/>
            <w:vAlign w:val="center"/>
            <w:hideMark/>
          </w:tcPr>
          <w:p w14:paraId="7313BBEC" w14:textId="61DF5F8D"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Diseases of the respiratory system</w:t>
            </w:r>
          </w:p>
        </w:tc>
        <w:tc>
          <w:tcPr>
            <w:tcW w:w="4052" w:type="dxa"/>
            <w:shd w:val="clear" w:color="auto" w:fill="auto"/>
            <w:noWrap/>
            <w:vAlign w:val="center"/>
            <w:hideMark/>
          </w:tcPr>
          <w:p w14:paraId="571D4A50" w14:textId="26E75A71" w:rsidR="004D761C" w:rsidRPr="004D761C" w:rsidRDefault="004D761C" w:rsidP="00123F2B">
            <w:pPr>
              <w:spacing w:line="288" w:lineRule="auto"/>
              <w:rPr>
                <w:rFonts w:cs="Arial"/>
                <w:bCs w:val="0"/>
                <w:i/>
                <w:color w:val="000000"/>
                <w:szCs w:val="16"/>
                <w:lang w:val="en-GB"/>
              </w:rPr>
            </w:pPr>
            <w:r w:rsidRPr="004D761C">
              <w:rPr>
                <w:i/>
                <w:lang w:val="en-GB"/>
              </w:rPr>
              <w:t>Diseases of the respiratory system</w:t>
            </w:r>
          </w:p>
        </w:tc>
      </w:tr>
      <w:tr w:rsidR="004D761C" w:rsidRPr="004D761C" w14:paraId="5D214977" w14:textId="77777777" w:rsidTr="004D761C">
        <w:trPr>
          <w:trHeight w:hRule="exact" w:val="255"/>
        </w:trPr>
        <w:tc>
          <w:tcPr>
            <w:tcW w:w="1181" w:type="dxa"/>
            <w:shd w:val="clear" w:color="auto" w:fill="auto"/>
            <w:noWrap/>
            <w:vAlign w:val="center"/>
            <w:hideMark/>
          </w:tcPr>
          <w:p w14:paraId="6112AB23" w14:textId="26EE3DCD"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IX</w:t>
            </w:r>
          </w:p>
        </w:tc>
        <w:tc>
          <w:tcPr>
            <w:tcW w:w="4051" w:type="dxa"/>
            <w:gridSpan w:val="2"/>
            <w:shd w:val="clear" w:color="auto" w:fill="auto"/>
            <w:noWrap/>
            <w:vAlign w:val="center"/>
            <w:hideMark/>
          </w:tcPr>
          <w:p w14:paraId="243C4531" w14:textId="66C9F397"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Diseases of the digestive system</w:t>
            </w:r>
          </w:p>
        </w:tc>
        <w:tc>
          <w:tcPr>
            <w:tcW w:w="4052" w:type="dxa"/>
            <w:shd w:val="clear" w:color="auto" w:fill="auto"/>
            <w:noWrap/>
            <w:vAlign w:val="center"/>
            <w:hideMark/>
          </w:tcPr>
          <w:p w14:paraId="37373CB9" w14:textId="5C80F443" w:rsidR="004D761C" w:rsidRPr="004D761C" w:rsidRDefault="004D761C" w:rsidP="00123F2B">
            <w:pPr>
              <w:spacing w:line="288" w:lineRule="auto"/>
              <w:rPr>
                <w:rFonts w:cs="Arial"/>
                <w:bCs w:val="0"/>
                <w:i/>
                <w:color w:val="000000"/>
                <w:szCs w:val="16"/>
                <w:lang w:val="en-GB"/>
              </w:rPr>
            </w:pPr>
            <w:r w:rsidRPr="004D761C">
              <w:rPr>
                <w:i/>
                <w:lang w:val="en-GB"/>
              </w:rPr>
              <w:t>Diseases of the digestive system</w:t>
            </w:r>
          </w:p>
        </w:tc>
      </w:tr>
      <w:tr w:rsidR="004D761C" w:rsidRPr="004D761C" w14:paraId="285E713A" w14:textId="77777777" w:rsidTr="004D761C">
        <w:trPr>
          <w:trHeight w:hRule="exact" w:val="255"/>
        </w:trPr>
        <w:tc>
          <w:tcPr>
            <w:tcW w:w="1181" w:type="dxa"/>
            <w:shd w:val="clear" w:color="auto" w:fill="auto"/>
            <w:noWrap/>
            <w:vAlign w:val="center"/>
            <w:hideMark/>
          </w:tcPr>
          <w:p w14:paraId="610C4646" w14:textId="55EF71E5"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w:t>
            </w:r>
          </w:p>
        </w:tc>
        <w:tc>
          <w:tcPr>
            <w:tcW w:w="4051" w:type="dxa"/>
            <w:gridSpan w:val="2"/>
            <w:shd w:val="clear" w:color="auto" w:fill="auto"/>
            <w:noWrap/>
            <w:vAlign w:val="center"/>
            <w:hideMark/>
          </w:tcPr>
          <w:p w14:paraId="2EF0E8C9" w14:textId="0AD9D2C1"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Diseases of the genitourinary system</w:t>
            </w:r>
          </w:p>
        </w:tc>
        <w:tc>
          <w:tcPr>
            <w:tcW w:w="4052" w:type="dxa"/>
            <w:shd w:val="clear" w:color="auto" w:fill="auto"/>
            <w:noWrap/>
            <w:vAlign w:val="center"/>
            <w:hideMark/>
          </w:tcPr>
          <w:p w14:paraId="6B1F3C6F" w14:textId="3BAB46D9" w:rsidR="004D761C" w:rsidRPr="004D761C" w:rsidRDefault="004D761C" w:rsidP="00123F2B">
            <w:pPr>
              <w:spacing w:line="288" w:lineRule="auto"/>
              <w:rPr>
                <w:rFonts w:cs="Arial"/>
                <w:bCs w:val="0"/>
                <w:i/>
                <w:color w:val="000000"/>
                <w:szCs w:val="16"/>
                <w:lang w:val="en-GB"/>
              </w:rPr>
            </w:pPr>
            <w:r w:rsidRPr="004D761C">
              <w:rPr>
                <w:i/>
                <w:lang w:val="en-GB"/>
              </w:rPr>
              <w:t>Diseases of the genitourinary system</w:t>
            </w:r>
          </w:p>
        </w:tc>
      </w:tr>
      <w:tr w:rsidR="004D761C" w:rsidRPr="004D761C" w14:paraId="422F7566" w14:textId="77777777" w:rsidTr="004D761C">
        <w:trPr>
          <w:trHeight w:hRule="exact" w:val="255"/>
        </w:trPr>
        <w:tc>
          <w:tcPr>
            <w:tcW w:w="1181" w:type="dxa"/>
            <w:shd w:val="clear" w:color="auto" w:fill="auto"/>
            <w:noWrap/>
            <w:vAlign w:val="center"/>
            <w:hideMark/>
          </w:tcPr>
          <w:p w14:paraId="4A2A7E22" w14:textId="28E9632B"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XI</w:t>
            </w:r>
          </w:p>
        </w:tc>
        <w:tc>
          <w:tcPr>
            <w:tcW w:w="4051" w:type="dxa"/>
            <w:gridSpan w:val="2"/>
            <w:shd w:val="clear" w:color="auto" w:fill="auto"/>
            <w:noWrap/>
            <w:vAlign w:val="center"/>
            <w:hideMark/>
          </w:tcPr>
          <w:p w14:paraId="5B35C3CE" w14:textId="169E914E"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Deliveries, complications of pregnancy, childbirth, and the puerperium</w:t>
            </w:r>
          </w:p>
        </w:tc>
        <w:tc>
          <w:tcPr>
            <w:tcW w:w="4052" w:type="dxa"/>
            <w:shd w:val="clear" w:color="auto" w:fill="auto"/>
            <w:noWrap/>
            <w:vAlign w:val="center"/>
            <w:hideMark/>
          </w:tcPr>
          <w:p w14:paraId="38A58D6E" w14:textId="3981D967" w:rsidR="004D761C" w:rsidRPr="004D761C" w:rsidRDefault="004D761C" w:rsidP="00123F2B">
            <w:pPr>
              <w:spacing w:line="288" w:lineRule="auto"/>
              <w:rPr>
                <w:rFonts w:cs="Arial"/>
                <w:bCs w:val="0"/>
                <w:i/>
                <w:color w:val="000000"/>
                <w:szCs w:val="16"/>
                <w:lang w:val="en-GB"/>
              </w:rPr>
            </w:pPr>
            <w:r w:rsidRPr="004D761C">
              <w:rPr>
                <w:i/>
                <w:lang w:val="en-GB"/>
              </w:rPr>
              <w:t>Complications of pregnancy, childbirth and the puerperium</w:t>
            </w:r>
          </w:p>
        </w:tc>
      </w:tr>
      <w:tr w:rsidR="004D761C" w:rsidRPr="004D761C" w14:paraId="7CBF2D0B" w14:textId="77777777" w:rsidTr="004D761C">
        <w:trPr>
          <w:trHeight w:hRule="exact" w:val="255"/>
        </w:trPr>
        <w:tc>
          <w:tcPr>
            <w:tcW w:w="1181" w:type="dxa"/>
            <w:shd w:val="clear" w:color="auto" w:fill="auto"/>
            <w:noWrap/>
            <w:vAlign w:val="center"/>
            <w:hideMark/>
          </w:tcPr>
          <w:p w14:paraId="31B7ABFD" w14:textId="13AB9439"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XII</w:t>
            </w:r>
          </w:p>
        </w:tc>
        <w:tc>
          <w:tcPr>
            <w:tcW w:w="4051" w:type="dxa"/>
            <w:gridSpan w:val="2"/>
            <w:shd w:val="clear" w:color="auto" w:fill="auto"/>
            <w:noWrap/>
            <w:vAlign w:val="center"/>
            <w:hideMark/>
          </w:tcPr>
          <w:p w14:paraId="6E4DCBE5" w14:textId="21C424B7"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Diseases of the skin and subcutaneous tissue</w:t>
            </w:r>
          </w:p>
        </w:tc>
        <w:tc>
          <w:tcPr>
            <w:tcW w:w="4052" w:type="dxa"/>
            <w:shd w:val="clear" w:color="auto" w:fill="auto"/>
            <w:noWrap/>
            <w:vAlign w:val="center"/>
            <w:hideMark/>
          </w:tcPr>
          <w:p w14:paraId="3993F8DE" w14:textId="11EE6091" w:rsidR="004D761C" w:rsidRPr="004D761C" w:rsidRDefault="004D761C" w:rsidP="00123F2B">
            <w:pPr>
              <w:spacing w:line="288" w:lineRule="auto"/>
              <w:rPr>
                <w:rFonts w:cs="Arial"/>
                <w:bCs w:val="0"/>
                <w:i/>
                <w:color w:val="000000"/>
                <w:szCs w:val="16"/>
                <w:lang w:val="en-GB"/>
              </w:rPr>
            </w:pPr>
            <w:r w:rsidRPr="004D761C">
              <w:rPr>
                <w:i/>
                <w:lang w:val="en-GB"/>
              </w:rPr>
              <w:t>Diseases of the skin and subcutaneous tissue</w:t>
            </w:r>
          </w:p>
        </w:tc>
      </w:tr>
      <w:tr w:rsidR="004D761C" w:rsidRPr="004D761C" w14:paraId="6A521541" w14:textId="77777777" w:rsidTr="004D761C">
        <w:trPr>
          <w:trHeight w:hRule="exact" w:val="255"/>
        </w:trPr>
        <w:tc>
          <w:tcPr>
            <w:tcW w:w="1181" w:type="dxa"/>
            <w:shd w:val="clear" w:color="auto" w:fill="auto"/>
            <w:noWrap/>
            <w:vAlign w:val="center"/>
            <w:hideMark/>
          </w:tcPr>
          <w:p w14:paraId="4D2FFB60" w14:textId="1E57289F"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XIII</w:t>
            </w:r>
          </w:p>
        </w:tc>
        <w:tc>
          <w:tcPr>
            <w:tcW w:w="4051" w:type="dxa"/>
            <w:gridSpan w:val="2"/>
            <w:shd w:val="clear" w:color="auto" w:fill="auto"/>
            <w:noWrap/>
            <w:vAlign w:val="center"/>
            <w:hideMark/>
          </w:tcPr>
          <w:p w14:paraId="44CB7FCB" w14:textId="6980449E"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Diseases of the bones and musculoskeletal system</w:t>
            </w:r>
          </w:p>
        </w:tc>
        <w:tc>
          <w:tcPr>
            <w:tcW w:w="4052" w:type="dxa"/>
            <w:shd w:val="clear" w:color="auto" w:fill="auto"/>
            <w:noWrap/>
            <w:vAlign w:val="center"/>
            <w:hideMark/>
          </w:tcPr>
          <w:p w14:paraId="4DF27A7E" w14:textId="44597B2F" w:rsidR="004D761C" w:rsidRPr="004D761C" w:rsidRDefault="004D761C" w:rsidP="00123F2B">
            <w:pPr>
              <w:spacing w:line="288" w:lineRule="auto"/>
              <w:rPr>
                <w:rFonts w:cs="Arial"/>
                <w:bCs w:val="0"/>
                <w:i/>
                <w:color w:val="000000"/>
                <w:szCs w:val="16"/>
                <w:lang w:val="en-GB"/>
              </w:rPr>
            </w:pPr>
            <w:r w:rsidRPr="004D761C">
              <w:rPr>
                <w:i/>
                <w:lang w:val="en-GB"/>
              </w:rPr>
              <w:t>Diseases of the musculoskeletal system and connective tissue</w:t>
            </w:r>
          </w:p>
        </w:tc>
      </w:tr>
      <w:tr w:rsidR="004D761C" w:rsidRPr="004D761C" w14:paraId="4F016683" w14:textId="77777777" w:rsidTr="004D761C">
        <w:trPr>
          <w:trHeight w:hRule="exact" w:val="255"/>
        </w:trPr>
        <w:tc>
          <w:tcPr>
            <w:tcW w:w="1181" w:type="dxa"/>
            <w:shd w:val="clear" w:color="auto" w:fill="auto"/>
            <w:noWrap/>
            <w:vAlign w:val="center"/>
            <w:hideMark/>
          </w:tcPr>
          <w:p w14:paraId="6A064483" w14:textId="2C89E891"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XIV</w:t>
            </w:r>
          </w:p>
        </w:tc>
        <w:tc>
          <w:tcPr>
            <w:tcW w:w="4051" w:type="dxa"/>
            <w:gridSpan w:val="2"/>
            <w:shd w:val="clear" w:color="auto" w:fill="auto"/>
            <w:noWrap/>
            <w:vAlign w:val="center"/>
            <w:hideMark/>
          </w:tcPr>
          <w:p w14:paraId="0D7F56FF" w14:textId="78D00A47"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Congenital malformations</w:t>
            </w:r>
          </w:p>
        </w:tc>
        <w:tc>
          <w:tcPr>
            <w:tcW w:w="4052" w:type="dxa"/>
            <w:shd w:val="clear" w:color="auto" w:fill="auto"/>
            <w:noWrap/>
            <w:vAlign w:val="center"/>
            <w:hideMark/>
          </w:tcPr>
          <w:p w14:paraId="69391C59" w14:textId="65048D20" w:rsidR="004D761C" w:rsidRPr="004D761C" w:rsidRDefault="004D761C" w:rsidP="00123F2B">
            <w:pPr>
              <w:spacing w:line="288" w:lineRule="auto"/>
              <w:rPr>
                <w:rFonts w:cs="Arial"/>
                <w:bCs w:val="0"/>
                <w:i/>
                <w:color w:val="000000"/>
                <w:szCs w:val="16"/>
                <w:lang w:val="en-GB"/>
              </w:rPr>
            </w:pPr>
            <w:r w:rsidRPr="004D761C">
              <w:rPr>
                <w:i/>
                <w:lang w:val="en-GB"/>
              </w:rPr>
              <w:t>Congenital malformations</w:t>
            </w:r>
          </w:p>
        </w:tc>
      </w:tr>
      <w:tr w:rsidR="004D761C" w:rsidRPr="004D761C" w14:paraId="7ABA5BB0" w14:textId="77777777" w:rsidTr="004D761C">
        <w:trPr>
          <w:trHeight w:hRule="exact" w:val="255"/>
        </w:trPr>
        <w:tc>
          <w:tcPr>
            <w:tcW w:w="1181" w:type="dxa"/>
            <w:shd w:val="clear" w:color="auto" w:fill="auto"/>
            <w:noWrap/>
            <w:vAlign w:val="center"/>
            <w:hideMark/>
          </w:tcPr>
          <w:p w14:paraId="03C683D0" w14:textId="5CE062F4"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XV</w:t>
            </w:r>
          </w:p>
        </w:tc>
        <w:tc>
          <w:tcPr>
            <w:tcW w:w="4051" w:type="dxa"/>
            <w:gridSpan w:val="2"/>
            <w:shd w:val="clear" w:color="auto" w:fill="auto"/>
            <w:noWrap/>
            <w:vAlign w:val="center"/>
            <w:hideMark/>
          </w:tcPr>
          <w:p w14:paraId="71BB7C54" w14:textId="05050C78"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Certain causes of perinatal morbidity and mortality</w:t>
            </w:r>
          </w:p>
        </w:tc>
        <w:tc>
          <w:tcPr>
            <w:tcW w:w="4052" w:type="dxa"/>
            <w:shd w:val="clear" w:color="auto" w:fill="auto"/>
            <w:noWrap/>
            <w:vAlign w:val="center"/>
            <w:hideMark/>
          </w:tcPr>
          <w:p w14:paraId="409DA471" w14:textId="6F60A503" w:rsidR="004D761C" w:rsidRPr="004D761C" w:rsidRDefault="004D761C" w:rsidP="00123F2B">
            <w:pPr>
              <w:spacing w:line="288" w:lineRule="auto"/>
              <w:rPr>
                <w:rFonts w:cs="Arial"/>
                <w:bCs w:val="0"/>
                <w:i/>
                <w:color w:val="000000"/>
                <w:szCs w:val="16"/>
                <w:lang w:val="en-GB"/>
              </w:rPr>
            </w:pPr>
            <w:r w:rsidRPr="004D761C">
              <w:rPr>
                <w:i/>
                <w:lang w:val="en-GB"/>
              </w:rPr>
              <w:t>Certain conditions originating in the perinatal period</w:t>
            </w:r>
          </w:p>
        </w:tc>
      </w:tr>
      <w:tr w:rsidR="004D761C" w:rsidRPr="004D761C" w14:paraId="2ED93EB8" w14:textId="77777777" w:rsidTr="004D761C">
        <w:trPr>
          <w:trHeight w:hRule="exact" w:val="255"/>
        </w:trPr>
        <w:tc>
          <w:tcPr>
            <w:tcW w:w="1181" w:type="dxa"/>
            <w:shd w:val="clear" w:color="auto" w:fill="auto"/>
            <w:noWrap/>
            <w:vAlign w:val="center"/>
            <w:hideMark/>
          </w:tcPr>
          <w:p w14:paraId="5A5C6A91" w14:textId="24828660"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XVI</w:t>
            </w:r>
          </w:p>
        </w:tc>
        <w:tc>
          <w:tcPr>
            <w:tcW w:w="4051" w:type="dxa"/>
            <w:gridSpan w:val="2"/>
            <w:shd w:val="clear" w:color="auto" w:fill="auto"/>
            <w:noWrap/>
            <w:vAlign w:val="center"/>
            <w:hideMark/>
          </w:tcPr>
          <w:p w14:paraId="267131CA" w14:textId="7ACF602A"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Symptoms and conditions etiologically not defined</w:t>
            </w:r>
          </w:p>
        </w:tc>
        <w:tc>
          <w:tcPr>
            <w:tcW w:w="4052" w:type="dxa"/>
            <w:shd w:val="clear" w:color="auto" w:fill="auto"/>
            <w:noWrap/>
            <w:vAlign w:val="center"/>
            <w:hideMark/>
          </w:tcPr>
          <w:p w14:paraId="5F8FE88C" w14:textId="5283883D" w:rsidR="004D761C" w:rsidRPr="004D761C" w:rsidRDefault="004D761C" w:rsidP="00123F2B">
            <w:pPr>
              <w:spacing w:line="288" w:lineRule="auto"/>
              <w:rPr>
                <w:rFonts w:cs="Arial"/>
                <w:bCs w:val="0"/>
                <w:i/>
                <w:color w:val="000000"/>
                <w:szCs w:val="16"/>
                <w:lang w:val="en-GB"/>
              </w:rPr>
            </w:pPr>
            <w:r w:rsidRPr="004D761C">
              <w:rPr>
                <w:i/>
                <w:lang w:val="en-GB"/>
              </w:rPr>
              <w:t>Symptoms, signs, and ill-defined conditions</w:t>
            </w:r>
          </w:p>
        </w:tc>
      </w:tr>
      <w:tr w:rsidR="004D761C" w:rsidRPr="004D761C" w14:paraId="333EB35C" w14:textId="77777777" w:rsidTr="004D761C">
        <w:trPr>
          <w:trHeight w:hRule="exact" w:val="255"/>
        </w:trPr>
        <w:tc>
          <w:tcPr>
            <w:tcW w:w="1181" w:type="dxa"/>
            <w:shd w:val="clear" w:color="auto" w:fill="auto"/>
            <w:noWrap/>
            <w:vAlign w:val="center"/>
            <w:hideMark/>
          </w:tcPr>
          <w:p w14:paraId="5F47D5FC" w14:textId="75E3B4F4"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XVII</w:t>
            </w:r>
          </w:p>
        </w:tc>
        <w:tc>
          <w:tcPr>
            <w:tcW w:w="4051" w:type="dxa"/>
            <w:gridSpan w:val="2"/>
            <w:shd w:val="clear" w:color="auto" w:fill="auto"/>
            <w:noWrap/>
            <w:vAlign w:val="center"/>
            <w:hideMark/>
          </w:tcPr>
          <w:p w14:paraId="61E906C7" w14:textId="4BFC250E"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Injury, poisoning and violence</w:t>
            </w:r>
          </w:p>
        </w:tc>
        <w:tc>
          <w:tcPr>
            <w:tcW w:w="4052" w:type="dxa"/>
            <w:shd w:val="clear" w:color="auto" w:fill="auto"/>
            <w:noWrap/>
            <w:vAlign w:val="center"/>
            <w:hideMark/>
          </w:tcPr>
          <w:p w14:paraId="43B5DF27" w14:textId="1309F890" w:rsidR="004D761C" w:rsidRPr="004D761C" w:rsidRDefault="004D761C" w:rsidP="00123F2B">
            <w:pPr>
              <w:spacing w:line="288" w:lineRule="auto"/>
              <w:rPr>
                <w:rFonts w:cs="Arial"/>
                <w:bCs w:val="0"/>
                <w:i/>
                <w:color w:val="000000"/>
                <w:szCs w:val="16"/>
                <w:lang w:val="en-GB"/>
              </w:rPr>
            </w:pPr>
            <w:r w:rsidRPr="004D761C">
              <w:rPr>
                <w:i/>
                <w:lang w:val="en-GB"/>
              </w:rPr>
              <w:t>Injury and poisoning</w:t>
            </w:r>
          </w:p>
        </w:tc>
      </w:tr>
      <w:tr w:rsidR="004D761C" w:rsidRPr="004D761C" w14:paraId="53E7702D" w14:textId="77777777" w:rsidTr="004D761C">
        <w:trPr>
          <w:trHeight w:hRule="exact" w:val="255"/>
        </w:trPr>
        <w:tc>
          <w:tcPr>
            <w:tcW w:w="1913" w:type="dxa"/>
            <w:gridSpan w:val="2"/>
            <w:shd w:val="clear" w:color="auto" w:fill="auto"/>
            <w:noWrap/>
            <w:vAlign w:val="center"/>
            <w:hideMark/>
          </w:tcPr>
          <w:p w14:paraId="0773A23F" w14:textId="12DCEC62" w:rsidR="004D761C" w:rsidRPr="004D761C" w:rsidRDefault="004D761C" w:rsidP="00123F2B">
            <w:pPr>
              <w:spacing w:line="288" w:lineRule="auto"/>
              <w:rPr>
                <w:rFonts w:cs="Arial"/>
                <w:b/>
                <w:i/>
                <w:color w:val="000000"/>
                <w:szCs w:val="16"/>
                <w:lang w:val="en-GB"/>
              </w:rPr>
            </w:pPr>
            <w:r w:rsidRPr="004D761C">
              <w:rPr>
                <w:rFonts w:eastAsia="Calibri" w:cs="Arial"/>
                <w:b/>
                <w:i/>
                <w:szCs w:val="16"/>
                <w:lang w:val="en-GB" w:eastAsia="en-US"/>
              </w:rPr>
              <w:t>Chapter</w:t>
            </w:r>
          </w:p>
        </w:tc>
        <w:tc>
          <w:tcPr>
            <w:tcW w:w="7371" w:type="dxa"/>
            <w:gridSpan w:val="2"/>
            <w:shd w:val="clear" w:color="auto" w:fill="auto"/>
            <w:noWrap/>
            <w:vAlign w:val="center"/>
            <w:hideMark/>
          </w:tcPr>
          <w:p w14:paraId="6C9E2C9F" w14:textId="406538A1" w:rsidR="004D761C" w:rsidRPr="004D761C" w:rsidRDefault="004D761C" w:rsidP="00123F2B">
            <w:pPr>
              <w:spacing w:line="288" w:lineRule="auto"/>
              <w:rPr>
                <w:rFonts w:cs="Arial"/>
                <w:b/>
                <w:i/>
                <w:color w:val="000000"/>
                <w:szCs w:val="16"/>
                <w:lang w:val="en-GB"/>
              </w:rPr>
            </w:pPr>
            <w:r w:rsidRPr="004D761C">
              <w:rPr>
                <w:rFonts w:eastAsia="Calibri" w:cs="Arial"/>
                <w:b/>
                <w:i/>
                <w:szCs w:val="16"/>
                <w:lang w:val="en-GB" w:eastAsia="en-US"/>
              </w:rPr>
              <w:t>ICD-10</w:t>
            </w:r>
          </w:p>
        </w:tc>
      </w:tr>
      <w:tr w:rsidR="004D761C" w:rsidRPr="004D761C" w14:paraId="0AD2A5FA" w14:textId="77777777" w:rsidTr="004D761C">
        <w:trPr>
          <w:trHeight w:hRule="exact" w:val="255"/>
        </w:trPr>
        <w:tc>
          <w:tcPr>
            <w:tcW w:w="1913" w:type="dxa"/>
            <w:gridSpan w:val="2"/>
            <w:shd w:val="clear" w:color="auto" w:fill="auto"/>
            <w:noWrap/>
            <w:vAlign w:val="center"/>
            <w:hideMark/>
          </w:tcPr>
          <w:p w14:paraId="70C7615C" w14:textId="04E2C44C"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I</w:t>
            </w:r>
          </w:p>
        </w:tc>
        <w:tc>
          <w:tcPr>
            <w:tcW w:w="7371" w:type="dxa"/>
            <w:gridSpan w:val="2"/>
            <w:shd w:val="clear" w:color="auto" w:fill="auto"/>
            <w:noWrap/>
            <w:vAlign w:val="center"/>
            <w:hideMark/>
          </w:tcPr>
          <w:p w14:paraId="2BEEFFA8" w14:textId="03229ADC"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Certain infectious and parasitic diseases</w:t>
            </w:r>
          </w:p>
        </w:tc>
      </w:tr>
      <w:tr w:rsidR="004D761C" w:rsidRPr="004D761C" w14:paraId="6C4D7A69" w14:textId="77777777" w:rsidTr="004D761C">
        <w:trPr>
          <w:trHeight w:hRule="exact" w:val="255"/>
        </w:trPr>
        <w:tc>
          <w:tcPr>
            <w:tcW w:w="1913" w:type="dxa"/>
            <w:gridSpan w:val="2"/>
            <w:shd w:val="clear" w:color="auto" w:fill="auto"/>
            <w:noWrap/>
            <w:vAlign w:val="center"/>
            <w:hideMark/>
          </w:tcPr>
          <w:p w14:paraId="4E362868" w14:textId="26FB45DF"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II</w:t>
            </w:r>
          </w:p>
        </w:tc>
        <w:tc>
          <w:tcPr>
            <w:tcW w:w="7371" w:type="dxa"/>
            <w:gridSpan w:val="2"/>
            <w:shd w:val="clear" w:color="auto" w:fill="auto"/>
            <w:noWrap/>
            <w:vAlign w:val="center"/>
            <w:hideMark/>
          </w:tcPr>
          <w:p w14:paraId="0EB90DA7" w14:textId="7100C15B"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Neoplasms</w:t>
            </w:r>
          </w:p>
        </w:tc>
      </w:tr>
      <w:tr w:rsidR="004D761C" w:rsidRPr="004D761C" w14:paraId="5911A6EF" w14:textId="77777777" w:rsidTr="00D07F69">
        <w:trPr>
          <w:trHeight w:hRule="exact" w:val="510"/>
        </w:trPr>
        <w:tc>
          <w:tcPr>
            <w:tcW w:w="1913" w:type="dxa"/>
            <w:gridSpan w:val="2"/>
            <w:shd w:val="clear" w:color="auto" w:fill="auto"/>
            <w:noWrap/>
            <w:vAlign w:val="center"/>
            <w:hideMark/>
          </w:tcPr>
          <w:p w14:paraId="735DF791" w14:textId="2E66C389"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III</w:t>
            </w:r>
          </w:p>
        </w:tc>
        <w:tc>
          <w:tcPr>
            <w:tcW w:w="7371" w:type="dxa"/>
            <w:gridSpan w:val="2"/>
            <w:shd w:val="clear" w:color="auto" w:fill="auto"/>
            <w:noWrap/>
            <w:vAlign w:val="center"/>
            <w:hideMark/>
          </w:tcPr>
          <w:p w14:paraId="76EF6564" w14:textId="04157501"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Diseases of the blood and blood-forming organs and certain disorders involving the immune mechanism</w:t>
            </w:r>
          </w:p>
        </w:tc>
      </w:tr>
      <w:tr w:rsidR="004D761C" w:rsidRPr="004D761C" w14:paraId="163AB74E" w14:textId="77777777" w:rsidTr="004D761C">
        <w:trPr>
          <w:trHeight w:hRule="exact" w:val="255"/>
        </w:trPr>
        <w:tc>
          <w:tcPr>
            <w:tcW w:w="1913" w:type="dxa"/>
            <w:gridSpan w:val="2"/>
            <w:shd w:val="clear" w:color="auto" w:fill="auto"/>
            <w:noWrap/>
            <w:vAlign w:val="center"/>
            <w:hideMark/>
          </w:tcPr>
          <w:p w14:paraId="153E1789" w14:textId="58D3F01A"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IV</w:t>
            </w:r>
          </w:p>
        </w:tc>
        <w:tc>
          <w:tcPr>
            <w:tcW w:w="7371" w:type="dxa"/>
            <w:gridSpan w:val="2"/>
            <w:shd w:val="clear" w:color="auto" w:fill="auto"/>
            <w:vAlign w:val="center"/>
            <w:hideMark/>
          </w:tcPr>
          <w:p w14:paraId="0A19AE27" w14:textId="34FE9F98"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Endocrine, nutritional and metabolic diseases</w:t>
            </w:r>
          </w:p>
        </w:tc>
      </w:tr>
      <w:tr w:rsidR="004D761C" w:rsidRPr="004D761C" w14:paraId="3C77AFD7" w14:textId="77777777" w:rsidTr="004D761C">
        <w:trPr>
          <w:trHeight w:hRule="exact" w:val="255"/>
        </w:trPr>
        <w:tc>
          <w:tcPr>
            <w:tcW w:w="1913" w:type="dxa"/>
            <w:gridSpan w:val="2"/>
            <w:shd w:val="clear" w:color="auto" w:fill="auto"/>
            <w:noWrap/>
            <w:vAlign w:val="center"/>
            <w:hideMark/>
          </w:tcPr>
          <w:p w14:paraId="6596FA75" w14:textId="797C41E2"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V</w:t>
            </w:r>
          </w:p>
        </w:tc>
        <w:tc>
          <w:tcPr>
            <w:tcW w:w="7371" w:type="dxa"/>
            <w:gridSpan w:val="2"/>
            <w:shd w:val="clear" w:color="auto" w:fill="auto"/>
            <w:noWrap/>
            <w:vAlign w:val="center"/>
            <w:hideMark/>
          </w:tcPr>
          <w:p w14:paraId="6C135383" w14:textId="0F5CBD1E"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Mental and behavioural disorders</w:t>
            </w:r>
          </w:p>
        </w:tc>
      </w:tr>
      <w:tr w:rsidR="004D761C" w:rsidRPr="004D761C" w14:paraId="2EFC3FD4" w14:textId="77777777" w:rsidTr="004D761C">
        <w:trPr>
          <w:trHeight w:hRule="exact" w:val="255"/>
        </w:trPr>
        <w:tc>
          <w:tcPr>
            <w:tcW w:w="1913" w:type="dxa"/>
            <w:gridSpan w:val="2"/>
            <w:shd w:val="clear" w:color="auto" w:fill="auto"/>
            <w:noWrap/>
            <w:vAlign w:val="center"/>
            <w:hideMark/>
          </w:tcPr>
          <w:p w14:paraId="56A1B0A2" w14:textId="0667F756"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VI</w:t>
            </w:r>
          </w:p>
        </w:tc>
        <w:tc>
          <w:tcPr>
            <w:tcW w:w="7371" w:type="dxa"/>
            <w:gridSpan w:val="2"/>
            <w:shd w:val="clear" w:color="auto" w:fill="auto"/>
            <w:vAlign w:val="center"/>
            <w:hideMark/>
          </w:tcPr>
          <w:p w14:paraId="1402156A" w14:textId="54267552"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Diseases of the nervous system</w:t>
            </w:r>
          </w:p>
        </w:tc>
      </w:tr>
      <w:tr w:rsidR="004D761C" w:rsidRPr="004D761C" w14:paraId="72F02672" w14:textId="77777777" w:rsidTr="004D761C">
        <w:trPr>
          <w:trHeight w:hRule="exact" w:val="255"/>
        </w:trPr>
        <w:tc>
          <w:tcPr>
            <w:tcW w:w="1913" w:type="dxa"/>
            <w:gridSpan w:val="2"/>
            <w:shd w:val="clear" w:color="auto" w:fill="auto"/>
            <w:noWrap/>
            <w:vAlign w:val="center"/>
            <w:hideMark/>
          </w:tcPr>
          <w:p w14:paraId="1E2963F6" w14:textId="7352E065"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VII</w:t>
            </w:r>
          </w:p>
        </w:tc>
        <w:tc>
          <w:tcPr>
            <w:tcW w:w="7371" w:type="dxa"/>
            <w:gridSpan w:val="2"/>
            <w:shd w:val="clear" w:color="auto" w:fill="auto"/>
            <w:noWrap/>
            <w:vAlign w:val="center"/>
            <w:hideMark/>
          </w:tcPr>
          <w:p w14:paraId="34EC93D5" w14:textId="7AB7B606"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Diseases of the eye and adnexa</w:t>
            </w:r>
          </w:p>
        </w:tc>
      </w:tr>
      <w:tr w:rsidR="004D761C" w:rsidRPr="004D761C" w14:paraId="4BA098F4" w14:textId="77777777" w:rsidTr="004D761C">
        <w:trPr>
          <w:trHeight w:hRule="exact" w:val="255"/>
        </w:trPr>
        <w:tc>
          <w:tcPr>
            <w:tcW w:w="1913" w:type="dxa"/>
            <w:gridSpan w:val="2"/>
            <w:shd w:val="clear" w:color="auto" w:fill="auto"/>
            <w:noWrap/>
            <w:vAlign w:val="center"/>
            <w:hideMark/>
          </w:tcPr>
          <w:p w14:paraId="01FFDBFA" w14:textId="44F654A0"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VIII</w:t>
            </w:r>
          </w:p>
        </w:tc>
        <w:tc>
          <w:tcPr>
            <w:tcW w:w="7371" w:type="dxa"/>
            <w:gridSpan w:val="2"/>
            <w:shd w:val="clear" w:color="auto" w:fill="auto"/>
            <w:noWrap/>
            <w:vAlign w:val="center"/>
            <w:hideMark/>
          </w:tcPr>
          <w:p w14:paraId="4FA6C356" w14:textId="1EEB5267"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Diseases of the ear and mastoid process</w:t>
            </w:r>
          </w:p>
        </w:tc>
      </w:tr>
      <w:tr w:rsidR="004D761C" w:rsidRPr="004D761C" w14:paraId="6220E1B2" w14:textId="77777777" w:rsidTr="004D761C">
        <w:trPr>
          <w:trHeight w:hRule="exact" w:val="255"/>
        </w:trPr>
        <w:tc>
          <w:tcPr>
            <w:tcW w:w="1913" w:type="dxa"/>
            <w:gridSpan w:val="2"/>
            <w:shd w:val="clear" w:color="auto" w:fill="auto"/>
            <w:noWrap/>
            <w:vAlign w:val="center"/>
            <w:hideMark/>
          </w:tcPr>
          <w:p w14:paraId="6B18A9E5" w14:textId="52229A77"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IX</w:t>
            </w:r>
          </w:p>
        </w:tc>
        <w:tc>
          <w:tcPr>
            <w:tcW w:w="7371" w:type="dxa"/>
            <w:gridSpan w:val="2"/>
            <w:shd w:val="clear" w:color="auto" w:fill="auto"/>
            <w:noWrap/>
            <w:vAlign w:val="center"/>
            <w:hideMark/>
          </w:tcPr>
          <w:p w14:paraId="2C3AAD8E" w14:textId="73FA6AF7"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Diseases of the circulatory system</w:t>
            </w:r>
          </w:p>
        </w:tc>
      </w:tr>
      <w:tr w:rsidR="004D761C" w:rsidRPr="004D761C" w14:paraId="47EEE4D1" w14:textId="77777777" w:rsidTr="004D761C">
        <w:trPr>
          <w:trHeight w:hRule="exact" w:val="255"/>
        </w:trPr>
        <w:tc>
          <w:tcPr>
            <w:tcW w:w="1913" w:type="dxa"/>
            <w:gridSpan w:val="2"/>
            <w:shd w:val="clear" w:color="auto" w:fill="auto"/>
            <w:noWrap/>
            <w:vAlign w:val="center"/>
            <w:hideMark/>
          </w:tcPr>
          <w:p w14:paraId="227F63F3" w14:textId="6BDE53E6"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w:t>
            </w:r>
          </w:p>
        </w:tc>
        <w:tc>
          <w:tcPr>
            <w:tcW w:w="7371" w:type="dxa"/>
            <w:gridSpan w:val="2"/>
            <w:shd w:val="clear" w:color="auto" w:fill="auto"/>
            <w:noWrap/>
            <w:vAlign w:val="center"/>
            <w:hideMark/>
          </w:tcPr>
          <w:p w14:paraId="0C2A258A" w14:textId="490DA878"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Diseases of the respiratory system</w:t>
            </w:r>
          </w:p>
        </w:tc>
      </w:tr>
      <w:tr w:rsidR="004D761C" w:rsidRPr="004D761C" w14:paraId="5A6559EB" w14:textId="77777777" w:rsidTr="004D761C">
        <w:trPr>
          <w:trHeight w:hRule="exact" w:val="255"/>
        </w:trPr>
        <w:tc>
          <w:tcPr>
            <w:tcW w:w="1913" w:type="dxa"/>
            <w:gridSpan w:val="2"/>
            <w:shd w:val="clear" w:color="auto" w:fill="auto"/>
            <w:noWrap/>
            <w:vAlign w:val="center"/>
            <w:hideMark/>
          </w:tcPr>
          <w:p w14:paraId="32CCFCEB" w14:textId="4F56F806"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XI</w:t>
            </w:r>
          </w:p>
        </w:tc>
        <w:tc>
          <w:tcPr>
            <w:tcW w:w="7371" w:type="dxa"/>
            <w:gridSpan w:val="2"/>
            <w:shd w:val="clear" w:color="auto" w:fill="auto"/>
            <w:noWrap/>
            <w:vAlign w:val="center"/>
            <w:hideMark/>
          </w:tcPr>
          <w:p w14:paraId="7D0F98C9" w14:textId="0473CC65"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Diseases of the digestive system</w:t>
            </w:r>
          </w:p>
        </w:tc>
      </w:tr>
      <w:tr w:rsidR="004D761C" w:rsidRPr="004D761C" w14:paraId="3B49290E" w14:textId="77777777" w:rsidTr="004D761C">
        <w:trPr>
          <w:trHeight w:hRule="exact" w:val="255"/>
        </w:trPr>
        <w:tc>
          <w:tcPr>
            <w:tcW w:w="1913" w:type="dxa"/>
            <w:gridSpan w:val="2"/>
            <w:shd w:val="clear" w:color="auto" w:fill="auto"/>
            <w:noWrap/>
            <w:vAlign w:val="center"/>
            <w:hideMark/>
          </w:tcPr>
          <w:p w14:paraId="7D3772CB" w14:textId="456FD952"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XII</w:t>
            </w:r>
          </w:p>
        </w:tc>
        <w:tc>
          <w:tcPr>
            <w:tcW w:w="7371" w:type="dxa"/>
            <w:gridSpan w:val="2"/>
            <w:shd w:val="clear" w:color="auto" w:fill="auto"/>
            <w:noWrap/>
            <w:vAlign w:val="center"/>
            <w:hideMark/>
          </w:tcPr>
          <w:p w14:paraId="533BE190" w14:textId="2D5F6B96"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Diseases of the skin and subcutaneous tissue</w:t>
            </w:r>
          </w:p>
        </w:tc>
      </w:tr>
      <w:tr w:rsidR="004D761C" w:rsidRPr="004D761C" w14:paraId="311DC5B0" w14:textId="77777777" w:rsidTr="004D761C">
        <w:trPr>
          <w:trHeight w:hRule="exact" w:val="255"/>
        </w:trPr>
        <w:tc>
          <w:tcPr>
            <w:tcW w:w="1913" w:type="dxa"/>
            <w:gridSpan w:val="2"/>
            <w:shd w:val="clear" w:color="auto" w:fill="auto"/>
            <w:noWrap/>
            <w:vAlign w:val="center"/>
            <w:hideMark/>
          </w:tcPr>
          <w:p w14:paraId="00B8CC77" w14:textId="178E4C63"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XIII</w:t>
            </w:r>
          </w:p>
        </w:tc>
        <w:tc>
          <w:tcPr>
            <w:tcW w:w="7371" w:type="dxa"/>
            <w:gridSpan w:val="2"/>
            <w:shd w:val="clear" w:color="auto" w:fill="auto"/>
            <w:noWrap/>
            <w:vAlign w:val="center"/>
            <w:hideMark/>
          </w:tcPr>
          <w:p w14:paraId="4C88A48E" w14:textId="4E5DCE49"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Diseases of the musculoskeletal system and connective tissue</w:t>
            </w:r>
          </w:p>
        </w:tc>
      </w:tr>
      <w:tr w:rsidR="004D761C" w:rsidRPr="004D761C" w14:paraId="5A1B3400" w14:textId="77777777" w:rsidTr="004D761C">
        <w:trPr>
          <w:trHeight w:hRule="exact" w:val="255"/>
        </w:trPr>
        <w:tc>
          <w:tcPr>
            <w:tcW w:w="1913" w:type="dxa"/>
            <w:gridSpan w:val="2"/>
            <w:shd w:val="clear" w:color="auto" w:fill="auto"/>
            <w:noWrap/>
            <w:vAlign w:val="center"/>
            <w:hideMark/>
          </w:tcPr>
          <w:p w14:paraId="5E35B7AB" w14:textId="78A8165D"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XIV</w:t>
            </w:r>
          </w:p>
        </w:tc>
        <w:tc>
          <w:tcPr>
            <w:tcW w:w="7371" w:type="dxa"/>
            <w:gridSpan w:val="2"/>
            <w:shd w:val="clear" w:color="auto" w:fill="auto"/>
            <w:noWrap/>
            <w:vAlign w:val="center"/>
            <w:hideMark/>
          </w:tcPr>
          <w:p w14:paraId="4DD406F1" w14:textId="2EB5F6CD"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Diseases of the genitourinary system</w:t>
            </w:r>
          </w:p>
        </w:tc>
      </w:tr>
      <w:tr w:rsidR="004D761C" w:rsidRPr="004D761C" w14:paraId="52782E18" w14:textId="77777777" w:rsidTr="004D761C">
        <w:trPr>
          <w:trHeight w:hRule="exact" w:val="255"/>
        </w:trPr>
        <w:tc>
          <w:tcPr>
            <w:tcW w:w="1913" w:type="dxa"/>
            <w:gridSpan w:val="2"/>
            <w:shd w:val="clear" w:color="auto" w:fill="auto"/>
            <w:noWrap/>
            <w:vAlign w:val="center"/>
            <w:hideMark/>
          </w:tcPr>
          <w:p w14:paraId="60A6C5C8" w14:textId="7C603DE6"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XV</w:t>
            </w:r>
          </w:p>
        </w:tc>
        <w:tc>
          <w:tcPr>
            <w:tcW w:w="7371" w:type="dxa"/>
            <w:gridSpan w:val="2"/>
            <w:shd w:val="clear" w:color="auto" w:fill="auto"/>
            <w:noWrap/>
            <w:vAlign w:val="center"/>
            <w:hideMark/>
          </w:tcPr>
          <w:p w14:paraId="78FE6511" w14:textId="3DF5EC4C"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Pregnancy, childbirth and the puerperium</w:t>
            </w:r>
          </w:p>
        </w:tc>
      </w:tr>
      <w:tr w:rsidR="004D761C" w:rsidRPr="004D761C" w14:paraId="52E3B705" w14:textId="77777777" w:rsidTr="004D761C">
        <w:trPr>
          <w:trHeight w:hRule="exact" w:val="255"/>
        </w:trPr>
        <w:tc>
          <w:tcPr>
            <w:tcW w:w="1913" w:type="dxa"/>
            <w:gridSpan w:val="2"/>
            <w:shd w:val="clear" w:color="auto" w:fill="auto"/>
            <w:noWrap/>
            <w:vAlign w:val="center"/>
            <w:hideMark/>
          </w:tcPr>
          <w:p w14:paraId="678D1E5E" w14:textId="53E5329D"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XVI</w:t>
            </w:r>
          </w:p>
        </w:tc>
        <w:tc>
          <w:tcPr>
            <w:tcW w:w="7371" w:type="dxa"/>
            <w:gridSpan w:val="2"/>
            <w:shd w:val="clear" w:color="auto" w:fill="auto"/>
            <w:noWrap/>
            <w:vAlign w:val="center"/>
            <w:hideMark/>
          </w:tcPr>
          <w:p w14:paraId="2BD2D936" w14:textId="42E7C980"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Certain conditions originating in the perinatal period</w:t>
            </w:r>
          </w:p>
        </w:tc>
      </w:tr>
      <w:tr w:rsidR="004D761C" w:rsidRPr="004D761C" w14:paraId="4EB1FA1D" w14:textId="77777777" w:rsidTr="004D761C">
        <w:trPr>
          <w:trHeight w:hRule="exact" w:val="255"/>
        </w:trPr>
        <w:tc>
          <w:tcPr>
            <w:tcW w:w="1913" w:type="dxa"/>
            <w:gridSpan w:val="2"/>
            <w:shd w:val="clear" w:color="auto" w:fill="auto"/>
            <w:noWrap/>
            <w:vAlign w:val="center"/>
            <w:hideMark/>
          </w:tcPr>
          <w:p w14:paraId="04F122D2" w14:textId="55ECAD2A"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XVII</w:t>
            </w:r>
          </w:p>
        </w:tc>
        <w:tc>
          <w:tcPr>
            <w:tcW w:w="7371" w:type="dxa"/>
            <w:gridSpan w:val="2"/>
            <w:shd w:val="clear" w:color="auto" w:fill="auto"/>
            <w:noWrap/>
            <w:vAlign w:val="center"/>
            <w:hideMark/>
          </w:tcPr>
          <w:p w14:paraId="31D18A43" w14:textId="0E85B174"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Congenital malformations, deformations and chromosomal abnormalities</w:t>
            </w:r>
          </w:p>
        </w:tc>
      </w:tr>
      <w:tr w:rsidR="004D761C" w:rsidRPr="004D761C" w14:paraId="2166D9DB" w14:textId="77777777" w:rsidTr="004D761C">
        <w:trPr>
          <w:trHeight w:hRule="exact" w:val="255"/>
        </w:trPr>
        <w:tc>
          <w:tcPr>
            <w:tcW w:w="1913" w:type="dxa"/>
            <w:gridSpan w:val="2"/>
            <w:shd w:val="clear" w:color="auto" w:fill="auto"/>
            <w:noWrap/>
            <w:vAlign w:val="center"/>
            <w:hideMark/>
          </w:tcPr>
          <w:p w14:paraId="1CD51935" w14:textId="19337246"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XVIII</w:t>
            </w:r>
          </w:p>
        </w:tc>
        <w:tc>
          <w:tcPr>
            <w:tcW w:w="7371" w:type="dxa"/>
            <w:gridSpan w:val="2"/>
            <w:shd w:val="clear" w:color="auto" w:fill="auto"/>
            <w:noWrap/>
            <w:vAlign w:val="center"/>
            <w:hideMark/>
          </w:tcPr>
          <w:p w14:paraId="3634C498" w14:textId="3AAB9584"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Symptoms, signs and abnormal clinical and laboratory findings, not elsewhere classified</w:t>
            </w:r>
          </w:p>
        </w:tc>
      </w:tr>
      <w:tr w:rsidR="004D761C" w:rsidRPr="004D761C" w14:paraId="761429DF" w14:textId="77777777" w:rsidTr="004D761C">
        <w:trPr>
          <w:trHeight w:hRule="exact" w:val="255"/>
        </w:trPr>
        <w:tc>
          <w:tcPr>
            <w:tcW w:w="1913" w:type="dxa"/>
            <w:gridSpan w:val="2"/>
            <w:shd w:val="clear" w:color="auto" w:fill="auto"/>
            <w:noWrap/>
            <w:vAlign w:val="center"/>
            <w:hideMark/>
          </w:tcPr>
          <w:p w14:paraId="01C069D9" w14:textId="372EB136"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XIX</w:t>
            </w:r>
          </w:p>
        </w:tc>
        <w:tc>
          <w:tcPr>
            <w:tcW w:w="7371" w:type="dxa"/>
            <w:gridSpan w:val="2"/>
            <w:shd w:val="clear" w:color="auto" w:fill="auto"/>
            <w:noWrap/>
            <w:vAlign w:val="center"/>
            <w:hideMark/>
          </w:tcPr>
          <w:p w14:paraId="4DA961A7" w14:textId="67DEAB4C"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Injury, poisoning and certain other consequences of external causes</w:t>
            </w:r>
          </w:p>
        </w:tc>
      </w:tr>
      <w:tr w:rsidR="004D761C" w:rsidRPr="004D761C" w14:paraId="246BCCD9" w14:textId="77777777" w:rsidTr="004D761C">
        <w:trPr>
          <w:trHeight w:hRule="exact" w:val="255"/>
        </w:trPr>
        <w:tc>
          <w:tcPr>
            <w:tcW w:w="1913" w:type="dxa"/>
            <w:gridSpan w:val="2"/>
            <w:shd w:val="clear" w:color="auto" w:fill="auto"/>
            <w:noWrap/>
            <w:vAlign w:val="center"/>
            <w:hideMark/>
          </w:tcPr>
          <w:p w14:paraId="7E97378F" w14:textId="145AEA73"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XX</w:t>
            </w:r>
          </w:p>
        </w:tc>
        <w:tc>
          <w:tcPr>
            <w:tcW w:w="7371" w:type="dxa"/>
            <w:gridSpan w:val="2"/>
            <w:shd w:val="clear" w:color="auto" w:fill="auto"/>
            <w:noWrap/>
            <w:vAlign w:val="center"/>
            <w:hideMark/>
          </w:tcPr>
          <w:p w14:paraId="0A3B6A5B" w14:textId="199C395F"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External causes of morbidity and mortality</w:t>
            </w:r>
          </w:p>
        </w:tc>
      </w:tr>
      <w:tr w:rsidR="004D761C" w:rsidRPr="004D761C" w14:paraId="2FDD9EA5" w14:textId="77777777" w:rsidTr="004D761C">
        <w:trPr>
          <w:trHeight w:hRule="exact" w:val="255"/>
        </w:trPr>
        <w:tc>
          <w:tcPr>
            <w:tcW w:w="1913" w:type="dxa"/>
            <w:gridSpan w:val="2"/>
            <w:shd w:val="clear" w:color="auto" w:fill="auto"/>
            <w:noWrap/>
            <w:vAlign w:val="center"/>
          </w:tcPr>
          <w:p w14:paraId="569E659D" w14:textId="6C1C509D" w:rsidR="004D761C" w:rsidRPr="004D761C" w:rsidRDefault="004D761C" w:rsidP="00123F2B">
            <w:pPr>
              <w:spacing w:line="288" w:lineRule="auto"/>
              <w:rPr>
                <w:rFonts w:cs="Arial"/>
                <w:bCs w:val="0"/>
                <w:i/>
                <w:color w:val="000000"/>
                <w:szCs w:val="16"/>
                <w:lang w:val="en-GB"/>
              </w:rPr>
            </w:pPr>
            <w:r w:rsidRPr="004D761C">
              <w:rPr>
                <w:rFonts w:eastAsia="Calibri" w:cs="Arial"/>
                <w:i/>
                <w:szCs w:val="16"/>
                <w:lang w:val="en-GB" w:eastAsia="en-US"/>
              </w:rPr>
              <w:t>XXII</w:t>
            </w:r>
          </w:p>
        </w:tc>
        <w:tc>
          <w:tcPr>
            <w:tcW w:w="7371" w:type="dxa"/>
            <w:gridSpan w:val="2"/>
            <w:shd w:val="clear" w:color="auto" w:fill="auto"/>
            <w:noWrap/>
            <w:vAlign w:val="center"/>
          </w:tcPr>
          <w:p w14:paraId="15AD2E80" w14:textId="5BCF9AFE" w:rsidR="004D761C" w:rsidRPr="004D761C" w:rsidRDefault="004D761C" w:rsidP="00123F2B">
            <w:pPr>
              <w:spacing w:line="288" w:lineRule="auto"/>
              <w:rPr>
                <w:rFonts w:cs="Arial"/>
                <w:bCs w:val="0"/>
                <w:i/>
                <w:color w:val="000000"/>
                <w:szCs w:val="16"/>
                <w:lang w:val="en-GB"/>
              </w:rPr>
            </w:pPr>
            <w:r w:rsidRPr="004D761C">
              <w:rPr>
                <w:rFonts w:cs="Arial"/>
                <w:i/>
                <w:iCs/>
                <w:szCs w:val="16"/>
                <w:lang w:val="en-GB"/>
              </w:rPr>
              <w:t>Codes for special purposes</w:t>
            </w:r>
          </w:p>
        </w:tc>
      </w:tr>
    </w:tbl>
    <w:p w14:paraId="09715E14" w14:textId="52EFB0DD" w:rsidR="004D761C" w:rsidRPr="004D761C" w:rsidRDefault="004D761C" w:rsidP="005E6023">
      <w:pPr>
        <w:spacing w:before="240" w:after="120" w:line="288" w:lineRule="auto"/>
        <w:rPr>
          <w:rFonts w:eastAsia="Arial Unicode MS" w:cs="Arial"/>
          <w:b/>
          <w:bCs w:val="0"/>
          <w:sz w:val="24"/>
          <w:lang w:val="en-GB"/>
        </w:rPr>
      </w:pPr>
      <w:r w:rsidRPr="004D761C">
        <w:rPr>
          <w:rFonts w:eastAsia="Arial Unicode MS" w:cs="Arial"/>
          <w:b/>
          <w:bCs w:val="0"/>
          <w:sz w:val="24"/>
          <w:lang w:val="en-GB"/>
        </w:rPr>
        <w:t>Methodological notes on data on migration</w:t>
      </w:r>
    </w:p>
    <w:p w14:paraId="359D60F0" w14:textId="77777777" w:rsidR="005E6023" w:rsidRDefault="000563CB" w:rsidP="005E6023">
      <w:pPr>
        <w:spacing w:after="120" w:line="288" w:lineRule="auto"/>
        <w:rPr>
          <w:rFonts w:cs="Arial"/>
          <w:sz w:val="20"/>
          <w:lang w:val="en-GB"/>
        </w:rPr>
      </w:pPr>
      <w:r>
        <w:rPr>
          <w:rFonts w:cs="Arial"/>
          <w:sz w:val="20"/>
          <w:lang w:val="en-GB"/>
        </w:rPr>
        <w:t xml:space="preserve">In demographic statistics, </w:t>
      </w:r>
      <w:r w:rsidRPr="000563CB">
        <w:rPr>
          <w:rFonts w:cs="Arial"/>
          <w:sz w:val="20"/>
          <w:lang w:val="en-GB"/>
        </w:rPr>
        <w:t xml:space="preserve">migration is defined as a change in the municipality of registered residence of a person within the territory of the Czech Republic or across the borders of the Czech Republic. Migration statistics </w:t>
      </w:r>
      <w:r w:rsidR="00B108BA">
        <w:rPr>
          <w:rFonts w:cs="Arial"/>
          <w:sz w:val="20"/>
          <w:lang w:val="en-GB"/>
        </w:rPr>
        <w:t>are</w:t>
      </w:r>
      <w:r w:rsidR="00B108BA" w:rsidRPr="000563CB">
        <w:rPr>
          <w:rFonts w:cs="Arial"/>
          <w:sz w:val="20"/>
          <w:lang w:val="en-GB"/>
        </w:rPr>
        <w:t xml:space="preserve"> </w:t>
      </w:r>
      <w:r w:rsidRPr="000563CB">
        <w:rPr>
          <w:rFonts w:cs="Arial"/>
          <w:sz w:val="20"/>
          <w:lang w:val="en-GB"/>
        </w:rPr>
        <w:t xml:space="preserve">processed separately for internal (within the territory of the Czech Republic) and </w:t>
      </w:r>
      <w:r>
        <w:rPr>
          <w:rFonts w:cs="Arial"/>
          <w:sz w:val="20"/>
          <w:lang w:val="en-GB"/>
        </w:rPr>
        <w:t xml:space="preserve">international </w:t>
      </w:r>
      <w:r w:rsidRPr="000563CB">
        <w:rPr>
          <w:rFonts w:cs="Arial"/>
          <w:sz w:val="20"/>
          <w:lang w:val="en-GB"/>
        </w:rPr>
        <w:t>migration.</w:t>
      </w:r>
    </w:p>
    <w:p w14:paraId="79FC253E" w14:textId="4C42B16C" w:rsidR="000563CB" w:rsidRPr="005E6023" w:rsidRDefault="000563CB" w:rsidP="005E6023">
      <w:pPr>
        <w:spacing w:after="120" w:line="288" w:lineRule="auto"/>
        <w:rPr>
          <w:rFonts w:cs="Arial"/>
          <w:sz w:val="20"/>
          <w:lang w:val="en-GB"/>
        </w:rPr>
      </w:pPr>
      <w:r w:rsidRPr="000563CB">
        <w:rPr>
          <w:rFonts w:cs="Arial"/>
          <w:bCs w:val="0"/>
          <w:sz w:val="20"/>
          <w:lang w:val="en-GB"/>
        </w:rPr>
        <w:lastRenderedPageBreak/>
        <w:t xml:space="preserve">The comparability of data on internal migration over </w:t>
      </w:r>
      <w:r w:rsidR="0015075E">
        <w:rPr>
          <w:rFonts w:cs="Arial"/>
          <w:bCs w:val="0"/>
          <w:sz w:val="20"/>
          <w:lang w:val="en-GB"/>
        </w:rPr>
        <w:t>the years</w:t>
      </w:r>
      <w:r w:rsidRPr="000563CB">
        <w:rPr>
          <w:rFonts w:cs="Arial"/>
          <w:bCs w:val="0"/>
          <w:sz w:val="20"/>
          <w:lang w:val="en-GB"/>
        </w:rPr>
        <w:t xml:space="preserve"> is partly limited </w:t>
      </w:r>
      <w:r w:rsidR="00CE7117">
        <w:rPr>
          <w:rFonts w:cs="Arial"/>
          <w:bCs w:val="0"/>
          <w:sz w:val="20"/>
          <w:lang w:val="en-GB"/>
        </w:rPr>
        <w:t>by</w:t>
      </w:r>
      <w:r w:rsidRPr="000563CB">
        <w:rPr>
          <w:rFonts w:cs="Arial"/>
          <w:bCs w:val="0"/>
          <w:sz w:val="20"/>
          <w:lang w:val="en-GB"/>
        </w:rPr>
        <w:t xml:space="preserve"> changes </w:t>
      </w:r>
      <w:r w:rsidR="00BA4AA0">
        <w:rPr>
          <w:rFonts w:cs="Arial"/>
          <w:bCs w:val="0"/>
          <w:sz w:val="20"/>
          <w:lang w:val="en-GB"/>
        </w:rPr>
        <w:t>in</w:t>
      </w:r>
      <w:r w:rsidR="00A61F6A" w:rsidRPr="00A61F6A">
        <w:rPr>
          <w:rFonts w:cs="Arial"/>
          <w:bCs w:val="0"/>
          <w:sz w:val="20"/>
          <w:lang w:val="en-GB"/>
        </w:rPr>
        <w:t xml:space="preserve"> the </w:t>
      </w:r>
      <w:r w:rsidR="00A52FE0">
        <w:rPr>
          <w:rFonts w:cs="Arial"/>
          <w:bCs w:val="0"/>
          <w:sz w:val="20"/>
          <w:lang w:val="en-GB"/>
        </w:rPr>
        <w:t xml:space="preserve">extent of </w:t>
      </w:r>
      <w:r w:rsidR="00A61F6A" w:rsidRPr="00A61F6A">
        <w:rPr>
          <w:rFonts w:cs="Arial"/>
          <w:bCs w:val="0"/>
          <w:sz w:val="20"/>
          <w:lang w:val="en-GB"/>
        </w:rPr>
        <w:t>migration</w:t>
      </w:r>
      <w:r w:rsidR="00A61F6A">
        <w:rPr>
          <w:rFonts w:cs="Arial"/>
          <w:bCs w:val="0"/>
          <w:sz w:val="20"/>
          <w:lang w:val="en-GB"/>
        </w:rPr>
        <w:t xml:space="preserve"> statistics</w:t>
      </w:r>
      <w:r w:rsidR="00A61F6A" w:rsidRPr="00A61F6A">
        <w:rPr>
          <w:rFonts w:cs="Arial"/>
          <w:bCs w:val="0"/>
          <w:sz w:val="20"/>
          <w:lang w:val="en-GB"/>
        </w:rPr>
        <w:t xml:space="preserve"> within</w:t>
      </w:r>
      <w:r w:rsidRPr="000563CB">
        <w:rPr>
          <w:rFonts w:cs="Arial"/>
          <w:bCs w:val="0"/>
          <w:sz w:val="20"/>
          <w:lang w:val="en-GB"/>
        </w:rPr>
        <w:t xml:space="preserve"> </w:t>
      </w:r>
      <w:r w:rsidR="00A61F6A">
        <w:rPr>
          <w:rFonts w:cs="Arial"/>
          <w:bCs w:val="0"/>
          <w:sz w:val="20"/>
          <w:lang w:val="en-GB"/>
        </w:rPr>
        <w:t xml:space="preserve">the capital city of Prague </w:t>
      </w:r>
      <w:r w:rsidRPr="000563CB">
        <w:rPr>
          <w:rFonts w:cs="Arial"/>
          <w:bCs w:val="0"/>
          <w:sz w:val="20"/>
          <w:lang w:val="en-GB"/>
        </w:rPr>
        <w:t xml:space="preserve">(see explanatory notes </w:t>
      </w:r>
      <w:r w:rsidR="00BA4AA0">
        <w:rPr>
          <w:rFonts w:cs="Arial"/>
          <w:bCs w:val="0"/>
          <w:sz w:val="20"/>
          <w:lang w:val="en-GB"/>
        </w:rPr>
        <w:t>below</w:t>
      </w:r>
      <w:r w:rsidRPr="000563CB">
        <w:rPr>
          <w:rFonts w:cs="Arial"/>
          <w:bCs w:val="0"/>
          <w:sz w:val="20"/>
          <w:lang w:val="en-GB"/>
        </w:rPr>
        <w:t xml:space="preserve"> </w:t>
      </w:r>
      <w:r w:rsidRPr="00844E63">
        <w:rPr>
          <w:rFonts w:cs="Arial"/>
          <w:bCs w:val="0"/>
          <w:sz w:val="20"/>
          <w:lang w:val="en-GB"/>
        </w:rPr>
        <w:t>Table 9-1</w:t>
      </w:r>
      <w:r w:rsidRPr="000563CB">
        <w:rPr>
          <w:rFonts w:cs="Arial"/>
          <w:bCs w:val="0"/>
          <w:sz w:val="20"/>
          <w:lang w:val="en-GB"/>
        </w:rPr>
        <w:t xml:space="preserve"> for details) and reorgani</w:t>
      </w:r>
      <w:r w:rsidR="007859D7">
        <w:rPr>
          <w:rFonts w:cs="Arial"/>
          <w:bCs w:val="0"/>
          <w:sz w:val="20"/>
          <w:lang w:val="en-GB"/>
        </w:rPr>
        <w:t>z</w:t>
      </w:r>
      <w:r w:rsidRPr="000563CB">
        <w:rPr>
          <w:rFonts w:cs="Arial"/>
          <w:bCs w:val="0"/>
          <w:sz w:val="20"/>
          <w:lang w:val="en-GB"/>
        </w:rPr>
        <w:t>ations of the territorial division of the Czech Republic.</w:t>
      </w:r>
      <w:r w:rsidRPr="000563CB">
        <w:rPr>
          <w:rFonts w:cs="Arial"/>
          <w:bCs w:val="0"/>
          <w:sz w:val="20"/>
        </w:rPr>
        <w:t xml:space="preserve"> </w:t>
      </w:r>
      <w:r w:rsidRPr="000563CB">
        <w:rPr>
          <w:rFonts w:cs="Arial"/>
          <w:bCs w:val="0"/>
          <w:sz w:val="20"/>
          <w:lang w:val="en-GB"/>
        </w:rPr>
        <w:t>In the case of international migration, the comparability of data in the time series is affected by the inclusion of foreigners with temporary residence (over 90 days) since 2001 and partly also by changes in data sources:</w:t>
      </w:r>
    </w:p>
    <w:p w14:paraId="109C6F7C" w14:textId="410CC3D6" w:rsidR="000563CB" w:rsidRPr="000563CB" w:rsidRDefault="00B23417" w:rsidP="00123F2B">
      <w:pPr>
        <w:pStyle w:val="Odstavecseseznamem"/>
        <w:numPr>
          <w:ilvl w:val="0"/>
          <w:numId w:val="7"/>
        </w:numPr>
        <w:spacing w:after="240" w:line="288" w:lineRule="auto"/>
        <w:rPr>
          <w:rFonts w:cs="Arial"/>
          <w:bCs w:val="0"/>
          <w:sz w:val="20"/>
          <w:lang w:val="en-GB"/>
        </w:rPr>
      </w:pPr>
      <w:r>
        <w:rPr>
          <w:rFonts w:cs="Arial"/>
          <w:bCs w:val="0"/>
          <w:sz w:val="20"/>
          <w:lang w:val="en-GB"/>
        </w:rPr>
        <w:t>Until</w:t>
      </w:r>
      <w:r w:rsidRPr="000563CB">
        <w:rPr>
          <w:rFonts w:cs="Arial"/>
          <w:bCs w:val="0"/>
          <w:sz w:val="20"/>
          <w:lang w:val="en-GB"/>
        </w:rPr>
        <w:t xml:space="preserve"> </w:t>
      </w:r>
      <w:r w:rsidR="000014C8">
        <w:rPr>
          <w:rFonts w:cs="Arial"/>
          <w:bCs w:val="0"/>
          <w:sz w:val="20"/>
          <w:lang w:val="en-GB"/>
        </w:rPr>
        <w:t>2000</w:t>
      </w:r>
      <w:r w:rsidR="000563CB" w:rsidRPr="000563CB">
        <w:rPr>
          <w:rFonts w:cs="Arial"/>
          <w:bCs w:val="0"/>
          <w:sz w:val="20"/>
          <w:lang w:val="en-GB"/>
        </w:rPr>
        <w:t>, migration statistics was based on data collection via statistical reports (Report on migration).</w:t>
      </w:r>
    </w:p>
    <w:p w14:paraId="4C09E492" w14:textId="33648B08" w:rsidR="000563CB" w:rsidRPr="00DE53BE" w:rsidRDefault="00D07F69" w:rsidP="00123F2B">
      <w:pPr>
        <w:pStyle w:val="Odstavecseseznamem"/>
        <w:numPr>
          <w:ilvl w:val="0"/>
          <w:numId w:val="7"/>
        </w:numPr>
        <w:spacing w:after="240" w:line="288" w:lineRule="auto"/>
        <w:rPr>
          <w:rFonts w:cs="Arial"/>
          <w:bCs w:val="0"/>
          <w:sz w:val="20"/>
          <w:lang w:val="en-GB"/>
        </w:rPr>
      </w:pPr>
      <w:r>
        <w:rPr>
          <w:rFonts w:cs="Arial"/>
          <w:bCs w:val="0"/>
          <w:sz w:val="20"/>
          <w:lang w:val="en-GB"/>
        </w:rPr>
        <w:t>In 2001–</w:t>
      </w:r>
      <w:r w:rsidR="00DE53BE" w:rsidRPr="00DE53BE">
        <w:rPr>
          <w:rFonts w:cs="Arial"/>
          <w:bCs w:val="0"/>
          <w:sz w:val="20"/>
          <w:lang w:val="en-GB"/>
        </w:rPr>
        <w:t xml:space="preserve">2004, </w:t>
      </w:r>
      <w:r w:rsidR="007859D7">
        <w:rPr>
          <w:rFonts w:cs="Arial"/>
          <w:bCs w:val="0"/>
          <w:sz w:val="20"/>
          <w:lang w:val="en-GB"/>
        </w:rPr>
        <w:t xml:space="preserve">the </w:t>
      </w:r>
      <w:r w:rsidR="007B04A3">
        <w:rPr>
          <w:rFonts w:cs="Arial"/>
          <w:bCs w:val="0"/>
          <w:sz w:val="20"/>
          <w:lang w:val="en-GB"/>
        </w:rPr>
        <w:t xml:space="preserve">statistical </w:t>
      </w:r>
      <w:r w:rsidR="00DE53BE" w:rsidRPr="00DE53BE">
        <w:rPr>
          <w:rFonts w:cs="Arial"/>
          <w:bCs w:val="0"/>
          <w:sz w:val="20"/>
          <w:lang w:val="en-GB"/>
        </w:rPr>
        <w:t xml:space="preserve">Report on migration was </w:t>
      </w:r>
      <w:r w:rsidR="000563CB" w:rsidRPr="00DE53BE">
        <w:rPr>
          <w:rFonts w:cs="Arial"/>
          <w:bCs w:val="0"/>
          <w:sz w:val="20"/>
          <w:lang w:val="en-GB"/>
        </w:rPr>
        <w:t xml:space="preserve">the source </w:t>
      </w:r>
      <w:r w:rsidR="00DE53BE" w:rsidRPr="00DE53BE">
        <w:rPr>
          <w:rFonts w:cs="Arial"/>
          <w:bCs w:val="0"/>
          <w:sz w:val="20"/>
          <w:lang w:val="en-GB"/>
        </w:rPr>
        <w:t>for migration statistics of</w:t>
      </w:r>
      <w:r w:rsidR="000563CB" w:rsidRPr="00DE53BE">
        <w:rPr>
          <w:rFonts w:cs="Arial"/>
          <w:bCs w:val="0"/>
          <w:sz w:val="20"/>
          <w:lang w:val="en-GB"/>
        </w:rPr>
        <w:t xml:space="preserve"> Czech </w:t>
      </w:r>
      <w:r w:rsidR="00C770EF">
        <w:rPr>
          <w:rFonts w:cs="Arial"/>
          <w:bCs w:val="0"/>
          <w:sz w:val="20"/>
          <w:lang w:val="en-GB"/>
        </w:rPr>
        <w:t xml:space="preserve">citizens </w:t>
      </w:r>
      <w:r w:rsidR="00DE53BE" w:rsidRPr="00DE53BE">
        <w:rPr>
          <w:rFonts w:cs="Arial"/>
          <w:bCs w:val="0"/>
          <w:sz w:val="20"/>
          <w:lang w:val="en-GB"/>
        </w:rPr>
        <w:t>(</w:t>
      </w:r>
      <w:r w:rsidR="00882304">
        <w:rPr>
          <w:rFonts w:cs="Arial"/>
          <w:bCs w:val="0"/>
          <w:sz w:val="20"/>
          <w:lang w:val="en-GB"/>
        </w:rPr>
        <w:t xml:space="preserve">with </w:t>
      </w:r>
      <w:r w:rsidR="00DE53BE" w:rsidRPr="00DE53BE">
        <w:rPr>
          <w:rFonts w:cs="Arial"/>
          <w:bCs w:val="0"/>
          <w:sz w:val="20"/>
          <w:lang w:val="en-GB"/>
        </w:rPr>
        <w:t xml:space="preserve">residence registration offices </w:t>
      </w:r>
      <w:r w:rsidR="00882304">
        <w:rPr>
          <w:rFonts w:cs="Arial"/>
          <w:bCs w:val="0"/>
          <w:sz w:val="20"/>
          <w:lang w:val="en-GB"/>
        </w:rPr>
        <w:t>as</w:t>
      </w:r>
      <w:r w:rsidR="00882304" w:rsidRPr="00DE53BE">
        <w:rPr>
          <w:rFonts w:cs="Arial"/>
          <w:bCs w:val="0"/>
          <w:sz w:val="20"/>
          <w:lang w:val="en-GB"/>
        </w:rPr>
        <w:t xml:space="preserve"> </w:t>
      </w:r>
      <w:r w:rsidR="000563CB" w:rsidRPr="00DE53BE">
        <w:rPr>
          <w:rFonts w:cs="Arial"/>
          <w:bCs w:val="0"/>
          <w:sz w:val="20"/>
          <w:lang w:val="en-GB"/>
        </w:rPr>
        <w:t>reporting unit</w:t>
      </w:r>
      <w:r w:rsidR="00DE53BE" w:rsidRPr="00DE53BE">
        <w:rPr>
          <w:rFonts w:cs="Arial"/>
          <w:bCs w:val="0"/>
          <w:sz w:val="20"/>
          <w:lang w:val="en-GB"/>
        </w:rPr>
        <w:t>s</w:t>
      </w:r>
      <w:r w:rsidR="000563CB" w:rsidRPr="00DE53BE">
        <w:rPr>
          <w:rFonts w:cs="Arial"/>
          <w:bCs w:val="0"/>
          <w:sz w:val="20"/>
          <w:lang w:val="en-GB"/>
        </w:rPr>
        <w:t xml:space="preserve">), data on </w:t>
      </w:r>
      <w:r w:rsidR="00DE53BE" w:rsidRPr="00DE53BE">
        <w:rPr>
          <w:rFonts w:cs="Arial"/>
          <w:bCs w:val="0"/>
          <w:sz w:val="20"/>
          <w:lang w:val="en-GB"/>
        </w:rPr>
        <w:t>migration</w:t>
      </w:r>
      <w:r w:rsidR="000563CB" w:rsidRPr="00DE53BE">
        <w:rPr>
          <w:rFonts w:cs="Arial"/>
          <w:bCs w:val="0"/>
          <w:sz w:val="20"/>
          <w:lang w:val="en-GB"/>
        </w:rPr>
        <w:t xml:space="preserve"> of foreigners were </w:t>
      </w:r>
      <w:r w:rsidR="00DE53BE" w:rsidRPr="00DE53BE">
        <w:rPr>
          <w:rFonts w:cs="Arial"/>
          <w:bCs w:val="0"/>
          <w:sz w:val="20"/>
          <w:lang w:val="en-GB"/>
        </w:rPr>
        <w:t>provided by</w:t>
      </w:r>
      <w:r w:rsidR="000563CB" w:rsidRPr="00DE53BE">
        <w:rPr>
          <w:rFonts w:cs="Arial"/>
          <w:bCs w:val="0"/>
          <w:sz w:val="20"/>
          <w:lang w:val="en-GB"/>
        </w:rPr>
        <w:t xml:space="preserve"> the </w:t>
      </w:r>
      <w:r w:rsidR="00DE53BE" w:rsidRPr="00DE53BE">
        <w:rPr>
          <w:rFonts w:cs="Arial"/>
          <w:bCs w:val="0"/>
          <w:sz w:val="20"/>
          <w:lang w:val="en-GB"/>
        </w:rPr>
        <w:t>Directorate of the Foreign Police Service</w:t>
      </w:r>
      <w:r w:rsidR="000563CB" w:rsidRPr="00DE53BE">
        <w:rPr>
          <w:rFonts w:cs="Arial"/>
          <w:bCs w:val="0"/>
          <w:sz w:val="20"/>
          <w:lang w:val="en-GB"/>
        </w:rPr>
        <w:t xml:space="preserve"> from </w:t>
      </w:r>
      <w:r w:rsidR="00DE53BE" w:rsidRPr="00DE53BE">
        <w:rPr>
          <w:rFonts w:cs="Arial"/>
          <w:bCs w:val="0"/>
          <w:sz w:val="20"/>
          <w:lang w:val="en-GB"/>
        </w:rPr>
        <w:t>its</w:t>
      </w:r>
      <w:r w:rsidR="000563CB" w:rsidRPr="00DE53BE">
        <w:rPr>
          <w:rFonts w:cs="Arial"/>
          <w:bCs w:val="0"/>
          <w:sz w:val="20"/>
          <w:lang w:val="en-GB"/>
        </w:rPr>
        <w:t xml:space="preserve"> information system.</w:t>
      </w:r>
    </w:p>
    <w:p w14:paraId="5E11D471" w14:textId="649E836F" w:rsidR="00C770EF" w:rsidRPr="00C32656" w:rsidRDefault="00C770EF" w:rsidP="004E26C8">
      <w:pPr>
        <w:pStyle w:val="Odstavecseseznamem"/>
        <w:numPr>
          <w:ilvl w:val="0"/>
          <w:numId w:val="7"/>
        </w:numPr>
        <w:spacing w:after="240" w:line="288" w:lineRule="auto"/>
        <w:ind w:left="714" w:hanging="357"/>
        <w:rPr>
          <w:rFonts w:cs="Arial"/>
          <w:bCs w:val="0"/>
          <w:sz w:val="20"/>
          <w:lang w:val="en-GB"/>
        </w:rPr>
      </w:pPr>
      <w:r w:rsidRPr="00C32656">
        <w:rPr>
          <w:rFonts w:cs="Arial"/>
          <w:bCs w:val="0"/>
          <w:sz w:val="20"/>
          <w:lang w:val="en-GB"/>
        </w:rPr>
        <w:t xml:space="preserve">Since 2005, all reports on migration have been replaced by administrative data from the Ministry of the Interior of the Czech Republic. The Information System of Inhabitants Records is the source of data on </w:t>
      </w:r>
      <w:r w:rsidR="007859D7">
        <w:rPr>
          <w:rFonts w:cs="Arial"/>
          <w:bCs w:val="0"/>
          <w:sz w:val="20"/>
          <w:lang w:val="en-GB"/>
        </w:rPr>
        <w:t xml:space="preserve">the </w:t>
      </w:r>
      <w:r w:rsidRPr="00C32656">
        <w:rPr>
          <w:rFonts w:cs="Arial"/>
          <w:bCs w:val="0"/>
          <w:sz w:val="20"/>
          <w:lang w:val="en-GB"/>
        </w:rPr>
        <w:t>migration of Czech citizens</w:t>
      </w:r>
      <w:r w:rsidR="00936DE9">
        <w:rPr>
          <w:rFonts w:cs="Arial"/>
          <w:bCs w:val="0"/>
          <w:sz w:val="20"/>
          <w:lang w:val="en-GB"/>
        </w:rPr>
        <w:t xml:space="preserve"> </w:t>
      </w:r>
      <w:r w:rsidRPr="00C32656">
        <w:rPr>
          <w:rFonts w:cs="Arial"/>
          <w:bCs w:val="0"/>
          <w:sz w:val="20"/>
          <w:lang w:val="en-GB"/>
        </w:rPr>
        <w:t xml:space="preserve">and </w:t>
      </w:r>
      <w:r w:rsidR="00936DE9">
        <w:rPr>
          <w:rFonts w:cs="Arial"/>
          <w:bCs w:val="0"/>
          <w:sz w:val="20"/>
          <w:lang w:val="en-GB"/>
        </w:rPr>
        <w:t xml:space="preserve">in the period </w:t>
      </w:r>
      <w:r w:rsidRPr="00C32656">
        <w:rPr>
          <w:rFonts w:cs="Arial"/>
          <w:bCs w:val="0"/>
          <w:sz w:val="20"/>
          <w:lang w:val="en-GB"/>
        </w:rPr>
        <w:t>from 2008 to June 2012</w:t>
      </w:r>
      <w:r w:rsidR="00C32656">
        <w:rPr>
          <w:rFonts w:cs="Arial"/>
          <w:bCs w:val="0"/>
          <w:sz w:val="20"/>
          <w:lang w:val="en-GB"/>
        </w:rPr>
        <w:t xml:space="preserve"> </w:t>
      </w:r>
      <w:r w:rsidRPr="00C32656">
        <w:rPr>
          <w:rFonts w:cs="Arial"/>
          <w:bCs w:val="0"/>
          <w:sz w:val="20"/>
          <w:lang w:val="en-GB"/>
        </w:rPr>
        <w:t xml:space="preserve">was the source of data for </w:t>
      </w:r>
      <w:r w:rsidR="005F52D9">
        <w:rPr>
          <w:rFonts w:cs="Arial"/>
          <w:bCs w:val="0"/>
          <w:sz w:val="20"/>
          <w:lang w:val="en-GB"/>
        </w:rPr>
        <w:t>all</w:t>
      </w:r>
      <w:r w:rsidR="005C5602">
        <w:rPr>
          <w:rFonts w:cs="Arial"/>
          <w:bCs w:val="0"/>
          <w:sz w:val="20"/>
          <w:lang w:val="en-GB"/>
        </w:rPr>
        <w:t xml:space="preserve"> </w:t>
      </w:r>
      <w:r w:rsidRPr="00C32656">
        <w:rPr>
          <w:rFonts w:cs="Arial"/>
          <w:bCs w:val="0"/>
          <w:sz w:val="20"/>
          <w:lang w:val="en-GB"/>
        </w:rPr>
        <w:t xml:space="preserve">migration statistics </w:t>
      </w:r>
      <w:r w:rsidR="00C32656" w:rsidRPr="00C32656">
        <w:rPr>
          <w:rFonts w:cs="Arial"/>
          <w:bCs w:val="0"/>
          <w:sz w:val="20"/>
          <w:lang w:val="en-GB"/>
        </w:rPr>
        <w:t xml:space="preserve">(i.e. </w:t>
      </w:r>
      <w:r w:rsidRPr="00C32656">
        <w:rPr>
          <w:rFonts w:cs="Arial"/>
          <w:bCs w:val="0"/>
          <w:sz w:val="20"/>
          <w:lang w:val="en-GB"/>
        </w:rPr>
        <w:t>including migration of foreigners</w:t>
      </w:r>
      <w:r w:rsidR="00C32656" w:rsidRPr="00C32656">
        <w:rPr>
          <w:rFonts w:cs="Arial"/>
          <w:bCs w:val="0"/>
          <w:sz w:val="20"/>
          <w:lang w:val="en-GB"/>
        </w:rPr>
        <w:t>)</w:t>
      </w:r>
      <w:r w:rsidRPr="00C32656">
        <w:rPr>
          <w:rFonts w:cs="Arial"/>
          <w:bCs w:val="0"/>
          <w:sz w:val="20"/>
          <w:lang w:val="en-GB"/>
        </w:rPr>
        <w:t xml:space="preserve">. The </w:t>
      </w:r>
      <w:r w:rsidR="007A5FE8">
        <w:rPr>
          <w:rFonts w:cs="Arial"/>
          <w:bCs w:val="0"/>
          <w:sz w:val="20"/>
          <w:lang w:val="en-GB"/>
        </w:rPr>
        <w:t xml:space="preserve">Foreigners </w:t>
      </w:r>
      <w:r w:rsidRPr="00C32656">
        <w:rPr>
          <w:rFonts w:cs="Arial"/>
          <w:bCs w:val="0"/>
          <w:sz w:val="20"/>
          <w:lang w:val="en-GB"/>
        </w:rPr>
        <w:t xml:space="preserve">Information System is </w:t>
      </w:r>
      <w:r w:rsidR="00C32656" w:rsidRPr="00C32656">
        <w:rPr>
          <w:rFonts w:cs="Arial"/>
          <w:bCs w:val="0"/>
          <w:sz w:val="20"/>
          <w:lang w:val="en-GB"/>
        </w:rPr>
        <w:t>the data</w:t>
      </w:r>
      <w:r w:rsidRPr="00C32656">
        <w:rPr>
          <w:rFonts w:cs="Arial"/>
          <w:bCs w:val="0"/>
          <w:sz w:val="20"/>
          <w:lang w:val="en-GB"/>
        </w:rPr>
        <w:t xml:space="preserve"> source for the migration of foreigners (</w:t>
      </w:r>
      <w:r w:rsidR="00C32656" w:rsidRPr="00C32656">
        <w:rPr>
          <w:rFonts w:cs="Arial"/>
          <w:bCs w:val="0"/>
          <w:sz w:val="20"/>
          <w:lang w:val="en-GB"/>
        </w:rPr>
        <w:t xml:space="preserve">both </w:t>
      </w:r>
      <w:r w:rsidRPr="00C32656">
        <w:rPr>
          <w:rFonts w:cs="Arial"/>
          <w:bCs w:val="0"/>
          <w:sz w:val="20"/>
          <w:lang w:val="en-GB"/>
        </w:rPr>
        <w:t xml:space="preserve">across </w:t>
      </w:r>
      <w:r w:rsidR="00C32656" w:rsidRPr="00C32656">
        <w:rPr>
          <w:rFonts w:cs="Arial"/>
          <w:bCs w:val="0"/>
          <w:sz w:val="20"/>
          <w:lang w:val="en-GB"/>
        </w:rPr>
        <w:t>state borders</w:t>
      </w:r>
      <w:r w:rsidRPr="00C32656">
        <w:rPr>
          <w:rFonts w:cs="Arial"/>
          <w:bCs w:val="0"/>
          <w:sz w:val="20"/>
          <w:lang w:val="en-GB"/>
        </w:rPr>
        <w:t xml:space="preserve"> and within the country), except for the a</w:t>
      </w:r>
      <w:r w:rsidR="00D07F69">
        <w:rPr>
          <w:rFonts w:cs="Arial"/>
          <w:bCs w:val="0"/>
          <w:sz w:val="20"/>
          <w:lang w:val="en-GB"/>
        </w:rPr>
        <w:t>f</w:t>
      </w:r>
      <w:r w:rsidRPr="00C32656">
        <w:rPr>
          <w:rFonts w:cs="Arial"/>
          <w:bCs w:val="0"/>
          <w:sz w:val="20"/>
          <w:lang w:val="en-GB"/>
        </w:rPr>
        <w:t>orementioned period from the beginning of 2008 to mid-2012.</w:t>
      </w:r>
    </w:p>
    <w:p w14:paraId="367B01C9" w14:textId="302E85B7" w:rsidR="00754F21" w:rsidRPr="00894949" w:rsidRDefault="00754F21" w:rsidP="004E26C8">
      <w:pPr>
        <w:spacing w:after="240" w:line="288" w:lineRule="auto"/>
        <w:rPr>
          <w:rFonts w:cs="Arial"/>
          <w:sz w:val="20"/>
          <w:lang w:val="en-GB"/>
        </w:rPr>
      </w:pPr>
      <w:r w:rsidRPr="00894949">
        <w:rPr>
          <w:rFonts w:cs="Arial"/>
          <w:b/>
          <w:sz w:val="20"/>
          <w:lang w:val="en-GB"/>
        </w:rPr>
        <w:t xml:space="preserve">Net migration </w:t>
      </w:r>
      <w:r w:rsidRPr="00894949">
        <w:rPr>
          <w:rFonts w:cs="Arial"/>
          <w:sz w:val="20"/>
          <w:lang w:val="en-GB"/>
        </w:rPr>
        <w:t>– the difference between the number of immigrants and the number of emigrants to/from a given territorial unit in the reference period.</w:t>
      </w:r>
    </w:p>
    <w:p w14:paraId="01DF3779" w14:textId="2C5FE0E5" w:rsidR="00754F21" w:rsidRPr="00754F21" w:rsidRDefault="00754F21" w:rsidP="004E26C8">
      <w:pPr>
        <w:spacing w:after="240" w:line="288" w:lineRule="auto"/>
        <w:rPr>
          <w:rFonts w:cs="Arial"/>
          <w:bCs w:val="0"/>
          <w:sz w:val="20"/>
          <w:lang w:val="en-GB"/>
        </w:rPr>
      </w:pPr>
      <w:r w:rsidRPr="00754F21">
        <w:rPr>
          <w:rFonts w:cs="Arial"/>
          <w:b/>
          <w:bCs w:val="0"/>
          <w:sz w:val="20"/>
          <w:lang w:val="en-GB"/>
        </w:rPr>
        <w:t xml:space="preserve">Volume of internal migration </w:t>
      </w:r>
      <w:r w:rsidRPr="00754F21">
        <w:rPr>
          <w:rFonts w:cs="Arial"/>
          <w:bCs w:val="0"/>
          <w:sz w:val="20"/>
          <w:lang w:val="en-GB"/>
        </w:rPr>
        <w:t>– the number of all registered change</w:t>
      </w:r>
      <w:r w:rsidR="007859D7">
        <w:rPr>
          <w:rFonts w:cs="Arial"/>
          <w:bCs w:val="0"/>
          <w:sz w:val="20"/>
          <w:lang w:val="en-GB"/>
        </w:rPr>
        <w:t>s</w:t>
      </w:r>
      <w:r w:rsidRPr="00754F21">
        <w:rPr>
          <w:rFonts w:cs="Arial"/>
          <w:bCs w:val="0"/>
          <w:sz w:val="20"/>
          <w:lang w:val="en-GB"/>
        </w:rPr>
        <w:t xml:space="preserve"> of place of residence withi</w:t>
      </w:r>
      <w:r w:rsidR="002E072E">
        <w:rPr>
          <w:rFonts w:cs="Arial"/>
          <w:bCs w:val="0"/>
          <w:sz w:val="20"/>
          <w:lang w:val="en-GB"/>
        </w:rPr>
        <w:t xml:space="preserve">n a given territorial unit in the </w:t>
      </w:r>
      <w:r w:rsidRPr="00754F21">
        <w:rPr>
          <w:rFonts w:cs="Arial"/>
          <w:bCs w:val="0"/>
          <w:sz w:val="20"/>
          <w:lang w:val="en-GB"/>
        </w:rPr>
        <w:t>reference period.</w:t>
      </w:r>
      <w:r w:rsidRPr="00754F21">
        <w:rPr>
          <w:rFonts w:cs="Arial"/>
          <w:bCs w:val="0"/>
          <w:sz w:val="20"/>
        </w:rPr>
        <w:t xml:space="preserve"> </w:t>
      </w:r>
      <w:r w:rsidRPr="00754F21">
        <w:rPr>
          <w:rFonts w:cs="Arial"/>
          <w:bCs w:val="0"/>
          <w:sz w:val="20"/>
          <w:lang w:val="en-GB"/>
        </w:rPr>
        <w:t xml:space="preserve">The volume of internal migration of a higher territorial unit is defined as </w:t>
      </w:r>
      <w:bookmarkStart w:id="0" w:name="_GoBack"/>
      <w:bookmarkEnd w:id="0"/>
      <w:r w:rsidRPr="00754F21">
        <w:rPr>
          <w:rFonts w:cs="Arial"/>
          <w:bCs w:val="0"/>
          <w:sz w:val="20"/>
          <w:lang w:val="en-GB"/>
        </w:rPr>
        <w:t>the sum of the volumes of internal migration of relevant lower territorial units and volumes of internal migration among these lower territorial units.</w:t>
      </w:r>
    </w:p>
    <w:p w14:paraId="5F92434B" w14:textId="7CE96995" w:rsidR="00206735" w:rsidRPr="00421F96" w:rsidRDefault="00421F96" w:rsidP="004E26C8">
      <w:pPr>
        <w:spacing w:after="240" w:line="288" w:lineRule="auto"/>
        <w:rPr>
          <w:rFonts w:cs="Arial"/>
          <w:sz w:val="20"/>
          <w:szCs w:val="20"/>
          <w:lang w:val="en-GB"/>
        </w:rPr>
      </w:pPr>
      <w:r w:rsidRPr="00421F96">
        <w:rPr>
          <w:rFonts w:cs="Arial"/>
          <w:b/>
          <w:bCs w:val="0"/>
          <w:sz w:val="20"/>
          <w:lang w:val="en-GB"/>
        </w:rPr>
        <w:t xml:space="preserve">Volume of </w:t>
      </w:r>
      <w:r w:rsidR="00894949" w:rsidRPr="00421F96">
        <w:rPr>
          <w:rFonts w:cs="Arial"/>
          <w:b/>
          <w:bCs w:val="0"/>
          <w:sz w:val="20"/>
          <w:lang w:val="en-GB"/>
        </w:rPr>
        <w:t xml:space="preserve">international migration </w:t>
      </w:r>
      <w:r w:rsidR="00894949" w:rsidRPr="00421F96">
        <w:rPr>
          <w:rFonts w:cs="Arial"/>
          <w:bCs w:val="0"/>
          <w:sz w:val="20"/>
          <w:lang w:val="en-GB"/>
        </w:rPr>
        <w:t>– the sum of immigrants from a</w:t>
      </w:r>
      <w:r w:rsidR="002E072E">
        <w:rPr>
          <w:rFonts w:cs="Arial"/>
          <w:bCs w:val="0"/>
          <w:sz w:val="20"/>
          <w:lang w:val="en-GB"/>
        </w:rPr>
        <w:t xml:space="preserve">broad and emigrants abroad in the </w:t>
      </w:r>
      <w:r w:rsidR="00894949" w:rsidRPr="00421F96">
        <w:rPr>
          <w:rFonts w:cs="Arial"/>
          <w:bCs w:val="0"/>
          <w:sz w:val="20"/>
          <w:lang w:val="en-GB"/>
        </w:rPr>
        <w:t>reference period.</w:t>
      </w:r>
    </w:p>
    <w:sectPr w:rsidR="00206735" w:rsidRPr="00421F96" w:rsidSect="00617E4C">
      <w:type w:val="continuous"/>
      <w:pgSz w:w="11907" w:h="16840" w:code="9"/>
      <w:pgMar w:top="1134" w:right="1134" w:bottom="1418" w:left="1134" w:header="510" w:footer="680" w:gutter="0"/>
      <w:cols w:space="708"/>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37A08" w16cex:dateUtc="2023-01-31T10:29:00Z"/>
  <w16cex:commentExtensible w16cex:durableId="2783A9E3" w16cex:dateUtc="2023-01-31T13:53:00Z"/>
  <w16cex:commentExtensible w16cex:durableId="2783A7A3" w16cex:dateUtc="2023-01-31T13:43:00Z"/>
  <w16cex:commentExtensible w16cex:durableId="2783A7FD" w16cex:dateUtc="2023-01-31T13:45:00Z"/>
  <w16cex:commentExtensible w16cex:durableId="27837B65" w16cex:dateUtc="2023-01-31T10:35:00Z"/>
  <w16cex:commentExtensible w16cex:durableId="27837C07" w16cex:dateUtc="2023-01-31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0CDA30" w16cid:durableId="27837A08"/>
  <w16cid:commentId w16cid:paraId="2ECF5909" w16cid:durableId="2783A9E3"/>
  <w16cid:commentId w16cid:paraId="756F2511" w16cid:durableId="2783A7A3"/>
  <w16cid:commentId w16cid:paraId="3C03BC47" w16cid:durableId="2783A7FD"/>
  <w16cid:commentId w16cid:paraId="56A9B63E" w16cid:durableId="27837B65"/>
  <w16cid:commentId w16cid:paraId="519D4862" w16cid:durableId="27837C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4B10F" w14:textId="77777777" w:rsidR="00824D64" w:rsidRDefault="00824D64" w:rsidP="00152720">
      <w:r>
        <w:separator/>
      </w:r>
    </w:p>
  </w:endnote>
  <w:endnote w:type="continuationSeparator" w:id="0">
    <w:p w14:paraId="3331A7B3" w14:textId="77777777" w:rsidR="00824D64" w:rsidRDefault="00824D64" w:rsidP="0015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F9EB9" w14:textId="77777777" w:rsidR="00824D64" w:rsidRDefault="00824D64" w:rsidP="00152720">
      <w:r>
        <w:separator/>
      </w:r>
    </w:p>
  </w:footnote>
  <w:footnote w:type="continuationSeparator" w:id="0">
    <w:p w14:paraId="1033194C" w14:textId="77777777" w:rsidR="00824D64" w:rsidRDefault="00824D64" w:rsidP="00152720">
      <w:r>
        <w:continuationSeparator/>
      </w:r>
    </w:p>
  </w:footnote>
  <w:footnote w:id="1">
    <w:p w14:paraId="7647D803" w14:textId="30DB86E3" w:rsidR="000563CB" w:rsidRPr="0008122B" w:rsidRDefault="000563CB" w:rsidP="0008122B">
      <w:pPr>
        <w:pStyle w:val="Textpoznpodarou"/>
        <w:rPr>
          <w:i/>
          <w:sz w:val="18"/>
          <w:szCs w:val="18"/>
          <w:lang w:val="en-GB"/>
        </w:rPr>
      </w:pPr>
      <w:r w:rsidRPr="00EB5896">
        <w:rPr>
          <w:rStyle w:val="Znakapoznpodarou"/>
          <w:i/>
          <w:sz w:val="18"/>
          <w:szCs w:val="18"/>
        </w:rPr>
        <w:footnoteRef/>
      </w:r>
      <w:r w:rsidRPr="00EB5896">
        <w:rPr>
          <w:i/>
          <w:sz w:val="18"/>
          <w:szCs w:val="18"/>
        </w:rPr>
        <w:t xml:space="preserve"> </w:t>
      </w:r>
      <w:r w:rsidRPr="0008122B">
        <w:rPr>
          <w:i/>
          <w:sz w:val="18"/>
          <w:szCs w:val="18"/>
          <w:lang w:val="en-GB"/>
        </w:rPr>
        <w:t xml:space="preserve">A new population base as at 1 January of the census year following the last census results always causes a break in the time series. Thus, in a census year, the total population increase does not equal the difference between the end-year population of the census year and </w:t>
      </w:r>
      <w:r w:rsidR="00E3436F">
        <w:rPr>
          <w:i/>
          <w:sz w:val="18"/>
          <w:szCs w:val="18"/>
          <w:lang w:val="en-GB"/>
        </w:rPr>
        <w:t xml:space="preserve">the </w:t>
      </w:r>
      <w:r w:rsidRPr="0008122B">
        <w:rPr>
          <w:i/>
          <w:sz w:val="18"/>
          <w:szCs w:val="18"/>
          <w:lang w:val="en-GB"/>
        </w:rPr>
        <w:t>end-year population of the year preceding the census year, since each of these population stocks is based on a different census.</w:t>
      </w:r>
    </w:p>
  </w:footnote>
  <w:footnote w:id="2">
    <w:p w14:paraId="7360D3A7" w14:textId="3E6BE874" w:rsidR="000563CB" w:rsidRPr="00B720F3" w:rsidRDefault="000563CB" w:rsidP="00B720F3">
      <w:pPr>
        <w:pStyle w:val="Textpoznpodarou"/>
        <w:rPr>
          <w:rFonts w:cs="Arial"/>
          <w:i/>
          <w:sz w:val="16"/>
          <w:szCs w:val="16"/>
        </w:rPr>
      </w:pPr>
      <w:r w:rsidRPr="002015EF">
        <w:rPr>
          <w:rStyle w:val="Znakapoznpodarou"/>
          <w:rFonts w:cs="Arial"/>
          <w:i/>
          <w:sz w:val="16"/>
          <w:szCs w:val="16"/>
        </w:rPr>
        <w:footnoteRef/>
      </w:r>
      <w:r w:rsidRPr="002015EF">
        <w:rPr>
          <w:rFonts w:cs="Arial"/>
          <w:i/>
          <w:sz w:val="16"/>
          <w:szCs w:val="16"/>
        </w:rPr>
        <w:t xml:space="preserve"> </w:t>
      </w:r>
      <w:r w:rsidRPr="002028FA">
        <w:rPr>
          <w:rFonts w:cs="Arial"/>
          <w:i/>
          <w:sz w:val="16"/>
          <w:szCs w:val="16"/>
          <w:lang w:val="en-GB"/>
        </w:rPr>
        <w:t>The penal code No 86/1950 Sb (§218, su</w:t>
      </w:r>
      <w:r w:rsidR="00B87367">
        <w:rPr>
          <w:rFonts w:cs="Arial"/>
          <w:i/>
          <w:sz w:val="16"/>
          <w:szCs w:val="16"/>
          <w:lang w:val="en-GB"/>
        </w:rPr>
        <w:t>bsection 4) allowed to perform ‘</w:t>
      </w:r>
      <w:r w:rsidRPr="002028FA">
        <w:rPr>
          <w:rFonts w:cs="Arial"/>
          <w:i/>
          <w:sz w:val="16"/>
          <w:szCs w:val="16"/>
          <w:lang w:val="en-GB"/>
        </w:rPr>
        <w:t xml:space="preserve">a killing of a human foetus by a physician in </w:t>
      </w:r>
      <w:r w:rsidR="007332B8">
        <w:rPr>
          <w:rFonts w:cs="Arial"/>
          <w:i/>
          <w:sz w:val="16"/>
          <w:szCs w:val="16"/>
          <w:lang w:val="en-GB"/>
        </w:rPr>
        <w:t xml:space="preserve">a </w:t>
      </w:r>
      <w:r w:rsidRPr="002028FA">
        <w:rPr>
          <w:rFonts w:cs="Arial"/>
          <w:i/>
          <w:sz w:val="16"/>
          <w:szCs w:val="16"/>
          <w:lang w:val="en-GB"/>
        </w:rPr>
        <w:t>medical facility with the consent of the pregnant woman</w:t>
      </w:r>
      <w:r w:rsidR="00B87367">
        <w:rPr>
          <w:rFonts w:cs="Arial"/>
          <w:i/>
          <w:sz w:val="16"/>
          <w:szCs w:val="16"/>
          <w:lang w:val="en-GB"/>
        </w:rPr>
        <w:t>’</w:t>
      </w:r>
      <w:r w:rsidRPr="002028FA">
        <w:rPr>
          <w:rFonts w:cs="Arial"/>
          <w:i/>
          <w:sz w:val="16"/>
          <w:szCs w:val="16"/>
          <w:lang w:val="en-GB"/>
        </w:rPr>
        <w:t xml:space="preserve"> under given conditions (</w:t>
      </w:r>
      <w:r w:rsidR="00B87367">
        <w:rPr>
          <w:rFonts w:cs="Arial"/>
          <w:i/>
          <w:sz w:val="16"/>
          <w:szCs w:val="16"/>
          <w:lang w:val="en-GB"/>
        </w:rPr>
        <w:t>health of</w:t>
      </w:r>
      <w:r w:rsidR="007332B8">
        <w:rPr>
          <w:rFonts w:cs="Arial"/>
          <w:i/>
          <w:sz w:val="16"/>
          <w:szCs w:val="16"/>
          <w:lang w:val="en-GB"/>
        </w:rPr>
        <w:t xml:space="preserve"> the</w:t>
      </w:r>
      <w:r w:rsidR="00B87367">
        <w:rPr>
          <w:rFonts w:cs="Arial"/>
          <w:i/>
          <w:sz w:val="16"/>
          <w:szCs w:val="16"/>
          <w:lang w:val="en-GB"/>
        </w:rPr>
        <w:t xml:space="preserve"> pregnant woman</w:t>
      </w:r>
      <w:r>
        <w:rPr>
          <w:rFonts w:cs="Arial"/>
          <w:i/>
          <w:sz w:val="16"/>
          <w:szCs w:val="16"/>
          <w:lang w:val="en-GB"/>
        </w:rPr>
        <w:t xml:space="preserve"> or he</w:t>
      </w:r>
      <w:r w:rsidR="00B87367">
        <w:rPr>
          <w:rFonts w:cs="Arial"/>
          <w:i/>
          <w:sz w:val="16"/>
          <w:szCs w:val="16"/>
          <w:lang w:val="en-GB"/>
        </w:rPr>
        <w:t>r foetus</w:t>
      </w:r>
      <w:r w:rsidRPr="002028FA">
        <w:rPr>
          <w:rFonts w:cs="Arial"/>
          <w:i/>
          <w:sz w:val="16"/>
          <w:szCs w:val="16"/>
          <w:lang w:val="en-GB"/>
        </w:rPr>
        <w:t xml:space="preserve"> was in danger). In </w:t>
      </w:r>
      <w:r w:rsidR="00653160">
        <w:rPr>
          <w:rFonts w:cs="Arial"/>
          <w:i/>
          <w:sz w:val="16"/>
          <w:szCs w:val="16"/>
          <w:lang w:val="en-GB"/>
        </w:rPr>
        <w:t xml:space="preserve">the period </w:t>
      </w:r>
      <w:r w:rsidR="0015075E">
        <w:rPr>
          <w:rFonts w:cs="Arial"/>
          <w:i/>
          <w:sz w:val="16"/>
          <w:szCs w:val="16"/>
          <w:lang w:val="en-GB"/>
        </w:rPr>
        <w:t>from</w:t>
      </w:r>
      <w:r w:rsidR="00653160">
        <w:rPr>
          <w:rFonts w:cs="Arial"/>
          <w:i/>
          <w:sz w:val="16"/>
          <w:szCs w:val="16"/>
          <w:lang w:val="en-GB"/>
        </w:rPr>
        <w:t xml:space="preserve"> </w:t>
      </w:r>
      <w:r w:rsidR="0015075E">
        <w:rPr>
          <w:rFonts w:cs="Arial"/>
          <w:i/>
          <w:sz w:val="16"/>
          <w:szCs w:val="16"/>
          <w:lang w:val="en-GB"/>
        </w:rPr>
        <w:t xml:space="preserve">1953 to </w:t>
      </w:r>
      <w:r w:rsidRPr="002028FA">
        <w:rPr>
          <w:rFonts w:cs="Arial"/>
          <w:i/>
          <w:sz w:val="16"/>
          <w:szCs w:val="16"/>
          <w:lang w:val="en-GB"/>
        </w:rPr>
        <w:t xml:space="preserve">1958 the statistics covered only abortions performed according </w:t>
      </w:r>
      <w:r>
        <w:rPr>
          <w:rFonts w:cs="Arial"/>
          <w:i/>
          <w:sz w:val="16"/>
          <w:szCs w:val="16"/>
          <w:lang w:val="en-GB"/>
        </w:rPr>
        <w:t xml:space="preserve">to </w:t>
      </w:r>
      <w:r w:rsidRPr="002028FA">
        <w:rPr>
          <w:rFonts w:cs="Arial"/>
          <w:i/>
          <w:sz w:val="16"/>
          <w:szCs w:val="16"/>
          <w:lang w:val="en-GB"/>
        </w:rPr>
        <w:t>this law.</w:t>
      </w:r>
    </w:p>
    <w:p w14:paraId="24721E59" w14:textId="4069CD34" w:rsidR="000563CB" w:rsidRPr="002015EF" w:rsidRDefault="000563CB" w:rsidP="00B720F3">
      <w:pPr>
        <w:pStyle w:val="Textpoznpodarou"/>
        <w:rPr>
          <w:rFonts w:cs="Arial"/>
          <w: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458C"/>
    <w:multiLevelType w:val="hybridMultilevel"/>
    <w:tmpl w:val="EB7CAF24"/>
    <w:lvl w:ilvl="0" w:tplc="E2A2F63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F4C57E6"/>
    <w:multiLevelType w:val="hybridMultilevel"/>
    <w:tmpl w:val="A2BEEBDE"/>
    <w:lvl w:ilvl="0" w:tplc="38E6427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135439"/>
    <w:multiLevelType w:val="hybridMultilevel"/>
    <w:tmpl w:val="88E63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BC54C6"/>
    <w:multiLevelType w:val="hybridMultilevel"/>
    <w:tmpl w:val="DA6CF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0F6474"/>
    <w:multiLevelType w:val="hybridMultilevel"/>
    <w:tmpl w:val="49C463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74031DF"/>
    <w:multiLevelType w:val="hybridMultilevel"/>
    <w:tmpl w:val="D0EC85EC"/>
    <w:lvl w:ilvl="0" w:tplc="17020344">
      <w:start w:val="1"/>
      <w:numFmt w:val="lowerLetter"/>
      <w:lvlText w:val="%1."/>
      <w:lvlJc w:val="left"/>
      <w:pPr>
        <w:tabs>
          <w:tab w:val="num" w:pos="720"/>
        </w:tabs>
        <w:ind w:left="720" w:hanging="360"/>
      </w:pPr>
    </w:lvl>
    <w:lvl w:ilvl="1" w:tplc="9EB0714C" w:tentative="1">
      <w:start w:val="1"/>
      <w:numFmt w:val="lowerLetter"/>
      <w:lvlText w:val="%2."/>
      <w:lvlJc w:val="left"/>
      <w:pPr>
        <w:tabs>
          <w:tab w:val="num" w:pos="1440"/>
        </w:tabs>
        <w:ind w:left="1440" w:hanging="360"/>
      </w:pPr>
    </w:lvl>
    <w:lvl w:ilvl="2" w:tplc="F43EB09C" w:tentative="1">
      <w:start w:val="1"/>
      <w:numFmt w:val="lowerLetter"/>
      <w:lvlText w:val="%3."/>
      <w:lvlJc w:val="left"/>
      <w:pPr>
        <w:tabs>
          <w:tab w:val="num" w:pos="2160"/>
        </w:tabs>
        <w:ind w:left="2160" w:hanging="360"/>
      </w:pPr>
    </w:lvl>
    <w:lvl w:ilvl="3" w:tplc="D8302466" w:tentative="1">
      <w:start w:val="1"/>
      <w:numFmt w:val="lowerLetter"/>
      <w:lvlText w:val="%4."/>
      <w:lvlJc w:val="left"/>
      <w:pPr>
        <w:tabs>
          <w:tab w:val="num" w:pos="2880"/>
        </w:tabs>
        <w:ind w:left="2880" w:hanging="360"/>
      </w:pPr>
    </w:lvl>
    <w:lvl w:ilvl="4" w:tplc="B6F20BE6" w:tentative="1">
      <w:start w:val="1"/>
      <w:numFmt w:val="lowerLetter"/>
      <w:lvlText w:val="%5."/>
      <w:lvlJc w:val="left"/>
      <w:pPr>
        <w:tabs>
          <w:tab w:val="num" w:pos="3600"/>
        </w:tabs>
        <w:ind w:left="3600" w:hanging="360"/>
      </w:pPr>
    </w:lvl>
    <w:lvl w:ilvl="5" w:tplc="E3FE47CE" w:tentative="1">
      <w:start w:val="1"/>
      <w:numFmt w:val="lowerLetter"/>
      <w:lvlText w:val="%6."/>
      <w:lvlJc w:val="left"/>
      <w:pPr>
        <w:tabs>
          <w:tab w:val="num" w:pos="4320"/>
        </w:tabs>
        <w:ind w:left="4320" w:hanging="360"/>
      </w:pPr>
    </w:lvl>
    <w:lvl w:ilvl="6" w:tplc="08226A0C" w:tentative="1">
      <w:start w:val="1"/>
      <w:numFmt w:val="lowerLetter"/>
      <w:lvlText w:val="%7."/>
      <w:lvlJc w:val="left"/>
      <w:pPr>
        <w:tabs>
          <w:tab w:val="num" w:pos="5040"/>
        </w:tabs>
        <w:ind w:left="5040" w:hanging="360"/>
      </w:pPr>
    </w:lvl>
    <w:lvl w:ilvl="7" w:tplc="E0FE2780" w:tentative="1">
      <w:start w:val="1"/>
      <w:numFmt w:val="lowerLetter"/>
      <w:lvlText w:val="%8."/>
      <w:lvlJc w:val="left"/>
      <w:pPr>
        <w:tabs>
          <w:tab w:val="num" w:pos="5760"/>
        </w:tabs>
        <w:ind w:left="5760" w:hanging="360"/>
      </w:pPr>
    </w:lvl>
    <w:lvl w:ilvl="8" w:tplc="CAA24B10" w:tentative="1">
      <w:start w:val="1"/>
      <w:numFmt w:val="lowerLetter"/>
      <w:lvlText w:val="%9."/>
      <w:lvlJc w:val="left"/>
      <w:pPr>
        <w:tabs>
          <w:tab w:val="num" w:pos="6480"/>
        </w:tabs>
        <w:ind w:left="6480" w:hanging="360"/>
      </w:pPr>
    </w:lvl>
  </w:abstractNum>
  <w:abstractNum w:abstractNumId="6" w15:restartNumberingAfterBreak="0">
    <w:nsid w:val="77FD7D34"/>
    <w:multiLevelType w:val="hybridMultilevel"/>
    <w:tmpl w:val="2BDC07B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
  </w:num>
  <w:num w:numId="2">
    <w:abstractNumId w:val="0"/>
  </w:num>
  <w:num w:numId="3">
    <w:abstractNumId w:val="5"/>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75"/>
    <w:rsid w:val="000014C8"/>
    <w:rsid w:val="0000233A"/>
    <w:rsid w:val="00010028"/>
    <w:rsid w:val="00013D51"/>
    <w:rsid w:val="000141E4"/>
    <w:rsid w:val="00023455"/>
    <w:rsid w:val="00045DE7"/>
    <w:rsid w:val="00046676"/>
    <w:rsid w:val="000563CB"/>
    <w:rsid w:val="000613EC"/>
    <w:rsid w:val="00063818"/>
    <w:rsid w:val="00070148"/>
    <w:rsid w:val="0008122B"/>
    <w:rsid w:val="00087006"/>
    <w:rsid w:val="00090F23"/>
    <w:rsid w:val="000936A3"/>
    <w:rsid w:val="000937DA"/>
    <w:rsid w:val="000958CD"/>
    <w:rsid w:val="000A5542"/>
    <w:rsid w:val="000A5CD5"/>
    <w:rsid w:val="000A6604"/>
    <w:rsid w:val="000A7435"/>
    <w:rsid w:val="000B40E3"/>
    <w:rsid w:val="000C0B85"/>
    <w:rsid w:val="000C5743"/>
    <w:rsid w:val="000E07CA"/>
    <w:rsid w:val="000E4B1D"/>
    <w:rsid w:val="000F4355"/>
    <w:rsid w:val="001009FD"/>
    <w:rsid w:val="00102254"/>
    <w:rsid w:val="00104A48"/>
    <w:rsid w:val="001057EE"/>
    <w:rsid w:val="001132DD"/>
    <w:rsid w:val="00123F2B"/>
    <w:rsid w:val="00126D3F"/>
    <w:rsid w:val="001336A1"/>
    <w:rsid w:val="0014058E"/>
    <w:rsid w:val="00140FEA"/>
    <w:rsid w:val="0015075E"/>
    <w:rsid w:val="00152720"/>
    <w:rsid w:val="00152BCF"/>
    <w:rsid w:val="00155509"/>
    <w:rsid w:val="00163D39"/>
    <w:rsid w:val="00175CB4"/>
    <w:rsid w:val="00185C4C"/>
    <w:rsid w:val="0019371A"/>
    <w:rsid w:val="001A1DD7"/>
    <w:rsid w:val="001A7206"/>
    <w:rsid w:val="001B0A41"/>
    <w:rsid w:val="001C09C5"/>
    <w:rsid w:val="001C5912"/>
    <w:rsid w:val="001C6FB8"/>
    <w:rsid w:val="001D09C2"/>
    <w:rsid w:val="001D15E1"/>
    <w:rsid w:val="001D211C"/>
    <w:rsid w:val="001D3977"/>
    <w:rsid w:val="001E4454"/>
    <w:rsid w:val="001E732F"/>
    <w:rsid w:val="001F7D55"/>
    <w:rsid w:val="00200530"/>
    <w:rsid w:val="002015EF"/>
    <w:rsid w:val="002028FA"/>
    <w:rsid w:val="00206735"/>
    <w:rsid w:val="00222565"/>
    <w:rsid w:val="00225274"/>
    <w:rsid w:val="0023097E"/>
    <w:rsid w:val="002337FE"/>
    <w:rsid w:val="00234749"/>
    <w:rsid w:val="00236FEC"/>
    <w:rsid w:val="00241985"/>
    <w:rsid w:val="00243B6E"/>
    <w:rsid w:val="002455A1"/>
    <w:rsid w:val="00245A4E"/>
    <w:rsid w:val="00247E09"/>
    <w:rsid w:val="00252098"/>
    <w:rsid w:val="00254D2D"/>
    <w:rsid w:val="00257233"/>
    <w:rsid w:val="00262A53"/>
    <w:rsid w:val="00264789"/>
    <w:rsid w:val="0026713B"/>
    <w:rsid w:val="0027645A"/>
    <w:rsid w:val="00284A0B"/>
    <w:rsid w:val="00285893"/>
    <w:rsid w:val="00291CCD"/>
    <w:rsid w:val="00294D90"/>
    <w:rsid w:val="00296AB1"/>
    <w:rsid w:val="002A15AC"/>
    <w:rsid w:val="002A18C0"/>
    <w:rsid w:val="002B5595"/>
    <w:rsid w:val="002C1B9C"/>
    <w:rsid w:val="002C445B"/>
    <w:rsid w:val="002C5877"/>
    <w:rsid w:val="002D4949"/>
    <w:rsid w:val="002E072E"/>
    <w:rsid w:val="003013C4"/>
    <w:rsid w:val="00307116"/>
    <w:rsid w:val="00316CF4"/>
    <w:rsid w:val="00317321"/>
    <w:rsid w:val="00324DF2"/>
    <w:rsid w:val="003258C5"/>
    <w:rsid w:val="00330C29"/>
    <w:rsid w:val="00330E79"/>
    <w:rsid w:val="00333045"/>
    <w:rsid w:val="003351E4"/>
    <w:rsid w:val="00336315"/>
    <w:rsid w:val="00341540"/>
    <w:rsid w:val="00342C82"/>
    <w:rsid w:val="00350953"/>
    <w:rsid w:val="003516A9"/>
    <w:rsid w:val="003537F4"/>
    <w:rsid w:val="00362011"/>
    <w:rsid w:val="00367487"/>
    <w:rsid w:val="0038010F"/>
    <w:rsid w:val="003858C5"/>
    <w:rsid w:val="00390FBB"/>
    <w:rsid w:val="003931A3"/>
    <w:rsid w:val="003934D8"/>
    <w:rsid w:val="003955AD"/>
    <w:rsid w:val="00395752"/>
    <w:rsid w:val="003B43D4"/>
    <w:rsid w:val="003B4AEB"/>
    <w:rsid w:val="003C4B05"/>
    <w:rsid w:val="003D7850"/>
    <w:rsid w:val="003E12C3"/>
    <w:rsid w:val="003E19A7"/>
    <w:rsid w:val="003F1B5D"/>
    <w:rsid w:val="003F43DC"/>
    <w:rsid w:val="003F6FC3"/>
    <w:rsid w:val="00404103"/>
    <w:rsid w:val="004054E1"/>
    <w:rsid w:val="0040697E"/>
    <w:rsid w:val="00412F87"/>
    <w:rsid w:val="00414A32"/>
    <w:rsid w:val="00415088"/>
    <w:rsid w:val="00417241"/>
    <w:rsid w:val="004207DD"/>
    <w:rsid w:val="00420EAD"/>
    <w:rsid w:val="00421F96"/>
    <w:rsid w:val="00422C96"/>
    <w:rsid w:val="00432F86"/>
    <w:rsid w:val="00435C8C"/>
    <w:rsid w:val="00441B4F"/>
    <w:rsid w:val="00450000"/>
    <w:rsid w:val="00450A4D"/>
    <w:rsid w:val="00451B79"/>
    <w:rsid w:val="004656AE"/>
    <w:rsid w:val="0047105C"/>
    <w:rsid w:val="00475B9D"/>
    <w:rsid w:val="004831C9"/>
    <w:rsid w:val="00485381"/>
    <w:rsid w:val="00485D4D"/>
    <w:rsid w:val="00486D33"/>
    <w:rsid w:val="00494DAA"/>
    <w:rsid w:val="00495566"/>
    <w:rsid w:val="0049754C"/>
    <w:rsid w:val="004A3243"/>
    <w:rsid w:val="004A41B8"/>
    <w:rsid w:val="004B0E85"/>
    <w:rsid w:val="004B1137"/>
    <w:rsid w:val="004B647B"/>
    <w:rsid w:val="004C1867"/>
    <w:rsid w:val="004C191B"/>
    <w:rsid w:val="004C4CD4"/>
    <w:rsid w:val="004C4E07"/>
    <w:rsid w:val="004C657F"/>
    <w:rsid w:val="004D761C"/>
    <w:rsid w:val="004D7D54"/>
    <w:rsid w:val="004E0B9D"/>
    <w:rsid w:val="004E26C8"/>
    <w:rsid w:val="004E3401"/>
    <w:rsid w:val="004E37E1"/>
    <w:rsid w:val="004F31E3"/>
    <w:rsid w:val="005141D4"/>
    <w:rsid w:val="005148D3"/>
    <w:rsid w:val="0052521E"/>
    <w:rsid w:val="005278EE"/>
    <w:rsid w:val="00534032"/>
    <w:rsid w:val="005377B0"/>
    <w:rsid w:val="00540178"/>
    <w:rsid w:val="005410C5"/>
    <w:rsid w:val="00544127"/>
    <w:rsid w:val="00546A4C"/>
    <w:rsid w:val="00551A2C"/>
    <w:rsid w:val="0055314D"/>
    <w:rsid w:val="00557F83"/>
    <w:rsid w:val="00560082"/>
    <w:rsid w:val="00561CE9"/>
    <w:rsid w:val="00561DE5"/>
    <w:rsid w:val="00563C9D"/>
    <w:rsid w:val="005655DF"/>
    <w:rsid w:val="00570DE0"/>
    <w:rsid w:val="00571DB6"/>
    <w:rsid w:val="00572038"/>
    <w:rsid w:val="00574A82"/>
    <w:rsid w:val="00580446"/>
    <w:rsid w:val="00582119"/>
    <w:rsid w:val="00583213"/>
    <w:rsid w:val="00584A8D"/>
    <w:rsid w:val="00592579"/>
    <w:rsid w:val="005A0034"/>
    <w:rsid w:val="005A4B57"/>
    <w:rsid w:val="005A7BDC"/>
    <w:rsid w:val="005B2834"/>
    <w:rsid w:val="005B7852"/>
    <w:rsid w:val="005C3AE0"/>
    <w:rsid w:val="005C5602"/>
    <w:rsid w:val="005C6B93"/>
    <w:rsid w:val="005D6AC1"/>
    <w:rsid w:val="005D7A7E"/>
    <w:rsid w:val="005E2B7A"/>
    <w:rsid w:val="005E402A"/>
    <w:rsid w:val="005E55BD"/>
    <w:rsid w:val="005E5703"/>
    <w:rsid w:val="005E6023"/>
    <w:rsid w:val="005E79C9"/>
    <w:rsid w:val="005F52D9"/>
    <w:rsid w:val="005F5DCB"/>
    <w:rsid w:val="005F63F9"/>
    <w:rsid w:val="00610D40"/>
    <w:rsid w:val="00612A9B"/>
    <w:rsid w:val="00613858"/>
    <w:rsid w:val="00614610"/>
    <w:rsid w:val="00614C5B"/>
    <w:rsid w:val="006156C2"/>
    <w:rsid w:val="00617E4C"/>
    <w:rsid w:val="006228E9"/>
    <w:rsid w:val="00625035"/>
    <w:rsid w:val="00627157"/>
    <w:rsid w:val="006325F7"/>
    <w:rsid w:val="00637A07"/>
    <w:rsid w:val="0064207F"/>
    <w:rsid w:val="00642F14"/>
    <w:rsid w:val="00645864"/>
    <w:rsid w:val="0065294A"/>
    <w:rsid w:val="00653160"/>
    <w:rsid w:val="006552DF"/>
    <w:rsid w:val="0066094E"/>
    <w:rsid w:val="006738B6"/>
    <w:rsid w:val="00675DA1"/>
    <w:rsid w:val="00692AB2"/>
    <w:rsid w:val="00695694"/>
    <w:rsid w:val="00696777"/>
    <w:rsid w:val="006A0DDE"/>
    <w:rsid w:val="006A6742"/>
    <w:rsid w:val="006A73B7"/>
    <w:rsid w:val="006B2978"/>
    <w:rsid w:val="006C396D"/>
    <w:rsid w:val="006C5276"/>
    <w:rsid w:val="006C52BE"/>
    <w:rsid w:val="006C5C91"/>
    <w:rsid w:val="006D2E83"/>
    <w:rsid w:val="006D4F22"/>
    <w:rsid w:val="006D595B"/>
    <w:rsid w:val="006D7769"/>
    <w:rsid w:val="006E1273"/>
    <w:rsid w:val="006E17EA"/>
    <w:rsid w:val="006E700F"/>
    <w:rsid w:val="006F2E1D"/>
    <w:rsid w:val="007025CB"/>
    <w:rsid w:val="00702EB7"/>
    <w:rsid w:val="007039FA"/>
    <w:rsid w:val="007332B8"/>
    <w:rsid w:val="00736AC5"/>
    <w:rsid w:val="00750E81"/>
    <w:rsid w:val="007510D3"/>
    <w:rsid w:val="00754F21"/>
    <w:rsid w:val="00757AAF"/>
    <w:rsid w:val="00770C26"/>
    <w:rsid w:val="0077286D"/>
    <w:rsid w:val="00772B2F"/>
    <w:rsid w:val="007749CC"/>
    <w:rsid w:val="007859D7"/>
    <w:rsid w:val="00787312"/>
    <w:rsid w:val="00790DB4"/>
    <w:rsid w:val="007919C3"/>
    <w:rsid w:val="00792326"/>
    <w:rsid w:val="00796710"/>
    <w:rsid w:val="007A5FE8"/>
    <w:rsid w:val="007A67EF"/>
    <w:rsid w:val="007A7622"/>
    <w:rsid w:val="007B01B4"/>
    <w:rsid w:val="007B04A3"/>
    <w:rsid w:val="007B1794"/>
    <w:rsid w:val="007C30BF"/>
    <w:rsid w:val="007C34E8"/>
    <w:rsid w:val="007C7C10"/>
    <w:rsid w:val="007C7E92"/>
    <w:rsid w:val="007D374C"/>
    <w:rsid w:val="007D7E9F"/>
    <w:rsid w:val="007E5666"/>
    <w:rsid w:val="007E5F88"/>
    <w:rsid w:val="007F08BC"/>
    <w:rsid w:val="007F4914"/>
    <w:rsid w:val="008049F0"/>
    <w:rsid w:val="00806FC3"/>
    <w:rsid w:val="00810BC8"/>
    <w:rsid w:val="00821C7B"/>
    <w:rsid w:val="00824D64"/>
    <w:rsid w:val="00825461"/>
    <w:rsid w:val="00837B14"/>
    <w:rsid w:val="00844E63"/>
    <w:rsid w:val="0084530A"/>
    <w:rsid w:val="00845B92"/>
    <w:rsid w:val="00845C4D"/>
    <w:rsid w:val="008472D9"/>
    <w:rsid w:val="008472FC"/>
    <w:rsid w:val="00853F95"/>
    <w:rsid w:val="008540EF"/>
    <w:rsid w:val="00860F8C"/>
    <w:rsid w:val="008632DE"/>
    <w:rsid w:val="0087004F"/>
    <w:rsid w:val="00870DC7"/>
    <w:rsid w:val="0087332A"/>
    <w:rsid w:val="00880991"/>
    <w:rsid w:val="00882304"/>
    <w:rsid w:val="00883307"/>
    <w:rsid w:val="008846E8"/>
    <w:rsid w:val="00884A9D"/>
    <w:rsid w:val="00884B15"/>
    <w:rsid w:val="00884B86"/>
    <w:rsid w:val="00893E98"/>
    <w:rsid w:val="00894073"/>
    <w:rsid w:val="00894949"/>
    <w:rsid w:val="008A289F"/>
    <w:rsid w:val="008A35DB"/>
    <w:rsid w:val="008A5DA2"/>
    <w:rsid w:val="008A6FC4"/>
    <w:rsid w:val="008D2195"/>
    <w:rsid w:val="008D2DEA"/>
    <w:rsid w:val="008D54E4"/>
    <w:rsid w:val="008E5339"/>
    <w:rsid w:val="008F3BE5"/>
    <w:rsid w:val="008F578F"/>
    <w:rsid w:val="0090194E"/>
    <w:rsid w:val="00904BF4"/>
    <w:rsid w:val="0092521A"/>
    <w:rsid w:val="00927B0A"/>
    <w:rsid w:val="0093321C"/>
    <w:rsid w:val="00934B3C"/>
    <w:rsid w:val="00936DE9"/>
    <w:rsid w:val="009415D2"/>
    <w:rsid w:val="0094460D"/>
    <w:rsid w:val="009532E5"/>
    <w:rsid w:val="00953D15"/>
    <w:rsid w:val="00960CB8"/>
    <w:rsid w:val="0096112B"/>
    <w:rsid w:val="0096260F"/>
    <w:rsid w:val="0096421F"/>
    <w:rsid w:val="00966497"/>
    <w:rsid w:val="00966CF2"/>
    <w:rsid w:val="00971335"/>
    <w:rsid w:val="00974F4D"/>
    <w:rsid w:val="00976FC4"/>
    <w:rsid w:val="009778D8"/>
    <w:rsid w:val="00983EA5"/>
    <w:rsid w:val="00986CE3"/>
    <w:rsid w:val="00986E2D"/>
    <w:rsid w:val="009A48C4"/>
    <w:rsid w:val="009A5D2D"/>
    <w:rsid w:val="009C019B"/>
    <w:rsid w:val="009C2D9D"/>
    <w:rsid w:val="009C3725"/>
    <w:rsid w:val="009D1C08"/>
    <w:rsid w:val="009D25A7"/>
    <w:rsid w:val="009D29FF"/>
    <w:rsid w:val="009D470E"/>
    <w:rsid w:val="009D6E26"/>
    <w:rsid w:val="009D6F15"/>
    <w:rsid w:val="009E6556"/>
    <w:rsid w:val="009F0157"/>
    <w:rsid w:val="009F143B"/>
    <w:rsid w:val="00A01843"/>
    <w:rsid w:val="00A018F5"/>
    <w:rsid w:val="00A0630E"/>
    <w:rsid w:val="00A07B9E"/>
    <w:rsid w:val="00A1443F"/>
    <w:rsid w:val="00A15D76"/>
    <w:rsid w:val="00A23E64"/>
    <w:rsid w:val="00A26DC5"/>
    <w:rsid w:val="00A30079"/>
    <w:rsid w:val="00A406D4"/>
    <w:rsid w:val="00A41A93"/>
    <w:rsid w:val="00A52FE0"/>
    <w:rsid w:val="00A53579"/>
    <w:rsid w:val="00A539FA"/>
    <w:rsid w:val="00A561C2"/>
    <w:rsid w:val="00A61F6A"/>
    <w:rsid w:val="00A82B67"/>
    <w:rsid w:val="00A934C8"/>
    <w:rsid w:val="00AB3C75"/>
    <w:rsid w:val="00AB4C9F"/>
    <w:rsid w:val="00AB6B7F"/>
    <w:rsid w:val="00AC3C9D"/>
    <w:rsid w:val="00AC50EC"/>
    <w:rsid w:val="00AD16A8"/>
    <w:rsid w:val="00B0093E"/>
    <w:rsid w:val="00B01D2E"/>
    <w:rsid w:val="00B108BA"/>
    <w:rsid w:val="00B15CC0"/>
    <w:rsid w:val="00B23417"/>
    <w:rsid w:val="00B23664"/>
    <w:rsid w:val="00B33C18"/>
    <w:rsid w:val="00B355C2"/>
    <w:rsid w:val="00B42DAD"/>
    <w:rsid w:val="00B45607"/>
    <w:rsid w:val="00B50A77"/>
    <w:rsid w:val="00B50E81"/>
    <w:rsid w:val="00B56010"/>
    <w:rsid w:val="00B56E99"/>
    <w:rsid w:val="00B716B4"/>
    <w:rsid w:val="00B720F3"/>
    <w:rsid w:val="00B839CC"/>
    <w:rsid w:val="00B84473"/>
    <w:rsid w:val="00B87367"/>
    <w:rsid w:val="00B97608"/>
    <w:rsid w:val="00BA4873"/>
    <w:rsid w:val="00BA4AA0"/>
    <w:rsid w:val="00BA5DC2"/>
    <w:rsid w:val="00BA6589"/>
    <w:rsid w:val="00BB7924"/>
    <w:rsid w:val="00BC21F1"/>
    <w:rsid w:val="00BD6B63"/>
    <w:rsid w:val="00BD6D22"/>
    <w:rsid w:val="00BF5782"/>
    <w:rsid w:val="00BF5B4F"/>
    <w:rsid w:val="00C01E0D"/>
    <w:rsid w:val="00C02C77"/>
    <w:rsid w:val="00C045FE"/>
    <w:rsid w:val="00C04DFA"/>
    <w:rsid w:val="00C05087"/>
    <w:rsid w:val="00C06021"/>
    <w:rsid w:val="00C0701D"/>
    <w:rsid w:val="00C12C67"/>
    <w:rsid w:val="00C13A88"/>
    <w:rsid w:val="00C16A64"/>
    <w:rsid w:val="00C17373"/>
    <w:rsid w:val="00C2200D"/>
    <w:rsid w:val="00C277FC"/>
    <w:rsid w:val="00C32656"/>
    <w:rsid w:val="00C42B69"/>
    <w:rsid w:val="00C44A6B"/>
    <w:rsid w:val="00C47785"/>
    <w:rsid w:val="00C51EC4"/>
    <w:rsid w:val="00C5645C"/>
    <w:rsid w:val="00C57FE8"/>
    <w:rsid w:val="00C67E9E"/>
    <w:rsid w:val="00C73AEE"/>
    <w:rsid w:val="00C770EF"/>
    <w:rsid w:val="00C80687"/>
    <w:rsid w:val="00C92999"/>
    <w:rsid w:val="00C947BB"/>
    <w:rsid w:val="00CA71F6"/>
    <w:rsid w:val="00CB037A"/>
    <w:rsid w:val="00CB4700"/>
    <w:rsid w:val="00CB5162"/>
    <w:rsid w:val="00CC0C6F"/>
    <w:rsid w:val="00CC241D"/>
    <w:rsid w:val="00CC5DC3"/>
    <w:rsid w:val="00CC740A"/>
    <w:rsid w:val="00CC7B4E"/>
    <w:rsid w:val="00CD184F"/>
    <w:rsid w:val="00CD777C"/>
    <w:rsid w:val="00CE0007"/>
    <w:rsid w:val="00CE0FC8"/>
    <w:rsid w:val="00CE10EE"/>
    <w:rsid w:val="00CE39C7"/>
    <w:rsid w:val="00CE65BD"/>
    <w:rsid w:val="00CE7117"/>
    <w:rsid w:val="00CF5FB2"/>
    <w:rsid w:val="00D016FA"/>
    <w:rsid w:val="00D02C7F"/>
    <w:rsid w:val="00D04E4E"/>
    <w:rsid w:val="00D06BE1"/>
    <w:rsid w:val="00D0774E"/>
    <w:rsid w:val="00D07F69"/>
    <w:rsid w:val="00D10E29"/>
    <w:rsid w:val="00D1135B"/>
    <w:rsid w:val="00D202FB"/>
    <w:rsid w:val="00D327E0"/>
    <w:rsid w:val="00D354FF"/>
    <w:rsid w:val="00D44A38"/>
    <w:rsid w:val="00D45CDF"/>
    <w:rsid w:val="00D62190"/>
    <w:rsid w:val="00D733DB"/>
    <w:rsid w:val="00D75A41"/>
    <w:rsid w:val="00D7655D"/>
    <w:rsid w:val="00D8656D"/>
    <w:rsid w:val="00D9168C"/>
    <w:rsid w:val="00D918FD"/>
    <w:rsid w:val="00D923CD"/>
    <w:rsid w:val="00D93F3A"/>
    <w:rsid w:val="00D9616F"/>
    <w:rsid w:val="00DA1267"/>
    <w:rsid w:val="00DA12D2"/>
    <w:rsid w:val="00DA7E0D"/>
    <w:rsid w:val="00DB0C35"/>
    <w:rsid w:val="00DB2ED1"/>
    <w:rsid w:val="00DB6992"/>
    <w:rsid w:val="00DC17B2"/>
    <w:rsid w:val="00DC4C5C"/>
    <w:rsid w:val="00DD2813"/>
    <w:rsid w:val="00DE057E"/>
    <w:rsid w:val="00DE05E2"/>
    <w:rsid w:val="00DE3705"/>
    <w:rsid w:val="00DE53BE"/>
    <w:rsid w:val="00DF1406"/>
    <w:rsid w:val="00DF1435"/>
    <w:rsid w:val="00DF278C"/>
    <w:rsid w:val="00DF2799"/>
    <w:rsid w:val="00E0159B"/>
    <w:rsid w:val="00E04FB5"/>
    <w:rsid w:val="00E0560C"/>
    <w:rsid w:val="00E05D17"/>
    <w:rsid w:val="00E0740C"/>
    <w:rsid w:val="00E109C6"/>
    <w:rsid w:val="00E13CDD"/>
    <w:rsid w:val="00E1599C"/>
    <w:rsid w:val="00E171E8"/>
    <w:rsid w:val="00E20BEA"/>
    <w:rsid w:val="00E27CBB"/>
    <w:rsid w:val="00E304D3"/>
    <w:rsid w:val="00E33E6B"/>
    <w:rsid w:val="00E3436F"/>
    <w:rsid w:val="00E559FE"/>
    <w:rsid w:val="00E6183F"/>
    <w:rsid w:val="00E6373C"/>
    <w:rsid w:val="00E72509"/>
    <w:rsid w:val="00E72BB2"/>
    <w:rsid w:val="00E74286"/>
    <w:rsid w:val="00E7768A"/>
    <w:rsid w:val="00E85428"/>
    <w:rsid w:val="00E93362"/>
    <w:rsid w:val="00E96B27"/>
    <w:rsid w:val="00EA068E"/>
    <w:rsid w:val="00EA560C"/>
    <w:rsid w:val="00EA5AF1"/>
    <w:rsid w:val="00EA6AC5"/>
    <w:rsid w:val="00EB084D"/>
    <w:rsid w:val="00EB5896"/>
    <w:rsid w:val="00EC46A0"/>
    <w:rsid w:val="00ED2054"/>
    <w:rsid w:val="00EE7D66"/>
    <w:rsid w:val="00EF2C83"/>
    <w:rsid w:val="00EF4AC0"/>
    <w:rsid w:val="00EF6223"/>
    <w:rsid w:val="00EF63CC"/>
    <w:rsid w:val="00F02235"/>
    <w:rsid w:val="00F066A2"/>
    <w:rsid w:val="00F202B9"/>
    <w:rsid w:val="00F21228"/>
    <w:rsid w:val="00F23F2B"/>
    <w:rsid w:val="00F27E4D"/>
    <w:rsid w:val="00F30266"/>
    <w:rsid w:val="00F34F1F"/>
    <w:rsid w:val="00F37084"/>
    <w:rsid w:val="00F37553"/>
    <w:rsid w:val="00F42B86"/>
    <w:rsid w:val="00F55741"/>
    <w:rsid w:val="00F71083"/>
    <w:rsid w:val="00F7363B"/>
    <w:rsid w:val="00F75BFF"/>
    <w:rsid w:val="00F81E0F"/>
    <w:rsid w:val="00F82921"/>
    <w:rsid w:val="00F84E68"/>
    <w:rsid w:val="00F87C60"/>
    <w:rsid w:val="00F94E75"/>
    <w:rsid w:val="00F95621"/>
    <w:rsid w:val="00F97C24"/>
    <w:rsid w:val="00FA3B50"/>
    <w:rsid w:val="00FA6D0B"/>
    <w:rsid w:val="00FA7D4A"/>
    <w:rsid w:val="00FB11D9"/>
    <w:rsid w:val="00FB2382"/>
    <w:rsid w:val="00FC3786"/>
    <w:rsid w:val="00FC4355"/>
    <w:rsid w:val="00FC43EF"/>
    <w:rsid w:val="00FC49B4"/>
    <w:rsid w:val="00FD2EF0"/>
    <w:rsid w:val="00FE10E6"/>
    <w:rsid w:val="00FF3DA7"/>
    <w:rsid w:val="00FF7759"/>
    <w:rsid w:val="00FF79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02C2AF"/>
  <w15:docId w15:val="{3E80D10F-9BE3-4953-A954-9F396FB3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0148"/>
    <w:rPr>
      <w:rFonts w:ascii="Arial" w:hAnsi="Arial"/>
      <w:bCs/>
      <w:sz w:val="16"/>
      <w:szCs w:val="24"/>
    </w:rPr>
  </w:style>
  <w:style w:type="paragraph" w:styleId="Nadpis1">
    <w:name w:val="heading 1"/>
    <w:basedOn w:val="Normln"/>
    <w:next w:val="Normln"/>
    <w:qFormat/>
    <w:rsid w:val="00070148"/>
    <w:pPr>
      <w:keepNext/>
      <w:outlineLvl w:val="0"/>
    </w:pPr>
    <w:rPr>
      <w:rFonts w:cs="Arial"/>
      <w:b/>
      <w:sz w:val="28"/>
    </w:rPr>
  </w:style>
  <w:style w:type="paragraph" w:styleId="Nadpis2">
    <w:name w:val="heading 2"/>
    <w:basedOn w:val="Normln"/>
    <w:next w:val="Normln"/>
    <w:qFormat/>
    <w:rsid w:val="00070148"/>
    <w:pPr>
      <w:keepNext/>
      <w:outlineLvl w:val="1"/>
    </w:pPr>
    <w:rPr>
      <w:rFonts w:cs="Arial"/>
      <w:b/>
      <w:sz w:val="20"/>
    </w:rPr>
  </w:style>
  <w:style w:type="paragraph" w:styleId="Nadpis3">
    <w:name w:val="heading 3"/>
    <w:basedOn w:val="Normln"/>
    <w:next w:val="Normln"/>
    <w:qFormat/>
    <w:rsid w:val="00070148"/>
    <w:pPr>
      <w:keepNext/>
      <w:pageBreakBefore/>
      <w:jc w:val="both"/>
      <w:outlineLvl w:val="2"/>
    </w:pPr>
    <w:rPr>
      <w:b/>
      <w:bCs w:val="0"/>
      <w:sz w:val="20"/>
      <w:szCs w:val="22"/>
    </w:rPr>
  </w:style>
  <w:style w:type="paragraph" w:styleId="Nadpis4">
    <w:name w:val="heading 4"/>
    <w:basedOn w:val="Normln"/>
    <w:next w:val="Normln"/>
    <w:qFormat/>
    <w:rsid w:val="00070148"/>
    <w:pPr>
      <w:keepNext/>
      <w:jc w:val="both"/>
      <w:outlineLvl w:val="3"/>
    </w:pPr>
    <w:rPr>
      <w:b/>
      <w:bCs w:val="0"/>
      <w:sz w:val="22"/>
      <w:szCs w:val="22"/>
    </w:rPr>
  </w:style>
  <w:style w:type="paragraph" w:styleId="Nadpis5">
    <w:name w:val="heading 5"/>
    <w:basedOn w:val="Normln"/>
    <w:next w:val="Normln"/>
    <w:qFormat/>
    <w:rsid w:val="00070148"/>
    <w:pPr>
      <w:keepNext/>
      <w:ind w:firstLine="708"/>
      <w:jc w:val="both"/>
      <w:outlineLvl w:val="4"/>
    </w:pPr>
    <w:rPr>
      <w:b/>
      <w:bCs w:val="0"/>
      <w:sz w:val="20"/>
      <w:szCs w:val="22"/>
      <w:lang w:val="en-US"/>
    </w:rPr>
  </w:style>
  <w:style w:type="paragraph" w:styleId="Nadpis6">
    <w:name w:val="heading 6"/>
    <w:basedOn w:val="Normln"/>
    <w:next w:val="Normln"/>
    <w:qFormat/>
    <w:rsid w:val="00070148"/>
    <w:pPr>
      <w:keepNext/>
      <w:jc w:val="both"/>
      <w:outlineLvl w:val="5"/>
    </w:pPr>
    <w:rPr>
      <w:color w:val="FF0000"/>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070148"/>
    <w:rPr>
      <w:sz w:val="22"/>
      <w:szCs w:val="22"/>
      <w:lang w:val="en-US"/>
    </w:rPr>
  </w:style>
  <w:style w:type="paragraph" w:styleId="Zkladntext2">
    <w:name w:val="Body Text 2"/>
    <w:basedOn w:val="Normln"/>
    <w:semiHidden/>
    <w:rsid w:val="00070148"/>
    <w:pPr>
      <w:jc w:val="both"/>
    </w:pPr>
    <w:rPr>
      <w:sz w:val="22"/>
    </w:rPr>
  </w:style>
  <w:style w:type="paragraph" w:styleId="Normlnweb">
    <w:name w:val="Normal (Web)"/>
    <w:basedOn w:val="Normln"/>
    <w:rsid w:val="00070148"/>
    <w:pPr>
      <w:spacing w:before="100" w:beforeAutospacing="1" w:after="100" w:afterAutospacing="1"/>
    </w:pPr>
    <w:rPr>
      <w:rFonts w:ascii="Times New Roman" w:hAnsi="Times New Roman"/>
      <w:bCs w:val="0"/>
      <w:sz w:val="24"/>
    </w:rPr>
  </w:style>
  <w:style w:type="paragraph" w:styleId="Zkladntextodsazen">
    <w:name w:val="Body Text Indent"/>
    <w:basedOn w:val="Normln"/>
    <w:semiHidden/>
    <w:rsid w:val="00070148"/>
    <w:pPr>
      <w:ind w:firstLine="708"/>
      <w:jc w:val="both"/>
    </w:pPr>
    <w:rPr>
      <w:sz w:val="22"/>
    </w:rPr>
  </w:style>
  <w:style w:type="paragraph" w:styleId="Zkladntext3">
    <w:name w:val="Body Text 3"/>
    <w:basedOn w:val="Normln"/>
    <w:semiHidden/>
    <w:rsid w:val="00070148"/>
    <w:pPr>
      <w:jc w:val="both"/>
    </w:pPr>
    <w:rPr>
      <w:sz w:val="20"/>
      <w:szCs w:val="22"/>
    </w:rPr>
  </w:style>
  <w:style w:type="paragraph" w:styleId="Zkladntextodsazen2">
    <w:name w:val="Body Text Indent 2"/>
    <w:basedOn w:val="Normln"/>
    <w:semiHidden/>
    <w:rsid w:val="00070148"/>
    <w:pPr>
      <w:ind w:firstLine="540"/>
      <w:jc w:val="both"/>
    </w:pPr>
    <w:rPr>
      <w:bCs w:val="0"/>
      <w:sz w:val="24"/>
    </w:rPr>
  </w:style>
  <w:style w:type="paragraph" w:styleId="Zkladntextodsazen3">
    <w:name w:val="Body Text Indent 3"/>
    <w:basedOn w:val="Normln"/>
    <w:semiHidden/>
    <w:rsid w:val="00070148"/>
    <w:pPr>
      <w:ind w:firstLine="708"/>
      <w:jc w:val="both"/>
    </w:pPr>
    <w:rPr>
      <w:color w:val="3366FF"/>
      <w:sz w:val="20"/>
    </w:rPr>
  </w:style>
  <w:style w:type="character" w:styleId="Odkaznakoment">
    <w:name w:val="annotation reference"/>
    <w:uiPriority w:val="99"/>
    <w:semiHidden/>
    <w:rsid w:val="00070148"/>
    <w:rPr>
      <w:sz w:val="16"/>
      <w:szCs w:val="16"/>
    </w:rPr>
  </w:style>
  <w:style w:type="paragraph" w:styleId="Textkomente">
    <w:name w:val="annotation text"/>
    <w:basedOn w:val="Normln"/>
    <w:link w:val="TextkomenteChar"/>
    <w:uiPriority w:val="99"/>
    <w:semiHidden/>
    <w:rsid w:val="00070148"/>
    <w:rPr>
      <w:sz w:val="20"/>
      <w:szCs w:val="20"/>
    </w:rPr>
  </w:style>
  <w:style w:type="paragraph" w:styleId="Textbubliny">
    <w:name w:val="Balloon Text"/>
    <w:basedOn w:val="Normln"/>
    <w:semiHidden/>
    <w:unhideWhenUsed/>
    <w:rsid w:val="00070148"/>
    <w:rPr>
      <w:rFonts w:ascii="Tahoma" w:hAnsi="Tahoma" w:cs="Tahoma"/>
      <w:szCs w:val="16"/>
    </w:rPr>
  </w:style>
  <w:style w:type="character" w:customStyle="1" w:styleId="TextbublinyChar">
    <w:name w:val="Text bubliny Char"/>
    <w:semiHidden/>
    <w:rsid w:val="00070148"/>
    <w:rPr>
      <w:rFonts w:ascii="Tahoma" w:hAnsi="Tahoma" w:cs="Tahoma"/>
      <w:bCs/>
      <w:sz w:val="16"/>
      <w:szCs w:val="16"/>
    </w:rPr>
  </w:style>
  <w:style w:type="character" w:styleId="Zdraznn">
    <w:name w:val="Emphasis"/>
    <w:qFormat/>
    <w:rsid w:val="00070148"/>
    <w:rPr>
      <w:i/>
      <w:iCs/>
    </w:rPr>
  </w:style>
  <w:style w:type="character" w:styleId="Siln">
    <w:name w:val="Strong"/>
    <w:qFormat/>
    <w:rsid w:val="00070148"/>
    <w:rPr>
      <w:b/>
      <w:bCs/>
    </w:rPr>
  </w:style>
  <w:style w:type="paragraph" w:styleId="Pedmtkomente">
    <w:name w:val="annotation subject"/>
    <w:basedOn w:val="Textkomente"/>
    <w:next w:val="Textkomente"/>
    <w:link w:val="PedmtkomenteChar"/>
    <w:uiPriority w:val="99"/>
    <w:semiHidden/>
    <w:unhideWhenUsed/>
    <w:rsid w:val="008D2195"/>
    <w:rPr>
      <w:b/>
    </w:rPr>
  </w:style>
  <w:style w:type="character" w:customStyle="1" w:styleId="TextkomenteChar">
    <w:name w:val="Text komentáře Char"/>
    <w:link w:val="Textkomente"/>
    <w:uiPriority w:val="99"/>
    <w:semiHidden/>
    <w:rsid w:val="008D2195"/>
    <w:rPr>
      <w:rFonts w:ascii="Arial" w:hAnsi="Arial"/>
      <w:bCs/>
    </w:rPr>
  </w:style>
  <w:style w:type="character" w:customStyle="1" w:styleId="PedmtkomenteChar">
    <w:name w:val="Předmět komentáře Char"/>
    <w:link w:val="Pedmtkomente"/>
    <w:rsid w:val="008D2195"/>
    <w:rPr>
      <w:rFonts w:ascii="Arial" w:hAnsi="Arial"/>
      <w:bCs/>
    </w:rPr>
  </w:style>
  <w:style w:type="character" w:styleId="Hypertextovodkaz">
    <w:name w:val="Hyperlink"/>
    <w:unhideWhenUsed/>
    <w:rsid w:val="00495566"/>
    <w:rPr>
      <w:color w:val="0000FF"/>
      <w:u w:val="single"/>
    </w:rPr>
  </w:style>
  <w:style w:type="character" w:styleId="Zstupntext">
    <w:name w:val="Placeholder Text"/>
    <w:basedOn w:val="Standardnpsmoodstavce"/>
    <w:uiPriority w:val="99"/>
    <w:semiHidden/>
    <w:rsid w:val="00CB5162"/>
    <w:rPr>
      <w:color w:val="808080"/>
    </w:rPr>
  </w:style>
  <w:style w:type="paragraph" w:styleId="Zhlav">
    <w:name w:val="header"/>
    <w:basedOn w:val="Normln"/>
    <w:link w:val="ZhlavChar"/>
    <w:uiPriority w:val="99"/>
    <w:unhideWhenUsed/>
    <w:rsid w:val="00152720"/>
    <w:pPr>
      <w:tabs>
        <w:tab w:val="center" w:pos="4536"/>
        <w:tab w:val="right" w:pos="9072"/>
      </w:tabs>
    </w:pPr>
  </w:style>
  <w:style w:type="character" w:customStyle="1" w:styleId="ZhlavChar">
    <w:name w:val="Záhlaví Char"/>
    <w:basedOn w:val="Standardnpsmoodstavce"/>
    <w:link w:val="Zhlav"/>
    <w:uiPriority w:val="99"/>
    <w:rsid w:val="00152720"/>
    <w:rPr>
      <w:rFonts w:ascii="Arial" w:hAnsi="Arial"/>
      <w:bCs/>
      <w:sz w:val="16"/>
      <w:szCs w:val="24"/>
    </w:rPr>
  </w:style>
  <w:style w:type="paragraph" w:styleId="Zpat">
    <w:name w:val="footer"/>
    <w:basedOn w:val="Normln"/>
    <w:link w:val="ZpatChar"/>
    <w:uiPriority w:val="99"/>
    <w:unhideWhenUsed/>
    <w:rsid w:val="00152720"/>
    <w:pPr>
      <w:tabs>
        <w:tab w:val="center" w:pos="4536"/>
        <w:tab w:val="right" w:pos="9072"/>
      </w:tabs>
    </w:pPr>
  </w:style>
  <w:style w:type="character" w:customStyle="1" w:styleId="ZpatChar">
    <w:name w:val="Zápatí Char"/>
    <w:basedOn w:val="Standardnpsmoodstavce"/>
    <w:link w:val="Zpat"/>
    <w:uiPriority w:val="99"/>
    <w:rsid w:val="00152720"/>
    <w:rPr>
      <w:rFonts w:ascii="Arial" w:hAnsi="Arial"/>
      <w:bCs/>
      <w:sz w:val="16"/>
      <w:szCs w:val="24"/>
    </w:rPr>
  </w:style>
  <w:style w:type="paragraph" w:styleId="Revize">
    <w:name w:val="Revision"/>
    <w:hidden/>
    <w:uiPriority w:val="99"/>
    <w:semiHidden/>
    <w:rsid w:val="00A23E64"/>
    <w:rPr>
      <w:rFonts w:ascii="Arial" w:hAnsi="Arial"/>
      <w:bCs/>
      <w:sz w:val="16"/>
      <w:szCs w:val="24"/>
    </w:rPr>
  </w:style>
  <w:style w:type="paragraph" w:styleId="Textpoznpodarou">
    <w:name w:val="footnote text"/>
    <w:basedOn w:val="Normln"/>
    <w:link w:val="TextpoznpodarouChar"/>
    <w:semiHidden/>
    <w:rsid w:val="00617E4C"/>
    <w:pPr>
      <w:jc w:val="both"/>
    </w:pPr>
    <w:rPr>
      <w:bCs w:val="0"/>
      <w:sz w:val="20"/>
      <w:szCs w:val="20"/>
    </w:rPr>
  </w:style>
  <w:style w:type="character" w:customStyle="1" w:styleId="TextpoznpodarouChar">
    <w:name w:val="Text pozn. pod čarou Char"/>
    <w:basedOn w:val="Standardnpsmoodstavce"/>
    <w:link w:val="Textpoznpodarou"/>
    <w:semiHidden/>
    <w:rsid w:val="00617E4C"/>
    <w:rPr>
      <w:rFonts w:ascii="Arial" w:hAnsi="Arial"/>
    </w:rPr>
  </w:style>
  <w:style w:type="character" w:styleId="Znakapoznpodarou">
    <w:name w:val="footnote reference"/>
    <w:semiHidden/>
    <w:rsid w:val="00617E4C"/>
    <w:rPr>
      <w:vertAlign w:val="superscript"/>
    </w:rPr>
  </w:style>
  <w:style w:type="paragraph" w:styleId="Odstavecseseznamem">
    <w:name w:val="List Paragraph"/>
    <w:basedOn w:val="Normln"/>
    <w:uiPriority w:val="34"/>
    <w:qFormat/>
    <w:rsid w:val="00627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397213">
      <w:bodyDiv w:val="1"/>
      <w:marLeft w:val="0"/>
      <w:marRight w:val="0"/>
      <w:marTop w:val="0"/>
      <w:marBottom w:val="0"/>
      <w:divBdr>
        <w:top w:val="none" w:sz="0" w:space="0" w:color="auto"/>
        <w:left w:val="none" w:sz="0" w:space="0" w:color="auto"/>
        <w:bottom w:val="none" w:sz="0" w:space="0" w:color="auto"/>
        <w:right w:val="none" w:sz="0" w:space="0" w:color="auto"/>
      </w:divBdr>
    </w:div>
    <w:div w:id="86502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278DC-2950-4323-9D80-2475B172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4003</Words>
  <Characters>23624</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CSU</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ČSÚ</dc:creator>
  <cp:lastModifiedBy>Zvonková Štěpánka</cp:lastModifiedBy>
  <cp:revision>20</cp:revision>
  <cp:lastPrinted>2023-02-10T10:33:00Z</cp:lastPrinted>
  <dcterms:created xsi:type="dcterms:W3CDTF">2023-02-03T13:25:00Z</dcterms:created>
  <dcterms:modified xsi:type="dcterms:W3CDTF">2023-02-10T10:39:00Z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740c7d69e378e84a61306dc77713d35c9c054b6ec27071b19b858d39ff6ff609</vt:lpwstr>
  </property>
</Properties>
</file>