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80F" w:rsidRPr="00DE3E3C" w:rsidRDefault="00BC75A6">
      <w:pPr>
        <w:widowControl w:val="0"/>
        <w:tabs>
          <w:tab w:val="center" w:pos="4680"/>
        </w:tabs>
        <w:autoSpaceDE w:val="0"/>
        <w:autoSpaceDN w:val="0"/>
        <w:adjustRightInd w:val="0"/>
        <w:jc w:val="center"/>
        <w:rPr>
          <w:rFonts w:ascii="Arial" w:hAnsi="Arial" w:cs="Arial"/>
          <w:szCs w:val="20"/>
        </w:rPr>
      </w:pPr>
      <w:bookmarkStart w:id="0" w:name="_GoBack"/>
      <w:bookmarkEnd w:id="0"/>
      <w:r w:rsidRPr="00DE3E3C">
        <w:rPr>
          <w:rFonts w:ascii="Arial" w:hAnsi="Arial" w:cs="Arial"/>
          <w:b/>
          <w:bCs/>
          <w:szCs w:val="20"/>
        </w:rPr>
        <w:t>2</w:t>
      </w:r>
      <w:r>
        <w:rPr>
          <w:rFonts w:ascii="Arial" w:hAnsi="Arial" w:cs="Arial"/>
          <w:b/>
          <w:bCs/>
          <w:szCs w:val="20"/>
        </w:rPr>
        <w:t>7</w:t>
      </w:r>
      <w:r w:rsidR="005D480F" w:rsidRPr="00DE3E3C">
        <w:rPr>
          <w:rFonts w:ascii="Arial" w:hAnsi="Arial" w:cs="Arial"/>
          <w:b/>
          <w:bCs/>
          <w:szCs w:val="20"/>
        </w:rPr>
        <w:t>. KULTURA</w:t>
      </w:r>
    </w:p>
    <w:p w:rsidR="005D480F" w:rsidRPr="004F073A" w:rsidRDefault="005D480F">
      <w:pPr>
        <w:widowControl w:val="0"/>
        <w:autoSpaceDE w:val="0"/>
        <w:autoSpaceDN w:val="0"/>
        <w:adjustRightInd w:val="0"/>
        <w:jc w:val="both"/>
        <w:rPr>
          <w:rFonts w:ascii="Arial" w:hAnsi="Arial" w:cs="Arial"/>
          <w:sz w:val="20"/>
          <w:szCs w:val="20"/>
        </w:rPr>
      </w:pPr>
    </w:p>
    <w:p w:rsidR="005C4177" w:rsidRDefault="005D480F" w:rsidP="005C4177">
      <w:pPr>
        <w:pStyle w:val="Zkladntext2"/>
        <w:spacing w:after="0"/>
        <w:ind w:firstLine="709"/>
        <w:rPr>
          <w:szCs w:val="20"/>
        </w:rPr>
      </w:pPr>
      <w:r w:rsidRPr="004F073A">
        <w:rPr>
          <w:szCs w:val="20"/>
        </w:rPr>
        <w:t>Údaje se týkají</w:t>
      </w:r>
      <w:r w:rsidR="0041259C" w:rsidRPr="004F073A">
        <w:rPr>
          <w:szCs w:val="20"/>
        </w:rPr>
        <w:t xml:space="preserve"> </w:t>
      </w:r>
      <w:r w:rsidRPr="004F073A">
        <w:rPr>
          <w:szCs w:val="20"/>
        </w:rPr>
        <w:t xml:space="preserve">činnosti divadel, kin, hudebních souborů, knihoven, </w:t>
      </w:r>
      <w:r w:rsidR="00083886" w:rsidRPr="004F073A">
        <w:rPr>
          <w:szCs w:val="20"/>
        </w:rPr>
        <w:t xml:space="preserve">muzeí, </w:t>
      </w:r>
      <w:r w:rsidR="00DC05F7" w:rsidRPr="004F073A">
        <w:rPr>
          <w:szCs w:val="20"/>
        </w:rPr>
        <w:t>galerií,</w:t>
      </w:r>
      <w:r w:rsidR="00CD75C9" w:rsidRPr="004F073A">
        <w:rPr>
          <w:szCs w:val="20"/>
        </w:rPr>
        <w:t xml:space="preserve"> </w:t>
      </w:r>
      <w:r w:rsidR="0010779E" w:rsidRPr="004F073A">
        <w:rPr>
          <w:szCs w:val="20"/>
        </w:rPr>
        <w:t xml:space="preserve">či </w:t>
      </w:r>
      <w:r w:rsidRPr="004F073A">
        <w:rPr>
          <w:szCs w:val="20"/>
        </w:rPr>
        <w:t>tisk</w:t>
      </w:r>
      <w:r w:rsidR="00012172" w:rsidRPr="004F073A">
        <w:rPr>
          <w:szCs w:val="20"/>
        </w:rPr>
        <w:t>u</w:t>
      </w:r>
      <w:r w:rsidRPr="004F073A">
        <w:rPr>
          <w:szCs w:val="20"/>
        </w:rPr>
        <w:t>. Data jsou získávána z rezortního statistického výkaznictví Ministerstva kultury a dalš</w:t>
      </w:r>
      <w:r w:rsidR="00845B39" w:rsidRPr="004F073A">
        <w:rPr>
          <w:szCs w:val="20"/>
        </w:rPr>
        <w:t>ích informačních zdrojů. Do této kapitoly jsou dále zařazeny údaje o</w:t>
      </w:r>
      <w:r w:rsidR="009C1745" w:rsidRPr="004F073A">
        <w:rPr>
          <w:szCs w:val="20"/>
        </w:rPr>
        <w:t> </w:t>
      </w:r>
      <w:r w:rsidR="00845B39" w:rsidRPr="004F073A">
        <w:rPr>
          <w:szCs w:val="20"/>
        </w:rPr>
        <w:t>zoologických</w:t>
      </w:r>
      <w:r w:rsidR="003850EF" w:rsidRPr="004F073A">
        <w:rPr>
          <w:szCs w:val="20"/>
        </w:rPr>
        <w:t xml:space="preserve"> a </w:t>
      </w:r>
      <w:r w:rsidR="00845B39" w:rsidRPr="004F073A">
        <w:rPr>
          <w:szCs w:val="20"/>
        </w:rPr>
        <w:t>botanických zahradách, které vykazují Unie českých</w:t>
      </w:r>
      <w:r w:rsidR="003850EF" w:rsidRPr="004F073A">
        <w:rPr>
          <w:szCs w:val="20"/>
        </w:rPr>
        <w:t xml:space="preserve"> a </w:t>
      </w:r>
      <w:r w:rsidR="00845B39" w:rsidRPr="004F073A">
        <w:rPr>
          <w:szCs w:val="20"/>
        </w:rPr>
        <w:t>slovenských zoologických zahrad, Unie botanických zahrad České republiky,</w:t>
      </w:r>
      <w:r w:rsidR="003850EF" w:rsidRPr="004F073A">
        <w:rPr>
          <w:szCs w:val="20"/>
        </w:rPr>
        <w:t xml:space="preserve"> a </w:t>
      </w:r>
      <w:r w:rsidR="00845B39" w:rsidRPr="004F073A">
        <w:rPr>
          <w:szCs w:val="20"/>
        </w:rPr>
        <w:t>o</w:t>
      </w:r>
      <w:r w:rsidR="00543D86">
        <w:rPr>
          <w:szCs w:val="20"/>
        </w:rPr>
        <w:t> </w:t>
      </w:r>
      <w:r w:rsidR="00845B39" w:rsidRPr="004F073A">
        <w:rPr>
          <w:szCs w:val="20"/>
        </w:rPr>
        <w:t>jeskyních, které vykazuje Správa jeskyní České republiky.</w:t>
      </w:r>
    </w:p>
    <w:p w:rsidR="005D480F" w:rsidRPr="004F073A" w:rsidRDefault="005D480F">
      <w:pPr>
        <w:pStyle w:val="Zkladntext2"/>
        <w:spacing w:before="120" w:after="0"/>
        <w:ind w:firstLine="709"/>
        <w:rPr>
          <w:i/>
          <w:iCs/>
          <w:szCs w:val="20"/>
        </w:rPr>
      </w:pPr>
      <w:r w:rsidRPr="004F073A">
        <w:rPr>
          <w:szCs w:val="20"/>
        </w:rPr>
        <w:t xml:space="preserve">Pro potřeby státní statistiky jsou využívány výstupy </w:t>
      </w:r>
      <w:r w:rsidR="00245900" w:rsidRPr="004F073A">
        <w:rPr>
          <w:szCs w:val="20"/>
        </w:rPr>
        <w:t>z rezortní statistické služby</w:t>
      </w:r>
      <w:r w:rsidRPr="004F073A">
        <w:rPr>
          <w:szCs w:val="20"/>
        </w:rPr>
        <w:t>, kter</w:t>
      </w:r>
      <w:r w:rsidR="00245900" w:rsidRPr="004F073A">
        <w:rPr>
          <w:szCs w:val="20"/>
        </w:rPr>
        <w:t>ou</w:t>
      </w:r>
      <w:r w:rsidRPr="004F073A">
        <w:rPr>
          <w:szCs w:val="20"/>
        </w:rPr>
        <w:t xml:space="preserve"> zpracovává Národní informační a poradenské středisko pro kulturu</w:t>
      </w:r>
      <w:r w:rsidR="004B57B8" w:rsidRPr="004F073A">
        <w:rPr>
          <w:szCs w:val="20"/>
        </w:rPr>
        <w:t xml:space="preserve"> (NIPOS)</w:t>
      </w:r>
      <w:r w:rsidRPr="004F073A">
        <w:rPr>
          <w:szCs w:val="20"/>
        </w:rPr>
        <w:t>. Údaje v tabulkách zachycují stav ke konci roku (např. počet divadel, knihoven, galerií) nebo úhrn za rok (např. počet představení, návštěvníků, vydaných knih).</w:t>
      </w:r>
    </w:p>
    <w:p w:rsidR="005D480F" w:rsidRPr="004F073A" w:rsidRDefault="005D480F">
      <w:pPr>
        <w:pStyle w:val="Zkladntext"/>
        <w:spacing w:line="240" w:lineRule="auto"/>
        <w:ind w:firstLine="709"/>
        <w:rPr>
          <w:rFonts w:ascii="Arial" w:eastAsia="Arial Unicode MS" w:hAnsi="Arial" w:cs="Arial"/>
          <w:iCs/>
        </w:rPr>
      </w:pPr>
      <w:r w:rsidRPr="004F073A">
        <w:rPr>
          <w:rFonts w:ascii="Arial" w:hAnsi="Arial" w:cs="Arial"/>
        </w:rPr>
        <w:t xml:space="preserve">V údajích za </w:t>
      </w:r>
      <w:r w:rsidR="00F845CF">
        <w:rPr>
          <w:rFonts w:ascii="Arial" w:hAnsi="Arial" w:cs="Arial"/>
        </w:rPr>
        <w:t>„</w:t>
      </w:r>
      <w:r w:rsidRPr="004F073A">
        <w:rPr>
          <w:rFonts w:ascii="Arial" w:hAnsi="Arial" w:cs="Arial"/>
        </w:rPr>
        <w:t>státní</w:t>
      </w:r>
      <w:r w:rsidR="00153E42">
        <w:rPr>
          <w:rFonts w:ascii="Arial" w:hAnsi="Arial" w:cs="Arial"/>
        </w:rPr>
        <w:t>, krajské a městské</w:t>
      </w:r>
      <w:r w:rsidR="00F845CF">
        <w:rPr>
          <w:rFonts w:ascii="Arial" w:hAnsi="Arial" w:cs="Arial"/>
        </w:rPr>
        <w:t>“</w:t>
      </w:r>
      <w:r w:rsidRPr="004F073A">
        <w:rPr>
          <w:rFonts w:ascii="Arial" w:hAnsi="Arial" w:cs="Arial"/>
        </w:rPr>
        <w:t xml:space="preserve"> instituce jsou zahrnuty kulturní organizace, jejichž zřizovatelem je stát (Ministerstvo kultury, Ministerstvo školství, mládeže a tělovýchovy nebo jiná ministerstva a územně samosprávné celky). </w:t>
      </w:r>
      <w:r w:rsidRPr="004F073A">
        <w:rPr>
          <w:rFonts w:ascii="Arial" w:hAnsi="Arial" w:cs="Arial"/>
          <w:iCs/>
        </w:rPr>
        <w:t>Do „ostatních“ kulturních organizací jsou zahrnuty jednotky zřizovatelů církv</w:t>
      </w:r>
      <w:r w:rsidR="00245900" w:rsidRPr="004F073A">
        <w:rPr>
          <w:rFonts w:ascii="Arial" w:hAnsi="Arial" w:cs="Arial"/>
          <w:iCs/>
        </w:rPr>
        <w:t>í</w:t>
      </w:r>
      <w:r w:rsidRPr="004F073A">
        <w:rPr>
          <w:rFonts w:ascii="Arial" w:hAnsi="Arial" w:cs="Arial"/>
          <w:iCs/>
        </w:rPr>
        <w:t xml:space="preserve">, </w:t>
      </w:r>
      <w:r w:rsidR="00245900" w:rsidRPr="004F073A">
        <w:rPr>
          <w:rFonts w:ascii="Arial" w:hAnsi="Arial" w:cs="Arial"/>
          <w:iCs/>
        </w:rPr>
        <w:t>spolků</w:t>
      </w:r>
      <w:r w:rsidRPr="004F073A">
        <w:rPr>
          <w:rFonts w:ascii="Arial" w:hAnsi="Arial" w:cs="Arial"/>
          <w:iCs/>
        </w:rPr>
        <w:t>, obecn</w:t>
      </w:r>
      <w:r w:rsidRPr="004F073A">
        <w:rPr>
          <w:rFonts w:ascii="Arial" w:eastAsia="Arial Unicode MS" w:hAnsi="Arial" w:cs="Arial"/>
          <w:iCs/>
        </w:rPr>
        <w:t>ě prospěšných společností, podnikatelů (právnických i fyzických osob) aj.</w:t>
      </w:r>
    </w:p>
    <w:p w:rsidR="005D480F" w:rsidRPr="004F073A" w:rsidRDefault="00E233A4">
      <w:pPr>
        <w:pStyle w:val="Zkladntext2"/>
        <w:spacing w:before="120" w:after="0"/>
        <w:ind w:firstLine="709"/>
        <w:rPr>
          <w:szCs w:val="20"/>
        </w:rPr>
      </w:pPr>
      <w:r w:rsidRPr="004F073A">
        <w:rPr>
          <w:szCs w:val="20"/>
        </w:rPr>
        <w:t xml:space="preserve">Údaje týkající se kin </w:t>
      </w:r>
      <w:r w:rsidR="00E0481E" w:rsidRPr="004F073A">
        <w:rPr>
          <w:szCs w:val="20"/>
        </w:rPr>
        <w:t>jsou poskytován</w:t>
      </w:r>
      <w:r w:rsidRPr="004F073A">
        <w:rPr>
          <w:szCs w:val="20"/>
        </w:rPr>
        <w:t>y</w:t>
      </w:r>
      <w:r w:rsidR="00E0481E" w:rsidRPr="004F073A">
        <w:rPr>
          <w:szCs w:val="20"/>
        </w:rPr>
        <w:t xml:space="preserve"> Státní</w:t>
      </w:r>
      <w:r w:rsidR="00AE6069" w:rsidRPr="004F073A">
        <w:rPr>
          <w:szCs w:val="20"/>
        </w:rPr>
        <w:t>m</w:t>
      </w:r>
      <w:r w:rsidR="00E0481E" w:rsidRPr="004F073A">
        <w:rPr>
          <w:szCs w:val="20"/>
        </w:rPr>
        <w:t xml:space="preserve"> fond</w:t>
      </w:r>
      <w:r w:rsidR="00AE6069" w:rsidRPr="004F073A">
        <w:rPr>
          <w:szCs w:val="20"/>
        </w:rPr>
        <w:t>em</w:t>
      </w:r>
      <w:r w:rsidR="00E0481E" w:rsidRPr="004F073A">
        <w:rPr>
          <w:szCs w:val="20"/>
        </w:rPr>
        <w:t xml:space="preserve"> kinematografie. </w:t>
      </w:r>
      <w:r w:rsidR="005D480F" w:rsidRPr="004F073A">
        <w:rPr>
          <w:szCs w:val="20"/>
        </w:rPr>
        <w:t>Data z oblasti audiovizuální statistiky jsou přebírána ze zdrojů Českého telekomunikačního úřadu, Rady pro rozhlasové a televizní vysílání a Mezinárodní federace hudebního průmyslu.</w:t>
      </w:r>
    </w:p>
    <w:p w:rsidR="00245900" w:rsidRPr="00706D81" w:rsidRDefault="005D480F">
      <w:pPr>
        <w:pStyle w:val="Zkladntext2"/>
        <w:spacing w:before="120" w:after="0"/>
        <w:ind w:firstLine="709"/>
        <w:rPr>
          <w:szCs w:val="20"/>
        </w:rPr>
      </w:pPr>
      <w:r w:rsidRPr="004F073A">
        <w:rPr>
          <w:szCs w:val="20"/>
        </w:rPr>
        <w:t>Údaje o rozhlasovém</w:t>
      </w:r>
      <w:r w:rsidR="003850EF" w:rsidRPr="004F073A">
        <w:rPr>
          <w:szCs w:val="20"/>
        </w:rPr>
        <w:t xml:space="preserve"> a </w:t>
      </w:r>
      <w:r w:rsidRPr="004F073A">
        <w:rPr>
          <w:szCs w:val="20"/>
        </w:rPr>
        <w:t xml:space="preserve">televizním vysílání jsou </w:t>
      </w:r>
      <w:r w:rsidRPr="00706D81">
        <w:rPr>
          <w:szCs w:val="20"/>
        </w:rPr>
        <w:t>zjišťovány statistickými výkazy ČSÚ.</w:t>
      </w:r>
    </w:p>
    <w:p w:rsidR="005C4177" w:rsidRDefault="00245900" w:rsidP="005C4177">
      <w:pPr>
        <w:pStyle w:val="Nadpis1"/>
        <w:keepNext w:val="0"/>
        <w:spacing w:before="120" w:after="120"/>
        <w:ind w:firstLine="709"/>
        <w:jc w:val="both"/>
        <w:rPr>
          <w:b w:val="0"/>
          <w:bCs w:val="0"/>
          <w:szCs w:val="20"/>
        </w:rPr>
      </w:pPr>
      <w:r w:rsidRPr="00706D81">
        <w:rPr>
          <w:b w:val="0"/>
          <w:szCs w:val="20"/>
        </w:rPr>
        <w:t>Přehled kulturních činností je doplněn také o ekonomické ukazatele. T</w:t>
      </w:r>
      <w:r w:rsidR="00495DB6" w:rsidRPr="00706D81">
        <w:rPr>
          <w:b w:val="0"/>
          <w:szCs w:val="20"/>
        </w:rPr>
        <w:t>y mají vždy stejnou strukturu a </w:t>
      </w:r>
      <w:r w:rsidRPr="00706D81">
        <w:rPr>
          <w:b w:val="0"/>
          <w:szCs w:val="20"/>
        </w:rPr>
        <w:t>jsou získáván</w:t>
      </w:r>
      <w:r w:rsidR="00495DB6" w:rsidRPr="00706D81">
        <w:rPr>
          <w:b w:val="0"/>
          <w:szCs w:val="20"/>
        </w:rPr>
        <w:t>y ze statistických výkazů ČSÚ a NIPOS a </w:t>
      </w:r>
      <w:r w:rsidRPr="00706D81">
        <w:rPr>
          <w:b w:val="0"/>
          <w:szCs w:val="20"/>
        </w:rPr>
        <w:t xml:space="preserve">také </w:t>
      </w:r>
      <w:r w:rsidR="005150B9" w:rsidRPr="00706D81">
        <w:rPr>
          <w:b w:val="0"/>
          <w:szCs w:val="20"/>
        </w:rPr>
        <w:t>p</w:t>
      </w:r>
      <w:r w:rsidRPr="00706D81">
        <w:rPr>
          <w:b w:val="0"/>
          <w:szCs w:val="20"/>
        </w:rPr>
        <w:t>o</w:t>
      </w:r>
      <w:r w:rsidR="00495DB6" w:rsidRPr="00706D81">
        <w:rPr>
          <w:b w:val="0"/>
          <w:szCs w:val="20"/>
        </w:rPr>
        <w:t>dnikové strukturální statistiky </w:t>
      </w:r>
      <w:r w:rsidRPr="00706D81">
        <w:rPr>
          <w:b w:val="0"/>
          <w:szCs w:val="20"/>
        </w:rPr>
        <w:t>ČSÚ. V rámci ekonomických ukazatelů jsou sledovány</w:t>
      </w:r>
      <w:r w:rsidRPr="004F073A">
        <w:rPr>
          <w:b w:val="0"/>
          <w:szCs w:val="20"/>
        </w:rPr>
        <w:t xml:space="preserve"> příjmy a výdaje z ko</w:t>
      </w:r>
      <w:r w:rsidR="00495DB6" w:rsidRPr="004F073A">
        <w:rPr>
          <w:b w:val="0"/>
          <w:szCs w:val="20"/>
        </w:rPr>
        <w:t>nkrétní kulturní činnosti a </w:t>
      </w:r>
      <w:r w:rsidRPr="004F073A">
        <w:rPr>
          <w:b w:val="0"/>
          <w:szCs w:val="20"/>
        </w:rPr>
        <w:t>průměrný evidenční počet zaměstnanců přepočtený na plné pracovní úvazky.</w:t>
      </w:r>
    </w:p>
    <w:p w:rsidR="005C4177" w:rsidRDefault="005C4177" w:rsidP="005C4177">
      <w:pPr>
        <w:ind w:firstLine="708"/>
        <w:jc w:val="both"/>
        <w:rPr>
          <w:rFonts w:ascii="Arial" w:hAnsi="Arial" w:cs="Arial"/>
          <w:sz w:val="20"/>
          <w:szCs w:val="20"/>
        </w:rPr>
      </w:pPr>
      <w:r w:rsidRPr="00545261">
        <w:rPr>
          <w:rFonts w:ascii="Arial" w:hAnsi="Arial" w:cs="Arial"/>
          <w:sz w:val="20"/>
          <w:szCs w:val="20"/>
        </w:rPr>
        <w:t>Pojem příjmy je používán souhrnně jak pro výnosy (z účetního hlediska pro zvýšení ekonomického prospěchu za určité období), tak pro příjmy (přírůstek peněžních prostředků). Pojem výdaje pak jak pro náklady (z účetního hlediska účelnou spotřebu ekonomických zdrojů), tak pro výdaje (úbytek peněžních prostředků)</w:t>
      </w:r>
      <w:r w:rsidR="00BC75A6" w:rsidRPr="00545261">
        <w:rPr>
          <w:rFonts w:ascii="Arial" w:hAnsi="Arial" w:cs="Arial"/>
          <w:sz w:val="20"/>
          <w:szCs w:val="20"/>
        </w:rPr>
        <w:t>.</w:t>
      </w:r>
    </w:p>
    <w:p w:rsidR="000311F4" w:rsidRPr="004F073A" w:rsidRDefault="000311F4">
      <w:pPr>
        <w:pStyle w:val="Nadpis1"/>
        <w:keepNext w:val="0"/>
        <w:rPr>
          <w:b w:val="0"/>
          <w:szCs w:val="20"/>
        </w:rPr>
      </w:pPr>
    </w:p>
    <w:p w:rsidR="000311F4" w:rsidRDefault="000311F4">
      <w:pPr>
        <w:pStyle w:val="Nadpis1"/>
        <w:keepNext w:val="0"/>
        <w:rPr>
          <w:b w:val="0"/>
          <w:szCs w:val="20"/>
        </w:rPr>
      </w:pPr>
    </w:p>
    <w:p w:rsidR="005C4177" w:rsidRPr="00004FCC" w:rsidRDefault="005C4177" w:rsidP="005C4177">
      <w:pPr>
        <w:rPr>
          <w:rFonts w:ascii="Arial" w:hAnsi="Arial" w:cs="Arial"/>
          <w:sz w:val="20"/>
          <w:szCs w:val="20"/>
        </w:rPr>
      </w:pPr>
    </w:p>
    <w:p w:rsidR="005D480F" w:rsidRPr="004F073A" w:rsidRDefault="005D480F">
      <w:pPr>
        <w:pStyle w:val="Nadpis1"/>
        <w:keepNext w:val="0"/>
        <w:rPr>
          <w:b w:val="0"/>
          <w:szCs w:val="20"/>
        </w:rPr>
      </w:pPr>
      <w:r w:rsidRPr="004F073A">
        <w:rPr>
          <w:szCs w:val="20"/>
        </w:rPr>
        <w:t>Poznámky k tabulkám</w:t>
      </w:r>
    </w:p>
    <w:p w:rsidR="005D480F" w:rsidRPr="004F073A" w:rsidRDefault="005D480F">
      <w:pPr>
        <w:widowControl w:val="0"/>
        <w:tabs>
          <w:tab w:val="left" w:pos="-1128"/>
          <w:tab w:val="left" w:pos="-720"/>
          <w:tab w:val="left" w:pos="0"/>
          <w:tab w:val="left" w:pos="487"/>
          <w:tab w:val="left" w:pos="1440"/>
        </w:tabs>
        <w:autoSpaceDE w:val="0"/>
        <w:autoSpaceDN w:val="0"/>
        <w:adjustRightInd w:val="0"/>
        <w:jc w:val="both"/>
        <w:rPr>
          <w:rFonts w:ascii="Arial" w:hAnsi="Arial" w:cs="Arial"/>
          <w:sz w:val="20"/>
          <w:szCs w:val="20"/>
        </w:rPr>
      </w:pPr>
    </w:p>
    <w:p w:rsidR="005D480F" w:rsidRPr="004F073A" w:rsidRDefault="005D480F">
      <w:pPr>
        <w:widowControl w:val="0"/>
        <w:tabs>
          <w:tab w:val="left" w:pos="-1128"/>
          <w:tab w:val="left" w:pos="-720"/>
          <w:tab w:val="left" w:pos="0"/>
          <w:tab w:val="left" w:pos="487"/>
          <w:tab w:val="left" w:pos="1440"/>
        </w:tabs>
        <w:autoSpaceDE w:val="0"/>
        <w:autoSpaceDN w:val="0"/>
        <w:adjustRightInd w:val="0"/>
        <w:jc w:val="both"/>
        <w:rPr>
          <w:rFonts w:ascii="Arial" w:hAnsi="Arial" w:cs="Arial"/>
          <w:sz w:val="20"/>
          <w:szCs w:val="20"/>
        </w:rPr>
      </w:pPr>
    </w:p>
    <w:p w:rsidR="005D480F" w:rsidRPr="004F073A" w:rsidRDefault="005D480F">
      <w:pPr>
        <w:widowControl w:val="0"/>
        <w:tabs>
          <w:tab w:val="left" w:pos="-1128"/>
          <w:tab w:val="left" w:pos="-720"/>
          <w:tab w:val="left" w:pos="0"/>
          <w:tab w:val="left" w:pos="487"/>
          <w:tab w:val="left" w:pos="1440"/>
        </w:tabs>
        <w:autoSpaceDE w:val="0"/>
        <w:autoSpaceDN w:val="0"/>
        <w:adjustRightInd w:val="0"/>
        <w:jc w:val="both"/>
        <w:rPr>
          <w:rFonts w:ascii="Arial" w:hAnsi="Arial" w:cs="Arial"/>
          <w:sz w:val="20"/>
          <w:szCs w:val="20"/>
        </w:rPr>
      </w:pPr>
      <w:r w:rsidRPr="004F073A">
        <w:rPr>
          <w:rFonts w:ascii="Arial" w:hAnsi="Arial" w:cs="Arial"/>
          <w:sz w:val="20"/>
          <w:szCs w:val="20"/>
        </w:rPr>
        <w:t xml:space="preserve">Tab. </w:t>
      </w:r>
      <w:r w:rsidR="00BC75A6">
        <w:rPr>
          <w:rFonts w:ascii="Arial" w:hAnsi="Arial" w:cs="Arial"/>
          <w:b/>
          <w:bCs/>
          <w:sz w:val="20"/>
          <w:szCs w:val="20"/>
        </w:rPr>
        <w:t>27</w:t>
      </w:r>
      <w:r w:rsidRPr="004F073A">
        <w:rPr>
          <w:rFonts w:ascii="Arial" w:hAnsi="Arial" w:cs="Arial"/>
          <w:sz w:val="20"/>
          <w:szCs w:val="20"/>
        </w:rPr>
        <w:t>-1. a</w:t>
      </w:r>
      <w:r w:rsidR="00CC6715" w:rsidRPr="004F073A">
        <w:rPr>
          <w:rFonts w:ascii="Arial" w:hAnsi="Arial" w:cs="Arial"/>
          <w:sz w:val="20"/>
          <w:szCs w:val="20"/>
        </w:rPr>
        <w:t>ž</w:t>
      </w:r>
      <w:r w:rsidRPr="004F073A">
        <w:rPr>
          <w:rFonts w:ascii="Arial" w:hAnsi="Arial" w:cs="Arial"/>
          <w:sz w:val="20"/>
          <w:szCs w:val="20"/>
        </w:rPr>
        <w:t xml:space="preserve"> </w:t>
      </w:r>
      <w:r w:rsidR="00BC75A6">
        <w:rPr>
          <w:rFonts w:ascii="Arial" w:hAnsi="Arial" w:cs="Arial"/>
          <w:b/>
          <w:bCs/>
          <w:sz w:val="20"/>
          <w:szCs w:val="20"/>
        </w:rPr>
        <w:t>27</w:t>
      </w:r>
      <w:r w:rsidRPr="004F073A">
        <w:rPr>
          <w:rFonts w:ascii="Arial" w:hAnsi="Arial" w:cs="Arial"/>
          <w:sz w:val="20"/>
          <w:szCs w:val="20"/>
        </w:rPr>
        <w:t>-</w:t>
      </w:r>
      <w:r w:rsidR="00CC6715" w:rsidRPr="004F073A">
        <w:rPr>
          <w:rFonts w:ascii="Arial" w:hAnsi="Arial" w:cs="Arial"/>
          <w:sz w:val="20"/>
          <w:szCs w:val="20"/>
        </w:rPr>
        <w:t>3</w:t>
      </w:r>
      <w:r w:rsidRPr="004F073A">
        <w:rPr>
          <w:rFonts w:ascii="Arial" w:hAnsi="Arial" w:cs="Arial"/>
          <w:sz w:val="20"/>
          <w:szCs w:val="20"/>
        </w:rPr>
        <w:t xml:space="preserve">. </w:t>
      </w:r>
      <w:r w:rsidR="001E6407" w:rsidRPr="004F073A">
        <w:rPr>
          <w:rFonts w:ascii="Arial" w:hAnsi="Arial" w:cs="Arial"/>
          <w:b/>
          <w:bCs/>
          <w:sz w:val="20"/>
          <w:szCs w:val="20"/>
        </w:rPr>
        <w:t>D</w:t>
      </w:r>
      <w:r w:rsidRPr="004F073A">
        <w:rPr>
          <w:rFonts w:ascii="Arial" w:hAnsi="Arial" w:cs="Arial"/>
          <w:b/>
          <w:bCs/>
          <w:sz w:val="20"/>
          <w:szCs w:val="20"/>
        </w:rPr>
        <w:t>ivadla</w:t>
      </w:r>
    </w:p>
    <w:p w:rsidR="0027697A" w:rsidRPr="004F073A" w:rsidRDefault="00DC015B" w:rsidP="00FD382B">
      <w:pPr>
        <w:spacing w:before="120"/>
        <w:ind w:firstLine="709"/>
        <w:jc w:val="both"/>
        <w:rPr>
          <w:rFonts w:ascii="Arial" w:hAnsi="Arial" w:cs="Arial"/>
          <w:sz w:val="20"/>
          <w:szCs w:val="20"/>
        </w:rPr>
      </w:pPr>
      <w:r w:rsidRPr="004F073A">
        <w:rPr>
          <w:rFonts w:ascii="Arial" w:hAnsi="Arial" w:cs="Arial"/>
          <w:sz w:val="20"/>
          <w:szCs w:val="20"/>
        </w:rPr>
        <w:t>Síť divadel se sleduje ukazatelem „Stálé scény v provozu“, přičemž jedna divadelní správa (správní jednotka) může řídit několik divadelních scén. Divadelní budovy a sály, které slouží oblastním divadlům jen jako scény zájezdové, se nezapočítávají.</w:t>
      </w:r>
    </w:p>
    <w:p w:rsidR="00772D4E" w:rsidRPr="004F073A" w:rsidRDefault="00772D4E" w:rsidP="00772D4E">
      <w:pPr>
        <w:rPr>
          <w:rFonts w:ascii="Arial" w:hAnsi="Arial" w:cs="Arial"/>
          <w:sz w:val="20"/>
          <w:szCs w:val="20"/>
        </w:rPr>
      </w:pPr>
    </w:p>
    <w:p w:rsidR="00772D4E" w:rsidRPr="004F073A" w:rsidRDefault="00772D4E" w:rsidP="00772D4E">
      <w:pPr>
        <w:rPr>
          <w:rFonts w:ascii="Arial" w:hAnsi="Arial" w:cs="Arial"/>
          <w:sz w:val="20"/>
          <w:szCs w:val="20"/>
        </w:rPr>
      </w:pPr>
    </w:p>
    <w:p w:rsidR="005D480F" w:rsidRPr="004F073A" w:rsidRDefault="005D480F" w:rsidP="00772D4E">
      <w:pPr>
        <w:rPr>
          <w:rFonts w:ascii="Arial" w:hAnsi="Arial" w:cs="Arial"/>
          <w:sz w:val="20"/>
          <w:szCs w:val="20"/>
        </w:rPr>
      </w:pPr>
      <w:r w:rsidRPr="004F073A">
        <w:rPr>
          <w:rFonts w:ascii="Arial" w:hAnsi="Arial" w:cs="Arial"/>
          <w:sz w:val="20"/>
          <w:szCs w:val="20"/>
        </w:rPr>
        <w:t xml:space="preserve">Tab. </w:t>
      </w:r>
      <w:r w:rsidR="00BC75A6">
        <w:rPr>
          <w:rFonts w:ascii="Arial" w:hAnsi="Arial" w:cs="Arial"/>
          <w:b/>
          <w:bCs/>
          <w:sz w:val="20"/>
          <w:szCs w:val="20"/>
        </w:rPr>
        <w:t>27</w:t>
      </w:r>
      <w:r w:rsidRPr="004F073A">
        <w:rPr>
          <w:rFonts w:ascii="Arial" w:hAnsi="Arial" w:cs="Arial"/>
          <w:sz w:val="20"/>
          <w:szCs w:val="20"/>
        </w:rPr>
        <w:t>-</w:t>
      </w:r>
      <w:r w:rsidR="00CC6715" w:rsidRPr="004F073A">
        <w:rPr>
          <w:rFonts w:ascii="Arial" w:hAnsi="Arial" w:cs="Arial"/>
          <w:sz w:val="20"/>
          <w:szCs w:val="20"/>
        </w:rPr>
        <w:t>4</w:t>
      </w:r>
      <w:r w:rsidRPr="004F073A">
        <w:rPr>
          <w:rFonts w:ascii="Arial" w:hAnsi="Arial" w:cs="Arial"/>
          <w:sz w:val="20"/>
          <w:szCs w:val="20"/>
        </w:rPr>
        <w:t>.</w:t>
      </w:r>
      <w:r w:rsidR="00486C58" w:rsidRPr="004F073A">
        <w:rPr>
          <w:rFonts w:ascii="Arial" w:hAnsi="Arial" w:cs="Arial"/>
          <w:sz w:val="20"/>
          <w:szCs w:val="20"/>
        </w:rPr>
        <w:t xml:space="preserve"> </w:t>
      </w:r>
      <w:r w:rsidR="00DC015B" w:rsidRPr="004F073A">
        <w:rPr>
          <w:rFonts w:ascii="Arial" w:hAnsi="Arial" w:cs="Arial"/>
          <w:sz w:val="20"/>
          <w:szCs w:val="20"/>
        </w:rPr>
        <w:t>a</w:t>
      </w:r>
      <w:r w:rsidR="00CC6715" w:rsidRPr="004F073A">
        <w:rPr>
          <w:rFonts w:ascii="Arial" w:hAnsi="Arial" w:cs="Arial"/>
          <w:sz w:val="20"/>
          <w:szCs w:val="20"/>
        </w:rPr>
        <w:t>ž</w:t>
      </w:r>
      <w:r w:rsidR="001E6407" w:rsidRPr="004F073A">
        <w:rPr>
          <w:rFonts w:ascii="Arial" w:hAnsi="Arial" w:cs="Arial"/>
          <w:sz w:val="20"/>
          <w:szCs w:val="20"/>
        </w:rPr>
        <w:t xml:space="preserve"> </w:t>
      </w:r>
      <w:r w:rsidR="00BC75A6">
        <w:rPr>
          <w:rFonts w:ascii="Arial" w:hAnsi="Arial" w:cs="Arial"/>
          <w:b/>
          <w:sz w:val="20"/>
          <w:szCs w:val="20"/>
        </w:rPr>
        <w:t>27</w:t>
      </w:r>
      <w:r w:rsidR="00DC015B" w:rsidRPr="004F073A">
        <w:rPr>
          <w:rFonts w:ascii="Arial" w:hAnsi="Arial" w:cs="Arial"/>
          <w:sz w:val="20"/>
          <w:szCs w:val="20"/>
        </w:rPr>
        <w:t>-</w:t>
      </w:r>
      <w:r w:rsidR="00CC6715" w:rsidRPr="004F073A">
        <w:rPr>
          <w:rFonts w:ascii="Arial" w:hAnsi="Arial" w:cs="Arial"/>
          <w:sz w:val="20"/>
          <w:szCs w:val="20"/>
        </w:rPr>
        <w:t>6</w:t>
      </w:r>
      <w:r w:rsidR="00573566" w:rsidRPr="004F073A">
        <w:rPr>
          <w:rFonts w:ascii="Arial" w:hAnsi="Arial" w:cs="Arial"/>
          <w:sz w:val="20"/>
          <w:szCs w:val="20"/>
        </w:rPr>
        <w:t>.</w:t>
      </w:r>
      <w:r w:rsidR="001E6407" w:rsidRPr="004F073A">
        <w:rPr>
          <w:rFonts w:ascii="Arial" w:hAnsi="Arial" w:cs="Arial"/>
          <w:sz w:val="20"/>
          <w:szCs w:val="20"/>
        </w:rPr>
        <w:t xml:space="preserve"> </w:t>
      </w:r>
      <w:r w:rsidR="00DC015B" w:rsidRPr="004F073A">
        <w:rPr>
          <w:rFonts w:ascii="Arial" w:hAnsi="Arial" w:cs="Arial"/>
          <w:b/>
          <w:sz w:val="20"/>
          <w:szCs w:val="20"/>
        </w:rPr>
        <w:t>Muzea</w:t>
      </w:r>
      <w:r w:rsidR="008E4A66" w:rsidRPr="004F073A">
        <w:rPr>
          <w:rFonts w:ascii="Arial" w:hAnsi="Arial" w:cs="Arial"/>
          <w:b/>
          <w:sz w:val="20"/>
          <w:szCs w:val="20"/>
        </w:rPr>
        <w:t>, památníky</w:t>
      </w:r>
      <w:r w:rsidR="00DC015B" w:rsidRPr="004F073A">
        <w:rPr>
          <w:rFonts w:ascii="Arial" w:hAnsi="Arial" w:cs="Arial"/>
          <w:b/>
          <w:sz w:val="20"/>
          <w:szCs w:val="20"/>
        </w:rPr>
        <w:t xml:space="preserve"> a galerie</w:t>
      </w:r>
    </w:p>
    <w:p w:rsidR="00DC015B" w:rsidRPr="004F073A" w:rsidRDefault="001E6407" w:rsidP="00772D4E">
      <w:pPr>
        <w:pStyle w:val="Zkladntextodsazen2"/>
        <w:widowControl w:val="0"/>
        <w:tabs>
          <w:tab w:val="clear" w:pos="708"/>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489"/>
          <w:tab w:val="clear" w:pos="11328"/>
          <w:tab w:val="clear" w:pos="12036"/>
          <w:tab w:val="clear" w:pos="12744"/>
          <w:tab w:val="left" w:pos="-1128"/>
          <w:tab w:val="left" w:pos="-720"/>
          <w:tab w:val="left" w:pos="487"/>
        </w:tabs>
        <w:suppressAutoHyphens w:val="0"/>
        <w:autoSpaceDE w:val="0"/>
        <w:autoSpaceDN w:val="0"/>
        <w:adjustRightInd w:val="0"/>
        <w:rPr>
          <w:rFonts w:cs="Arial"/>
          <w:szCs w:val="20"/>
        </w:rPr>
      </w:pPr>
      <w:r w:rsidRPr="004F073A">
        <w:rPr>
          <w:rFonts w:cs="Arial"/>
          <w:szCs w:val="20"/>
        </w:rPr>
        <w:t xml:space="preserve">Předmětem statistického zjišťování jsou muzea, </w:t>
      </w:r>
      <w:r w:rsidR="00CC6715" w:rsidRPr="004F073A">
        <w:rPr>
          <w:rFonts w:cs="Arial"/>
          <w:szCs w:val="20"/>
        </w:rPr>
        <w:t>galerie a památníky.</w:t>
      </w:r>
      <w:r w:rsidRPr="004F073A">
        <w:rPr>
          <w:rFonts w:cs="Arial"/>
          <w:szCs w:val="20"/>
        </w:rPr>
        <w:t xml:space="preserve"> Památníkem se </w:t>
      </w:r>
      <w:r w:rsidR="00DC015B" w:rsidRPr="004F073A">
        <w:rPr>
          <w:rFonts w:cs="Arial"/>
          <w:szCs w:val="20"/>
        </w:rPr>
        <w:t>rozumí místnost/objekt, kde je instalovaná expozice nebo výstava. Galerie (muzea výtvarných umění) jsou statisticky šetřeny jen ty, které vlastní sbírkové předměty, nikoliv galerie prodejní.</w:t>
      </w:r>
    </w:p>
    <w:p w:rsidR="00772D4E" w:rsidRPr="004F073A" w:rsidRDefault="00772D4E" w:rsidP="00772D4E">
      <w:pPr>
        <w:rPr>
          <w:rFonts w:ascii="Arial" w:hAnsi="Arial" w:cs="Arial"/>
          <w:sz w:val="20"/>
          <w:szCs w:val="20"/>
        </w:rPr>
      </w:pPr>
    </w:p>
    <w:p w:rsidR="00772D4E" w:rsidRPr="004F073A" w:rsidRDefault="00772D4E" w:rsidP="00772D4E">
      <w:pPr>
        <w:rPr>
          <w:rFonts w:ascii="Arial" w:hAnsi="Arial" w:cs="Arial"/>
          <w:sz w:val="20"/>
          <w:szCs w:val="20"/>
        </w:rPr>
      </w:pPr>
    </w:p>
    <w:p w:rsidR="005D480F" w:rsidRPr="004F073A" w:rsidRDefault="00DC015B" w:rsidP="00772D4E">
      <w:pPr>
        <w:rPr>
          <w:rFonts w:ascii="Arial" w:hAnsi="Arial" w:cs="Arial"/>
          <w:sz w:val="20"/>
          <w:szCs w:val="20"/>
        </w:rPr>
      </w:pPr>
      <w:r w:rsidRPr="004F073A">
        <w:rPr>
          <w:rFonts w:ascii="Arial" w:hAnsi="Arial" w:cs="Arial"/>
          <w:sz w:val="20"/>
          <w:szCs w:val="20"/>
        </w:rPr>
        <w:t xml:space="preserve">Tab. </w:t>
      </w:r>
      <w:r w:rsidR="00BC75A6">
        <w:rPr>
          <w:rFonts w:ascii="Arial" w:hAnsi="Arial" w:cs="Arial"/>
          <w:b/>
          <w:bCs/>
          <w:sz w:val="20"/>
          <w:szCs w:val="20"/>
        </w:rPr>
        <w:t>27</w:t>
      </w:r>
      <w:r w:rsidRPr="004F073A">
        <w:rPr>
          <w:rFonts w:ascii="Arial" w:hAnsi="Arial" w:cs="Arial"/>
          <w:sz w:val="20"/>
          <w:szCs w:val="20"/>
        </w:rPr>
        <w:t>-</w:t>
      </w:r>
      <w:r w:rsidR="00CC6715" w:rsidRPr="004F073A">
        <w:rPr>
          <w:rFonts w:ascii="Arial" w:hAnsi="Arial" w:cs="Arial"/>
          <w:sz w:val="20"/>
          <w:szCs w:val="20"/>
        </w:rPr>
        <w:t>7</w:t>
      </w:r>
      <w:r w:rsidRPr="004F073A">
        <w:rPr>
          <w:rFonts w:ascii="Arial" w:hAnsi="Arial" w:cs="Arial"/>
          <w:sz w:val="20"/>
          <w:szCs w:val="20"/>
        </w:rPr>
        <w:t>. a</w:t>
      </w:r>
      <w:r w:rsidR="00CC6715" w:rsidRPr="004F073A">
        <w:rPr>
          <w:rFonts w:ascii="Arial" w:hAnsi="Arial" w:cs="Arial"/>
          <w:sz w:val="20"/>
          <w:szCs w:val="20"/>
        </w:rPr>
        <w:t>ž</w:t>
      </w:r>
      <w:r w:rsidRPr="004F073A">
        <w:rPr>
          <w:rFonts w:ascii="Arial" w:hAnsi="Arial" w:cs="Arial"/>
          <w:sz w:val="20"/>
          <w:szCs w:val="20"/>
        </w:rPr>
        <w:t xml:space="preserve"> </w:t>
      </w:r>
      <w:r w:rsidR="00BC75A6">
        <w:rPr>
          <w:rFonts w:ascii="Arial" w:hAnsi="Arial" w:cs="Arial"/>
          <w:b/>
          <w:sz w:val="20"/>
          <w:szCs w:val="20"/>
        </w:rPr>
        <w:t>27</w:t>
      </w:r>
      <w:r w:rsidRPr="004F073A">
        <w:rPr>
          <w:rFonts w:ascii="Arial" w:hAnsi="Arial" w:cs="Arial"/>
          <w:sz w:val="20"/>
          <w:szCs w:val="20"/>
        </w:rPr>
        <w:t>-</w:t>
      </w:r>
      <w:r w:rsidR="00CC6715" w:rsidRPr="004F073A">
        <w:rPr>
          <w:rFonts w:ascii="Arial" w:hAnsi="Arial" w:cs="Arial"/>
          <w:sz w:val="20"/>
          <w:szCs w:val="20"/>
        </w:rPr>
        <w:t>9</w:t>
      </w:r>
      <w:r w:rsidRPr="004F073A">
        <w:rPr>
          <w:rFonts w:ascii="Arial" w:hAnsi="Arial" w:cs="Arial"/>
          <w:sz w:val="20"/>
          <w:szCs w:val="20"/>
        </w:rPr>
        <w:t xml:space="preserve">. </w:t>
      </w:r>
      <w:r w:rsidRPr="004F073A">
        <w:rPr>
          <w:rFonts w:ascii="Arial" w:hAnsi="Arial" w:cs="Arial"/>
          <w:b/>
          <w:sz w:val="20"/>
          <w:szCs w:val="20"/>
        </w:rPr>
        <w:t>Památkové objekty s kulturním využitím</w:t>
      </w:r>
    </w:p>
    <w:p w:rsidR="00DC015B" w:rsidRPr="004F073A" w:rsidRDefault="00DC015B" w:rsidP="00772D4E">
      <w:pPr>
        <w:pStyle w:val="Zkladntextodsazen2"/>
        <w:widowControl w:val="0"/>
        <w:tabs>
          <w:tab w:val="clear" w:pos="708"/>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489"/>
          <w:tab w:val="clear" w:pos="11328"/>
          <w:tab w:val="clear" w:pos="12036"/>
          <w:tab w:val="clear" w:pos="12744"/>
          <w:tab w:val="left" w:pos="-1128"/>
          <w:tab w:val="left" w:pos="-720"/>
          <w:tab w:val="left" w:pos="487"/>
        </w:tabs>
        <w:suppressAutoHyphens w:val="0"/>
        <w:autoSpaceDE w:val="0"/>
        <w:autoSpaceDN w:val="0"/>
        <w:adjustRightInd w:val="0"/>
        <w:rPr>
          <w:rFonts w:cs="Arial"/>
          <w:szCs w:val="20"/>
        </w:rPr>
      </w:pPr>
      <w:r w:rsidRPr="004F073A">
        <w:rPr>
          <w:rFonts w:cs="Arial"/>
          <w:szCs w:val="20"/>
        </w:rPr>
        <w:t>Údaje se týkají památkových objektů zpřístupněných návštěvníkům za vstupné. Patří sem hrady, zámky, kláštery, kostely, zříceniny, mlýny, věže apod. Památkové objekty, které jsou ve správě muzea nebo galerie, sem řazeny nejsou.</w:t>
      </w:r>
    </w:p>
    <w:p w:rsidR="00772D4E" w:rsidRPr="004F073A" w:rsidRDefault="00772D4E"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p>
    <w:p w:rsidR="00CC6715" w:rsidRPr="004F073A" w:rsidRDefault="00CC6715"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p>
    <w:p w:rsidR="00A00095" w:rsidRDefault="00FB0A30" w:rsidP="00545261">
      <w:pPr>
        <w:rPr>
          <w:rFonts w:ascii="Arial" w:hAnsi="Arial" w:cs="Arial"/>
          <w:sz w:val="20"/>
          <w:szCs w:val="20"/>
        </w:rPr>
      </w:pPr>
      <w:r w:rsidRPr="004F073A" w:rsidDel="00CC6715">
        <w:rPr>
          <w:rFonts w:ascii="Arial" w:hAnsi="Arial" w:cs="Arial"/>
          <w:sz w:val="20"/>
          <w:szCs w:val="20"/>
        </w:rPr>
        <w:t xml:space="preserve">Tab. </w:t>
      </w:r>
      <w:r w:rsidR="00BC75A6">
        <w:rPr>
          <w:rFonts w:ascii="Arial" w:hAnsi="Arial" w:cs="Arial"/>
          <w:b/>
          <w:bCs/>
          <w:sz w:val="20"/>
          <w:szCs w:val="20"/>
        </w:rPr>
        <w:t>27</w:t>
      </w:r>
      <w:r w:rsidRPr="004F073A" w:rsidDel="00CC6715">
        <w:rPr>
          <w:rFonts w:ascii="Arial" w:hAnsi="Arial" w:cs="Arial"/>
          <w:sz w:val="20"/>
          <w:szCs w:val="20"/>
        </w:rPr>
        <w:t>-1</w:t>
      </w:r>
      <w:r w:rsidRPr="004F073A">
        <w:rPr>
          <w:rFonts w:ascii="Arial" w:hAnsi="Arial" w:cs="Arial"/>
          <w:sz w:val="20"/>
          <w:szCs w:val="20"/>
        </w:rPr>
        <w:t>0</w:t>
      </w:r>
      <w:r w:rsidR="00AE6DF6" w:rsidRPr="004F073A">
        <w:rPr>
          <w:rFonts w:ascii="Arial" w:hAnsi="Arial" w:cs="Arial"/>
          <w:sz w:val="20"/>
          <w:szCs w:val="20"/>
        </w:rPr>
        <w:t>.</w:t>
      </w:r>
      <w:r w:rsidRPr="004F073A">
        <w:rPr>
          <w:rFonts w:ascii="Arial" w:hAnsi="Arial" w:cs="Arial"/>
          <w:sz w:val="20"/>
          <w:szCs w:val="20"/>
        </w:rPr>
        <w:t xml:space="preserve"> a </w:t>
      </w:r>
      <w:r w:rsidR="00BC75A6">
        <w:rPr>
          <w:rFonts w:ascii="Arial" w:hAnsi="Arial" w:cs="Arial"/>
          <w:b/>
          <w:sz w:val="20"/>
          <w:szCs w:val="20"/>
        </w:rPr>
        <w:t>27</w:t>
      </w:r>
      <w:r w:rsidRPr="004F073A">
        <w:rPr>
          <w:rFonts w:ascii="Arial" w:hAnsi="Arial" w:cs="Arial"/>
          <w:sz w:val="20"/>
          <w:szCs w:val="20"/>
        </w:rPr>
        <w:t>-11</w:t>
      </w:r>
      <w:r w:rsidRPr="004F073A" w:rsidDel="00CC6715">
        <w:rPr>
          <w:rFonts w:ascii="Arial" w:hAnsi="Arial" w:cs="Arial"/>
          <w:sz w:val="20"/>
          <w:szCs w:val="20"/>
        </w:rPr>
        <w:t xml:space="preserve">. </w:t>
      </w:r>
      <w:r w:rsidR="005C4177" w:rsidRPr="005C4177">
        <w:rPr>
          <w:rFonts w:ascii="Arial" w:hAnsi="Arial" w:cs="Arial"/>
          <w:b/>
          <w:sz w:val="20"/>
          <w:szCs w:val="20"/>
        </w:rPr>
        <w:t xml:space="preserve">Veřejné </w:t>
      </w:r>
      <w:r w:rsidR="00CA6B03">
        <w:rPr>
          <w:rFonts w:ascii="Arial" w:hAnsi="Arial" w:cs="Arial"/>
          <w:b/>
          <w:bCs/>
          <w:sz w:val="20"/>
          <w:szCs w:val="20"/>
        </w:rPr>
        <w:t>k</w:t>
      </w:r>
      <w:r w:rsidRPr="004F073A" w:rsidDel="00CC6715">
        <w:rPr>
          <w:rFonts w:ascii="Arial" w:hAnsi="Arial" w:cs="Arial"/>
          <w:b/>
          <w:bCs/>
          <w:sz w:val="20"/>
          <w:szCs w:val="20"/>
        </w:rPr>
        <w:t>nihovny</w:t>
      </w:r>
    </w:p>
    <w:p w:rsidR="007F5873" w:rsidRDefault="002554E6" w:rsidP="00495DB6">
      <w:pPr>
        <w:pStyle w:val="Zkladntextodsazen2"/>
        <w:rPr>
          <w:rFonts w:cs="Arial"/>
        </w:rPr>
      </w:pPr>
      <w:r>
        <w:rPr>
          <w:rFonts w:cs="Arial"/>
          <w:szCs w:val="20"/>
        </w:rPr>
        <w:t>Data u</w:t>
      </w:r>
      <w:r w:rsidR="00A932EA">
        <w:rPr>
          <w:rFonts w:cs="Arial"/>
          <w:szCs w:val="20"/>
        </w:rPr>
        <w:t xml:space="preserve">váděná </w:t>
      </w:r>
      <w:r w:rsidR="000D12C5">
        <w:rPr>
          <w:rFonts w:cs="Arial"/>
          <w:szCs w:val="20"/>
        </w:rPr>
        <w:t>v </w:t>
      </w:r>
      <w:r w:rsidR="00A836D1">
        <w:rPr>
          <w:rFonts w:cs="Arial"/>
          <w:szCs w:val="20"/>
        </w:rPr>
        <w:t>t</w:t>
      </w:r>
      <w:r w:rsidR="000D12C5">
        <w:rPr>
          <w:rFonts w:cs="Arial"/>
          <w:szCs w:val="20"/>
        </w:rPr>
        <w:t>ab</w:t>
      </w:r>
      <w:r w:rsidR="00A836D1">
        <w:rPr>
          <w:rFonts w:cs="Arial"/>
          <w:szCs w:val="20"/>
        </w:rPr>
        <w:t>ulce</w:t>
      </w:r>
      <w:r w:rsidR="000D12C5">
        <w:rPr>
          <w:rFonts w:cs="Arial"/>
          <w:szCs w:val="20"/>
        </w:rPr>
        <w:t xml:space="preserve"> </w:t>
      </w:r>
      <w:r w:rsidR="00BC75A6">
        <w:rPr>
          <w:rFonts w:cs="Arial"/>
          <w:b/>
          <w:szCs w:val="20"/>
        </w:rPr>
        <w:t>27</w:t>
      </w:r>
      <w:r w:rsidR="000D12C5">
        <w:rPr>
          <w:rFonts w:cs="Arial"/>
          <w:szCs w:val="20"/>
        </w:rPr>
        <w:t>-10</w:t>
      </w:r>
      <w:r w:rsidR="00A836D1">
        <w:rPr>
          <w:rFonts w:cs="Arial"/>
          <w:szCs w:val="20"/>
        </w:rPr>
        <w:t>.</w:t>
      </w:r>
      <w:r w:rsidR="00A932EA">
        <w:rPr>
          <w:rFonts w:cs="Arial"/>
          <w:szCs w:val="20"/>
        </w:rPr>
        <w:t xml:space="preserve"> zahrnují veřejné </w:t>
      </w:r>
      <w:r w:rsidR="00A932EA" w:rsidRPr="00BB0075">
        <w:rPr>
          <w:rFonts w:cs="Arial"/>
        </w:rPr>
        <w:t>knihovn</w:t>
      </w:r>
      <w:r w:rsidR="00A932EA">
        <w:rPr>
          <w:rFonts w:cs="Arial"/>
        </w:rPr>
        <w:t xml:space="preserve">y </w:t>
      </w:r>
      <w:r w:rsidR="005C2DA4">
        <w:rPr>
          <w:rFonts w:cs="Arial"/>
        </w:rPr>
        <w:t>zřízené</w:t>
      </w:r>
      <w:r w:rsidR="00A932EA">
        <w:rPr>
          <w:rFonts w:cs="Arial"/>
        </w:rPr>
        <w:t xml:space="preserve"> M</w:t>
      </w:r>
      <w:r w:rsidR="000D12C5">
        <w:rPr>
          <w:rFonts w:cs="Arial"/>
        </w:rPr>
        <w:t xml:space="preserve">inisterstvem </w:t>
      </w:r>
      <w:r w:rsidR="00A836D1">
        <w:rPr>
          <w:rFonts w:cs="Arial"/>
        </w:rPr>
        <w:t>k</w:t>
      </w:r>
      <w:r w:rsidR="000D12C5">
        <w:rPr>
          <w:rFonts w:cs="Arial"/>
        </w:rPr>
        <w:t>ultury</w:t>
      </w:r>
      <w:r w:rsidR="001800B2">
        <w:rPr>
          <w:rFonts w:cs="Arial"/>
        </w:rPr>
        <w:t>, kraji a </w:t>
      </w:r>
      <w:r w:rsidR="00A932EA">
        <w:rPr>
          <w:rFonts w:cs="Arial"/>
        </w:rPr>
        <w:t>obcemi</w:t>
      </w:r>
      <w:r w:rsidR="00B42E60">
        <w:rPr>
          <w:rFonts w:cs="Arial"/>
        </w:rPr>
        <w:t xml:space="preserve"> poskytující služby podle</w:t>
      </w:r>
      <w:r w:rsidR="00A932EA">
        <w:rPr>
          <w:rFonts w:cs="Arial"/>
        </w:rPr>
        <w:t xml:space="preserve"> zákona </w:t>
      </w:r>
      <w:r w:rsidR="00A932EA" w:rsidRPr="00BB0075">
        <w:rPr>
          <w:rFonts w:cs="Arial"/>
        </w:rPr>
        <w:t>č</w:t>
      </w:r>
      <w:r w:rsidR="001800B2">
        <w:rPr>
          <w:rFonts w:cs="Arial"/>
        </w:rPr>
        <w:t>. 257/2001 </w:t>
      </w:r>
      <w:r w:rsidR="00A932EA">
        <w:rPr>
          <w:rFonts w:cs="Arial"/>
        </w:rPr>
        <w:t>Sb.</w:t>
      </w:r>
      <w:r w:rsidR="001800B2">
        <w:rPr>
          <w:rFonts w:cs="Arial"/>
        </w:rPr>
        <w:t>, o knihovnách a </w:t>
      </w:r>
      <w:r>
        <w:rPr>
          <w:rFonts w:cs="Arial"/>
        </w:rPr>
        <w:t>podmínkách provoz</w:t>
      </w:r>
      <w:r w:rsidR="001800B2">
        <w:rPr>
          <w:rFonts w:cs="Arial"/>
        </w:rPr>
        <w:t xml:space="preserve">ování </w:t>
      </w:r>
      <w:r w:rsidR="001800B2">
        <w:rPr>
          <w:rFonts w:cs="Arial"/>
        </w:rPr>
        <w:lastRenderedPageBreak/>
        <w:t>veřejných knihovnických a </w:t>
      </w:r>
      <w:r>
        <w:rPr>
          <w:rFonts w:cs="Arial"/>
        </w:rPr>
        <w:t>informačních služeb (knihovní zákon),</w:t>
      </w:r>
      <w:r w:rsidR="00B51C9C">
        <w:rPr>
          <w:rFonts w:cs="Arial"/>
        </w:rPr>
        <w:t xml:space="preserve"> mimo specializované knihovny, </w:t>
      </w:r>
      <w:r w:rsidR="00A932EA" w:rsidRPr="00BB0075">
        <w:rPr>
          <w:rFonts w:cs="Arial"/>
        </w:rPr>
        <w:t>a</w:t>
      </w:r>
      <w:r w:rsidR="001800B2">
        <w:rPr>
          <w:rFonts w:cs="Arial"/>
        </w:rPr>
        <w:t> </w:t>
      </w:r>
      <w:r w:rsidR="00B51C9C">
        <w:rPr>
          <w:rFonts w:cs="Arial"/>
        </w:rPr>
        <w:t>zahrnují</w:t>
      </w:r>
      <w:r w:rsidR="00026D2E">
        <w:rPr>
          <w:rFonts w:cs="Arial"/>
        </w:rPr>
        <w:t xml:space="preserve"> také</w:t>
      </w:r>
      <w:r w:rsidR="00A932EA" w:rsidRPr="00BB0075">
        <w:rPr>
          <w:rFonts w:cs="Arial"/>
        </w:rPr>
        <w:t xml:space="preserve"> krajské vědecké knihovny.</w:t>
      </w:r>
    </w:p>
    <w:p w:rsidR="00A67C2F" w:rsidRPr="004F073A" w:rsidRDefault="00FB0A30" w:rsidP="00495DB6">
      <w:pPr>
        <w:pStyle w:val="Zkladntextodsazen2"/>
        <w:rPr>
          <w:rFonts w:cs="Arial"/>
          <w:szCs w:val="20"/>
        </w:rPr>
      </w:pPr>
      <w:r w:rsidRPr="004F073A">
        <w:rPr>
          <w:rFonts w:cs="Arial"/>
          <w:szCs w:val="20"/>
        </w:rPr>
        <w:t>Pobočka je lokálně vyčleněná část knihovny, kt</w:t>
      </w:r>
      <w:r w:rsidR="00495DB6" w:rsidRPr="004F073A">
        <w:rPr>
          <w:rFonts w:cs="Arial"/>
          <w:szCs w:val="20"/>
        </w:rPr>
        <w:t>erá je její organizační částí a </w:t>
      </w:r>
      <w:r w:rsidRPr="004F073A">
        <w:rPr>
          <w:rFonts w:cs="Arial"/>
          <w:szCs w:val="20"/>
        </w:rPr>
        <w:t>pracuje pod jejím přímým vedením.</w:t>
      </w:r>
    </w:p>
    <w:p w:rsidR="00CC6715" w:rsidRPr="004F073A" w:rsidRDefault="00CC6715"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p>
    <w:p w:rsidR="00CC6715" w:rsidRPr="004F073A" w:rsidRDefault="00CC6715"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p>
    <w:p w:rsidR="00CC6715" w:rsidRPr="004F073A" w:rsidRDefault="00CC6715" w:rsidP="00CC6715">
      <w:pPr>
        <w:pStyle w:val="Zkladntextodsazen2"/>
        <w:spacing w:before="0"/>
        <w:ind w:firstLine="0"/>
        <w:rPr>
          <w:rFonts w:cs="Arial"/>
          <w:szCs w:val="20"/>
        </w:rPr>
      </w:pPr>
      <w:r w:rsidRPr="004F073A">
        <w:rPr>
          <w:rFonts w:cs="Arial"/>
          <w:szCs w:val="20"/>
        </w:rPr>
        <w:t xml:space="preserve">Tab. </w:t>
      </w:r>
      <w:r w:rsidR="00BC75A6">
        <w:rPr>
          <w:rFonts w:cs="Arial"/>
          <w:b/>
          <w:szCs w:val="20"/>
        </w:rPr>
        <w:t>27</w:t>
      </w:r>
      <w:r w:rsidRPr="004F073A">
        <w:rPr>
          <w:rFonts w:cs="Arial"/>
          <w:szCs w:val="20"/>
        </w:rPr>
        <w:t xml:space="preserve">-12. </w:t>
      </w:r>
      <w:r w:rsidRPr="004F073A">
        <w:rPr>
          <w:rFonts w:cs="Arial"/>
          <w:b/>
          <w:szCs w:val="20"/>
        </w:rPr>
        <w:t>Zoologické a botanické zahrady, jeskyně</w:t>
      </w:r>
    </w:p>
    <w:p w:rsidR="005150B9" w:rsidRPr="004F073A" w:rsidRDefault="00CC6715" w:rsidP="005150B9">
      <w:pPr>
        <w:spacing w:before="120"/>
        <w:ind w:firstLine="709"/>
        <w:jc w:val="both"/>
        <w:rPr>
          <w:rFonts w:ascii="Arial" w:hAnsi="Arial" w:cs="Arial"/>
          <w:sz w:val="20"/>
          <w:szCs w:val="20"/>
        </w:rPr>
      </w:pPr>
      <w:r w:rsidRPr="004F073A">
        <w:rPr>
          <w:rFonts w:ascii="Arial" w:hAnsi="Arial" w:cs="Arial"/>
          <w:sz w:val="20"/>
          <w:szCs w:val="20"/>
        </w:rPr>
        <w:t>Tabulka obsahuje informace o zoologických a botanických zahradách a o jeskyních na území České republiky sdružených v zastřešujících organizacích. Započítávají se pouze subjekty, které jsou členy těchto organizací, a</w:t>
      </w:r>
      <w:r w:rsidR="00543D86">
        <w:rPr>
          <w:rFonts w:ascii="Arial" w:hAnsi="Arial" w:cs="Arial"/>
          <w:sz w:val="20"/>
          <w:szCs w:val="20"/>
        </w:rPr>
        <w:t> </w:t>
      </w:r>
      <w:r w:rsidRPr="004F073A">
        <w:rPr>
          <w:rFonts w:ascii="Arial" w:hAnsi="Arial" w:cs="Arial"/>
          <w:sz w:val="20"/>
          <w:szCs w:val="20"/>
        </w:rPr>
        <w:t>které poskytly data.</w:t>
      </w:r>
    </w:p>
    <w:p w:rsidR="00CC6715" w:rsidRPr="004F073A" w:rsidRDefault="00CC6715"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p>
    <w:p w:rsidR="00772D4E" w:rsidRPr="004F073A" w:rsidRDefault="00772D4E"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p>
    <w:p w:rsidR="00DC015B" w:rsidRPr="004F073A" w:rsidRDefault="00DC015B" w:rsidP="00772D4E">
      <w:pPr>
        <w:pStyle w:val="podraeny"/>
        <w:tabs>
          <w:tab w:val="clear" w:pos="283"/>
          <w:tab w:val="clear" w:pos="566"/>
          <w:tab w:val="clear" w:pos="720"/>
          <w:tab w:val="clear" w:pos="850"/>
          <w:tab w:val="clear" w:pos="1134"/>
          <w:tab w:val="clear" w:pos="1700"/>
          <w:tab w:val="clear" w:pos="1983"/>
          <w:tab w:val="clear" w:pos="2160"/>
          <w:tab w:val="clear" w:pos="2268"/>
          <w:tab w:val="clear" w:pos="2551"/>
          <w:tab w:val="clear" w:pos="2834"/>
          <w:tab w:val="clear" w:pos="2880"/>
          <w:tab w:val="clear" w:pos="3117"/>
          <w:tab w:val="clear" w:pos="3400"/>
          <w:tab w:val="clear" w:pos="3600"/>
          <w:tab w:val="left" w:pos="-1128"/>
          <w:tab w:val="left" w:pos="487"/>
        </w:tabs>
        <w:spacing w:after="0"/>
        <w:rPr>
          <w:rFonts w:ascii="Arial" w:hAnsi="Arial" w:cs="Arial"/>
          <w:szCs w:val="20"/>
        </w:rPr>
      </w:pPr>
      <w:r w:rsidRPr="004F073A">
        <w:rPr>
          <w:rFonts w:ascii="Arial" w:hAnsi="Arial" w:cs="Arial"/>
          <w:szCs w:val="20"/>
        </w:rPr>
        <w:t xml:space="preserve">Tab. </w:t>
      </w:r>
      <w:r w:rsidR="00BC75A6">
        <w:rPr>
          <w:rFonts w:ascii="Arial" w:hAnsi="Arial" w:cs="Arial"/>
          <w:b/>
          <w:szCs w:val="20"/>
        </w:rPr>
        <w:t>27</w:t>
      </w:r>
      <w:r w:rsidRPr="004F073A">
        <w:rPr>
          <w:rFonts w:ascii="Arial" w:hAnsi="Arial" w:cs="Arial"/>
          <w:szCs w:val="20"/>
        </w:rPr>
        <w:t>-</w:t>
      </w:r>
      <w:r w:rsidR="00CC6715" w:rsidRPr="004F073A">
        <w:rPr>
          <w:rFonts w:ascii="Arial" w:hAnsi="Arial" w:cs="Arial"/>
          <w:szCs w:val="20"/>
        </w:rPr>
        <w:t>13</w:t>
      </w:r>
      <w:r w:rsidRPr="004F073A">
        <w:rPr>
          <w:rFonts w:ascii="Arial" w:hAnsi="Arial" w:cs="Arial"/>
          <w:szCs w:val="20"/>
        </w:rPr>
        <w:t xml:space="preserve">. </w:t>
      </w:r>
      <w:r w:rsidRPr="004F073A">
        <w:rPr>
          <w:rFonts w:ascii="Arial" w:hAnsi="Arial" w:cs="Arial"/>
          <w:b/>
          <w:szCs w:val="20"/>
        </w:rPr>
        <w:t>Zvukové nahrávky</w:t>
      </w:r>
    </w:p>
    <w:p w:rsidR="00DC015B" w:rsidRPr="004F073A" w:rsidRDefault="00DC015B" w:rsidP="00772D4E">
      <w:pPr>
        <w:pStyle w:val="Zkladntextodsazen2"/>
        <w:widowControl w:val="0"/>
        <w:tabs>
          <w:tab w:val="clear" w:pos="708"/>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489"/>
          <w:tab w:val="clear" w:pos="11328"/>
          <w:tab w:val="clear" w:pos="12036"/>
          <w:tab w:val="clear" w:pos="12744"/>
          <w:tab w:val="left" w:pos="-1128"/>
          <w:tab w:val="left" w:pos="-720"/>
          <w:tab w:val="left" w:pos="487"/>
        </w:tabs>
        <w:suppressAutoHyphens w:val="0"/>
        <w:autoSpaceDE w:val="0"/>
        <w:autoSpaceDN w:val="0"/>
        <w:adjustRightInd w:val="0"/>
        <w:rPr>
          <w:rFonts w:cs="Arial"/>
          <w:szCs w:val="20"/>
        </w:rPr>
      </w:pPr>
      <w:r w:rsidRPr="004F073A">
        <w:rPr>
          <w:rFonts w:cs="Arial"/>
          <w:szCs w:val="20"/>
        </w:rPr>
        <w:t>Prodané digitální nahrávky nelze sledovat v</w:t>
      </w:r>
      <w:r w:rsidR="004B57B8" w:rsidRPr="004F073A">
        <w:rPr>
          <w:rFonts w:cs="Arial"/>
          <w:szCs w:val="20"/>
        </w:rPr>
        <w:t> počtech prodaných kusů</w:t>
      </w:r>
      <w:r w:rsidRPr="004F073A">
        <w:rPr>
          <w:rFonts w:cs="Arial"/>
          <w:szCs w:val="20"/>
        </w:rPr>
        <w:t>, proto jsou sledovány pouze celkové tržby z</w:t>
      </w:r>
      <w:r w:rsidR="00543D86">
        <w:rPr>
          <w:rFonts w:cs="Arial"/>
          <w:szCs w:val="20"/>
        </w:rPr>
        <w:t> </w:t>
      </w:r>
      <w:r w:rsidRPr="004F073A">
        <w:rPr>
          <w:rFonts w:cs="Arial"/>
          <w:szCs w:val="20"/>
        </w:rPr>
        <w:t>prodeje digitálních nahrávek.</w:t>
      </w:r>
    </w:p>
    <w:p w:rsidR="00772D4E" w:rsidRPr="004F073A" w:rsidRDefault="00772D4E" w:rsidP="00772D4E">
      <w:pPr>
        <w:rPr>
          <w:rFonts w:ascii="Arial" w:hAnsi="Arial" w:cs="Arial"/>
          <w:sz w:val="20"/>
          <w:szCs w:val="20"/>
        </w:rPr>
      </w:pPr>
    </w:p>
    <w:p w:rsidR="00772D4E" w:rsidRPr="004F073A" w:rsidRDefault="00772D4E" w:rsidP="00772D4E">
      <w:pPr>
        <w:rPr>
          <w:rFonts w:ascii="Arial" w:hAnsi="Arial" w:cs="Arial"/>
          <w:sz w:val="20"/>
          <w:szCs w:val="20"/>
        </w:rPr>
      </w:pPr>
    </w:p>
    <w:p w:rsidR="001E6407" w:rsidRPr="004F073A" w:rsidRDefault="00DC015B" w:rsidP="00772D4E">
      <w:pPr>
        <w:rPr>
          <w:rFonts w:ascii="Arial" w:hAnsi="Arial" w:cs="Arial"/>
          <w:bCs/>
          <w:sz w:val="20"/>
          <w:szCs w:val="20"/>
        </w:rPr>
      </w:pPr>
      <w:r w:rsidRPr="004F073A">
        <w:rPr>
          <w:rFonts w:ascii="Arial" w:hAnsi="Arial" w:cs="Arial"/>
          <w:sz w:val="20"/>
          <w:szCs w:val="20"/>
        </w:rPr>
        <w:t xml:space="preserve">Tab. </w:t>
      </w:r>
      <w:r w:rsidR="00BC75A6">
        <w:rPr>
          <w:rFonts w:ascii="Arial" w:hAnsi="Arial" w:cs="Arial"/>
          <w:b/>
          <w:bCs/>
          <w:sz w:val="20"/>
          <w:szCs w:val="20"/>
        </w:rPr>
        <w:t>27</w:t>
      </w:r>
      <w:r w:rsidRPr="004F073A">
        <w:rPr>
          <w:rFonts w:ascii="Arial" w:hAnsi="Arial" w:cs="Arial"/>
          <w:sz w:val="20"/>
          <w:szCs w:val="20"/>
        </w:rPr>
        <w:t>-</w:t>
      </w:r>
      <w:r w:rsidR="00CC6715" w:rsidRPr="004F073A">
        <w:rPr>
          <w:rFonts w:ascii="Arial" w:hAnsi="Arial" w:cs="Arial"/>
          <w:sz w:val="20"/>
          <w:szCs w:val="20"/>
        </w:rPr>
        <w:t>15</w:t>
      </w:r>
      <w:r w:rsidRPr="004F073A">
        <w:rPr>
          <w:rFonts w:ascii="Arial" w:hAnsi="Arial" w:cs="Arial"/>
          <w:sz w:val="20"/>
          <w:szCs w:val="20"/>
        </w:rPr>
        <w:t xml:space="preserve">. až </w:t>
      </w:r>
      <w:r w:rsidR="00BC75A6">
        <w:rPr>
          <w:rFonts w:ascii="Arial" w:hAnsi="Arial" w:cs="Arial"/>
          <w:b/>
          <w:bCs/>
          <w:sz w:val="20"/>
          <w:szCs w:val="20"/>
        </w:rPr>
        <w:t>27</w:t>
      </w:r>
      <w:r w:rsidRPr="004F073A">
        <w:rPr>
          <w:rFonts w:ascii="Arial" w:hAnsi="Arial" w:cs="Arial"/>
          <w:sz w:val="20"/>
          <w:szCs w:val="20"/>
        </w:rPr>
        <w:t>-</w:t>
      </w:r>
      <w:r w:rsidR="00CC6715" w:rsidRPr="004F073A">
        <w:rPr>
          <w:rFonts w:ascii="Arial" w:hAnsi="Arial" w:cs="Arial"/>
          <w:sz w:val="20"/>
          <w:szCs w:val="20"/>
        </w:rPr>
        <w:t>20</w:t>
      </w:r>
      <w:r w:rsidRPr="004F073A">
        <w:rPr>
          <w:rFonts w:ascii="Arial" w:hAnsi="Arial" w:cs="Arial"/>
          <w:sz w:val="20"/>
          <w:szCs w:val="20"/>
        </w:rPr>
        <w:t xml:space="preserve">. </w:t>
      </w:r>
      <w:r w:rsidRPr="004F073A">
        <w:rPr>
          <w:rFonts w:ascii="Arial" w:hAnsi="Arial" w:cs="Arial"/>
          <w:b/>
          <w:sz w:val="20"/>
          <w:szCs w:val="20"/>
        </w:rPr>
        <w:t xml:space="preserve">Rozhlasové a </w:t>
      </w:r>
      <w:r w:rsidRPr="004F073A">
        <w:rPr>
          <w:rFonts w:ascii="Arial" w:hAnsi="Arial" w:cs="Arial"/>
          <w:b/>
          <w:bCs/>
          <w:sz w:val="20"/>
          <w:szCs w:val="20"/>
        </w:rPr>
        <w:t>televizní vysílání a jejich provozovatelé</w:t>
      </w:r>
    </w:p>
    <w:p w:rsidR="00DC015B" w:rsidRDefault="00DC015B" w:rsidP="00746E4F">
      <w:pPr>
        <w:pStyle w:val="Zkladntextodsazen2"/>
        <w:tabs>
          <w:tab w:val="clear" w:pos="708"/>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912"/>
          <w:tab w:val="clear" w:pos="10489"/>
          <w:tab w:val="clear" w:pos="11328"/>
          <w:tab w:val="clear" w:pos="12036"/>
          <w:tab w:val="clear" w:pos="12744"/>
          <w:tab w:val="left" w:pos="-1128"/>
          <w:tab w:val="left" w:pos="-720"/>
          <w:tab w:val="left" w:pos="487"/>
        </w:tabs>
        <w:suppressAutoHyphens w:val="0"/>
        <w:autoSpaceDE w:val="0"/>
        <w:autoSpaceDN w:val="0"/>
        <w:adjustRightInd w:val="0"/>
        <w:rPr>
          <w:rFonts w:cs="Arial"/>
          <w:szCs w:val="20"/>
        </w:rPr>
      </w:pPr>
      <w:r w:rsidRPr="004F073A">
        <w:rPr>
          <w:rFonts w:cs="Arial"/>
          <w:szCs w:val="20"/>
        </w:rPr>
        <w:t>Údaje o počtu licencí k provozování rozhlasového, resp. televizního vysílání jsou poskytovány Radou pro rozhlasové a televizní vysílání. Jde o libovolnou formu přenosu – pozemní, kabelové i satelitní vysílání. Struktura rozhlasového a televizního vysílání j</w:t>
      </w:r>
      <w:r w:rsidR="009939AB">
        <w:rPr>
          <w:rFonts w:cs="Arial"/>
          <w:szCs w:val="20"/>
        </w:rPr>
        <w:t>e</w:t>
      </w:r>
      <w:r w:rsidRPr="004F073A">
        <w:rPr>
          <w:rFonts w:cs="Arial"/>
          <w:szCs w:val="20"/>
        </w:rPr>
        <w:t xml:space="preserve"> zjišťován</w:t>
      </w:r>
      <w:r w:rsidR="009939AB">
        <w:rPr>
          <w:rFonts w:cs="Arial"/>
          <w:szCs w:val="20"/>
        </w:rPr>
        <w:t>a</w:t>
      </w:r>
      <w:r w:rsidRPr="004F073A">
        <w:rPr>
          <w:rFonts w:cs="Arial"/>
          <w:szCs w:val="20"/>
        </w:rPr>
        <w:t xml:space="preserve"> prostřednictvím ročních statistických výkazů</w:t>
      </w:r>
      <w:r w:rsidR="00746E4F" w:rsidRPr="004F073A">
        <w:rPr>
          <w:rFonts w:cs="Arial"/>
          <w:szCs w:val="20"/>
        </w:rPr>
        <w:t>.</w:t>
      </w:r>
    </w:p>
    <w:p w:rsidR="00772D4E" w:rsidRPr="004F073A" w:rsidRDefault="00772D4E" w:rsidP="00772D4E">
      <w:pPr>
        <w:rPr>
          <w:rFonts w:ascii="Arial" w:hAnsi="Arial" w:cs="Arial"/>
          <w:sz w:val="20"/>
          <w:szCs w:val="20"/>
        </w:rPr>
      </w:pPr>
    </w:p>
    <w:p w:rsidR="00CC6715" w:rsidRPr="004F073A" w:rsidRDefault="00CC6715" w:rsidP="00772D4E">
      <w:pPr>
        <w:rPr>
          <w:rFonts w:ascii="Arial" w:hAnsi="Arial" w:cs="Arial"/>
          <w:sz w:val="20"/>
          <w:szCs w:val="20"/>
        </w:rPr>
      </w:pPr>
    </w:p>
    <w:p w:rsidR="00CC6715" w:rsidRPr="004F073A" w:rsidRDefault="00CC6715" w:rsidP="00CC6715">
      <w:pPr>
        <w:rPr>
          <w:rFonts w:ascii="Arial" w:hAnsi="Arial" w:cs="Arial"/>
          <w:sz w:val="20"/>
          <w:szCs w:val="20"/>
        </w:rPr>
      </w:pPr>
      <w:r w:rsidRPr="004F073A">
        <w:rPr>
          <w:rFonts w:ascii="Arial" w:hAnsi="Arial" w:cs="Arial"/>
          <w:sz w:val="20"/>
          <w:szCs w:val="20"/>
        </w:rPr>
        <w:t xml:space="preserve">Tab. </w:t>
      </w:r>
      <w:r w:rsidR="00BC75A6">
        <w:rPr>
          <w:rFonts w:ascii="Arial" w:hAnsi="Arial" w:cs="Arial"/>
          <w:b/>
          <w:sz w:val="20"/>
          <w:szCs w:val="20"/>
        </w:rPr>
        <w:t>27</w:t>
      </w:r>
      <w:r w:rsidRPr="004F073A">
        <w:rPr>
          <w:rFonts w:ascii="Arial" w:hAnsi="Arial" w:cs="Arial"/>
          <w:sz w:val="20"/>
          <w:szCs w:val="20"/>
        </w:rPr>
        <w:t xml:space="preserve">-22. a </w:t>
      </w:r>
      <w:r w:rsidR="00BC75A6">
        <w:rPr>
          <w:rFonts w:ascii="Arial" w:hAnsi="Arial" w:cs="Arial"/>
          <w:b/>
          <w:sz w:val="20"/>
          <w:szCs w:val="20"/>
        </w:rPr>
        <w:t>27</w:t>
      </w:r>
      <w:r w:rsidRPr="004F073A">
        <w:rPr>
          <w:rFonts w:ascii="Arial" w:hAnsi="Arial" w:cs="Arial"/>
          <w:sz w:val="20"/>
          <w:szCs w:val="20"/>
        </w:rPr>
        <w:t xml:space="preserve">-23. </w:t>
      </w:r>
      <w:r w:rsidRPr="004F073A">
        <w:rPr>
          <w:rFonts w:ascii="Arial" w:hAnsi="Arial" w:cs="Arial"/>
          <w:b/>
          <w:sz w:val="20"/>
          <w:szCs w:val="20"/>
        </w:rPr>
        <w:t>Festivaly</w:t>
      </w:r>
    </w:p>
    <w:p w:rsidR="005150B9" w:rsidRPr="004F073A" w:rsidRDefault="005150B9" w:rsidP="00495DB6">
      <w:pPr>
        <w:spacing w:before="120"/>
        <w:ind w:firstLine="709"/>
        <w:jc w:val="both"/>
        <w:rPr>
          <w:rFonts w:ascii="Arial" w:hAnsi="Arial" w:cs="Arial"/>
          <w:sz w:val="20"/>
          <w:szCs w:val="20"/>
        </w:rPr>
      </w:pPr>
      <w:r w:rsidRPr="004F073A">
        <w:rPr>
          <w:rFonts w:ascii="Arial" w:hAnsi="Arial" w:cs="Arial"/>
          <w:sz w:val="20"/>
          <w:szCs w:val="20"/>
        </w:rPr>
        <w:t xml:space="preserve">Prezentovány jsou údaje o uměleckých (divadelních, </w:t>
      </w:r>
      <w:r w:rsidR="0099073F" w:rsidRPr="004F073A">
        <w:rPr>
          <w:rFonts w:ascii="Arial" w:hAnsi="Arial" w:cs="Arial"/>
          <w:sz w:val="20"/>
          <w:szCs w:val="20"/>
        </w:rPr>
        <w:t>tanečních, hudebních a f</w:t>
      </w:r>
      <w:r w:rsidRPr="004F073A">
        <w:rPr>
          <w:rFonts w:ascii="Arial" w:hAnsi="Arial" w:cs="Arial"/>
          <w:sz w:val="20"/>
          <w:szCs w:val="20"/>
        </w:rPr>
        <w:t>ilmových) festivalech, které jsou pořádány každoročně bez ohledu na délku trvání, tradici či na míru profesionality vystupujících umělců.</w:t>
      </w:r>
    </w:p>
    <w:p w:rsidR="00CC6715" w:rsidRPr="004F073A" w:rsidRDefault="00CC6715" w:rsidP="00772D4E">
      <w:pPr>
        <w:rPr>
          <w:rFonts w:ascii="Arial" w:hAnsi="Arial" w:cs="Arial"/>
          <w:sz w:val="20"/>
          <w:szCs w:val="20"/>
        </w:rPr>
      </w:pPr>
    </w:p>
    <w:p w:rsidR="00772D4E" w:rsidRPr="004F073A" w:rsidRDefault="00772D4E" w:rsidP="00772D4E">
      <w:pPr>
        <w:rPr>
          <w:rFonts w:ascii="Arial" w:hAnsi="Arial" w:cs="Arial"/>
          <w:sz w:val="20"/>
          <w:szCs w:val="20"/>
        </w:rPr>
      </w:pPr>
    </w:p>
    <w:p w:rsidR="001E6407" w:rsidRPr="004F073A" w:rsidRDefault="00DC015B" w:rsidP="00772D4E">
      <w:pPr>
        <w:rPr>
          <w:rFonts w:ascii="Arial" w:hAnsi="Arial" w:cs="Arial"/>
          <w:bCs/>
          <w:sz w:val="20"/>
          <w:szCs w:val="20"/>
        </w:rPr>
      </w:pPr>
      <w:r w:rsidRPr="004F073A">
        <w:rPr>
          <w:rFonts w:ascii="Arial" w:hAnsi="Arial" w:cs="Arial"/>
          <w:sz w:val="20"/>
          <w:szCs w:val="20"/>
        </w:rPr>
        <w:t xml:space="preserve">Tab. </w:t>
      </w:r>
      <w:r w:rsidR="00BC75A6">
        <w:rPr>
          <w:rFonts w:ascii="Arial" w:hAnsi="Arial" w:cs="Arial"/>
          <w:b/>
          <w:bCs/>
          <w:sz w:val="20"/>
          <w:szCs w:val="20"/>
        </w:rPr>
        <w:t>27</w:t>
      </w:r>
      <w:r w:rsidRPr="004F073A">
        <w:rPr>
          <w:rFonts w:ascii="Arial" w:hAnsi="Arial" w:cs="Arial"/>
          <w:sz w:val="20"/>
          <w:szCs w:val="20"/>
        </w:rPr>
        <w:t>-</w:t>
      </w:r>
      <w:r w:rsidR="00CC6715" w:rsidRPr="004F073A">
        <w:rPr>
          <w:rFonts w:ascii="Arial" w:hAnsi="Arial" w:cs="Arial"/>
          <w:sz w:val="20"/>
          <w:szCs w:val="20"/>
        </w:rPr>
        <w:t>24</w:t>
      </w:r>
      <w:r w:rsidRPr="004F073A">
        <w:rPr>
          <w:rFonts w:ascii="Arial" w:hAnsi="Arial" w:cs="Arial"/>
          <w:sz w:val="20"/>
          <w:szCs w:val="20"/>
        </w:rPr>
        <w:t xml:space="preserve">. a </w:t>
      </w:r>
      <w:r w:rsidR="00BC75A6">
        <w:rPr>
          <w:rFonts w:ascii="Arial" w:hAnsi="Arial" w:cs="Arial"/>
          <w:b/>
          <w:sz w:val="20"/>
          <w:szCs w:val="20"/>
        </w:rPr>
        <w:t>27</w:t>
      </w:r>
      <w:r w:rsidRPr="004F073A">
        <w:rPr>
          <w:rFonts w:ascii="Arial" w:hAnsi="Arial" w:cs="Arial"/>
          <w:sz w:val="20"/>
          <w:szCs w:val="20"/>
        </w:rPr>
        <w:t>-</w:t>
      </w:r>
      <w:r w:rsidR="00CC6715" w:rsidRPr="004F073A">
        <w:rPr>
          <w:rFonts w:ascii="Arial" w:hAnsi="Arial" w:cs="Arial"/>
          <w:sz w:val="20"/>
          <w:szCs w:val="20"/>
        </w:rPr>
        <w:t>26</w:t>
      </w:r>
      <w:r w:rsidRPr="004F073A">
        <w:rPr>
          <w:rFonts w:ascii="Arial" w:hAnsi="Arial" w:cs="Arial"/>
          <w:sz w:val="20"/>
          <w:szCs w:val="20"/>
        </w:rPr>
        <w:t xml:space="preserve">. </w:t>
      </w:r>
      <w:r w:rsidRPr="004F073A">
        <w:rPr>
          <w:rFonts w:ascii="Arial" w:hAnsi="Arial" w:cs="Arial"/>
          <w:b/>
          <w:bCs/>
          <w:sz w:val="20"/>
          <w:szCs w:val="20"/>
        </w:rPr>
        <w:t>Noviny</w:t>
      </w:r>
      <w:r w:rsidR="003850EF" w:rsidRPr="004F073A">
        <w:rPr>
          <w:rFonts w:ascii="Arial" w:hAnsi="Arial" w:cs="Arial"/>
          <w:b/>
          <w:bCs/>
          <w:sz w:val="20"/>
          <w:szCs w:val="20"/>
        </w:rPr>
        <w:t>,</w:t>
      </w:r>
      <w:r w:rsidRPr="004F073A">
        <w:rPr>
          <w:rFonts w:ascii="Arial" w:hAnsi="Arial" w:cs="Arial"/>
          <w:b/>
          <w:bCs/>
          <w:sz w:val="20"/>
          <w:szCs w:val="20"/>
        </w:rPr>
        <w:t xml:space="preserve"> časopisy a </w:t>
      </w:r>
      <w:r w:rsidR="003850EF" w:rsidRPr="004F073A">
        <w:rPr>
          <w:rFonts w:ascii="Arial" w:hAnsi="Arial" w:cs="Arial"/>
          <w:b/>
          <w:bCs/>
          <w:sz w:val="20"/>
          <w:szCs w:val="20"/>
        </w:rPr>
        <w:t>k</w:t>
      </w:r>
      <w:r w:rsidRPr="004F073A">
        <w:rPr>
          <w:rFonts w:ascii="Arial" w:hAnsi="Arial" w:cs="Arial"/>
          <w:b/>
          <w:bCs/>
          <w:sz w:val="20"/>
          <w:szCs w:val="20"/>
        </w:rPr>
        <w:t>nihy</w:t>
      </w:r>
    </w:p>
    <w:p w:rsidR="00353526" w:rsidRPr="004F073A" w:rsidRDefault="00DC015B" w:rsidP="00BF6BFF">
      <w:pPr>
        <w:spacing w:before="120"/>
        <w:ind w:firstLine="709"/>
        <w:jc w:val="both"/>
        <w:rPr>
          <w:rFonts w:ascii="Arial" w:hAnsi="Arial" w:cs="Arial"/>
          <w:sz w:val="20"/>
          <w:szCs w:val="20"/>
        </w:rPr>
      </w:pPr>
      <w:r w:rsidRPr="004F073A">
        <w:rPr>
          <w:rFonts w:ascii="Arial" w:hAnsi="Arial" w:cs="Arial"/>
          <w:sz w:val="20"/>
          <w:szCs w:val="20"/>
        </w:rPr>
        <w:t xml:space="preserve">Údaje jsou zjišťovány na základě došlých povinných výtisků do Národní knihovny </w:t>
      </w:r>
      <w:r w:rsidR="00BF6BFF" w:rsidRPr="004F073A">
        <w:rPr>
          <w:rFonts w:ascii="Arial" w:hAnsi="Arial" w:cs="Arial"/>
          <w:sz w:val="20"/>
          <w:szCs w:val="20"/>
        </w:rPr>
        <w:t>Č</w:t>
      </w:r>
      <w:r w:rsidR="0099073F" w:rsidRPr="004F073A">
        <w:rPr>
          <w:rFonts w:ascii="Arial" w:hAnsi="Arial" w:cs="Arial"/>
          <w:sz w:val="20"/>
          <w:szCs w:val="20"/>
        </w:rPr>
        <w:t>eské republiky</w:t>
      </w:r>
      <w:r w:rsidRPr="004F073A">
        <w:rPr>
          <w:rFonts w:ascii="Arial" w:hAnsi="Arial" w:cs="Arial"/>
          <w:sz w:val="20"/>
          <w:szCs w:val="20"/>
        </w:rPr>
        <w:t>.</w:t>
      </w:r>
    </w:p>
    <w:p w:rsidR="005150B9" w:rsidRPr="004F073A" w:rsidRDefault="005150B9" w:rsidP="005150B9">
      <w:pPr>
        <w:rPr>
          <w:rFonts w:ascii="Arial" w:hAnsi="Arial" w:cs="Arial"/>
          <w:sz w:val="20"/>
          <w:szCs w:val="20"/>
        </w:rPr>
      </w:pPr>
    </w:p>
    <w:p w:rsidR="005150B9" w:rsidRPr="004F073A" w:rsidRDefault="005150B9" w:rsidP="005150B9">
      <w:pPr>
        <w:rPr>
          <w:rFonts w:ascii="Arial" w:hAnsi="Arial" w:cs="Arial"/>
          <w:sz w:val="20"/>
          <w:szCs w:val="20"/>
        </w:rPr>
      </w:pPr>
    </w:p>
    <w:p w:rsidR="00353526" w:rsidRPr="004F073A" w:rsidRDefault="00353526" w:rsidP="00A10F52">
      <w:pPr>
        <w:ind w:left="709" w:hanging="709"/>
        <w:rPr>
          <w:rFonts w:ascii="Arial" w:hAnsi="Arial" w:cs="Arial"/>
          <w:bCs/>
          <w:sz w:val="20"/>
          <w:szCs w:val="20"/>
        </w:rPr>
      </w:pPr>
      <w:r w:rsidRPr="004F073A">
        <w:rPr>
          <w:rFonts w:ascii="Arial" w:hAnsi="Arial" w:cs="Arial"/>
          <w:sz w:val="20"/>
          <w:szCs w:val="20"/>
        </w:rPr>
        <w:t xml:space="preserve">Tab. </w:t>
      </w:r>
      <w:r w:rsidR="00BC75A6">
        <w:rPr>
          <w:rFonts w:ascii="Arial" w:hAnsi="Arial" w:cs="Arial"/>
          <w:b/>
          <w:bCs/>
          <w:sz w:val="20"/>
          <w:szCs w:val="20"/>
        </w:rPr>
        <w:t>27</w:t>
      </w:r>
      <w:r w:rsidRPr="004F073A">
        <w:rPr>
          <w:rFonts w:ascii="Arial" w:hAnsi="Arial" w:cs="Arial"/>
          <w:sz w:val="20"/>
          <w:szCs w:val="20"/>
        </w:rPr>
        <w:t xml:space="preserve">-25. a </w:t>
      </w:r>
      <w:r w:rsidR="00BC75A6">
        <w:rPr>
          <w:rFonts w:ascii="Arial" w:hAnsi="Arial" w:cs="Arial"/>
          <w:b/>
          <w:sz w:val="20"/>
          <w:szCs w:val="20"/>
        </w:rPr>
        <w:t>27</w:t>
      </w:r>
      <w:r w:rsidRPr="004F073A">
        <w:rPr>
          <w:rFonts w:ascii="Arial" w:hAnsi="Arial" w:cs="Arial"/>
          <w:sz w:val="20"/>
          <w:szCs w:val="20"/>
        </w:rPr>
        <w:t xml:space="preserve">-27. </w:t>
      </w:r>
      <w:r w:rsidR="00BA3836" w:rsidRPr="004F073A">
        <w:rPr>
          <w:rFonts w:ascii="Arial" w:hAnsi="Arial" w:cs="Arial"/>
          <w:b/>
          <w:bCs/>
          <w:sz w:val="20"/>
          <w:szCs w:val="20"/>
        </w:rPr>
        <w:t xml:space="preserve">Vydávání </w:t>
      </w:r>
      <w:r w:rsidR="00153E42">
        <w:rPr>
          <w:rFonts w:ascii="Arial" w:hAnsi="Arial" w:cs="Arial"/>
          <w:b/>
          <w:bCs/>
          <w:sz w:val="20"/>
          <w:szCs w:val="20"/>
        </w:rPr>
        <w:t xml:space="preserve">novin, časopisů a knih </w:t>
      </w:r>
      <w:r w:rsidRPr="004F073A">
        <w:rPr>
          <w:rFonts w:ascii="Arial" w:hAnsi="Arial" w:cs="Arial"/>
          <w:b/>
          <w:bCs/>
          <w:sz w:val="20"/>
          <w:szCs w:val="20"/>
        </w:rPr>
        <w:t>a maloobchod s periodickým a</w:t>
      </w:r>
      <w:r w:rsidR="00A10F52">
        <w:rPr>
          <w:rFonts w:ascii="Arial" w:hAnsi="Arial" w:cs="Arial"/>
          <w:b/>
          <w:bCs/>
          <w:sz w:val="20"/>
          <w:szCs w:val="20"/>
        </w:rPr>
        <w:t> </w:t>
      </w:r>
      <w:r w:rsidRPr="004F073A">
        <w:rPr>
          <w:rFonts w:ascii="Arial" w:hAnsi="Arial" w:cs="Arial"/>
          <w:b/>
          <w:bCs/>
          <w:sz w:val="20"/>
          <w:szCs w:val="20"/>
        </w:rPr>
        <w:t>neperiodickým tiskem</w:t>
      </w:r>
    </w:p>
    <w:p w:rsidR="005150B9" w:rsidRPr="004F073A" w:rsidRDefault="00F2076B" w:rsidP="00495DB6">
      <w:pPr>
        <w:spacing w:before="120"/>
        <w:ind w:firstLine="709"/>
        <w:jc w:val="both"/>
        <w:rPr>
          <w:rFonts w:ascii="Arial" w:hAnsi="Arial" w:cs="Arial"/>
          <w:sz w:val="20"/>
          <w:szCs w:val="20"/>
        </w:rPr>
      </w:pPr>
      <w:r w:rsidRPr="004F073A">
        <w:rPr>
          <w:rFonts w:ascii="Arial" w:hAnsi="Arial" w:cs="Arial"/>
          <w:sz w:val="20"/>
          <w:szCs w:val="20"/>
        </w:rPr>
        <w:t>T</w:t>
      </w:r>
      <w:r w:rsidR="00353526" w:rsidRPr="004F073A">
        <w:rPr>
          <w:rFonts w:ascii="Arial" w:hAnsi="Arial" w:cs="Arial"/>
          <w:sz w:val="20"/>
          <w:szCs w:val="20"/>
        </w:rPr>
        <w:t>abulky prezentují ekonomické ukazatele subjektů provozujících vydavatelskou či maloobchodní č</w:t>
      </w:r>
      <w:r w:rsidR="00495DB6" w:rsidRPr="004F073A">
        <w:rPr>
          <w:rFonts w:ascii="Arial" w:hAnsi="Arial" w:cs="Arial"/>
          <w:sz w:val="20"/>
          <w:szCs w:val="20"/>
        </w:rPr>
        <w:t>innost v oblasti periodického a </w:t>
      </w:r>
      <w:r w:rsidR="00353526" w:rsidRPr="004F073A">
        <w:rPr>
          <w:rFonts w:ascii="Arial" w:hAnsi="Arial" w:cs="Arial"/>
          <w:sz w:val="20"/>
          <w:szCs w:val="20"/>
        </w:rPr>
        <w:t>n</w:t>
      </w:r>
      <w:r w:rsidR="00495DB6" w:rsidRPr="004F073A">
        <w:rPr>
          <w:rFonts w:ascii="Arial" w:hAnsi="Arial" w:cs="Arial"/>
          <w:sz w:val="20"/>
          <w:szCs w:val="20"/>
        </w:rPr>
        <w:t>eperiodického tisku. Jedná se o </w:t>
      </w:r>
      <w:r w:rsidR="00353526" w:rsidRPr="004F073A">
        <w:rPr>
          <w:rFonts w:ascii="Arial" w:hAnsi="Arial" w:cs="Arial"/>
          <w:sz w:val="20"/>
          <w:szCs w:val="20"/>
        </w:rPr>
        <w:t>subjekty, jejichž převažující ekonomická či</w:t>
      </w:r>
      <w:r w:rsidR="00495DB6" w:rsidRPr="004F073A">
        <w:rPr>
          <w:rFonts w:ascii="Arial" w:hAnsi="Arial" w:cs="Arial"/>
          <w:sz w:val="20"/>
          <w:szCs w:val="20"/>
        </w:rPr>
        <w:t>nnost spadá pod CZ-NACE 47.61 a </w:t>
      </w:r>
      <w:r w:rsidR="00353526" w:rsidRPr="004F073A">
        <w:rPr>
          <w:rFonts w:ascii="Arial" w:hAnsi="Arial" w:cs="Arial"/>
          <w:sz w:val="20"/>
          <w:szCs w:val="20"/>
        </w:rPr>
        <w:t>58.11 v</w:t>
      </w:r>
      <w:r w:rsidR="00495DB6" w:rsidRPr="004F073A">
        <w:rPr>
          <w:rFonts w:ascii="Arial" w:hAnsi="Arial" w:cs="Arial"/>
          <w:sz w:val="20"/>
          <w:szCs w:val="20"/>
        </w:rPr>
        <w:t> oblasti neperiodického tisku a </w:t>
      </w:r>
      <w:r w:rsidR="00353526" w:rsidRPr="004F073A">
        <w:rPr>
          <w:rFonts w:ascii="Arial" w:hAnsi="Arial" w:cs="Arial"/>
          <w:sz w:val="20"/>
          <w:szCs w:val="20"/>
        </w:rPr>
        <w:t>47</w:t>
      </w:r>
      <w:r w:rsidR="00495DB6" w:rsidRPr="004F073A">
        <w:rPr>
          <w:rFonts w:ascii="Arial" w:hAnsi="Arial" w:cs="Arial"/>
          <w:sz w:val="20"/>
          <w:szCs w:val="20"/>
        </w:rPr>
        <w:t>.62, 58.13 a </w:t>
      </w:r>
      <w:r w:rsidR="00353526" w:rsidRPr="004F073A">
        <w:rPr>
          <w:rFonts w:ascii="Arial" w:hAnsi="Arial" w:cs="Arial"/>
          <w:sz w:val="20"/>
          <w:szCs w:val="20"/>
        </w:rPr>
        <w:t>58.14 v oblasti periodického tisku.</w:t>
      </w:r>
    </w:p>
    <w:p w:rsidR="00772D4E" w:rsidRPr="004F073A" w:rsidRDefault="00772D4E" w:rsidP="00772D4E">
      <w:pPr>
        <w:pStyle w:val="Zkladntextodsazen2"/>
        <w:spacing w:before="0"/>
        <w:ind w:firstLine="0"/>
        <w:rPr>
          <w:rFonts w:cs="Arial"/>
          <w:szCs w:val="20"/>
        </w:rPr>
      </w:pPr>
    </w:p>
    <w:p w:rsidR="00772D4E" w:rsidRPr="004F073A" w:rsidRDefault="00772D4E" w:rsidP="00772D4E">
      <w:pPr>
        <w:pStyle w:val="Zkladntextodsazen2"/>
        <w:spacing w:before="0"/>
        <w:ind w:firstLine="0"/>
        <w:rPr>
          <w:rFonts w:cs="Arial"/>
          <w:szCs w:val="20"/>
        </w:rPr>
      </w:pPr>
    </w:p>
    <w:p w:rsidR="000E3CDD" w:rsidRPr="004F073A" w:rsidRDefault="00DC015B" w:rsidP="00772D4E">
      <w:pPr>
        <w:pStyle w:val="Zkladntextodsazen2"/>
        <w:spacing w:before="0"/>
        <w:ind w:firstLine="0"/>
        <w:rPr>
          <w:rFonts w:cs="Arial"/>
          <w:szCs w:val="20"/>
        </w:rPr>
      </w:pPr>
      <w:r w:rsidRPr="004F073A">
        <w:rPr>
          <w:rFonts w:cs="Arial"/>
          <w:szCs w:val="20"/>
        </w:rPr>
        <w:t xml:space="preserve">Tab. </w:t>
      </w:r>
      <w:r w:rsidR="00BC75A6">
        <w:rPr>
          <w:rFonts w:cs="Arial"/>
          <w:b/>
          <w:szCs w:val="20"/>
        </w:rPr>
        <w:t>27</w:t>
      </w:r>
      <w:r w:rsidRPr="004F073A">
        <w:rPr>
          <w:rFonts w:cs="Arial"/>
          <w:szCs w:val="20"/>
        </w:rPr>
        <w:t>-2</w:t>
      </w:r>
      <w:r w:rsidR="00353526" w:rsidRPr="004F073A">
        <w:rPr>
          <w:rFonts w:cs="Arial"/>
          <w:szCs w:val="20"/>
        </w:rPr>
        <w:t>8</w:t>
      </w:r>
      <w:r w:rsidRPr="004F073A">
        <w:rPr>
          <w:rFonts w:cs="Arial"/>
          <w:szCs w:val="20"/>
        </w:rPr>
        <w:t xml:space="preserve">. </w:t>
      </w:r>
      <w:r w:rsidRPr="004F073A">
        <w:rPr>
          <w:rFonts w:cs="Arial"/>
          <w:b/>
          <w:szCs w:val="20"/>
        </w:rPr>
        <w:t>Vybrané ukazatele Satelitního účtu kultury</w:t>
      </w:r>
    </w:p>
    <w:p w:rsidR="001800B2" w:rsidRDefault="00DC015B" w:rsidP="00C4216A">
      <w:pPr>
        <w:pStyle w:val="Zkladntextodsazen2"/>
        <w:rPr>
          <w:rFonts w:cs="Arial"/>
          <w:szCs w:val="20"/>
        </w:rPr>
      </w:pPr>
      <w:r w:rsidRPr="004F073A">
        <w:rPr>
          <w:rFonts w:cs="Arial"/>
          <w:szCs w:val="20"/>
        </w:rPr>
        <w:t>Tabulka předkládá vybrané ukazatele satelitního účtu kultury, který je sestavován v souladu s usnesením vlády ČR. Ukazatele jsou uvedeny podle sektorů (skupin oblastí)</w:t>
      </w:r>
      <w:r w:rsidR="007A0871">
        <w:rPr>
          <w:rFonts w:cs="Arial"/>
          <w:szCs w:val="20"/>
        </w:rPr>
        <w:t>.</w:t>
      </w:r>
    </w:p>
    <w:p w:rsidR="00C4216A" w:rsidRPr="004F073A" w:rsidRDefault="00DC015B" w:rsidP="00706D81">
      <w:pPr>
        <w:pStyle w:val="Zkladntextodsazen2"/>
        <w:rPr>
          <w:rFonts w:cs="Arial"/>
          <w:szCs w:val="20"/>
        </w:rPr>
      </w:pPr>
      <w:r w:rsidRPr="004F073A">
        <w:rPr>
          <w:rFonts w:cs="Arial"/>
          <w:szCs w:val="20"/>
        </w:rPr>
        <w:t xml:space="preserve">V souladu s vymezením kultury v rámci projektu EU </w:t>
      </w:r>
      <w:r w:rsidRPr="004F073A">
        <w:rPr>
          <w:rFonts w:cs="Arial"/>
          <w:i/>
          <w:szCs w:val="20"/>
        </w:rPr>
        <w:t>ESSnet Culture</w:t>
      </w:r>
      <w:r w:rsidRPr="004F073A">
        <w:rPr>
          <w:rFonts w:cs="Arial"/>
          <w:szCs w:val="20"/>
        </w:rPr>
        <w:t xml:space="preserve"> je kultura členěna do těchto sektorů, které zahrnují následující oblasti:</w:t>
      </w:r>
    </w:p>
    <w:p w:rsidR="00C4216A" w:rsidRPr="004F073A" w:rsidRDefault="00DC015B" w:rsidP="00706D81">
      <w:pPr>
        <w:pStyle w:val="Zkladntextodsazen2"/>
        <w:tabs>
          <w:tab w:val="clear" w:pos="708"/>
          <w:tab w:val="left" w:pos="284"/>
        </w:tabs>
        <w:ind w:firstLine="0"/>
        <w:rPr>
          <w:rFonts w:cs="Arial"/>
          <w:szCs w:val="20"/>
        </w:rPr>
      </w:pPr>
      <w:r w:rsidRPr="004F073A">
        <w:rPr>
          <w:rFonts w:cs="Arial"/>
          <w:szCs w:val="20"/>
        </w:rPr>
        <w:t>– </w:t>
      </w:r>
      <w:r w:rsidRPr="004F073A">
        <w:rPr>
          <w:rFonts w:cs="Arial"/>
          <w:b/>
          <w:szCs w:val="20"/>
        </w:rPr>
        <w:t>kulturní sektor</w:t>
      </w:r>
      <w:r w:rsidRPr="004F073A">
        <w:rPr>
          <w:rFonts w:cs="Arial"/>
          <w:szCs w:val="20"/>
        </w:rPr>
        <w:t xml:space="preserve"> („klasické“ kulturní oblasti)</w:t>
      </w:r>
    </w:p>
    <w:p w:rsidR="00C4216A" w:rsidRPr="004F073A" w:rsidRDefault="00DD1A86" w:rsidP="00B55CC9">
      <w:pPr>
        <w:pStyle w:val="Zkladntextodsazen2"/>
        <w:tabs>
          <w:tab w:val="clear" w:pos="1416"/>
          <w:tab w:val="clear" w:pos="2124"/>
          <w:tab w:val="left" w:pos="567"/>
        </w:tabs>
        <w:ind w:left="397" w:hanging="170"/>
        <w:rPr>
          <w:rFonts w:cs="Arial"/>
          <w:szCs w:val="20"/>
        </w:rPr>
      </w:pPr>
      <w:r w:rsidRPr="004F073A">
        <w:rPr>
          <w:rFonts w:cs="Arial"/>
          <w:szCs w:val="20"/>
        </w:rPr>
        <w:t>– </w:t>
      </w:r>
      <w:r w:rsidR="00DC015B" w:rsidRPr="004F073A">
        <w:rPr>
          <w:rFonts w:cs="Arial"/>
          <w:szCs w:val="20"/>
        </w:rPr>
        <w:t>kulturní dědictví – hrady, zámky, kostely, kláštery, muzea, knihovny, archivy, archeologická naleziště, starožitnosti atd. (CZ-NACE 91.01, 91.02, 91.03, částečně 47.78, 47.79);</w:t>
      </w:r>
    </w:p>
    <w:p w:rsidR="00C4216A" w:rsidRPr="004F073A" w:rsidRDefault="00DD1A86" w:rsidP="00B55CC9">
      <w:pPr>
        <w:pStyle w:val="Zkladntextodsazen2"/>
        <w:tabs>
          <w:tab w:val="clear" w:pos="1416"/>
          <w:tab w:val="clear" w:pos="2124"/>
        </w:tabs>
        <w:ind w:left="397" w:hanging="170"/>
        <w:rPr>
          <w:rFonts w:cs="Arial"/>
          <w:szCs w:val="20"/>
        </w:rPr>
      </w:pPr>
      <w:r w:rsidRPr="004F073A">
        <w:rPr>
          <w:rFonts w:cs="Arial"/>
          <w:bCs/>
          <w:szCs w:val="20"/>
        </w:rPr>
        <w:t>– </w:t>
      </w:r>
      <w:r w:rsidR="00DC015B" w:rsidRPr="004F073A">
        <w:rPr>
          <w:rFonts w:cs="Arial"/>
          <w:bCs/>
          <w:szCs w:val="20"/>
        </w:rPr>
        <w:t>interpretační (scénické) umění –</w:t>
      </w:r>
      <w:r w:rsidR="00DC015B" w:rsidRPr="004F073A">
        <w:rPr>
          <w:rFonts w:cs="Arial"/>
          <w:szCs w:val="20"/>
        </w:rPr>
        <w:t xml:space="preserve"> divadla, hudební vystoupení, festivaly, cirkusy atd. (CZ-NACE 90.01, 90.02, 90.04);</w:t>
      </w:r>
    </w:p>
    <w:p w:rsidR="00C4216A" w:rsidRPr="004F073A" w:rsidRDefault="00DD1A86" w:rsidP="00B55CC9">
      <w:pPr>
        <w:pStyle w:val="Zkladntextodsazen2"/>
        <w:tabs>
          <w:tab w:val="clear" w:pos="1416"/>
          <w:tab w:val="clear" w:pos="2124"/>
        </w:tabs>
        <w:ind w:left="397" w:hanging="170"/>
        <w:rPr>
          <w:rFonts w:cs="Arial"/>
          <w:szCs w:val="20"/>
        </w:rPr>
      </w:pPr>
      <w:r w:rsidRPr="004F073A">
        <w:rPr>
          <w:rFonts w:cs="Arial"/>
          <w:bCs/>
          <w:szCs w:val="20"/>
        </w:rPr>
        <w:lastRenderedPageBreak/>
        <w:t>– </w:t>
      </w:r>
      <w:r w:rsidR="00DC015B" w:rsidRPr="004F073A">
        <w:rPr>
          <w:rFonts w:cs="Arial"/>
          <w:bCs/>
          <w:szCs w:val="20"/>
        </w:rPr>
        <w:t>výtvarné umění (mimo design)</w:t>
      </w:r>
      <w:r w:rsidR="003850EF" w:rsidRPr="004F073A">
        <w:rPr>
          <w:rFonts w:cs="Arial"/>
          <w:bCs/>
          <w:szCs w:val="20"/>
        </w:rPr>
        <w:t xml:space="preserve"> a </w:t>
      </w:r>
      <w:r w:rsidR="00DC015B" w:rsidRPr="004F073A">
        <w:rPr>
          <w:rFonts w:cs="Arial"/>
          <w:bCs/>
          <w:szCs w:val="20"/>
        </w:rPr>
        <w:t xml:space="preserve">literatura </w:t>
      </w:r>
      <w:r w:rsidR="00DC015B" w:rsidRPr="004F073A">
        <w:rPr>
          <w:rFonts w:cs="Arial"/>
          <w:szCs w:val="20"/>
        </w:rPr>
        <w:t>– malby, sochařství, výtvarná řemesla, fotografie, služby designu, nezávislí spisovatelé</w:t>
      </w:r>
      <w:r w:rsidR="003850EF" w:rsidRPr="004F073A">
        <w:rPr>
          <w:rFonts w:cs="Arial"/>
          <w:szCs w:val="20"/>
        </w:rPr>
        <w:t xml:space="preserve"> a </w:t>
      </w:r>
      <w:r w:rsidR="00DC015B" w:rsidRPr="004F073A">
        <w:rPr>
          <w:rFonts w:cs="Arial"/>
          <w:szCs w:val="20"/>
        </w:rPr>
        <w:t>novináři atd. (CZ-NACE 74.20, 90.03);</w:t>
      </w:r>
    </w:p>
    <w:p w:rsidR="00C4216A" w:rsidRPr="004F073A" w:rsidRDefault="00DD1A86" w:rsidP="00B55CC9">
      <w:pPr>
        <w:pStyle w:val="Zkladntextodsazen2"/>
        <w:tabs>
          <w:tab w:val="clear" w:pos="1416"/>
          <w:tab w:val="clear" w:pos="2124"/>
        </w:tabs>
        <w:ind w:left="397" w:hanging="170"/>
        <w:rPr>
          <w:rFonts w:cs="Arial"/>
          <w:szCs w:val="20"/>
        </w:rPr>
      </w:pPr>
      <w:r w:rsidRPr="004F073A">
        <w:rPr>
          <w:rFonts w:cs="Arial"/>
          <w:bCs/>
          <w:szCs w:val="20"/>
        </w:rPr>
        <w:t>– </w:t>
      </w:r>
      <w:r w:rsidR="00DC015B" w:rsidRPr="004F073A">
        <w:rPr>
          <w:rFonts w:cs="Arial"/>
          <w:bCs/>
          <w:szCs w:val="20"/>
        </w:rPr>
        <w:t>umělecké vzdělávání</w:t>
      </w:r>
      <w:r w:rsidR="00DC015B" w:rsidRPr="004F073A">
        <w:rPr>
          <w:rFonts w:cs="Arial"/>
          <w:szCs w:val="20"/>
        </w:rPr>
        <w:t xml:space="preserve"> – hudební, taneční, dramatické</w:t>
      </w:r>
      <w:r w:rsidR="003850EF" w:rsidRPr="004F073A">
        <w:rPr>
          <w:rFonts w:cs="Arial"/>
          <w:szCs w:val="20"/>
        </w:rPr>
        <w:t xml:space="preserve"> a </w:t>
      </w:r>
      <w:r w:rsidR="00DC015B" w:rsidRPr="004F073A">
        <w:rPr>
          <w:rFonts w:cs="Arial"/>
          <w:szCs w:val="20"/>
        </w:rPr>
        <w:t>jiné umělecké vzdělávání včetně souvisejících podpůrných činností (CZ-NACE 85.52);</w:t>
      </w:r>
    </w:p>
    <w:p w:rsidR="00C4216A" w:rsidRPr="004F073A" w:rsidRDefault="00DC015B" w:rsidP="001800B2">
      <w:pPr>
        <w:pStyle w:val="Zkladntextodsazen2"/>
        <w:ind w:firstLine="0"/>
        <w:rPr>
          <w:rFonts w:cs="Arial"/>
          <w:szCs w:val="20"/>
        </w:rPr>
      </w:pPr>
      <w:r w:rsidRPr="004F073A">
        <w:rPr>
          <w:rFonts w:cs="Arial"/>
          <w:szCs w:val="20"/>
        </w:rPr>
        <w:t>– </w:t>
      </w:r>
      <w:r w:rsidRPr="004F073A">
        <w:rPr>
          <w:rFonts w:cs="Arial"/>
          <w:b/>
          <w:szCs w:val="20"/>
        </w:rPr>
        <w:t>kulturní průmysly</w:t>
      </w:r>
    </w:p>
    <w:p w:rsidR="00C4216A" w:rsidRPr="004F073A" w:rsidRDefault="00DD1A86" w:rsidP="00B55CC9">
      <w:pPr>
        <w:pStyle w:val="Zkladntextodsazen2"/>
        <w:ind w:left="397" w:hanging="170"/>
        <w:rPr>
          <w:rFonts w:cs="Arial"/>
          <w:szCs w:val="20"/>
        </w:rPr>
      </w:pPr>
      <w:r w:rsidRPr="004F073A">
        <w:rPr>
          <w:rFonts w:cs="Arial"/>
          <w:szCs w:val="20"/>
        </w:rPr>
        <w:t>– </w:t>
      </w:r>
      <w:r w:rsidR="00DC015B" w:rsidRPr="004F073A">
        <w:rPr>
          <w:rFonts w:cs="Arial"/>
          <w:szCs w:val="20"/>
        </w:rPr>
        <w:t>periodický</w:t>
      </w:r>
      <w:r w:rsidR="003850EF" w:rsidRPr="004F073A">
        <w:rPr>
          <w:rFonts w:cs="Arial"/>
          <w:szCs w:val="20"/>
        </w:rPr>
        <w:t xml:space="preserve"> a </w:t>
      </w:r>
      <w:r w:rsidR="00DC015B" w:rsidRPr="004F073A">
        <w:rPr>
          <w:rFonts w:cs="Arial"/>
          <w:szCs w:val="20"/>
        </w:rPr>
        <w:t>neperiodický tisk – nakladatelská</w:t>
      </w:r>
      <w:r w:rsidR="003850EF" w:rsidRPr="004F073A">
        <w:rPr>
          <w:rFonts w:cs="Arial"/>
          <w:szCs w:val="20"/>
        </w:rPr>
        <w:t xml:space="preserve"> a </w:t>
      </w:r>
      <w:r w:rsidR="00DC015B" w:rsidRPr="004F073A">
        <w:rPr>
          <w:rFonts w:cs="Arial"/>
          <w:szCs w:val="20"/>
        </w:rPr>
        <w:t>vydavatelská činnost, překladatelské a tlumočnické služby, zpravodajské agentury, knižní veletrhy, prodej knih</w:t>
      </w:r>
      <w:r w:rsidR="003850EF" w:rsidRPr="004F073A">
        <w:rPr>
          <w:rFonts w:cs="Arial"/>
          <w:szCs w:val="20"/>
        </w:rPr>
        <w:t xml:space="preserve"> a </w:t>
      </w:r>
      <w:r w:rsidR="00DC015B" w:rsidRPr="004F073A">
        <w:rPr>
          <w:rFonts w:cs="Arial"/>
          <w:szCs w:val="20"/>
        </w:rPr>
        <w:t>dalších tiskovin atd. (CZ-NACE 58.11, 58.13, 58.14, 63.91, 74.30, 47.61, 47.62);</w:t>
      </w:r>
    </w:p>
    <w:p w:rsidR="00C4216A" w:rsidRPr="004F073A" w:rsidRDefault="00DD1A86" w:rsidP="00B55CC9">
      <w:pPr>
        <w:pStyle w:val="Zkladntextodsazen2"/>
        <w:ind w:left="397" w:hanging="170"/>
        <w:rPr>
          <w:rFonts w:cs="Arial"/>
          <w:szCs w:val="20"/>
        </w:rPr>
      </w:pPr>
      <w:r w:rsidRPr="004F073A">
        <w:rPr>
          <w:rFonts w:cs="Arial"/>
          <w:bCs/>
          <w:szCs w:val="20"/>
        </w:rPr>
        <w:t>– </w:t>
      </w:r>
      <w:r w:rsidR="00DC015B" w:rsidRPr="004F073A">
        <w:rPr>
          <w:rFonts w:cs="Arial"/>
          <w:bCs/>
          <w:szCs w:val="20"/>
        </w:rPr>
        <w:t>audiovizuální</w:t>
      </w:r>
      <w:r w:rsidR="003850EF" w:rsidRPr="004F073A">
        <w:rPr>
          <w:rFonts w:cs="Arial"/>
          <w:bCs/>
          <w:szCs w:val="20"/>
        </w:rPr>
        <w:t xml:space="preserve"> a </w:t>
      </w:r>
      <w:r w:rsidR="00DC015B" w:rsidRPr="004F073A">
        <w:rPr>
          <w:rFonts w:cs="Arial"/>
          <w:bCs/>
          <w:szCs w:val="20"/>
        </w:rPr>
        <w:t>interaktivní média</w:t>
      </w:r>
      <w:r w:rsidR="00DC015B" w:rsidRPr="004F073A">
        <w:rPr>
          <w:rFonts w:cs="Arial"/>
          <w:szCs w:val="20"/>
        </w:rPr>
        <w:t xml:space="preserve"> – rozhlasové</w:t>
      </w:r>
      <w:r w:rsidR="003850EF" w:rsidRPr="004F073A">
        <w:rPr>
          <w:rFonts w:cs="Arial"/>
          <w:szCs w:val="20"/>
        </w:rPr>
        <w:t xml:space="preserve"> a </w:t>
      </w:r>
      <w:r w:rsidR="00DC015B" w:rsidRPr="004F073A">
        <w:rPr>
          <w:rFonts w:cs="Arial"/>
          <w:szCs w:val="20"/>
        </w:rPr>
        <w:t>televizní vysílání, film, video, zvukové nahrávky, maloobchodní prodej hudebních nahrávek</w:t>
      </w:r>
      <w:r w:rsidR="003850EF" w:rsidRPr="004F073A">
        <w:rPr>
          <w:rFonts w:cs="Arial"/>
          <w:szCs w:val="20"/>
        </w:rPr>
        <w:t xml:space="preserve"> a </w:t>
      </w:r>
      <w:r w:rsidR="00DC015B" w:rsidRPr="004F073A">
        <w:rPr>
          <w:rFonts w:cs="Arial"/>
          <w:szCs w:val="20"/>
        </w:rPr>
        <w:t>video záznamů, videohry atd. (CZ-NACE 58.21, 59.11, 59.12, 59.13, 59.14, 59.20, 60.10, 60.20, 47.63, 77.22);</w:t>
      </w:r>
    </w:p>
    <w:p w:rsidR="00C4216A" w:rsidRPr="004F073A" w:rsidRDefault="00DC015B" w:rsidP="00C4216A">
      <w:pPr>
        <w:pStyle w:val="Zkladntextodsazen2"/>
        <w:ind w:firstLine="0"/>
        <w:rPr>
          <w:rFonts w:cs="Arial"/>
          <w:szCs w:val="20"/>
        </w:rPr>
      </w:pPr>
      <w:r w:rsidRPr="004F073A">
        <w:rPr>
          <w:rFonts w:cs="Arial"/>
          <w:szCs w:val="20"/>
        </w:rPr>
        <w:t>– </w:t>
      </w:r>
      <w:r w:rsidRPr="004F073A">
        <w:rPr>
          <w:rFonts w:cs="Arial"/>
          <w:b/>
          <w:szCs w:val="20"/>
        </w:rPr>
        <w:t>kreativní průmysly</w:t>
      </w:r>
    </w:p>
    <w:p w:rsidR="00C4216A" w:rsidRPr="004F073A" w:rsidRDefault="00DD1A86" w:rsidP="00B55CC9">
      <w:pPr>
        <w:pStyle w:val="Zkladntextodsazen2"/>
        <w:ind w:left="397" w:hanging="170"/>
        <w:rPr>
          <w:rFonts w:cs="Arial"/>
          <w:szCs w:val="20"/>
        </w:rPr>
      </w:pPr>
      <w:r w:rsidRPr="004F073A">
        <w:rPr>
          <w:rFonts w:cs="Arial"/>
          <w:bCs/>
          <w:szCs w:val="20"/>
        </w:rPr>
        <w:t>– </w:t>
      </w:r>
      <w:r w:rsidR="00DC015B" w:rsidRPr="004F073A">
        <w:rPr>
          <w:rFonts w:cs="Arial"/>
          <w:bCs/>
          <w:szCs w:val="20"/>
        </w:rPr>
        <w:t>architektura</w:t>
      </w:r>
      <w:r w:rsidR="00DC015B" w:rsidRPr="004F073A">
        <w:rPr>
          <w:rFonts w:cs="Arial"/>
          <w:szCs w:val="20"/>
        </w:rPr>
        <w:t xml:space="preserve"> – navrhování</w:t>
      </w:r>
      <w:r w:rsidR="003850EF" w:rsidRPr="004F073A">
        <w:rPr>
          <w:rFonts w:cs="Arial"/>
          <w:szCs w:val="20"/>
        </w:rPr>
        <w:t xml:space="preserve"> a </w:t>
      </w:r>
      <w:r w:rsidR="00DC015B" w:rsidRPr="004F073A">
        <w:rPr>
          <w:rFonts w:cs="Arial"/>
          <w:szCs w:val="20"/>
        </w:rPr>
        <w:t>plánování architektonických projektů, služby</w:t>
      </w:r>
      <w:r w:rsidR="003850EF" w:rsidRPr="004F073A">
        <w:rPr>
          <w:rFonts w:cs="Arial"/>
          <w:szCs w:val="20"/>
        </w:rPr>
        <w:t xml:space="preserve"> a </w:t>
      </w:r>
      <w:r w:rsidR="00DC015B" w:rsidRPr="004F073A">
        <w:rPr>
          <w:rFonts w:cs="Arial"/>
          <w:szCs w:val="20"/>
        </w:rPr>
        <w:t>poradenství v architektuře (CZ-NACE 71.11);</w:t>
      </w:r>
    </w:p>
    <w:p w:rsidR="00C4216A" w:rsidRPr="004F073A" w:rsidRDefault="00DD1A86" w:rsidP="00B55CC9">
      <w:pPr>
        <w:pStyle w:val="Zkladntextodsazen2"/>
        <w:ind w:left="397" w:hanging="170"/>
        <w:rPr>
          <w:rFonts w:cs="Arial"/>
          <w:szCs w:val="20"/>
        </w:rPr>
      </w:pPr>
      <w:r w:rsidRPr="004F073A">
        <w:rPr>
          <w:rFonts w:cs="Arial"/>
          <w:bCs/>
          <w:szCs w:val="20"/>
        </w:rPr>
        <w:t>– </w:t>
      </w:r>
      <w:r w:rsidR="00DC015B" w:rsidRPr="004F073A">
        <w:rPr>
          <w:rFonts w:cs="Arial"/>
          <w:bCs/>
          <w:szCs w:val="20"/>
        </w:rPr>
        <w:t>reklama –</w:t>
      </w:r>
      <w:r w:rsidR="00DC015B" w:rsidRPr="004F073A">
        <w:rPr>
          <w:rFonts w:cs="Arial"/>
          <w:szCs w:val="20"/>
        </w:rPr>
        <w:t xml:space="preserve"> aktivity reklamních agentur (CZ-NACE 73.11);</w:t>
      </w:r>
    </w:p>
    <w:p w:rsidR="00C4216A" w:rsidRPr="004F073A" w:rsidRDefault="00DD1A86" w:rsidP="00B55CC9">
      <w:pPr>
        <w:pStyle w:val="Zkladntextodsazen2"/>
        <w:ind w:left="397" w:hanging="170"/>
        <w:rPr>
          <w:rFonts w:cs="Arial"/>
          <w:bCs/>
          <w:szCs w:val="20"/>
        </w:rPr>
      </w:pPr>
      <w:r w:rsidRPr="004F073A">
        <w:rPr>
          <w:rFonts w:cs="Arial"/>
          <w:bCs/>
          <w:szCs w:val="20"/>
        </w:rPr>
        <w:t>– </w:t>
      </w:r>
      <w:r w:rsidR="00DC015B" w:rsidRPr="004F073A">
        <w:rPr>
          <w:rFonts w:cs="Arial"/>
          <w:bCs/>
          <w:szCs w:val="20"/>
        </w:rPr>
        <w:t>specializované služby designu – módní design, průmyslový design, činnosti grafiků;</w:t>
      </w:r>
    </w:p>
    <w:p w:rsidR="00C4216A" w:rsidRPr="004F073A" w:rsidRDefault="00DC015B" w:rsidP="00C4216A">
      <w:pPr>
        <w:pStyle w:val="Zkladntextodsazen2"/>
        <w:ind w:firstLine="0"/>
        <w:rPr>
          <w:rFonts w:cs="Arial"/>
          <w:bCs/>
          <w:szCs w:val="20"/>
        </w:rPr>
      </w:pPr>
      <w:r w:rsidRPr="004F073A">
        <w:rPr>
          <w:rFonts w:cs="Arial"/>
          <w:bCs/>
          <w:szCs w:val="20"/>
        </w:rPr>
        <w:t>– </w:t>
      </w:r>
      <w:r w:rsidRPr="004F073A">
        <w:rPr>
          <w:rFonts w:cs="Arial"/>
          <w:b/>
          <w:bCs/>
          <w:szCs w:val="20"/>
        </w:rPr>
        <w:t>správa a podpora kultury</w:t>
      </w:r>
    </w:p>
    <w:p w:rsidR="00C4216A" w:rsidRPr="004F073A" w:rsidRDefault="00DD1A86" w:rsidP="00B55CC9">
      <w:pPr>
        <w:pStyle w:val="Zkladntextodsazen2"/>
        <w:ind w:left="397" w:hanging="170"/>
        <w:rPr>
          <w:rFonts w:cs="Arial"/>
          <w:szCs w:val="20"/>
        </w:rPr>
      </w:pPr>
      <w:r w:rsidRPr="004F073A">
        <w:rPr>
          <w:rFonts w:cs="Arial"/>
          <w:szCs w:val="20"/>
        </w:rPr>
        <w:t>– </w:t>
      </w:r>
      <w:r w:rsidR="00DC015B" w:rsidRPr="004F073A">
        <w:rPr>
          <w:rFonts w:cs="Arial"/>
          <w:szCs w:val="20"/>
        </w:rPr>
        <w:t>činnosti prováděné ministerstvem kultury</w:t>
      </w:r>
      <w:r w:rsidR="003850EF" w:rsidRPr="004F073A">
        <w:rPr>
          <w:rFonts w:cs="Arial"/>
          <w:szCs w:val="20"/>
        </w:rPr>
        <w:t xml:space="preserve"> a </w:t>
      </w:r>
      <w:r w:rsidR="00DC015B" w:rsidRPr="004F073A">
        <w:rPr>
          <w:rFonts w:cs="Arial"/>
          <w:szCs w:val="20"/>
        </w:rPr>
        <w:t>dalšími institucemi</w:t>
      </w:r>
      <w:r w:rsidR="003850EF" w:rsidRPr="004F073A">
        <w:rPr>
          <w:rFonts w:cs="Arial"/>
          <w:szCs w:val="20"/>
        </w:rPr>
        <w:t xml:space="preserve"> a </w:t>
      </w:r>
      <w:r w:rsidR="00DC015B" w:rsidRPr="004F073A">
        <w:rPr>
          <w:rFonts w:cs="Arial"/>
          <w:szCs w:val="20"/>
        </w:rPr>
        <w:t>dále činnosti občanských sdružení</w:t>
      </w:r>
      <w:r w:rsidR="003850EF" w:rsidRPr="004F073A">
        <w:rPr>
          <w:rFonts w:cs="Arial"/>
          <w:szCs w:val="20"/>
        </w:rPr>
        <w:t xml:space="preserve"> a </w:t>
      </w:r>
      <w:r w:rsidR="00DC015B" w:rsidRPr="004F073A">
        <w:rPr>
          <w:rFonts w:cs="Arial"/>
          <w:szCs w:val="20"/>
        </w:rPr>
        <w:t>dalších specializovaných organizací k výkonu kolektivní správy práv (CZ-NACE 84.11 (část), 84.12 (část), 94.99.2).</w:t>
      </w:r>
    </w:p>
    <w:p w:rsidR="00C4216A" w:rsidRPr="004F073A" w:rsidRDefault="00C4216A" w:rsidP="000A3BCE">
      <w:pPr>
        <w:pStyle w:val="Zkladntextodsazen2"/>
        <w:spacing w:before="0"/>
        <w:ind w:firstLine="0"/>
        <w:rPr>
          <w:rFonts w:cs="Arial"/>
          <w:szCs w:val="20"/>
        </w:rPr>
      </w:pPr>
    </w:p>
    <w:p w:rsidR="005D480F" w:rsidRPr="004F073A" w:rsidRDefault="005D480F">
      <w:pPr>
        <w:widowControl w:val="0"/>
        <w:tabs>
          <w:tab w:val="left" w:pos="-1128"/>
          <w:tab w:val="left" w:pos="-720"/>
          <w:tab w:val="left" w:pos="0"/>
          <w:tab w:val="left" w:pos="487"/>
          <w:tab w:val="left" w:pos="1440"/>
        </w:tabs>
        <w:autoSpaceDE w:val="0"/>
        <w:autoSpaceDN w:val="0"/>
        <w:adjustRightInd w:val="0"/>
        <w:jc w:val="both"/>
        <w:rPr>
          <w:rFonts w:ascii="Arial" w:hAnsi="Arial" w:cs="Arial"/>
          <w:sz w:val="20"/>
          <w:szCs w:val="20"/>
        </w:rPr>
      </w:pPr>
    </w:p>
    <w:p w:rsidR="005D480F" w:rsidRPr="004F073A" w:rsidRDefault="00DC015B">
      <w:pPr>
        <w:widowControl w:val="0"/>
        <w:tabs>
          <w:tab w:val="left" w:pos="-1128"/>
          <w:tab w:val="left" w:pos="-720"/>
          <w:tab w:val="left" w:pos="0"/>
          <w:tab w:val="left" w:pos="487"/>
          <w:tab w:val="left" w:pos="1440"/>
        </w:tabs>
        <w:autoSpaceDE w:val="0"/>
        <w:autoSpaceDN w:val="0"/>
        <w:adjustRightInd w:val="0"/>
        <w:jc w:val="center"/>
        <w:rPr>
          <w:rFonts w:ascii="Arial" w:hAnsi="Arial" w:cs="Arial"/>
          <w:sz w:val="20"/>
          <w:szCs w:val="20"/>
        </w:rPr>
      </w:pPr>
      <w:r w:rsidRPr="004F073A">
        <w:rPr>
          <w:rFonts w:ascii="Arial" w:hAnsi="Arial" w:cs="Arial"/>
          <w:sz w:val="20"/>
          <w:szCs w:val="20"/>
        </w:rPr>
        <w:t>*          *          *</w:t>
      </w:r>
    </w:p>
    <w:p w:rsidR="005D480F" w:rsidRPr="004F073A" w:rsidRDefault="005D480F">
      <w:pPr>
        <w:widowControl w:val="0"/>
        <w:tabs>
          <w:tab w:val="left" w:pos="-1128"/>
          <w:tab w:val="left" w:pos="-720"/>
          <w:tab w:val="left" w:pos="0"/>
          <w:tab w:val="left" w:pos="487"/>
          <w:tab w:val="left" w:pos="1440"/>
        </w:tabs>
        <w:autoSpaceDE w:val="0"/>
        <w:autoSpaceDN w:val="0"/>
        <w:adjustRightInd w:val="0"/>
        <w:jc w:val="both"/>
        <w:rPr>
          <w:rFonts w:ascii="Arial" w:hAnsi="Arial" w:cs="Arial"/>
          <w:sz w:val="20"/>
          <w:szCs w:val="20"/>
        </w:rPr>
      </w:pPr>
    </w:p>
    <w:p w:rsidR="005D480F" w:rsidRPr="004F073A" w:rsidRDefault="005D480F">
      <w:pPr>
        <w:widowControl w:val="0"/>
        <w:tabs>
          <w:tab w:val="left" w:pos="-1128"/>
          <w:tab w:val="left" w:pos="-720"/>
          <w:tab w:val="left" w:pos="0"/>
          <w:tab w:val="left" w:pos="487"/>
          <w:tab w:val="left" w:pos="1440"/>
        </w:tabs>
        <w:autoSpaceDE w:val="0"/>
        <w:autoSpaceDN w:val="0"/>
        <w:adjustRightInd w:val="0"/>
        <w:jc w:val="both"/>
        <w:rPr>
          <w:rFonts w:ascii="Arial" w:hAnsi="Arial" w:cs="Arial"/>
          <w:sz w:val="20"/>
          <w:szCs w:val="20"/>
        </w:rPr>
      </w:pPr>
    </w:p>
    <w:p w:rsidR="005D480F" w:rsidRPr="004F073A" w:rsidRDefault="00DC015B">
      <w:pPr>
        <w:widowControl w:val="0"/>
        <w:tabs>
          <w:tab w:val="left" w:pos="-1128"/>
          <w:tab w:val="left" w:pos="-720"/>
          <w:tab w:val="left" w:pos="0"/>
          <w:tab w:val="left" w:pos="487"/>
          <w:tab w:val="left" w:pos="1440"/>
        </w:tabs>
        <w:autoSpaceDE w:val="0"/>
        <w:autoSpaceDN w:val="0"/>
        <w:adjustRightInd w:val="0"/>
        <w:ind w:firstLine="709"/>
        <w:jc w:val="both"/>
        <w:rPr>
          <w:rFonts w:ascii="Arial" w:hAnsi="Arial" w:cs="Arial"/>
          <w:sz w:val="20"/>
          <w:szCs w:val="20"/>
        </w:rPr>
      </w:pPr>
      <w:r w:rsidRPr="004F073A">
        <w:rPr>
          <w:rFonts w:ascii="Arial" w:hAnsi="Arial" w:cs="Arial"/>
          <w:sz w:val="20"/>
          <w:szCs w:val="20"/>
        </w:rPr>
        <w:t>Další informace jsou dostupné na internetových stránkách Českého statistického úřadu:</w:t>
      </w:r>
    </w:p>
    <w:p w:rsidR="00495DB6" w:rsidRPr="004F073A" w:rsidRDefault="00DC015B">
      <w:pPr>
        <w:widowControl w:val="0"/>
        <w:tabs>
          <w:tab w:val="left" w:pos="-1128"/>
          <w:tab w:val="left" w:pos="-720"/>
          <w:tab w:val="left" w:pos="0"/>
          <w:tab w:val="left" w:pos="487"/>
          <w:tab w:val="left" w:pos="1440"/>
        </w:tabs>
        <w:autoSpaceDE w:val="0"/>
        <w:autoSpaceDN w:val="0"/>
        <w:adjustRightInd w:val="0"/>
        <w:spacing w:before="120"/>
        <w:jc w:val="both"/>
        <w:rPr>
          <w:rFonts w:ascii="Arial" w:hAnsi="Arial" w:cs="Arial"/>
          <w:sz w:val="20"/>
          <w:szCs w:val="20"/>
        </w:rPr>
      </w:pPr>
      <w:r w:rsidRPr="004F073A">
        <w:rPr>
          <w:rFonts w:ascii="Arial" w:hAnsi="Arial" w:cs="Arial"/>
          <w:sz w:val="20"/>
          <w:szCs w:val="20"/>
        </w:rPr>
        <w:t>– </w:t>
      </w:r>
      <w:hyperlink r:id="rId6" w:history="1">
        <w:r w:rsidR="00740D55">
          <w:rPr>
            <w:rStyle w:val="Hypertextovodkaz"/>
            <w:rFonts w:ascii="Arial" w:hAnsi="Arial" w:cs="Arial"/>
            <w:sz w:val="20"/>
            <w:szCs w:val="20"/>
          </w:rPr>
          <w:t>www.czso.cz/csu/czso/kultura_lide</w:t>
        </w:r>
      </w:hyperlink>
    </w:p>
    <w:p w:rsidR="005D480F" w:rsidRPr="004F073A" w:rsidRDefault="00DC01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firstLine="709"/>
        <w:jc w:val="both"/>
        <w:rPr>
          <w:rFonts w:ascii="Arial" w:hAnsi="Arial" w:cs="Arial"/>
          <w:sz w:val="20"/>
          <w:szCs w:val="20"/>
        </w:rPr>
      </w:pPr>
      <w:r w:rsidRPr="004F073A">
        <w:rPr>
          <w:rFonts w:ascii="Arial" w:hAnsi="Arial" w:cs="Arial"/>
          <w:sz w:val="20"/>
          <w:szCs w:val="20"/>
        </w:rPr>
        <w:t>nebo dalších institucí:</w:t>
      </w:r>
    </w:p>
    <w:p w:rsidR="005D480F" w:rsidRPr="004F073A" w:rsidRDefault="00DC01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jc w:val="both"/>
        <w:rPr>
          <w:rFonts w:ascii="Arial" w:hAnsi="Arial" w:cs="Arial"/>
          <w:sz w:val="20"/>
          <w:szCs w:val="20"/>
        </w:rPr>
      </w:pPr>
      <w:r w:rsidRPr="004F073A">
        <w:rPr>
          <w:rFonts w:ascii="Arial" w:hAnsi="Arial" w:cs="Arial"/>
          <w:sz w:val="20"/>
          <w:szCs w:val="20"/>
        </w:rPr>
        <w:t>– </w:t>
      </w:r>
      <w:hyperlink r:id="rId7" w:history="1">
        <w:r w:rsidRPr="004F073A">
          <w:rPr>
            <w:rStyle w:val="Hypertextovodkaz"/>
            <w:rFonts w:ascii="Arial" w:hAnsi="Arial" w:cs="Arial"/>
            <w:sz w:val="20"/>
            <w:szCs w:val="20"/>
          </w:rPr>
          <w:t>www.nipos-mk.cz/</w:t>
        </w:r>
      </w:hyperlink>
      <w:r w:rsidRPr="004F073A">
        <w:rPr>
          <w:rFonts w:ascii="Arial" w:hAnsi="Arial" w:cs="Arial"/>
          <w:sz w:val="20"/>
          <w:szCs w:val="20"/>
        </w:rPr>
        <w:t xml:space="preserve"> – Národní informační a poradenské středisko pro kulturu</w:t>
      </w:r>
    </w:p>
    <w:p w:rsidR="00201162" w:rsidRPr="00BC75A6" w:rsidRDefault="00DC015B" w:rsidP="00BC75A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jc w:val="both"/>
        <w:rPr>
          <w:rFonts w:ascii="Arial" w:hAnsi="Arial" w:cs="Arial"/>
          <w:sz w:val="20"/>
          <w:szCs w:val="20"/>
        </w:rPr>
      </w:pPr>
      <w:r w:rsidRPr="004F073A">
        <w:rPr>
          <w:rFonts w:ascii="Arial" w:hAnsi="Arial" w:cs="Arial"/>
          <w:sz w:val="20"/>
          <w:szCs w:val="20"/>
        </w:rPr>
        <w:t>– </w:t>
      </w:r>
      <w:hyperlink r:id="rId8" w:history="1">
        <w:r w:rsidRPr="004F073A">
          <w:rPr>
            <w:rStyle w:val="Hypertextovodkaz"/>
            <w:rFonts w:ascii="Arial" w:hAnsi="Arial" w:cs="Arial"/>
            <w:sz w:val="20"/>
            <w:szCs w:val="20"/>
          </w:rPr>
          <w:t>www.nkp.cz/</w:t>
        </w:r>
      </w:hyperlink>
      <w:r w:rsidRPr="004F073A">
        <w:rPr>
          <w:rFonts w:ascii="Arial" w:hAnsi="Arial" w:cs="Arial"/>
          <w:sz w:val="20"/>
          <w:szCs w:val="20"/>
        </w:rPr>
        <w:t xml:space="preserve"> – Národní knihovna České republiky</w:t>
      </w:r>
    </w:p>
    <w:sectPr w:rsidR="00201162" w:rsidRPr="00BC75A6" w:rsidSect="00100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obyèejné">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C6242"/>
    <w:multiLevelType w:val="hybridMultilevel"/>
    <w:tmpl w:val="3A540852"/>
    <w:lvl w:ilvl="0" w:tplc="D4D2286C">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BB"/>
    <w:rsid w:val="00004FCC"/>
    <w:rsid w:val="00010637"/>
    <w:rsid w:val="00012172"/>
    <w:rsid w:val="00013BF0"/>
    <w:rsid w:val="00026D2E"/>
    <w:rsid w:val="00027C4F"/>
    <w:rsid w:val="000311F4"/>
    <w:rsid w:val="000340A7"/>
    <w:rsid w:val="00036F90"/>
    <w:rsid w:val="0004444D"/>
    <w:rsid w:val="00044BEA"/>
    <w:rsid w:val="000559AF"/>
    <w:rsid w:val="00064088"/>
    <w:rsid w:val="00066C37"/>
    <w:rsid w:val="000771D2"/>
    <w:rsid w:val="0007730E"/>
    <w:rsid w:val="00083886"/>
    <w:rsid w:val="00084AA7"/>
    <w:rsid w:val="00085EA7"/>
    <w:rsid w:val="000873CB"/>
    <w:rsid w:val="000878C7"/>
    <w:rsid w:val="000960F9"/>
    <w:rsid w:val="00096124"/>
    <w:rsid w:val="000A1963"/>
    <w:rsid w:val="000A3BCE"/>
    <w:rsid w:val="000A5323"/>
    <w:rsid w:val="000B4278"/>
    <w:rsid w:val="000B7915"/>
    <w:rsid w:val="000C0A13"/>
    <w:rsid w:val="000D12C5"/>
    <w:rsid w:val="000E057F"/>
    <w:rsid w:val="000E3CDD"/>
    <w:rsid w:val="000E6577"/>
    <w:rsid w:val="000F6655"/>
    <w:rsid w:val="000F6CA7"/>
    <w:rsid w:val="001008BA"/>
    <w:rsid w:val="00105147"/>
    <w:rsid w:val="0010779E"/>
    <w:rsid w:val="00123ACD"/>
    <w:rsid w:val="00127F3D"/>
    <w:rsid w:val="0013256F"/>
    <w:rsid w:val="00141E6F"/>
    <w:rsid w:val="00146196"/>
    <w:rsid w:val="00153E42"/>
    <w:rsid w:val="001551B2"/>
    <w:rsid w:val="00160846"/>
    <w:rsid w:val="00175A09"/>
    <w:rsid w:val="001800B2"/>
    <w:rsid w:val="00185965"/>
    <w:rsid w:val="00187243"/>
    <w:rsid w:val="0019417B"/>
    <w:rsid w:val="001B286E"/>
    <w:rsid w:val="001D6A41"/>
    <w:rsid w:val="001E4221"/>
    <w:rsid w:val="001E6407"/>
    <w:rsid w:val="001E7F57"/>
    <w:rsid w:val="001F1D98"/>
    <w:rsid w:val="001F2C0C"/>
    <w:rsid w:val="001F347B"/>
    <w:rsid w:val="001F64C7"/>
    <w:rsid w:val="001F7441"/>
    <w:rsid w:val="001F7DDA"/>
    <w:rsid w:val="00201162"/>
    <w:rsid w:val="00203852"/>
    <w:rsid w:val="0020539B"/>
    <w:rsid w:val="002127FB"/>
    <w:rsid w:val="00217CED"/>
    <w:rsid w:val="002213BB"/>
    <w:rsid w:val="002214E5"/>
    <w:rsid w:val="002338B1"/>
    <w:rsid w:val="002439F9"/>
    <w:rsid w:val="00245900"/>
    <w:rsid w:val="002554E6"/>
    <w:rsid w:val="0027697A"/>
    <w:rsid w:val="00281D76"/>
    <w:rsid w:val="002A60D4"/>
    <w:rsid w:val="002B027A"/>
    <w:rsid w:val="002B0A5A"/>
    <w:rsid w:val="002B165D"/>
    <w:rsid w:val="002B2635"/>
    <w:rsid w:val="002B2856"/>
    <w:rsid w:val="002B5A1B"/>
    <w:rsid w:val="002B7ADE"/>
    <w:rsid w:val="002C2F91"/>
    <w:rsid w:val="002D4371"/>
    <w:rsid w:val="002D723A"/>
    <w:rsid w:val="002E6936"/>
    <w:rsid w:val="002F3753"/>
    <w:rsid w:val="002F5CFB"/>
    <w:rsid w:val="00305B02"/>
    <w:rsid w:val="00317748"/>
    <w:rsid w:val="00332D7E"/>
    <w:rsid w:val="003410BF"/>
    <w:rsid w:val="00343FFF"/>
    <w:rsid w:val="00353526"/>
    <w:rsid w:val="00355E6A"/>
    <w:rsid w:val="00357862"/>
    <w:rsid w:val="00363550"/>
    <w:rsid w:val="00363C74"/>
    <w:rsid w:val="00373FE9"/>
    <w:rsid w:val="00375B24"/>
    <w:rsid w:val="00383D5E"/>
    <w:rsid w:val="003850EF"/>
    <w:rsid w:val="003862E6"/>
    <w:rsid w:val="00387067"/>
    <w:rsid w:val="00395904"/>
    <w:rsid w:val="003A1D7A"/>
    <w:rsid w:val="003A2358"/>
    <w:rsid w:val="003A281B"/>
    <w:rsid w:val="003A30BA"/>
    <w:rsid w:val="003A4F7D"/>
    <w:rsid w:val="003A50CE"/>
    <w:rsid w:val="003A7F25"/>
    <w:rsid w:val="003B00BB"/>
    <w:rsid w:val="003B1B0C"/>
    <w:rsid w:val="003B5CCA"/>
    <w:rsid w:val="003C1962"/>
    <w:rsid w:val="003C57BB"/>
    <w:rsid w:val="003C63C9"/>
    <w:rsid w:val="003C6E4B"/>
    <w:rsid w:val="003D41FC"/>
    <w:rsid w:val="003D7C6E"/>
    <w:rsid w:val="003E2FB3"/>
    <w:rsid w:val="003E37EC"/>
    <w:rsid w:val="003F5422"/>
    <w:rsid w:val="003F7035"/>
    <w:rsid w:val="00403A5D"/>
    <w:rsid w:val="00406A91"/>
    <w:rsid w:val="00407444"/>
    <w:rsid w:val="0041259C"/>
    <w:rsid w:val="004238BE"/>
    <w:rsid w:val="004279F5"/>
    <w:rsid w:val="004407D7"/>
    <w:rsid w:val="00440C1C"/>
    <w:rsid w:val="00441204"/>
    <w:rsid w:val="00443907"/>
    <w:rsid w:val="00445046"/>
    <w:rsid w:val="004502A0"/>
    <w:rsid w:val="004533D3"/>
    <w:rsid w:val="00461666"/>
    <w:rsid w:val="00466AEE"/>
    <w:rsid w:val="00473A04"/>
    <w:rsid w:val="00477277"/>
    <w:rsid w:val="004833DC"/>
    <w:rsid w:val="0048382C"/>
    <w:rsid w:val="00485535"/>
    <w:rsid w:val="00486C58"/>
    <w:rsid w:val="00492765"/>
    <w:rsid w:val="00495DB6"/>
    <w:rsid w:val="004A2D1F"/>
    <w:rsid w:val="004B57B8"/>
    <w:rsid w:val="004B6B44"/>
    <w:rsid w:val="004C4E5B"/>
    <w:rsid w:val="004C51CA"/>
    <w:rsid w:val="004D4AE7"/>
    <w:rsid w:val="004E13BE"/>
    <w:rsid w:val="004E1413"/>
    <w:rsid w:val="004E6644"/>
    <w:rsid w:val="004F0077"/>
    <w:rsid w:val="004F073A"/>
    <w:rsid w:val="00500ECF"/>
    <w:rsid w:val="005045FB"/>
    <w:rsid w:val="00505A32"/>
    <w:rsid w:val="005150B9"/>
    <w:rsid w:val="00525C5D"/>
    <w:rsid w:val="00525D4C"/>
    <w:rsid w:val="00536D6C"/>
    <w:rsid w:val="00537BB7"/>
    <w:rsid w:val="00543D86"/>
    <w:rsid w:val="00544C08"/>
    <w:rsid w:val="00545261"/>
    <w:rsid w:val="005541C3"/>
    <w:rsid w:val="00555B10"/>
    <w:rsid w:val="00557B4F"/>
    <w:rsid w:val="00560DAC"/>
    <w:rsid w:val="00561E39"/>
    <w:rsid w:val="0056446D"/>
    <w:rsid w:val="00573566"/>
    <w:rsid w:val="005800BE"/>
    <w:rsid w:val="00581D44"/>
    <w:rsid w:val="005924D0"/>
    <w:rsid w:val="005A286A"/>
    <w:rsid w:val="005A3C03"/>
    <w:rsid w:val="005B7D28"/>
    <w:rsid w:val="005C1A08"/>
    <w:rsid w:val="005C284D"/>
    <w:rsid w:val="005C2DA4"/>
    <w:rsid w:val="005C4177"/>
    <w:rsid w:val="005C7E48"/>
    <w:rsid w:val="005D05BA"/>
    <w:rsid w:val="005D1273"/>
    <w:rsid w:val="005D480F"/>
    <w:rsid w:val="0060297D"/>
    <w:rsid w:val="006066A0"/>
    <w:rsid w:val="006236E4"/>
    <w:rsid w:val="00641253"/>
    <w:rsid w:val="00662704"/>
    <w:rsid w:val="006708ED"/>
    <w:rsid w:val="00670BBA"/>
    <w:rsid w:val="00673B30"/>
    <w:rsid w:val="00681D0B"/>
    <w:rsid w:val="00696555"/>
    <w:rsid w:val="006A34DB"/>
    <w:rsid w:val="006A54CD"/>
    <w:rsid w:val="006B0BBF"/>
    <w:rsid w:val="006B1CF3"/>
    <w:rsid w:val="006C0CC3"/>
    <w:rsid w:val="006C4F90"/>
    <w:rsid w:val="006D459E"/>
    <w:rsid w:val="006D4BE8"/>
    <w:rsid w:val="006E0A93"/>
    <w:rsid w:val="006E3521"/>
    <w:rsid w:val="006F40EF"/>
    <w:rsid w:val="006F7CB2"/>
    <w:rsid w:val="007009A3"/>
    <w:rsid w:val="00700A05"/>
    <w:rsid w:val="0070507A"/>
    <w:rsid w:val="00706D81"/>
    <w:rsid w:val="00707DD7"/>
    <w:rsid w:val="00713B01"/>
    <w:rsid w:val="00715938"/>
    <w:rsid w:val="00716C71"/>
    <w:rsid w:val="00730A4B"/>
    <w:rsid w:val="00732154"/>
    <w:rsid w:val="007362F4"/>
    <w:rsid w:val="00740D55"/>
    <w:rsid w:val="00745AF4"/>
    <w:rsid w:val="00746E4F"/>
    <w:rsid w:val="00746FED"/>
    <w:rsid w:val="00751F19"/>
    <w:rsid w:val="00752C1D"/>
    <w:rsid w:val="00754383"/>
    <w:rsid w:val="00761D3B"/>
    <w:rsid w:val="00766974"/>
    <w:rsid w:val="0077267A"/>
    <w:rsid w:val="00772D4E"/>
    <w:rsid w:val="00775457"/>
    <w:rsid w:val="007804A8"/>
    <w:rsid w:val="007914CE"/>
    <w:rsid w:val="007A0871"/>
    <w:rsid w:val="007C0B3F"/>
    <w:rsid w:val="007C2127"/>
    <w:rsid w:val="007C2BA6"/>
    <w:rsid w:val="007C445D"/>
    <w:rsid w:val="007C792E"/>
    <w:rsid w:val="007E6D14"/>
    <w:rsid w:val="007F191E"/>
    <w:rsid w:val="007F254E"/>
    <w:rsid w:val="007F35F1"/>
    <w:rsid w:val="007F56E4"/>
    <w:rsid w:val="007F5873"/>
    <w:rsid w:val="007F666C"/>
    <w:rsid w:val="007F7610"/>
    <w:rsid w:val="0080076A"/>
    <w:rsid w:val="00803993"/>
    <w:rsid w:val="00805843"/>
    <w:rsid w:val="0081600F"/>
    <w:rsid w:val="00824E45"/>
    <w:rsid w:val="008258AD"/>
    <w:rsid w:val="00825A92"/>
    <w:rsid w:val="008263A2"/>
    <w:rsid w:val="00830634"/>
    <w:rsid w:val="00834376"/>
    <w:rsid w:val="0084399D"/>
    <w:rsid w:val="00845B39"/>
    <w:rsid w:val="00846450"/>
    <w:rsid w:val="00852A20"/>
    <w:rsid w:val="00857182"/>
    <w:rsid w:val="00872B75"/>
    <w:rsid w:val="008739A6"/>
    <w:rsid w:val="00881F3F"/>
    <w:rsid w:val="008853FA"/>
    <w:rsid w:val="00886904"/>
    <w:rsid w:val="00890910"/>
    <w:rsid w:val="0089735F"/>
    <w:rsid w:val="008A06B6"/>
    <w:rsid w:val="008A1FBA"/>
    <w:rsid w:val="008A7DBA"/>
    <w:rsid w:val="008C3F33"/>
    <w:rsid w:val="008D7D00"/>
    <w:rsid w:val="008E10D1"/>
    <w:rsid w:val="008E1A19"/>
    <w:rsid w:val="008E4A66"/>
    <w:rsid w:val="008F3BB0"/>
    <w:rsid w:val="00901B76"/>
    <w:rsid w:val="00920175"/>
    <w:rsid w:val="00922961"/>
    <w:rsid w:val="00923182"/>
    <w:rsid w:val="00932A96"/>
    <w:rsid w:val="009402E5"/>
    <w:rsid w:val="009639B4"/>
    <w:rsid w:val="00972C87"/>
    <w:rsid w:val="009742A9"/>
    <w:rsid w:val="00980120"/>
    <w:rsid w:val="00980A70"/>
    <w:rsid w:val="0099073F"/>
    <w:rsid w:val="00990AE4"/>
    <w:rsid w:val="009913ED"/>
    <w:rsid w:val="009933E3"/>
    <w:rsid w:val="009939AB"/>
    <w:rsid w:val="009943D2"/>
    <w:rsid w:val="009A3406"/>
    <w:rsid w:val="009A357D"/>
    <w:rsid w:val="009A680E"/>
    <w:rsid w:val="009B07AB"/>
    <w:rsid w:val="009B57B2"/>
    <w:rsid w:val="009C1745"/>
    <w:rsid w:val="009C7A01"/>
    <w:rsid w:val="009D7EAC"/>
    <w:rsid w:val="009E2F60"/>
    <w:rsid w:val="009E57F9"/>
    <w:rsid w:val="009F515C"/>
    <w:rsid w:val="00A00095"/>
    <w:rsid w:val="00A0285E"/>
    <w:rsid w:val="00A04725"/>
    <w:rsid w:val="00A067C5"/>
    <w:rsid w:val="00A0737F"/>
    <w:rsid w:val="00A10F52"/>
    <w:rsid w:val="00A33A2C"/>
    <w:rsid w:val="00A4606D"/>
    <w:rsid w:val="00A524AC"/>
    <w:rsid w:val="00A555B0"/>
    <w:rsid w:val="00A652BD"/>
    <w:rsid w:val="00A67C2F"/>
    <w:rsid w:val="00A778C4"/>
    <w:rsid w:val="00A77E17"/>
    <w:rsid w:val="00A836D1"/>
    <w:rsid w:val="00A85D69"/>
    <w:rsid w:val="00A86EE2"/>
    <w:rsid w:val="00A90737"/>
    <w:rsid w:val="00A932EA"/>
    <w:rsid w:val="00A94FEB"/>
    <w:rsid w:val="00AA70E2"/>
    <w:rsid w:val="00AB192F"/>
    <w:rsid w:val="00AB363A"/>
    <w:rsid w:val="00AD4DDE"/>
    <w:rsid w:val="00AE025E"/>
    <w:rsid w:val="00AE1B5D"/>
    <w:rsid w:val="00AE5E7A"/>
    <w:rsid w:val="00AE6069"/>
    <w:rsid w:val="00AE6DF6"/>
    <w:rsid w:val="00AF0F8D"/>
    <w:rsid w:val="00B01AB5"/>
    <w:rsid w:val="00B148DF"/>
    <w:rsid w:val="00B2354F"/>
    <w:rsid w:val="00B42E60"/>
    <w:rsid w:val="00B42F2D"/>
    <w:rsid w:val="00B44D4B"/>
    <w:rsid w:val="00B4580C"/>
    <w:rsid w:val="00B46DCF"/>
    <w:rsid w:val="00B51836"/>
    <w:rsid w:val="00B51C9C"/>
    <w:rsid w:val="00B52877"/>
    <w:rsid w:val="00B55CC9"/>
    <w:rsid w:val="00B633D8"/>
    <w:rsid w:val="00B65E7A"/>
    <w:rsid w:val="00B73771"/>
    <w:rsid w:val="00B771E3"/>
    <w:rsid w:val="00B875A1"/>
    <w:rsid w:val="00B93E12"/>
    <w:rsid w:val="00BA0B01"/>
    <w:rsid w:val="00BA2967"/>
    <w:rsid w:val="00BA3836"/>
    <w:rsid w:val="00BC3AB9"/>
    <w:rsid w:val="00BC66E9"/>
    <w:rsid w:val="00BC75A6"/>
    <w:rsid w:val="00BD1847"/>
    <w:rsid w:val="00BF1811"/>
    <w:rsid w:val="00BF1F7E"/>
    <w:rsid w:val="00BF35E4"/>
    <w:rsid w:val="00BF3619"/>
    <w:rsid w:val="00BF6BFF"/>
    <w:rsid w:val="00C012E4"/>
    <w:rsid w:val="00C0574E"/>
    <w:rsid w:val="00C128F6"/>
    <w:rsid w:val="00C132B3"/>
    <w:rsid w:val="00C148FA"/>
    <w:rsid w:val="00C22F33"/>
    <w:rsid w:val="00C3661C"/>
    <w:rsid w:val="00C372AC"/>
    <w:rsid w:val="00C37CAD"/>
    <w:rsid w:val="00C40E74"/>
    <w:rsid w:val="00C4216A"/>
    <w:rsid w:val="00C43764"/>
    <w:rsid w:val="00C5285E"/>
    <w:rsid w:val="00C53D09"/>
    <w:rsid w:val="00C60604"/>
    <w:rsid w:val="00C71890"/>
    <w:rsid w:val="00C86694"/>
    <w:rsid w:val="00C87D0D"/>
    <w:rsid w:val="00CA6B03"/>
    <w:rsid w:val="00CA7C74"/>
    <w:rsid w:val="00CB552B"/>
    <w:rsid w:val="00CB6BC8"/>
    <w:rsid w:val="00CC6715"/>
    <w:rsid w:val="00CD72DA"/>
    <w:rsid w:val="00CD75C9"/>
    <w:rsid w:val="00CE5533"/>
    <w:rsid w:val="00CF14AD"/>
    <w:rsid w:val="00CF1789"/>
    <w:rsid w:val="00CF3DA0"/>
    <w:rsid w:val="00D00327"/>
    <w:rsid w:val="00D015FB"/>
    <w:rsid w:val="00D018DE"/>
    <w:rsid w:val="00D03548"/>
    <w:rsid w:val="00D03812"/>
    <w:rsid w:val="00D054A0"/>
    <w:rsid w:val="00D1556B"/>
    <w:rsid w:val="00D17F3C"/>
    <w:rsid w:val="00D2136B"/>
    <w:rsid w:val="00D23AD7"/>
    <w:rsid w:val="00D25353"/>
    <w:rsid w:val="00D34C90"/>
    <w:rsid w:val="00D46622"/>
    <w:rsid w:val="00D47F11"/>
    <w:rsid w:val="00D50CEB"/>
    <w:rsid w:val="00D51F8F"/>
    <w:rsid w:val="00D52661"/>
    <w:rsid w:val="00D57648"/>
    <w:rsid w:val="00D61F94"/>
    <w:rsid w:val="00D64BE1"/>
    <w:rsid w:val="00D67AEC"/>
    <w:rsid w:val="00D87254"/>
    <w:rsid w:val="00DA2123"/>
    <w:rsid w:val="00DB567F"/>
    <w:rsid w:val="00DC015B"/>
    <w:rsid w:val="00DC05F7"/>
    <w:rsid w:val="00DD1A86"/>
    <w:rsid w:val="00DD2785"/>
    <w:rsid w:val="00DD31E7"/>
    <w:rsid w:val="00DE089F"/>
    <w:rsid w:val="00DE3E3C"/>
    <w:rsid w:val="00DE670E"/>
    <w:rsid w:val="00DE67EF"/>
    <w:rsid w:val="00DF3A38"/>
    <w:rsid w:val="00DF6E58"/>
    <w:rsid w:val="00DF70D3"/>
    <w:rsid w:val="00E0481E"/>
    <w:rsid w:val="00E1023E"/>
    <w:rsid w:val="00E13BA6"/>
    <w:rsid w:val="00E21CC9"/>
    <w:rsid w:val="00E233A4"/>
    <w:rsid w:val="00E3549B"/>
    <w:rsid w:val="00E41214"/>
    <w:rsid w:val="00E4375D"/>
    <w:rsid w:val="00E442D6"/>
    <w:rsid w:val="00E500A9"/>
    <w:rsid w:val="00E554C9"/>
    <w:rsid w:val="00E57440"/>
    <w:rsid w:val="00E62741"/>
    <w:rsid w:val="00E63538"/>
    <w:rsid w:val="00E73FFC"/>
    <w:rsid w:val="00E83F89"/>
    <w:rsid w:val="00E855E8"/>
    <w:rsid w:val="00EB0A0A"/>
    <w:rsid w:val="00EB2768"/>
    <w:rsid w:val="00EB66C1"/>
    <w:rsid w:val="00EC4EF5"/>
    <w:rsid w:val="00EC67EF"/>
    <w:rsid w:val="00ED2A9E"/>
    <w:rsid w:val="00EF1777"/>
    <w:rsid w:val="00F10766"/>
    <w:rsid w:val="00F2076B"/>
    <w:rsid w:val="00F214C8"/>
    <w:rsid w:val="00F26B43"/>
    <w:rsid w:val="00F33070"/>
    <w:rsid w:val="00F334D2"/>
    <w:rsid w:val="00F368DB"/>
    <w:rsid w:val="00F47ABA"/>
    <w:rsid w:val="00F50B76"/>
    <w:rsid w:val="00F61BA5"/>
    <w:rsid w:val="00F711DA"/>
    <w:rsid w:val="00F764DA"/>
    <w:rsid w:val="00F845CF"/>
    <w:rsid w:val="00FA0DE3"/>
    <w:rsid w:val="00FA1D49"/>
    <w:rsid w:val="00FA6B9F"/>
    <w:rsid w:val="00FB0A30"/>
    <w:rsid w:val="00FB23B0"/>
    <w:rsid w:val="00FC2CA6"/>
    <w:rsid w:val="00FC3340"/>
    <w:rsid w:val="00FC5172"/>
    <w:rsid w:val="00FC6440"/>
    <w:rsid w:val="00FD0B41"/>
    <w:rsid w:val="00FD382B"/>
    <w:rsid w:val="00FD3B18"/>
    <w:rsid w:val="00FE1034"/>
    <w:rsid w:val="00FE11BB"/>
    <w:rsid w:val="00FE481A"/>
    <w:rsid w:val="00FE602F"/>
    <w:rsid w:val="00FE6DD0"/>
    <w:rsid w:val="00FE75A1"/>
    <w:rsid w:val="00FF03F9"/>
    <w:rsid w:val="00FF06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2F291"/>
  <w15:docId w15:val="{4B054BA0-88DA-42FF-AE57-E79DDEE0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08BA"/>
    <w:rPr>
      <w:sz w:val="24"/>
      <w:szCs w:val="24"/>
    </w:rPr>
  </w:style>
  <w:style w:type="paragraph" w:styleId="Nadpis1">
    <w:name w:val="heading 1"/>
    <w:basedOn w:val="Normln"/>
    <w:next w:val="Normln"/>
    <w:qFormat/>
    <w:rsid w:val="001008BA"/>
    <w:pPr>
      <w:keepNext/>
      <w:outlineLvl w:val="0"/>
    </w:pPr>
    <w:rPr>
      <w:rFonts w:ascii="Arial" w:hAnsi="Arial" w:cs="Arial"/>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draeny">
    <w:name w:val="podraženy"/>
    <w:rsid w:val="001008BA"/>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jc w:val="both"/>
    </w:pPr>
    <w:rPr>
      <w:rFonts w:ascii="Times New Roman CE obyèejné" w:hAnsi="Times New Roman CE obyèejné"/>
      <w:szCs w:val="24"/>
    </w:rPr>
  </w:style>
  <w:style w:type="paragraph" w:styleId="Zkladntextodsazen3">
    <w:name w:val="Body Text Indent 3"/>
    <w:basedOn w:val="Normln"/>
    <w:semiHidden/>
    <w:rsid w:val="001008BA"/>
    <w:pPr>
      <w:widowControl w:val="0"/>
      <w:autoSpaceDE w:val="0"/>
      <w:autoSpaceDN w:val="0"/>
      <w:adjustRightInd w:val="0"/>
      <w:ind w:firstLine="708"/>
      <w:jc w:val="both"/>
    </w:pPr>
    <w:rPr>
      <w:rFonts w:ascii="Arial" w:hAnsi="Arial" w:cs="Arial"/>
      <w:sz w:val="18"/>
      <w:szCs w:val="20"/>
    </w:rPr>
  </w:style>
  <w:style w:type="paragraph" w:styleId="Zkladntext">
    <w:name w:val="Body Text"/>
    <w:basedOn w:val="Normln"/>
    <w:semiHidden/>
    <w:rsid w:val="001008BA"/>
    <w:pPr>
      <w:widowControl w:val="0"/>
      <w:suppressAutoHyphens/>
      <w:autoSpaceDE w:val="0"/>
      <w:autoSpaceDN w:val="0"/>
      <w:adjustRightInd w:val="0"/>
      <w:spacing w:before="120" w:line="215" w:lineRule="exact"/>
      <w:jc w:val="both"/>
    </w:pPr>
    <w:rPr>
      <w:rFonts w:ascii="Times New Roman CE obyèejné" w:hAnsi="Times New Roman CE obyèejné"/>
      <w:sz w:val="20"/>
      <w:szCs w:val="20"/>
    </w:rPr>
  </w:style>
  <w:style w:type="paragraph" w:styleId="Zkladntext2">
    <w:name w:val="Body Text 2"/>
    <w:basedOn w:val="Normln"/>
    <w:semiHidden/>
    <w:rsid w:val="001008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jc w:val="both"/>
    </w:pPr>
    <w:rPr>
      <w:rFonts w:ascii="Arial" w:hAnsi="Arial" w:cs="Arial"/>
      <w:sz w:val="20"/>
    </w:rPr>
  </w:style>
  <w:style w:type="paragraph" w:styleId="Zkladntextodsazen2">
    <w:name w:val="Body Text Indent 2"/>
    <w:basedOn w:val="Normln"/>
    <w:semiHidden/>
    <w:rsid w:val="001008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ind w:firstLine="709"/>
      <w:jc w:val="both"/>
    </w:pPr>
    <w:rPr>
      <w:rFonts w:ascii="Arial" w:hAnsi="Arial"/>
      <w:sz w:val="20"/>
    </w:rPr>
  </w:style>
  <w:style w:type="paragraph" w:styleId="Zkladntextodsazen">
    <w:name w:val="Body Text Indent"/>
    <w:basedOn w:val="Normln"/>
    <w:semiHidden/>
    <w:rsid w:val="001008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ind w:left="284" w:hanging="284"/>
      <w:jc w:val="both"/>
    </w:pPr>
    <w:rPr>
      <w:rFonts w:ascii="Arial" w:hAnsi="Arial"/>
      <w:sz w:val="20"/>
    </w:rPr>
  </w:style>
  <w:style w:type="character" w:styleId="Odkaznakoment">
    <w:name w:val="annotation reference"/>
    <w:semiHidden/>
    <w:rsid w:val="001008BA"/>
    <w:rPr>
      <w:sz w:val="16"/>
      <w:szCs w:val="16"/>
    </w:rPr>
  </w:style>
  <w:style w:type="paragraph" w:styleId="Textkomente">
    <w:name w:val="annotation text"/>
    <w:basedOn w:val="Normln"/>
    <w:link w:val="TextkomenteChar"/>
    <w:semiHidden/>
    <w:rsid w:val="001008BA"/>
    <w:rPr>
      <w:sz w:val="20"/>
      <w:szCs w:val="20"/>
    </w:rPr>
  </w:style>
  <w:style w:type="character" w:styleId="Hypertextovodkaz">
    <w:name w:val="Hyperlink"/>
    <w:semiHidden/>
    <w:rsid w:val="001008BA"/>
    <w:rPr>
      <w:color w:val="0000FF"/>
      <w:u w:val="single"/>
    </w:rPr>
  </w:style>
  <w:style w:type="character" w:styleId="Sledovanodkaz">
    <w:name w:val="FollowedHyperlink"/>
    <w:semiHidden/>
    <w:rsid w:val="001008BA"/>
    <w:rPr>
      <w:color w:val="800080"/>
      <w:u w:val="single"/>
    </w:rPr>
  </w:style>
  <w:style w:type="paragraph" w:styleId="Textbubliny">
    <w:name w:val="Balloon Text"/>
    <w:basedOn w:val="Normln"/>
    <w:link w:val="TextbublinyChar"/>
    <w:uiPriority w:val="99"/>
    <w:semiHidden/>
    <w:unhideWhenUsed/>
    <w:rsid w:val="006A34DB"/>
    <w:rPr>
      <w:rFonts w:ascii="Tahoma" w:hAnsi="Tahoma" w:cs="Tahoma"/>
      <w:sz w:val="16"/>
      <w:szCs w:val="16"/>
    </w:rPr>
  </w:style>
  <w:style w:type="character" w:customStyle="1" w:styleId="TextbublinyChar">
    <w:name w:val="Text bubliny Char"/>
    <w:link w:val="Textbubliny"/>
    <w:uiPriority w:val="99"/>
    <w:semiHidden/>
    <w:rsid w:val="006A34DB"/>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141E6F"/>
    <w:rPr>
      <w:b/>
      <w:bCs/>
    </w:rPr>
  </w:style>
  <w:style w:type="character" w:customStyle="1" w:styleId="TextkomenteChar">
    <w:name w:val="Text komentáře Char"/>
    <w:basedOn w:val="Standardnpsmoodstavce"/>
    <w:link w:val="Textkomente"/>
    <w:semiHidden/>
    <w:rsid w:val="00141E6F"/>
  </w:style>
  <w:style w:type="character" w:customStyle="1" w:styleId="PedmtkomenteChar">
    <w:name w:val="Předmět komentáře Char"/>
    <w:link w:val="Pedmtkomente"/>
    <w:uiPriority w:val="99"/>
    <w:semiHidden/>
    <w:rsid w:val="00141E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3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p.cz/" TargetMode="External"/><Relationship Id="rId3" Type="http://schemas.openxmlformats.org/officeDocument/2006/relationships/styles" Target="styles.xml"/><Relationship Id="rId7" Type="http://schemas.openxmlformats.org/officeDocument/2006/relationships/hyperlink" Target="http://www.nipos-m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zso.cz/csu/czso/kultura_lid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3CA14-B455-4B9F-8EAF-0429AE0A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1126</Words>
  <Characters>6646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22</vt:lpstr>
    </vt:vector>
  </TitlesOfParts>
  <Company>CSU</Company>
  <LinksUpToDate>false</LinksUpToDate>
  <CharactersWithSpaces>7757</CharactersWithSpaces>
  <SharedDoc>false</SharedDoc>
  <HLinks>
    <vt:vector size="24" baseType="variant">
      <vt:variant>
        <vt:i4>2031639</vt:i4>
      </vt:variant>
      <vt:variant>
        <vt:i4>9</vt:i4>
      </vt:variant>
      <vt:variant>
        <vt:i4>0</vt:i4>
      </vt:variant>
      <vt:variant>
        <vt:i4>5</vt:i4>
      </vt:variant>
      <vt:variant>
        <vt:lpwstr>http://olympicweb.cz/</vt:lpwstr>
      </vt:variant>
      <vt:variant>
        <vt:lpwstr/>
      </vt:variant>
      <vt:variant>
        <vt:i4>2162723</vt:i4>
      </vt:variant>
      <vt:variant>
        <vt:i4>6</vt:i4>
      </vt:variant>
      <vt:variant>
        <vt:i4>0</vt:i4>
      </vt:variant>
      <vt:variant>
        <vt:i4>5</vt:i4>
      </vt:variant>
      <vt:variant>
        <vt:lpwstr>../../../Users/mamka/AppData/Local/Temp/www.nkp.cz/</vt:lpwstr>
      </vt:variant>
      <vt:variant>
        <vt:lpwstr/>
      </vt:variant>
      <vt:variant>
        <vt:i4>1179658</vt:i4>
      </vt:variant>
      <vt:variant>
        <vt:i4>3</vt:i4>
      </vt:variant>
      <vt:variant>
        <vt:i4>0</vt:i4>
      </vt:variant>
      <vt:variant>
        <vt:i4>5</vt:i4>
      </vt:variant>
      <vt:variant>
        <vt:lpwstr>../../../Users/mamka/AppData/Local/Temp/www.nipos-mk.cz/</vt:lpwstr>
      </vt:variant>
      <vt:variant>
        <vt:lpwstr/>
      </vt:variant>
      <vt:variant>
        <vt:i4>65646</vt:i4>
      </vt:variant>
      <vt:variant>
        <vt:i4>0</vt:i4>
      </vt:variant>
      <vt:variant>
        <vt:i4>0</vt:i4>
      </vt:variant>
      <vt:variant>
        <vt:i4>5</vt:i4>
      </vt:variant>
      <vt:variant>
        <vt:lpwstr>../../../Users/mamka/AppData/Local/Temp/www.czso.cz/csu/redakce.nsf/i/kultura_lide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dc:title>
  <dc:creator>Dana Habartová</dc:creator>
  <cp:lastModifiedBy>Ing. Dana Habartová</cp:lastModifiedBy>
  <cp:revision>3</cp:revision>
  <cp:lastPrinted>2018-08-30T08:38:00Z</cp:lastPrinted>
  <dcterms:created xsi:type="dcterms:W3CDTF">2018-08-30T08:38:00Z</dcterms:created>
  <dcterms:modified xsi:type="dcterms:W3CDTF">2018-10-23T08:02:00Z</dcterms:modified>
</cp:coreProperties>
</file>