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088" w:rsidRDefault="00C01088">
      <w:pPr>
        <w:pStyle w:val="Nadpis1"/>
        <w:jc w:val="center"/>
        <w:rPr>
          <w:i w:val="0"/>
          <w:iCs w:val="0"/>
          <w:sz w:val="32"/>
          <w:lang w:val="en-US"/>
        </w:rPr>
      </w:pPr>
      <w:bookmarkStart w:id="0" w:name="_GoBack"/>
      <w:bookmarkEnd w:id="0"/>
      <w:r>
        <w:rPr>
          <w:i w:val="0"/>
          <w:iCs w:val="0"/>
          <w:sz w:val="32"/>
        </w:rPr>
        <w:t xml:space="preserve">Obsah / </w:t>
      </w:r>
      <w:r>
        <w:rPr>
          <w:i w:val="0"/>
          <w:iCs w:val="0"/>
          <w:sz w:val="32"/>
          <w:lang w:val="en-US"/>
        </w:rPr>
        <w:t>Contents</w:t>
      </w:r>
    </w:p>
    <w:p w:rsidR="00C01088" w:rsidRDefault="00C01088">
      <w:pPr>
        <w:ind w:firstLine="708"/>
        <w:jc w:val="right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z w:val="20"/>
        </w:rPr>
        <w:t>Strana</w:t>
      </w:r>
      <w:r>
        <w:rPr>
          <w:rFonts w:ascii="Arial" w:hAnsi="Arial" w:cs="Arial"/>
          <w:sz w:val="20"/>
        </w:rPr>
        <w:tab/>
        <w:t xml:space="preserve">/ </w:t>
      </w:r>
      <w:r>
        <w:rPr>
          <w:rFonts w:ascii="Arial" w:hAnsi="Arial" w:cs="Arial"/>
          <w:i/>
          <w:iCs/>
          <w:sz w:val="20"/>
          <w:lang w:val="en-US"/>
        </w:rPr>
        <w:t>Page</w:t>
      </w:r>
    </w:p>
    <w:p w:rsidR="00C01088" w:rsidRDefault="00C01088">
      <w:pPr>
        <w:jc w:val="both"/>
        <w:rPr>
          <w:rFonts w:ascii="Arial" w:hAnsi="Arial" w:cs="Arial"/>
          <w:sz w:val="20"/>
        </w:rPr>
      </w:pPr>
    </w:p>
    <w:p w:rsidR="00C01088" w:rsidRDefault="00C01088">
      <w:pPr>
        <w:tabs>
          <w:tab w:val="left" w:pos="828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Metodické vysvětlivky / </w:t>
      </w:r>
      <w:r>
        <w:rPr>
          <w:rFonts w:ascii="Arial" w:hAnsi="Arial" w:cs="Arial"/>
          <w:i/>
          <w:iCs/>
          <w:sz w:val="20"/>
          <w:lang w:val="en-US"/>
        </w:rPr>
        <w:t>Methodical notes</w:t>
      </w: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>1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tabs>
          <w:tab w:val="left" w:pos="828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Komentář k vývoji Indexů cen průmyslových výrobců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5B563B">
        <w:rPr>
          <w:rFonts w:ascii="Arial" w:hAnsi="Arial" w:cs="Arial"/>
          <w:sz w:val="20"/>
        </w:rPr>
        <w:t>7</w:t>
      </w:r>
    </w:p>
    <w:p w:rsidR="00C01088" w:rsidRDefault="00C01088">
      <w:pPr>
        <w:pStyle w:val="Nadpis1"/>
        <w:rPr>
          <w:lang w:val="en-US"/>
        </w:rPr>
      </w:pPr>
      <w:r>
        <w:rPr>
          <w:lang w:val="en-US"/>
        </w:rPr>
        <w:t>Commentary on Industrial Producer Price Indices</w:t>
      </w:r>
    </w:p>
    <w:p w:rsidR="00C01088" w:rsidRDefault="00C01088">
      <w:pPr>
        <w:rPr>
          <w:rFonts w:ascii="Arial" w:hAnsi="Arial" w:cs="Arial"/>
          <w:sz w:val="20"/>
          <w:lang w:val="en-US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Indexy cen průmyslových výrobců podle sekce </w:t>
      </w:r>
      <w:r>
        <w:rPr>
          <w:rFonts w:ascii="Arial" w:hAnsi="Arial" w:cs="Arial"/>
          <w:b/>
          <w:bCs/>
          <w:noProof/>
          <w:sz w:val="20"/>
        </w:rPr>
        <w:t>a subsekce</w:t>
      </w:r>
      <w:r>
        <w:rPr>
          <w:rFonts w:ascii="Arial" w:hAnsi="Arial" w:cs="Arial"/>
          <w:b/>
          <w:bCs/>
          <w:sz w:val="20"/>
        </w:rPr>
        <w:t xml:space="preserve"> CZ-CPA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>Industrial Producer Price Indices by Section and Subsection of CZ-CPA</w:t>
      </w:r>
    </w:p>
    <w:p w:rsidR="00C01088" w:rsidRDefault="00C01088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  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Tab.1    Předchozí</w:t>
      </w:r>
      <w:proofErr w:type="gramEnd"/>
      <w:r>
        <w:rPr>
          <w:rFonts w:ascii="Arial" w:hAnsi="Arial" w:cs="Arial"/>
          <w:sz w:val="20"/>
        </w:rPr>
        <w:t xml:space="preserve"> období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114F36">
        <w:rPr>
          <w:rFonts w:ascii="Arial" w:hAnsi="Arial" w:cs="Arial"/>
          <w:sz w:val="20"/>
        </w:rPr>
        <w:t>1</w:t>
      </w:r>
      <w:r w:rsidR="00D74E2F">
        <w:rPr>
          <w:rFonts w:ascii="Arial" w:hAnsi="Arial" w:cs="Arial"/>
          <w:sz w:val="20"/>
        </w:rPr>
        <w:t>0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  <w:lang w:val="en-US"/>
        </w:rPr>
        <w:t>Previous period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Tab.2    Stejné</w:t>
      </w:r>
      <w:proofErr w:type="gramEnd"/>
      <w:r>
        <w:rPr>
          <w:rFonts w:ascii="Arial" w:hAnsi="Arial" w:cs="Arial"/>
          <w:sz w:val="20"/>
        </w:rPr>
        <w:t xml:space="preserve"> období předchozího roku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5B563B">
        <w:rPr>
          <w:rFonts w:ascii="Arial" w:hAnsi="Arial" w:cs="Arial"/>
          <w:sz w:val="20"/>
        </w:rPr>
        <w:t>1</w:t>
      </w:r>
      <w:r w:rsidR="00D74E2F">
        <w:rPr>
          <w:rFonts w:ascii="Arial" w:hAnsi="Arial" w:cs="Arial"/>
          <w:sz w:val="20"/>
        </w:rPr>
        <w:t>1</w:t>
      </w:r>
    </w:p>
    <w:p w:rsidR="00C01088" w:rsidRDefault="00C01088">
      <w:pPr>
        <w:tabs>
          <w:tab w:val="left" w:pos="360"/>
        </w:tabs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  <w:t>Corresponding period of the previous year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Tab.3    </w:t>
      </w:r>
      <w:r w:rsidR="003D468F">
        <w:rPr>
          <w:rFonts w:ascii="Arial" w:hAnsi="Arial" w:cs="Arial"/>
          <w:sz w:val="20"/>
        </w:rPr>
        <w:t>P</w:t>
      </w:r>
      <w:r w:rsidR="006C0237">
        <w:rPr>
          <w:rFonts w:ascii="Arial" w:hAnsi="Arial" w:cs="Arial"/>
          <w:sz w:val="20"/>
        </w:rPr>
        <w:t>růměr</w:t>
      </w:r>
      <w:proofErr w:type="gramEnd"/>
      <w:r w:rsidR="006C0237">
        <w:rPr>
          <w:rFonts w:ascii="Arial" w:hAnsi="Arial" w:cs="Arial"/>
          <w:sz w:val="20"/>
        </w:rPr>
        <w:t xml:space="preserve"> roku 2005</w:t>
      </w:r>
      <w:r w:rsidR="003D468F">
        <w:rPr>
          <w:rFonts w:ascii="Arial" w:hAnsi="Arial" w:cs="Arial"/>
          <w:sz w:val="20"/>
        </w:rPr>
        <w:t xml:space="preserve">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EC4083">
        <w:rPr>
          <w:rFonts w:ascii="Arial" w:hAnsi="Arial" w:cs="Arial"/>
          <w:sz w:val="20"/>
        </w:rPr>
        <w:t>1</w:t>
      </w:r>
      <w:r w:rsidR="00D74E2F">
        <w:rPr>
          <w:rFonts w:ascii="Arial" w:hAnsi="Arial" w:cs="Arial"/>
          <w:sz w:val="20"/>
        </w:rPr>
        <w:t>2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</w:r>
      <w:r w:rsidR="006C0237">
        <w:rPr>
          <w:rFonts w:ascii="Arial" w:hAnsi="Arial" w:cs="Arial"/>
          <w:i/>
          <w:iCs/>
          <w:sz w:val="20"/>
          <w:lang w:val="en-US"/>
        </w:rPr>
        <w:t xml:space="preserve">2005 average </w:t>
      </w:r>
      <w:r w:rsidR="003D468F">
        <w:rPr>
          <w:rFonts w:ascii="Arial" w:hAnsi="Arial" w:cs="Arial"/>
          <w:i/>
          <w:iCs/>
          <w:sz w:val="20"/>
          <w:lang w:val="en-US"/>
        </w:rPr>
        <w:t>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Tab.4    </w:t>
      </w:r>
      <w:r w:rsidR="003D468F">
        <w:rPr>
          <w:rFonts w:ascii="Arial" w:hAnsi="Arial" w:cs="Arial"/>
          <w:sz w:val="20"/>
        </w:rPr>
        <w:t>Průměr</w:t>
      </w:r>
      <w:proofErr w:type="gramEnd"/>
      <w:r w:rsidR="003D468F">
        <w:rPr>
          <w:rFonts w:ascii="Arial" w:hAnsi="Arial" w:cs="Arial"/>
          <w:sz w:val="20"/>
        </w:rPr>
        <w:t xml:space="preserve"> roku 20</w:t>
      </w:r>
      <w:r w:rsidR="006C0237">
        <w:rPr>
          <w:rFonts w:ascii="Arial" w:hAnsi="Arial" w:cs="Arial"/>
          <w:sz w:val="20"/>
        </w:rPr>
        <w:t>15</w:t>
      </w:r>
      <w:r w:rsidR="003D468F">
        <w:rPr>
          <w:rFonts w:ascii="Arial" w:hAnsi="Arial" w:cs="Arial"/>
          <w:sz w:val="20"/>
        </w:rPr>
        <w:t xml:space="preserve">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EC4083">
        <w:rPr>
          <w:rFonts w:ascii="Arial" w:hAnsi="Arial" w:cs="Arial"/>
          <w:sz w:val="20"/>
        </w:rPr>
        <w:t>1</w:t>
      </w:r>
      <w:r w:rsidR="00D74E2F">
        <w:rPr>
          <w:rFonts w:ascii="Arial" w:hAnsi="Arial" w:cs="Arial"/>
          <w:sz w:val="20"/>
        </w:rPr>
        <w:t>3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</w:r>
      <w:r w:rsidR="003D468F">
        <w:rPr>
          <w:rFonts w:ascii="Arial" w:hAnsi="Arial" w:cs="Arial"/>
          <w:i/>
          <w:iCs/>
          <w:sz w:val="20"/>
          <w:lang w:val="en-US"/>
        </w:rPr>
        <w:t>20</w:t>
      </w:r>
      <w:r w:rsidR="006C0237">
        <w:rPr>
          <w:rFonts w:ascii="Arial" w:hAnsi="Arial" w:cs="Arial"/>
          <w:i/>
          <w:iCs/>
          <w:sz w:val="20"/>
          <w:lang w:val="en-US"/>
        </w:rPr>
        <w:t>15</w:t>
      </w:r>
      <w:r w:rsidR="003D468F">
        <w:rPr>
          <w:rFonts w:ascii="Arial" w:hAnsi="Arial" w:cs="Arial"/>
          <w:i/>
          <w:iCs/>
          <w:sz w:val="20"/>
          <w:lang w:val="en-US"/>
        </w:rPr>
        <w:t xml:space="preserve"> average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Tab.5    Podíl</w:t>
      </w:r>
      <w:proofErr w:type="gramEnd"/>
      <w:r>
        <w:rPr>
          <w:rFonts w:ascii="Arial" w:hAnsi="Arial" w:cs="Arial"/>
          <w:sz w:val="20"/>
        </w:rPr>
        <w:t xml:space="preserve"> klouzavých průměrů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5B563B">
        <w:rPr>
          <w:rFonts w:ascii="Arial" w:hAnsi="Arial" w:cs="Arial"/>
          <w:sz w:val="20"/>
        </w:rPr>
        <w:t>1</w:t>
      </w:r>
      <w:r w:rsidR="00D74E2F">
        <w:rPr>
          <w:rFonts w:ascii="Arial" w:hAnsi="Arial" w:cs="Arial"/>
          <w:sz w:val="20"/>
        </w:rPr>
        <w:t>4</w:t>
      </w:r>
    </w:p>
    <w:p w:rsidR="00C01088" w:rsidRDefault="00C01088">
      <w:pPr>
        <w:tabs>
          <w:tab w:val="left" w:pos="360"/>
        </w:tabs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  <w:t>Ratio of rolling averages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Indexy cen průmyslových výrobců podle sekce, </w:t>
      </w:r>
      <w:r>
        <w:rPr>
          <w:rFonts w:ascii="Arial" w:hAnsi="Arial" w:cs="Arial"/>
          <w:b/>
          <w:bCs/>
          <w:noProof/>
          <w:sz w:val="20"/>
        </w:rPr>
        <w:t>subsekce,</w:t>
      </w:r>
      <w:r>
        <w:rPr>
          <w:rFonts w:ascii="Arial" w:hAnsi="Arial" w:cs="Arial"/>
          <w:b/>
          <w:bCs/>
          <w:sz w:val="20"/>
        </w:rPr>
        <w:t xml:space="preserve"> oddílu a skupiny CZ-CPA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 xml:space="preserve">Industrial Producer Price Indices by Section, Subsection, Division and Group of CZ-CPA </w:t>
      </w:r>
    </w:p>
    <w:p w:rsidR="00C01088" w:rsidRDefault="00C01088">
      <w:pPr>
        <w:rPr>
          <w:rFonts w:ascii="Arial" w:hAnsi="Arial" w:cs="Arial"/>
          <w:sz w:val="20"/>
          <w:lang w:val="en-US"/>
        </w:rPr>
      </w:pP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Tab.6    Předchozí</w:t>
      </w:r>
      <w:proofErr w:type="gramEnd"/>
      <w:r>
        <w:rPr>
          <w:rFonts w:ascii="Arial" w:hAnsi="Arial" w:cs="Arial"/>
          <w:sz w:val="20"/>
        </w:rPr>
        <w:t xml:space="preserve"> období = 100, stejné období předchozího roku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5B563B">
        <w:rPr>
          <w:rFonts w:ascii="Arial" w:hAnsi="Arial" w:cs="Arial"/>
          <w:sz w:val="20"/>
        </w:rPr>
        <w:t>1</w:t>
      </w:r>
      <w:r w:rsidR="00D74E2F">
        <w:rPr>
          <w:rFonts w:ascii="Arial" w:hAnsi="Arial" w:cs="Arial"/>
          <w:sz w:val="20"/>
        </w:rPr>
        <w:t>5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  <w:t>Previous period = 100, corresponding period of the previous year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Tab.7    </w:t>
      </w:r>
      <w:r w:rsidR="006C0237">
        <w:rPr>
          <w:rFonts w:ascii="Arial" w:hAnsi="Arial" w:cs="Arial"/>
          <w:sz w:val="20"/>
        </w:rPr>
        <w:t>Průměr</w:t>
      </w:r>
      <w:proofErr w:type="gramEnd"/>
      <w:r w:rsidR="006C0237">
        <w:rPr>
          <w:rFonts w:ascii="Arial" w:hAnsi="Arial" w:cs="Arial"/>
          <w:sz w:val="20"/>
        </w:rPr>
        <w:t xml:space="preserve"> roku 2005 = </w:t>
      </w:r>
      <w:r>
        <w:rPr>
          <w:rFonts w:ascii="Arial" w:hAnsi="Arial" w:cs="Arial"/>
          <w:sz w:val="20"/>
        </w:rPr>
        <w:t>100, průměr roku 20</w:t>
      </w:r>
      <w:r w:rsidR="006C0237">
        <w:rPr>
          <w:rFonts w:ascii="Arial" w:hAnsi="Arial" w:cs="Arial"/>
          <w:sz w:val="20"/>
        </w:rPr>
        <w:t>15</w:t>
      </w:r>
      <w:r>
        <w:rPr>
          <w:rFonts w:ascii="Arial" w:hAnsi="Arial" w:cs="Arial"/>
          <w:sz w:val="20"/>
        </w:rPr>
        <w:t xml:space="preserve">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114F36">
        <w:rPr>
          <w:rFonts w:ascii="Arial" w:hAnsi="Arial" w:cs="Arial"/>
          <w:sz w:val="20"/>
        </w:rPr>
        <w:t>2</w:t>
      </w:r>
      <w:r w:rsidR="00D74E2F">
        <w:rPr>
          <w:rFonts w:ascii="Arial" w:hAnsi="Arial" w:cs="Arial"/>
          <w:sz w:val="20"/>
        </w:rPr>
        <w:t>0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  <w:lang w:val="en-US"/>
        </w:rPr>
        <w:t>2005</w:t>
      </w:r>
      <w:r w:rsidR="006C0237">
        <w:rPr>
          <w:rFonts w:ascii="Arial" w:hAnsi="Arial" w:cs="Arial"/>
          <w:i/>
          <w:iCs/>
          <w:sz w:val="20"/>
          <w:lang w:val="en-US"/>
        </w:rPr>
        <w:t xml:space="preserve"> average </w:t>
      </w:r>
      <w:r>
        <w:rPr>
          <w:rFonts w:ascii="Arial" w:hAnsi="Arial" w:cs="Arial"/>
          <w:i/>
          <w:iCs/>
          <w:sz w:val="20"/>
          <w:lang w:val="en-US"/>
        </w:rPr>
        <w:t>= 100, 20</w:t>
      </w:r>
      <w:r w:rsidR="006C0237">
        <w:rPr>
          <w:rFonts w:ascii="Arial" w:hAnsi="Arial" w:cs="Arial"/>
          <w:i/>
          <w:iCs/>
          <w:sz w:val="20"/>
          <w:lang w:val="en-US"/>
        </w:rPr>
        <w:t>15</w:t>
      </w:r>
      <w:r>
        <w:rPr>
          <w:rFonts w:ascii="Arial" w:hAnsi="Arial" w:cs="Arial"/>
          <w:i/>
          <w:iCs/>
          <w:sz w:val="20"/>
          <w:lang w:val="en-US"/>
        </w:rPr>
        <w:t xml:space="preserve"> average = 100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Indexy cen průmyslových výrobců podle Hlavních průmyslových skupin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>Industrial Producer Price Indices by Main Industrial Groupings</w:t>
      </w:r>
    </w:p>
    <w:p w:rsidR="00C01088" w:rsidRDefault="00C01088">
      <w:pPr>
        <w:rPr>
          <w:rFonts w:ascii="Arial" w:hAnsi="Arial" w:cs="Arial"/>
          <w:sz w:val="20"/>
          <w:lang w:val="en-US"/>
        </w:rPr>
      </w:pPr>
    </w:p>
    <w:p w:rsidR="00F31F48" w:rsidRDefault="00C01088">
      <w:pPr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Tab.8    </w:t>
      </w:r>
      <w:r>
        <w:rPr>
          <w:rFonts w:ascii="Arial" w:hAnsi="Arial" w:cs="Arial"/>
          <w:noProof/>
          <w:sz w:val="20"/>
        </w:rPr>
        <w:t>Předch</w:t>
      </w:r>
      <w:proofErr w:type="gramEnd"/>
      <w:r>
        <w:rPr>
          <w:rFonts w:ascii="Arial" w:hAnsi="Arial" w:cs="Arial"/>
          <w:noProof/>
          <w:sz w:val="20"/>
        </w:rPr>
        <w:t>.</w:t>
      </w:r>
      <w:r>
        <w:rPr>
          <w:rFonts w:ascii="Arial" w:hAnsi="Arial" w:cs="Arial"/>
          <w:sz w:val="20"/>
        </w:rPr>
        <w:t xml:space="preserve"> období = 100, stejné období </w:t>
      </w:r>
      <w:r>
        <w:rPr>
          <w:rFonts w:ascii="Arial" w:hAnsi="Arial" w:cs="Arial"/>
          <w:noProof/>
          <w:sz w:val="20"/>
        </w:rPr>
        <w:t>předch</w:t>
      </w:r>
      <w:r>
        <w:rPr>
          <w:rFonts w:ascii="Arial" w:hAnsi="Arial" w:cs="Arial"/>
          <w:sz w:val="20"/>
        </w:rPr>
        <w:t>. roku = 100, průměr roku 2005 = 100</w:t>
      </w:r>
      <w:r w:rsidR="00F31F48">
        <w:rPr>
          <w:rFonts w:ascii="Arial" w:hAnsi="Arial" w:cs="Arial"/>
          <w:sz w:val="20"/>
        </w:rPr>
        <w:t>,</w:t>
      </w:r>
    </w:p>
    <w:p w:rsidR="00C01088" w:rsidRDefault="00F31F4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průměr roku 2015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01088">
        <w:rPr>
          <w:rFonts w:ascii="Arial" w:hAnsi="Arial" w:cs="Arial"/>
          <w:sz w:val="20"/>
        </w:rPr>
        <w:tab/>
      </w:r>
      <w:r w:rsidR="00EC4083">
        <w:rPr>
          <w:rFonts w:ascii="Arial" w:hAnsi="Arial" w:cs="Arial"/>
          <w:sz w:val="20"/>
        </w:rPr>
        <w:t>2</w:t>
      </w:r>
      <w:r w:rsidR="00D74E2F">
        <w:rPr>
          <w:rFonts w:ascii="Arial" w:hAnsi="Arial" w:cs="Arial"/>
          <w:sz w:val="20"/>
        </w:rPr>
        <w:t>5</w:t>
      </w:r>
    </w:p>
    <w:p w:rsidR="00C01088" w:rsidRDefault="00C01088">
      <w:pPr>
        <w:ind w:firstLine="708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Previous period = 100, corresponding period of the previous year = 100,</w:t>
      </w:r>
    </w:p>
    <w:p w:rsidR="00C01088" w:rsidRDefault="00C01088">
      <w:pPr>
        <w:ind w:firstLine="708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2005 average = 100</w:t>
      </w:r>
      <w:r w:rsidR="00F31F48">
        <w:rPr>
          <w:rFonts w:ascii="Arial" w:hAnsi="Arial" w:cs="Arial"/>
          <w:i/>
          <w:iCs/>
          <w:sz w:val="20"/>
          <w:lang w:val="en-US"/>
        </w:rPr>
        <w:t>, 2015 average = 100</w:t>
      </w:r>
    </w:p>
    <w:p w:rsidR="00C01088" w:rsidRDefault="00C01088">
      <w:pPr>
        <w:rPr>
          <w:rFonts w:ascii="Arial" w:hAnsi="Arial" w:cs="Arial"/>
          <w:b/>
          <w:bCs/>
          <w:sz w:val="20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Grafická část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>Graphic Representation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proofErr w:type="gramStart"/>
      <w:r>
        <w:rPr>
          <w:rFonts w:ascii="Arial" w:hAnsi="Arial" w:cs="Arial"/>
          <w:sz w:val="20"/>
        </w:rPr>
        <w:t>-  Indexy</w:t>
      </w:r>
      <w:proofErr w:type="gramEnd"/>
      <w:r>
        <w:rPr>
          <w:rFonts w:ascii="Arial" w:hAnsi="Arial" w:cs="Arial"/>
          <w:sz w:val="20"/>
        </w:rPr>
        <w:t xml:space="preserve"> cen průmyslových výrobců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EC4083">
        <w:rPr>
          <w:rFonts w:ascii="Arial" w:hAnsi="Arial" w:cs="Arial"/>
          <w:sz w:val="20"/>
        </w:rPr>
        <w:t>2</w:t>
      </w:r>
      <w:r w:rsidR="00D74E2F">
        <w:rPr>
          <w:rFonts w:ascii="Arial" w:hAnsi="Arial" w:cs="Arial"/>
          <w:sz w:val="20"/>
        </w:rPr>
        <w:t>7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 xml:space="preserve">Industrial Producer Price Indices 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Přílohy / </w:t>
      </w:r>
      <w:r>
        <w:rPr>
          <w:rFonts w:ascii="Arial" w:hAnsi="Arial" w:cs="Arial"/>
          <w:b/>
          <w:bCs/>
          <w:i/>
          <w:iCs/>
          <w:sz w:val="20"/>
          <w:lang w:val="en-US"/>
        </w:rPr>
        <w:t>Annexes</w:t>
      </w:r>
    </w:p>
    <w:p w:rsidR="00C01088" w:rsidRDefault="00C01088">
      <w:pPr>
        <w:pStyle w:val="Nadpis5"/>
        <w:jc w:val="left"/>
      </w:pPr>
    </w:p>
    <w:p w:rsidR="00C01088" w:rsidRDefault="00C01088">
      <w:pPr>
        <w:pStyle w:val="Nadpis5"/>
        <w:jc w:val="left"/>
      </w:pPr>
      <w:r>
        <w:t xml:space="preserve">Příloha I / </w:t>
      </w:r>
      <w:proofErr w:type="spellStart"/>
      <w:r w:rsidRPr="00721FA8">
        <w:rPr>
          <w:i/>
          <w:iCs/>
        </w:rPr>
        <w:t>Annex</w:t>
      </w:r>
      <w:proofErr w:type="spellEnd"/>
      <w:r w:rsidRPr="00721FA8">
        <w:rPr>
          <w:i/>
          <w:iCs/>
        </w:rPr>
        <w:t xml:space="preserve"> I</w:t>
      </w:r>
      <w:r>
        <w:t xml:space="preserve"> </w:t>
      </w:r>
    </w:p>
    <w:p w:rsidR="00D74E2F" w:rsidRDefault="00C0108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Průměrné ceny topných olejů </w:t>
      </w:r>
    </w:p>
    <w:p w:rsidR="00C01088" w:rsidRDefault="00C01088">
      <w:pPr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 xml:space="preserve">Average prices of oil products </w:t>
      </w:r>
    </w:p>
    <w:p w:rsidR="00C01088" w:rsidRDefault="00C01088">
      <w:pPr>
        <w:pStyle w:val="Nadpis5"/>
        <w:jc w:val="left"/>
      </w:pPr>
    </w:p>
    <w:p w:rsidR="00C01088" w:rsidRDefault="00C01088">
      <w:pPr>
        <w:pStyle w:val="Nadpis5"/>
        <w:jc w:val="left"/>
        <w:rPr>
          <w:i/>
          <w:iCs/>
        </w:rPr>
      </w:pPr>
      <w:r>
        <w:t xml:space="preserve">Příloha II / </w:t>
      </w:r>
      <w:proofErr w:type="spellStart"/>
      <w:r w:rsidRPr="00721FA8">
        <w:rPr>
          <w:i/>
          <w:iCs/>
        </w:rPr>
        <w:t>Annex</w:t>
      </w:r>
      <w:proofErr w:type="spellEnd"/>
      <w:r>
        <w:t xml:space="preserve"> </w:t>
      </w:r>
      <w:r>
        <w:rPr>
          <w:i/>
          <w:iCs/>
        </w:rPr>
        <w:t>II</w:t>
      </w:r>
    </w:p>
    <w:p w:rsidR="00C01088" w:rsidRDefault="00C01088">
      <w:pPr>
        <w:pStyle w:val="Nadpis1"/>
        <w:rPr>
          <w:i w:val="0"/>
          <w:iCs w:val="0"/>
        </w:rPr>
      </w:pPr>
      <w:r>
        <w:rPr>
          <w:i w:val="0"/>
          <w:iCs w:val="0"/>
        </w:rPr>
        <w:t>Průměrné čtvrtletní ceny elektřiny a zemního plynu za dodávky pro průmysl celkem a za pásma v České republice</w:t>
      </w:r>
    </w:p>
    <w:p w:rsidR="00C01088" w:rsidRDefault="00C01088">
      <w:pPr>
        <w:pStyle w:val="Nadpis1"/>
        <w:rPr>
          <w:lang w:val="en-US"/>
        </w:rPr>
      </w:pPr>
      <w:r>
        <w:rPr>
          <w:lang w:val="en-US"/>
        </w:rPr>
        <w:t>Average quarterly prices of electricity and natural gas supply for industry total and for the consumption bands in the Czech Republic</w:t>
      </w:r>
    </w:p>
    <w:p w:rsidR="00C01088" w:rsidRDefault="00C01088">
      <w:pPr>
        <w:pStyle w:val="Nadpis5"/>
        <w:jc w:val="left"/>
        <w:rPr>
          <w:lang w:val="en-US"/>
        </w:rPr>
      </w:pPr>
    </w:p>
    <w:p w:rsidR="00EC4083" w:rsidRDefault="00EC4083" w:rsidP="00EC4083">
      <w:pPr>
        <w:pStyle w:val="Nadpis5"/>
        <w:jc w:val="left"/>
      </w:pPr>
      <w:r>
        <w:t xml:space="preserve">Příloha III / </w:t>
      </w:r>
      <w:proofErr w:type="spellStart"/>
      <w:r w:rsidRPr="00721FA8">
        <w:rPr>
          <w:i/>
          <w:iCs/>
        </w:rPr>
        <w:t>Annex</w:t>
      </w:r>
      <w:proofErr w:type="spellEnd"/>
      <w:r w:rsidRPr="00721FA8">
        <w:rPr>
          <w:i/>
          <w:iCs/>
        </w:rPr>
        <w:t xml:space="preserve"> </w:t>
      </w:r>
      <w:r>
        <w:rPr>
          <w:i/>
          <w:iCs/>
        </w:rPr>
        <w:t>II</w:t>
      </w:r>
      <w:r w:rsidRPr="00721FA8">
        <w:rPr>
          <w:i/>
          <w:iCs/>
        </w:rPr>
        <w:t>I</w:t>
      </w:r>
      <w:r>
        <w:t xml:space="preserve"> </w:t>
      </w:r>
    </w:p>
    <w:p w:rsidR="00EC4083" w:rsidRDefault="00EC4083" w:rsidP="00EC408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Průměrné ceny vybraných potravinářských výrobků</w:t>
      </w:r>
    </w:p>
    <w:p w:rsidR="00EC4083" w:rsidRDefault="00EC4083" w:rsidP="00EC4083">
      <w:pPr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Average prices of the selected food products</w:t>
      </w:r>
    </w:p>
    <w:p w:rsidR="00EC4083" w:rsidRPr="00EC4083" w:rsidRDefault="00EC4083" w:rsidP="00EC4083">
      <w:pPr>
        <w:rPr>
          <w:lang w:val="en-US"/>
        </w:rPr>
      </w:pPr>
    </w:p>
    <w:sectPr w:rsidR="00EC4083" w:rsidRPr="00EC4083" w:rsidSect="003B74B2">
      <w:pgSz w:w="11906" w:h="16838"/>
      <w:pgMar w:top="1134" w:right="1134" w:bottom="1134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3285"/>
    <w:rsid w:val="000044EF"/>
    <w:rsid w:val="00114F36"/>
    <w:rsid w:val="003B74B2"/>
    <w:rsid w:val="003D468F"/>
    <w:rsid w:val="004046DF"/>
    <w:rsid w:val="004C3285"/>
    <w:rsid w:val="005310DD"/>
    <w:rsid w:val="005B563B"/>
    <w:rsid w:val="006C0237"/>
    <w:rsid w:val="0071744B"/>
    <w:rsid w:val="00721FA8"/>
    <w:rsid w:val="00797B14"/>
    <w:rsid w:val="008470C5"/>
    <w:rsid w:val="009177F2"/>
    <w:rsid w:val="00AA0258"/>
    <w:rsid w:val="00C01088"/>
    <w:rsid w:val="00C6035C"/>
    <w:rsid w:val="00CA18F5"/>
    <w:rsid w:val="00D74E2F"/>
    <w:rsid w:val="00E0550D"/>
    <w:rsid w:val="00E373AF"/>
    <w:rsid w:val="00EC4083"/>
    <w:rsid w:val="00F3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7B14"/>
    <w:rPr>
      <w:sz w:val="24"/>
      <w:szCs w:val="24"/>
    </w:rPr>
  </w:style>
  <w:style w:type="paragraph" w:styleId="Nadpis1">
    <w:name w:val="heading 1"/>
    <w:basedOn w:val="Normln"/>
    <w:next w:val="Normln"/>
    <w:qFormat/>
    <w:rsid w:val="00797B14"/>
    <w:pPr>
      <w:keepNext/>
      <w:outlineLvl w:val="0"/>
    </w:pPr>
    <w:rPr>
      <w:rFonts w:ascii="Arial" w:hAnsi="Arial" w:cs="Arial"/>
      <w:i/>
      <w:iCs/>
      <w:sz w:val="20"/>
    </w:rPr>
  </w:style>
  <w:style w:type="paragraph" w:styleId="Nadpis2">
    <w:name w:val="heading 2"/>
    <w:basedOn w:val="Normln"/>
    <w:next w:val="Normln"/>
    <w:qFormat/>
    <w:rsid w:val="00797B14"/>
    <w:pPr>
      <w:keepNext/>
      <w:outlineLvl w:val="1"/>
    </w:pPr>
    <w:rPr>
      <w:rFonts w:ascii="Arial" w:hAnsi="Arial" w:cs="Arial"/>
      <w:b/>
      <w:bCs/>
      <w:i/>
      <w:iCs/>
      <w:sz w:val="20"/>
    </w:rPr>
  </w:style>
  <w:style w:type="paragraph" w:styleId="Nadpis3">
    <w:name w:val="heading 3"/>
    <w:basedOn w:val="Normln"/>
    <w:next w:val="Normln"/>
    <w:qFormat/>
    <w:rsid w:val="00797B14"/>
    <w:pPr>
      <w:keepNext/>
      <w:jc w:val="center"/>
      <w:outlineLvl w:val="2"/>
    </w:pPr>
    <w:rPr>
      <w:rFonts w:ascii="Arial" w:hAnsi="Arial" w:cs="Arial"/>
      <w:b/>
      <w:bCs/>
      <w:i/>
      <w:iCs/>
      <w:sz w:val="28"/>
    </w:rPr>
  </w:style>
  <w:style w:type="paragraph" w:styleId="Nadpis4">
    <w:name w:val="heading 4"/>
    <w:basedOn w:val="Normln"/>
    <w:next w:val="Normln"/>
    <w:qFormat/>
    <w:rsid w:val="00797B14"/>
    <w:pPr>
      <w:keepNext/>
      <w:ind w:firstLine="708"/>
      <w:outlineLvl w:val="3"/>
    </w:pPr>
    <w:rPr>
      <w:rFonts w:ascii="Arial" w:hAnsi="Arial" w:cs="Arial"/>
      <w:i/>
      <w:iCs/>
      <w:sz w:val="20"/>
      <w:lang w:val="en-US"/>
    </w:rPr>
  </w:style>
  <w:style w:type="paragraph" w:styleId="Nadpis5">
    <w:name w:val="heading 5"/>
    <w:basedOn w:val="Normln"/>
    <w:next w:val="Normln"/>
    <w:qFormat/>
    <w:rsid w:val="00797B14"/>
    <w:pPr>
      <w:keepNext/>
      <w:jc w:val="both"/>
      <w:outlineLvl w:val="4"/>
    </w:pPr>
    <w:rPr>
      <w:rFonts w:ascii="Arial" w:hAnsi="Arial" w:cs="Arial"/>
      <w:b/>
      <w:bCs/>
      <w:sz w:val="20"/>
    </w:rPr>
  </w:style>
  <w:style w:type="paragraph" w:styleId="Nadpis6">
    <w:name w:val="heading 6"/>
    <w:basedOn w:val="Normln"/>
    <w:next w:val="Normln"/>
    <w:qFormat/>
    <w:rsid w:val="00797B14"/>
    <w:pPr>
      <w:keepNext/>
      <w:outlineLvl w:val="5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qFormat/>
    <w:rsid w:val="00797B14"/>
    <w:rPr>
      <w:b/>
      <w:bCs/>
    </w:rPr>
  </w:style>
  <w:style w:type="paragraph" w:customStyle="1" w:styleId="Style0">
    <w:name w:val="Style0"/>
    <w:rsid w:val="00797B14"/>
    <w:rPr>
      <w:rFonts w:ascii="MS Sans Serif" w:hAnsi="MS Sans Serif"/>
      <w:snapToGrid w:val="0"/>
      <w:sz w:val="24"/>
    </w:rPr>
  </w:style>
  <w:style w:type="paragraph" w:styleId="Nzev">
    <w:name w:val="Title"/>
    <w:basedOn w:val="Normln"/>
    <w:qFormat/>
    <w:rsid w:val="00797B14"/>
    <w:pPr>
      <w:jc w:val="center"/>
    </w:pPr>
    <w:rPr>
      <w:b/>
      <w:bCs/>
      <w:sz w:val="28"/>
    </w:rPr>
  </w:style>
  <w:style w:type="paragraph" w:styleId="Zkladntext">
    <w:name w:val="Body Text"/>
    <w:basedOn w:val="Normln"/>
    <w:semiHidden/>
    <w:rsid w:val="00797B14"/>
    <w:pPr>
      <w:jc w:val="both"/>
    </w:pPr>
    <w:rPr>
      <w:rFonts w:ascii="Arial" w:hAnsi="Arial" w:cs="Arial"/>
      <w:sz w:val="20"/>
    </w:rPr>
  </w:style>
  <w:style w:type="paragraph" w:styleId="Zkladntext2">
    <w:name w:val="Body Text 2"/>
    <w:basedOn w:val="Normln"/>
    <w:semiHidden/>
    <w:rsid w:val="00797B14"/>
    <w:rPr>
      <w:rFonts w:ascii="Arial" w:hAnsi="Arial" w:cs="Arial"/>
      <w:i/>
      <w:iCs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298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subject/>
  <dc:creator>Miloslav Beránek</dc:creator>
  <cp:keywords/>
  <dc:description/>
  <cp:lastModifiedBy>Miloslav Beránek</cp:lastModifiedBy>
  <cp:revision>14</cp:revision>
  <cp:lastPrinted>2016-01-14T07:59:00Z</cp:lastPrinted>
  <dcterms:created xsi:type="dcterms:W3CDTF">2013-12-04T09:30:00Z</dcterms:created>
  <dcterms:modified xsi:type="dcterms:W3CDTF">2019-01-18T12:30:00Z</dcterms:modified>
</cp:coreProperties>
</file>