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CB5336">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w:t>
      </w:r>
      <w:r w:rsidR="00F752DB">
        <w:rPr>
          <w:rFonts w:cs="Arial"/>
          <w:szCs w:val="24"/>
        </w:rPr>
        <w:t xml:space="preserve">(každoroční) </w:t>
      </w:r>
      <w:r>
        <w:rPr>
          <w:rFonts w:cs="Arial"/>
          <w:szCs w:val="24"/>
        </w:rPr>
        <w:t>intercenzální</w:t>
      </w:r>
      <w:r w:rsidR="00F752DB">
        <w:rPr>
          <w:rFonts w:cs="Arial"/>
          <w:szCs w:val="24"/>
        </w:rPr>
        <w:t xml:space="preserve"> </w:t>
      </w:r>
      <w:r>
        <w:rPr>
          <w:rFonts w:cs="Arial"/>
          <w:szCs w:val="24"/>
        </w:rPr>
        <w:t xml:space="preserve">statistické bilance obyvatel vycházející ze zpracování statistických hlášení ČSÚ o sňatcích, narozeních, úmrtích a rozvodech a dat o stěhování z informačních systémů Ministerstva vnitra ČR. </w:t>
      </w:r>
      <w:r>
        <w:rPr>
          <w:rFonts w:cs="Arial"/>
        </w:rPr>
        <w:t>V údajích o</w:t>
      </w:r>
      <w:r w:rsidR="00F752DB">
        <w:rPr>
          <w:rFonts w:cs="Arial"/>
        </w:rPr>
        <w:t> </w:t>
      </w:r>
      <w:r>
        <w:rPr>
          <w:rFonts w:cs="Arial"/>
        </w:rPr>
        <w:t>demografických událostech jsou obsaženy i sňatky, narození a úmrtí českých občanů s trvalým bydlištěm na území ČR, které nastaly v</w:t>
      </w:r>
      <w:r w:rsidR="00EB7A75">
        <w:rPr>
          <w:rFonts w:cs="Arial"/>
        </w:rPr>
        <w:t> </w:t>
      </w:r>
      <w:r>
        <w:rPr>
          <w:rFonts w:cs="Arial"/>
        </w:rPr>
        <w:t>cizině</w:t>
      </w:r>
      <w:r w:rsidR="00EB7A75">
        <w:rPr>
          <w:rFonts w:cs="Arial"/>
        </w:rPr>
        <w:t>, pokud byly zaevidovány zvláštní matrikou</w:t>
      </w:r>
      <w:r>
        <w:rPr>
          <w:rFonts w:cs="Arial"/>
        </w:rPr>
        <w:t xml:space="preserve">. </w:t>
      </w:r>
      <w:r>
        <w:rPr>
          <w:rFonts w:cs="Arial"/>
          <w:szCs w:val="24"/>
        </w:rPr>
        <w:t>Údaje jsou zveřejňovány čtvrtletně v členění do krajů a okresů (v Praze také do správních obvodů a městských částí), jednou ročně pak i </w:t>
      </w:r>
      <w:r w:rsidR="00276BEE">
        <w:rPr>
          <w:rFonts w:cs="Arial"/>
          <w:szCs w:val="24"/>
        </w:rPr>
        <w:t>do</w:t>
      </w:r>
      <w:r>
        <w:rPr>
          <w:rFonts w:cs="Arial"/>
          <w:szCs w:val="24"/>
        </w:rPr>
        <w:t xml:space="preserve"> jednotlivých obcí. </w:t>
      </w:r>
    </w:p>
    <w:p w:rsidR="0068466A" w:rsidRPr="001A7C45" w:rsidRDefault="0068466A" w:rsidP="00CB5336">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w:t>
      </w:r>
      <w:r w:rsidR="00EB7A75">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považován počet obyvatel k 1. 7. sledovaného roku. Střední stav obyvatel za jiná období se </w:t>
      </w:r>
      <w:r w:rsidR="00F752DB">
        <w:rPr>
          <w:rFonts w:ascii="Arial" w:hAnsi="Arial" w:cs="Arial"/>
          <w:sz w:val="20"/>
        </w:rPr>
        <w:t>určuje</w:t>
      </w:r>
      <w:r>
        <w:rPr>
          <w:rFonts w:ascii="Arial" w:hAnsi="Arial" w:cs="Arial"/>
          <w:sz w:val="20"/>
        </w:rPr>
        <w:t xml:space="preserve"> jako aritmetický průměr středních stavů příslušných měsíců</w:t>
      </w:r>
      <w:r w:rsidR="00F752DB">
        <w:rPr>
          <w:rFonts w:ascii="Arial" w:hAnsi="Arial" w:cs="Arial"/>
          <w:sz w:val="20"/>
        </w:rPr>
        <w:t xml:space="preserve"> v daném období</w:t>
      </w:r>
      <w:r>
        <w:rPr>
          <w:rFonts w:ascii="Arial" w:hAnsi="Arial" w:cs="Arial"/>
          <w:sz w:val="20"/>
        </w:rPr>
        <w:t xml:space="preserve">.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w:t>
      </w:r>
      <w:r w:rsidR="00CB26E1">
        <w:rPr>
          <w:rFonts w:ascii="Arial" w:hAnsi="Arial" w:cs="Arial"/>
          <w:sz w:val="20"/>
        </w:rPr>
        <w:t> </w:t>
      </w:r>
      <w:r>
        <w:rPr>
          <w:rFonts w:ascii="Arial" w:hAnsi="Arial" w:cs="Arial"/>
          <w:sz w:val="20"/>
        </w:rPr>
        <w:t>000 živě narozených dětí v příslušném období. Novorozenecká úmrtnost udává počet zemřelých dětí před dosažením věku 28 dnů na 1</w:t>
      </w:r>
      <w:r w:rsidR="00CB26E1">
        <w:rPr>
          <w:rFonts w:ascii="Arial" w:hAnsi="Arial" w:cs="Arial"/>
          <w:sz w:val="20"/>
        </w:rPr>
        <w:t> </w:t>
      </w:r>
      <w:r>
        <w:rPr>
          <w:rFonts w:ascii="Arial" w:hAnsi="Arial" w:cs="Arial"/>
          <w:sz w:val="20"/>
        </w:rPr>
        <w:t>000 živě narozených dětí v příslušném období.</w:t>
      </w:r>
    </w:p>
    <w:p w:rsidR="009C5FE5" w:rsidRPr="00CB5336" w:rsidRDefault="009C5FE5" w:rsidP="00CB5336">
      <w:pPr>
        <w:pStyle w:val="Nadpis8"/>
        <w:spacing w:line="233" w:lineRule="auto"/>
        <w:rPr>
          <w:rStyle w:val="Siln"/>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Výsledky jsou publikovány za celou populaci podniků</w:t>
      </w:r>
      <w:r w:rsidRPr="006B662A">
        <w:rPr>
          <w:rFonts w:cs="Arial"/>
          <w:bCs/>
        </w:rPr>
        <w:t xml:space="preserve">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w:t>
      </w:r>
      <w:r w:rsidR="00F752DB">
        <w:rPr>
          <w:rFonts w:ascii="Arial" w:hAnsi="Arial" w:cs="Arial"/>
          <w:bCs/>
          <w:color w:val="auto"/>
          <w:sz w:val="20"/>
        </w:rPr>
        <w:t> </w:t>
      </w:r>
      <w:r>
        <w:rPr>
          <w:rFonts w:ascii="Arial" w:hAnsi="Arial" w:cs="Arial"/>
          <w:bCs/>
          <w:color w:val="auto"/>
          <w:sz w:val="20"/>
        </w:rPr>
        <w:t xml:space="preserve">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w:t>
      </w:r>
      <w:r w:rsidR="00F752DB">
        <w:rPr>
          <w:rFonts w:ascii="Arial" w:hAnsi="Arial" w:cs="Arial"/>
          <w:sz w:val="20"/>
        </w:rPr>
        <w:t> </w:t>
      </w:r>
      <w:r>
        <w:rPr>
          <w:rFonts w:ascii="Arial" w:hAnsi="Arial" w:cs="Arial"/>
          <w:sz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CB5336">
      <w:pPr>
        <w:pStyle w:val="Zkladntext3"/>
        <w:spacing w:after="120"/>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Pr="006A3D8E" w:rsidRDefault="0003518E" w:rsidP="004F4394">
      <w:pPr>
        <w:pStyle w:val="Nadpis8"/>
        <w:spacing w:line="233" w:lineRule="auto"/>
        <w:rPr>
          <w:rStyle w:val="Siln"/>
          <w:rFonts w:cs="Arial"/>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CB533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w:t>
      </w:r>
    </w:p>
    <w:p w:rsidR="003E0A67" w:rsidRPr="00C63FAD" w:rsidRDefault="003E0A67" w:rsidP="00CB5336">
      <w:pPr>
        <w:pStyle w:val="Zkladntext3"/>
        <w:spacing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CB5336">
      <w:pPr>
        <w:pStyle w:val="Zkladntext3"/>
        <w:spacing w:after="120"/>
        <w:rPr>
          <w:rFonts w:cs="Arial"/>
          <w:szCs w:val="20"/>
        </w:rPr>
      </w:pPr>
      <w:r w:rsidRPr="00C63FAD">
        <w:rPr>
          <w:rFonts w:cs="Arial"/>
          <w:szCs w:val="20"/>
        </w:rPr>
        <w:lastRenderedPageBreak/>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CB533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w:t>
      </w:r>
      <w:r w:rsidR="0064650C">
        <w:rPr>
          <w:rFonts w:cs="Arial"/>
          <w:szCs w:val="20"/>
        </w:rPr>
        <w:t>–</w:t>
      </w:r>
      <w:r w:rsidRPr="00C63FAD">
        <w:rPr>
          <w:rFonts w:cs="Arial"/>
          <w:szCs w:val="20"/>
        </w:rPr>
        <w:t xml:space="preserve"> udává se v %. </w:t>
      </w:r>
    </w:p>
    <w:p w:rsidR="003E0A67" w:rsidRPr="00C63FAD" w:rsidRDefault="003E0A67" w:rsidP="00CB5336">
      <w:pPr>
        <w:pStyle w:val="Zkladntext3"/>
        <w:spacing w:after="120"/>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sidR="0064650C">
        <w:rPr>
          <w:rFonts w:cs="Arial"/>
          <w:szCs w:val="20"/>
        </w:rPr>
        <w:t>–</w:t>
      </w:r>
      <w:r w:rsidRPr="00C63FAD">
        <w:rPr>
          <w:rFonts w:cs="Arial"/>
          <w:szCs w:val="20"/>
        </w:rPr>
        <w:t xml:space="preserve"> udává se v %. </w:t>
      </w:r>
    </w:p>
    <w:p w:rsidR="003E0A67" w:rsidRDefault="003E0A67" w:rsidP="00CB5336">
      <w:pPr>
        <w:pStyle w:val="Normlnweb"/>
        <w:spacing w:before="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4B20EB" w:rsidRDefault="004B20EB" w:rsidP="004B20EB">
      <w:pPr>
        <w:pStyle w:val="Normlnweb"/>
        <w:spacing w:after="240" w:afterAutospacing="0"/>
        <w:jc w:val="center"/>
        <w:rPr>
          <w:rFonts w:ascii="Arial" w:hAnsi="Arial" w:cs="Arial"/>
          <w:b/>
          <w:color w:val="auto"/>
          <w:sz w:val="20"/>
        </w:rPr>
      </w:pPr>
      <w:r w:rsidRPr="00975221">
        <w:rPr>
          <w:rFonts w:ascii="Arial" w:hAnsi="Arial" w:cs="Arial"/>
          <w:b/>
          <w:color w:val="auto"/>
          <w:sz w:val="20"/>
        </w:rPr>
        <w:t>Intervaly spolehlivosti (95%) pro odhad počtu zaměstnaných v NH,</w:t>
      </w:r>
      <w:r w:rsidRPr="00975221">
        <w:rPr>
          <w:rFonts w:ascii="Arial" w:hAnsi="Arial" w:cs="Arial"/>
          <w:b/>
          <w:color w:val="auto"/>
          <w:sz w:val="20"/>
        </w:rPr>
        <w:br/>
        <w:t>nezaměstnaných a měr nezaměstnanosti (</w:t>
      </w:r>
      <w:r w:rsidR="00F752DB">
        <w:rPr>
          <w:rFonts w:ascii="Arial" w:hAnsi="Arial" w:cs="Arial"/>
          <w:b/>
          <w:color w:val="auto"/>
          <w:sz w:val="20"/>
        </w:rPr>
        <w:t>1</w:t>
      </w:r>
      <w:r w:rsidRPr="00975221">
        <w:rPr>
          <w:rFonts w:ascii="Arial" w:hAnsi="Arial" w:cs="Arial"/>
          <w:b/>
          <w:color w:val="auto"/>
          <w:sz w:val="20"/>
        </w:rPr>
        <w:t>. čtvrtletí 201</w:t>
      </w:r>
      <w:r w:rsidR="00F752DB">
        <w:rPr>
          <w:rFonts w:ascii="Arial" w:hAnsi="Arial" w:cs="Arial"/>
          <w:b/>
          <w:color w:val="auto"/>
          <w:sz w:val="20"/>
        </w:rPr>
        <w:t>9</w:t>
      </w:r>
      <w:r w:rsidRPr="00975221">
        <w:rPr>
          <w:rFonts w:ascii="Arial" w:hAnsi="Arial" w:cs="Arial"/>
          <w:b/>
          <w:color w:val="auto"/>
          <w:sz w:val="20"/>
        </w:rPr>
        <w:t>)</w:t>
      </w:r>
    </w:p>
    <w:tbl>
      <w:tblPr>
        <w:tblW w:w="0" w:type="auto"/>
        <w:jc w:val="center"/>
        <w:tblLayout w:type="fixed"/>
        <w:tblCellMar>
          <w:left w:w="70" w:type="dxa"/>
          <w:right w:w="70" w:type="dxa"/>
        </w:tblCellMar>
        <w:tblLook w:val="0000" w:firstRow="0" w:lastRow="0" w:firstColumn="0" w:lastColumn="0" w:noHBand="0" w:noVBand="0"/>
      </w:tblPr>
      <w:tblGrid>
        <w:gridCol w:w="1783"/>
        <w:gridCol w:w="931"/>
        <w:gridCol w:w="932"/>
        <w:gridCol w:w="931"/>
        <w:gridCol w:w="931"/>
        <w:gridCol w:w="931"/>
        <w:gridCol w:w="931"/>
        <w:gridCol w:w="932"/>
        <w:gridCol w:w="1276"/>
      </w:tblGrid>
      <w:tr w:rsidR="00F752DB" w:rsidTr="00F752DB">
        <w:trPr>
          <w:trHeight w:val="334"/>
          <w:jc w:val="center"/>
        </w:trPr>
        <w:tc>
          <w:tcPr>
            <w:tcW w:w="1783" w:type="dxa"/>
            <w:tcBorders>
              <w:top w:val="single" w:sz="12" w:space="0" w:color="auto"/>
              <w:left w:val="nil"/>
              <w:bottom w:val="nil"/>
              <w:right w:val="single" w:sz="6" w:space="0" w:color="auto"/>
            </w:tcBorders>
          </w:tcPr>
          <w:p w:rsidR="00F752DB" w:rsidRDefault="00F752DB">
            <w:pPr>
              <w:autoSpaceDE w:val="0"/>
              <w:autoSpaceDN w:val="0"/>
              <w:adjustRightInd w:val="0"/>
              <w:jc w:val="center"/>
              <w:rPr>
                <w:rFonts w:ascii="Arial" w:hAnsi="Arial" w:cs="Arial"/>
                <w:b/>
                <w:bCs/>
                <w:color w:val="000000"/>
                <w:sz w:val="16"/>
                <w:szCs w:val="16"/>
              </w:rPr>
            </w:pPr>
          </w:p>
        </w:tc>
        <w:tc>
          <w:tcPr>
            <w:tcW w:w="931" w:type="dxa"/>
            <w:gridSpan w:val="2"/>
            <w:tcBorders>
              <w:top w:val="single" w:sz="12" w:space="0" w:color="auto"/>
              <w:left w:val="single" w:sz="6" w:space="0" w:color="auto"/>
              <w:bottom w:val="single" w:sz="6" w:space="0" w:color="auto"/>
              <w:right w:val="nil"/>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Zaměstnaní (v tis.)</w:t>
            </w:r>
          </w:p>
        </w:tc>
        <w:tc>
          <w:tcPr>
            <w:tcW w:w="931" w:type="dxa"/>
            <w:tcBorders>
              <w:top w:val="single" w:sz="12" w:space="0" w:color="auto"/>
              <w:left w:val="nil"/>
              <w:bottom w:val="single" w:sz="6" w:space="0" w:color="auto"/>
              <w:right w:val="single" w:sz="6" w:space="0" w:color="auto"/>
            </w:tcBorders>
          </w:tcPr>
          <w:p w:rsidR="00F752DB" w:rsidRDefault="00F752DB">
            <w:pPr>
              <w:autoSpaceDE w:val="0"/>
              <w:autoSpaceDN w:val="0"/>
              <w:adjustRightInd w:val="0"/>
              <w:jc w:val="center"/>
              <w:rPr>
                <w:rFonts w:ascii="Arial" w:hAnsi="Arial" w:cs="Arial"/>
                <w:color w:val="000000"/>
                <w:sz w:val="16"/>
                <w:szCs w:val="16"/>
              </w:rPr>
            </w:pPr>
          </w:p>
        </w:tc>
        <w:tc>
          <w:tcPr>
            <w:tcW w:w="931" w:type="dxa"/>
            <w:gridSpan w:val="2"/>
            <w:tcBorders>
              <w:top w:val="single" w:sz="12" w:space="0" w:color="auto"/>
              <w:left w:val="single" w:sz="6" w:space="0" w:color="auto"/>
              <w:bottom w:val="single" w:sz="6" w:space="0" w:color="auto"/>
              <w:right w:val="nil"/>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Nezaměstnaní (v tis.)</w:t>
            </w:r>
          </w:p>
        </w:tc>
        <w:tc>
          <w:tcPr>
            <w:tcW w:w="931" w:type="dxa"/>
            <w:tcBorders>
              <w:top w:val="single" w:sz="12" w:space="0" w:color="auto"/>
              <w:left w:val="nil"/>
              <w:bottom w:val="single" w:sz="6" w:space="0" w:color="auto"/>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p>
        </w:tc>
        <w:tc>
          <w:tcPr>
            <w:tcW w:w="932" w:type="dxa"/>
            <w:gridSpan w:val="2"/>
            <w:tcBorders>
              <w:top w:val="single" w:sz="12" w:space="0" w:color="auto"/>
              <w:left w:val="single" w:sz="6" w:space="0" w:color="auto"/>
              <w:bottom w:val="single" w:sz="6" w:space="0" w:color="auto"/>
              <w:right w:val="nil"/>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Míra nezaměstnanosti (v %)</w:t>
            </w:r>
          </w:p>
        </w:tc>
      </w:tr>
      <w:tr w:rsidR="00F752DB" w:rsidTr="00F752DB">
        <w:trPr>
          <w:trHeight w:val="466"/>
          <w:jc w:val="center"/>
        </w:trPr>
        <w:tc>
          <w:tcPr>
            <w:tcW w:w="1783" w:type="dxa"/>
            <w:tcBorders>
              <w:top w:val="nil"/>
              <w:left w:val="nil"/>
              <w:bottom w:val="nil"/>
              <w:right w:val="single" w:sz="6" w:space="0" w:color="auto"/>
            </w:tcBorders>
          </w:tcPr>
          <w:p w:rsidR="00F752DB" w:rsidRDefault="00F752DB">
            <w:pPr>
              <w:autoSpaceDE w:val="0"/>
              <w:autoSpaceDN w:val="0"/>
              <w:adjustRightInd w:val="0"/>
              <w:jc w:val="center"/>
              <w:rPr>
                <w:rFonts w:ascii="Arial" w:hAnsi="Arial" w:cs="Arial"/>
                <w:b/>
                <w:bCs/>
                <w:color w:val="000000"/>
                <w:sz w:val="16"/>
                <w:szCs w:val="16"/>
              </w:rPr>
            </w:pPr>
          </w:p>
        </w:tc>
        <w:tc>
          <w:tcPr>
            <w:tcW w:w="931" w:type="dxa"/>
            <w:tcBorders>
              <w:top w:val="single" w:sz="6" w:space="0" w:color="auto"/>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odhad</w:t>
            </w:r>
          </w:p>
        </w:tc>
        <w:tc>
          <w:tcPr>
            <w:tcW w:w="932" w:type="dxa"/>
            <w:gridSpan w:val="2"/>
            <w:tcBorders>
              <w:top w:val="single" w:sz="6" w:space="0" w:color="auto"/>
              <w:left w:val="single" w:sz="6" w:space="0" w:color="auto"/>
              <w:bottom w:val="single" w:sz="6" w:space="0" w:color="auto"/>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95% interval</w:t>
            </w:r>
          </w:p>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spolehlivosti</w:t>
            </w:r>
          </w:p>
        </w:tc>
        <w:tc>
          <w:tcPr>
            <w:tcW w:w="931" w:type="dxa"/>
            <w:tcBorders>
              <w:top w:val="single" w:sz="6" w:space="0" w:color="auto"/>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odhad</w:t>
            </w:r>
          </w:p>
        </w:tc>
        <w:tc>
          <w:tcPr>
            <w:tcW w:w="931" w:type="dxa"/>
            <w:gridSpan w:val="2"/>
            <w:tcBorders>
              <w:top w:val="single" w:sz="6" w:space="0" w:color="auto"/>
              <w:left w:val="single" w:sz="6" w:space="0" w:color="auto"/>
              <w:bottom w:val="single" w:sz="6" w:space="0" w:color="auto"/>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95% interval</w:t>
            </w:r>
          </w:p>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spolehlivosti</w:t>
            </w:r>
          </w:p>
        </w:tc>
        <w:tc>
          <w:tcPr>
            <w:tcW w:w="932" w:type="dxa"/>
            <w:tcBorders>
              <w:top w:val="single" w:sz="6" w:space="0" w:color="auto"/>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odhad</w:t>
            </w:r>
          </w:p>
        </w:tc>
        <w:tc>
          <w:tcPr>
            <w:tcW w:w="1276" w:type="dxa"/>
            <w:tcBorders>
              <w:top w:val="single" w:sz="6" w:space="0" w:color="auto"/>
              <w:left w:val="single" w:sz="6" w:space="0" w:color="auto"/>
              <w:bottom w:val="single" w:sz="6" w:space="0" w:color="auto"/>
              <w:right w:val="nil"/>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95% interval</w:t>
            </w:r>
          </w:p>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spolehlivosti</w:t>
            </w:r>
          </w:p>
        </w:tc>
      </w:tr>
      <w:tr w:rsidR="00F752DB" w:rsidTr="00F752DB">
        <w:trPr>
          <w:trHeight w:val="247"/>
          <w:jc w:val="center"/>
        </w:trPr>
        <w:tc>
          <w:tcPr>
            <w:tcW w:w="1783" w:type="dxa"/>
            <w:tcBorders>
              <w:top w:val="nil"/>
              <w:left w:val="nil"/>
              <w:bottom w:val="nil"/>
              <w:right w:val="single" w:sz="6" w:space="0" w:color="auto"/>
            </w:tcBorders>
          </w:tcPr>
          <w:p w:rsidR="00F752DB" w:rsidRDefault="00F752DB">
            <w:pPr>
              <w:autoSpaceDE w:val="0"/>
              <w:autoSpaceDN w:val="0"/>
              <w:adjustRightInd w:val="0"/>
              <w:jc w:val="center"/>
              <w:rPr>
                <w:rFonts w:ascii="Arial" w:hAnsi="Arial" w:cs="Arial"/>
                <w:b/>
                <w:bCs/>
                <w:color w:val="000000"/>
                <w:sz w:val="16"/>
                <w:szCs w:val="16"/>
              </w:rPr>
            </w:pPr>
          </w:p>
        </w:tc>
        <w:tc>
          <w:tcPr>
            <w:tcW w:w="931"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p>
        </w:tc>
        <w:tc>
          <w:tcPr>
            <w:tcW w:w="932" w:type="dxa"/>
            <w:tcBorders>
              <w:top w:val="single" w:sz="6" w:space="0" w:color="auto"/>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abs.</w:t>
            </w:r>
          </w:p>
        </w:tc>
        <w:tc>
          <w:tcPr>
            <w:tcW w:w="931" w:type="dxa"/>
            <w:tcBorders>
              <w:top w:val="single" w:sz="6" w:space="0" w:color="auto"/>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rel.</w:t>
            </w:r>
          </w:p>
        </w:tc>
        <w:tc>
          <w:tcPr>
            <w:tcW w:w="931"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p>
        </w:tc>
        <w:tc>
          <w:tcPr>
            <w:tcW w:w="931" w:type="dxa"/>
            <w:tcBorders>
              <w:top w:val="single" w:sz="6" w:space="0" w:color="auto"/>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abs.</w:t>
            </w:r>
          </w:p>
        </w:tc>
        <w:tc>
          <w:tcPr>
            <w:tcW w:w="931" w:type="dxa"/>
            <w:tcBorders>
              <w:top w:val="single" w:sz="6" w:space="0" w:color="auto"/>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rel.</w:t>
            </w:r>
          </w:p>
        </w:tc>
        <w:tc>
          <w:tcPr>
            <w:tcW w:w="932"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p>
        </w:tc>
        <w:tc>
          <w:tcPr>
            <w:tcW w:w="1276" w:type="dxa"/>
            <w:tcBorders>
              <w:top w:val="single" w:sz="6" w:space="0" w:color="auto"/>
              <w:left w:val="single" w:sz="6" w:space="0" w:color="auto"/>
              <w:bottom w:val="nil"/>
              <w:right w:val="nil"/>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abs.</w:t>
            </w:r>
          </w:p>
        </w:tc>
      </w:tr>
      <w:tr w:rsidR="00F752DB" w:rsidTr="00F752DB">
        <w:trPr>
          <w:trHeight w:val="247"/>
          <w:jc w:val="center"/>
        </w:trPr>
        <w:tc>
          <w:tcPr>
            <w:tcW w:w="1783" w:type="dxa"/>
            <w:tcBorders>
              <w:top w:val="nil"/>
              <w:left w:val="nil"/>
              <w:bottom w:val="single" w:sz="12" w:space="0" w:color="auto"/>
              <w:right w:val="single" w:sz="6" w:space="0" w:color="auto"/>
            </w:tcBorders>
          </w:tcPr>
          <w:p w:rsidR="00F752DB" w:rsidRDefault="00F752DB">
            <w:pPr>
              <w:autoSpaceDE w:val="0"/>
              <w:autoSpaceDN w:val="0"/>
              <w:adjustRightInd w:val="0"/>
              <w:jc w:val="center"/>
              <w:rPr>
                <w:rFonts w:ascii="Arial" w:hAnsi="Arial" w:cs="Arial"/>
                <w:b/>
                <w:bCs/>
                <w:color w:val="000000"/>
                <w:sz w:val="16"/>
                <w:szCs w:val="16"/>
              </w:rPr>
            </w:pPr>
          </w:p>
        </w:tc>
        <w:tc>
          <w:tcPr>
            <w:tcW w:w="931"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p>
        </w:tc>
        <w:tc>
          <w:tcPr>
            <w:tcW w:w="932"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31"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 (%)</w:t>
            </w:r>
          </w:p>
        </w:tc>
        <w:tc>
          <w:tcPr>
            <w:tcW w:w="931"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p>
        </w:tc>
        <w:tc>
          <w:tcPr>
            <w:tcW w:w="931"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31"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 (%)</w:t>
            </w:r>
          </w:p>
        </w:tc>
        <w:tc>
          <w:tcPr>
            <w:tcW w:w="932" w:type="dxa"/>
            <w:tcBorders>
              <w:top w:val="nil"/>
              <w:left w:val="single" w:sz="6" w:space="0" w:color="auto"/>
              <w:bottom w:val="nil"/>
              <w:right w:val="single" w:sz="6" w:space="0" w:color="auto"/>
            </w:tcBorders>
            <w:vAlign w:val="center"/>
          </w:tcPr>
          <w:p w:rsidR="00F752DB" w:rsidRDefault="00F752DB">
            <w:pPr>
              <w:autoSpaceDE w:val="0"/>
              <w:autoSpaceDN w:val="0"/>
              <w:adjustRightInd w:val="0"/>
              <w:jc w:val="center"/>
              <w:rPr>
                <w:rFonts w:ascii="Arial" w:hAnsi="Arial" w:cs="Arial"/>
                <w:color w:val="000000"/>
                <w:sz w:val="16"/>
                <w:szCs w:val="16"/>
              </w:rPr>
            </w:pPr>
          </w:p>
        </w:tc>
        <w:tc>
          <w:tcPr>
            <w:tcW w:w="1276" w:type="dxa"/>
            <w:tcBorders>
              <w:top w:val="nil"/>
              <w:left w:val="single" w:sz="6" w:space="0" w:color="auto"/>
              <w:bottom w:val="nil"/>
              <w:right w:val="nil"/>
            </w:tcBorders>
            <w:vAlign w:val="center"/>
          </w:tcPr>
          <w:p w:rsidR="00F752DB" w:rsidRDefault="00F752DB">
            <w:pPr>
              <w:autoSpaceDE w:val="0"/>
              <w:autoSpaceDN w:val="0"/>
              <w:adjustRightInd w:val="0"/>
              <w:jc w:val="center"/>
              <w:rPr>
                <w:rFonts w:ascii="Arial" w:hAnsi="Arial" w:cs="Arial"/>
                <w:color w:val="000000"/>
                <w:sz w:val="16"/>
                <w:szCs w:val="16"/>
              </w:rPr>
            </w:pPr>
            <w:r>
              <w:rPr>
                <w:rFonts w:ascii="Arial" w:hAnsi="Arial" w:cs="Arial"/>
                <w:color w:val="000000"/>
                <w:sz w:val="16"/>
                <w:szCs w:val="16"/>
              </w:rPr>
              <w:t>-/+ (proc. body)</w:t>
            </w:r>
          </w:p>
        </w:tc>
      </w:tr>
      <w:tr w:rsidR="00F752DB" w:rsidTr="00F752DB">
        <w:trPr>
          <w:trHeight w:val="290"/>
          <w:jc w:val="center"/>
        </w:trPr>
        <w:tc>
          <w:tcPr>
            <w:tcW w:w="1783" w:type="dxa"/>
            <w:tcBorders>
              <w:top w:val="single" w:sz="12" w:space="0" w:color="auto"/>
              <w:left w:val="nil"/>
              <w:bottom w:val="nil"/>
              <w:right w:val="nil"/>
            </w:tcBorders>
            <w:vAlign w:val="center"/>
          </w:tcPr>
          <w:p w:rsidR="00F752DB" w:rsidRDefault="00F752DB">
            <w:pPr>
              <w:autoSpaceDE w:val="0"/>
              <w:autoSpaceDN w:val="0"/>
              <w:adjustRightInd w:val="0"/>
              <w:rPr>
                <w:rFonts w:ascii="Arial" w:hAnsi="Arial" w:cs="Arial"/>
                <w:b/>
                <w:bCs/>
                <w:color w:val="000000"/>
                <w:sz w:val="16"/>
                <w:szCs w:val="16"/>
              </w:rPr>
            </w:pPr>
            <w:r>
              <w:rPr>
                <w:rFonts w:ascii="Arial" w:hAnsi="Arial" w:cs="Arial"/>
                <w:b/>
                <w:bCs/>
                <w:color w:val="000000"/>
                <w:sz w:val="16"/>
                <w:szCs w:val="16"/>
              </w:rPr>
              <w:t>Česká republika</w:t>
            </w:r>
          </w:p>
        </w:tc>
        <w:tc>
          <w:tcPr>
            <w:tcW w:w="931" w:type="dxa"/>
            <w:tcBorders>
              <w:top w:val="single" w:sz="12" w:space="0" w:color="auto"/>
              <w:left w:val="single" w:sz="6" w:space="0" w:color="auto"/>
              <w:bottom w:val="nil"/>
              <w:right w:val="single" w:sz="6" w:space="0" w:color="auto"/>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5 305,5 </w:t>
            </w:r>
          </w:p>
        </w:tc>
        <w:tc>
          <w:tcPr>
            <w:tcW w:w="932" w:type="dxa"/>
            <w:tcBorders>
              <w:top w:val="single" w:sz="12" w:space="0" w:color="auto"/>
              <w:left w:val="single" w:sz="6" w:space="0" w:color="auto"/>
              <w:bottom w:val="nil"/>
              <w:right w:val="single" w:sz="6" w:space="0" w:color="auto"/>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41,0 </w:t>
            </w:r>
          </w:p>
        </w:tc>
        <w:tc>
          <w:tcPr>
            <w:tcW w:w="931" w:type="dxa"/>
            <w:tcBorders>
              <w:top w:val="single" w:sz="12" w:space="0" w:color="auto"/>
              <w:left w:val="single" w:sz="6" w:space="0" w:color="auto"/>
              <w:bottom w:val="nil"/>
              <w:right w:val="single" w:sz="6" w:space="0" w:color="auto"/>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0,8 </w:t>
            </w:r>
          </w:p>
        </w:tc>
        <w:tc>
          <w:tcPr>
            <w:tcW w:w="931" w:type="dxa"/>
            <w:tcBorders>
              <w:top w:val="single" w:sz="12" w:space="0" w:color="auto"/>
              <w:left w:val="single" w:sz="6" w:space="0" w:color="auto"/>
              <w:bottom w:val="nil"/>
              <w:right w:val="single" w:sz="6" w:space="0" w:color="auto"/>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109,7 </w:t>
            </w:r>
          </w:p>
        </w:tc>
        <w:tc>
          <w:tcPr>
            <w:tcW w:w="931" w:type="dxa"/>
            <w:tcBorders>
              <w:top w:val="single" w:sz="12" w:space="0" w:color="auto"/>
              <w:left w:val="single" w:sz="6" w:space="0" w:color="auto"/>
              <w:bottom w:val="nil"/>
              <w:right w:val="single" w:sz="6" w:space="0" w:color="auto"/>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9,2 </w:t>
            </w:r>
          </w:p>
        </w:tc>
        <w:tc>
          <w:tcPr>
            <w:tcW w:w="931" w:type="dxa"/>
            <w:tcBorders>
              <w:top w:val="single" w:sz="12" w:space="0" w:color="auto"/>
              <w:left w:val="single" w:sz="6" w:space="0" w:color="auto"/>
              <w:bottom w:val="nil"/>
              <w:right w:val="single" w:sz="6" w:space="0" w:color="auto"/>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8,4 </w:t>
            </w:r>
          </w:p>
        </w:tc>
        <w:tc>
          <w:tcPr>
            <w:tcW w:w="932" w:type="dxa"/>
            <w:tcBorders>
              <w:top w:val="single" w:sz="12" w:space="0" w:color="auto"/>
              <w:left w:val="single" w:sz="6" w:space="0" w:color="auto"/>
              <w:bottom w:val="nil"/>
              <w:right w:val="single" w:sz="6" w:space="0" w:color="auto"/>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2,0 </w:t>
            </w:r>
          </w:p>
        </w:tc>
        <w:tc>
          <w:tcPr>
            <w:tcW w:w="1276" w:type="dxa"/>
            <w:tcBorders>
              <w:top w:val="single" w:sz="12" w:space="0" w:color="auto"/>
              <w:left w:val="single" w:sz="6" w:space="0" w:color="auto"/>
              <w:bottom w:val="nil"/>
              <w:right w:val="nil"/>
            </w:tcBorders>
            <w:vAlign w:val="center"/>
          </w:tcPr>
          <w:p w:rsidR="00F752DB" w:rsidRDefault="00F752D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0,2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v tom kraje:</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Hl. m. Praha</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714,8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17,9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2,5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9,1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37,3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1,3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0,5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Středočeský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685,6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14,5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2,1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10,5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27,1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1,5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0,4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Jihočeský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312,8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9,0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1,7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35,6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1,5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0,5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Plzeňský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294,6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8,5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4,1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1,6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38,2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1,4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0,5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Karlovarský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149,7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5,5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3,7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6,6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1,8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27,4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4,2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1,2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Ústecký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388,7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13,9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3,6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7,4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39,3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1,9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0,7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Liberecký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211,0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7,9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3,7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2,7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49,8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1,3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0,6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Královéhradecký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271,4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9,1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3,3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4,2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1,8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41,4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1,5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0,6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Pardubický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257,7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8,3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3,2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4,9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1,8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36,4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1,9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0,7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Vysočina</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252,0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8,0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3,2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42,7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1,3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0,6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Jihomoravský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594,3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13,6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2,3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15,5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22,1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2,5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0,6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Olomoucký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307,8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10,4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9,1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2,7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29,9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2,9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0,9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Zlínský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284,7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9,3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3,3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4,4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1,8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39,9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1,5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0,6 </w:t>
            </w:r>
          </w:p>
        </w:tc>
      </w:tr>
      <w:tr w:rsidR="00F752DB" w:rsidTr="00F752DB">
        <w:trPr>
          <w:trHeight w:val="247"/>
          <w:jc w:val="center"/>
        </w:trPr>
        <w:tc>
          <w:tcPr>
            <w:tcW w:w="1783" w:type="dxa"/>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Moravskoslezský</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580,5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14,3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2,5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22,7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4,3 </w:t>
            </w:r>
          </w:p>
        </w:tc>
        <w:tc>
          <w:tcPr>
            <w:tcW w:w="931"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18,8 </w:t>
            </w:r>
          </w:p>
        </w:tc>
        <w:tc>
          <w:tcPr>
            <w:tcW w:w="932" w:type="dxa"/>
            <w:tcBorders>
              <w:top w:val="nil"/>
              <w:left w:val="single" w:sz="6" w:space="0" w:color="auto"/>
              <w:bottom w:val="nil"/>
              <w:right w:val="single" w:sz="6" w:space="0" w:color="auto"/>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3,8 </w:t>
            </w:r>
          </w:p>
        </w:tc>
        <w:tc>
          <w:tcPr>
            <w:tcW w:w="1276" w:type="dxa"/>
            <w:tcBorders>
              <w:top w:val="nil"/>
              <w:left w:val="single" w:sz="6" w:space="0" w:color="auto"/>
              <w:bottom w:val="nil"/>
              <w:right w:val="nil"/>
            </w:tcBorders>
          </w:tcPr>
          <w:p w:rsidR="00F752DB" w:rsidRDefault="00F752DB">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0,7 </w:t>
            </w:r>
          </w:p>
        </w:tc>
      </w:tr>
      <w:tr w:rsidR="00F752DB" w:rsidTr="00F752DB">
        <w:trPr>
          <w:trHeight w:val="115"/>
          <w:jc w:val="center"/>
        </w:trPr>
        <w:tc>
          <w:tcPr>
            <w:tcW w:w="1783"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20"/>
                <w:szCs w:val="20"/>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20"/>
                <w:szCs w:val="20"/>
              </w:rPr>
            </w:pPr>
          </w:p>
        </w:tc>
        <w:tc>
          <w:tcPr>
            <w:tcW w:w="932"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20"/>
                <w:szCs w:val="20"/>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20"/>
                <w:szCs w:val="20"/>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20"/>
                <w:szCs w:val="20"/>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20"/>
                <w:szCs w:val="20"/>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2"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1276"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20"/>
                <w:szCs w:val="20"/>
              </w:rPr>
            </w:pPr>
          </w:p>
        </w:tc>
      </w:tr>
      <w:tr w:rsidR="00F752DB" w:rsidTr="00F752DB">
        <w:trPr>
          <w:trHeight w:val="218"/>
          <w:jc w:val="center"/>
        </w:trPr>
        <w:tc>
          <w:tcPr>
            <w:tcW w:w="1783" w:type="dxa"/>
            <w:gridSpan w:val="3"/>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Poznámka: věková skupina 15+</w:t>
            </w: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2"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1276"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r>
      <w:tr w:rsidR="00F752DB" w:rsidTr="00F752DB">
        <w:trPr>
          <w:trHeight w:val="218"/>
          <w:jc w:val="center"/>
        </w:trPr>
        <w:tc>
          <w:tcPr>
            <w:tcW w:w="1783" w:type="dxa"/>
            <w:gridSpan w:val="3"/>
            <w:tcBorders>
              <w:top w:val="nil"/>
              <w:left w:val="nil"/>
              <w:bottom w:val="nil"/>
              <w:right w:val="nil"/>
            </w:tcBorders>
          </w:tcPr>
          <w:p w:rsidR="00F752DB" w:rsidRDefault="00F752DB">
            <w:pPr>
              <w:autoSpaceDE w:val="0"/>
              <w:autoSpaceDN w:val="0"/>
              <w:adjustRightInd w:val="0"/>
              <w:rPr>
                <w:rFonts w:ascii="Arial" w:hAnsi="Arial" w:cs="Arial"/>
                <w:color w:val="000000"/>
                <w:sz w:val="16"/>
                <w:szCs w:val="16"/>
              </w:rPr>
            </w:pPr>
            <w:r>
              <w:rPr>
                <w:rFonts w:ascii="Arial" w:hAnsi="Arial" w:cs="Arial"/>
                <w:color w:val="000000"/>
                <w:sz w:val="16"/>
                <w:szCs w:val="16"/>
              </w:rPr>
              <w:t>Zdroj: Výběrové šetření pracovních sil</w:t>
            </w: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1"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932"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c>
          <w:tcPr>
            <w:tcW w:w="1276" w:type="dxa"/>
            <w:tcBorders>
              <w:top w:val="nil"/>
              <w:left w:val="nil"/>
              <w:bottom w:val="nil"/>
              <w:right w:val="nil"/>
            </w:tcBorders>
          </w:tcPr>
          <w:p w:rsidR="00F752DB" w:rsidRDefault="00F752DB">
            <w:pPr>
              <w:autoSpaceDE w:val="0"/>
              <w:autoSpaceDN w:val="0"/>
              <w:adjustRightInd w:val="0"/>
              <w:jc w:val="right"/>
              <w:rPr>
                <w:rFonts w:ascii="Arial" w:hAnsi="Arial" w:cs="Arial"/>
                <w:color w:val="000000"/>
                <w:sz w:val="16"/>
                <w:szCs w:val="16"/>
              </w:rPr>
            </w:pPr>
          </w:p>
        </w:tc>
      </w:tr>
    </w:tbl>
    <w:p w:rsidR="008D1CC6" w:rsidRPr="00F752DB" w:rsidRDefault="008D1CC6" w:rsidP="00554481">
      <w:pPr>
        <w:spacing w:after="120"/>
        <w:jc w:val="center"/>
        <w:rPr>
          <w:rFonts w:ascii="Arial" w:hAnsi="Arial" w:cs="Arial"/>
          <w:b/>
          <w:bCs/>
          <w:sz w:val="6"/>
          <w:szCs w:val="6"/>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CB5336">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nezaměstnanosti</w:t>
      </w:r>
      <w:r w:rsidRPr="006B662A">
        <w:rPr>
          <w:rFonts w:ascii="Arial" w:hAnsi="Arial" w:cs="Arial"/>
          <w:bCs/>
          <w:color w:val="auto"/>
          <w:sz w:val="20"/>
          <w:szCs w:val="20"/>
        </w:rPr>
        <w:t xml:space="preserve">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73E2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w:t>
      </w:r>
      <w:r w:rsidR="00F752DB">
        <w:rPr>
          <w:rFonts w:ascii="Arial" w:hAnsi="Arial" w:cs="Arial"/>
          <w:color w:val="auto"/>
          <w:sz w:val="20"/>
          <w:szCs w:val="20"/>
        </w:rPr>
        <w:t> </w:t>
      </w:r>
      <w:r w:rsidR="00EF27D4" w:rsidRPr="00C63FAD">
        <w:rPr>
          <w:rFonts w:ascii="Arial" w:hAnsi="Arial" w:cs="Arial"/>
          <w:color w:val="auto"/>
          <w:sz w:val="20"/>
          <w:szCs w:val="20"/>
        </w:rPr>
        <w:t>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w:t>
      </w:r>
      <w:r w:rsidR="00F752DB">
        <w:rPr>
          <w:rFonts w:ascii="Arial" w:hAnsi="Arial" w:cs="Arial"/>
          <w:color w:val="auto"/>
          <w:sz w:val="20"/>
          <w:szCs w:val="20"/>
        </w:rPr>
        <w:t> </w:t>
      </w:r>
      <w:r w:rsidR="00EF27D4" w:rsidRPr="00C63FAD">
        <w:rPr>
          <w:rFonts w:ascii="Arial" w:hAnsi="Arial" w:cs="Arial"/>
          <w:color w:val="auto"/>
          <w:sz w:val="20"/>
          <w:szCs w:val="20"/>
        </w:rPr>
        <w:t>nabídce vhodného pracovního místa, protože nemají žádnou objektivní překážku pro přijetí do</w:t>
      </w:r>
      <w:r w:rsidR="00F752DB">
        <w:rPr>
          <w:rFonts w:ascii="Arial" w:hAnsi="Arial" w:cs="Arial"/>
          <w:color w:val="auto"/>
          <w:sz w:val="20"/>
          <w:szCs w:val="20"/>
        </w:rPr>
        <w:t> </w:t>
      </w:r>
      <w:r w:rsidR="00EF27D4" w:rsidRPr="00C63FAD">
        <w:rPr>
          <w:rFonts w:ascii="Arial" w:hAnsi="Arial" w:cs="Arial"/>
          <w:color w:val="auto"/>
          <w:sz w:val="20"/>
          <w:szCs w:val="20"/>
        </w:rPr>
        <w:t>zaměstnání (nejsou ve vazbě, ve výkonu trestu, nepobírají peněžitou pomoc v mateřství, hmotné zabezpečení po dobu mateřské dovolené, nejsou v pracovní neschopnosti, nejsou zařazeni do</w:t>
      </w:r>
      <w:r w:rsidR="00F752DB">
        <w:rPr>
          <w:rFonts w:ascii="Arial" w:hAnsi="Arial" w:cs="Arial"/>
          <w:color w:val="auto"/>
          <w:sz w:val="20"/>
          <w:szCs w:val="20"/>
        </w:rPr>
        <w:t> </w:t>
      </w:r>
      <w:r w:rsidR="00EF27D4" w:rsidRPr="00C63FAD">
        <w:rPr>
          <w:rFonts w:ascii="Arial" w:hAnsi="Arial" w:cs="Arial"/>
          <w:color w:val="auto"/>
          <w:sz w:val="20"/>
          <w:szCs w:val="20"/>
        </w:rPr>
        <w:t>rekvalifikačních kurzů a</w:t>
      </w:r>
      <w:r w:rsidR="009557E0">
        <w:rPr>
          <w:rFonts w:ascii="Arial" w:hAnsi="Arial" w:cs="Arial"/>
          <w:color w:val="auto"/>
          <w:sz w:val="20"/>
          <w:szCs w:val="20"/>
        </w:rPr>
        <w:t> </w:t>
      </w:r>
      <w:r w:rsidR="00EF27D4" w:rsidRPr="00C63FAD">
        <w:rPr>
          <w:rFonts w:ascii="Arial" w:hAnsi="Arial" w:cs="Arial"/>
          <w:color w:val="auto"/>
          <w:sz w:val="20"/>
          <w:szCs w:val="20"/>
        </w:rPr>
        <w:t>nevykonávají krátkodobé zaměstnání).</w:t>
      </w:r>
    </w:p>
    <w:p w:rsidR="00EC1D74" w:rsidRPr="00C63FAD" w:rsidRDefault="00EC1D74" w:rsidP="00CB5336">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15–64 let ze všech obyvatel ve stejném věku. </w:t>
      </w:r>
    </w:p>
    <w:p w:rsidR="00EC1D74" w:rsidRPr="00C63FAD" w:rsidRDefault="00EF27D4" w:rsidP="00CB5336">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se rozumí nově vytvořená nebo uvolněná pracovní místa, na</w:t>
      </w:r>
      <w:r w:rsidR="00F752DB">
        <w:rPr>
          <w:rFonts w:ascii="Arial" w:hAnsi="Arial" w:cs="Arial"/>
          <w:sz w:val="20"/>
          <w:szCs w:val="20"/>
        </w:rPr>
        <w:t> </w:t>
      </w:r>
      <w:r w:rsidR="00EC1D74" w:rsidRPr="00C63FAD">
        <w:rPr>
          <w:rFonts w:ascii="Arial" w:hAnsi="Arial" w:cs="Arial"/>
          <w:sz w:val="20"/>
          <w:szCs w:val="20"/>
        </w:rPr>
        <w:t xml:space="preserve">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956E81" w:rsidRPr="00C63FAD" w:rsidRDefault="001613CD" w:rsidP="00956E81">
      <w:pPr>
        <w:pStyle w:val="Nadpis8"/>
        <w:rPr>
          <w:rFonts w:cs="Arial"/>
          <w:b w:val="0"/>
          <w:bCs w:val="0"/>
        </w:rPr>
      </w:pPr>
      <w:r w:rsidRPr="00C63FAD">
        <w:rPr>
          <w:rStyle w:val="Siln"/>
          <w:rFonts w:cs="Arial"/>
          <w:b/>
          <w:bCs/>
        </w:rPr>
        <w:lastRenderedPageBreak/>
        <w:t>ORGANIZAČNÍ STATISTIKA</w:t>
      </w:r>
    </w:p>
    <w:p w:rsidR="00EC1D74" w:rsidRPr="00C63FAD" w:rsidRDefault="00EC1D74" w:rsidP="006A3D8E">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6A3D8E">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Fyzické osoby</w:t>
      </w:r>
      <w:r w:rsidR="00B2092E" w:rsidRPr="00CA5B96">
        <w:rPr>
          <w:rFonts w:cs="Arial"/>
          <w:bCs/>
          <w:szCs w:val="24"/>
        </w:rPr>
        <w:t xml:space="preserve">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6A3D8E">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w:t>
      </w:r>
      <w:r w:rsidR="00002B17">
        <w:rPr>
          <w:rFonts w:cs="Arial"/>
          <w:szCs w:val="24"/>
        </w:rPr>
        <w:t>–</w:t>
      </w:r>
      <w:r w:rsidR="002B41D5" w:rsidRPr="00C63FAD">
        <w:rPr>
          <w:rFonts w:cs="Arial"/>
          <w:szCs w:val="24"/>
        </w:rPr>
        <w:t xml:space="preserve">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w:t>
      </w:r>
      <w:r w:rsidR="00FA06ED">
        <w:rPr>
          <w:rFonts w:cs="Arial"/>
          <w:szCs w:val="24"/>
        </w:rPr>
        <w:t>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w:t>
      </w:r>
      <w:r w:rsidR="00CA5B96">
        <w:rPr>
          <w:rFonts w:cs="Arial"/>
          <w:szCs w:val="24"/>
        </w:rPr>
        <w:t> </w:t>
      </w:r>
      <w:r w:rsidR="00FA06ED" w:rsidRPr="00EE7B19">
        <w:rPr>
          <w:rFonts w:cs="Arial"/>
          <w:szCs w:val="24"/>
        </w:rPr>
        <w:t>evidované církevní právnické osoby a</w:t>
      </w:r>
      <w:r w:rsidR="009557E0">
        <w:rPr>
          <w:rFonts w:cs="Arial"/>
          <w:szCs w:val="24"/>
        </w:rPr>
        <w:t> </w:t>
      </w:r>
      <w:r w:rsidR="00FA06ED" w:rsidRPr="00EE7B19">
        <w:rPr>
          <w:rFonts w:cs="Arial"/>
          <w:szCs w:val="24"/>
        </w:rPr>
        <w:t>723</w:t>
      </w:r>
      <w:r w:rsidR="009557E0">
        <w:rPr>
          <w:rFonts w:cs="Arial"/>
          <w:szCs w:val="24"/>
        </w:rPr>
        <w:t> </w:t>
      </w:r>
      <w:r w:rsidR="00FA06ED" w:rsidRPr="00EE7B19">
        <w:rPr>
          <w:rFonts w:cs="Arial"/>
          <w:szCs w:val="24"/>
        </w:rPr>
        <w:t>svazy církví a</w:t>
      </w:r>
      <w:r w:rsidR="00CA5B96">
        <w:rPr>
          <w:rFonts w:cs="Arial"/>
          <w:szCs w:val="24"/>
        </w:rPr>
        <w:t xml:space="preserve">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6A3D8E">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sidR="00F752DB">
        <w:rPr>
          <w:rFonts w:ascii="Arial" w:hAnsi="Arial" w:cs="Arial"/>
          <w:sz w:val="20"/>
        </w:rPr>
        <w:t>pro</w:t>
      </w:r>
      <w:r w:rsidRPr="00C63FAD">
        <w:rPr>
          <w:rFonts w:ascii="Arial" w:hAnsi="Arial" w:cs="Arial"/>
          <w:sz w:val="20"/>
        </w:rPr>
        <w:t xml:space="preserv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EB7A75" w:rsidRPr="00EB7A75" w:rsidRDefault="00EB7A75" w:rsidP="006A3D8E">
      <w:pPr>
        <w:spacing w:before="120" w:after="120"/>
        <w:jc w:val="both"/>
        <w:rPr>
          <w:rFonts w:ascii="Arial" w:hAnsi="Arial" w:cs="Arial"/>
          <w:sz w:val="20"/>
          <w:szCs w:val="20"/>
        </w:rPr>
      </w:pPr>
      <w:r w:rsidRPr="00EB7A75">
        <w:rPr>
          <w:rFonts w:ascii="Arial" w:hAnsi="Arial" w:cs="Arial"/>
          <w:b/>
          <w:bCs/>
          <w:sz w:val="20"/>
          <w:szCs w:val="20"/>
        </w:rPr>
        <w:t>Stavebním povolením</w:t>
      </w:r>
      <w:r w:rsidRPr="00EB7A75">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EB7A75">
        <w:rPr>
          <w:rFonts w:ascii="Arial" w:hAnsi="Arial" w:cs="Arial"/>
          <w:b/>
          <w:bCs/>
          <w:sz w:val="20"/>
          <w:szCs w:val="20"/>
        </w:rPr>
        <w:t>Orientační hodnota</w:t>
      </w:r>
      <w:r w:rsidRPr="006D726B">
        <w:rPr>
          <w:rFonts w:ascii="Arial" w:hAnsi="Arial" w:cs="Arial"/>
          <w:bCs/>
          <w:sz w:val="20"/>
          <w:szCs w:val="20"/>
        </w:rPr>
        <w:t xml:space="preserve"> </w:t>
      </w:r>
      <w:r w:rsidRPr="00EB7A75">
        <w:rPr>
          <w:rFonts w:ascii="Arial" w:hAnsi="Arial" w:cs="Arial"/>
          <w:bCs/>
          <w:sz w:val="20"/>
          <w:szCs w:val="20"/>
        </w:rPr>
        <w:t>staveb</w:t>
      </w:r>
      <w:r w:rsidRPr="00EB7A75">
        <w:rPr>
          <w:rFonts w:ascii="Arial" w:hAnsi="Arial" w:cs="Arial"/>
          <w:sz w:val="20"/>
          <w:szCs w:val="20"/>
        </w:rPr>
        <w:t xml:space="preserve"> zahrnuje celkové náklady včetně technologie (v běžných cenách) vynaložené na</w:t>
      </w:r>
      <w:r w:rsidR="007D0670">
        <w:rPr>
          <w:rFonts w:ascii="Arial" w:hAnsi="Arial" w:cs="Arial"/>
          <w:sz w:val="20"/>
          <w:szCs w:val="20"/>
        </w:rPr>
        <w:t> </w:t>
      </w:r>
      <w:r w:rsidRPr="00EB7A75">
        <w:rPr>
          <w:rFonts w:ascii="Arial" w:hAnsi="Arial" w:cs="Arial"/>
          <w:sz w:val="20"/>
          <w:szCs w:val="20"/>
        </w:rPr>
        <w:t>přípravu, realizaci a uvedení stavby do provozu.</w:t>
      </w:r>
    </w:p>
    <w:p w:rsidR="00EB7A75" w:rsidRPr="00EB7A75" w:rsidRDefault="00EB7A75" w:rsidP="006A3D8E">
      <w:pPr>
        <w:spacing w:before="120" w:after="120"/>
        <w:jc w:val="both"/>
        <w:rPr>
          <w:rFonts w:ascii="Arial" w:hAnsi="Arial" w:cs="Arial"/>
          <w:sz w:val="20"/>
          <w:szCs w:val="20"/>
        </w:rPr>
      </w:pPr>
      <w:r w:rsidRPr="00EB7A75">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w:t>
      </w:r>
      <w:r w:rsidR="00F752DB">
        <w:rPr>
          <w:rFonts w:ascii="Arial" w:hAnsi="Arial" w:cs="Arial"/>
          <w:sz w:val="20"/>
          <w:szCs w:val="20"/>
        </w:rPr>
        <w:t> </w:t>
      </w:r>
      <w:r w:rsidRPr="00EB7A75">
        <w:rPr>
          <w:rFonts w:ascii="Arial" w:hAnsi="Arial" w:cs="Arial"/>
          <w:sz w:val="20"/>
          <w:szCs w:val="20"/>
        </w:rPr>
        <w:t>zachovává vnější půdorysné i výškové ohraničení stavby.</w:t>
      </w:r>
    </w:p>
    <w:p w:rsidR="00EB7A75" w:rsidRPr="00EB7A75" w:rsidRDefault="00EB7A75" w:rsidP="006A3D8E">
      <w:pPr>
        <w:jc w:val="both"/>
        <w:rPr>
          <w:rFonts w:ascii="Arial" w:hAnsi="Arial" w:cs="Arial"/>
          <w:sz w:val="20"/>
          <w:szCs w:val="20"/>
        </w:rPr>
      </w:pPr>
      <w:r w:rsidRPr="00EB7A75">
        <w:rPr>
          <w:rFonts w:ascii="Arial" w:hAnsi="Arial" w:cs="Arial"/>
          <w:sz w:val="20"/>
          <w:szCs w:val="20"/>
        </w:rPr>
        <w:t>Stavbami na ochranu životního prostředí se rozumí stavební akce k ochraně čistoty vod, ovzduší, klimatu, přírody a půdy, akce k ekologickému nakládání s odpady a k omezení působení fyzikálních faktorů na životní prostředí.</w:t>
      </w:r>
    </w:p>
    <w:p w:rsidR="00C92701" w:rsidRPr="006A3D8E" w:rsidRDefault="00C92701" w:rsidP="006A3D8E">
      <w:pPr>
        <w:pStyle w:val="Normlnweb"/>
        <w:spacing w:before="0" w:beforeAutospacing="0" w:after="0" w:afterAutospacing="0"/>
        <w:ind w:firstLine="709"/>
        <w:rPr>
          <w:rFonts w:ascii="Arial" w:hAnsi="Arial" w:cs="Arial"/>
          <w:color w:val="auto"/>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EB7A75" w:rsidRDefault="00EB7A75" w:rsidP="006A3D8E">
      <w:pPr>
        <w:pStyle w:val="GroupWiseView"/>
        <w:tabs>
          <w:tab w:val="left" w:pos="1500"/>
          <w:tab w:val="left" w:pos="3000"/>
        </w:tabs>
        <w:spacing w:before="120" w:after="120"/>
        <w:jc w:val="both"/>
        <w:rPr>
          <w:rFonts w:ascii="Arial" w:hAnsi="Arial" w:cs="Arial"/>
          <w:color w:val="000000"/>
          <w:sz w:val="20"/>
          <w:szCs w:val="20"/>
        </w:rPr>
      </w:pPr>
      <w:r w:rsidRPr="00B421E4">
        <w:rPr>
          <w:rFonts w:ascii="Arial" w:hAnsi="Arial" w:cs="Arial"/>
          <w:b/>
          <w:bCs/>
          <w:color w:val="000000"/>
          <w:sz w:val="20"/>
          <w:szCs w:val="20"/>
        </w:rPr>
        <w:t>Bytem</w:t>
      </w:r>
      <w:r w:rsidRPr="00B421E4">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EB7A75" w:rsidRDefault="00EB7A75" w:rsidP="006A3D8E">
      <w:pPr>
        <w:pStyle w:val="GroupWiseView"/>
        <w:tabs>
          <w:tab w:val="left" w:pos="1500"/>
          <w:tab w:val="left" w:pos="3000"/>
        </w:tabs>
        <w:spacing w:after="120"/>
        <w:jc w:val="both"/>
        <w:rPr>
          <w:rFonts w:ascii="Arial" w:hAnsi="Arial" w:cs="Arial"/>
          <w:color w:val="000000"/>
          <w:sz w:val="20"/>
          <w:szCs w:val="20"/>
        </w:rPr>
      </w:pPr>
      <w:r w:rsidRPr="00B421E4">
        <w:rPr>
          <w:rFonts w:ascii="Arial" w:hAnsi="Arial" w:cs="Arial"/>
          <w:b/>
          <w:bCs/>
          <w:color w:val="000000"/>
          <w:sz w:val="20"/>
          <w:szCs w:val="20"/>
        </w:rPr>
        <w:t>Byty zahájené</w:t>
      </w:r>
      <w:r w:rsidRPr="00B421E4">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Za dům je pro účely této definice považován rodinný dům, bytový dům, nástavba, vestavba nebo přístavba k oběma uvedeným domům, dům s</w:t>
      </w:r>
      <w:r w:rsidR="007D0670">
        <w:rPr>
          <w:rFonts w:ascii="Arial" w:hAnsi="Arial" w:cs="Arial"/>
          <w:color w:val="000000"/>
          <w:sz w:val="20"/>
          <w:szCs w:val="20"/>
        </w:rPr>
        <w:t> </w:t>
      </w:r>
      <w:r w:rsidRPr="00B421E4">
        <w:rPr>
          <w:rFonts w:ascii="Arial" w:hAnsi="Arial" w:cs="Arial"/>
          <w:color w:val="000000"/>
          <w:sz w:val="20"/>
          <w:szCs w:val="20"/>
        </w:rPr>
        <w:t xml:space="preserve">pečovatelskou službou a domov-penzion, nebytový objekt (služební byty </w:t>
      </w:r>
      <w:r w:rsidR="00CA5B96">
        <w:rPr>
          <w:rFonts w:ascii="Arial" w:hAnsi="Arial" w:cs="Arial"/>
          <w:color w:val="000000"/>
          <w:sz w:val="20"/>
          <w:szCs w:val="20"/>
        </w:rPr>
        <w:t>–</w:t>
      </w:r>
      <w:r w:rsidRPr="00B421E4">
        <w:rPr>
          <w:rFonts w:ascii="Arial" w:hAnsi="Arial" w:cs="Arial"/>
          <w:color w:val="000000"/>
          <w:sz w:val="20"/>
          <w:szCs w:val="20"/>
        </w:rPr>
        <w:t xml:space="preserve"> zpravidla mimo bytové objekty) a</w:t>
      </w:r>
      <w:r w:rsidR="007D0670">
        <w:rPr>
          <w:rFonts w:ascii="Arial" w:hAnsi="Arial" w:cs="Arial"/>
          <w:color w:val="000000"/>
          <w:sz w:val="20"/>
          <w:szCs w:val="20"/>
        </w:rPr>
        <w:t> </w:t>
      </w:r>
      <w:r w:rsidRPr="00B421E4">
        <w:rPr>
          <w:rFonts w:ascii="Arial" w:hAnsi="Arial" w:cs="Arial"/>
          <w:color w:val="000000"/>
          <w:sz w:val="20"/>
          <w:szCs w:val="20"/>
        </w:rPr>
        <w:t>jakýkoliv nebytový prostor, jehož adaptací vznikne nový byt.</w:t>
      </w:r>
    </w:p>
    <w:p w:rsidR="00EB7A75" w:rsidRPr="00B421E4" w:rsidRDefault="00EB7A75" w:rsidP="006A3D8E">
      <w:pPr>
        <w:pStyle w:val="GroupWiseView"/>
        <w:tabs>
          <w:tab w:val="left" w:pos="1500"/>
          <w:tab w:val="left" w:pos="3000"/>
        </w:tabs>
        <w:jc w:val="both"/>
        <w:rPr>
          <w:rFonts w:ascii="Arial" w:hAnsi="Arial" w:cs="Arial"/>
          <w:color w:val="000000"/>
          <w:sz w:val="20"/>
          <w:szCs w:val="20"/>
        </w:rPr>
      </w:pPr>
      <w:r w:rsidRPr="00B421E4">
        <w:rPr>
          <w:rFonts w:ascii="Arial" w:hAnsi="Arial" w:cs="Arial"/>
          <w:b/>
          <w:bCs/>
          <w:color w:val="000000"/>
          <w:sz w:val="20"/>
          <w:szCs w:val="20"/>
        </w:rPr>
        <w:t>Byty dokončené</w:t>
      </w:r>
      <w:r w:rsidRPr="00B421E4">
        <w:rPr>
          <w:rFonts w:ascii="Arial" w:hAnsi="Arial" w:cs="Arial"/>
          <w:color w:val="000000"/>
          <w:sz w:val="20"/>
          <w:szCs w:val="20"/>
        </w:rPr>
        <w:t xml:space="preserve"> jsou byty v nových budovách, kterým bylo přiděleno číslo popisné/evidenční nebo nově dokončené byty ve stávajících budovách.</w:t>
      </w:r>
    </w:p>
    <w:p w:rsidR="001613CD" w:rsidRPr="00C63FAD" w:rsidRDefault="001613CD">
      <w:pPr>
        <w:pStyle w:val="Nadpis8"/>
        <w:rPr>
          <w:rFonts w:cs="Arial"/>
          <w:b w:val="0"/>
          <w:bCs w:val="0"/>
        </w:rPr>
      </w:pPr>
      <w:r w:rsidRPr="00C63FAD">
        <w:rPr>
          <w:rStyle w:val="Siln"/>
          <w:rFonts w:cs="Arial"/>
          <w:b/>
          <w:bCs/>
        </w:rPr>
        <w:lastRenderedPageBreak/>
        <w:t>ZEMĚDĚLSTVÍ</w:t>
      </w:r>
      <w:r w:rsidRPr="00C63FAD">
        <w:rPr>
          <w:rFonts w:cs="Arial"/>
          <w:b w:val="0"/>
          <w:bCs w:val="0"/>
        </w:rPr>
        <w:t xml:space="preserve"> </w:t>
      </w:r>
    </w:p>
    <w:p w:rsidR="00224BF2" w:rsidRPr="00C63FAD" w:rsidRDefault="00F752DB" w:rsidP="00224BF2">
      <w:pPr>
        <w:pStyle w:val="Zkladntext3"/>
        <w:spacing w:before="120" w:after="120" w:line="233" w:lineRule="auto"/>
        <w:rPr>
          <w:rFonts w:cs="Arial"/>
        </w:rPr>
      </w:pPr>
      <w:r w:rsidRPr="00F752DB">
        <w:rPr>
          <w:rFonts w:cs="Arial"/>
          <w:szCs w:val="20"/>
        </w:rPr>
        <w:t xml:space="preserve">Výroba masa uvádí jatečnou hmotnost zvířat poražených na registrovaných jatkách. Jatečná hmotnost je hmotnost jatečně upravených těl. </w:t>
      </w:r>
      <w:r>
        <w:rPr>
          <w:rFonts w:cs="Arial"/>
          <w:szCs w:val="20"/>
        </w:rPr>
        <w:t>Z</w:t>
      </w:r>
      <w:r w:rsidR="00224BF2" w:rsidRPr="00C63FAD">
        <w:rPr>
          <w:rFonts w:cs="Arial"/>
          <w:szCs w:val="20"/>
        </w:rPr>
        <w:t>ahrnují jatečná zvířata bez ohledu na to, zda jsou tuzemského původu nebo byla dovezena ze zahraničí</w:t>
      </w:r>
      <w:r w:rsidR="00EB7A75">
        <w:rPr>
          <w:rFonts w:cs="Arial"/>
          <w:szCs w:val="20"/>
        </w:rPr>
        <w:t>, zda byla nakoupena nebo poražena za úplatu</w:t>
      </w:r>
      <w:r w:rsidR="00224BF2" w:rsidRPr="00C63FAD">
        <w:rPr>
          <w:rFonts w:cs="Arial"/>
          <w:szCs w:val="20"/>
        </w:rPr>
        <w:t xml:space="preserve">. Nutné porážky jsou </w:t>
      </w:r>
      <w:r>
        <w:rPr>
          <w:rFonts w:cs="Arial"/>
          <w:szCs w:val="20"/>
        </w:rPr>
        <w:t>započteny</w:t>
      </w:r>
      <w:r w:rsidR="00224BF2" w:rsidRPr="00C63FAD">
        <w:rPr>
          <w:rFonts w:cs="Arial"/>
          <w:szCs w:val="20"/>
        </w:rPr>
        <w:t xml:space="preserve"> v případě, že maso </w:t>
      </w:r>
      <w:r>
        <w:rPr>
          <w:rFonts w:cs="Arial"/>
          <w:szCs w:val="20"/>
        </w:rPr>
        <w:t>bylo určeno</w:t>
      </w:r>
      <w:r w:rsidR="00224BF2" w:rsidRPr="00C63FAD">
        <w:rPr>
          <w:rFonts w:cs="Arial"/>
          <w:szCs w:val="20"/>
        </w:rPr>
        <w:t xml:space="preserve"> pro lidskou spotřebu. Výroba masa</w:t>
      </w:r>
      <w:r>
        <w:rPr>
          <w:rFonts w:cs="Arial"/>
          <w:szCs w:val="20"/>
        </w:rPr>
        <w:t xml:space="preserve"> celkem (bez drůbežího)</w:t>
      </w:r>
      <w:r w:rsidR="00224BF2" w:rsidRPr="00C63FAD">
        <w:rPr>
          <w:rFonts w:cs="Arial"/>
          <w:szCs w:val="20"/>
        </w:rPr>
        <w:t xml:space="preserve"> zahrnuje výrobu hovězího, telecího, vepřového, skopového, 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r w:rsidR="00224BF2" w:rsidRPr="00C63FAD">
        <w:rPr>
          <w:rFonts w:cs="Arial"/>
          <w:szCs w:val="20"/>
        </w:rPr>
        <w:t xml:space="preserve">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w:t>
      </w:r>
      <w:r w:rsidR="00F752DB">
        <w:rPr>
          <w:rFonts w:ascii="Arial" w:hAnsi="Arial" w:cs="Arial"/>
          <w:sz w:val="20"/>
          <w:szCs w:val="26"/>
        </w:rPr>
        <w:t xml:space="preserve">(popřípadě K.3) </w:t>
      </w:r>
      <w:r w:rsidRPr="00C63FAD">
        <w:rPr>
          <w:rFonts w:ascii="Arial" w:hAnsi="Arial" w:cs="Arial"/>
          <w:sz w:val="20"/>
          <w:szCs w:val="26"/>
        </w:rPr>
        <w:t xml:space="preserve">je proměnlivý: </w:t>
      </w:r>
      <w:r w:rsidR="00EB7A75">
        <w:rPr>
          <w:rFonts w:ascii="Arial" w:hAnsi="Arial" w:cs="Arial"/>
          <w:sz w:val="20"/>
          <w:szCs w:val="26"/>
        </w:rPr>
        <w:t xml:space="preserve">v </w:t>
      </w:r>
      <w:r w:rsidRPr="00C63FAD">
        <w:rPr>
          <w:rFonts w:ascii="Arial" w:hAnsi="Arial" w:cs="Arial"/>
          <w:sz w:val="20"/>
          <w:szCs w:val="26"/>
        </w:rPr>
        <w:t>bulletin</w:t>
      </w:r>
      <w:r w:rsidR="00EB7A75">
        <w:rPr>
          <w:rFonts w:ascii="Arial" w:hAnsi="Arial" w:cs="Arial"/>
          <w:sz w:val="20"/>
          <w:szCs w:val="26"/>
        </w:rPr>
        <w:t>u</w:t>
      </w:r>
      <w:r w:rsidRPr="00C63FAD">
        <w:rPr>
          <w:rFonts w:ascii="Arial" w:hAnsi="Arial" w:cs="Arial"/>
          <w:sz w:val="20"/>
          <w:szCs w:val="26"/>
        </w:rPr>
        <w:t xml:space="preserve"> za 1. čtvrtletí </w:t>
      </w:r>
      <w:r w:rsidR="00EB7A75">
        <w:rPr>
          <w:rFonts w:ascii="Arial" w:hAnsi="Arial" w:cs="Arial"/>
          <w:sz w:val="20"/>
          <w:szCs w:val="26"/>
        </w:rPr>
        <w:t xml:space="preserve">je uveden </w:t>
      </w:r>
      <w:r w:rsidRPr="00C63FAD">
        <w:rPr>
          <w:rFonts w:ascii="Arial" w:hAnsi="Arial" w:cs="Arial"/>
          <w:b/>
          <w:sz w:val="20"/>
          <w:szCs w:val="26"/>
        </w:rPr>
        <w:t>s</w:t>
      </w:r>
      <w:r w:rsidR="00004FAC">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sidR="00004FAC">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sidR="00004FAC">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sidR="00004FAC">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00F752DB">
        <w:rPr>
          <w:rFonts w:ascii="Arial" w:hAnsi="Arial" w:cs="Arial"/>
          <w:sz w:val="20"/>
          <w:szCs w:val="26"/>
        </w:rPr>
        <w:t xml:space="preserve">a odhad hektarových výnosů sklizně </w:t>
      </w:r>
      <w:r w:rsidRPr="00C63FAD">
        <w:rPr>
          <w:rFonts w:ascii="Arial" w:hAnsi="Arial" w:cs="Arial"/>
          <w:sz w:val="20"/>
          <w:szCs w:val="26"/>
        </w:rPr>
        <w:t xml:space="preserve">zemědělských plodin </w:t>
      </w:r>
      <w:r w:rsidR="00004FAC">
        <w:rPr>
          <w:rFonts w:ascii="Arial" w:hAnsi="Arial" w:cs="Arial"/>
          <w:sz w:val="20"/>
          <w:szCs w:val="26"/>
        </w:rPr>
        <w:t xml:space="preserve">k 15. 9. </w:t>
      </w:r>
      <w:r w:rsidRPr="00C63FAD">
        <w:rPr>
          <w:rFonts w:ascii="Arial" w:hAnsi="Arial" w:cs="Arial"/>
          <w:sz w:val="20"/>
          <w:szCs w:val="26"/>
        </w:rPr>
        <w:t>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00F752DB" w:rsidRPr="00F752DB">
        <w:rPr>
          <w:rFonts w:ascii="Arial" w:hAnsi="Arial" w:cs="Arial"/>
          <w:sz w:val="20"/>
          <w:szCs w:val="26"/>
        </w:rPr>
        <w:t xml:space="preserve"> a hektarové výnosy sklizně</w:t>
      </w:r>
      <w:r w:rsidRPr="00C63FAD">
        <w:rPr>
          <w:rFonts w:ascii="Arial" w:hAnsi="Arial" w:cs="Arial"/>
          <w:sz w:val="20"/>
          <w:szCs w:val="26"/>
        </w:rPr>
        <w:t>.</w:t>
      </w:r>
      <w:r w:rsidR="00004FAC">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004FAC" w:rsidRDefault="00004FAC" w:rsidP="00004FAC">
      <w:pPr>
        <w:pStyle w:val="Zkladntext3"/>
        <w:spacing w:before="120" w:after="120" w:line="233" w:lineRule="auto"/>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se 100 a více zaměstnanci</w:t>
      </w:r>
      <w:r w:rsidRPr="006B662A">
        <w:rPr>
          <w:rFonts w:cs="Arial"/>
        </w:rPr>
        <w:t xml:space="preserve"> </w:t>
      </w:r>
      <w:r>
        <w:rPr>
          <w:rFonts w:cs="Arial"/>
        </w:rPr>
        <w:t xml:space="preserve">a zjišťovány podnikovou metodou, tedy za podniky </w:t>
      </w:r>
      <w:r>
        <w:rPr>
          <w:rFonts w:cs="Arial"/>
          <w:b/>
        </w:rPr>
        <w:t>se sídlem na</w:t>
      </w:r>
      <w:r w:rsidR="00F752DB">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004FAC" w:rsidRDefault="00004FAC" w:rsidP="00004FAC">
      <w:pPr>
        <w:pStyle w:val="Zkladntext3"/>
        <w:spacing w:before="120" w:after="120" w:line="233" w:lineRule="auto"/>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 až 39, jedná se tedy o</w:t>
      </w:r>
      <w:r>
        <w:rPr>
          <w:bCs/>
        </w:rPr>
        <w:t> </w:t>
      </w:r>
      <w:r w:rsidRPr="006A20C7">
        <w:rPr>
          <w:bCs/>
        </w:rPr>
        <w:t xml:space="preserve">tržby očištěné </w:t>
      </w:r>
      <w:r w:rsidRPr="00004FAC">
        <w:rPr>
          <w:rFonts w:cs="Arial"/>
          <w:szCs w:val="20"/>
        </w:rPr>
        <w:t>od</w:t>
      </w:r>
      <w:r w:rsidRPr="006A20C7">
        <w:rPr>
          <w:bCs/>
        </w:rPr>
        <w:t xml:space="preserve">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004FAC" w:rsidRDefault="00004FAC" w:rsidP="00004FAC">
      <w:pPr>
        <w:pStyle w:val="Zkladntext3"/>
        <w:spacing w:before="120" w:after="120" w:line="233" w:lineRule="auto"/>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w:t>
      </w:r>
      <w:r w:rsidR="00F752DB">
        <w:rPr>
          <w:szCs w:val="20"/>
        </w:rPr>
        <w:t> </w:t>
      </w:r>
      <w:r w:rsidRPr="006A20C7">
        <w:rPr>
          <w:szCs w:val="20"/>
        </w:rPr>
        <w:t xml:space="preserve">zaměstnavatele </w:t>
      </w:r>
      <w:r w:rsidRPr="00004FAC">
        <w:rPr>
          <w:bCs/>
        </w:rPr>
        <w:t>mzdu</w:t>
      </w:r>
      <w:r w:rsidRPr="006A20C7">
        <w:rPr>
          <w:szCs w:val="20"/>
        </w:rPr>
        <w:t>.</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004FAC" w:rsidRDefault="00004FAC" w:rsidP="00004FAC">
      <w:pPr>
        <w:pStyle w:val="Zkladntext3"/>
        <w:spacing w:before="120" w:line="233" w:lineRule="auto"/>
        <w:rPr>
          <w:rFonts w:cs="Arial"/>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F752DB">
        <w:rPr>
          <w:rFonts w:cs="Arial"/>
        </w:rPr>
        <w:t xml:space="preserve"> </w:t>
      </w:r>
      <w:r w:rsidR="00F752DB" w:rsidRPr="00F752DB">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Údaje jsou publikovány za podnikatelské subjekty s převažující stavební činností (oddíl 41, 42 a</w:t>
      </w:r>
      <w:r>
        <w:rPr>
          <w:rFonts w:ascii="Arial" w:hAnsi="Arial" w:cs="Arial"/>
          <w:sz w:val="20"/>
          <w:szCs w:val="20"/>
        </w:rPr>
        <w:t> </w:t>
      </w:r>
      <w:r w:rsidRPr="00B421E4">
        <w:rPr>
          <w:rFonts w:ascii="Arial" w:hAnsi="Arial" w:cs="Arial"/>
          <w:sz w:val="20"/>
          <w:szCs w:val="20"/>
        </w:rPr>
        <w:t xml:space="preserve">43 klasifikace CZ-NACE) </w:t>
      </w:r>
      <w:r w:rsidRPr="00B421E4">
        <w:rPr>
          <w:rFonts w:ascii="Arial" w:hAnsi="Arial" w:cs="Arial"/>
          <w:b/>
          <w:bCs/>
          <w:sz w:val="20"/>
          <w:szCs w:val="20"/>
        </w:rPr>
        <w:t>s 50 a více zaměstnanci</w:t>
      </w:r>
      <w:r w:rsidRPr="00B421E4">
        <w:rPr>
          <w:rFonts w:ascii="Arial" w:hAnsi="Arial" w:cs="Arial"/>
          <w:sz w:val="20"/>
          <w:szCs w:val="20"/>
        </w:rPr>
        <w:t xml:space="preserve">. Subjekty jsou územně zařazeny podle </w:t>
      </w:r>
      <w:r w:rsidRPr="00B421E4">
        <w:rPr>
          <w:rFonts w:ascii="Arial" w:hAnsi="Arial" w:cs="Arial"/>
          <w:b/>
          <w:bCs/>
          <w:sz w:val="20"/>
          <w:szCs w:val="20"/>
        </w:rPr>
        <w:t>kraje sídla podniku</w:t>
      </w:r>
      <w:r w:rsidRPr="00B421E4">
        <w:rPr>
          <w:rFonts w:ascii="Arial" w:hAnsi="Arial" w:cs="Arial"/>
          <w:sz w:val="20"/>
          <w:szCs w:val="20"/>
        </w:rPr>
        <w:t>.</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Průměrný evidenční počet zaměstnanců</w:t>
      </w:r>
      <w:r w:rsidRPr="00B421E4">
        <w:rPr>
          <w:rFonts w:ascii="Arial" w:hAnsi="Arial" w:cs="Arial"/>
          <w:sz w:val="20"/>
          <w:szCs w:val="20"/>
        </w:rPr>
        <w:t xml:space="preserve"> ve fyzických osobách zahrnuje všechny stálé a dočasné zaměstnance, kteří jsou v pracovním poměru </w:t>
      </w:r>
      <w:r>
        <w:rPr>
          <w:rFonts w:ascii="Arial" w:hAnsi="Arial" w:cs="Arial"/>
          <w:sz w:val="20"/>
          <w:szCs w:val="20"/>
        </w:rPr>
        <w:t xml:space="preserve">ke </w:t>
      </w:r>
      <w:r w:rsidRPr="00B421E4">
        <w:rPr>
          <w:rFonts w:ascii="Arial" w:hAnsi="Arial" w:cs="Arial"/>
          <w:sz w:val="20"/>
          <w:szCs w:val="20"/>
        </w:rPr>
        <w:t>sledovaný</w:t>
      </w:r>
      <w:r>
        <w:rPr>
          <w:rFonts w:ascii="Arial" w:hAnsi="Arial" w:cs="Arial"/>
          <w:sz w:val="20"/>
          <w:szCs w:val="20"/>
        </w:rPr>
        <w:t>m</w:t>
      </w:r>
      <w:r w:rsidRPr="00B421E4">
        <w:rPr>
          <w:rFonts w:ascii="Arial" w:hAnsi="Arial" w:cs="Arial"/>
          <w:sz w:val="20"/>
          <w:szCs w:val="20"/>
        </w:rPr>
        <w:t xml:space="preserve"> podniků</w:t>
      </w:r>
      <w:r>
        <w:rPr>
          <w:rFonts w:ascii="Arial" w:hAnsi="Arial" w:cs="Arial"/>
          <w:sz w:val="20"/>
          <w:szCs w:val="20"/>
        </w:rPr>
        <w:t>m</w:t>
      </w:r>
      <w:r w:rsidRPr="00B421E4">
        <w:rPr>
          <w:rFonts w:ascii="Arial" w:hAnsi="Arial" w:cs="Arial"/>
          <w:sz w:val="20"/>
          <w:szCs w:val="20"/>
        </w:rPr>
        <w:t>. Mzdy jsou uváděny v hrubých částkách.</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Stavební práce</w:t>
      </w:r>
      <w:r w:rsidRPr="00B421E4">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B421E4">
        <w:rPr>
          <w:rFonts w:ascii="Arial" w:hAnsi="Arial" w:cs="Arial"/>
          <w:b/>
          <w:bCs/>
          <w:sz w:val="20"/>
          <w:szCs w:val="20"/>
        </w:rPr>
        <w:t>Základní stavební výroba (ZSV)</w:t>
      </w:r>
      <w:r>
        <w:rPr>
          <w:rFonts w:ascii="Arial" w:hAnsi="Arial" w:cs="Arial"/>
          <w:b/>
          <w:bCs/>
          <w:sz w:val="20"/>
          <w:szCs w:val="20"/>
        </w:rPr>
        <w:t xml:space="preserve"> </w:t>
      </w:r>
      <w:r w:rsidRPr="00B421E4">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Pozemní stavitelství zahrnuje veškeré stavební práce provedené na pozemních stavbách v tuzemsku, tj. výstavbu bytových a nebytových budov.</w:t>
      </w:r>
    </w:p>
    <w:p w:rsidR="00EB7A75" w:rsidRPr="00B421E4"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 xml:space="preserve">Inženýrské stavitelství zahrnuje veškeré </w:t>
      </w:r>
      <w:r>
        <w:rPr>
          <w:rFonts w:ascii="Arial" w:hAnsi="Arial" w:cs="Arial"/>
          <w:sz w:val="20"/>
          <w:szCs w:val="20"/>
        </w:rPr>
        <w:t xml:space="preserve">stavební </w:t>
      </w:r>
      <w:r w:rsidRPr="00B421E4">
        <w:rPr>
          <w:rFonts w:ascii="Arial" w:hAnsi="Arial" w:cs="Arial"/>
          <w:sz w:val="20"/>
          <w:szCs w:val="20"/>
        </w:rPr>
        <w:t xml:space="preserve">práce provedené na inženýrských stavbách v tuzemsku (výstavba silnic a železnic, výstavba inženýrských sítí a ostatních staveb jako např. vodních děl). </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zpronevěry, ostatní majetkové a osta</w:t>
      </w:r>
      <w:bookmarkStart w:id="0" w:name="_GoBack"/>
      <w:bookmarkEnd w:id="0"/>
      <w:r>
        <w:rPr>
          <w:rFonts w:ascii="Arial" w:hAnsi="Arial" w:cs="Arial"/>
          <w:sz w:val="20"/>
        </w:rPr>
        <w:t xml:space="preserve">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6A3D8E">
      <w:pPr>
        <w:pStyle w:val="Rbntext"/>
        <w:spacing w:before="0" w:after="12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F752DB">
        <w:rPr>
          <w:rFonts w:ascii="Arial" w:hAnsi="Arial" w:cs="Arial"/>
          <w:sz w:val="20"/>
        </w:rPr>
        <w:t>9</w:t>
      </w:r>
      <w:r w:rsidRPr="00C63FAD">
        <w:rPr>
          <w:rFonts w:ascii="Arial" w:hAnsi="Arial" w:cs="Arial"/>
          <w:sz w:val="20"/>
        </w:rPr>
        <w:t>/201</w:t>
      </w:r>
      <w:r w:rsidR="00F752DB">
        <w:rPr>
          <w:rFonts w:ascii="Arial" w:hAnsi="Arial" w:cs="Arial"/>
          <w:sz w:val="20"/>
        </w:rPr>
        <w:t>8</w:t>
      </w:r>
      <w:r w:rsidRPr="00C63FAD">
        <w:rPr>
          <w:rFonts w:ascii="Arial" w:hAnsi="Arial" w:cs="Arial"/>
          <w:sz w:val="20"/>
        </w:rPr>
        <w:t>, respektive 201</w:t>
      </w:r>
      <w:r w:rsidR="00F752DB">
        <w:rPr>
          <w:rFonts w:ascii="Arial" w:hAnsi="Arial" w:cs="Arial"/>
          <w:sz w:val="20"/>
        </w:rPr>
        <w:t>8</w:t>
      </w:r>
      <w:r w:rsidRPr="00C63FAD">
        <w:rPr>
          <w:rFonts w:ascii="Arial" w:hAnsi="Arial" w:cs="Arial"/>
          <w:sz w:val="20"/>
        </w:rPr>
        <w:t>/201</w:t>
      </w:r>
      <w:r w:rsidR="00F752DB">
        <w:rPr>
          <w:rFonts w:ascii="Arial" w:hAnsi="Arial" w:cs="Arial"/>
          <w:sz w:val="20"/>
        </w:rPr>
        <w:t>7</w:t>
      </w:r>
      <w:r w:rsidRPr="00C63FAD">
        <w:rPr>
          <w:rFonts w:ascii="Arial" w:hAnsi="Arial" w:cs="Arial"/>
          <w:sz w:val="20"/>
        </w:rPr>
        <w:t>, jsou uváděny v %.</w:t>
      </w:r>
    </w:p>
    <w:sectPr w:rsidR="003A617B" w:rsidRPr="00C63FAD" w:rsidSect="00DE19BF">
      <w:headerReference w:type="default" r:id="rId9"/>
      <w:footerReference w:type="default" r:id="rId10"/>
      <w:headerReference w:type="firs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6D726B">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45849"/>
    <w:rsid w:val="00056DCA"/>
    <w:rsid w:val="000645A7"/>
    <w:rsid w:val="00076703"/>
    <w:rsid w:val="00084D9B"/>
    <w:rsid w:val="000B5E2F"/>
    <w:rsid w:val="000F3315"/>
    <w:rsid w:val="000F4D30"/>
    <w:rsid w:val="000F649F"/>
    <w:rsid w:val="00111AB0"/>
    <w:rsid w:val="00144A26"/>
    <w:rsid w:val="00145516"/>
    <w:rsid w:val="001613CD"/>
    <w:rsid w:val="001638A3"/>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1C29"/>
    <w:rsid w:val="0033610D"/>
    <w:rsid w:val="0034429F"/>
    <w:rsid w:val="00374492"/>
    <w:rsid w:val="003A617B"/>
    <w:rsid w:val="003A6A47"/>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B20EB"/>
    <w:rsid w:val="004E3467"/>
    <w:rsid w:val="004E596E"/>
    <w:rsid w:val="004E763F"/>
    <w:rsid w:val="004F4394"/>
    <w:rsid w:val="005119B0"/>
    <w:rsid w:val="0053315E"/>
    <w:rsid w:val="00543DEE"/>
    <w:rsid w:val="00544311"/>
    <w:rsid w:val="0054674E"/>
    <w:rsid w:val="00554481"/>
    <w:rsid w:val="00556EB6"/>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71EAA"/>
    <w:rsid w:val="006767BC"/>
    <w:rsid w:val="0068466A"/>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639B7"/>
    <w:rsid w:val="00767361"/>
    <w:rsid w:val="0079256B"/>
    <w:rsid w:val="007B3135"/>
    <w:rsid w:val="007B5D42"/>
    <w:rsid w:val="007C2441"/>
    <w:rsid w:val="007D0670"/>
    <w:rsid w:val="007D0F87"/>
    <w:rsid w:val="007E228D"/>
    <w:rsid w:val="007F0639"/>
    <w:rsid w:val="007F638D"/>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C5FE5"/>
    <w:rsid w:val="009D6EF3"/>
    <w:rsid w:val="009E00D4"/>
    <w:rsid w:val="009F2EFB"/>
    <w:rsid w:val="00A045CC"/>
    <w:rsid w:val="00A301F5"/>
    <w:rsid w:val="00A33CEA"/>
    <w:rsid w:val="00A34793"/>
    <w:rsid w:val="00A56FAA"/>
    <w:rsid w:val="00A650B4"/>
    <w:rsid w:val="00A82BFD"/>
    <w:rsid w:val="00A831B9"/>
    <w:rsid w:val="00A90995"/>
    <w:rsid w:val="00AA7877"/>
    <w:rsid w:val="00AD3BE8"/>
    <w:rsid w:val="00B048DE"/>
    <w:rsid w:val="00B2092E"/>
    <w:rsid w:val="00B30D8A"/>
    <w:rsid w:val="00B73E2E"/>
    <w:rsid w:val="00B862CB"/>
    <w:rsid w:val="00B93505"/>
    <w:rsid w:val="00B95665"/>
    <w:rsid w:val="00BC08CC"/>
    <w:rsid w:val="00BD2EC3"/>
    <w:rsid w:val="00BE70D9"/>
    <w:rsid w:val="00C14E0A"/>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5896"/>
    <w:rsid w:val="00D73C03"/>
    <w:rsid w:val="00D928BF"/>
    <w:rsid w:val="00DA0916"/>
    <w:rsid w:val="00DA573C"/>
    <w:rsid w:val="00DA6DC9"/>
    <w:rsid w:val="00DE19BF"/>
    <w:rsid w:val="00DF54F1"/>
    <w:rsid w:val="00E04409"/>
    <w:rsid w:val="00E32933"/>
    <w:rsid w:val="00E45CE4"/>
    <w:rsid w:val="00E47CD0"/>
    <w:rsid w:val="00E5328D"/>
    <w:rsid w:val="00E55CBE"/>
    <w:rsid w:val="00E6298F"/>
    <w:rsid w:val="00E87A33"/>
    <w:rsid w:val="00E947DA"/>
    <w:rsid w:val="00E95B0D"/>
    <w:rsid w:val="00EB372D"/>
    <w:rsid w:val="00EB7A75"/>
    <w:rsid w:val="00EC1D74"/>
    <w:rsid w:val="00EE6248"/>
    <w:rsid w:val="00EE633C"/>
    <w:rsid w:val="00EF27D4"/>
    <w:rsid w:val="00F01EE3"/>
    <w:rsid w:val="00F03E13"/>
    <w:rsid w:val="00F05DD8"/>
    <w:rsid w:val="00F162EF"/>
    <w:rsid w:val="00F3686A"/>
    <w:rsid w:val="00F50B9C"/>
    <w:rsid w:val="00F70D76"/>
    <w:rsid w:val="00F752DB"/>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FA3245-CC7B-4C4D-BE19-F7E3F8F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6C09-5E9D-4119-B68C-B36AB987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2933</Words>
  <Characters>17821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20713</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Jan Honner</cp:lastModifiedBy>
  <cp:revision>2</cp:revision>
  <cp:lastPrinted>2018-06-22T14:46:00Z</cp:lastPrinted>
  <dcterms:created xsi:type="dcterms:W3CDTF">2019-06-14T15:49:00Z</dcterms:created>
  <dcterms:modified xsi:type="dcterms:W3CDTF">2019-06-14T15:49:00Z</dcterms:modified>
</cp:coreProperties>
</file>