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F2" w:rsidRPr="006D0D1A" w:rsidRDefault="00CB669A" w:rsidP="000C70B7">
      <w:pPr>
        <w:rPr>
          <w:rFonts w:cs="Arial"/>
          <w:b/>
          <w:i/>
          <w:sz w:val="32"/>
          <w:szCs w:val="32"/>
          <w:lang w:eastAsia="ar-SA"/>
        </w:rPr>
      </w:pPr>
      <w:r>
        <w:rPr>
          <w:rFonts w:cs="Arial"/>
          <w:b/>
          <w:i/>
          <w:noProof/>
          <w:sz w:val="32"/>
          <w:szCs w:val="32"/>
        </w:rPr>
        <w:pict>
          <v:shapetype id="_x0000_t202" coordsize="21600,21600" o:spt="202" path="m,l,21600r21600,l21600,xe">
            <v:stroke joinstyle="miter"/>
            <v:path gradientshapeok="t" o:connecttype="rect"/>
          </v:shapetype>
          <v:shape id="Textové pole 2" o:spid="_x0000_s1026" type="#_x0000_t202" style="position:absolute;margin-left:134.65pt;margin-top:368.55pt;width:403.9pt;height:13.8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" filled="f" stroked="f">
            <v:textbox style="mso-fit-shape-to-text:t" inset="0,0,0,0">
              <w:txbxContent>
                <w:p w:rsidR="00CA0C7F" w:rsidRPr="00C0004C" w:rsidRDefault="00CA0C7F" w:rsidP="00C0004C"/>
              </w:txbxContent>
            </v:textbox>
            <w10:wrap anchorx="page" anchory="page"/>
            <w10:anchorlock/>
          </v:shape>
        </w:pict>
      </w:r>
      <w:r w:rsidR="006F723B" w:rsidRPr="006D0D1A">
        <w:rPr>
          <w:b/>
          <w:color w:val="009BB4"/>
          <w:sz w:val="32"/>
          <w:szCs w:val="32"/>
        </w:rPr>
        <w:t>Analytická část</w:t>
      </w:r>
    </w:p>
    <w:p w:rsidR="006F723B" w:rsidRPr="006F723B" w:rsidRDefault="006F723B" w:rsidP="000C70B7">
      <w:pPr>
        <w:pStyle w:val="Default"/>
        <w:spacing w:line="288" w:lineRule="auto"/>
        <w:rPr>
          <w:rFonts w:ascii="Arial" w:hAnsi="Arial" w:cs="Arial"/>
          <w:b/>
          <w:bCs/>
          <w:color w:val="009BB4"/>
          <w:sz w:val="28"/>
          <w:szCs w:val="28"/>
        </w:rPr>
      </w:pPr>
      <w:r w:rsidRPr="006F723B">
        <w:rPr>
          <w:rFonts w:ascii="Arial" w:hAnsi="Arial" w:cs="Arial"/>
          <w:b/>
          <w:color w:val="009BB4"/>
          <w:sz w:val="28"/>
          <w:szCs w:val="28"/>
        </w:rPr>
        <w:t>Úvod</w:t>
      </w:r>
    </w:p>
    <w:p w:rsidR="006F723B" w:rsidRDefault="00116E1F" w:rsidP="006D0D1A">
      <w:pPr>
        <w:tabs>
          <w:tab w:val="left" w:pos="1"/>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val="0"/>
        <w:autoSpaceDE w:val="0"/>
        <w:autoSpaceDN w:val="0"/>
        <w:adjustRightInd w:val="0"/>
        <w:spacing w:after="160"/>
        <w:jc w:val="both"/>
        <w:textAlignment w:val="baseline"/>
        <w:rPr>
          <w:rFonts w:cs="Arial"/>
          <w:szCs w:val="20"/>
        </w:rPr>
      </w:pPr>
      <w:r>
        <w:rPr>
          <w:rFonts w:cs="Arial"/>
          <w:szCs w:val="20"/>
        </w:rPr>
        <w:t>Předmětem</w:t>
      </w:r>
      <w:r w:rsidR="00B971BF">
        <w:rPr>
          <w:rFonts w:cs="Arial"/>
          <w:szCs w:val="20"/>
        </w:rPr>
        <w:t xml:space="preserve"> následujícího textu j</w:t>
      </w:r>
      <w:r w:rsidR="00B510BA">
        <w:rPr>
          <w:rFonts w:cs="Arial"/>
          <w:szCs w:val="20"/>
        </w:rPr>
        <w:t>sou</w:t>
      </w:r>
      <w:r w:rsidR="00B971BF">
        <w:rPr>
          <w:rFonts w:cs="Arial"/>
          <w:szCs w:val="20"/>
        </w:rPr>
        <w:t xml:space="preserve"> zjištění, plynoucí ze </w:t>
      </w:r>
      <w:r w:rsidR="006F723B">
        <w:rPr>
          <w:rFonts w:cs="Arial"/>
          <w:szCs w:val="20"/>
        </w:rPr>
        <w:t>statistick</w:t>
      </w:r>
      <w:r>
        <w:rPr>
          <w:rFonts w:cs="Arial"/>
          <w:szCs w:val="20"/>
        </w:rPr>
        <w:t xml:space="preserve">ého šetření Českého statistického </w:t>
      </w:r>
      <w:r w:rsidR="00C74456">
        <w:rPr>
          <w:rFonts w:cs="Arial"/>
          <w:szCs w:val="20"/>
        </w:rPr>
        <w:t xml:space="preserve">úřadu </w:t>
      </w:r>
      <w:r>
        <w:rPr>
          <w:rFonts w:cs="Arial"/>
          <w:szCs w:val="20"/>
        </w:rPr>
        <w:t>o licencích</w:t>
      </w:r>
      <w:r w:rsidR="006F723B">
        <w:rPr>
          <w:rFonts w:cs="Arial"/>
          <w:szCs w:val="20"/>
        </w:rPr>
        <w:t xml:space="preserve"> za rok 2014</w:t>
      </w:r>
      <w:r>
        <w:rPr>
          <w:rFonts w:cs="Arial"/>
          <w:szCs w:val="20"/>
        </w:rPr>
        <w:t xml:space="preserve">, zaměřeného na </w:t>
      </w:r>
      <w:r w:rsidR="006F723B">
        <w:rPr>
          <w:rFonts w:cs="Arial"/>
          <w:szCs w:val="20"/>
        </w:rPr>
        <w:t>poskytovate</w:t>
      </w:r>
      <w:r w:rsidR="00C74456">
        <w:rPr>
          <w:rFonts w:cs="Arial"/>
          <w:szCs w:val="20"/>
        </w:rPr>
        <w:t>le licencí, počty</w:t>
      </w:r>
      <w:r w:rsidR="006F723B">
        <w:rPr>
          <w:rFonts w:cs="Arial"/>
          <w:szCs w:val="20"/>
        </w:rPr>
        <w:t xml:space="preserve"> platných licenčních smluv a přijat</w:t>
      </w:r>
      <w:r w:rsidR="00C74456">
        <w:rPr>
          <w:rFonts w:cs="Arial"/>
          <w:szCs w:val="20"/>
        </w:rPr>
        <w:t>é</w:t>
      </w:r>
      <w:r w:rsidR="006F723B">
        <w:rPr>
          <w:rFonts w:cs="Arial"/>
          <w:szCs w:val="20"/>
        </w:rPr>
        <w:t xml:space="preserve"> licenční poplat</w:t>
      </w:r>
      <w:r w:rsidR="00C74456">
        <w:rPr>
          <w:rFonts w:cs="Arial"/>
          <w:szCs w:val="20"/>
        </w:rPr>
        <w:t>ky</w:t>
      </w:r>
      <w:r w:rsidR="006F723B">
        <w:rPr>
          <w:rFonts w:cs="Arial"/>
          <w:szCs w:val="20"/>
        </w:rPr>
        <w:t xml:space="preserve">. </w:t>
      </w:r>
      <w:r w:rsidR="00DE4398">
        <w:rPr>
          <w:rFonts w:cs="Arial"/>
          <w:szCs w:val="20"/>
        </w:rPr>
        <w:t xml:space="preserve">Sledovanými </w:t>
      </w:r>
      <w:r w:rsidR="00C74456">
        <w:rPr>
          <w:rFonts w:cs="Arial"/>
          <w:szCs w:val="20"/>
        </w:rPr>
        <w:t xml:space="preserve">kategoriemi </w:t>
      </w:r>
      <w:r w:rsidR="006F723B">
        <w:rPr>
          <w:rFonts w:cs="Arial"/>
          <w:szCs w:val="20"/>
        </w:rPr>
        <w:t>licenčních smluv jsou patenty, užitné vzory, know-how, průmyslové vzory a nové odrůdy rostlin a plemen zvířat. Tyto ukazatele jsou uvedeny nejprve jako celkové souhrny</w:t>
      </w:r>
      <w:r w:rsidR="00AF7FA5">
        <w:rPr>
          <w:rFonts w:cs="Arial"/>
          <w:szCs w:val="20"/>
        </w:rPr>
        <w:t>, následně</w:t>
      </w:r>
      <w:r w:rsidR="006F723B">
        <w:rPr>
          <w:rFonts w:cs="Arial"/>
          <w:szCs w:val="20"/>
        </w:rPr>
        <w:t xml:space="preserve"> jako součty za nové poskytovatele, nově uzavřené licenční smlouvy a nově přijaté poplatky v</w:t>
      </w:r>
      <w:r w:rsidR="00F75A47">
        <w:rPr>
          <w:rFonts w:cs="Arial"/>
          <w:szCs w:val="20"/>
        </w:rPr>
        <w:t xml:space="preserve">e sledovaném </w:t>
      </w:r>
      <w:r w:rsidR="006F723B">
        <w:rPr>
          <w:rFonts w:cs="Arial"/>
          <w:szCs w:val="20"/>
        </w:rPr>
        <w:t xml:space="preserve">roce </w:t>
      </w:r>
      <w:r w:rsidR="00C707F1">
        <w:rPr>
          <w:rFonts w:cs="Arial"/>
          <w:szCs w:val="20"/>
        </w:rPr>
        <w:t>(</w:t>
      </w:r>
      <w:r w:rsidR="006F723B">
        <w:rPr>
          <w:rFonts w:cs="Arial"/>
          <w:szCs w:val="20"/>
        </w:rPr>
        <w:t>2014</w:t>
      </w:r>
      <w:r w:rsidR="00C707F1">
        <w:rPr>
          <w:rFonts w:cs="Arial"/>
          <w:szCs w:val="20"/>
        </w:rPr>
        <w:t>)</w:t>
      </w:r>
      <w:r w:rsidR="006F723B">
        <w:rPr>
          <w:rFonts w:cs="Arial"/>
          <w:szCs w:val="20"/>
        </w:rPr>
        <w:t>.</w:t>
      </w:r>
    </w:p>
    <w:p w:rsidR="006F723B" w:rsidRDefault="006F723B" w:rsidP="006D0D1A">
      <w:pPr>
        <w:tabs>
          <w:tab w:val="left" w:pos="1"/>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val="0"/>
        <w:autoSpaceDE w:val="0"/>
        <w:autoSpaceDN w:val="0"/>
        <w:adjustRightInd w:val="0"/>
        <w:spacing w:after="160"/>
        <w:jc w:val="both"/>
        <w:textAlignment w:val="baseline"/>
        <w:rPr>
          <w:rFonts w:cs="Arial"/>
          <w:szCs w:val="20"/>
        </w:rPr>
      </w:pPr>
      <w:r>
        <w:rPr>
          <w:rFonts w:cs="Arial"/>
          <w:szCs w:val="20"/>
        </w:rPr>
        <w:t>Pro oblast vědy a technologií</w:t>
      </w:r>
      <w:r w:rsidR="00AA25E4">
        <w:rPr>
          <w:rFonts w:cs="Arial"/>
          <w:szCs w:val="20"/>
        </w:rPr>
        <w:t xml:space="preserve"> jsou</w:t>
      </w:r>
      <w:r>
        <w:rPr>
          <w:rFonts w:cs="Arial"/>
          <w:szCs w:val="20"/>
        </w:rPr>
        <w:t xml:space="preserve">, především s ohledem na vývoj finančních ukazatelů, nejdůležitějšími subjekty licenčních smluv licence na patenty a užitné vzory. Patent je veřejná listina vydaná příslušným patentovým úřadem, která poskytuje právní ochranu na vynález po dobu až 20 let na teritoriu, pro něž byl tímto úřadem vydán. Užitný vzor představuje typ ochrany poskytovaný technickým řešením, které nemusí dosahovat dimenzí vynálezu. Požaduje se však, aby přesahovalo rámec pouhé odborné dovednosti, nebylo jen vnější úpravou výrobku, a bylo průmyslově využitelné. </w:t>
      </w:r>
    </w:p>
    <w:p w:rsidR="006F723B" w:rsidRPr="001F4F10" w:rsidRDefault="006F723B" w:rsidP="00187863">
      <w:pPr>
        <w:tabs>
          <w:tab w:val="left" w:pos="1"/>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val="0"/>
        <w:autoSpaceDE w:val="0"/>
        <w:autoSpaceDN w:val="0"/>
        <w:adjustRightInd w:val="0"/>
        <w:jc w:val="both"/>
        <w:textAlignment w:val="baseline"/>
        <w:rPr>
          <w:rFonts w:cs="Arial"/>
          <w:color w:val="000000" w:themeColor="text1"/>
          <w:szCs w:val="20"/>
        </w:rPr>
      </w:pPr>
      <w:r>
        <w:rPr>
          <w:rFonts w:cs="Arial"/>
          <w:szCs w:val="20"/>
        </w:rPr>
        <w:t xml:space="preserve">Licenčním smlouvám na patenty a užitné vzory je věnována </w:t>
      </w:r>
      <w:r w:rsidR="00AF60DC">
        <w:rPr>
          <w:rFonts w:cs="Arial"/>
          <w:szCs w:val="20"/>
        </w:rPr>
        <w:t xml:space="preserve">významná </w:t>
      </w:r>
      <w:r>
        <w:rPr>
          <w:rFonts w:cs="Arial"/>
          <w:szCs w:val="20"/>
        </w:rPr>
        <w:t xml:space="preserve">část tohoto textu. </w:t>
      </w:r>
      <w:r w:rsidR="000315CF">
        <w:rPr>
          <w:rFonts w:cs="Arial"/>
          <w:szCs w:val="20"/>
        </w:rPr>
        <w:t xml:space="preserve">Vedle </w:t>
      </w:r>
      <w:r>
        <w:rPr>
          <w:rFonts w:cs="Arial"/>
          <w:szCs w:val="20"/>
        </w:rPr>
        <w:t xml:space="preserve">celkového počtu licenčních smluv na patenty a užitné vzory, celkového počtu jejich poskytovatelů a výše přijatých poplatků je </w:t>
      </w:r>
      <w:r w:rsidR="00927138">
        <w:rPr>
          <w:rFonts w:cs="Arial"/>
          <w:szCs w:val="20"/>
        </w:rPr>
        <w:t xml:space="preserve">rovněž </w:t>
      </w:r>
      <w:r>
        <w:rPr>
          <w:rFonts w:cs="Arial"/>
          <w:szCs w:val="20"/>
        </w:rPr>
        <w:t xml:space="preserve">uvedena struktura poskytovatelů těchto smluv </w:t>
      </w:r>
      <w:r w:rsidR="00973859">
        <w:rPr>
          <w:rFonts w:cs="Arial"/>
          <w:szCs w:val="20"/>
        </w:rPr>
        <w:t xml:space="preserve">ve </w:t>
      </w:r>
      <w:r>
        <w:rPr>
          <w:rFonts w:cs="Arial"/>
          <w:szCs w:val="20"/>
        </w:rPr>
        <w:t>členění na podniky, veřejné vysoké školy, veřejné výzkumné instituce a fyzické osoby</w:t>
      </w:r>
      <w:r w:rsidR="00F1139E">
        <w:rPr>
          <w:rFonts w:cs="Arial"/>
          <w:szCs w:val="20"/>
        </w:rPr>
        <w:t xml:space="preserve">. Poskytnuté licenční </w:t>
      </w:r>
      <w:r>
        <w:rPr>
          <w:rFonts w:cs="Arial"/>
          <w:szCs w:val="20"/>
        </w:rPr>
        <w:t>sml</w:t>
      </w:r>
      <w:r w:rsidR="00C74456">
        <w:rPr>
          <w:rFonts w:cs="Arial"/>
          <w:szCs w:val="20"/>
        </w:rPr>
        <w:t>o</w:t>
      </w:r>
      <w:r>
        <w:rPr>
          <w:rFonts w:cs="Arial"/>
          <w:szCs w:val="20"/>
        </w:rPr>
        <w:t>uv</w:t>
      </w:r>
      <w:r w:rsidR="00F1139E">
        <w:rPr>
          <w:rFonts w:cs="Arial"/>
          <w:szCs w:val="20"/>
        </w:rPr>
        <w:t>y jsou členěny</w:t>
      </w:r>
      <w:r>
        <w:rPr>
          <w:rFonts w:cs="Arial"/>
          <w:szCs w:val="20"/>
        </w:rPr>
        <w:t xml:space="preserve"> podle krajů</w:t>
      </w:r>
      <w:r w:rsidR="00C16E73">
        <w:rPr>
          <w:rFonts w:cs="Arial"/>
          <w:szCs w:val="20"/>
        </w:rPr>
        <w:t xml:space="preserve">, </w:t>
      </w:r>
      <w:r w:rsidR="00C16E73" w:rsidRPr="001F4F10">
        <w:rPr>
          <w:rFonts w:cs="Arial"/>
          <w:color w:val="000000" w:themeColor="text1"/>
          <w:szCs w:val="20"/>
        </w:rPr>
        <w:t xml:space="preserve">přičemž </w:t>
      </w:r>
      <w:r w:rsidRPr="001F4F10">
        <w:rPr>
          <w:rFonts w:cs="Arial"/>
          <w:color w:val="000000" w:themeColor="text1"/>
          <w:szCs w:val="20"/>
        </w:rPr>
        <w:t xml:space="preserve">struktura smluvních partnerů </w:t>
      </w:r>
      <w:r w:rsidR="003B0A37" w:rsidRPr="001F4F10">
        <w:rPr>
          <w:rFonts w:cs="Arial"/>
          <w:color w:val="000000" w:themeColor="text1"/>
          <w:szCs w:val="20"/>
        </w:rPr>
        <w:t xml:space="preserve">je rozdělena </w:t>
      </w:r>
      <w:r w:rsidRPr="001F4F10">
        <w:rPr>
          <w:rFonts w:cs="Arial"/>
          <w:color w:val="000000" w:themeColor="text1"/>
          <w:szCs w:val="20"/>
        </w:rPr>
        <w:t>podle geografického členění.</w:t>
      </w:r>
    </w:p>
    <w:p w:rsidR="00C74456" w:rsidRPr="001F4F10" w:rsidRDefault="00C74456" w:rsidP="00187863">
      <w:pPr>
        <w:tabs>
          <w:tab w:val="left" w:pos="1"/>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val="0"/>
        <w:autoSpaceDE w:val="0"/>
        <w:autoSpaceDN w:val="0"/>
        <w:adjustRightInd w:val="0"/>
        <w:jc w:val="both"/>
        <w:textAlignment w:val="baseline"/>
        <w:rPr>
          <w:rFonts w:cs="Arial"/>
          <w:b/>
          <w:color w:val="000000" w:themeColor="text1"/>
          <w:sz w:val="22"/>
          <w:szCs w:val="22"/>
        </w:rPr>
      </w:pPr>
    </w:p>
    <w:p w:rsidR="009E5F6B" w:rsidRPr="00187863" w:rsidRDefault="009E5F6B" w:rsidP="00187863">
      <w:pPr>
        <w:tabs>
          <w:tab w:val="left" w:pos="1"/>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val="0"/>
        <w:autoSpaceDE w:val="0"/>
        <w:autoSpaceDN w:val="0"/>
        <w:adjustRightInd w:val="0"/>
        <w:jc w:val="both"/>
        <w:textAlignment w:val="baseline"/>
        <w:rPr>
          <w:rFonts w:cs="Arial"/>
          <w:b/>
          <w:color w:val="009BB4"/>
          <w:sz w:val="28"/>
          <w:szCs w:val="28"/>
        </w:rPr>
      </w:pPr>
      <w:r w:rsidRPr="00187863">
        <w:rPr>
          <w:rFonts w:cs="Arial"/>
          <w:b/>
          <w:color w:val="009BB4"/>
          <w:sz w:val="28"/>
          <w:szCs w:val="28"/>
        </w:rPr>
        <w:t>Poskytnuté licence podle předmětu licenční smlouvy</w:t>
      </w:r>
    </w:p>
    <w:p w:rsidR="006F723B" w:rsidRDefault="006F723B" w:rsidP="00887452">
      <w:pPr>
        <w:spacing w:after="160"/>
        <w:jc w:val="both"/>
      </w:pPr>
      <w:r>
        <w:t xml:space="preserve">Nejčastějším předmětem licenční smlouvy byly v roce 2014 </w:t>
      </w:r>
      <w:r w:rsidRPr="00DB4D5E">
        <w:t>nové odrůdy rostlin a plemen zvířat (</w:t>
      </w:r>
      <w:r>
        <w:t>518</w:t>
      </w:r>
      <w:r w:rsidRPr="00DB4D5E">
        <w:t xml:space="preserve"> platných poskytnutých licencí). </w:t>
      </w:r>
      <w:r>
        <w:t>Na patent</w:t>
      </w:r>
      <w:r w:rsidR="007A23DD">
        <w:t>y</w:t>
      </w:r>
      <w:r>
        <w:t xml:space="preserve"> bylo poskytnuto 402 licenc</w:t>
      </w:r>
      <w:r w:rsidR="007A23DD">
        <w:t>e</w:t>
      </w:r>
      <w:r>
        <w:t xml:space="preserve"> a na užitn</w:t>
      </w:r>
      <w:r w:rsidR="00E60841">
        <w:t>é</w:t>
      </w:r>
      <w:r>
        <w:t xml:space="preserve"> vzor</w:t>
      </w:r>
      <w:r w:rsidR="00E60841">
        <w:t>y</w:t>
      </w:r>
      <w:r>
        <w:t xml:space="preserve"> 202 licencí. Méně smluv bylo uzavíráno na know-how a průmyslov</w:t>
      </w:r>
      <w:r w:rsidR="005414CC">
        <w:t>é</w:t>
      </w:r>
      <w:r>
        <w:t xml:space="preserve"> vzor</w:t>
      </w:r>
      <w:r w:rsidR="005414CC">
        <w:t>y</w:t>
      </w:r>
      <w:r>
        <w:t xml:space="preserve"> (165, resp. 155 smluv).</w:t>
      </w:r>
    </w:p>
    <w:p w:rsidR="00187863" w:rsidRDefault="006F723B" w:rsidP="00887452">
      <w:pPr>
        <w:spacing w:after="160"/>
        <w:jc w:val="both"/>
      </w:pPr>
      <w:r>
        <w:t>Z údajů o počtu poskytovatelů licencí a počtu jimi poskytnutých platných licencí vyplývá, že v případě patent</w:t>
      </w:r>
      <w:r w:rsidR="00C36C89">
        <w:t>ů</w:t>
      </w:r>
      <w:r>
        <w:t xml:space="preserve"> připadá na jednoho poskytovatele více než 6 uzavřených licencí a v případě užitných vzorů se jedná o 3 licence na jeden subjekt. Z hlediska přijatých licenčních poplatků byly nejvýznamnější licence na patenty, za něž bylo v roce 2014 přijato více než 2,7 mld. Kč. Druhým největším zdrojem licenčních příjmů se staly licence na know-how, které poskytovatelům celkem vynesly více než 2,1 mld. Kč. Přestože licencí na nové odrůdy rostlin a plemen zvířat bylo v tomto roce uzavřeno nejvíce ze všech typů licenčních smluv, poplatky z nich plynoucí byly nejnižší (197</w:t>
      </w:r>
      <w:r w:rsidR="00187863">
        <w:t xml:space="preserve"> mil. Kč).</w:t>
      </w:r>
    </w:p>
    <w:p w:rsidR="00E135F9" w:rsidRDefault="006F723B" w:rsidP="00E135F9">
      <w:pPr>
        <w:spacing w:after="160"/>
        <w:jc w:val="both"/>
      </w:pPr>
      <w:r>
        <w:t>Z uvedených dat je patrné, že výše přijatých poplatků na jednu platnou patentovou licenci dosáhla v roce 2014 průměrné hodnoty 6,8 mil. Kč, výnos z jedné licence na know-how činil 12,9 mil. Kč a v případě licencí na nové odrůdy rostlin a plemen zvířat se jednalo o 0,4 mil. Kč.</w:t>
      </w:r>
    </w:p>
    <w:p w:rsidR="00243CDF" w:rsidRDefault="006F723B" w:rsidP="00C25E3A">
      <w:pPr>
        <w:tabs>
          <w:tab w:val="left" w:pos="851"/>
        </w:tabs>
        <w:spacing w:after="160"/>
        <w:jc w:val="both"/>
        <w:rPr>
          <w:b/>
          <w:szCs w:val="20"/>
        </w:rPr>
      </w:pPr>
      <w:r w:rsidRPr="00CE7265">
        <w:rPr>
          <w:b/>
          <w:szCs w:val="20"/>
        </w:rPr>
        <w:t>Graf 1</w:t>
      </w:r>
      <w:r w:rsidR="00C25E3A">
        <w:rPr>
          <w:b/>
          <w:szCs w:val="20"/>
        </w:rPr>
        <w:tab/>
      </w:r>
      <w:r w:rsidRPr="00DB4D5E">
        <w:rPr>
          <w:b/>
          <w:bCs/>
          <w:szCs w:val="20"/>
        </w:rPr>
        <w:t>Platné poskytnuté licence</w:t>
      </w:r>
      <w:r w:rsidRPr="00DB4D5E">
        <w:rPr>
          <w:b/>
          <w:szCs w:val="20"/>
        </w:rPr>
        <w:t xml:space="preserve"> </w:t>
      </w:r>
      <w:r>
        <w:rPr>
          <w:b/>
          <w:szCs w:val="20"/>
        </w:rPr>
        <w:t>podle předmětu licenční smlouvy,</w:t>
      </w:r>
      <w:r w:rsidRPr="00DB4D5E">
        <w:rPr>
          <w:b/>
          <w:szCs w:val="20"/>
        </w:rPr>
        <w:t xml:space="preserve"> 201</w:t>
      </w:r>
      <w:r>
        <w:rPr>
          <w:b/>
          <w:szCs w:val="20"/>
        </w:rPr>
        <w:t>4</w:t>
      </w:r>
      <w:r w:rsidRPr="00DB4D5E">
        <w:rPr>
          <w:b/>
          <w:szCs w:val="20"/>
        </w:rPr>
        <w:t xml:space="preserve"> </w:t>
      </w:r>
    </w:p>
    <w:p w:rsidR="006F723B" w:rsidRPr="00AE4D79" w:rsidRDefault="006F723B" w:rsidP="00883721">
      <w:pPr>
        <w:tabs>
          <w:tab w:val="left" w:pos="392"/>
          <w:tab w:val="left" w:pos="4111"/>
          <w:tab w:val="left" w:pos="6663"/>
        </w:tabs>
        <w:spacing w:afterLines="160" w:line="240" w:lineRule="auto"/>
        <w:jc w:val="both"/>
        <w:rPr>
          <w:b/>
          <w:sz w:val="16"/>
          <w:szCs w:val="16"/>
        </w:rPr>
      </w:pPr>
      <w:r w:rsidRPr="00DB4D5E">
        <w:rPr>
          <w:b/>
        </w:rPr>
        <w:t xml:space="preserve">             </w:t>
      </w:r>
      <w:r w:rsidRPr="00DB4D5E">
        <w:rPr>
          <w:b/>
          <w:sz w:val="16"/>
          <w:szCs w:val="16"/>
        </w:rPr>
        <w:t>Počet poskytovatelů licencí</w:t>
      </w:r>
      <w:r w:rsidRPr="00DB4D5E">
        <w:rPr>
          <w:b/>
          <w:sz w:val="16"/>
          <w:szCs w:val="16"/>
        </w:rPr>
        <w:tab/>
        <w:t>Počet platných licencí</w:t>
      </w:r>
      <w:r w:rsidRPr="00DB4D5E">
        <w:rPr>
          <w:b/>
          <w:sz w:val="16"/>
          <w:szCs w:val="16"/>
        </w:rPr>
        <w:tab/>
        <w:t>Přijaté licenční poplatky (v mil. Kč)</w:t>
      </w:r>
    </w:p>
    <w:p w:rsidR="006F723B" w:rsidRPr="00893E0A" w:rsidRDefault="009262AC" w:rsidP="00893E0A">
      <w:pPr>
        <w:tabs>
          <w:tab w:val="left" w:pos="392"/>
          <w:tab w:val="left" w:pos="6946"/>
        </w:tabs>
        <w:spacing w:line="240" w:lineRule="auto"/>
        <w:jc w:val="center"/>
        <w:rPr>
          <w:szCs w:val="20"/>
        </w:rPr>
      </w:pPr>
      <w:r>
        <w:rPr>
          <w:noProof/>
        </w:rPr>
        <w:drawing>
          <wp:inline distT="0" distB="0" distL="0" distR="0">
            <wp:extent cx="1759585" cy="1699260"/>
            <wp:effectExtent l="0" t="0" r="0" b="0"/>
            <wp:docPr id="1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499" t="3540" r="15530" b="3983"/>
                    <a:stretch>
                      <a:fillRect/>
                    </a:stretch>
                  </pic:blipFill>
                  <pic:spPr bwMode="auto">
                    <a:xfrm>
                      <a:off x="0" y="0"/>
                      <a:ext cx="1759585" cy="1699260"/>
                    </a:xfrm>
                    <a:prstGeom prst="rect">
                      <a:avLst/>
                    </a:prstGeom>
                    <a:noFill/>
                    <a:ln>
                      <a:noFill/>
                    </a:ln>
                  </pic:spPr>
                </pic:pic>
              </a:graphicData>
            </a:graphic>
          </wp:inline>
        </w:drawing>
      </w:r>
      <w:r>
        <w:rPr>
          <w:noProof/>
        </w:rPr>
        <w:drawing>
          <wp:inline distT="0" distB="0" distL="0" distR="0">
            <wp:extent cx="1863090" cy="1691005"/>
            <wp:effectExtent l="0" t="0" r="3810" b="4445"/>
            <wp:docPr id="1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459" t="3378" r="17001" b="2460"/>
                    <a:stretch>
                      <a:fillRect/>
                    </a:stretch>
                  </pic:blipFill>
                  <pic:spPr bwMode="auto">
                    <a:xfrm>
                      <a:off x="0" y="0"/>
                      <a:ext cx="1863090" cy="1691005"/>
                    </a:xfrm>
                    <a:prstGeom prst="rect">
                      <a:avLst/>
                    </a:prstGeom>
                    <a:noFill/>
                    <a:ln>
                      <a:noFill/>
                    </a:ln>
                  </pic:spPr>
                </pic:pic>
              </a:graphicData>
            </a:graphic>
          </wp:inline>
        </w:drawing>
      </w:r>
      <w:r>
        <w:rPr>
          <w:noProof/>
          <w:sz w:val="18"/>
        </w:rPr>
        <w:drawing>
          <wp:inline distT="0" distB="0" distL="0" distR="0">
            <wp:extent cx="1975485" cy="1699260"/>
            <wp:effectExtent l="0" t="0" r="5715" b="0"/>
            <wp:docPr id="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723" t="5180" r="7442" b="5598"/>
                    <a:stretch>
                      <a:fillRect/>
                    </a:stretch>
                  </pic:blipFill>
                  <pic:spPr bwMode="auto">
                    <a:xfrm>
                      <a:off x="0" y="0"/>
                      <a:ext cx="1975485" cy="1699260"/>
                    </a:xfrm>
                    <a:prstGeom prst="rect">
                      <a:avLst/>
                    </a:prstGeom>
                    <a:noFill/>
                    <a:ln>
                      <a:noFill/>
                    </a:ln>
                  </pic:spPr>
                </pic:pic>
              </a:graphicData>
            </a:graphic>
          </wp:inline>
        </w:drawing>
      </w:r>
    </w:p>
    <w:p w:rsidR="006F723B" w:rsidRDefault="006F723B" w:rsidP="00D60197">
      <w:pPr>
        <w:tabs>
          <w:tab w:val="left" w:pos="392"/>
          <w:tab w:val="left" w:pos="6946"/>
        </w:tabs>
        <w:jc w:val="both"/>
      </w:pPr>
      <w:r>
        <w:lastRenderedPageBreak/>
        <w:t>N</w:t>
      </w:r>
      <w:r w:rsidRPr="00D60197">
        <w:t>e</w:t>
      </w:r>
      <w:r>
        <w:t xml:space="preserve">jvíce nových poskytovatelů (tj. poskytovatelů, kteří uzavřeli licenční smlouvu nově v roce 2014) uzavřelo </w:t>
      </w:r>
      <w:r w:rsidR="00EE370E">
        <w:t xml:space="preserve">patentní </w:t>
      </w:r>
      <w:r>
        <w:t>smlouvu (21 nových poskytovatelů)</w:t>
      </w:r>
      <w:r w:rsidR="00B760E9">
        <w:t>. P</w:t>
      </w:r>
      <w:r>
        <w:t>odle předmětu licenční smlouvy bylo nejvíce licencí poskytnuto na nové odrůdy rostlin a plemen zvířat (153 nových licencí) a největší množství nově přijatých poplatků bylo inkasováno za licence na průmyslový vzor (629,7 mil. Kč), přestože počet platných licencí na tento předmět byl nejnižší ze všech nově poskytnutých licencí.</w:t>
      </w:r>
    </w:p>
    <w:p w:rsidR="00C0004C" w:rsidRDefault="00C0004C" w:rsidP="006F723B">
      <w:pPr>
        <w:tabs>
          <w:tab w:val="left" w:pos="6946"/>
        </w:tabs>
        <w:jc w:val="both"/>
        <w:rPr>
          <w:b/>
          <w:szCs w:val="20"/>
        </w:rPr>
      </w:pPr>
      <w:bookmarkStart w:id="0" w:name="_GoBack"/>
      <w:bookmarkEnd w:id="0"/>
    </w:p>
    <w:p w:rsidR="006F723B" w:rsidRDefault="006F723B" w:rsidP="008535DA">
      <w:pPr>
        <w:tabs>
          <w:tab w:val="left" w:pos="851"/>
        </w:tabs>
        <w:spacing w:after="160"/>
        <w:jc w:val="both"/>
        <w:rPr>
          <w:b/>
        </w:rPr>
      </w:pPr>
      <w:r w:rsidRPr="00CE7265">
        <w:rPr>
          <w:b/>
          <w:szCs w:val="20"/>
        </w:rPr>
        <w:t>Graf 2</w:t>
      </w:r>
      <w:r w:rsidR="008535DA">
        <w:rPr>
          <w:b/>
          <w:szCs w:val="20"/>
        </w:rPr>
        <w:tab/>
      </w:r>
      <w:r w:rsidRPr="00DB4D5E">
        <w:rPr>
          <w:b/>
        </w:rPr>
        <w:t xml:space="preserve">Nově uzavřené poskytnuté licence </w:t>
      </w:r>
      <w:r>
        <w:rPr>
          <w:b/>
        </w:rPr>
        <w:t>podle předmětu licenční smlouvy,</w:t>
      </w:r>
      <w:r w:rsidRPr="00DB4D5E">
        <w:rPr>
          <w:b/>
        </w:rPr>
        <w:t xml:space="preserve"> 201</w:t>
      </w:r>
      <w:r>
        <w:rPr>
          <w:b/>
        </w:rPr>
        <w:t>4</w:t>
      </w:r>
    </w:p>
    <w:p w:rsidR="006F723B" w:rsidRPr="00DB4D5E" w:rsidRDefault="00007360" w:rsidP="006D0D1A">
      <w:pPr>
        <w:tabs>
          <w:tab w:val="left" w:pos="392"/>
          <w:tab w:val="left" w:pos="4111"/>
          <w:tab w:val="left" w:pos="6946"/>
        </w:tabs>
        <w:spacing w:after="160"/>
        <w:jc w:val="both"/>
        <w:rPr>
          <w:b/>
          <w:sz w:val="16"/>
          <w:szCs w:val="16"/>
        </w:rPr>
      </w:pPr>
      <w:r>
        <w:rPr>
          <w:b/>
        </w:rPr>
        <w:t xml:space="preserve"> </w:t>
      </w:r>
      <w:r w:rsidR="006F723B" w:rsidRPr="00DB4D5E">
        <w:rPr>
          <w:b/>
        </w:rPr>
        <w:t xml:space="preserve">             </w:t>
      </w:r>
      <w:r w:rsidR="006F723B" w:rsidRPr="00DB4D5E">
        <w:rPr>
          <w:b/>
          <w:sz w:val="16"/>
          <w:szCs w:val="16"/>
        </w:rPr>
        <w:t>Počet poskytovatelů licencí</w:t>
      </w:r>
      <w:r w:rsidR="006F723B" w:rsidRPr="00DB4D5E">
        <w:rPr>
          <w:b/>
          <w:sz w:val="16"/>
          <w:szCs w:val="16"/>
        </w:rPr>
        <w:tab/>
        <w:t>Počet platných licencí</w:t>
      </w:r>
      <w:r w:rsidR="006F723B" w:rsidRPr="00DB4D5E">
        <w:rPr>
          <w:b/>
          <w:sz w:val="16"/>
          <w:szCs w:val="16"/>
        </w:rPr>
        <w:tab/>
        <w:t>Přijaté licenční poplatky (v mil. Kč)</w:t>
      </w:r>
    </w:p>
    <w:p w:rsidR="006F723B" w:rsidRDefault="009262AC" w:rsidP="006D0D1A">
      <w:pPr>
        <w:spacing w:after="160"/>
        <w:jc w:val="center"/>
      </w:pPr>
      <w:r>
        <w:rPr>
          <w:noProof/>
        </w:rPr>
        <w:drawing>
          <wp:inline distT="0" distB="0" distL="0" distR="0">
            <wp:extent cx="1906270" cy="1691005"/>
            <wp:effectExtent l="0" t="0" r="0" b="4445"/>
            <wp:docPr id="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504" t="3043" r="19218" b="8261"/>
                    <a:stretch>
                      <a:fillRect/>
                    </a:stretch>
                  </pic:blipFill>
                  <pic:spPr bwMode="auto">
                    <a:xfrm>
                      <a:off x="0" y="0"/>
                      <a:ext cx="1906270" cy="1691005"/>
                    </a:xfrm>
                    <a:prstGeom prst="rect">
                      <a:avLst/>
                    </a:prstGeom>
                    <a:noFill/>
                    <a:ln>
                      <a:noFill/>
                    </a:ln>
                  </pic:spPr>
                </pic:pic>
              </a:graphicData>
            </a:graphic>
          </wp:inline>
        </w:drawing>
      </w:r>
      <w:r>
        <w:rPr>
          <w:noProof/>
        </w:rPr>
        <w:drawing>
          <wp:inline distT="0" distB="0" distL="0" distR="0">
            <wp:extent cx="1871980" cy="1691005"/>
            <wp:effectExtent l="0" t="0" r="0" b="4445"/>
            <wp:docPr id="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934" t="7730" r="11533" b="10051"/>
                    <a:stretch>
                      <a:fillRect/>
                    </a:stretch>
                  </pic:blipFill>
                  <pic:spPr bwMode="auto">
                    <a:xfrm>
                      <a:off x="0" y="0"/>
                      <a:ext cx="1871980" cy="1691005"/>
                    </a:xfrm>
                    <a:prstGeom prst="rect">
                      <a:avLst/>
                    </a:prstGeom>
                    <a:noFill/>
                    <a:ln>
                      <a:noFill/>
                    </a:ln>
                  </pic:spPr>
                </pic:pic>
              </a:graphicData>
            </a:graphic>
          </wp:inline>
        </w:drawing>
      </w:r>
      <w:r>
        <w:rPr>
          <w:noProof/>
        </w:rPr>
        <w:drawing>
          <wp:inline distT="0" distB="0" distL="0" distR="0">
            <wp:extent cx="2225675" cy="1691005"/>
            <wp:effectExtent l="0" t="0" r="3175" b="4445"/>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574" t="2652" r="1572" b="3761"/>
                    <a:stretch>
                      <a:fillRect/>
                    </a:stretch>
                  </pic:blipFill>
                  <pic:spPr bwMode="auto">
                    <a:xfrm>
                      <a:off x="0" y="0"/>
                      <a:ext cx="2225675" cy="1691005"/>
                    </a:xfrm>
                    <a:prstGeom prst="rect">
                      <a:avLst/>
                    </a:prstGeom>
                    <a:noFill/>
                    <a:ln>
                      <a:noFill/>
                    </a:ln>
                  </pic:spPr>
                </pic:pic>
              </a:graphicData>
            </a:graphic>
          </wp:inline>
        </w:drawing>
      </w:r>
    </w:p>
    <w:p w:rsidR="006D0D1A" w:rsidRPr="006D0D1A" w:rsidRDefault="006D0D1A" w:rsidP="00D60197"/>
    <w:p w:rsidR="006D0D1A" w:rsidRPr="00D67384" w:rsidRDefault="006F723B" w:rsidP="00D67384">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val="0"/>
        <w:autoSpaceDE w:val="0"/>
        <w:autoSpaceDN w:val="0"/>
        <w:adjustRightInd w:val="0"/>
        <w:jc w:val="both"/>
        <w:textAlignment w:val="baseline"/>
        <w:rPr>
          <w:rFonts w:cs="Arial"/>
          <w:b/>
          <w:color w:val="009BB4"/>
          <w:sz w:val="28"/>
          <w:szCs w:val="28"/>
        </w:rPr>
      </w:pPr>
      <w:r w:rsidRPr="00D67384">
        <w:rPr>
          <w:rFonts w:cs="Arial"/>
          <w:b/>
          <w:color w:val="009BB4"/>
          <w:sz w:val="28"/>
          <w:szCs w:val="28"/>
        </w:rPr>
        <w:t xml:space="preserve">Poskytnuté licence na patenty a užitné vzory </w:t>
      </w:r>
    </w:p>
    <w:p w:rsidR="006D0D1A" w:rsidRDefault="006F723B" w:rsidP="00D60197">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val="0"/>
        <w:autoSpaceDE w:val="0"/>
        <w:autoSpaceDN w:val="0"/>
        <w:adjustRightInd w:val="0"/>
        <w:jc w:val="both"/>
        <w:textAlignment w:val="baseline"/>
      </w:pPr>
      <w:r w:rsidRPr="00DB4D5E">
        <w:t xml:space="preserve">Z hlediska šíření výsledků výzkumu a vývoje a jeho finančního zhodnocení (prodeje) patří mezi nejvýznamnější předměty licenčních smluv licence na patenty a užitné vzory. Podrobnější údaje za tyto </w:t>
      </w:r>
      <w:r>
        <w:t xml:space="preserve">typy </w:t>
      </w:r>
      <w:r w:rsidRPr="00DB4D5E">
        <w:t>lic</w:t>
      </w:r>
      <w:r>
        <w:t>encí jsou uvedeny v následujícím textu. U těchto licenčních smluv byl sledován vývoj jejich celkového počtu, počtu jejich poskytovatelů a výše poplatků z nich plynoucích. Tyto ukazatele jsou zaznamenány během časové rozmezí let 2004 až 2014. Dále jsou licenční smlouvy na patenty a užitné vzory členěny podle typu produkce</w:t>
      </w:r>
      <w:r>
        <w:rPr>
          <w:rStyle w:val="Znakapoznpodarou"/>
        </w:rPr>
        <w:footnoteReference w:id="1"/>
      </w:r>
      <w:r>
        <w:t>, typu jejich poskytovatele, kterým může být podnik, veřejná výzkumná instituce, veřejná vysoká škola nebo fyzická osoba, podle krajů ČR a</w:t>
      </w:r>
      <w:r w:rsidR="00D60197">
        <w:t xml:space="preserve"> podle země smluvního partnera.</w:t>
      </w:r>
    </w:p>
    <w:p w:rsidR="001474D8" w:rsidRPr="006E3583" w:rsidRDefault="001474D8" w:rsidP="006E3583">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val="0"/>
        <w:autoSpaceDE w:val="0"/>
        <w:autoSpaceDN w:val="0"/>
        <w:adjustRightInd w:val="0"/>
        <w:jc w:val="both"/>
        <w:textAlignment w:val="baseline"/>
        <w:rPr>
          <w:rFonts w:cs="Arial"/>
          <w:b/>
          <w:color w:val="000000" w:themeColor="text1"/>
          <w:szCs w:val="20"/>
        </w:rPr>
      </w:pPr>
    </w:p>
    <w:p w:rsidR="006F723B" w:rsidRPr="00D67384" w:rsidRDefault="006F723B" w:rsidP="00D67384">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val="0"/>
        <w:autoSpaceDE w:val="0"/>
        <w:autoSpaceDN w:val="0"/>
        <w:adjustRightInd w:val="0"/>
        <w:jc w:val="both"/>
        <w:textAlignment w:val="baseline"/>
        <w:rPr>
          <w:rFonts w:cs="Arial"/>
          <w:b/>
          <w:color w:val="009BB4"/>
          <w:sz w:val="28"/>
          <w:szCs w:val="28"/>
        </w:rPr>
      </w:pPr>
      <w:r w:rsidRPr="00D67384">
        <w:rPr>
          <w:b/>
          <w:bCs/>
          <w:color w:val="009BB4"/>
          <w:sz w:val="28"/>
          <w:szCs w:val="28"/>
        </w:rPr>
        <w:t>Počet poskytovatelů licencí na patenty a užitné vzory</w:t>
      </w:r>
    </w:p>
    <w:p w:rsidR="006F723B" w:rsidRDefault="006F723B" w:rsidP="006D0D1A">
      <w:pPr>
        <w:spacing w:after="160"/>
        <w:jc w:val="both"/>
      </w:pPr>
      <w:r w:rsidRPr="00DB4D5E">
        <w:t>V roce 201</w:t>
      </w:r>
      <w:r>
        <w:t>4</w:t>
      </w:r>
      <w:r w:rsidRPr="00DB4D5E">
        <w:t xml:space="preserve"> bylo v České republice 1</w:t>
      </w:r>
      <w:r>
        <w:t>08</w:t>
      </w:r>
      <w:r w:rsidRPr="00DB4D5E">
        <w:t xml:space="preserve"> poskytovatel</w:t>
      </w:r>
      <w:r>
        <w:t>ů</w:t>
      </w:r>
      <w:r w:rsidRPr="00DB4D5E">
        <w:t xml:space="preserve"> platné licence na patent nebo užitný vzor</w:t>
      </w:r>
      <w:r w:rsidRPr="00DB4D5E">
        <w:rPr>
          <w:vertAlign w:val="superscript"/>
        </w:rPr>
        <w:footnoteReference w:id="2"/>
      </w:r>
      <w:r w:rsidRPr="00DB4D5E">
        <w:t xml:space="preserve">. </w:t>
      </w:r>
      <w:r>
        <w:t xml:space="preserve">Nově poskytlo tuto licenci 34 poskytovatelů, což odpovídá 31 % celkového počtu všech poskytovatelů licencí na patent nebo užitný vzor v ČR. Celkový počet poskytovatelů licencí na patenty měl od roku 2004 do roku 2013 celkově vzestupnou tendenci, v posledním sledovaném roce klesl na hodnotu 67, přičemž z tohoto počtu nově poskytlo licenční smlouvu 21 subjektů. Počet poskytovatelů licenčních smluv na užitný vzor se v roce 2014 vyšplhal na 59. Nově poskytlo licenci na užitný vzor 19 subjektů. </w:t>
      </w:r>
    </w:p>
    <w:p w:rsidR="006F723B" w:rsidRDefault="006F723B" w:rsidP="006E3583">
      <w:pPr>
        <w:jc w:val="both"/>
      </w:pPr>
      <w:r w:rsidRPr="00032083">
        <w:t>Ze subjektů, které poskytly licence na patenty a užitné vzory</w:t>
      </w:r>
      <w:r>
        <w:t>,</w:t>
      </w:r>
      <w:r w:rsidRPr="00032083">
        <w:t xml:space="preserve"> jich </w:t>
      </w:r>
      <w:r>
        <w:t>nejvíce (21)</w:t>
      </w:r>
      <w:r w:rsidRPr="00032083">
        <w:t xml:space="preserve"> </w:t>
      </w:r>
      <w:r>
        <w:t>uzavřelo licence na „S</w:t>
      </w:r>
      <w:r w:rsidRPr="00032083">
        <w:t>troje a zařízení pro všeobecné a speciální účely</w:t>
      </w:r>
      <w:r>
        <w:t>“.</w:t>
      </w:r>
      <w:r w:rsidRPr="00032083">
        <w:t xml:space="preserve"> Na „</w:t>
      </w:r>
      <w:r>
        <w:t>Výzkum a vývoj</w:t>
      </w:r>
      <w:r w:rsidRPr="00032083">
        <w:t>“ poskytlo licenci 1</w:t>
      </w:r>
      <w:r>
        <w:t>3</w:t>
      </w:r>
      <w:r w:rsidRPr="00032083">
        <w:t xml:space="preserve"> subjektů.</w:t>
      </w:r>
    </w:p>
    <w:p w:rsidR="006E3583" w:rsidRDefault="006E3583" w:rsidP="006E3583">
      <w:pPr>
        <w:jc w:val="both"/>
      </w:pPr>
    </w:p>
    <w:p w:rsidR="00A968DB" w:rsidRDefault="00A968DB" w:rsidP="006E3583">
      <w:pPr>
        <w:jc w:val="both"/>
      </w:pPr>
    </w:p>
    <w:p w:rsidR="00A968DB" w:rsidRDefault="00A968DB" w:rsidP="006E3583">
      <w:pPr>
        <w:jc w:val="both"/>
      </w:pPr>
    </w:p>
    <w:p w:rsidR="00A968DB" w:rsidRDefault="00A968DB" w:rsidP="006E3583">
      <w:pPr>
        <w:jc w:val="both"/>
      </w:pPr>
    </w:p>
    <w:p w:rsidR="00A968DB" w:rsidRDefault="00A968DB" w:rsidP="006E3583">
      <w:pPr>
        <w:jc w:val="both"/>
      </w:pPr>
    </w:p>
    <w:p w:rsidR="00A968DB" w:rsidRDefault="00A968DB" w:rsidP="006E3583">
      <w:pPr>
        <w:jc w:val="both"/>
      </w:pPr>
    </w:p>
    <w:p w:rsidR="00A968DB" w:rsidRDefault="00A968DB" w:rsidP="006E3583">
      <w:pPr>
        <w:jc w:val="both"/>
      </w:pPr>
    </w:p>
    <w:p w:rsidR="00A968DB" w:rsidRPr="00DB4D5E" w:rsidRDefault="00A968DB" w:rsidP="006E3583">
      <w:pPr>
        <w:jc w:val="both"/>
      </w:pPr>
    </w:p>
    <w:p w:rsidR="006F723B" w:rsidRPr="00DB4D5E" w:rsidRDefault="006F723B" w:rsidP="008535DA">
      <w:pPr>
        <w:tabs>
          <w:tab w:val="left" w:pos="851"/>
        </w:tabs>
        <w:spacing w:after="160"/>
        <w:jc w:val="both"/>
        <w:rPr>
          <w:b/>
          <w:bCs/>
        </w:rPr>
      </w:pPr>
      <w:r w:rsidRPr="00CE7265">
        <w:rPr>
          <w:b/>
          <w:bCs/>
        </w:rPr>
        <w:lastRenderedPageBreak/>
        <w:t>Graf 3</w:t>
      </w:r>
      <w:r w:rsidR="008535DA">
        <w:rPr>
          <w:b/>
          <w:bCs/>
        </w:rPr>
        <w:tab/>
      </w:r>
      <w:r w:rsidRPr="00DB4D5E">
        <w:rPr>
          <w:b/>
          <w:bCs/>
        </w:rPr>
        <w:t>Počet poskytovatelů licencí na patenty a užitné vzory v ČR, 2004 – 201</w:t>
      </w:r>
      <w:r>
        <w:rPr>
          <w:b/>
          <w:bCs/>
        </w:rPr>
        <w:t>4</w:t>
      </w:r>
    </w:p>
    <w:p w:rsidR="006F723B" w:rsidRDefault="009262AC" w:rsidP="0017617B">
      <w:pPr>
        <w:spacing w:after="160"/>
        <w:jc w:val="center"/>
      </w:pPr>
      <w:r>
        <w:rPr>
          <w:noProof/>
        </w:rPr>
        <w:drawing>
          <wp:inline distT="0" distB="0" distL="0" distR="0">
            <wp:extent cx="2959100" cy="2113280"/>
            <wp:effectExtent l="0" t="0" r="0" b="1270"/>
            <wp:docPr id="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116" t="1895" r="12746" b="1802"/>
                    <a:stretch>
                      <a:fillRect/>
                    </a:stretch>
                  </pic:blipFill>
                  <pic:spPr bwMode="auto">
                    <a:xfrm>
                      <a:off x="0" y="0"/>
                      <a:ext cx="2959100" cy="2113280"/>
                    </a:xfrm>
                    <a:prstGeom prst="rect">
                      <a:avLst/>
                    </a:prstGeom>
                    <a:noFill/>
                    <a:ln>
                      <a:noFill/>
                    </a:ln>
                  </pic:spPr>
                </pic:pic>
              </a:graphicData>
            </a:graphic>
          </wp:inline>
        </w:drawing>
      </w:r>
      <w:r>
        <w:rPr>
          <w:noProof/>
        </w:rPr>
        <w:drawing>
          <wp:inline distT="0" distB="0" distL="0" distR="0">
            <wp:extent cx="3062605" cy="2113280"/>
            <wp:effectExtent l="0" t="0" r="4445" b="1270"/>
            <wp:docPr id="8"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911" t="2516" r="14680" b="1888"/>
                    <a:stretch>
                      <a:fillRect/>
                    </a:stretch>
                  </pic:blipFill>
                  <pic:spPr bwMode="auto">
                    <a:xfrm>
                      <a:off x="0" y="0"/>
                      <a:ext cx="3062605" cy="2113280"/>
                    </a:xfrm>
                    <a:prstGeom prst="rect">
                      <a:avLst/>
                    </a:prstGeom>
                    <a:noFill/>
                    <a:ln>
                      <a:noFill/>
                    </a:ln>
                  </pic:spPr>
                </pic:pic>
              </a:graphicData>
            </a:graphic>
          </wp:inline>
        </w:drawing>
      </w:r>
    </w:p>
    <w:p w:rsidR="00A968DB" w:rsidRPr="009D0E39" w:rsidRDefault="00A968DB" w:rsidP="00A968DB">
      <w:pPr>
        <w:spacing w:after="160"/>
      </w:pPr>
    </w:p>
    <w:p w:rsidR="006F723B" w:rsidRPr="00E860C0" w:rsidRDefault="006F723B" w:rsidP="00E860C0">
      <w:pPr>
        <w:jc w:val="both"/>
        <w:rPr>
          <w:b/>
          <w:bCs/>
          <w:color w:val="009BB4"/>
          <w:sz w:val="28"/>
          <w:szCs w:val="28"/>
        </w:rPr>
      </w:pPr>
      <w:r w:rsidRPr="00E860C0">
        <w:rPr>
          <w:b/>
          <w:bCs/>
          <w:color w:val="009BB4"/>
          <w:sz w:val="28"/>
          <w:szCs w:val="28"/>
        </w:rPr>
        <w:t>Počet poskytnutých licencí na patenty a užitné vzory</w:t>
      </w:r>
    </w:p>
    <w:p w:rsidR="006E3583" w:rsidRDefault="006F723B" w:rsidP="006E3583">
      <w:pPr>
        <w:jc w:val="both"/>
      </w:pPr>
      <w:r w:rsidRPr="00DB4D5E">
        <w:t>V roce 201</w:t>
      </w:r>
      <w:r>
        <w:t>4</w:t>
      </w:r>
      <w:r w:rsidRPr="00DB4D5E">
        <w:t xml:space="preserve"> bylo </w:t>
      </w:r>
      <w:r>
        <w:t>poskytnuto</w:t>
      </w:r>
      <w:r w:rsidRPr="00DB4D5E">
        <w:t xml:space="preserve"> </w:t>
      </w:r>
      <w:r>
        <w:t>604</w:t>
      </w:r>
      <w:r w:rsidRPr="00DB4D5E">
        <w:t xml:space="preserve"> </w:t>
      </w:r>
      <w:r>
        <w:t xml:space="preserve">platných </w:t>
      </w:r>
      <w:r w:rsidRPr="00DB4D5E">
        <w:t xml:space="preserve">licencí na patenty nebo užitné vzory, za které bylo </w:t>
      </w:r>
      <w:r>
        <w:t>přijato</w:t>
      </w:r>
      <w:r w:rsidRPr="00DB4D5E">
        <w:t xml:space="preserve"> celkem </w:t>
      </w:r>
      <w:r>
        <w:t>2 945</w:t>
      </w:r>
      <w:r w:rsidRPr="00DB4D5E">
        <w:t xml:space="preserve"> mil. Kč. Z celkového počtu prodaných licencí na patenty a užitné vzory bylo v roce 201</w:t>
      </w:r>
      <w:r>
        <w:t>4</w:t>
      </w:r>
      <w:r w:rsidRPr="00DB4D5E">
        <w:t xml:space="preserve"> nově uzavřeno </w:t>
      </w:r>
      <w:r>
        <w:t>83</w:t>
      </w:r>
      <w:r w:rsidRPr="00DB4D5E">
        <w:t xml:space="preserve"> licenčních smluv. </w:t>
      </w:r>
      <w:r>
        <w:t>Stejně jako počet poskytovatelů patentových licencí, také počet uzavřených licenčních smluv na patent v průběhu sledovaných let vzrůstal, v roce 2014 však oproti minulým rokům došlo k mírnému poklesu, když bylo uzavřeno 402 licenčních smluv. V případě smluv na užitné vzory došlo v roce 2014 také k určitému snížení jejich celkového počtu. Uzavřeno jich bylo 202, což zhruba odpovídá p</w:t>
      </w:r>
      <w:r w:rsidR="006E3583">
        <w:t>očtu těchto smluv v roce 2010.</w:t>
      </w:r>
    </w:p>
    <w:p w:rsidR="006E3583" w:rsidRPr="00DB4D5E" w:rsidRDefault="006E3583" w:rsidP="006E3583">
      <w:pPr>
        <w:jc w:val="both"/>
      </w:pPr>
    </w:p>
    <w:p w:rsidR="006F723B" w:rsidRDefault="006F723B" w:rsidP="008535DA">
      <w:pPr>
        <w:tabs>
          <w:tab w:val="left" w:pos="851"/>
        </w:tabs>
        <w:spacing w:after="160"/>
        <w:jc w:val="both"/>
        <w:rPr>
          <w:b/>
        </w:rPr>
      </w:pPr>
      <w:r w:rsidRPr="00CE7265">
        <w:rPr>
          <w:b/>
          <w:bCs/>
        </w:rPr>
        <w:t>Graf 4</w:t>
      </w:r>
      <w:r w:rsidR="008535DA">
        <w:rPr>
          <w:b/>
          <w:bCs/>
        </w:rPr>
        <w:tab/>
      </w:r>
      <w:r w:rsidRPr="00DB4D5E">
        <w:rPr>
          <w:b/>
        </w:rPr>
        <w:t>Počet poskytnutých licencí n</w:t>
      </w:r>
      <w:r w:rsidRPr="00DB4D5E">
        <w:rPr>
          <w:b/>
          <w:noProof/>
        </w:rPr>
        <w:t>a patenty a užitné vzory</w:t>
      </w:r>
      <w:r w:rsidRPr="00DB4D5E">
        <w:rPr>
          <w:b/>
        </w:rPr>
        <w:t>, 2004 – 201</w:t>
      </w:r>
      <w:r>
        <w:rPr>
          <w:b/>
        </w:rPr>
        <w:t>4</w:t>
      </w:r>
    </w:p>
    <w:p w:rsidR="006F723B" w:rsidRDefault="009262AC" w:rsidP="00243CDF">
      <w:pPr>
        <w:spacing w:after="160" w:line="240" w:lineRule="auto"/>
        <w:jc w:val="center"/>
      </w:pPr>
      <w:r>
        <w:rPr>
          <w:noProof/>
        </w:rPr>
        <w:drawing>
          <wp:anchor distT="0" distB="0" distL="114300" distR="114300" simplePos="0" relativeHeight="251659264" behindDoc="1" locked="0" layoutInCell="1" allowOverlap="1">
            <wp:simplePos x="0" y="0"/>
            <wp:positionH relativeFrom="column">
              <wp:posOffset>37465</wp:posOffset>
            </wp:positionH>
            <wp:positionV relativeFrom="paragraph">
              <wp:posOffset>38100</wp:posOffset>
            </wp:positionV>
            <wp:extent cx="2936240" cy="2113915"/>
            <wp:effectExtent l="0" t="0" r="0" b="635"/>
            <wp:wrapTight wrapText="bothSides">
              <wp:wrapPolygon edited="0">
                <wp:start x="0" y="0"/>
                <wp:lineTo x="0" y="21412"/>
                <wp:lineTo x="21441" y="21412"/>
                <wp:lineTo x="21441" y="0"/>
                <wp:lineTo x="0" y="0"/>
              </wp:wrapPolygon>
            </wp:wrapTight>
            <wp:docPr id="29"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279" t="1961" r="13075" b="4248"/>
                    <a:stretch>
                      <a:fillRect/>
                    </a:stretch>
                  </pic:blipFill>
                  <pic:spPr bwMode="auto">
                    <a:xfrm>
                      <a:off x="0" y="0"/>
                      <a:ext cx="2936240" cy="2113915"/>
                    </a:xfrm>
                    <a:prstGeom prst="rect">
                      <a:avLst/>
                    </a:prstGeom>
                    <a:noFill/>
                  </pic:spPr>
                </pic:pic>
              </a:graphicData>
            </a:graphic>
          </wp:anchor>
        </w:drawing>
      </w:r>
      <w:r>
        <w:rPr>
          <w:b/>
          <w:noProof/>
        </w:rPr>
        <w:drawing>
          <wp:inline distT="0" distB="0" distL="0" distR="0">
            <wp:extent cx="2976245" cy="2113280"/>
            <wp:effectExtent l="0" t="0" r="0" b="1270"/>
            <wp:docPr id="9"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155" t="2361" r="9708" b="10268"/>
                    <a:stretch>
                      <a:fillRect/>
                    </a:stretch>
                  </pic:blipFill>
                  <pic:spPr bwMode="auto">
                    <a:xfrm>
                      <a:off x="0" y="0"/>
                      <a:ext cx="2976245" cy="2113280"/>
                    </a:xfrm>
                    <a:prstGeom prst="rect">
                      <a:avLst/>
                    </a:prstGeom>
                    <a:noFill/>
                    <a:ln>
                      <a:noFill/>
                    </a:ln>
                  </pic:spPr>
                </pic:pic>
              </a:graphicData>
            </a:graphic>
          </wp:inline>
        </w:drawing>
      </w:r>
    </w:p>
    <w:p w:rsidR="006E3583" w:rsidRPr="00DB4D5E" w:rsidRDefault="006E3583" w:rsidP="00E06DDE">
      <w:pPr>
        <w:jc w:val="both"/>
      </w:pPr>
      <w:r>
        <w:t>N</w:t>
      </w:r>
      <w:r w:rsidRPr="00AB33E6">
        <w:t xml:space="preserve">ejvíce platných licencí (164) bylo </w:t>
      </w:r>
      <w:r>
        <w:t>uzavřeno v produktové skupině „D</w:t>
      </w:r>
      <w:r w:rsidRPr="00AB33E6">
        <w:t xml:space="preserve">řevo a dřevěné a korkové výrobky“. </w:t>
      </w:r>
      <w:r>
        <w:t>Druhý nejvyšší počet licencí byl poskytnut n</w:t>
      </w:r>
      <w:r w:rsidRPr="00AB33E6">
        <w:t xml:space="preserve">a „Stroje a zařízení pro všeobecné a speciální účely“ </w:t>
      </w:r>
      <w:r>
        <w:t>(</w:t>
      </w:r>
      <w:r w:rsidRPr="00AB33E6">
        <w:t>70 platných licencí na patent nebo užitný vzor</w:t>
      </w:r>
      <w:r>
        <w:t>)</w:t>
      </w:r>
      <w:r w:rsidRPr="00AB33E6">
        <w:t>.</w:t>
      </w:r>
    </w:p>
    <w:p w:rsidR="006F723B" w:rsidRPr="00243CDF" w:rsidRDefault="006F723B" w:rsidP="00E06DDE">
      <w:pPr>
        <w:jc w:val="both"/>
        <w:rPr>
          <w:b/>
          <w:bCs/>
          <w:szCs w:val="20"/>
        </w:rPr>
      </w:pPr>
    </w:p>
    <w:p w:rsidR="006F723B" w:rsidRPr="00D8181C" w:rsidRDefault="006F723B" w:rsidP="00D8181C">
      <w:pPr>
        <w:jc w:val="both"/>
        <w:rPr>
          <w:b/>
          <w:bCs/>
          <w:color w:val="009BB4"/>
          <w:sz w:val="28"/>
          <w:szCs w:val="28"/>
        </w:rPr>
      </w:pPr>
      <w:r w:rsidRPr="00D8181C">
        <w:rPr>
          <w:b/>
          <w:bCs/>
          <w:color w:val="009BB4"/>
          <w:sz w:val="28"/>
          <w:szCs w:val="28"/>
        </w:rPr>
        <w:t>Licenční poplatky přijaté za licence na patenty a užitné vzory</w:t>
      </w:r>
    </w:p>
    <w:p w:rsidR="006F723B" w:rsidRDefault="006F723B" w:rsidP="006D0D1A">
      <w:pPr>
        <w:spacing w:after="160"/>
        <w:jc w:val="both"/>
      </w:pPr>
      <w:r>
        <w:t>Z grafu 5 je zřejmé, že množství přijatých poplatků z poskytnutých patentových licenčních smluv během sledované období výrazně vzrostlo. Zatímco v roce 2004 bylo na základě těchto smluv inkasováno 428 mil. Kč, v roce 2014 celková suma odpovídala více než 2,7 mld. Kč. V případě poskytnutých licenčních smluv na užitné vzory není s ohledem na výši přijatých poplatků patrná podobně jednoznačná tendence. Celková hodnota těchto poplatků se v posledních čtyřech letech pohybuje mezi 209 až 242 mil. Kč. Je tedy evidentní, že hodnota přijatých licenčních poplatků za patenty výrazně převyšuje př</w:t>
      </w:r>
      <w:r w:rsidR="001A4B91">
        <w:t>ijaté poplatky za užitné vzory.</w:t>
      </w:r>
    </w:p>
    <w:p w:rsidR="006F723B" w:rsidRPr="00DB4D5E" w:rsidRDefault="006F723B" w:rsidP="006508CC">
      <w:pPr>
        <w:jc w:val="both"/>
      </w:pPr>
      <w:r>
        <w:lastRenderedPageBreak/>
        <w:t>Z hlediska produkce bylo n</w:t>
      </w:r>
      <w:r w:rsidRPr="00DB4D5E">
        <w:t>ejvíce poplatků za licence na patenty a už</w:t>
      </w:r>
      <w:r>
        <w:t>itné vzory bylo inkasováno za „Z</w:t>
      </w:r>
      <w:r w:rsidRPr="00DB4D5E">
        <w:t>ákladní farmaceutické výrobky a farmaceutické přípravky“, kde celkový objem přijatých lic</w:t>
      </w:r>
      <w:r>
        <w:t>enčních poplatků činil téměř 2,5</w:t>
      </w:r>
      <w:r w:rsidRPr="00DB4D5E">
        <w:t xml:space="preserve"> mld. Kč. Za licenční poplatky na „</w:t>
      </w:r>
      <w:r w:rsidRPr="006F7FBC">
        <w:t>Železniční lokomotivy a vozový park</w:t>
      </w:r>
      <w:r w:rsidRPr="00DB4D5E">
        <w:t xml:space="preserve">“ bylo </w:t>
      </w:r>
      <w:r>
        <w:t>přijato</w:t>
      </w:r>
      <w:r w:rsidRPr="00DB4D5E">
        <w:t xml:space="preserve"> </w:t>
      </w:r>
      <w:r>
        <w:t>233</w:t>
      </w:r>
      <w:r w:rsidRPr="00DB4D5E">
        <w:t xml:space="preserve"> mil. Kč.</w:t>
      </w:r>
    </w:p>
    <w:p w:rsidR="006F723B" w:rsidRDefault="006F723B" w:rsidP="006508CC">
      <w:pPr>
        <w:tabs>
          <w:tab w:val="left" w:pos="910"/>
        </w:tabs>
        <w:jc w:val="both"/>
        <w:rPr>
          <w:b/>
          <w:bCs/>
        </w:rPr>
      </w:pPr>
    </w:p>
    <w:p w:rsidR="006F723B" w:rsidRPr="00DB4D5E" w:rsidRDefault="006F723B" w:rsidP="008535DA">
      <w:pPr>
        <w:tabs>
          <w:tab w:val="left" w:pos="851"/>
        </w:tabs>
        <w:spacing w:after="160"/>
        <w:jc w:val="both"/>
        <w:rPr>
          <w:b/>
        </w:rPr>
      </w:pPr>
      <w:r w:rsidRPr="00CE7265">
        <w:rPr>
          <w:b/>
          <w:bCs/>
        </w:rPr>
        <w:t>Graf 5</w:t>
      </w:r>
      <w:r w:rsidR="008535DA">
        <w:rPr>
          <w:b/>
          <w:bCs/>
        </w:rPr>
        <w:tab/>
      </w:r>
      <w:r w:rsidRPr="00021A5D">
        <w:rPr>
          <w:b/>
        </w:rPr>
        <w:t>Přijaté licenční poplatky za licence n</w:t>
      </w:r>
      <w:r w:rsidRPr="00021A5D">
        <w:rPr>
          <w:b/>
          <w:noProof/>
        </w:rPr>
        <w:t>a patenty</w:t>
      </w:r>
      <w:r w:rsidRPr="00DB4D5E">
        <w:rPr>
          <w:b/>
          <w:noProof/>
        </w:rPr>
        <w:t xml:space="preserve"> a užitné vzory</w:t>
      </w:r>
      <w:r w:rsidRPr="00DB4D5E">
        <w:rPr>
          <w:b/>
        </w:rPr>
        <w:t xml:space="preserve"> (v mil. Kč), 2004 – 201</w:t>
      </w:r>
      <w:r>
        <w:rPr>
          <w:b/>
        </w:rPr>
        <w:t>4</w:t>
      </w:r>
    </w:p>
    <w:p w:rsidR="006F723B" w:rsidRDefault="006F723B" w:rsidP="00A23BDC">
      <w:pPr>
        <w:jc w:val="both"/>
      </w:pPr>
      <w:r w:rsidRPr="0079441E">
        <w:rPr>
          <w:b/>
        </w:rPr>
        <w:t xml:space="preserve"> </w:t>
      </w:r>
      <w:r w:rsidR="009262AC">
        <w:rPr>
          <w:noProof/>
        </w:rPr>
        <w:drawing>
          <wp:inline distT="0" distB="0" distL="0" distR="0">
            <wp:extent cx="2898775" cy="2165350"/>
            <wp:effectExtent l="0" t="0" r="0" b="6350"/>
            <wp:docPr id="10"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682" t="2750" r="15752" b="1718"/>
                    <a:stretch>
                      <a:fillRect/>
                    </a:stretch>
                  </pic:blipFill>
                  <pic:spPr bwMode="auto">
                    <a:xfrm>
                      <a:off x="0" y="0"/>
                      <a:ext cx="2898775" cy="2165350"/>
                    </a:xfrm>
                    <a:prstGeom prst="rect">
                      <a:avLst/>
                    </a:prstGeom>
                    <a:noFill/>
                    <a:ln>
                      <a:noFill/>
                    </a:ln>
                  </pic:spPr>
                </pic:pic>
              </a:graphicData>
            </a:graphic>
          </wp:inline>
        </w:drawing>
      </w:r>
      <w:r w:rsidR="009262AC">
        <w:rPr>
          <w:noProof/>
        </w:rPr>
        <w:drawing>
          <wp:inline distT="0" distB="0" distL="0" distR="0">
            <wp:extent cx="3070860" cy="2165350"/>
            <wp:effectExtent l="0" t="0" r="0" b="6350"/>
            <wp:docPr id="11"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265" t="4951" r="13152" b="7771"/>
                    <a:stretch>
                      <a:fillRect/>
                    </a:stretch>
                  </pic:blipFill>
                  <pic:spPr bwMode="auto">
                    <a:xfrm>
                      <a:off x="0" y="0"/>
                      <a:ext cx="3070860" cy="2165350"/>
                    </a:xfrm>
                    <a:prstGeom prst="rect">
                      <a:avLst/>
                    </a:prstGeom>
                    <a:noFill/>
                    <a:ln>
                      <a:noFill/>
                    </a:ln>
                  </pic:spPr>
                </pic:pic>
              </a:graphicData>
            </a:graphic>
          </wp:inline>
        </w:drawing>
      </w:r>
    </w:p>
    <w:p w:rsidR="006F723B" w:rsidRPr="006C4A3B" w:rsidRDefault="006F723B" w:rsidP="00A23BDC">
      <w:pPr>
        <w:jc w:val="both"/>
        <w:rPr>
          <w:b/>
          <w:bCs/>
          <w:szCs w:val="20"/>
        </w:rPr>
      </w:pPr>
    </w:p>
    <w:p w:rsidR="006F723B" w:rsidRPr="00B9442D" w:rsidRDefault="006F723B" w:rsidP="00B9442D">
      <w:pPr>
        <w:jc w:val="both"/>
        <w:rPr>
          <w:b/>
          <w:bCs/>
          <w:color w:val="009BB4"/>
          <w:sz w:val="28"/>
          <w:szCs w:val="28"/>
        </w:rPr>
      </w:pPr>
      <w:r w:rsidRPr="00B9442D">
        <w:rPr>
          <w:b/>
          <w:bCs/>
          <w:color w:val="009BB4"/>
          <w:sz w:val="28"/>
          <w:szCs w:val="28"/>
        </w:rPr>
        <w:t>Poskytnuté licence na patenty a užitné vzory podle typu poskytovatele licence</w:t>
      </w:r>
    </w:p>
    <w:p w:rsidR="006F723B" w:rsidRDefault="006F723B" w:rsidP="006D0D1A">
      <w:pPr>
        <w:spacing w:after="160"/>
        <w:jc w:val="both"/>
        <w:rPr>
          <w:bCs/>
          <w:szCs w:val="20"/>
        </w:rPr>
      </w:pPr>
      <w:r>
        <w:rPr>
          <w:bCs/>
          <w:szCs w:val="20"/>
        </w:rPr>
        <w:t>Nejvíce poskytovatelů licenčních smluv na patenty spadalo v roce 2014 do kategorie podniků (61 % všech poskytovatelů patentových licencí). Podíly ostatních poskytovatelů (veřejné výzkumné instituce, veřejné vysoké školy, fyzické osoby) byly poměrně vyrovnané. Podniky dominovaly i s ohledem na podíl poskytnutých patentových licencí, když poskytly 63 % všech patentových licenčních smluv uzavřených v ČR. Největší objem přijatých licenčních poplatků (2,4 mld., tj. 82 % všech přijatých poplatků za licence na patenty) však směřoval</w:t>
      </w:r>
      <w:r w:rsidR="00A23BDC">
        <w:rPr>
          <w:bCs/>
          <w:szCs w:val="20"/>
        </w:rPr>
        <w:t xml:space="preserve"> veřejným výzkumným institucím.</w:t>
      </w:r>
    </w:p>
    <w:p w:rsidR="006F723B" w:rsidRDefault="006F723B" w:rsidP="00945930">
      <w:pPr>
        <w:jc w:val="both"/>
        <w:rPr>
          <w:bCs/>
          <w:szCs w:val="20"/>
        </w:rPr>
      </w:pPr>
      <w:r>
        <w:rPr>
          <w:bCs/>
          <w:szCs w:val="20"/>
        </w:rPr>
        <w:t>V případě poskytnutých licenčních smluv na užitné vzory byly nejaktivnější opět podniky. Představovaly většinu (59 %) mezi poskytovateli, poskytly největší podíl těchto smluv (61 % všech licenčních smluv na užitné vzory uzavřených v ČR) a inkasovaly největší podíl licenčních poplatků (169 mil., tj. 78 % všech přijatých poplat</w:t>
      </w:r>
      <w:r w:rsidR="00945930">
        <w:rPr>
          <w:bCs/>
          <w:szCs w:val="20"/>
        </w:rPr>
        <w:t>ků za licence na užitné vzory).</w:t>
      </w:r>
    </w:p>
    <w:p w:rsidR="00DC34E7" w:rsidRDefault="00DC34E7" w:rsidP="00945930">
      <w:pPr>
        <w:jc w:val="both"/>
        <w:rPr>
          <w:bCs/>
          <w:szCs w:val="20"/>
        </w:rPr>
      </w:pPr>
    </w:p>
    <w:p w:rsidR="006F723B" w:rsidRDefault="006F723B" w:rsidP="008535DA">
      <w:pPr>
        <w:tabs>
          <w:tab w:val="left" w:pos="142"/>
          <w:tab w:val="left" w:pos="851"/>
        </w:tabs>
        <w:spacing w:after="160"/>
        <w:jc w:val="both"/>
        <w:rPr>
          <w:b/>
        </w:rPr>
      </w:pPr>
      <w:r w:rsidRPr="00CE7265">
        <w:rPr>
          <w:b/>
          <w:bCs/>
        </w:rPr>
        <w:t>Graf 6</w:t>
      </w:r>
      <w:r w:rsidR="008535DA">
        <w:rPr>
          <w:b/>
          <w:bCs/>
        </w:rPr>
        <w:tab/>
      </w:r>
      <w:r w:rsidRPr="00DB4D5E">
        <w:rPr>
          <w:b/>
          <w:bCs/>
        </w:rPr>
        <w:t xml:space="preserve">Struktura </w:t>
      </w:r>
      <w:r>
        <w:rPr>
          <w:b/>
          <w:bCs/>
        </w:rPr>
        <w:t xml:space="preserve">všech </w:t>
      </w:r>
      <w:r w:rsidRPr="00DB4D5E">
        <w:rPr>
          <w:b/>
          <w:bCs/>
        </w:rPr>
        <w:t>poskytnutý</w:t>
      </w:r>
      <w:r w:rsidRPr="00DB4D5E">
        <w:rPr>
          <w:b/>
        </w:rPr>
        <w:t xml:space="preserve">ch </w:t>
      </w:r>
      <w:r>
        <w:rPr>
          <w:b/>
        </w:rPr>
        <w:t xml:space="preserve">platných </w:t>
      </w:r>
      <w:r w:rsidRPr="00DB4D5E">
        <w:rPr>
          <w:b/>
        </w:rPr>
        <w:t xml:space="preserve">licencí na patenty a užitné vzory </w:t>
      </w:r>
      <w:r>
        <w:rPr>
          <w:b/>
        </w:rPr>
        <w:t>podle typu poskytovatele,</w:t>
      </w:r>
      <w:r w:rsidRPr="00DB4D5E">
        <w:rPr>
          <w:b/>
        </w:rPr>
        <w:t xml:space="preserve"> 201</w:t>
      </w:r>
      <w:r>
        <w:rPr>
          <w:b/>
        </w:rPr>
        <w:t>4</w:t>
      </w:r>
    </w:p>
    <w:p w:rsidR="006F723B" w:rsidRPr="00DB4D5E" w:rsidRDefault="009262AC" w:rsidP="00BF0F2C">
      <w:pPr>
        <w:jc w:val="center"/>
        <w:rPr>
          <w:noProof/>
        </w:rPr>
      </w:pPr>
      <w:r>
        <w:rPr>
          <w:noProof/>
        </w:rPr>
        <w:drawing>
          <wp:inline distT="0" distB="0" distL="0" distR="0">
            <wp:extent cx="2726055" cy="2648585"/>
            <wp:effectExtent l="0" t="0" r="0" b="0"/>
            <wp:docPr id="12"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649" t="1807" r="17094" b="5418"/>
                    <a:stretch>
                      <a:fillRect/>
                    </a:stretch>
                  </pic:blipFill>
                  <pic:spPr bwMode="auto">
                    <a:xfrm>
                      <a:off x="0" y="0"/>
                      <a:ext cx="2726055" cy="2648585"/>
                    </a:xfrm>
                    <a:prstGeom prst="rect">
                      <a:avLst/>
                    </a:prstGeom>
                    <a:noFill/>
                    <a:ln>
                      <a:noFill/>
                    </a:ln>
                  </pic:spPr>
                </pic:pic>
              </a:graphicData>
            </a:graphic>
          </wp:inline>
        </w:drawing>
      </w:r>
      <w:r>
        <w:rPr>
          <w:noProof/>
        </w:rPr>
        <w:drawing>
          <wp:inline distT="0" distB="0" distL="0" distR="0">
            <wp:extent cx="2648585" cy="2691130"/>
            <wp:effectExtent l="0" t="0" r="0" b="0"/>
            <wp:docPr id="13"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361" t="2225" r="20804" b="1302"/>
                    <a:stretch>
                      <a:fillRect/>
                    </a:stretch>
                  </pic:blipFill>
                  <pic:spPr bwMode="auto">
                    <a:xfrm>
                      <a:off x="0" y="0"/>
                      <a:ext cx="2648585" cy="2691130"/>
                    </a:xfrm>
                    <a:prstGeom prst="rect">
                      <a:avLst/>
                    </a:prstGeom>
                    <a:noFill/>
                    <a:ln>
                      <a:noFill/>
                    </a:ln>
                  </pic:spPr>
                </pic:pic>
              </a:graphicData>
            </a:graphic>
          </wp:inline>
        </w:drawing>
      </w:r>
    </w:p>
    <w:p w:rsidR="006F723B" w:rsidRPr="00A406FC" w:rsidRDefault="006F723B" w:rsidP="00A406FC">
      <w:pPr>
        <w:jc w:val="both"/>
        <w:rPr>
          <w:b/>
          <w:bCs/>
          <w:color w:val="009BB4"/>
          <w:sz w:val="28"/>
          <w:szCs w:val="28"/>
        </w:rPr>
      </w:pPr>
      <w:r w:rsidRPr="00A406FC">
        <w:rPr>
          <w:b/>
          <w:bCs/>
          <w:color w:val="009BB4"/>
          <w:sz w:val="28"/>
          <w:szCs w:val="28"/>
        </w:rPr>
        <w:lastRenderedPageBreak/>
        <w:t>Poskytnuté licence na patenty a užitné vzory podle krajů</w:t>
      </w:r>
    </w:p>
    <w:p w:rsidR="006F723B" w:rsidRDefault="006F723B" w:rsidP="00FD31A5">
      <w:pPr>
        <w:jc w:val="both"/>
      </w:pPr>
      <w:r w:rsidRPr="00DB4D5E">
        <w:t>Z hlediska regionálního členění pocházela v roce 201</w:t>
      </w:r>
      <w:r>
        <w:t>4</w:t>
      </w:r>
      <w:r w:rsidRPr="00DB4D5E">
        <w:t xml:space="preserve"> </w:t>
      </w:r>
      <w:r>
        <w:t>téměř</w:t>
      </w:r>
      <w:r w:rsidRPr="00DB4D5E">
        <w:t xml:space="preserve"> </w:t>
      </w:r>
      <w:r>
        <w:t xml:space="preserve">přesně </w:t>
      </w:r>
      <w:r w:rsidRPr="00DB4D5E">
        <w:t>třetina poskytovatelů licencí (</w:t>
      </w:r>
      <w:r>
        <w:t>33 %</w:t>
      </w:r>
      <w:r w:rsidRPr="00DB4D5E">
        <w:t xml:space="preserve">) z Prahy. </w:t>
      </w:r>
      <w:r>
        <w:t>Pražští poskytovatelé uzavřeli 200 licencí na patenty a užitné vzory, za které přijali 2 536 mil. Kč, tj. 86</w:t>
      </w:r>
      <w:r w:rsidRPr="00DB4D5E">
        <w:t xml:space="preserve"> % všech inkasovaných licenčních poplatků za platné licenční smlouvy uzavřené subjekty z ČR. </w:t>
      </w:r>
    </w:p>
    <w:p w:rsidR="00243CDF" w:rsidRDefault="00243CDF" w:rsidP="00FD31A5"/>
    <w:p w:rsidR="006F723B" w:rsidRDefault="006F723B" w:rsidP="008535DA">
      <w:pPr>
        <w:tabs>
          <w:tab w:val="left" w:pos="851"/>
        </w:tabs>
        <w:spacing w:after="160"/>
        <w:rPr>
          <w:b/>
        </w:rPr>
      </w:pPr>
      <w:r w:rsidRPr="00CE7265">
        <w:rPr>
          <w:b/>
          <w:bCs/>
        </w:rPr>
        <w:t>Graf 8</w:t>
      </w:r>
      <w:r w:rsidR="008535DA">
        <w:rPr>
          <w:b/>
          <w:bCs/>
        </w:rPr>
        <w:tab/>
      </w:r>
      <w:r w:rsidRPr="00DB4D5E">
        <w:rPr>
          <w:b/>
        </w:rPr>
        <w:t>Struktura poskytnutých licencí na patenty a užitné vzory podle krajů</w:t>
      </w:r>
      <w:r>
        <w:rPr>
          <w:b/>
        </w:rPr>
        <w:t>,</w:t>
      </w:r>
      <w:r w:rsidRPr="00DB4D5E">
        <w:rPr>
          <w:b/>
        </w:rPr>
        <w:t xml:space="preserve"> 201</w:t>
      </w:r>
      <w:r>
        <w:rPr>
          <w:b/>
        </w:rPr>
        <w:t>4</w:t>
      </w:r>
      <w:r w:rsidRPr="00DB4D5E">
        <w:rPr>
          <w:b/>
        </w:rPr>
        <w:t xml:space="preserve"> (v %)</w:t>
      </w:r>
    </w:p>
    <w:p w:rsidR="006F723B" w:rsidRDefault="009262AC" w:rsidP="00A77665">
      <w:pPr>
        <w:spacing w:after="160"/>
        <w:jc w:val="center"/>
        <w:rPr>
          <w:b/>
        </w:rPr>
      </w:pPr>
      <w:r>
        <w:rPr>
          <w:noProof/>
        </w:rPr>
        <w:drawing>
          <wp:inline distT="0" distB="0" distL="0" distR="0">
            <wp:extent cx="5374005" cy="2967355"/>
            <wp:effectExtent l="0" t="0" r="0" b="4445"/>
            <wp:docPr id="14"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36" t="5392" r="5807" b="3793"/>
                    <a:stretch>
                      <a:fillRect/>
                    </a:stretch>
                  </pic:blipFill>
                  <pic:spPr bwMode="auto">
                    <a:xfrm>
                      <a:off x="0" y="0"/>
                      <a:ext cx="5374005" cy="2967355"/>
                    </a:xfrm>
                    <a:prstGeom prst="rect">
                      <a:avLst/>
                    </a:prstGeom>
                    <a:noFill/>
                    <a:ln>
                      <a:noFill/>
                    </a:ln>
                  </pic:spPr>
                </pic:pic>
              </a:graphicData>
            </a:graphic>
          </wp:inline>
        </w:drawing>
      </w:r>
    </w:p>
    <w:p w:rsidR="00897122" w:rsidRPr="00243CDF" w:rsidRDefault="00897122" w:rsidP="00897122">
      <w:pPr>
        <w:rPr>
          <w:b/>
        </w:rPr>
      </w:pPr>
    </w:p>
    <w:p w:rsidR="00BF0F2C" w:rsidRDefault="00BF0F2C" w:rsidP="00897122">
      <w:pPr>
        <w:jc w:val="both"/>
      </w:pPr>
      <w:r>
        <w:t xml:space="preserve">Krajem, kde se nacházel druhý nejvyšší počet poskytovatelů licenčních smluv na patenty a užitné vzory, se v roce 2014 stal Moravskoslezský kraj (sídlo zde mělo 13 poskytovatelů, tj. 12 % všech poskytovatelů v ČR). Druhý nejvyšší počet licenčních smluv byl poskytnut subjekty sídlícími v kraji Vysočina (154 smluv, tj. 25 % všech uzavřených licenčních smluv v ČR) a druhý nejvyšší podíl licenčních poplatků směřoval do Plzeňského kraje (234 mil. Kč, tj. 8 % všech přijatých poplatků za licenční smlouvy na patenty a užitné vzory v ČR).  Mezi kraje, v nichž sídlící subjekty poskytují licenční smlouvy v nejmenší míře, patří Ústecký, Olomoucký, Královéhradecký a Karlovarský. Poskytovatelé z těchto krajů se na celkovém množství poskytnutých licenčních smluv společně podíleli necelými 4 %. </w:t>
      </w:r>
    </w:p>
    <w:p w:rsidR="00897122" w:rsidRDefault="00897122" w:rsidP="00BF0F2C">
      <w:pPr>
        <w:jc w:val="both"/>
      </w:pPr>
    </w:p>
    <w:p w:rsidR="006F723B" w:rsidRPr="00F63112" w:rsidRDefault="006F723B" w:rsidP="00F63112">
      <w:pPr>
        <w:jc w:val="both"/>
        <w:rPr>
          <w:bCs/>
          <w:color w:val="009BB4"/>
          <w:sz w:val="28"/>
          <w:szCs w:val="28"/>
        </w:rPr>
      </w:pPr>
      <w:r w:rsidRPr="00F63112">
        <w:rPr>
          <w:b/>
          <w:color w:val="009BB4"/>
          <w:sz w:val="28"/>
          <w:szCs w:val="28"/>
        </w:rPr>
        <w:t>Poskytnuté licence na patenty a užitné vzory podle země smluvního partnera</w:t>
      </w:r>
      <w:r w:rsidRPr="00F63112">
        <w:rPr>
          <w:bCs/>
          <w:color w:val="009BB4"/>
          <w:sz w:val="28"/>
          <w:szCs w:val="28"/>
        </w:rPr>
        <w:t xml:space="preserve"> </w:t>
      </w:r>
    </w:p>
    <w:p w:rsidR="006F723B" w:rsidRPr="00DB4D5E" w:rsidRDefault="006F723B" w:rsidP="006D0D1A">
      <w:pPr>
        <w:spacing w:after="160"/>
        <w:jc w:val="both"/>
        <w:rPr>
          <w:bCs/>
        </w:rPr>
      </w:pPr>
      <w:r w:rsidRPr="00DB4D5E">
        <w:rPr>
          <w:bCs/>
        </w:rPr>
        <w:t>V roce 201</w:t>
      </w:r>
      <w:r>
        <w:rPr>
          <w:bCs/>
        </w:rPr>
        <w:t>4</w:t>
      </w:r>
      <w:r w:rsidRPr="00DB4D5E">
        <w:rPr>
          <w:bCs/>
        </w:rPr>
        <w:t xml:space="preserve"> bylo z celkového počtu </w:t>
      </w:r>
      <w:r>
        <w:rPr>
          <w:bCs/>
        </w:rPr>
        <w:t>604</w:t>
      </w:r>
      <w:r w:rsidRPr="00DB4D5E">
        <w:rPr>
          <w:bCs/>
        </w:rPr>
        <w:t xml:space="preserve"> zjištěných poskytnutých</w:t>
      </w:r>
      <w:r>
        <w:rPr>
          <w:bCs/>
        </w:rPr>
        <w:t xml:space="preserve"> platných</w:t>
      </w:r>
      <w:r w:rsidRPr="00DB4D5E">
        <w:rPr>
          <w:bCs/>
        </w:rPr>
        <w:t xml:space="preserve"> licencí na patenty a užitné vzory uzavřeno </w:t>
      </w:r>
      <w:r>
        <w:rPr>
          <w:bCs/>
        </w:rPr>
        <w:t>531</w:t>
      </w:r>
      <w:r w:rsidRPr="00DB4D5E">
        <w:rPr>
          <w:bCs/>
        </w:rPr>
        <w:t xml:space="preserve"> licencí (</w:t>
      </w:r>
      <w:r>
        <w:rPr>
          <w:bCs/>
        </w:rPr>
        <w:t>tj. 88</w:t>
      </w:r>
      <w:r w:rsidRPr="00DB4D5E">
        <w:rPr>
          <w:bCs/>
        </w:rPr>
        <w:t xml:space="preserve"> %) mezi subjekty z ČR navzájem a </w:t>
      </w:r>
      <w:r>
        <w:rPr>
          <w:bCs/>
        </w:rPr>
        <w:t>73</w:t>
      </w:r>
      <w:r w:rsidRPr="00DB4D5E">
        <w:rPr>
          <w:bCs/>
        </w:rPr>
        <w:t xml:space="preserve"> licencí (</w:t>
      </w:r>
      <w:r>
        <w:rPr>
          <w:bCs/>
        </w:rPr>
        <w:t>tj. 12</w:t>
      </w:r>
      <w:r w:rsidRPr="00DB4D5E">
        <w:rPr>
          <w:bCs/>
        </w:rPr>
        <w:t xml:space="preserve"> %) mezi partnery z ČR a ze zahraničí (nabyvateli licence ze zahraničí). Nejvíce </w:t>
      </w:r>
      <w:r>
        <w:rPr>
          <w:bCs/>
        </w:rPr>
        <w:t xml:space="preserve">licenčních </w:t>
      </w:r>
      <w:r w:rsidRPr="00DB4D5E">
        <w:rPr>
          <w:bCs/>
        </w:rPr>
        <w:t xml:space="preserve">smluv </w:t>
      </w:r>
      <w:r>
        <w:rPr>
          <w:bCs/>
        </w:rPr>
        <w:t xml:space="preserve">na patent nebo užitný vzor </w:t>
      </w:r>
      <w:r w:rsidRPr="00DB4D5E">
        <w:rPr>
          <w:bCs/>
        </w:rPr>
        <w:t xml:space="preserve">mezi poskytovatelem z ČR a zahraničním nabyvatelem licence bylo </w:t>
      </w:r>
      <w:r>
        <w:rPr>
          <w:bCs/>
        </w:rPr>
        <w:t>uzavřeno</w:t>
      </w:r>
      <w:r w:rsidRPr="00DB4D5E">
        <w:rPr>
          <w:bCs/>
        </w:rPr>
        <w:t xml:space="preserve"> s partnery ze </w:t>
      </w:r>
      <w:r>
        <w:rPr>
          <w:bCs/>
        </w:rPr>
        <w:t>Slovenska</w:t>
      </w:r>
      <w:r w:rsidRPr="00DB4D5E">
        <w:rPr>
          <w:bCs/>
        </w:rPr>
        <w:t xml:space="preserve"> (</w:t>
      </w:r>
      <w:r>
        <w:rPr>
          <w:bCs/>
        </w:rPr>
        <w:t xml:space="preserve">12 licenčních smluv), Číny (8), Spojených států (7) a Ruska (6). </w:t>
      </w:r>
      <w:r w:rsidRPr="00DB4D5E">
        <w:rPr>
          <w:bCs/>
        </w:rPr>
        <w:t xml:space="preserve">S partnery z uvedených zemí bylo uzavřeno </w:t>
      </w:r>
      <w:r>
        <w:rPr>
          <w:bCs/>
        </w:rPr>
        <w:t>45</w:t>
      </w:r>
      <w:r w:rsidRPr="00DB4D5E">
        <w:rPr>
          <w:bCs/>
        </w:rPr>
        <w:t xml:space="preserve"> % všech licenčních smluv </w:t>
      </w:r>
      <w:r>
        <w:rPr>
          <w:bCs/>
        </w:rPr>
        <w:t>sjednaných</w:t>
      </w:r>
      <w:r w:rsidR="00FD31A5">
        <w:rPr>
          <w:bCs/>
        </w:rPr>
        <w:t xml:space="preserve"> se zahraničními subjekty.</w:t>
      </w:r>
    </w:p>
    <w:p w:rsidR="006F723B" w:rsidRDefault="006F723B" w:rsidP="00172123">
      <w:pPr>
        <w:jc w:val="both"/>
      </w:pPr>
      <w:r>
        <w:t xml:space="preserve">Z grafu </w:t>
      </w:r>
      <w:r w:rsidRPr="00CE7265">
        <w:t>7</w:t>
      </w:r>
      <w:r w:rsidRPr="00DB4D5E">
        <w:t xml:space="preserve"> je patrný </w:t>
      </w:r>
      <w:r>
        <w:t xml:space="preserve">velmi </w:t>
      </w:r>
      <w:r w:rsidRPr="00DB4D5E">
        <w:t>vysoký podíl přijatých poplatků od nabyvatelů ze Spoj</w:t>
      </w:r>
      <w:r>
        <w:t>ených států, které představují 81</w:t>
      </w:r>
      <w:r w:rsidRPr="00DB4D5E">
        <w:t> % všech inkasovaných poplatků bez ohledu na zahraničního nebo tuzemského partnera. Pro  partnery z ČR je charakteristický nízký podíl inkasovaných licenčních poplatků vzhledem k počtu uzavřených licenčních smluv.</w:t>
      </w:r>
    </w:p>
    <w:p w:rsidR="004E3EC7" w:rsidRDefault="004E3EC7" w:rsidP="00172123">
      <w:pPr>
        <w:jc w:val="both"/>
      </w:pPr>
    </w:p>
    <w:p w:rsidR="00897122" w:rsidRDefault="00897122" w:rsidP="00172123">
      <w:pPr>
        <w:jc w:val="both"/>
      </w:pPr>
    </w:p>
    <w:p w:rsidR="00897122" w:rsidRDefault="00897122" w:rsidP="00172123">
      <w:pPr>
        <w:jc w:val="both"/>
      </w:pPr>
    </w:p>
    <w:p w:rsidR="006F723B" w:rsidRDefault="006F723B" w:rsidP="00A77665">
      <w:pPr>
        <w:spacing w:after="160"/>
        <w:rPr>
          <w:b/>
          <w:szCs w:val="20"/>
        </w:rPr>
      </w:pPr>
      <w:r w:rsidRPr="00CE7265">
        <w:rPr>
          <w:b/>
          <w:szCs w:val="20"/>
        </w:rPr>
        <w:lastRenderedPageBreak/>
        <w:t>Graf 7</w:t>
      </w:r>
      <w:r w:rsidR="008535DA">
        <w:rPr>
          <w:b/>
          <w:szCs w:val="20"/>
        </w:rPr>
        <w:tab/>
      </w:r>
      <w:r w:rsidR="007563A9">
        <w:rPr>
          <w:b/>
          <w:szCs w:val="20"/>
        </w:rPr>
        <w:t>P</w:t>
      </w:r>
      <w:r w:rsidRPr="006359FB">
        <w:rPr>
          <w:b/>
          <w:szCs w:val="20"/>
        </w:rPr>
        <w:t>oskytnut</w:t>
      </w:r>
      <w:r w:rsidR="007563A9">
        <w:rPr>
          <w:b/>
          <w:szCs w:val="20"/>
        </w:rPr>
        <w:t>é licence</w:t>
      </w:r>
      <w:r w:rsidRPr="006359FB">
        <w:rPr>
          <w:b/>
          <w:szCs w:val="20"/>
        </w:rPr>
        <w:t xml:space="preserve"> na patenty a užitné vzory podle země</w:t>
      </w:r>
      <w:r>
        <w:rPr>
          <w:b/>
          <w:szCs w:val="20"/>
        </w:rPr>
        <w:t xml:space="preserve"> smluvního partnera,</w:t>
      </w:r>
      <w:r w:rsidRPr="006359FB">
        <w:rPr>
          <w:b/>
          <w:szCs w:val="20"/>
        </w:rPr>
        <w:t xml:space="preserve"> </w:t>
      </w:r>
      <w:r w:rsidRPr="00A77665">
        <w:rPr>
          <w:b/>
          <w:szCs w:val="20"/>
        </w:rPr>
        <w:t>2014 (v %)</w:t>
      </w:r>
    </w:p>
    <w:p w:rsidR="006F723B" w:rsidRPr="005E3CBC" w:rsidRDefault="009262AC" w:rsidP="005E3CBC">
      <w:pPr>
        <w:rPr>
          <w:b/>
          <w:bCs/>
          <w:i/>
          <w:szCs w:val="20"/>
        </w:rPr>
      </w:pPr>
      <w:r>
        <w:rPr>
          <w:b/>
          <w:noProof/>
        </w:rPr>
        <w:drawing>
          <wp:inline distT="0" distB="0" distL="0" distR="0">
            <wp:extent cx="5426075" cy="5158740"/>
            <wp:effectExtent l="0" t="0" r="3175" b="3810"/>
            <wp:docPr id="15"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38" t="1396" r="1912" b="2022"/>
                    <a:stretch>
                      <a:fillRect/>
                    </a:stretch>
                  </pic:blipFill>
                  <pic:spPr bwMode="auto">
                    <a:xfrm>
                      <a:off x="0" y="0"/>
                      <a:ext cx="5426075" cy="5158740"/>
                    </a:xfrm>
                    <a:prstGeom prst="rect">
                      <a:avLst/>
                    </a:prstGeom>
                    <a:noFill/>
                    <a:ln>
                      <a:noFill/>
                    </a:ln>
                  </pic:spPr>
                </pic:pic>
              </a:graphicData>
            </a:graphic>
          </wp:inline>
        </w:drawing>
      </w:r>
    </w:p>
    <w:p w:rsidR="006F723B" w:rsidRPr="00F63112" w:rsidRDefault="006F723B" w:rsidP="00F63112">
      <w:pPr>
        <w:jc w:val="both"/>
        <w:rPr>
          <w:b/>
          <w:color w:val="009BB4"/>
          <w:sz w:val="28"/>
          <w:szCs w:val="28"/>
        </w:rPr>
      </w:pPr>
      <w:r w:rsidRPr="00F63112">
        <w:rPr>
          <w:b/>
          <w:color w:val="009BB4"/>
          <w:sz w:val="28"/>
          <w:szCs w:val="28"/>
        </w:rPr>
        <w:t>Závěr</w:t>
      </w:r>
    </w:p>
    <w:p w:rsidR="00EE3E78" w:rsidRDefault="006F723B" w:rsidP="00F63112">
      <w:pPr>
        <w:spacing w:after="160"/>
        <w:jc w:val="both"/>
      </w:pPr>
      <w:r>
        <w:t>Z výsledků šetření plyn</w:t>
      </w:r>
      <w:r w:rsidR="00F7352C">
        <w:t>e</w:t>
      </w:r>
      <w:r>
        <w:t>, že nejvíce platných licencí bylo uzavřeno na nové odrůdy rostlin a plemen zvířat, nejvíce poskytovatelů uzavřelo licenční smlouvu na patent a nejvyšší poplatky byly přijaty také za licenční smlouvy na patenty. Jednalo se o celkovou částku přesahující 2,7 mld. korun. Dále byly zjišťovány statistiky licenčních smluv uzavřených na patenty a užitné vzory. Celková výše poplatků plynoucí z těchto smluv přesahovala 2,9 mld. korun, přičemž licenční smlouvy na patenty se na této částce podílely 93 % (zmíněných 2,7 mld.). Nejvíce licenčních smluv na patenty i užitné vzory uzavíraly podniky (63 %, resp. 61 % všech licenčních smluv). V případě užitných vzorů jsou podniky také příjemci nejvyšší sumy licenčních poplatků (78 % těchto poplatků připadá na podniky). Naproti tomu z poskytnutých licenčních smluv na patenty v nejvyšší míře profitovaly veřejné výzkumné instituce. Získaly 82 % všech poplatků z uzavřených licenčních smluv na patenty. Je ale třeba poznamenat, že velká část těchto prostředků připadá jediné instituci – Ústavu organické chemie a biochemie</w:t>
      </w:r>
      <w:r>
        <w:rPr>
          <w:rStyle w:val="Znakapoznpodarou"/>
          <w:rFonts w:eastAsia="MS Gothic"/>
        </w:rPr>
        <w:footnoteReference w:id="3"/>
      </w:r>
      <w:r>
        <w:t>.</w:t>
      </w:r>
      <w:r w:rsidR="007563A9">
        <w:t xml:space="preserve"> </w:t>
      </w:r>
      <w:r>
        <w:t>Většina licenčních smluv byla uzavírána mezi českými subjekty. Jednalo se o 88 % všech licenčních smluv. Zbylých 12 % smluv uzavřel český subjekt se zahraničním partnerem. V této souvislosti jsou pro ČR nejvýznamnější zemí USA, odkud českým poskytovatelům plyne 81 % všech inkasovaných poplatků (bez rozlišení, zda jde o tuzemského nebo zahraničního partnera). V krajském členění zaujímá vedoucí postavení Praha. V tomto kraji působil nejvyšší počet poskytovatelů licenčních smluv, byl zde uzavírán nejvyšší počet licenčních smluv a směřoval sem nejvyšší podíl přijatých licenčních poplatků.</w:t>
      </w:r>
    </w:p>
    <w:sectPr w:rsidR="00EE3E78" w:rsidSect="00BA0092">
      <w:headerReference w:type="even" r:id="rId24"/>
      <w:headerReference w:type="default" r:id="rId25"/>
      <w:footerReference w:type="even" r:id="rId26"/>
      <w:footerReference w:type="default" r:id="rId27"/>
      <w:pgSz w:w="11906" w:h="16838" w:code="9"/>
      <w:pgMar w:top="1134" w:right="1134" w:bottom="1418" w:left="1134" w:header="680" w:footer="680"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A09" w:rsidRDefault="00402A09" w:rsidP="00E71A58">
      <w:r>
        <w:separator/>
      </w:r>
    </w:p>
  </w:endnote>
  <w:endnote w:type="continuationSeparator" w:id="0">
    <w:p w:rsidR="00402A09" w:rsidRDefault="00402A09" w:rsidP="00E71A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090772650"/>
      <w:docPartObj>
        <w:docPartGallery w:val="Page Numbers (Bottom of Page)"/>
        <w:docPartUnique/>
      </w:docPartObj>
    </w:sdtPr>
    <w:sdtContent>
      <w:p w:rsidR="00A75E40" w:rsidRPr="008D4E83" w:rsidRDefault="00AB65C9" w:rsidP="008D4E83">
        <w:pPr>
          <w:pStyle w:val="Zpat"/>
          <w:rPr>
            <w:sz w:val="16"/>
            <w:szCs w:val="16"/>
          </w:rPr>
        </w:pPr>
        <w:r w:rsidRPr="008D4E83">
          <w:rPr>
            <w:rFonts w:ascii="Arial" w:hAnsi="Arial" w:cs="Arial"/>
            <w:noProof/>
            <w:sz w:val="16"/>
            <w:szCs w:val="16"/>
            <w:lang w:eastAsia="cs-CZ"/>
          </w:rPr>
          <w:drawing>
            <wp:anchor distT="0" distB="0" distL="114300" distR="114300" simplePos="0" relativeHeight="251660288" behindDoc="0" locked="0" layoutInCell="1" allowOverlap="1">
              <wp:simplePos x="0" y="0"/>
              <wp:positionH relativeFrom="column">
                <wp:posOffset>5636823</wp:posOffset>
              </wp:positionH>
              <wp:positionV relativeFrom="paragraph">
                <wp:posOffset>8890</wp:posOffset>
              </wp:positionV>
              <wp:extent cx="476250" cy="228600"/>
              <wp:effectExtent l="0" t="0" r="0"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28600"/>
                      </a:xfrm>
                      <a:prstGeom prst="rect">
                        <a:avLst/>
                      </a:prstGeom>
                      <a:noFill/>
                    </pic:spPr>
                  </pic:pic>
                </a:graphicData>
              </a:graphic>
            </wp:anchor>
          </w:drawing>
        </w:r>
        <w:r w:rsidR="00CB669A" w:rsidRPr="008D4E83">
          <w:rPr>
            <w:rFonts w:ascii="Arial" w:hAnsi="Arial" w:cs="Arial"/>
            <w:sz w:val="16"/>
            <w:szCs w:val="16"/>
          </w:rPr>
          <w:fldChar w:fldCharType="begin"/>
        </w:r>
        <w:r w:rsidRPr="008D4E83">
          <w:rPr>
            <w:rFonts w:ascii="Arial" w:hAnsi="Arial" w:cs="Arial"/>
            <w:sz w:val="16"/>
            <w:szCs w:val="16"/>
          </w:rPr>
          <w:instrText>PAGE   \* MERGEFORMAT</w:instrText>
        </w:r>
        <w:r w:rsidR="00CB669A" w:rsidRPr="008D4E83">
          <w:rPr>
            <w:rFonts w:ascii="Arial" w:hAnsi="Arial" w:cs="Arial"/>
            <w:sz w:val="16"/>
            <w:szCs w:val="16"/>
          </w:rPr>
          <w:fldChar w:fldCharType="separate"/>
        </w:r>
        <w:r w:rsidR="007563A9">
          <w:rPr>
            <w:rFonts w:ascii="Arial" w:hAnsi="Arial" w:cs="Arial"/>
            <w:noProof/>
            <w:sz w:val="16"/>
            <w:szCs w:val="16"/>
          </w:rPr>
          <w:t>12</w:t>
        </w:r>
        <w:r w:rsidR="00CB669A" w:rsidRPr="008D4E83">
          <w:rPr>
            <w:rFonts w:ascii="Arial" w:hAnsi="Arial" w:cs="Arial"/>
            <w:sz w:val="16"/>
            <w:szCs w:val="16"/>
          </w:rPr>
          <w:fldChar w:fldCharType="end"/>
        </w:r>
        <w:r w:rsidRPr="008D4E83">
          <w:rPr>
            <w:sz w:val="16"/>
            <w:szCs w:val="16"/>
          </w:rPr>
          <w:tab/>
        </w:r>
        <w:r w:rsidRPr="008D4E83">
          <w:rPr>
            <w:rFonts w:ascii="Arial" w:hAnsi="Arial" w:cs="Arial"/>
            <w:sz w:val="16"/>
            <w:szCs w:val="16"/>
          </w:rPr>
          <w:t>2014</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Pr="008D4E83" w:rsidRDefault="00AB65C9" w:rsidP="00EE7EFF">
    <w:pPr>
      <w:pStyle w:val="Zpat"/>
      <w:rPr>
        <w:rFonts w:ascii="Arial" w:hAnsi="Arial" w:cs="Arial"/>
        <w:sz w:val="16"/>
        <w:szCs w:val="16"/>
      </w:rPr>
    </w:pPr>
    <w:r w:rsidRPr="008D4E83">
      <w:rPr>
        <w:sz w:val="16"/>
        <w:szCs w:val="16"/>
      </w:rPr>
      <w:tab/>
    </w:r>
    <w:sdt>
      <w:sdtPr>
        <w:rPr>
          <w:rFonts w:ascii="Arial" w:hAnsi="Arial" w:cs="Arial"/>
          <w:sz w:val="16"/>
          <w:szCs w:val="16"/>
        </w:rPr>
        <w:id w:val="180405226"/>
        <w:docPartObj>
          <w:docPartGallery w:val="Page Numbers (Bottom of Page)"/>
          <w:docPartUnique/>
        </w:docPartObj>
      </w:sdtPr>
      <w:sdtContent>
        <w:r w:rsidRPr="008D4E83">
          <w:rPr>
            <w:rFonts w:ascii="Arial" w:hAnsi="Arial" w:cs="Arial"/>
            <w:noProof/>
            <w:sz w:val="16"/>
            <w:szCs w:val="16"/>
            <w:lang w:eastAsia="cs-CZ"/>
          </w:rPr>
          <w:drawing>
            <wp:anchor distT="0" distB="0" distL="114300" distR="114300" simplePos="0" relativeHeight="251659264" behindDoc="0" locked="0" layoutInCell="1" allowOverlap="1">
              <wp:simplePos x="0" y="0"/>
              <wp:positionH relativeFrom="column">
                <wp:posOffset>-3175</wp:posOffset>
              </wp:positionH>
              <wp:positionV relativeFrom="paragraph">
                <wp:posOffset>-69012</wp:posOffset>
              </wp:positionV>
              <wp:extent cx="504825" cy="276225"/>
              <wp:effectExtent l="0" t="0" r="9525" b="9525"/>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276225"/>
                      </a:xfrm>
                      <a:prstGeom prst="rect">
                        <a:avLst/>
                      </a:prstGeom>
                      <a:noFill/>
                    </pic:spPr>
                  </pic:pic>
                </a:graphicData>
              </a:graphic>
            </wp:anchor>
          </w:drawing>
        </w:r>
        <w:r w:rsidRPr="008D4E83">
          <w:rPr>
            <w:rFonts w:ascii="Arial" w:hAnsi="Arial" w:cs="Arial"/>
            <w:sz w:val="16"/>
            <w:szCs w:val="16"/>
          </w:rPr>
          <w:t>2014</w:t>
        </w:r>
        <w:r w:rsidRPr="008D4E83">
          <w:rPr>
            <w:rFonts w:ascii="Arial" w:hAnsi="Arial" w:cs="Arial"/>
            <w:sz w:val="16"/>
            <w:szCs w:val="16"/>
          </w:rPr>
          <w:tab/>
        </w:r>
        <w:r w:rsidR="00CB669A" w:rsidRPr="008D4E83">
          <w:rPr>
            <w:rFonts w:ascii="Arial" w:hAnsi="Arial" w:cs="Arial"/>
            <w:sz w:val="16"/>
            <w:szCs w:val="16"/>
          </w:rPr>
          <w:fldChar w:fldCharType="begin"/>
        </w:r>
        <w:r w:rsidRPr="008D4E83">
          <w:rPr>
            <w:rFonts w:ascii="Arial" w:hAnsi="Arial" w:cs="Arial"/>
            <w:sz w:val="16"/>
            <w:szCs w:val="16"/>
          </w:rPr>
          <w:instrText>PAGE   \* MERGEFORMAT</w:instrText>
        </w:r>
        <w:r w:rsidR="00CB669A" w:rsidRPr="008D4E83">
          <w:rPr>
            <w:rFonts w:ascii="Arial" w:hAnsi="Arial" w:cs="Arial"/>
            <w:sz w:val="16"/>
            <w:szCs w:val="16"/>
          </w:rPr>
          <w:fldChar w:fldCharType="separate"/>
        </w:r>
        <w:r w:rsidR="007563A9">
          <w:rPr>
            <w:rFonts w:ascii="Arial" w:hAnsi="Arial" w:cs="Arial"/>
            <w:noProof/>
            <w:sz w:val="16"/>
            <w:szCs w:val="16"/>
          </w:rPr>
          <w:t>11</w:t>
        </w:r>
        <w:r w:rsidR="00CB669A" w:rsidRPr="008D4E83">
          <w:rPr>
            <w:rFonts w:ascii="Arial" w:hAnsi="Arial" w:cs="Arial"/>
            <w:sz w:val="16"/>
            <w:szCs w:val="16"/>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A09" w:rsidRDefault="00402A09" w:rsidP="00E71A58">
      <w:r>
        <w:separator/>
      </w:r>
    </w:p>
  </w:footnote>
  <w:footnote w:type="continuationSeparator" w:id="0">
    <w:p w:rsidR="00402A09" w:rsidRDefault="00402A09" w:rsidP="00E71A58">
      <w:r>
        <w:continuationSeparator/>
      </w:r>
    </w:p>
  </w:footnote>
  <w:footnote w:id="1">
    <w:p w:rsidR="006F723B" w:rsidRPr="0013064E" w:rsidRDefault="006F723B" w:rsidP="000E558B">
      <w:pPr>
        <w:pStyle w:val="Textpoznpodarou"/>
        <w:jc w:val="both"/>
        <w:rPr>
          <w:rFonts w:ascii="Arial" w:hAnsi="Arial" w:cs="Arial"/>
          <w:sz w:val="18"/>
          <w:szCs w:val="18"/>
        </w:rPr>
      </w:pPr>
      <w:r w:rsidRPr="0013064E">
        <w:rPr>
          <w:rStyle w:val="Znakapoznpodarou"/>
          <w:rFonts w:ascii="Arial" w:hAnsi="Arial" w:cs="Arial"/>
          <w:sz w:val="18"/>
          <w:szCs w:val="18"/>
        </w:rPr>
        <w:footnoteRef/>
      </w:r>
      <w:r w:rsidRPr="0013064E">
        <w:rPr>
          <w:rFonts w:ascii="Arial" w:hAnsi="Arial" w:cs="Arial"/>
          <w:sz w:val="18"/>
          <w:szCs w:val="18"/>
        </w:rPr>
        <w:t xml:space="preserve"> Jedná se o produkci, která je předmětem licence (viz Metodika šetření). </w:t>
      </w:r>
    </w:p>
  </w:footnote>
  <w:footnote w:id="2">
    <w:p w:rsidR="006F723B" w:rsidRPr="0013064E" w:rsidRDefault="006F723B" w:rsidP="000E558B">
      <w:pPr>
        <w:pStyle w:val="Textpoznpodarou"/>
        <w:jc w:val="both"/>
        <w:rPr>
          <w:sz w:val="18"/>
          <w:szCs w:val="18"/>
        </w:rPr>
      </w:pPr>
      <w:r w:rsidRPr="0013064E">
        <w:rPr>
          <w:rStyle w:val="Znakapoznpodarou"/>
          <w:rFonts w:ascii="Arial" w:hAnsi="Arial" w:cs="Arial"/>
          <w:sz w:val="18"/>
          <w:szCs w:val="18"/>
        </w:rPr>
        <w:footnoteRef/>
      </w:r>
      <w:r w:rsidRPr="0013064E">
        <w:rPr>
          <w:rFonts w:ascii="Arial" w:hAnsi="Arial" w:cs="Arial"/>
          <w:sz w:val="18"/>
          <w:szCs w:val="18"/>
        </w:rPr>
        <w:t xml:space="preserve"> Někteří poskytovatelé mají uzavřené licenční smlouvy na více předmětů licenčních smluv. Z tohoto důvodu neodpovídá celkový počet poskytovatelů součtu poskytovatelů podle jednotlivých předmětů licenčních smluv.</w:t>
      </w:r>
    </w:p>
  </w:footnote>
  <w:footnote w:id="3">
    <w:p w:rsidR="006F723B" w:rsidRPr="0013064E" w:rsidRDefault="006F723B" w:rsidP="006F723B">
      <w:pPr>
        <w:pStyle w:val="Textpoznpodarou"/>
        <w:jc w:val="both"/>
        <w:rPr>
          <w:rFonts w:ascii="Arial" w:hAnsi="Arial" w:cs="Arial"/>
          <w:sz w:val="18"/>
          <w:szCs w:val="18"/>
        </w:rPr>
      </w:pPr>
      <w:r w:rsidRPr="0013064E">
        <w:rPr>
          <w:rStyle w:val="Znakapoznpodarou"/>
          <w:rFonts w:ascii="Arial" w:hAnsi="Arial" w:cs="Arial"/>
          <w:sz w:val="18"/>
          <w:szCs w:val="18"/>
        </w:rPr>
        <w:footnoteRef/>
      </w:r>
      <w:r w:rsidRPr="0013064E">
        <w:rPr>
          <w:rFonts w:ascii="Arial" w:hAnsi="Arial" w:cs="Arial"/>
          <w:sz w:val="18"/>
          <w:szCs w:val="18"/>
        </w:rPr>
        <w:t xml:space="preserve"> Viz veřejně dostupné informace ve výročních zprávách ÚOCHB (</w:t>
      </w:r>
      <w:hyperlink r:id="rId1" w:history="1">
        <w:r w:rsidRPr="0013064E">
          <w:rPr>
            <w:rStyle w:val="Hypertextovodkaz"/>
            <w:rFonts w:ascii="Arial" w:hAnsi="Arial" w:cs="Arial"/>
            <w:color w:val="009BB4"/>
            <w:sz w:val="18"/>
            <w:szCs w:val="18"/>
          </w:rPr>
          <w:t>http://www.uochb.cz/web/structure/573.html?lang=cz</w:t>
        </w:r>
      </w:hyperlink>
      <w:r w:rsidRPr="0013064E">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Pr="00AD306C" w:rsidRDefault="006F723B" w:rsidP="00AD306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Licence v ČR, 2014</w:t>
    </w:r>
    <w:r w:rsidR="005B4204">
      <w:rPr>
        <w:rFonts w:ascii="Arial" w:hAnsi="Arial" w:cs="Arial"/>
        <w:sz w:val="16"/>
        <w:szCs w:val="16"/>
      </w:rPr>
      <w:t xml:space="preserve">/ </w:t>
    </w:r>
    <w:r>
      <w:rPr>
        <w:rFonts w:ascii="Arial" w:hAnsi="Arial" w:cs="Arial"/>
        <w:sz w:val="16"/>
        <w:szCs w:val="16"/>
      </w:rPr>
      <w:t>Analytická část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Default="006F723B" w:rsidP="00AD306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Licence v ČR, 2014</w:t>
    </w:r>
    <w:r w:rsidR="005B4204">
      <w:rPr>
        <w:rFonts w:ascii="Arial" w:hAnsi="Arial" w:cs="Arial"/>
        <w:sz w:val="16"/>
        <w:szCs w:val="16"/>
      </w:rPr>
      <w:t xml:space="preserve">/ </w:t>
    </w:r>
    <w:r>
      <w:rPr>
        <w:rFonts w:ascii="Arial" w:hAnsi="Arial" w:cs="Arial"/>
        <w:sz w:val="16"/>
        <w:szCs w:val="16"/>
      </w:rPr>
      <w:t>Analytická část</w:t>
    </w:r>
  </w:p>
  <w:p w:rsidR="009B6FD3" w:rsidRPr="00DC5B3B" w:rsidRDefault="009B6FD3" w:rsidP="009B6FD3">
    <w:pPr>
      <w:pStyle w:val="Zhlav"/>
      <w:tabs>
        <w:tab w:val="clear" w:pos="4536"/>
        <w:tab w:val="clear" w:pos="9072"/>
        <w:tab w:val="left" w:pos="-6379"/>
        <w:tab w:val="center" w:pos="4820"/>
        <w:tab w:val="right" w:pos="9639"/>
      </w:tabs>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6626">
      <o:colormru v:ext="edit" colors="#ecf4dd,#eaecee,#fcec0a,#fcecdb,#f1daf5"/>
    </o:shapedefaults>
  </w:hdrShapeDefaults>
  <w:footnotePr>
    <w:footnote w:id="-1"/>
    <w:footnote w:id="0"/>
  </w:footnotePr>
  <w:endnotePr>
    <w:endnote w:id="-1"/>
    <w:endnote w:id="0"/>
  </w:endnotePr>
  <w:compat/>
  <w:rsids>
    <w:rsidRoot w:val="002C4138"/>
    <w:rsid w:val="00007360"/>
    <w:rsid w:val="0000767A"/>
    <w:rsid w:val="00010702"/>
    <w:rsid w:val="000315CF"/>
    <w:rsid w:val="0004694F"/>
    <w:rsid w:val="00062EC5"/>
    <w:rsid w:val="000725C9"/>
    <w:rsid w:val="000732D5"/>
    <w:rsid w:val="000754C4"/>
    <w:rsid w:val="00087634"/>
    <w:rsid w:val="000A1183"/>
    <w:rsid w:val="000C3408"/>
    <w:rsid w:val="000C70B7"/>
    <w:rsid w:val="000D1A3F"/>
    <w:rsid w:val="000E558B"/>
    <w:rsid w:val="00116E1F"/>
    <w:rsid w:val="0013064E"/>
    <w:rsid w:val="001405FA"/>
    <w:rsid w:val="00140D48"/>
    <w:rsid w:val="00141904"/>
    <w:rsid w:val="001425C3"/>
    <w:rsid w:val="00143453"/>
    <w:rsid w:val="001474D8"/>
    <w:rsid w:val="001573C5"/>
    <w:rsid w:val="00163793"/>
    <w:rsid w:val="001714F2"/>
    <w:rsid w:val="00172123"/>
    <w:rsid w:val="0017617B"/>
    <w:rsid w:val="00185010"/>
    <w:rsid w:val="00185A38"/>
    <w:rsid w:val="00187863"/>
    <w:rsid w:val="00193241"/>
    <w:rsid w:val="001A4B91"/>
    <w:rsid w:val="001A552F"/>
    <w:rsid w:val="001B3110"/>
    <w:rsid w:val="001F4597"/>
    <w:rsid w:val="001F4F10"/>
    <w:rsid w:val="0022139E"/>
    <w:rsid w:val="002252E0"/>
    <w:rsid w:val="002255F6"/>
    <w:rsid w:val="00236443"/>
    <w:rsid w:val="002436BA"/>
    <w:rsid w:val="00243CDF"/>
    <w:rsid w:val="00244A15"/>
    <w:rsid w:val="00244A81"/>
    <w:rsid w:val="0024799E"/>
    <w:rsid w:val="00256288"/>
    <w:rsid w:val="00261349"/>
    <w:rsid w:val="002644EE"/>
    <w:rsid w:val="00284B28"/>
    <w:rsid w:val="00297E71"/>
    <w:rsid w:val="002B0C13"/>
    <w:rsid w:val="002C31D3"/>
    <w:rsid w:val="002C4138"/>
    <w:rsid w:val="002C43BD"/>
    <w:rsid w:val="002E02A1"/>
    <w:rsid w:val="00304771"/>
    <w:rsid w:val="00306C5B"/>
    <w:rsid w:val="003209D6"/>
    <w:rsid w:val="00340416"/>
    <w:rsid w:val="003657F3"/>
    <w:rsid w:val="00385D98"/>
    <w:rsid w:val="00392833"/>
    <w:rsid w:val="003A2B4D"/>
    <w:rsid w:val="003A478C"/>
    <w:rsid w:val="003A5525"/>
    <w:rsid w:val="003A6B38"/>
    <w:rsid w:val="003B0A37"/>
    <w:rsid w:val="003B5A32"/>
    <w:rsid w:val="003F313C"/>
    <w:rsid w:val="00402A09"/>
    <w:rsid w:val="00414240"/>
    <w:rsid w:val="00423C91"/>
    <w:rsid w:val="0043194A"/>
    <w:rsid w:val="00472B08"/>
    <w:rsid w:val="00476772"/>
    <w:rsid w:val="00477882"/>
    <w:rsid w:val="0048139F"/>
    <w:rsid w:val="004A1FBA"/>
    <w:rsid w:val="004A77DF"/>
    <w:rsid w:val="004B1FD4"/>
    <w:rsid w:val="004B3AA7"/>
    <w:rsid w:val="004B55B7"/>
    <w:rsid w:val="004B7D63"/>
    <w:rsid w:val="004C3867"/>
    <w:rsid w:val="004C4CD0"/>
    <w:rsid w:val="004C70DC"/>
    <w:rsid w:val="004D0211"/>
    <w:rsid w:val="004E3EC7"/>
    <w:rsid w:val="004E5A5F"/>
    <w:rsid w:val="004F06F5"/>
    <w:rsid w:val="004F33A0"/>
    <w:rsid w:val="00500463"/>
    <w:rsid w:val="005108C0"/>
    <w:rsid w:val="00511873"/>
    <w:rsid w:val="00513B7E"/>
    <w:rsid w:val="00524794"/>
    <w:rsid w:val="00525137"/>
    <w:rsid w:val="005251DD"/>
    <w:rsid w:val="005335F7"/>
    <w:rsid w:val="005414CC"/>
    <w:rsid w:val="00571E12"/>
    <w:rsid w:val="00583FFD"/>
    <w:rsid w:val="00584029"/>
    <w:rsid w:val="00593152"/>
    <w:rsid w:val="005A21E0"/>
    <w:rsid w:val="005A4FBC"/>
    <w:rsid w:val="005B4204"/>
    <w:rsid w:val="005B75D2"/>
    <w:rsid w:val="005C0B9E"/>
    <w:rsid w:val="005C3E8A"/>
    <w:rsid w:val="005C7012"/>
    <w:rsid w:val="005D5802"/>
    <w:rsid w:val="005E04B1"/>
    <w:rsid w:val="005E3CBC"/>
    <w:rsid w:val="005E47D4"/>
    <w:rsid w:val="005E4A4C"/>
    <w:rsid w:val="005F1D36"/>
    <w:rsid w:val="00604307"/>
    <w:rsid w:val="0060487F"/>
    <w:rsid w:val="00613759"/>
    <w:rsid w:val="00616D25"/>
    <w:rsid w:val="00624093"/>
    <w:rsid w:val="006404A7"/>
    <w:rsid w:val="006451E4"/>
    <w:rsid w:val="006508CC"/>
    <w:rsid w:val="00657E87"/>
    <w:rsid w:val="006652DF"/>
    <w:rsid w:val="006710C9"/>
    <w:rsid w:val="00675E37"/>
    <w:rsid w:val="0068260E"/>
    <w:rsid w:val="00693C50"/>
    <w:rsid w:val="00695BEF"/>
    <w:rsid w:val="006977F6"/>
    <w:rsid w:val="00697A13"/>
    <w:rsid w:val="006A109C"/>
    <w:rsid w:val="006B3ED1"/>
    <w:rsid w:val="006B78D8"/>
    <w:rsid w:val="006C113F"/>
    <w:rsid w:val="006C16C2"/>
    <w:rsid w:val="006C1D29"/>
    <w:rsid w:val="006D0D1A"/>
    <w:rsid w:val="006D61F6"/>
    <w:rsid w:val="006E279A"/>
    <w:rsid w:val="006E313B"/>
    <w:rsid w:val="006E3583"/>
    <w:rsid w:val="006F723B"/>
    <w:rsid w:val="007211F5"/>
    <w:rsid w:val="00726154"/>
    <w:rsid w:val="00730AE8"/>
    <w:rsid w:val="00741493"/>
    <w:rsid w:val="00752180"/>
    <w:rsid w:val="00754B36"/>
    <w:rsid w:val="00755D3A"/>
    <w:rsid w:val="007563A9"/>
    <w:rsid w:val="007609C6"/>
    <w:rsid w:val="00761B3D"/>
    <w:rsid w:val="00776527"/>
    <w:rsid w:val="007A23DD"/>
    <w:rsid w:val="007A2D39"/>
    <w:rsid w:val="007B46E4"/>
    <w:rsid w:val="007C3F6A"/>
    <w:rsid w:val="007E7E61"/>
    <w:rsid w:val="007F0845"/>
    <w:rsid w:val="0080670A"/>
    <w:rsid w:val="00821FF6"/>
    <w:rsid w:val="0083143E"/>
    <w:rsid w:val="00834FAA"/>
    <w:rsid w:val="00836086"/>
    <w:rsid w:val="008535DA"/>
    <w:rsid w:val="008670D1"/>
    <w:rsid w:val="00875635"/>
    <w:rsid w:val="00876086"/>
    <w:rsid w:val="00883721"/>
    <w:rsid w:val="00887452"/>
    <w:rsid w:val="00893E0A"/>
    <w:rsid w:val="00897122"/>
    <w:rsid w:val="008B7C02"/>
    <w:rsid w:val="008C0E88"/>
    <w:rsid w:val="008D2A16"/>
    <w:rsid w:val="008D4E83"/>
    <w:rsid w:val="008E31FF"/>
    <w:rsid w:val="008F6D9B"/>
    <w:rsid w:val="009003A8"/>
    <w:rsid w:val="00901442"/>
    <w:rsid w:val="00902EFF"/>
    <w:rsid w:val="00921F14"/>
    <w:rsid w:val="009262AC"/>
    <w:rsid w:val="00927138"/>
    <w:rsid w:val="0094427A"/>
    <w:rsid w:val="00945930"/>
    <w:rsid w:val="00973859"/>
    <w:rsid w:val="00974923"/>
    <w:rsid w:val="00987E97"/>
    <w:rsid w:val="009A6502"/>
    <w:rsid w:val="009B6FD3"/>
    <w:rsid w:val="009E5F6B"/>
    <w:rsid w:val="00A06FD1"/>
    <w:rsid w:val="00A10D66"/>
    <w:rsid w:val="00A23BDC"/>
    <w:rsid w:val="00A23E43"/>
    <w:rsid w:val="00A406FC"/>
    <w:rsid w:val="00A46DE0"/>
    <w:rsid w:val="00A47673"/>
    <w:rsid w:val="00A62CE1"/>
    <w:rsid w:val="00A733A5"/>
    <w:rsid w:val="00A75E40"/>
    <w:rsid w:val="00A77665"/>
    <w:rsid w:val="00A857C0"/>
    <w:rsid w:val="00A87092"/>
    <w:rsid w:val="00A968DB"/>
    <w:rsid w:val="00AA25E4"/>
    <w:rsid w:val="00AA559A"/>
    <w:rsid w:val="00AB2AF1"/>
    <w:rsid w:val="00AB5ACA"/>
    <w:rsid w:val="00AB65C9"/>
    <w:rsid w:val="00AD0919"/>
    <w:rsid w:val="00AD306C"/>
    <w:rsid w:val="00AE0884"/>
    <w:rsid w:val="00AF60DC"/>
    <w:rsid w:val="00AF7FA5"/>
    <w:rsid w:val="00B11EC0"/>
    <w:rsid w:val="00B12DA7"/>
    <w:rsid w:val="00B17E71"/>
    <w:rsid w:val="00B17FDE"/>
    <w:rsid w:val="00B21479"/>
    <w:rsid w:val="00B25EE5"/>
    <w:rsid w:val="00B32DDB"/>
    <w:rsid w:val="00B47695"/>
    <w:rsid w:val="00B510BA"/>
    <w:rsid w:val="00B57FFD"/>
    <w:rsid w:val="00B6608F"/>
    <w:rsid w:val="00B70928"/>
    <w:rsid w:val="00B760E9"/>
    <w:rsid w:val="00B76D1E"/>
    <w:rsid w:val="00B92000"/>
    <w:rsid w:val="00B9442D"/>
    <w:rsid w:val="00B94933"/>
    <w:rsid w:val="00B95940"/>
    <w:rsid w:val="00B971BF"/>
    <w:rsid w:val="00BA0092"/>
    <w:rsid w:val="00BC2745"/>
    <w:rsid w:val="00BC3647"/>
    <w:rsid w:val="00BD366B"/>
    <w:rsid w:val="00BD6D50"/>
    <w:rsid w:val="00BF0F2C"/>
    <w:rsid w:val="00C0004C"/>
    <w:rsid w:val="00C02069"/>
    <w:rsid w:val="00C16E73"/>
    <w:rsid w:val="00C21F94"/>
    <w:rsid w:val="00C25E3A"/>
    <w:rsid w:val="00C36C89"/>
    <w:rsid w:val="00C44A4C"/>
    <w:rsid w:val="00C707F1"/>
    <w:rsid w:val="00C71306"/>
    <w:rsid w:val="00C71C34"/>
    <w:rsid w:val="00C74456"/>
    <w:rsid w:val="00C854B2"/>
    <w:rsid w:val="00C90CF4"/>
    <w:rsid w:val="00C93389"/>
    <w:rsid w:val="00C963F1"/>
    <w:rsid w:val="00CA0C7F"/>
    <w:rsid w:val="00CB669A"/>
    <w:rsid w:val="00CC74F5"/>
    <w:rsid w:val="00CD489D"/>
    <w:rsid w:val="00CD734B"/>
    <w:rsid w:val="00CF51EC"/>
    <w:rsid w:val="00D040DD"/>
    <w:rsid w:val="00D2056E"/>
    <w:rsid w:val="00D44D1A"/>
    <w:rsid w:val="00D576C1"/>
    <w:rsid w:val="00D60197"/>
    <w:rsid w:val="00D655B6"/>
    <w:rsid w:val="00D67384"/>
    <w:rsid w:val="00D71BFD"/>
    <w:rsid w:val="00D75B73"/>
    <w:rsid w:val="00D8181C"/>
    <w:rsid w:val="00D90D89"/>
    <w:rsid w:val="00DC34E7"/>
    <w:rsid w:val="00DC5B3B"/>
    <w:rsid w:val="00DE4398"/>
    <w:rsid w:val="00E01C0E"/>
    <w:rsid w:val="00E04694"/>
    <w:rsid w:val="00E06DDE"/>
    <w:rsid w:val="00E12AAC"/>
    <w:rsid w:val="00E135F9"/>
    <w:rsid w:val="00E161C7"/>
    <w:rsid w:val="00E21EDA"/>
    <w:rsid w:val="00E4273D"/>
    <w:rsid w:val="00E524D6"/>
    <w:rsid w:val="00E537E4"/>
    <w:rsid w:val="00E60841"/>
    <w:rsid w:val="00E71A58"/>
    <w:rsid w:val="00E860C0"/>
    <w:rsid w:val="00EA0C68"/>
    <w:rsid w:val="00ED18ED"/>
    <w:rsid w:val="00EE01F9"/>
    <w:rsid w:val="00EE370E"/>
    <w:rsid w:val="00EE3E78"/>
    <w:rsid w:val="00EE6911"/>
    <w:rsid w:val="00EE7EFF"/>
    <w:rsid w:val="00EF1F5A"/>
    <w:rsid w:val="00EF72B6"/>
    <w:rsid w:val="00F04811"/>
    <w:rsid w:val="00F0488C"/>
    <w:rsid w:val="00F1139E"/>
    <w:rsid w:val="00F15BEF"/>
    <w:rsid w:val="00F24FAA"/>
    <w:rsid w:val="00F3364D"/>
    <w:rsid w:val="00F348EA"/>
    <w:rsid w:val="00F63112"/>
    <w:rsid w:val="00F63DDE"/>
    <w:rsid w:val="00F63FB7"/>
    <w:rsid w:val="00F7352C"/>
    <w:rsid w:val="00F73A0C"/>
    <w:rsid w:val="00F75A47"/>
    <w:rsid w:val="00F80929"/>
    <w:rsid w:val="00FC0E5F"/>
    <w:rsid w:val="00FC56DE"/>
    <w:rsid w:val="00FD31A5"/>
    <w:rsid w:val="00FE273E"/>
    <w:rsid w:val="00FE2F78"/>
    <w:rsid w:val="00FE515C"/>
    <w:rsid w:val="00FE57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b/>
      <w:caps/>
      <w:color w:val="009BB4"/>
      <w:sz w:val="56"/>
      <w:szCs w:val="52"/>
      <w:lang w:bidi="ar-SA"/>
    </w:rPr>
  </w:style>
  <w:style w:type="paragraph" w:styleId="Podtitul">
    <w:name w:val="Subtitle"/>
    <w:next w:val="Normln"/>
    <w:link w:val="Podtitul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titulChar">
    <w:name w:val="Podtitul Char"/>
    <w:link w:val="Podtitul"/>
    <w:uiPriority w:val="11"/>
    <w:rsid w:val="007F0845"/>
    <w:rPr>
      <w:rFonts w:ascii="Arial" w:eastAsia="MS Gothic" w:hAnsi="Arial"/>
      <w:b/>
      <w:iCs/>
      <w:color w:val="009BB4"/>
      <w:sz w:val="28"/>
      <w:szCs w:val="24"/>
      <w:lang w:bidi="ar-SA"/>
    </w:rPr>
  </w:style>
  <w:style w:type="character" w:customStyle="1" w:styleId="Nadpis1Char">
    <w:name w:val="Nadpis 1 Char"/>
    <w:link w:val="Nadpis1"/>
    <w:uiPriority w:val="9"/>
    <w:rsid w:val="007F0845"/>
    <w:rPr>
      <w:rFonts w:ascii="Arial" w:eastAsia="MS Gothic" w:hAnsi="Arial"/>
      <w:b/>
      <w:bCs/>
      <w:color w:val="009BB4"/>
      <w:sz w:val="32"/>
      <w:szCs w:val="28"/>
      <w:lang w:bidi="ar-SA"/>
    </w:rPr>
  </w:style>
  <w:style w:type="character" w:customStyle="1" w:styleId="Nadpis2Char">
    <w:name w:val="Nadpis 2 Char"/>
    <w:link w:val="Nadpis2"/>
    <w:uiPriority w:val="9"/>
    <w:rsid w:val="007F0845"/>
    <w:rPr>
      <w:rFonts w:ascii="Arial" w:eastAsia="MS Gothic" w:hAnsi="Arial"/>
      <w:b/>
      <w:bCs/>
      <w:color w:val="009BB4"/>
      <w:sz w:val="28"/>
      <w:szCs w:val="26"/>
      <w:lang w:bidi="ar-SA"/>
    </w:rPr>
  </w:style>
  <w:style w:type="character" w:customStyle="1" w:styleId="Nadpis3Char">
    <w:name w:val="Nadpis 3 Char"/>
    <w:link w:val="Nadpis3"/>
    <w:uiPriority w:val="9"/>
    <w:rsid w:val="007F0845"/>
    <w:rPr>
      <w:rFonts w:ascii="Arial" w:eastAsia="MS Gothic" w:hAnsi="Arial"/>
      <w:b/>
      <w:bCs/>
      <w:color w:val="009BB4"/>
      <w:sz w:val="24"/>
      <w:szCs w:val="24"/>
      <w:lang w:bidi="ar-SA"/>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Bezmezer1">
    <w:name w:val="Bez mezer1"/>
    <w:aliases w:val="Bez zarážky"/>
    <w:link w:val="NoSpacing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7C3F6A"/>
    <w:pPr>
      <w:shd w:val="clear" w:color="auto" w:fill="D9F0F4"/>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7C3F6A"/>
    <w:rPr>
      <w:rFonts w:ascii="Arial" w:hAnsi="Arial"/>
      <w:color w:val="000000"/>
      <w:sz w:val="24"/>
      <w:szCs w:val="24"/>
      <w:shd w:val="clear" w:color="auto" w:fill="D9F0F4"/>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styleId="Textpoznpodarou">
    <w:name w:val="footnote text"/>
    <w:basedOn w:val="Normln"/>
    <w:link w:val="TextpoznpodarouChar"/>
    <w:uiPriority w:val="99"/>
    <w:semiHidden/>
    <w:unhideWhenUsed/>
    <w:rsid w:val="00875635"/>
    <w:pPr>
      <w:spacing w:line="240" w:lineRule="auto"/>
    </w:pPr>
    <w:rPr>
      <w:rFonts w:ascii="Calibri" w:eastAsia="Calibri" w:hAnsi="Calibri"/>
      <w:szCs w:val="20"/>
      <w:lang w:eastAsia="en-US"/>
    </w:rPr>
  </w:style>
  <w:style w:type="character" w:customStyle="1" w:styleId="TextpoznpodarouChar">
    <w:name w:val="Text pozn. pod čarou Char"/>
    <w:basedOn w:val="Standardnpsmoodstavce"/>
    <w:link w:val="Textpoznpodarou"/>
    <w:uiPriority w:val="99"/>
    <w:semiHidden/>
    <w:rsid w:val="00875635"/>
    <w:rPr>
      <w:rFonts w:ascii="Calibri" w:eastAsia="Calibri" w:hAnsi="Calibri" w:cs="Times New Roman"/>
      <w:lang w:eastAsia="en-US"/>
    </w:rPr>
  </w:style>
  <w:style w:type="character" w:styleId="Znakapoznpodarou">
    <w:name w:val="footnote reference"/>
    <w:basedOn w:val="Standardnpsmoodstavce"/>
    <w:semiHidden/>
    <w:unhideWhenUsed/>
    <w:rsid w:val="00875635"/>
    <w:rPr>
      <w:vertAlign w:val="superscript"/>
    </w:rPr>
  </w:style>
  <w:style w:type="paragraph" w:customStyle="1" w:styleId="Default">
    <w:name w:val="Default"/>
    <w:rsid w:val="006F723B"/>
    <w:pPr>
      <w:autoSpaceDE w:val="0"/>
      <w:autoSpaceDN w:val="0"/>
      <w:adjustRightInd w:val="0"/>
    </w:pPr>
    <w:rPr>
      <w:rFonts w:cs="Calibri"/>
      <w:color w:val="000000"/>
      <w:sz w:val="24"/>
      <w:szCs w:val="24"/>
      <w:lang w:eastAsia="en-US"/>
    </w:rPr>
  </w:style>
  <w:style w:type="character" w:styleId="Odkaznakoment">
    <w:name w:val="annotation reference"/>
    <w:basedOn w:val="Standardnpsmoodstavce"/>
    <w:uiPriority w:val="99"/>
    <w:semiHidden/>
    <w:unhideWhenUsed/>
    <w:rsid w:val="000725C9"/>
    <w:rPr>
      <w:sz w:val="16"/>
      <w:szCs w:val="16"/>
    </w:rPr>
  </w:style>
  <w:style w:type="paragraph" w:styleId="Textkomente">
    <w:name w:val="annotation text"/>
    <w:basedOn w:val="Normln"/>
    <w:link w:val="TextkomenteChar"/>
    <w:uiPriority w:val="99"/>
    <w:semiHidden/>
    <w:unhideWhenUsed/>
    <w:rsid w:val="000725C9"/>
    <w:pPr>
      <w:spacing w:line="240" w:lineRule="auto"/>
    </w:pPr>
    <w:rPr>
      <w:szCs w:val="20"/>
    </w:rPr>
  </w:style>
  <w:style w:type="character" w:customStyle="1" w:styleId="TextkomenteChar">
    <w:name w:val="Text komentáře Char"/>
    <w:basedOn w:val="Standardnpsmoodstavce"/>
    <w:link w:val="Textkomente"/>
    <w:uiPriority w:val="99"/>
    <w:semiHidden/>
    <w:rsid w:val="000725C9"/>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0725C9"/>
    <w:rPr>
      <w:b/>
      <w:bCs/>
    </w:rPr>
  </w:style>
  <w:style w:type="character" w:customStyle="1" w:styleId="PedmtkomenteChar">
    <w:name w:val="Předmět komentáře Char"/>
    <w:basedOn w:val="TextkomenteChar"/>
    <w:link w:val="Pedmtkomente"/>
    <w:uiPriority w:val="99"/>
    <w:semiHidden/>
    <w:rsid w:val="000725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b/>
      <w:caps/>
      <w:color w:val="009BB4"/>
      <w:sz w:val="56"/>
      <w:szCs w:val="52"/>
      <w:lang w:bidi="ar-SA"/>
    </w:rPr>
  </w:style>
  <w:style w:type="paragraph" w:styleId="Podtitul">
    <w:name w:val="Subtitle"/>
    <w:next w:val="Normln"/>
    <w:link w:val="Podtitul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titulChar">
    <w:name w:val="Podtitul Char"/>
    <w:link w:val="Podtitul"/>
    <w:uiPriority w:val="11"/>
    <w:rsid w:val="007F0845"/>
    <w:rPr>
      <w:rFonts w:ascii="Arial" w:eastAsia="MS Gothic" w:hAnsi="Arial"/>
      <w:b/>
      <w:iCs/>
      <w:color w:val="009BB4"/>
      <w:sz w:val="28"/>
      <w:szCs w:val="24"/>
      <w:lang w:bidi="ar-SA"/>
    </w:rPr>
  </w:style>
  <w:style w:type="character" w:customStyle="1" w:styleId="Nadpis1Char">
    <w:name w:val="Nadpis 1 Char"/>
    <w:link w:val="Nadpis1"/>
    <w:uiPriority w:val="9"/>
    <w:rsid w:val="007F0845"/>
    <w:rPr>
      <w:rFonts w:ascii="Arial" w:eastAsia="MS Gothic" w:hAnsi="Arial"/>
      <w:b/>
      <w:bCs/>
      <w:color w:val="009BB4"/>
      <w:sz w:val="32"/>
      <w:szCs w:val="28"/>
      <w:lang w:bidi="ar-SA"/>
    </w:rPr>
  </w:style>
  <w:style w:type="character" w:customStyle="1" w:styleId="Nadpis2Char">
    <w:name w:val="Nadpis 2 Char"/>
    <w:link w:val="Nadpis2"/>
    <w:uiPriority w:val="9"/>
    <w:rsid w:val="007F0845"/>
    <w:rPr>
      <w:rFonts w:ascii="Arial" w:eastAsia="MS Gothic" w:hAnsi="Arial"/>
      <w:b/>
      <w:bCs/>
      <w:color w:val="009BB4"/>
      <w:sz w:val="28"/>
      <w:szCs w:val="26"/>
      <w:lang w:bidi="ar-SA"/>
    </w:rPr>
  </w:style>
  <w:style w:type="character" w:customStyle="1" w:styleId="Nadpis3Char">
    <w:name w:val="Nadpis 3 Char"/>
    <w:link w:val="Nadpis3"/>
    <w:uiPriority w:val="9"/>
    <w:rsid w:val="007F0845"/>
    <w:rPr>
      <w:rFonts w:ascii="Arial" w:eastAsia="MS Gothic" w:hAnsi="Arial"/>
      <w:b/>
      <w:bCs/>
      <w:color w:val="009BB4"/>
      <w:sz w:val="24"/>
      <w:szCs w:val="24"/>
      <w:lang w:bidi="ar-SA"/>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Bezmezer1">
    <w:name w:val="Bez mezer1"/>
    <w:aliases w:val="Bez zarážky"/>
    <w:link w:val="NoSpacing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7C3F6A"/>
    <w:pPr>
      <w:shd w:val="clear" w:color="auto" w:fill="D9F0F4"/>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7C3F6A"/>
    <w:rPr>
      <w:rFonts w:ascii="Arial" w:hAnsi="Arial"/>
      <w:color w:val="000000"/>
      <w:sz w:val="24"/>
      <w:szCs w:val="24"/>
      <w:shd w:val="clear" w:color="auto" w:fill="D9F0F4"/>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styleId="Textpoznpodarou">
    <w:name w:val="footnote text"/>
    <w:basedOn w:val="Normln"/>
    <w:link w:val="TextpoznpodarouChar"/>
    <w:uiPriority w:val="99"/>
    <w:semiHidden/>
    <w:unhideWhenUsed/>
    <w:rsid w:val="00875635"/>
    <w:pPr>
      <w:spacing w:line="240" w:lineRule="auto"/>
    </w:pPr>
    <w:rPr>
      <w:rFonts w:ascii="Calibri" w:eastAsia="Calibri" w:hAnsi="Calibri"/>
      <w:szCs w:val="20"/>
      <w:lang w:eastAsia="en-US"/>
    </w:rPr>
  </w:style>
  <w:style w:type="character" w:customStyle="1" w:styleId="TextpoznpodarouChar">
    <w:name w:val="Text pozn. pod čarou Char"/>
    <w:basedOn w:val="Standardnpsmoodstavce"/>
    <w:link w:val="Textpoznpodarou"/>
    <w:uiPriority w:val="99"/>
    <w:semiHidden/>
    <w:rsid w:val="00875635"/>
    <w:rPr>
      <w:rFonts w:ascii="Calibri" w:eastAsia="Calibri" w:hAnsi="Calibri" w:cs="Times New Roman"/>
      <w:lang w:eastAsia="en-US"/>
    </w:rPr>
  </w:style>
  <w:style w:type="character" w:styleId="Znakapoznpodarou">
    <w:name w:val="footnote reference"/>
    <w:basedOn w:val="Standardnpsmoodstavce"/>
    <w:semiHidden/>
    <w:unhideWhenUsed/>
    <w:rsid w:val="00875635"/>
    <w:rPr>
      <w:vertAlign w:val="superscript"/>
    </w:rPr>
  </w:style>
  <w:style w:type="paragraph" w:customStyle="1" w:styleId="Default">
    <w:name w:val="Default"/>
    <w:rsid w:val="006F723B"/>
    <w:pPr>
      <w:autoSpaceDE w:val="0"/>
      <w:autoSpaceDN w:val="0"/>
      <w:adjustRightInd w:val="0"/>
    </w:pPr>
    <w:rPr>
      <w:rFonts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s>
</file>

<file path=word/_rels/footnotes.xml.rels><?xml version="1.0" encoding="UTF-8" standalone="yes"?>
<Relationships xmlns="http://schemas.openxmlformats.org/package/2006/relationships"><Relationship Id="rId1" Type="http://schemas.openxmlformats.org/officeDocument/2006/relationships/hyperlink" Target="http://www.uochb.cz/web/structure/573.html?lang=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cova8489\Desktop\publikace%20bar_veda%20I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84545-41CF-49FE-B2FE-66A911CE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bar_veda IT</Template>
  <TotalTime>8</TotalTime>
  <Pages>6</Pages>
  <Words>1846</Words>
  <Characters>10896</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Švecová</dc:creator>
  <cp:lastModifiedBy>Daniel Böhm</cp:lastModifiedBy>
  <cp:revision>18</cp:revision>
  <cp:lastPrinted>2014-07-17T14:07:00Z</cp:lastPrinted>
  <dcterms:created xsi:type="dcterms:W3CDTF">2015-10-15T14:13:00Z</dcterms:created>
  <dcterms:modified xsi:type="dcterms:W3CDTF">2015-10-15T15:18:00Z</dcterms:modified>
</cp:coreProperties>
</file>