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37" w:rsidRDefault="006B4B37" w:rsidP="00A33966">
      <w:pPr>
        <w:pStyle w:val="Nadpis1"/>
      </w:pPr>
      <w:bookmarkStart w:id="0" w:name="_Toc444112495"/>
      <w:r w:rsidRPr="006B4B37">
        <w:t>Metodické vysvětlivky</w:t>
      </w:r>
    </w:p>
    <w:p w:rsidR="006B4B37" w:rsidRPr="00A33966" w:rsidRDefault="006B4B37" w:rsidP="00A33966">
      <w:pPr>
        <w:pStyle w:val="Nadpis1"/>
        <w:rPr>
          <w:sz w:val="28"/>
        </w:rPr>
      </w:pPr>
      <w:bookmarkStart w:id="1" w:name="_Toc444112497"/>
      <w:bookmarkEnd w:id="0"/>
      <w:r w:rsidRPr="00A33966">
        <w:rPr>
          <w:sz w:val="28"/>
        </w:rPr>
        <w:t>Souhrnný zemědělský účet</w:t>
      </w:r>
    </w:p>
    <w:p w:rsidR="006B4B37" w:rsidRDefault="006B4B37" w:rsidP="00EF1357">
      <w:pPr>
        <w:pStyle w:val="Zkladntextodsazen"/>
        <w:spacing w:before="0" w:after="240" w:line="288" w:lineRule="auto"/>
        <w:ind w:firstLine="0"/>
      </w:pPr>
      <w:r>
        <w:rPr>
          <w:b/>
          <w:bCs/>
        </w:rPr>
        <w:t>Souhrnný zemědělský účet</w:t>
      </w:r>
      <w:r>
        <w:t xml:space="preserve"> </w:t>
      </w:r>
      <w:r w:rsidRPr="00EF1357">
        <w:rPr>
          <w:szCs w:val="24"/>
        </w:rPr>
        <w:t>(SZÚ) je základním metodologickým nástrojem pro měření ekonomické velikosti a výkonnosti odvětví zemědělství, resp. zemědělské prvovýroby, v rámci národního hospodářství.</w:t>
      </w:r>
    </w:p>
    <w:p w:rsidR="006B4B37" w:rsidRDefault="006B4B37" w:rsidP="00EF1357">
      <w:pPr>
        <w:jc w:val="both"/>
        <w:rPr>
          <w:b/>
          <w:bCs/>
        </w:rPr>
      </w:pPr>
      <w:r>
        <w:rPr>
          <w:b/>
          <w:bCs/>
        </w:rPr>
        <w:t>SZÚ obsahuje následující základní ukazatele:</w:t>
      </w:r>
    </w:p>
    <w:p w:rsidR="006B4B37" w:rsidRDefault="006B4B37" w:rsidP="00EF1357">
      <w:pPr>
        <w:jc w:val="both"/>
      </w:pPr>
      <w:r>
        <w:rPr>
          <w:b/>
          <w:bCs/>
        </w:rPr>
        <w:t>1. Produkci zemědělského odvětví</w:t>
      </w:r>
      <w:r>
        <w:t xml:space="preserve"> v hodnotovém vyjádření, která reprezentuje celkovou finální produkci odvětví zemědělství, která toto odvětví opouští.</w:t>
      </w:r>
    </w:p>
    <w:p w:rsidR="006B4B37" w:rsidRPr="00BB67A4" w:rsidRDefault="006B4B37" w:rsidP="00EF1357"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6B4B37" w:rsidRPr="00BB67A4" w:rsidRDefault="006B4B37" w:rsidP="00EF1357">
      <w: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t>nerolníky</w:t>
      </w:r>
      <w:proofErr w:type="spellEnd"/>
      <w: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6B4B37" w:rsidRDefault="006B4B37" w:rsidP="00EF1357">
      <w:pPr>
        <w:jc w:val="both"/>
      </w:pPr>
      <w:r>
        <w:t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p</w:t>
      </w:r>
      <w:r w:rsidR="00993BB8">
        <w:t>ři sestavování účtu za roky 2022 a 2023</w:t>
      </w:r>
      <w: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6B4B37" w:rsidRDefault="006B4B37" w:rsidP="00EF1357">
      <w:pPr>
        <w:jc w:val="both"/>
      </w:pPr>
      <w:r>
        <w:t xml:space="preserve">Na základě rozhodnutí </w:t>
      </w:r>
      <w:proofErr w:type="spellStart"/>
      <w:r>
        <w:t>Eurostatu</w:t>
      </w:r>
      <w:proofErr w:type="spellEnd"/>
      <w:r>
        <w:t xml:space="preserve"> (pracovní jednání v listopadu 2004) nejsou údaje za poslední sledovaný rok odesílány jako konečné, ale jako </w:t>
      </w:r>
      <w:proofErr w:type="spellStart"/>
      <w:r>
        <w:t>semide</w:t>
      </w:r>
      <w:r w:rsidR="00993BB8">
        <w:t>finitivní</w:t>
      </w:r>
      <w:proofErr w:type="spellEnd"/>
      <w:r w:rsidR="00993BB8">
        <w:t>. Proto účet 2023</w:t>
      </w:r>
      <w:bookmarkStart w:id="2" w:name="_GoBack"/>
      <w:bookmarkEnd w:id="2"/>
      <w:r>
        <w:t xml:space="preserve"> obsahuje </w:t>
      </w:r>
      <w:proofErr w:type="spellStart"/>
      <w:r>
        <w:t>semidefinitivní</w:t>
      </w:r>
      <w:proofErr w:type="spellEnd"/>
      <w:r>
        <w:t xml:space="preserve"> data.</w:t>
      </w:r>
    </w:p>
    <w:p w:rsidR="006B4B37" w:rsidRDefault="006B4B37" w:rsidP="00EF1357">
      <w:pPr>
        <w:pStyle w:val="Zkladntext2"/>
        <w:spacing w:before="0" w:after="240" w:line="288" w:lineRule="auto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6B4B37" w:rsidRDefault="006B4B37" w:rsidP="00EF1357">
      <w:pPr>
        <w:jc w:val="both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Mezispotřebu</w:t>
      </w:r>
      <w:proofErr w:type="spellEnd"/>
      <w:r>
        <w:t>, tj. souhrn všech vstupů do zemědělských jednotek v hodnotovém vyjádření.</w:t>
      </w:r>
    </w:p>
    <w:p w:rsidR="006B4B37" w:rsidRPr="00BB67A4" w:rsidRDefault="006B4B37" w:rsidP="00EF1357">
      <w:pPr>
        <w:jc w:val="both"/>
      </w:pPr>
      <w:r>
        <w:t xml:space="preserve">Část účtu týkající se </w:t>
      </w:r>
      <w:proofErr w:type="spellStart"/>
      <w:r>
        <w:t>mezispotřeby</w:t>
      </w:r>
      <w:proofErr w:type="spellEnd"/>
      <w:r>
        <w:t xml:space="preserve"> je členěna na vnitropodnikovou spotřebu vlastních krmiv, nákupy </w:t>
      </w:r>
      <w:proofErr w:type="spellStart"/>
      <w:r>
        <w:t>mezispotřeby</w:t>
      </w:r>
      <w:proofErr w:type="spellEnd"/>
      <w: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6B4B37" w:rsidRDefault="006B4B37" w:rsidP="00EF1357">
      <w:pPr>
        <w:jc w:val="both"/>
      </w:pPr>
      <w:r>
        <w:t xml:space="preserve">Produkty použité jako </w:t>
      </w:r>
      <w:proofErr w:type="spellStart"/>
      <w:r>
        <w:t>mezispotřeba</w:t>
      </w:r>
      <w:proofErr w:type="spellEnd"/>
      <w: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6B4B37" w:rsidRDefault="006B4B37" w:rsidP="00EF1357">
      <w:pPr>
        <w:jc w:val="both"/>
      </w:pPr>
      <w:r>
        <w:t xml:space="preserve">Podle nařízení Komise evropského společenství č. 909/2006 ze dne 20. června 2006 je součástí </w:t>
      </w:r>
      <w:proofErr w:type="spellStart"/>
      <w:r>
        <w:t>mezispotřeby</w:t>
      </w:r>
      <w:proofErr w:type="spellEnd"/>
      <w:r>
        <w:t xml:space="preserve">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6B4B37" w:rsidRDefault="006B4B37" w:rsidP="00EF1357">
      <w:pPr>
        <w:jc w:val="both"/>
      </w:pPr>
      <w:r>
        <w:rPr>
          <w:b/>
          <w:bCs/>
        </w:rPr>
        <w:lastRenderedPageBreak/>
        <w:t>3. Hrubou přidanou hodnotu</w:t>
      </w:r>
      <w:r>
        <w:t xml:space="preserve">, která reprezentuje výsledný efekt odvětví zemědělství měřený rozdílem konečné produkce zemědělského odvětví a </w:t>
      </w:r>
      <w:proofErr w:type="spellStart"/>
      <w:r>
        <w:t>mezispotřeby</w:t>
      </w:r>
      <w:proofErr w:type="spellEnd"/>
      <w:r>
        <w:t>. Hrubá přidaná hodnota se podle metodiky vyjadřuje v základních cenách.</w:t>
      </w:r>
    </w:p>
    <w:p w:rsidR="006B4B37" w:rsidRPr="00BB67A4" w:rsidRDefault="006B4B37" w:rsidP="00EF1357">
      <w:pPr>
        <w:jc w:val="both"/>
      </w:pPr>
      <w:r>
        <w:rPr>
          <w:b/>
          <w:bCs/>
        </w:rPr>
        <w:t>4. Čistou přidanou hodnotu</w:t>
      </w:r>
      <w:r>
        <w:t>, tj. hodnotu, která je vytvořena veškerými zemědělskými jednotkami po odečtení spotřeby fixního kapitálu.</w:t>
      </w:r>
    </w:p>
    <w:p w:rsidR="006B4B37" w:rsidRDefault="006B4B37" w:rsidP="00EF1357">
      <w:pPr>
        <w:jc w:val="both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Ostatní daně / ostatní dotace</w:t>
      </w:r>
      <w:r>
        <w:t xml:space="preserve"> na výrobu se zaúčtují v rámci účtu tvorby důchodu.</w:t>
      </w:r>
    </w:p>
    <w:p w:rsidR="006B4B37" w:rsidRDefault="006B4B37" w:rsidP="00EF1357">
      <w:pPr>
        <w:jc w:val="both"/>
      </w:pPr>
      <w:r>
        <w:rPr>
          <w:b/>
          <w:bCs/>
        </w:rPr>
        <w:t>6. Důchod z faktorů</w:t>
      </w:r>
      <w:r>
        <w:t>, který představuje odměnu ze všech výrobních faktorů a představuje celkovou hodnotu, kterou jednotky svou výrobní činností vyprodukují.</w:t>
      </w:r>
    </w:p>
    <w:p w:rsidR="006B4B37" w:rsidRPr="00BB67A4" w:rsidRDefault="006B4B37" w:rsidP="00EF1357">
      <w:pPr>
        <w:jc w:val="both"/>
      </w:pPr>
      <w:r>
        <w:rPr>
          <w:b/>
          <w:bCs/>
        </w:rPr>
        <w:t>7. Čistý provozní přebytek / smíšený důchod</w:t>
      </w:r>
      <w:r>
        <w:t>, který měří výnos z půdy, kapitálu a neplacené práce. Je bilanční položkou účtu tvorby důchodu, ukazující rozdělení důchodu mezi výrobní faktory a sektor stát (vládní instituce).</w:t>
      </w:r>
    </w:p>
    <w:p w:rsidR="006B4B37" w:rsidRDefault="006B4B37" w:rsidP="00EF1357">
      <w:pPr>
        <w:jc w:val="both"/>
      </w:pPr>
      <w:r>
        <w:rPr>
          <w:b/>
          <w:bCs/>
        </w:rPr>
        <w:t>8. Podnikatelský důchod</w:t>
      </w:r>
      <w:r>
        <w:t xml:space="preserve"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</w:t>
      </w:r>
      <w:proofErr w:type="spellStart"/>
      <w:r>
        <w:t>pachtovného</w:t>
      </w:r>
      <w:proofErr w:type="spellEnd"/>
      <w:r>
        <w:t>, které jsou výlučně vázány na zemědělskou činnost.</w:t>
      </w:r>
    </w:p>
    <w:p w:rsidR="006B4B37" w:rsidRDefault="006B4B37" w:rsidP="00EF1357">
      <w:pPr>
        <w:jc w:val="both"/>
      </w:pPr>
      <w:r>
        <w:rPr>
          <w:b/>
          <w:bCs/>
        </w:rPr>
        <w:t>9.</w:t>
      </w:r>
      <w:r>
        <w:t xml:space="preserve"> Součásti kapitálového účtu zachycují</w:t>
      </w:r>
      <w:r>
        <w:rPr>
          <w:b/>
          <w:bCs/>
        </w:rPr>
        <w:t xml:space="preserve"> tvorbu hrubého fixního kapitálu</w:t>
      </w:r>
      <w:r>
        <w:t xml:space="preserve"> (THFK) podle jednotlivých druhů majetku. Na základě rozhodnutí </w:t>
      </w:r>
      <w:proofErr w:type="spellStart"/>
      <w:r>
        <w:t>Eurostatu</w:t>
      </w:r>
      <w:proofErr w:type="spellEnd"/>
      <w:r>
        <w:t xml:space="preserve"> (nařízení č. 138/2004 ze dne 5. prosince 2003) se nesledují jeho jednotlivé položky v tak podrobném členění jako v předchozích letech.</w:t>
      </w:r>
    </w:p>
    <w:p w:rsidR="006B4B37" w:rsidRDefault="006B4B37" w:rsidP="00EF1357">
      <w:pPr>
        <w:pStyle w:val="Nadpis4"/>
        <w:spacing w:after="240"/>
      </w:pPr>
    </w:p>
    <w:bookmarkEnd w:id="1"/>
    <w:p w:rsidR="00D55763" w:rsidRDefault="006B4B37" w:rsidP="00EF1357">
      <w:pPr>
        <w:rPr>
          <w:rFonts w:eastAsia="MS Gothic"/>
          <w:b/>
          <w:bCs/>
          <w:color w:val="009471"/>
          <w:sz w:val="28"/>
          <w:szCs w:val="26"/>
        </w:rPr>
      </w:pPr>
      <w:r w:rsidRPr="006B4B37">
        <w:rPr>
          <w:rFonts w:eastAsia="MS Gothic"/>
          <w:b/>
          <w:bCs/>
          <w:color w:val="009471"/>
          <w:sz w:val="28"/>
          <w:szCs w:val="26"/>
        </w:rPr>
        <w:t>Vstup pracovní síly do zemědělství</w:t>
      </w:r>
    </w:p>
    <w:p w:rsidR="006B4B37" w:rsidRDefault="006B4B37" w:rsidP="00EF1357">
      <w:r>
        <w:t>Údaje o vstupu pracovní síly do sektoru zemědělství (anglicky „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Unit“, používaná zkratka AWU). Jedna AWU zahrnuje takový počet hodin, který odpovídá počtu skutečně odpracovaných hodin v rámci plného pracovního úvazku v zemědělství (1 800 hodin). Nezahrnuje tedy státní svátky, placenou dovolenou na zotavenou, dny pracovní neschopnosti, přestávky na jídlo, apod. Údaje o vstupu pracovní síly do zemědělství se klasifikují na placené ALI, neplacené ALI a celkové ALI, které je součtem předchozích dvou kategorií.</w:t>
      </w:r>
    </w:p>
    <w:p w:rsidR="006B4B37" w:rsidRDefault="006B4B37" w:rsidP="00EF1357">
      <w:r>
        <w:t>Do kategorie placených pracovních sil se řadí osoby, které na základě smlouvy pracují pro jinou veřejnou nebo soukromou rezidentní jednotku a za tuto práci dostávají odměnu v hotovosti nebo v naturáliích (evidovanou v SZÚ jako náhrada zaměstnancům). Do kategorie neplacených pracovních sil naopak patří osoby, které jsou za svou práci odměňovány prostřednictvím podílů na příjmu, vytvořeném zemědělskou činností. Jedná se většinou o samostatně hospodařící vlastníky nebo spoluvlastníky samostatných hospodářství.</w:t>
      </w:r>
    </w:p>
    <w:p w:rsidR="006B4B37" w:rsidRDefault="006B4B37" w:rsidP="00EF1357">
      <w:r>
        <w:t>Účelem kalkulace ALI je poskytnout systematický a srovnatelný přehled o rozsahu pracovních sil v zemědělském odvětví a sledovat trendy zemědělských příjmů.</w:t>
      </w:r>
    </w:p>
    <w:p w:rsidR="006B4B37" w:rsidRDefault="006B4B37" w:rsidP="00EF1357">
      <w:pPr>
        <w:jc w:val="both"/>
      </w:pPr>
      <w:r>
        <w:t xml:space="preserve">Od roku 2000 jsou údaje revidovány podle výsledků </w:t>
      </w:r>
      <w:proofErr w:type="spellStart"/>
      <w:r>
        <w:t>Agrocenzu</w:t>
      </w:r>
      <w:proofErr w:type="spellEnd"/>
      <w:r>
        <w:t xml:space="preserve"> 2010.</w:t>
      </w:r>
    </w:p>
    <w:p w:rsidR="006B4B37" w:rsidRDefault="006B4B37" w:rsidP="00EF1357">
      <w:pPr>
        <w:jc w:val="both"/>
      </w:pPr>
    </w:p>
    <w:p w:rsidR="006B4B37" w:rsidRDefault="006B4B37" w:rsidP="00EF1357">
      <w:pPr>
        <w:rPr>
          <w:rFonts w:eastAsia="MS Gothic"/>
          <w:b/>
          <w:bCs/>
          <w:color w:val="009471"/>
          <w:sz w:val="28"/>
          <w:szCs w:val="26"/>
        </w:rPr>
      </w:pPr>
      <w:r w:rsidRPr="006B4B37">
        <w:rPr>
          <w:rFonts w:eastAsia="MS Gothic"/>
          <w:b/>
          <w:bCs/>
          <w:color w:val="009471"/>
          <w:sz w:val="28"/>
          <w:szCs w:val="26"/>
        </w:rPr>
        <w:lastRenderedPageBreak/>
        <w:t>Indikátory důchodu zemědělského odvětví</w:t>
      </w:r>
    </w:p>
    <w:p w:rsidR="006B4B37" w:rsidRPr="000514EC" w:rsidRDefault="006B4B37" w:rsidP="00EF1357">
      <w:pPr>
        <w:pStyle w:val="Zkladntext3"/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6B4B37" w:rsidRPr="000514EC" w:rsidRDefault="006B4B37" w:rsidP="00EF1357">
      <w:pPr>
        <w:jc w:val="both"/>
        <w:rPr>
          <w:rFonts w:cs="Arial"/>
        </w:rPr>
      </w:pPr>
      <w:r w:rsidRPr="000514EC">
        <w:rPr>
          <w:rFonts w:cs="Arial"/>
          <w:b/>
          <w:bCs/>
          <w:i/>
          <w:iCs/>
        </w:rPr>
        <w:t>Indikátor A:</w:t>
      </w:r>
      <w:r w:rsidRPr="000514EC">
        <w:rPr>
          <w:rFonts w:cs="Arial"/>
        </w:rPr>
        <w:t xml:space="preserve"> </w:t>
      </w:r>
      <w:r w:rsidRPr="000514EC">
        <w:rPr>
          <w:rFonts w:cs="Arial"/>
          <w:b/>
          <w:bCs/>
        </w:rPr>
        <w:t>Index reálného důchodu z faktorů v zemědělství na 1</w:t>
      </w:r>
      <w:r>
        <w:rPr>
          <w:rFonts w:cs="Arial"/>
          <w:b/>
          <w:bCs/>
        </w:rPr>
        <w:t xml:space="preserve"> </w:t>
      </w:r>
      <w:r w:rsidRPr="000514EC">
        <w:rPr>
          <w:rFonts w:cs="Arial"/>
          <w:b/>
          <w:bCs/>
        </w:rPr>
        <w:t>AWU</w:t>
      </w:r>
    </w:p>
    <w:p w:rsidR="006B4B37" w:rsidRPr="000514EC" w:rsidRDefault="006B4B37" w:rsidP="00EF1357">
      <w:pPr>
        <w:pStyle w:val="Zkladntextodsazen3"/>
        <w:spacing w:after="24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 xml:space="preserve">) čisté přidané hodnotě v nákladech výrobních faktorů zemědělství na celkovou 1 AWU. Čistá přidaná hodnota v nákladech výrobních faktorů je vypočítána odpočtem </w:t>
      </w:r>
      <w:proofErr w:type="spellStart"/>
      <w:r w:rsidRPr="000514EC">
        <w:rPr>
          <w:rFonts w:ascii="Arial" w:hAnsi="Arial" w:cs="Arial"/>
          <w:sz w:val="20"/>
          <w:szCs w:val="20"/>
        </w:rPr>
        <w:t>mezispotřeby</w:t>
      </w:r>
      <w:proofErr w:type="spellEnd"/>
      <w:r w:rsidRPr="000514EC">
        <w:rPr>
          <w:rFonts w:ascii="Arial" w:hAnsi="Arial" w:cs="Arial"/>
          <w:sz w:val="20"/>
          <w:szCs w:val="20"/>
        </w:rPr>
        <w:t>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6B4B37" w:rsidRPr="000514EC" w:rsidRDefault="006B4B37" w:rsidP="00EF1357">
      <w:pPr>
        <w:ind w:left="1260" w:hanging="1260"/>
        <w:jc w:val="both"/>
        <w:rPr>
          <w:rFonts w:cs="Arial"/>
        </w:rPr>
      </w:pPr>
      <w:r w:rsidRPr="000514EC">
        <w:rPr>
          <w:rFonts w:cs="Arial"/>
          <w:b/>
          <w:bCs/>
          <w:i/>
          <w:iCs/>
        </w:rPr>
        <w:t>Indikátor B</w:t>
      </w:r>
      <w:r w:rsidRPr="000514EC">
        <w:rPr>
          <w:rFonts w:cs="Arial"/>
          <w:i/>
          <w:iCs/>
        </w:rPr>
        <w:t>:</w:t>
      </w:r>
      <w:r w:rsidRPr="000514EC">
        <w:rPr>
          <w:rFonts w:cs="Arial"/>
        </w:rPr>
        <w:t xml:space="preserve"> </w:t>
      </w:r>
      <w:r w:rsidRPr="000514EC">
        <w:rPr>
          <w:rFonts w:cs="Arial"/>
          <w:b/>
          <w:bCs/>
        </w:rPr>
        <w:t>Index reálného čistého podnikatelského důchodu v</w:t>
      </w:r>
      <w:r>
        <w:rPr>
          <w:rFonts w:cs="Arial"/>
          <w:b/>
          <w:bCs/>
        </w:rPr>
        <w:t> </w:t>
      </w:r>
      <w:r w:rsidRPr="000514EC">
        <w:rPr>
          <w:rFonts w:cs="Arial"/>
          <w:b/>
          <w:bCs/>
        </w:rPr>
        <w:t>zem</w:t>
      </w:r>
      <w:r>
        <w:rPr>
          <w:rFonts w:cs="Arial"/>
          <w:b/>
          <w:bCs/>
        </w:rPr>
        <w:t>.</w:t>
      </w:r>
      <w:r w:rsidRPr="000514EC">
        <w:rPr>
          <w:rFonts w:cs="Arial"/>
          <w:b/>
          <w:bCs/>
        </w:rPr>
        <w:t xml:space="preserve"> </w:t>
      </w:r>
      <w:proofErr w:type="gramStart"/>
      <w:r w:rsidRPr="000514EC">
        <w:rPr>
          <w:rFonts w:cs="Arial"/>
          <w:b/>
          <w:bCs/>
        </w:rPr>
        <w:t>na</w:t>
      </w:r>
      <w:proofErr w:type="gramEnd"/>
      <w:r w:rsidRPr="000514E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1 neplacenou </w:t>
      </w:r>
      <w:r w:rsidRPr="000514EC">
        <w:rPr>
          <w:rFonts w:cs="Arial"/>
          <w:b/>
          <w:bCs/>
        </w:rPr>
        <w:t>AWU</w:t>
      </w:r>
    </w:p>
    <w:p w:rsidR="006B4B37" w:rsidRPr="000514EC" w:rsidRDefault="006B4B37" w:rsidP="00EF1357">
      <w:pPr>
        <w:pStyle w:val="Zkladntext"/>
        <w:spacing w:after="240" w:line="288" w:lineRule="auto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6B4B37" w:rsidRPr="000514EC" w:rsidRDefault="006B4B37" w:rsidP="00EF1357">
      <w:pPr>
        <w:jc w:val="both"/>
        <w:rPr>
          <w:rFonts w:cs="Arial"/>
        </w:rPr>
      </w:pPr>
      <w:r w:rsidRPr="000514EC">
        <w:rPr>
          <w:rFonts w:cs="Arial"/>
          <w:b/>
          <w:bCs/>
          <w:i/>
          <w:iCs/>
        </w:rPr>
        <w:t>Indikátor C:</w:t>
      </w:r>
      <w:r w:rsidRPr="000514EC">
        <w:rPr>
          <w:rFonts w:cs="Arial"/>
        </w:rPr>
        <w:t xml:space="preserve"> </w:t>
      </w:r>
      <w:r w:rsidRPr="000514EC">
        <w:rPr>
          <w:rFonts w:cs="Arial"/>
          <w:b/>
          <w:bCs/>
        </w:rPr>
        <w:t>Reálný čistý podnikatelský důchod ze zemědělství</w:t>
      </w:r>
    </w:p>
    <w:p w:rsidR="006B4B37" w:rsidRPr="000514EC" w:rsidRDefault="006B4B37" w:rsidP="00EF1357">
      <w:pPr>
        <w:pStyle w:val="Zkladntextodsazen2"/>
        <w:spacing w:before="0" w:after="240" w:line="288" w:lineRule="auto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6B4B37" w:rsidRPr="006B4B37" w:rsidRDefault="006B4B37" w:rsidP="00EF1357">
      <w:pPr>
        <w:jc w:val="both"/>
      </w:pPr>
      <w:r w:rsidRPr="000514EC">
        <w:rPr>
          <w:rFonts w:cs="Arial"/>
          <w:szCs w:val="20"/>
        </w:rPr>
        <w:t xml:space="preserve">Pro výpočet indikátorů B a C je potřeba více informací než pro výpočet indikátoru A, údaje musí obsahovat: </w:t>
      </w:r>
      <w:r w:rsidRPr="006B4B37">
        <w:t>náhrady zaměstnancům, placené nájemné, nákladové a výnosové úroky, placené a neplacené ALI.</w:t>
      </w:r>
    </w:p>
    <w:p w:rsidR="006B4B37" w:rsidRPr="006B4B37" w:rsidRDefault="006B4B37" w:rsidP="00EF1357">
      <w:pPr>
        <w:jc w:val="both"/>
      </w:pPr>
    </w:p>
    <w:p w:rsidR="006B4B37" w:rsidRDefault="006B4B37" w:rsidP="00EF1357">
      <w:pPr>
        <w:rPr>
          <w:rFonts w:eastAsia="MS Gothic"/>
          <w:b/>
          <w:bCs/>
          <w:color w:val="009471"/>
          <w:sz w:val="28"/>
          <w:szCs w:val="26"/>
        </w:rPr>
      </w:pPr>
      <w:r w:rsidRPr="006B4B37">
        <w:rPr>
          <w:rFonts w:eastAsia="MS Gothic"/>
          <w:b/>
          <w:bCs/>
          <w:color w:val="009471"/>
          <w:sz w:val="28"/>
          <w:szCs w:val="26"/>
        </w:rPr>
        <w:t>Použité značky v 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6B4B37" w:rsidTr="00502065">
        <w:tc>
          <w:tcPr>
            <w:tcW w:w="79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-</w:t>
            </w:r>
          </w:p>
        </w:tc>
        <w:tc>
          <w:tcPr>
            <w:tcW w:w="842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Pomlčka (-) značí, že jev se nevyskytoval.</w:t>
            </w:r>
          </w:p>
        </w:tc>
      </w:tr>
      <w:tr w:rsidR="006B4B37" w:rsidTr="00502065">
        <w:tc>
          <w:tcPr>
            <w:tcW w:w="79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0</w:t>
            </w:r>
          </w:p>
        </w:tc>
        <w:tc>
          <w:tcPr>
            <w:tcW w:w="842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Nula (0) značí, že jde o číselný údaj, ale jeho hodnota je menší než jedna polovina měřicí jednotky použité v tabulce.</w:t>
            </w:r>
          </w:p>
        </w:tc>
      </w:tr>
      <w:tr w:rsidR="006B4B37" w:rsidTr="00502065">
        <w:tc>
          <w:tcPr>
            <w:tcW w:w="79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x</w:t>
            </w:r>
          </w:p>
        </w:tc>
        <w:tc>
          <w:tcPr>
            <w:tcW w:w="842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Písmeno (x) je v tabulce tehdy, jde-li o údaj, jehož číselné naplnění není logicky možné.</w:t>
            </w:r>
          </w:p>
        </w:tc>
      </w:tr>
      <w:tr w:rsidR="006B4B37" w:rsidTr="00502065">
        <w:tc>
          <w:tcPr>
            <w:tcW w:w="79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.</w:t>
            </w:r>
          </w:p>
        </w:tc>
        <w:tc>
          <w:tcPr>
            <w:tcW w:w="8420" w:type="dxa"/>
          </w:tcPr>
          <w:p w:rsidR="006B4B37" w:rsidRPr="006B4B37" w:rsidRDefault="006B4B37" w:rsidP="00EF1357">
            <w:pPr>
              <w:pStyle w:val="Zpat"/>
              <w:spacing w:after="240" w:line="288" w:lineRule="auto"/>
              <w:rPr>
                <w:sz w:val="20"/>
              </w:rPr>
            </w:pPr>
            <w:r w:rsidRPr="006B4B37">
              <w:rPr>
                <w:sz w:val="20"/>
              </w:rPr>
              <w:t>Tečka (.) znamená, že údaj není k dispozici nebo je nespolehlivý.</w:t>
            </w:r>
          </w:p>
        </w:tc>
      </w:tr>
    </w:tbl>
    <w:p w:rsidR="006B4B37" w:rsidRDefault="006B4B37" w:rsidP="00EF1357"/>
    <w:p w:rsidR="006B4B37" w:rsidRDefault="006B4B37" w:rsidP="00EF1357"/>
    <w:sectPr w:rsidR="006B4B37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63" w:rsidRDefault="00D55763" w:rsidP="00E71A58">
      <w:r>
        <w:separator/>
      </w:r>
    </w:p>
  </w:endnote>
  <w:endnote w:type="continuationSeparator" w:id="0">
    <w:p w:rsidR="00D55763" w:rsidRDefault="00D5576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5FE2EF2" wp14:editId="55FE2EF3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993BB8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6B4B37">
      <w:rPr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5FE2EF4" wp14:editId="55FE2EF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6B4B37">
      <w:rPr>
        <w:rStyle w:val="ZpatChar"/>
        <w:szCs w:val="16"/>
      </w:rPr>
      <w:t>2024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993BB8">
      <w:rPr>
        <w:rStyle w:val="ZpatChar"/>
        <w:szCs w:val="16"/>
      </w:rPr>
      <w:t>3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63" w:rsidRDefault="00D55763" w:rsidP="00E71A58">
      <w:r>
        <w:separator/>
      </w:r>
    </w:p>
  </w:footnote>
  <w:footnote w:type="continuationSeparator" w:id="0">
    <w:p w:rsidR="00D55763" w:rsidRDefault="00D5576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37" w:rsidRPr="002767A3" w:rsidRDefault="006B4B37" w:rsidP="006B4B37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6B4B37" w:rsidRPr="00E3026B" w:rsidRDefault="006B4B37" w:rsidP="006B4B37">
    <w:pPr>
      <w:pStyle w:val="Zhlav"/>
      <w:rPr>
        <w:i/>
        <w:lang w:val="en-GB"/>
      </w:rPr>
    </w:pPr>
    <w:r w:rsidRPr="0011347B">
      <w:rPr>
        <w:i/>
      </w:rPr>
      <w:t xml:space="preserve">/ ECONOMIC ACCOUNTS </w:t>
    </w:r>
    <w:r w:rsidRPr="00E3026B">
      <w:rPr>
        <w:i/>
        <w:lang w:val="en-GB"/>
      </w:rPr>
      <w:t>FOR AGRICULTURE Definitive data 2022 and Semi-definitive Data 2023</w:t>
    </w:r>
  </w:p>
  <w:p w:rsidR="00515C74" w:rsidRPr="006B4B37" w:rsidRDefault="00515C74" w:rsidP="006B4B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3D" w:rsidRPr="002767A3" w:rsidRDefault="00F9393D" w:rsidP="00F9393D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F9393D" w:rsidRPr="0011347B" w:rsidRDefault="00F9393D" w:rsidP="00F9393D">
    <w:pPr>
      <w:pStyle w:val="Zhlav"/>
      <w:rPr>
        <w:i/>
      </w:rPr>
    </w:pPr>
    <w:r w:rsidRPr="0011347B">
      <w:rPr>
        <w:i/>
      </w:rPr>
      <w:t xml:space="preserve">/ ECONOMIC ACCOUNTS FOR AGRICULTURE </w:t>
    </w:r>
    <w:r w:rsidRPr="00E3026B">
      <w:rPr>
        <w:i/>
        <w:lang w:val="en-GB"/>
      </w:rPr>
      <w:t>Definitive data 2022 and Semi-definitive</w:t>
    </w:r>
    <w:r w:rsidRPr="0011347B">
      <w:rPr>
        <w:i/>
      </w:rPr>
      <w:t xml:space="preserve"> Data 2023</w:t>
    </w:r>
  </w:p>
  <w:p w:rsidR="00B5752E" w:rsidRPr="00F9393D" w:rsidRDefault="00B5752E" w:rsidP="00F9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63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1347B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C400A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C624A"/>
    <w:rsid w:val="002D0E59"/>
    <w:rsid w:val="002D73B4"/>
    <w:rsid w:val="002E02A1"/>
    <w:rsid w:val="002E4E4C"/>
    <w:rsid w:val="00304771"/>
    <w:rsid w:val="003052D4"/>
    <w:rsid w:val="00306C5B"/>
    <w:rsid w:val="00314D9F"/>
    <w:rsid w:val="003209D6"/>
    <w:rsid w:val="00321924"/>
    <w:rsid w:val="0032656E"/>
    <w:rsid w:val="003306DF"/>
    <w:rsid w:val="00332190"/>
    <w:rsid w:val="003350AC"/>
    <w:rsid w:val="00344668"/>
    <w:rsid w:val="003462D9"/>
    <w:rsid w:val="003469F5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16F0B"/>
    <w:rsid w:val="00432A58"/>
    <w:rsid w:val="00434617"/>
    <w:rsid w:val="00440900"/>
    <w:rsid w:val="004441A0"/>
    <w:rsid w:val="00454A3F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34CE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4B37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6B1A"/>
    <w:rsid w:val="00706AD4"/>
    <w:rsid w:val="007140BE"/>
    <w:rsid w:val="007202BA"/>
    <w:rsid w:val="007211F5"/>
    <w:rsid w:val="00725BB5"/>
    <w:rsid w:val="00730AE8"/>
    <w:rsid w:val="00734624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585A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642C"/>
    <w:rsid w:val="008701E4"/>
    <w:rsid w:val="00875A32"/>
    <w:rsid w:val="00876086"/>
    <w:rsid w:val="008767E4"/>
    <w:rsid w:val="008873D4"/>
    <w:rsid w:val="00893E85"/>
    <w:rsid w:val="00894031"/>
    <w:rsid w:val="008B7C02"/>
    <w:rsid w:val="008B7D2B"/>
    <w:rsid w:val="008C0049"/>
    <w:rsid w:val="008C0E88"/>
    <w:rsid w:val="008D02E1"/>
    <w:rsid w:val="008D1E6A"/>
    <w:rsid w:val="008D2A16"/>
    <w:rsid w:val="008E2C57"/>
    <w:rsid w:val="008E31FF"/>
    <w:rsid w:val="008E6F06"/>
    <w:rsid w:val="008F029B"/>
    <w:rsid w:val="008F3FC9"/>
    <w:rsid w:val="008F4536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3A2C"/>
    <w:rsid w:val="00974923"/>
    <w:rsid w:val="00980D3D"/>
    <w:rsid w:val="00987A30"/>
    <w:rsid w:val="00992CF3"/>
    <w:rsid w:val="00993BB8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7A0A"/>
    <w:rsid w:val="00A10D66"/>
    <w:rsid w:val="00A14114"/>
    <w:rsid w:val="00A16413"/>
    <w:rsid w:val="00A23E43"/>
    <w:rsid w:val="00A30F65"/>
    <w:rsid w:val="00A33966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35250"/>
    <w:rsid w:val="00B3611A"/>
    <w:rsid w:val="00B402FC"/>
    <w:rsid w:val="00B46604"/>
    <w:rsid w:val="00B530CD"/>
    <w:rsid w:val="00B55F5E"/>
    <w:rsid w:val="00B572E3"/>
    <w:rsid w:val="00B5752E"/>
    <w:rsid w:val="00B63A11"/>
    <w:rsid w:val="00B64C24"/>
    <w:rsid w:val="00B6608F"/>
    <w:rsid w:val="00B679FB"/>
    <w:rsid w:val="00B76D1E"/>
    <w:rsid w:val="00B80EC6"/>
    <w:rsid w:val="00B8668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33B68"/>
    <w:rsid w:val="00C36A79"/>
    <w:rsid w:val="00C405D4"/>
    <w:rsid w:val="00C4513B"/>
    <w:rsid w:val="00C54697"/>
    <w:rsid w:val="00C56BB4"/>
    <w:rsid w:val="00C631AB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D77D4"/>
    <w:rsid w:val="00CE670B"/>
    <w:rsid w:val="00CF51EC"/>
    <w:rsid w:val="00CF73AE"/>
    <w:rsid w:val="00D040DD"/>
    <w:rsid w:val="00D07BA7"/>
    <w:rsid w:val="00D13986"/>
    <w:rsid w:val="00D235B7"/>
    <w:rsid w:val="00D25F28"/>
    <w:rsid w:val="00D27973"/>
    <w:rsid w:val="00D50F46"/>
    <w:rsid w:val="00D55763"/>
    <w:rsid w:val="00D66223"/>
    <w:rsid w:val="00D8084C"/>
    <w:rsid w:val="00DA7C0C"/>
    <w:rsid w:val="00DB2EC8"/>
    <w:rsid w:val="00DB55DD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026B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3701"/>
    <w:rsid w:val="00EB4511"/>
    <w:rsid w:val="00EC03D7"/>
    <w:rsid w:val="00ED62C6"/>
    <w:rsid w:val="00ED64C1"/>
    <w:rsid w:val="00EE3446"/>
    <w:rsid w:val="00EE3E78"/>
    <w:rsid w:val="00EE4B1B"/>
    <w:rsid w:val="00EF1357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9393D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FD56758"/>
  <w15:docId w15:val="{6634BF6A-D44E-482A-9B54-0320D83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202BA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471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7202BA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471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7202BA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471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7202BA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47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202BA"/>
    <w:rPr>
      <w:rFonts w:ascii="Arial" w:eastAsia="MS Gothic" w:hAnsi="Arial"/>
      <w:b/>
      <w:bCs/>
      <w:color w:val="009471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7202BA"/>
    <w:rPr>
      <w:rFonts w:ascii="Arial" w:eastAsia="MS Gothic" w:hAnsi="Arial"/>
      <w:b/>
      <w:bCs/>
      <w:color w:val="009471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7202BA"/>
    <w:rPr>
      <w:rFonts w:ascii="Arial" w:eastAsia="MS Gothic" w:hAnsi="Arial"/>
      <w:b/>
      <w:bCs/>
      <w:color w:val="009471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7202BA"/>
    <w:rPr>
      <w:rFonts w:ascii="Arial" w:eastAsia="MS Gothic" w:hAnsi="Arial"/>
      <w:b/>
      <w:bCs/>
      <w:iCs/>
      <w:color w:val="009471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B3611A"/>
    <w:pPr>
      <w:spacing w:after="80" w:line="288" w:lineRule="auto"/>
    </w:pPr>
    <w:rPr>
      <w:rFonts w:ascii="Arial" w:eastAsia="Times New Roman" w:hAnsi="Arial"/>
      <w:b/>
      <w:color w:val="009471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16F0B"/>
    <w:pPr>
      <w:shd w:val="clear" w:color="auto" w:fill="E3F1EC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7202BA"/>
    <w:pPr>
      <w:spacing w:before="240" w:after="240" w:line="288" w:lineRule="auto"/>
      <w:ind w:left="709"/>
      <w:contextualSpacing/>
    </w:pPr>
    <w:rPr>
      <w:rFonts w:ascii="Arial" w:hAnsi="Arial" w:cs="Arial"/>
      <w:color w:val="009471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B3611A"/>
    <w:pPr>
      <w:spacing w:after="40"/>
      <w:contextualSpacing/>
    </w:pPr>
    <w:rPr>
      <w:b/>
      <w:caps/>
      <w:color w:val="000000" w:themeColor="text1"/>
      <w:sz w:val="24"/>
    </w:rPr>
  </w:style>
  <w:style w:type="paragraph" w:customStyle="1" w:styleId="TLKontakty">
    <w:name w:val="TL Kontakty"/>
    <w:qFormat/>
    <w:rsid w:val="00B3611A"/>
    <w:pPr>
      <w:spacing w:after="160" w:line="259" w:lineRule="auto"/>
      <w:contextualSpacing/>
    </w:pPr>
    <w:rPr>
      <w:rFonts w:ascii="Arial" w:eastAsia="Times New Roman" w:hAnsi="Arial"/>
      <w:b/>
      <w:color w:val="009471"/>
      <w:lang w:eastAsia="cs-CZ"/>
    </w:rPr>
  </w:style>
  <w:style w:type="paragraph" w:styleId="Nzev">
    <w:name w:val="Title"/>
    <w:link w:val="NzevChar"/>
    <w:uiPriority w:val="10"/>
    <w:qFormat/>
    <w:rsid w:val="00B3611A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B3611A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B3611A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B3611A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intenzivn">
    <w:name w:val="Intense Reference"/>
    <w:basedOn w:val="Standardnpsmoodstavce"/>
    <w:uiPriority w:val="32"/>
    <w:qFormat/>
    <w:rsid w:val="00B3611A"/>
    <w:rPr>
      <w:b/>
      <w:bCs/>
      <w:smallCaps/>
      <w:color w:val="000000" w:themeColor="text1"/>
      <w:spacing w:val="5"/>
    </w:rPr>
  </w:style>
  <w:style w:type="character" w:styleId="Zdraznnintenzivn">
    <w:name w:val="Intense Emphasis"/>
    <w:basedOn w:val="Standardnpsmoodstavce"/>
    <w:uiPriority w:val="21"/>
    <w:qFormat/>
    <w:rsid w:val="00B3611A"/>
    <w:rPr>
      <w:i/>
      <w:iCs/>
      <w:color w:val="000000" w:themeColor="text1"/>
    </w:rPr>
  </w:style>
  <w:style w:type="paragraph" w:styleId="Zkladntextodsazen">
    <w:name w:val="Body Text Indent"/>
    <w:basedOn w:val="Normln"/>
    <w:link w:val="ZkladntextodsazenChar"/>
    <w:semiHidden/>
    <w:rsid w:val="006B4B37"/>
    <w:pPr>
      <w:overflowPunct w:val="0"/>
      <w:autoSpaceDE w:val="0"/>
      <w:autoSpaceDN w:val="0"/>
      <w:adjustRightInd w:val="0"/>
      <w:spacing w:before="120" w:after="120" w:line="240" w:lineRule="auto"/>
      <w:ind w:firstLine="426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4B37"/>
    <w:rPr>
      <w:rFonts w:ascii="Arial" w:eastAsia="Times New Roman" w:hAnsi="Arial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B4B37"/>
    <w:pPr>
      <w:spacing w:before="120" w:after="120" w:line="240" w:lineRule="auto"/>
      <w:ind w:firstLine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B4B37"/>
    <w:rPr>
      <w:rFonts w:ascii="Arial" w:eastAsia="Times New Roman" w:hAnsi="Arial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B4B37"/>
    <w:pPr>
      <w:spacing w:before="120" w:after="120" w:line="24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6B4B37"/>
    <w:rPr>
      <w:rFonts w:ascii="Arial" w:eastAsia="Times New Roman" w:hAnsi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4B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4B37"/>
    <w:rPr>
      <w:rFonts w:ascii="Times New Roman" w:eastAsia="Times New Roman" w:hAnsi="Times New Roman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B4B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B4B37"/>
    <w:rPr>
      <w:rFonts w:ascii="Times New Roman" w:eastAsia="Times New Roman" w:hAnsi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B4B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B4B37"/>
    <w:rPr>
      <w:rFonts w:ascii="Times New Roman" w:eastAsia="Times New Roman" w:hAnsi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ZU\&#250;&#269;et\DOKUMENT\PUBLIKACE%20A%20V&#221;KAZY\SZ&#218;%202024%2009\Upraven&#233;%20dle%20nov&#233;ho%20vzoru\27013224t_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443</Form_c>
    <NazevForm xmlns="8675fb2b-b414-4bad-b4c4-d9349268b5a1">Publikace CZ barevná - hospodářská odvětví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406a38fe-c53c-4047-b0f8-c641386931ae"/>
    <ds:schemaRef ds:uri="8675fb2b-b414-4bad-b4c4-d9349268b5a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139D5E-AFB6-4B68-A8C2-3C8FF5C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82428-94C9-42C2-8EBE-69B0DC8B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27013224t_šablona.dotx</Template>
  <TotalTime>43</TotalTime>
  <Pages>3</Pages>
  <Words>1277</Words>
  <Characters>7535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8795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Romana</dc:creator>
  <cp:keywords/>
  <dc:description/>
  <cp:lastModifiedBy>Málková Helena</cp:lastModifiedBy>
  <cp:revision>7</cp:revision>
  <cp:lastPrinted>2014-07-17T14:07:00Z</cp:lastPrinted>
  <dcterms:created xsi:type="dcterms:W3CDTF">2024-09-19T07:54:00Z</dcterms:created>
  <dcterms:modified xsi:type="dcterms:W3CDTF">2024-09-23T14:27:00Z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