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D9" w:rsidRDefault="00592201">
      <w:pPr>
        <w:jc w:val="center"/>
        <w:rPr>
          <w:rFonts w:ascii="Arial" w:hAnsi="Arial" w:cs="Arial"/>
          <w:b/>
          <w:bCs/>
          <w:caps/>
          <w:sz w:val="28"/>
          <w:lang w:val="cs-CZ"/>
        </w:rPr>
      </w:pPr>
      <w:r>
        <w:rPr>
          <w:rFonts w:ascii="Arial" w:hAnsi="Arial" w:cs="Arial"/>
          <w:b/>
          <w:bCs/>
          <w:caps/>
          <w:sz w:val="28"/>
          <w:lang w:val="cs-CZ"/>
        </w:rPr>
        <w:t>Metodické  vysvětlivky</w:t>
      </w:r>
    </w:p>
    <w:p w:rsidR="00DA40D9" w:rsidRDefault="00DA40D9">
      <w:pPr>
        <w:pStyle w:val="Mez"/>
      </w:pPr>
    </w:p>
    <w:p w:rsidR="00DA40D9" w:rsidRDefault="00DA40D9">
      <w:pPr>
        <w:pStyle w:val="Mez"/>
      </w:pPr>
    </w:p>
    <w:p w:rsidR="00DA40D9" w:rsidRDefault="00592201">
      <w:pPr>
        <w:pStyle w:val="Text"/>
      </w:pPr>
      <w:r>
        <w:t>Statistika rodinných účtů (SRÚ) sleduje hospodaření soukromých domácností – poskytuje informace o výši jejich vydání a struktuře spotřeby. Informace o odlišnostech spotřeby v domácnostech tříděných podle rozličných hledisek nebo o vlivu různých faktorů (např. pohyb cen, situace na trhu) na strukturu vydání a spotřební zvyklosti domácností nelze získat z jiných zdrojů.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Spektrum využití výsledků SRÚ je velice široké, slouží především jako podklad pro kvalifikované rozhodování při realizaci sociální politiky státu, pro sociální a ekonomický výzkum, pro interní využití v Českém statistickém úřadě (</w:t>
      </w:r>
      <w:r>
        <w:rPr>
          <w:rFonts w:hint="eastAsia"/>
        </w:rPr>
        <w:t xml:space="preserve">vytvoření spotřebního koše </w:t>
      </w:r>
      <w:r>
        <w:t xml:space="preserve">při periodických revizích </w:t>
      </w:r>
      <w:r>
        <w:rPr>
          <w:rFonts w:hint="eastAsia"/>
        </w:rPr>
        <w:t>indexu spotřebitelských cen</w:t>
      </w:r>
      <w:r>
        <w:t>, pomocný zdroj k sestavení účtu za sektor domácností ve statistice národních účtů) a také pro mezinárodní srovnání.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Složení zpravodajského souboru SRÚ se operativně mění tak, aby aktuálně postihovalo posun základních atributů domácností (jejich složení, ekonomickou aktivitu, úroveň příjmů apod.). SRÚ je v podstatě jediným zdrojem informací o vydáních domácností ve vazbě na jejich příjmy. Čistý peněžní příjem je jedním z výběrových znaků, jeho vývoj je vlastně dopředu stanoven. Z výsledků SRÚ lze vyhodnocovat změny ve výši a struktuře příjmů v rámci zpravodajského souboru a ve vztahu k výdajům domácností. Není však korektní vyvozovat odtud závěry o vývoji příjmů domácností v celé republice. Z těchto důvodů by údaje o příjmech, které SRÚ poskytuje, měly být chápány pouze jako doplňková informace a neměly být využívány pro hlubší analýzy.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Ve snaze zlepšit reprezentativnost výsledků ověřoval ČSÚ v letech 1997-2003 možnost zavést v SRÚ metodu náhodného výběru. Po důkladné analýze výsledků pilotáží a zkušebního šetření, po diskusi s odborníky na výběrová šetření i s nejvýznamnějšími uživateli dat bylo rozhodnuto zatím zachovat v SRÚ kvótní výběr domácností s tím, že bude zdokonalena metoda výběru a snížena zátěž respondentů, což přinese i finanční úsporu.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 xml:space="preserve">Od roku 2006 vzorek zahrnuje již všechny typy domácností, např. i dosud nesledované domácnosti nezaměstnaných, domácnosti důchodců s ekonomicky aktivními členy nebo domácnosti, v nichž není žádná ekonomicky aktivní osoba. Výběrové znaky byly doplněny o velikostní skupinu obce, případně druh domu – v souboru se tak zvýšilo zastoupení domácností bydlících v malých obcích a v rodinných domcích podle jejich skutečného podílu v populaci. Každá domácnost podrobně zapisuje vydání za potraviny a nealkoholické nápoje pouze </w:t>
      </w:r>
      <w:r w:rsidR="00F465F3">
        <w:t>dva</w:t>
      </w:r>
      <w:r>
        <w:t xml:space="preserve"> měsíce v roce, v ostatních měsících sděluje jen celkovou sumu těchto vydání. Podrobné údaje za tyto komodity jsou proto od roku 2006 publikovány pouze v ročních výsledcích.</w:t>
      </w:r>
    </w:p>
    <w:p w:rsidR="00DA40D9" w:rsidRDefault="00DA40D9">
      <w:pPr>
        <w:pStyle w:val="Mez"/>
      </w:pPr>
    </w:p>
    <w:p w:rsidR="00DA40D9" w:rsidRDefault="00DA40D9">
      <w:pPr>
        <w:pStyle w:val="Mez"/>
      </w:pPr>
    </w:p>
    <w:p w:rsidR="00DA40D9" w:rsidRDefault="00592201">
      <w:pPr>
        <w:pStyle w:val="N2"/>
      </w:pPr>
      <w:r>
        <w:t>1.  POPIS  VÝBĚRU  A  ZJIŠŤOVÁNÍ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Zpravodajské domácnosti SRÚ jsou vybírány záměrným kvótním výběrem. Jednotkou výběru a zpravodajskou jednotkou šetření je hospodařící domácnost, tzn. soubor osob společně bydlících, které se společně podílejí na úhradě základních výdajů (na výživu, provoz domácnosti, údržbu bytu apod.).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ČSÚ centrálně rozděluje domácnosti podle jednotlivých výběrových znaků do celé republiky a rovněž rozvrhuje i měsíce podrobného vedení zápisů o vydáních za potraviny a nealkoholické nápoje tak, aby byly (v rozdělení podle skupin domácností, počtu dětí a příjmových pásem) rovnoměrně rozloženy do celého roku.</w:t>
      </w:r>
    </w:p>
    <w:p w:rsidR="00DA40D9" w:rsidRDefault="00DA40D9">
      <w:pPr>
        <w:pStyle w:val="Meze"/>
      </w:pPr>
    </w:p>
    <w:p w:rsidR="00DA40D9" w:rsidRDefault="00592201">
      <w:pPr>
        <w:pStyle w:val="Text"/>
        <w:rPr>
          <w:color w:val="000000"/>
        </w:rPr>
      </w:pPr>
      <w:r>
        <w:t xml:space="preserve">Zpravodajský soubor 3000 domácností byl vybrán tak, aby jeho složení podle zvolených výběrových znaků odpovídalo struktuře domácností v ČR. </w:t>
      </w:r>
      <w:r>
        <w:rPr>
          <w:color w:val="000000"/>
        </w:rPr>
        <w:t xml:space="preserve">Oporou pro stanovení kvót byly výsledky šetření </w:t>
      </w:r>
      <w:r>
        <w:t>Životní podmínky (realizované jako národní modul šetření EU-SILC).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Základním výběrovým znakem je skupina domácnosti, odvozená od ekonomické aktivity a postavení v zaměstnání osoby v čele domácnosti. Osobou v čele je v úplných rodinách vždy muž, v neúplných rodinách většinou rodič (je-li ekonomicky aktivní, v opačném případě může být osobou v čele ekonomicky aktivní dítě). V nerodinných domácnostech se za osobu v čele domácnosti považuje osoba s nejvyšším příjmem.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Domácnosti s ekonomicky aktivní osobou v čele se třídí podle jejího postavení v zaměstnání, u domácností zaměstnanců i podle jejího vzdělání. Domácnosti s ekonomicky neaktivní osobou v čele se v dalším stupni člení v závislosti na tom, zda je některý z dalších členů domácnosti ekonomicky aktivní, příp. zda v čele domácnosti je důchodce. Podrobnější popis hlavních skupin domácností je uveden v kapitole 3 (Obsah dokumentu).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lastRenderedPageBreak/>
        <w:t>Pro tři nejvýznamnější skupiny domácností se používají ještě další výběrová kritéria, a to:</w:t>
      </w:r>
    </w:p>
    <w:p w:rsidR="00DA40D9" w:rsidRDefault="00592201">
      <w:pPr>
        <w:pStyle w:val="Text"/>
        <w:numPr>
          <w:ilvl w:val="0"/>
          <w:numId w:val="5"/>
        </w:numPr>
        <w:tabs>
          <w:tab w:val="clear" w:pos="1494"/>
          <w:tab w:val="num" w:pos="1134"/>
        </w:tabs>
        <w:ind w:left="1276" w:hanging="567"/>
      </w:pPr>
      <w:r>
        <w:t xml:space="preserve">čistý peněžní příjem na </w:t>
      </w:r>
      <w:r w:rsidR="00BE1727">
        <w:t>jednoho</w:t>
      </w:r>
      <w:r>
        <w:t xml:space="preserve"> člena domácnosti a počet vyživovaných dětí pro domácnosti zaměstnanců a domácnosti osob samostatně výdělečně činných;</w:t>
      </w:r>
    </w:p>
    <w:p w:rsidR="00DA40D9" w:rsidRDefault="00592201">
      <w:pPr>
        <w:pStyle w:val="Text"/>
        <w:numPr>
          <w:ilvl w:val="0"/>
          <w:numId w:val="5"/>
        </w:numPr>
        <w:tabs>
          <w:tab w:val="clear" w:pos="1494"/>
          <w:tab w:val="num" w:pos="1134"/>
        </w:tabs>
        <w:ind w:left="1276" w:hanging="567"/>
      </w:pPr>
      <w:r>
        <w:t xml:space="preserve">důchod na </w:t>
      </w:r>
      <w:r w:rsidR="00BE1727">
        <w:t>jednoho</w:t>
      </w:r>
      <w:r>
        <w:t>člena domácnosti a počet členů (u jednočlenných domácností také pohlaví osoby) pro domácnosti důchodců bez ekonomicky aktivních členů.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Výběrový znak velikost obce a druh domu se týká všech skupin domácností. Samostatné kvóty podle velikosti obce a druhu domu jsou předepsány pro výše uvedené nejvýznamnější skupiny domácností, zatímco zbývající skupiny se pro tento výběrový znak slučují do jedné kategorie.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Od roku 2011 již není součástí výběru tzv. doplňkový soubor, z toho důvodu se již samostatně nepublikují výsledky za rodiny s dětmi a s minimálními příjmy.</w:t>
      </w:r>
    </w:p>
    <w:p w:rsidR="00DA40D9" w:rsidRDefault="00DA40D9">
      <w:pPr>
        <w:pStyle w:val="Mez"/>
      </w:pPr>
    </w:p>
    <w:p w:rsidR="00DA40D9" w:rsidRDefault="00DA40D9">
      <w:pPr>
        <w:pStyle w:val="Mez"/>
      </w:pPr>
    </w:p>
    <w:p w:rsidR="00DA40D9" w:rsidRDefault="00592201">
      <w:pPr>
        <w:pStyle w:val="N2"/>
      </w:pPr>
      <w:r>
        <w:t>2.  KLASIFIKACE  POLOŽEK</w:t>
      </w:r>
    </w:p>
    <w:p w:rsidR="00DA40D9" w:rsidRDefault="00DA40D9">
      <w:pPr>
        <w:pStyle w:val="Meze"/>
      </w:pPr>
    </w:p>
    <w:p w:rsidR="00DA40D9" w:rsidRDefault="00592201">
      <w:pPr>
        <w:pStyle w:val="N3"/>
      </w:pPr>
      <w:r>
        <w:t>2.1  Příjmy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Do hrubých peněžních příjmů se nezapočítávají vybrané úspory ani přijaté půjčky a úvěry. Tyto položky, které mají protějšek na straně vydání, jsou prezentovány ve formě salda pod označením „bilanční položky“.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Čisté peněžní příjmy se získají z hrubých příjmů odečtením částek za zdravotní a sociální pojištění a daň z příjmů.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V příjmech ze soukromého podnikání jsou v SRÚ zjišťovány pouze částky, které byly z výnosu podnikání převedeny pro potřebu domácnosti a jejích jednotlivých členů. Jedná se tedy o</w:t>
      </w:r>
      <w:r>
        <w:rPr>
          <w:szCs w:val="17"/>
        </w:rPr>
        <w:t> </w:t>
      </w:r>
      <w:r>
        <w:t>čistý příjem, do výdajů se v</w:t>
      </w:r>
      <w:r>
        <w:rPr>
          <w:szCs w:val="17"/>
        </w:rPr>
        <w:t> </w:t>
      </w:r>
      <w:r>
        <w:t>těchto případech neuvádí daň z příjmů ani odvody na zdravotní a sociální pojištění.</w:t>
      </w:r>
    </w:p>
    <w:p w:rsidR="00DA40D9" w:rsidRDefault="00DA40D9">
      <w:pPr>
        <w:pStyle w:val="Mez"/>
      </w:pPr>
    </w:p>
    <w:p w:rsidR="00DA40D9" w:rsidRDefault="00592201">
      <w:pPr>
        <w:pStyle w:val="N3"/>
      </w:pPr>
      <w:r>
        <w:t>2.2.  Vydání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Hrubá peněžní vydání nezahrnují vklady, splacené bezhotovostní půjčky, splacené úvěry a půjčky. Čistá peněžní vydání se od hrubých liší o</w:t>
      </w:r>
      <w:r>
        <w:rPr>
          <w:szCs w:val="17"/>
        </w:rPr>
        <w:t> </w:t>
      </w:r>
      <w:r>
        <w:t>částky zdravotního a sociálního pojištění a daně z</w:t>
      </w:r>
      <w:r>
        <w:rPr>
          <w:szCs w:val="17"/>
        </w:rPr>
        <w:t> </w:t>
      </w:r>
      <w:r>
        <w:t>příjmů. Člení se na tzv. spotřební vydání a vydání neklasifikovaná jako spotřební.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Pro třídění spotřebních vydání se v SRÚ od roku 1999 používá klasifikace CZ-COICOP „Klasifikace individuální spotřeby podle účelu“. Klasifikace je třístupňová, má 14 oddílů, 58 skupin a 157 tříd. Byla vytvořena v rámci transformace klasifikační soustavy jako česká verze mezinárodního standardu COICOP (Classification of Individual Consumption by Purpose) pro zajištění mezinárodní srovnatelnosti statistických ukazatelů a je závazná pro všechna statistická zjišťování prováděná podle zákona č. 89/1995 Sb., o</w:t>
      </w:r>
      <w:r>
        <w:rPr>
          <w:szCs w:val="17"/>
        </w:rPr>
        <w:t> </w:t>
      </w:r>
      <w:r>
        <w:t xml:space="preserve">státní statistické službě, ve znění pozdějších předpisů. Předmětem klasifikace je zatřídění všech druhů individuální spotřeby (vydání za zboží a služby) podle účelu použití. Pro sledování výdajů domácností je určeno prvních </w:t>
      </w:r>
      <w:r w:rsidR="00F465F3">
        <w:t>dvanácti</w:t>
      </w:r>
      <w:r>
        <w:t xml:space="preserve"> oddílů klasifikace. SRÚ přizpůsobila zčásti členění výdajů mezinárodnímu standardu specializovanému pro SRÚ, takže každá třída CZ-COICOP má přiřazenu jednu nebo více položek SRÚ. Výdaje, které nejsou v CZ-COICOP zařazeny, jako investiční výdaje na výstavbu resp. rekonstrukci domu nebo bytu a výdaje spojené s péčí o užitkovou zahradu a užitková zvířata apod., byly vyčleněny do zvláštního oddílu „Vydání neklasifikovaná jako spotřební“.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Čtvrtletní výsledky jsou většinou prezentovány na dvoustupňové úrovni položek CZ-COICOP, u vydání za potraviny a nealkoholické nápoje je s ohledem na zjednodušenou metodu zjišťování uvedena pouze celková částka. Chybějící skupiny 02.3 Narkotika, 04.2 Imputované nájemné a 12.2 Prostituce nejsou zatím v SRÚ zavedeny.</w:t>
      </w:r>
    </w:p>
    <w:p w:rsidR="00DA40D9" w:rsidRDefault="00DA40D9">
      <w:pPr>
        <w:pStyle w:val="Mez"/>
      </w:pPr>
    </w:p>
    <w:p w:rsidR="00DA40D9" w:rsidRDefault="00DA40D9">
      <w:pPr>
        <w:pStyle w:val="Mez"/>
      </w:pPr>
    </w:p>
    <w:p w:rsidR="00DA40D9" w:rsidRDefault="00592201">
      <w:pPr>
        <w:pStyle w:val="N2"/>
      </w:pPr>
      <w:r>
        <w:t>3.  OBSAH  DOKUMENTU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 xml:space="preserve">Údaje v tabulkách jsou prezentovány jako měsíční průměry na jednoho člena domácnosti, pouze podrobné náklady na bydlení v tabulce 2b jsou uváděny jako měsíční průměry na domácnost. Všechny souhrnné i podrobné položky jsou počítány nezávisle na sobě přímo z prvotních dat. Relativní údaje a indexy jsou počítány z nezaokrouhlených průměrů. Finanční údaje jsou zaokrouhlené na celé Kč, struktura je uváděna v % na </w:t>
      </w:r>
      <w:r w:rsidR="000E19F7">
        <w:t xml:space="preserve">jedno </w:t>
      </w:r>
      <w:r>
        <w:t>desetinné místo. V důsledku zaokrouhlování proto nejsou souhrnné položky Kč vždy přesně součtem podpoložek a ani součet procent nemusí být vždy roven 100 (celku).</w:t>
      </w:r>
    </w:p>
    <w:p w:rsidR="00DA40D9" w:rsidRDefault="00DA40D9">
      <w:pPr>
        <w:pStyle w:val="Meze"/>
      </w:pPr>
    </w:p>
    <w:p w:rsidR="00DA40D9" w:rsidRDefault="00DA40D9">
      <w:pPr>
        <w:pStyle w:val="Text"/>
        <w:widowControl w:val="0"/>
        <w:autoSpaceDE w:val="0"/>
        <w:autoSpaceDN w:val="0"/>
        <w:adjustRightInd w:val="0"/>
        <w:rPr>
          <w:szCs w:val="24"/>
        </w:rPr>
      </w:pPr>
    </w:p>
    <w:p w:rsidR="00DA40D9" w:rsidRDefault="00592201">
      <w:pPr>
        <w:pStyle w:val="Text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Zredukováním zápisů vydání za potraviny a nealkoholické nápoje se zkomplikovalo zpracování čtvrtletních výsledků, neboť kompletní podrobné zápisy o</w:t>
      </w:r>
      <w:r>
        <w:t> </w:t>
      </w:r>
      <w:r>
        <w:rPr>
          <w:szCs w:val="24"/>
        </w:rPr>
        <w:t>svých vydáních vede v každém čtvrtletí jen polovina zpravodajských domácností, a to pouze jeden měsíc. Analýza prvotních dat ukázala, že zápisy potravin a nealkoholických nápojů v ostatních měsících, kdy je domácnosti zapisují souhrnně, byly méně přesné a odhad celkové sumy vydání za potraviny a nealkoholické nápoje byl nadhodnocený. Na základě údajů za měsíce s podrobnými zápisy a na základě výsledků z předchozích let byla proto provedena u vydání za potraviny a nealkoholické nápoje korekce.</w:t>
      </w:r>
    </w:p>
    <w:p w:rsidR="00DA40D9" w:rsidRDefault="00DA40D9">
      <w:pPr>
        <w:pStyle w:val="Mez"/>
      </w:pPr>
    </w:p>
    <w:p w:rsidR="00DA40D9" w:rsidRDefault="00592201">
      <w:pPr>
        <w:pStyle w:val="N3"/>
      </w:pPr>
      <w:r>
        <w:t>Tab. 1 – typy domácností</w:t>
      </w:r>
    </w:p>
    <w:p w:rsidR="00DA40D9" w:rsidRDefault="00DA40D9">
      <w:pPr>
        <w:pStyle w:val="Meze"/>
      </w:pPr>
    </w:p>
    <w:p w:rsidR="00DA40D9" w:rsidRDefault="00592201">
      <w:pPr>
        <w:pStyle w:val="Text"/>
        <w:rPr>
          <w:b/>
          <w:bCs/>
        </w:rPr>
      </w:pPr>
      <w:r>
        <w:t>Tabulka obsahuje výsledky tříděné podle postavení osoby v čele, výsledky za domácnosti zaměstnanců jsou ještě tříděny na domácnosti bez dětí a s dětmi.</w:t>
      </w:r>
    </w:p>
    <w:p w:rsidR="00DA40D9" w:rsidRDefault="00DA40D9">
      <w:pPr>
        <w:pStyle w:val="Meze"/>
      </w:pPr>
    </w:p>
    <w:p w:rsidR="00DA40D9" w:rsidRDefault="00592201">
      <w:pPr>
        <w:pStyle w:val="Text"/>
        <w:rPr>
          <w:color w:val="000000"/>
        </w:rPr>
      </w:pPr>
      <w:r>
        <w:rPr>
          <w:b/>
          <w:color w:val="000000"/>
        </w:rPr>
        <w:t xml:space="preserve">Domácnosti celkem </w:t>
      </w:r>
      <w:r>
        <w:rPr>
          <w:color w:val="000000"/>
        </w:rPr>
        <w:t xml:space="preserve">– ve zpravodajském souboru jsou zahrnuty všechny typy domácností zastoupené v populaci. </w:t>
      </w:r>
      <w:r>
        <w:t>Váha jednotlivých skupin domácností odpovídá jejich podílu zjištěnému v šetření Životní podmínky. Počet domácností důchodců bez ekonomicky aktivních členů byl pro zjišťování zredukován, při zpracování se tato disproporce eliminuje převážením.</w:t>
      </w:r>
      <w:r>
        <w:rPr>
          <w:szCs w:val="22"/>
        </w:rPr>
        <w:t xml:space="preserve"> Průměrná zpravodajská domácnost bývá cca o</w:t>
      </w:r>
      <w:r>
        <w:t> </w:t>
      </w:r>
      <w:r>
        <w:rPr>
          <w:szCs w:val="22"/>
        </w:rPr>
        <w:t>10</w:t>
      </w:r>
      <w:r>
        <w:t> </w:t>
      </w:r>
      <w:r>
        <w:rPr>
          <w:szCs w:val="22"/>
        </w:rPr>
        <w:t>% menší než průměrná hospodařící domácnost v ČR podle šetření Životní podmínky, protože z důvodů náročnosti vedení zápisů jsou ve zpravodajském souboru SRÚ méně zastoupeny vícečlenné resp. vícegenerační domácnosti.</w:t>
      </w:r>
    </w:p>
    <w:p w:rsidR="00DA40D9" w:rsidRDefault="00592201">
      <w:pPr>
        <w:pStyle w:val="Text"/>
      </w:pPr>
      <w:r>
        <w:rPr>
          <w:b/>
        </w:rPr>
        <w:t>Domácnosti zaměstnanců</w:t>
      </w:r>
      <w:r>
        <w:t xml:space="preserve"> jsou domácnosti s osobou v čele v pracovním nebo služebním poměru, která pracuje na základě pracovní smlouvy nebo na základě dohody (o pracovní činnosti, o provedení práce). Zaměstnanci jsou i pracující členové produkčních družstev (včetně zemědělských), společníci s.r.o. a komanditisté komanditních společností, kteří pro společnost vykonávají práci na základě pracovní smlouvy a pobírají za ni odměnu, která je příjmem ze závislé činnosti. Domácnosti zaměstnanců jsou ve výsledcích dále členěny na bezdětné a s dětmi.</w:t>
      </w:r>
    </w:p>
    <w:p w:rsidR="00DA40D9" w:rsidRDefault="00592201">
      <w:pPr>
        <w:pStyle w:val="Text"/>
      </w:pPr>
      <w:r>
        <w:rPr>
          <w:b/>
          <w:bCs/>
        </w:rPr>
        <w:t>Domácnosti samostatně činných osob</w:t>
      </w:r>
      <w:r>
        <w:t xml:space="preserve"> jsou domácnosti s osobou v čele vykonávající samostatnou výdělečnou činnost, což jsou osoby podnikající na základě živnostenského oprávnění nebo na základě zvláštních předpisů, účastníci společného podnikání na základě smlouvy (společnosti s ručením omezeným, obchodní společnosti), pokud nevykonávají pro společnost práci na základě pracovní smlouvy, dále osoby vykonávající nezávislé povolání (lékaři, advokáti, daňoví poradci) a osoby pracující za honoráře (umělci, tlumočníci).</w:t>
      </w:r>
    </w:p>
    <w:p w:rsidR="00DA40D9" w:rsidRDefault="00592201">
      <w:pPr>
        <w:pStyle w:val="Text"/>
        <w:rPr>
          <w:b/>
        </w:rPr>
      </w:pPr>
      <w:r>
        <w:rPr>
          <w:b/>
        </w:rPr>
        <w:t xml:space="preserve">Domácnosti nezaměstnaných </w:t>
      </w:r>
      <w:r>
        <w:t>jsou domácnosti v čele s osobou, která nemá žádnou placenou práci, ale pracovat by chtěla, tzn. že si buď aktivně hledá zaměstnání nebo má v plánu podnikat, případně hodlá zaměstnání hledat; není rozhodující, zda pobírá hmotné zabezpečení uchazečů o zaměstnání či nikoliv.</w:t>
      </w:r>
    </w:p>
    <w:p w:rsidR="00DA40D9" w:rsidRDefault="00592201">
      <w:pPr>
        <w:pStyle w:val="Text"/>
      </w:pPr>
      <w:r>
        <w:rPr>
          <w:b/>
        </w:rPr>
        <w:t xml:space="preserve">Domácnosti důchodců bez ekonomicky aktivních členů </w:t>
      </w:r>
      <w:r>
        <w:rPr>
          <w:bCs/>
        </w:rPr>
        <w:t>– osoba v čele pobírá</w:t>
      </w:r>
      <w:r>
        <w:rPr>
          <w:b/>
        </w:rPr>
        <w:t xml:space="preserve"> </w:t>
      </w:r>
      <w:r>
        <w:t>jakýkoliv druh důchodu kromě sirotčího a nepracuje buď vůbec, nebo má její pracovní činnost pouze omezený rozsah (tzn.  příjmy z pracovní činnosti nepřesáhnou za rok 48 000 Kč); podmínka omezené ekonomické aktivity platí i pro ostatní členy domácnosti.</w:t>
      </w:r>
    </w:p>
    <w:p w:rsidR="00DA40D9" w:rsidRDefault="00DA40D9">
      <w:pPr>
        <w:pStyle w:val="Meze"/>
      </w:pP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>Část 1a</w:t>
      </w:r>
      <w:r>
        <w:t xml:space="preserve"> obsahuje údaje o</w:t>
      </w:r>
      <w:r>
        <w:rPr>
          <w:szCs w:val="17"/>
        </w:rPr>
        <w:t> </w:t>
      </w:r>
      <w:r>
        <w:t>počtu a složení zpravodajských domácností. Počet domácností vážený vyjadřuje počet domácností podle jejich skutečného podílu na populaci a udává zastoupení jednotlivých typů domácností ve výsledcích za domácnosti celkem. Počet domácností ve výběru znamená průměrný počet respondentů ve výběrovém souboru redukovaný s ohledem na počet měsíců zpravodajské činnosti za dané období.</w:t>
      </w:r>
    </w:p>
    <w:p w:rsidR="00DA40D9" w:rsidRDefault="00592201">
      <w:pPr>
        <w:pStyle w:val="Text"/>
      </w:pPr>
      <w:r>
        <w:t>Od roku 2013 došlo v šetření SRÚ v rámci harmonizace se šetřením Životní podmínky k drobné změně ve způsobu posuzování dětí. Nyní se již ve výběru ani ve výsledcích neuvažuje se zákonem definovaným nezaopatřeným dítětem, nově se hledí na fakt, zda se jedná o tzv. vyživované dítě. Mezi oběma pojmy není významný rozdíl, odlišnosti při posuzování členů domácnosti mohou nastat především u pracujících studentů (do 26 let), kteří od roku 2013 po překročení roční přípustné hranice příjmu 48 000 Kč nejsou v SRÚ (narozdíl od zákona) pokládány za děti, ale za ekonomicky aktivní osoby.</w:t>
      </w:r>
    </w:p>
    <w:p w:rsidR="00DA40D9" w:rsidRDefault="00592201">
      <w:pPr>
        <w:pStyle w:val="Text"/>
      </w:pPr>
      <w:r>
        <w:t>Počet spotřebních jednotek vyjadřuje složení domácností přepočtené podle vah spotřeby jednotlivých členů domácnosti. Spotřební jednotky podle stupnice OECD mají váhy definovány takto: první dospělý v domácnosti = 1.0, každý další dospělý (osoba starší 13 let) = 0.7, každé dítě (13-leté nebo mladší) = 0.5. Spotřební jednotky podle modifikované stupnice OECD jsou definovány takto: první dospělý v domácnosti = 1.0, každý další dospělý (osoba starší 13 let) = 0.5, každé dítě (13-leté nebo mladší) = 0.3.</w:t>
      </w:r>
    </w:p>
    <w:p w:rsidR="00DA40D9" w:rsidRDefault="00592201">
      <w:pPr>
        <w:pStyle w:val="Text"/>
      </w:pPr>
      <w:r>
        <w:t>Tabulka dále zahrnuje základní údaje o</w:t>
      </w:r>
      <w:r>
        <w:rPr>
          <w:szCs w:val="17"/>
        </w:rPr>
        <w:t> </w:t>
      </w:r>
      <w:r>
        <w:t>příjmech a vydáních, členění čistých peněžních vydání podle druhu (potraviny, průmyslové zboží, služby, platby), naturální příjmy a vydání.</w:t>
      </w:r>
    </w:p>
    <w:p w:rsidR="00DA40D9" w:rsidRDefault="00592201">
      <w:pPr>
        <w:pStyle w:val="Text"/>
      </w:pPr>
      <w:r>
        <w:lastRenderedPageBreak/>
        <w:t>Salda v bilančních položkách se získají rozdílem částek za úspory vybrané v daném období snížené o vklady uložené v daném období, resp. rozdílem částek za půjčky přijaté v daném období snížené o splátky úvěrů v daném období.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>Část 1b</w:t>
      </w:r>
      <w:r>
        <w:t xml:space="preserve"> obsahuje podrobná čistá peněžní vydání rozdělená na vydání spotřební (A) a vydání neklasifikovaná jako spotřební (B). Spotřební vydání jsou uspořádána do </w:t>
      </w:r>
      <w:r w:rsidR="00F465F3">
        <w:t xml:space="preserve">dvanácti </w:t>
      </w:r>
      <w:r>
        <w:t>základních oddílů a dále do skupin podle klasifikace CZ-COICOP (s přihlédnutím k mezinárodnímu standardu specializovanému pro SRÚ). Do vydání neklasifikovaných jako spotřební nejsou zahrnuty částky za zdravotní a sociální pojištění a daň z příjmů. Obsahová náplň oddílů či skupin vydání je popsána v připojeném přehledu (Náplň publikovaných skupin vydání).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 xml:space="preserve">Část 1c </w:t>
      </w:r>
      <w:r>
        <w:t xml:space="preserve">obsahuje základní třídění spotřebních vydání do </w:t>
      </w:r>
      <w:r w:rsidR="00F465F3">
        <w:t>dvanácti</w:t>
      </w:r>
      <w:r>
        <w:t xml:space="preserve"> oddílů podle klasifikace CZ-COICOP v Kč na osobu a měsíc, strukturu v</w:t>
      </w:r>
      <w:r>
        <w:rPr>
          <w:szCs w:val="17"/>
        </w:rPr>
        <w:t> </w:t>
      </w:r>
      <w:r>
        <w:t>% a porovnání se stejným obdobím minulého roku (nominální a reálný index). Při analýze indexů je třeba přihlížet i k absolutní hodnotě indexovaných údajů, zvláště jsou-li indexy extrémně vysoké nebo nízké.</w:t>
      </w:r>
    </w:p>
    <w:p w:rsidR="00DA40D9" w:rsidRDefault="00592201">
      <w:pPr>
        <w:pStyle w:val="Text"/>
        <w:rPr>
          <w:rFonts w:cs="Arial Unicode MS"/>
          <w:szCs w:val="22"/>
        </w:rPr>
      </w:pPr>
      <w:r>
        <w:rPr>
          <w:rFonts w:cs="Arial Unicode MS"/>
          <w:szCs w:val="22"/>
        </w:rPr>
        <w:t>Reálný index byl vypočten jako podíl indexu nominálních příjmů a úhrnného indexu spotřebitelských cen. Pro typy domácností, za něž se samostatné indexy nepočítají (domácnosti zaměstnanců, samostatně činných a nezaměstnaných), byl použit index spotřebitelských cen pro domácnosti celkem.</w:t>
      </w:r>
    </w:p>
    <w:p w:rsidR="00DA40D9" w:rsidRDefault="00DA40D9">
      <w:pPr>
        <w:pStyle w:val="Mez"/>
      </w:pPr>
    </w:p>
    <w:p w:rsidR="00DA40D9" w:rsidRDefault="00592201">
      <w:pPr>
        <w:pStyle w:val="N3"/>
      </w:pPr>
      <w:r>
        <w:t>Tab. 2 – domácnosti podle velikosti obce a podle právního důvodu užívání bytu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>V tabulce jsou použita dvě třídící hlediska, která umožní posoudit vztahy mezi náklady na bydlení a velikostí obce resp. druhem bytu. Část podle velikosti obce je zpracována za celý soubor domácností, druhá část není vyčerpávající, neboť nezahrnuje domácnosti bydlící ve vlastním bytovém domě, bezplatně u příbuzných nebo ve služebním bytě.</w:t>
      </w:r>
    </w:p>
    <w:p w:rsidR="00DA40D9" w:rsidRDefault="00592201">
      <w:pPr>
        <w:pStyle w:val="Text"/>
      </w:pPr>
      <w:r>
        <w:rPr>
          <w:b/>
          <w:bCs/>
        </w:rPr>
        <w:t>Nájemní byt</w:t>
      </w:r>
      <w:r>
        <w:t xml:space="preserve"> je užíván na základě nájemní smlouvy s vlastníkem domu (bytu) nebo je pronajatý od uživatele bytu.</w:t>
      </w:r>
    </w:p>
    <w:p w:rsidR="00DA40D9" w:rsidRDefault="00592201">
      <w:pPr>
        <w:pStyle w:val="Text"/>
      </w:pPr>
      <w:r>
        <w:rPr>
          <w:b/>
          <w:bCs/>
        </w:rPr>
        <w:t>Družstevní byt</w:t>
      </w:r>
      <w:r>
        <w:t xml:space="preserve"> je užíván na základě členství v bytovém družstvu ustanoveném na základě zákona č. 27/1959 Sb., („klasické“ bytové družstvo) nebo na základě toho, že je členem družstva nájemců bytů.</w:t>
      </w:r>
    </w:p>
    <w:p w:rsidR="00DA40D9" w:rsidRDefault="00592201">
      <w:pPr>
        <w:pStyle w:val="Text"/>
      </w:pPr>
      <w:r>
        <w:rPr>
          <w:b/>
          <w:bCs/>
        </w:rPr>
        <w:t>Byty v osobním vlastnictví</w:t>
      </w:r>
      <w:r>
        <w:t xml:space="preserve"> jsou byty, které jsou užívány na základě vlastnictví bytu a spoluvlastnictví příslušného podílu společných prostor domu podle zákona o vlastnictví bytů.</w:t>
      </w:r>
    </w:p>
    <w:p w:rsidR="00DA40D9" w:rsidRDefault="00DA40D9">
      <w:pPr>
        <w:pStyle w:val="Meze"/>
      </w:pP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 xml:space="preserve">Část 2a </w:t>
      </w:r>
      <w:r>
        <w:t>obsahuje údaje o</w:t>
      </w:r>
      <w:r>
        <w:rPr>
          <w:szCs w:val="17"/>
        </w:rPr>
        <w:t> </w:t>
      </w:r>
      <w:r>
        <w:t xml:space="preserve">počtu a složení zpravodajských domácností, základní údaje o příjmech a vydáních, základní třídění spotřebních vydání do </w:t>
      </w:r>
      <w:r w:rsidR="00F465F3">
        <w:t xml:space="preserve">dvanácti </w:t>
      </w:r>
      <w:r>
        <w:t>oddílů podle klasifikace CZ-COICOP v Kč na osobu a měsíc, strukturu spotřebních vydání v % a srovnání se stejným obdobím minulého roku (nominální index).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rPr>
          <w:b/>
          <w:bCs/>
        </w:rPr>
        <w:t>Část 2b</w:t>
      </w:r>
      <w:r>
        <w:t xml:space="preserve"> obsahuje podrobné členění nákladů na bydlení (oddíl 04 Bydlení, voda, energie, paliva) v Kč na domácnost a měsíc, strukturu těchto vydání a vybrané údaje o bytě.</w:t>
      </w:r>
    </w:p>
    <w:p w:rsidR="00DA40D9" w:rsidRDefault="00DA40D9">
      <w:pPr>
        <w:pStyle w:val="Mez"/>
      </w:pPr>
    </w:p>
    <w:p w:rsidR="00DA40D9" w:rsidRDefault="00592201">
      <w:pPr>
        <w:pStyle w:val="N3"/>
      </w:pPr>
      <w:r>
        <w:t>Tab. 3 – typy domácností (průměry z kumulovaných údajů)</w:t>
      </w:r>
    </w:p>
    <w:p w:rsidR="00DA40D9" w:rsidRDefault="00DA40D9">
      <w:pPr>
        <w:pStyle w:val="Meze"/>
      </w:pPr>
    </w:p>
    <w:p w:rsidR="00DA40D9" w:rsidRDefault="00592201">
      <w:pPr>
        <w:pStyle w:val="Text"/>
      </w:pPr>
      <w:r>
        <w:t xml:space="preserve">Tabulka obsahuje průměry z kumulovaných údajů za všechna čtvrtletí od začátku tohoto roku tříděné stejným způsobem jako v tab. 1. Dokument za 1. čtvrtletí tuto tabulku neobsahuje. </w:t>
      </w:r>
      <w:r>
        <w:rPr>
          <w:b/>
          <w:bCs/>
        </w:rPr>
        <w:t>Části 3a</w:t>
      </w:r>
      <w:r>
        <w:t xml:space="preserve"> a </w:t>
      </w:r>
      <w:r>
        <w:rPr>
          <w:b/>
          <w:bCs/>
        </w:rPr>
        <w:t>3b</w:t>
      </w:r>
      <w:r>
        <w:t xml:space="preserve"> mají obdobný obsah jako výše popsané části 1a a 1c.</w:t>
      </w:r>
    </w:p>
    <w:p w:rsidR="00592201" w:rsidRDefault="00592201">
      <w:pPr>
        <w:pStyle w:val="Meze"/>
      </w:pPr>
    </w:p>
    <w:sectPr w:rsidR="00592201" w:rsidSect="00DA40D9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8" w:h="16833"/>
      <w:pgMar w:top="1701" w:right="1418" w:bottom="1418" w:left="1418" w:header="1701" w:footer="1134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CE" w:rsidRDefault="004002CE">
      <w:r>
        <w:separator/>
      </w:r>
    </w:p>
  </w:endnote>
  <w:endnote w:type="continuationSeparator" w:id="0">
    <w:p w:rsidR="004002CE" w:rsidRDefault="0040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D9" w:rsidRDefault="00602D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922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40D9" w:rsidRDefault="00DA40D9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D9" w:rsidRDefault="00DA40D9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CE" w:rsidRDefault="004002CE">
      <w:r>
        <w:separator/>
      </w:r>
    </w:p>
  </w:footnote>
  <w:footnote w:type="continuationSeparator" w:id="0">
    <w:p w:rsidR="004002CE" w:rsidRDefault="00400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D9" w:rsidRDefault="00DA40D9">
    <w:pPr>
      <w:spacing w:line="24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221C"/>
    <w:multiLevelType w:val="hybridMultilevel"/>
    <w:tmpl w:val="9C4CAE6C"/>
    <w:lvl w:ilvl="0" w:tplc="1E3AE63E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0668A"/>
    <w:multiLevelType w:val="hybridMultilevel"/>
    <w:tmpl w:val="74EADA04"/>
    <w:lvl w:ilvl="0" w:tplc="3A62393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62268"/>
    <w:multiLevelType w:val="hybridMultilevel"/>
    <w:tmpl w:val="5BFE8CB6"/>
    <w:lvl w:ilvl="0" w:tplc="3A62393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315D4B"/>
    <w:multiLevelType w:val="hybridMultilevel"/>
    <w:tmpl w:val="5BFE8CB6"/>
    <w:lvl w:ilvl="0" w:tplc="BAD85EEC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B36C5B"/>
    <w:multiLevelType w:val="hybridMultilevel"/>
    <w:tmpl w:val="528A0A74"/>
    <w:lvl w:ilvl="0" w:tplc="BAD85EEC">
      <w:start w:val="1"/>
      <w:numFmt w:val="bullet"/>
      <w:lvlText w:val="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AE"/>
    <w:rsid w:val="00073DAE"/>
    <w:rsid w:val="000E19F7"/>
    <w:rsid w:val="00177F9B"/>
    <w:rsid w:val="00232F1A"/>
    <w:rsid w:val="004002CE"/>
    <w:rsid w:val="00592201"/>
    <w:rsid w:val="00602DAD"/>
    <w:rsid w:val="0068070A"/>
    <w:rsid w:val="00BE1727"/>
    <w:rsid w:val="00DA40D9"/>
    <w:rsid w:val="00EB68E1"/>
    <w:rsid w:val="00F465F3"/>
    <w:rsid w:val="00FB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D9"/>
    <w:pPr>
      <w:widowControl w:val="0"/>
      <w:autoSpaceDE w:val="0"/>
      <w:autoSpaceDN w:val="0"/>
      <w:adjustRightInd w:val="0"/>
    </w:pPr>
    <w:rPr>
      <w:rFonts w:ascii="Palatino" w:hAnsi="Palatino"/>
      <w:szCs w:val="24"/>
      <w:lang w:val="en-US"/>
    </w:rPr>
  </w:style>
  <w:style w:type="paragraph" w:styleId="Nadpis1">
    <w:name w:val="heading 1"/>
    <w:basedOn w:val="Normln"/>
    <w:next w:val="Normln"/>
    <w:qFormat/>
    <w:rsid w:val="00DA40D9"/>
    <w:pPr>
      <w:keepNext/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jc w:val="both"/>
      <w:outlineLvl w:val="0"/>
    </w:pPr>
    <w:rPr>
      <w:rFonts w:ascii="Arial" w:hAnsi="Arial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DA40D9"/>
  </w:style>
  <w:style w:type="paragraph" w:styleId="Zkladntextodsazen">
    <w:name w:val="Body Text Indent"/>
    <w:basedOn w:val="Normln"/>
    <w:semiHidden/>
    <w:rsid w:val="00DA40D9"/>
    <w:pPr>
      <w:widowControl/>
      <w:tabs>
        <w:tab w:val="left" w:pos="-1099"/>
        <w:tab w:val="left" w:pos="-720"/>
        <w:tab w:val="left" w:pos="0"/>
        <w:tab w:val="left" w:pos="204"/>
        <w:tab w:val="left" w:pos="543"/>
        <w:tab w:val="left" w:pos="1507"/>
        <w:tab w:val="left" w:pos="1790"/>
        <w:tab w:val="left" w:pos="5760"/>
        <w:tab w:val="left" w:pos="6480"/>
        <w:tab w:val="left" w:pos="7346"/>
      </w:tabs>
      <w:spacing w:after="169" w:line="283" w:lineRule="exact"/>
      <w:ind w:firstLine="543"/>
      <w:jc w:val="both"/>
    </w:pPr>
    <w:rPr>
      <w:rFonts w:ascii="Arial Unicode MS" w:hAnsi="Arial Unicode MS" w:cs="Arial Unicode MS"/>
      <w:sz w:val="22"/>
      <w:szCs w:val="22"/>
    </w:rPr>
  </w:style>
  <w:style w:type="paragraph" w:styleId="Zhlav">
    <w:name w:val="header"/>
    <w:basedOn w:val="Normln"/>
    <w:semiHidden/>
    <w:rsid w:val="00DA40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A40D9"/>
  </w:style>
  <w:style w:type="paragraph" w:styleId="Zpat">
    <w:name w:val="footer"/>
    <w:basedOn w:val="Normln"/>
    <w:semiHidden/>
    <w:rsid w:val="00DA40D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A40D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Arial" w:hAnsi="Arial"/>
      <w:b/>
      <w:bCs/>
      <w:sz w:val="26"/>
      <w:szCs w:val="26"/>
      <w:lang w:val="cs-CZ"/>
    </w:rPr>
  </w:style>
  <w:style w:type="paragraph" w:styleId="Zkladntextodsazen2">
    <w:name w:val="Body Text Indent 2"/>
    <w:basedOn w:val="Normln"/>
    <w:semiHidden/>
    <w:rsid w:val="00DA40D9"/>
    <w:pPr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681" w:hanging="114"/>
      <w:jc w:val="both"/>
    </w:pPr>
    <w:rPr>
      <w:rFonts w:ascii="Arial" w:hAnsi="Arial" w:cs="Arial"/>
      <w:sz w:val="18"/>
      <w:szCs w:val="20"/>
      <w:lang w:val="cs-CZ"/>
    </w:rPr>
  </w:style>
  <w:style w:type="paragraph" w:styleId="Zkladntextodsazen3">
    <w:name w:val="Body Text Indent 3"/>
    <w:basedOn w:val="Normln"/>
    <w:semiHidden/>
    <w:rsid w:val="00DA40D9"/>
    <w:pPr>
      <w:tabs>
        <w:tab w:val="left" w:pos="0"/>
        <w:tab w:val="left" w:pos="34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567"/>
      <w:jc w:val="both"/>
    </w:pPr>
    <w:rPr>
      <w:rFonts w:ascii="Arial" w:hAnsi="Arial" w:cs="Arial"/>
      <w:sz w:val="18"/>
      <w:szCs w:val="20"/>
      <w:lang w:val="cs-CZ"/>
    </w:rPr>
  </w:style>
  <w:style w:type="paragraph" w:styleId="Zkladntext">
    <w:name w:val="Body Text"/>
    <w:basedOn w:val="Normln"/>
    <w:semiHidden/>
    <w:rsid w:val="00DA40D9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169"/>
      <w:jc w:val="both"/>
    </w:pPr>
    <w:rPr>
      <w:rFonts w:ascii="Arial" w:hAnsi="Arial"/>
      <w:sz w:val="22"/>
      <w:szCs w:val="20"/>
      <w:lang w:val="cs-CZ"/>
    </w:rPr>
  </w:style>
  <w:style w:type="paragraph" w:customStyle="1" w:styleId="v">
    <w:name w:val="v"/>
    <w:basedOn w:val="Normln"/>
    <w:rsid w:val="00DA40D9"/>
    <w:pPr>
      <w:jc w:val="both"/>
    </w:pPr>
    <w:rPr>
      <w:rFonts w:ascii="Arial" w:hAnsi="Arial" w:cs="Arial"/>
      <w:color w:val="FF6600"/>
      <w:lang w:val="cs-CZ"/>
    </w:rPr>
  </w:style>
  <w:style w:type="paragraph" w:customStyle="1" w:styleId="Meze">
    <w:name w:val="Meze"/>
    <w:rsid w:val="00DA40D9"/>
    <w:pPr>
      <w:widowControl w:val="0"/>
    </w:pPr>
    <w:rPr>
      <w:rFonts w:ascii="Arial" w:hAnsi="Arial" w:cs="Arial Unicode MS"/>
      <w:bCs/>
      <w:sz w:val="8"/>
      <w:szCs w:val="22"/>
    </w:rPr>
  </w:style>
  <w:style w:type="paragraph" w:customStyle="1" w:styleId="Mez">
    <w:name w:val="Mez"/>
    <w:rsid w:val="00DA40D9"/>
    <w:pPr>
      <w:widowControl w:val="0"/>
    </w:pPr>
    <w:rPr>
      <w:rFonts w:ascii="Arial" w:hAnsi="Arial" w:cs="Arial Unicode MS"/>
      <w:szCs w:val="22"/>
    </w:rPr>
  </w:style>
  <w:style w:type="paragraph" w:customStyle="1" w:styleId="N2">
    <w:name w:val="N2"/>
    <w:rsid w:val="00DA40D9"/>
    <w:pPr>
      <w:widowControl w:val="0"/>
      <w:jc w:val="both"/>
    </w:pPr>
    <w:rPr>
      <w:rFonts w:ascii="Arial" w:hAnsi="Arial" w:cs="Arial Unicode MS"/>
      <w:b/>
      <w:bCs/>
      <w:sz w:val="24"/>
      <w:szCs w:val="22"/>
    </w:rPr>
  </w:style>
  <w:style w:type="paragraph" w:customStyle="1" w:styleId="N3">
    <w:name w:val="N3"/>
    <w:rsid w:val="00DA40D9"/>
    <w:pPr>
      <w:widowControl w:val="0"/>
      <w:jc w:val="both"/>
    </w:pPr>
    <w:rPr>
      <w:rFonts w:ascii="Arial" w:hAnsi="Arial" w:cs="Arial"/>
      <w:b/>
      <w:sz w:val="22"/>
    </w:rPr>
  </w:style>
  <w:style w:type="paragraph" w:customStyle="1" w:styleId="Text">
    <w:name w:val="Text"/>
    <w:rsid w:val="00DA40D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2340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c k é  v y s v Ť t l i v k y</vt:lpstr>
    </vt:vector>
  </TitlesOfParts>
  <Company>ČSÚ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c k é  v y s v Ť t l i v k y</dc:title>
  <dc:creator>System Service</dc:creator>
  <cp:lastModifiedBy>Širmer Pavel</cp:lastModifiedBy>
  <cp:revision>3</cp:revision>
  <cp:lastPrinted>2011-06-09T10:48:00Z</cp:lastPrinted>
  <dcterms:created xsi:type="dcterms:W3CDTF">2014-08-28T11:11:00Z</dcterms:created>
  <dcterms:modified xsi:type="dcterms:W3CDTF">2014-12-01T13:10:00Z</dcterms:modified>
</cp:coreProperties>
</file>