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D905" w14:textId="77777777" w:rsidR="001E1AF1" w:rsidRDefault="001E1AF1" w:rsidP="001E1AF1">
      <w:pPr>
        <w:pStyle w:val="Nadpis11"/>
        <w:spacing w:after="120"/>
      </w:pPr>
      <w:bookmarkStart w:id="0" w:name="_Toc145318536"/>
      <w:bookmarkStart w:id="1" w:name="_Toc137233031"/>
      <w:bookmarkStart w:id="2" w:name="_Toc153531179"/>
      <w:bookmarkStart w:id="3" w:name="_GoBack"/>
      <w:bookmarkEnd w:id="3"/>
      <w:r>
        <w:t>7. Měnové podmínky</w:t>
      </w:r>
      <w:bookmarkEnd w:id="0"/>
      <w:bookmarkEnd w:id="2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1E1AF1" w:rsidRPr="0037004A" w14:paraId="144793D5" w14:textId="77777777" w:rsidTr="08AB0269">
        <w:trPr>
          <w:trHeight w:val="145"/>
        </w:trPr>
        <w:tc>
          <w:tcPr>
            <w:tcW w:w="1802" w:type="dxa"/>
          </w:tcPr>
          <w:p w14:paraId="28F46272" w14:textId="77777777" w:rsidR="001E1AF1" w:rsidRDefault="001E1AF1" w:rsidP="00D26E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Koruna byla meziročně silnější vůči euru i dolaru, mezičtvrtletně ale oslabovala.</w:t>
            </w:r>
          </w:p>
        </w:tc>
        <w:tc>
          <w:tcPr>
            <w:tcW w:w="229" w:type="dxa"/>
          </w:tcPr>
          <w:p w14:paraId="427169C9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3F40A9B" w14:textId="5DCF7AC7" w:rsidR="001E1AF1" w:rsidRPr="0037004A" w:rsidRDefault="001E1AF1" w:rsidP="008B02E7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Nastavení měnověpolitických sazeb se ani v průběhu 3. čtvrtletí 2023 nezměnilo, a tak dvoutýdenní repo sazba zůstala na úrovni 7,00 %, diskontní sazba na 6,00 % a lombardní na 8,00 %.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 xml:space="preserve"> V průběhu 3. čtvrtletí docházelo k postupnému oslabování koruny vůči euru i dolaru. Kurz koruny vůči euru dosahoval na konci června 23,73 CZK/EUR a do konce září oslabil na 24,34 CZK/EUR. Průměrný kurz koruny vůči euru ve 3. čtvrtletí činil 24,14 CZK/EUR a mezičtvrtletně tak byl slabší o 55 haléřů. Meziročně byl silnější o 44 haléřů. Kurz koruny vůči dolaru oslabil z 21,83 CZK/USD na konci června na 22,97</w:t>
            </w:r>
            <w:r w:rsidR="008B02E7">
              <w:rPr>
                <w:spacing w:val="-2"/>
                <w:lang w:eastAsia="en-US"/>
              </w:rPr>
              <w:t> </w:t>
            </w:r>
            <w:r>
              <w:rPr>
                <w:spacing w:val="-2"/>
                <w:lang w:eastAsia="en-US"/>
              </w:rPr>
              <w:t xml:space="preserve">CZK/USD ke konci září. Průměr za celé 3. čtvrtletí dosáhl 22,17 CZK/USD a kurz vůči dolaru tak mezičtvrtletně oslabil o 50 haléřů, ale meziročně byl silnější o 2,23 koruny. </w:t>
            </w:r>
          </w:p>
        </w:tc>
      </w:tr>
      <w:tr w:rsidR="001E1AF1" w14:paraId="1527FEB9" w14:textId="77777777" w:rsidTr="08AB0269">
        <w:trPr>
          <w:trHeight w:val="145"/>
        </w:trPr>
        <w:tc>
          <w:tcPr>
            <w:tcW w:w="1802" w:type="dxa"/>
          </w:tcPr>
          <w:p w14:paraId="18FF1CB6" w14:textId="77777777" w:rsidR="001E1AF1" w:rsidRDefault="001E1AF1" w:rsidP="00D26E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Klesaly výnosy vládních dluhopisů s krátkodobou splatností.</w:t>
            </w:r>
          </w:p>
        </w:tc>
        <w:tc>
          <w:tcPr>
            <w:tcW w:w="229" w:type="dxa"/>
          </w:tcPr>
          <w:p w14:paraId="0DFD2CCA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4ABFD7A" w14:textId="77777777" w:rsidR="001E1AF1" w:rsidRDefault="001E1AF1" w:rsidP="00D26E6B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Krátkodobé úrokové sazby mezibankovního trhu se v souladu s měnověpolitickými sazbami téměř neměnily. Měsíční PRIBOR sazba prakticky stagnovala a tříměsíční PRIBOR sazba klesla o 0,06 p. 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 na 7,09 % ke konci září. Výraznější pohyb byl ve 3. čtvrtletí patrný u mezibankovních sazeb s delší splatností – šestiměsíční PRIBOR sazba klesla o 0,11 p. b. na 7,06 % a roční dokonce o 0,29 p. b. na 6,85 %. Průměrné výnosy vládních dluhopisů s krátkodobou splatností během 3. čtvrtletí klesly o 0,32 p. b. na 5,04 %. U střednědobé splatnosti (mezi 2 a 5 lety) výnos klesl o 0,07 p. b. na 4,57 %. Naopak u dlouhodobých dluhopisů došlo k nárůstu sazby o 0,15 p. b. na 4,49 %.      </w:t>
            </w:r>
          </w:p>
        </w:tc>
      </w:tr>
      <w:tr w:rsidR="001E1AF1" w14:paraId="07D742EC" w14:textId="77777777" w:rsidTr="08AB0269">
        <w:trPr>
          <w:trHeight w:val="145"/>
        </w:trPr>
        <w:tc>
          <w:tcPr>
            <w:tcW w:w="1802" w:type="dxa"/>
          </w:tcPr>
          <w:p w14:paraId="3A63CB09" w14:textId="77777777" w:rsidR="001E1AF1" w:rsidRDefault="001E1AF1" w:rsidP="00D26E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Po šesti čtvrtletích poklesů mírně meziročně vzrostl objem netermínovaných vkladů</w:t>
            </w:r>
          </w:p>
        </w:tc>
        <w:tc>
          <w:tcPr>
            <w:tcW w:w="229" w:type="dxa"/>
          </w:tcPr>
          <w:p w14:paraId="2170EB38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03FC79BF" w14:textId="03A80970" w:rsidR="001E1AF1" w:rsidRDefault="001E1AF1" w:rsidP="008B02E7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Změny úrokových sazeb vkladů domácností byly ve 3. čtvrtletí minimální. Průměrná úroková sazba jednodenních vkladů ke konci září činila 1,56 % a podobně jako úročení běžných účtů (0,26 %) se téměř nezměnila. Drobný pokles sazby byl zaznamenán </w:t>
            </w:r>
            <w:r>
              <w:rPr>
                <w:spacing w:val="-3"/>
                <w:lang w:eastAsia="en-US"/>
              </w:rPr>
              <w:br/>
              <w:t>u vkladů domácností s dohodnutou splatností (</w:t>
            </w:r>
            <w:r w:rsidR="00EF1967">
              <w:rPr>
                <w:spacing w:val="-3"/>
                <w:lang w:eastAsia="en-US"/>
              </w:rPr>
              <w:t>−</w:t>
            </w:r>
            <w:r>
              <w:rPr>
                <w:spacing w:val="-3"/>
                <w:lang w:eastAsia="en-US"/>
              </w:rPr>
              <w:t>0,09 p. b. na 6,02 % na konci září). Úročení jednodenních vkladů pro nefinanční podniky naopak dál rostlo (0,16 p. b. na 2,06</w:t>
            </w:r>
            <w:r w:rsidR="008B02E7">
              <w:rPr>
                <w:spacing w:val="-3"/>
                <w:lang w:eastAsia="en-US"/>
              </w:rPr>
              <w:t> </w:t>
            </w:r>
            <w:r>
              <w:rPr>
                <w:spacing w:val="-3"/>
                <w:lang w:eastAsia="en-US"/>
              </w:rPr>
              <w:t>% ke konci září) a podobně na tom byly také jejich běžné účty (+0,13 p. b. na 1,23</w:t>
            </w:r>
            <w:r w:rsidR="008B02E7">
              <w:rPr>
                <w:spacing w:val="-3"/>
                <w:lang w:eastAsia="en-US"/>
              </w:rPr>
              <w:t> </w:t>
            </w:r>
            <w:r>
              <w:rPr>
                <w:spacing w:val="-3"/>
                <w:lang w:eastAsia="en-US"/>
              </w:rPr>
              <w:t>%). Naopak v případě vkladů s dohodnutou splatností úrokové sazby v podstatě stagnovaly a</w:t>
            </w:r>
            <w:r w:rsidR="008B02E7">
              <w:rPr>
                <w:spacing w:val="-3"/>
                <w:lang w:eastAsia="en-US"/>
              </w:rPr>
              <w:t> </w:t>
            </w:r>
            <w:r>
              <w:rPr>
                <w:spacing w:val="-3"/>
                <w:lang w:eastAsia="en-US"/>
              </w:rPr>
              <w:t>ke konci 3. čtvrtletí dosahovaly v průměru 6,50 %. Celkový objem vkladů meziročně stoupl o 8,0 % a tempo tak mírně zrychlilo. Rychleji narůstaly vklady vládních institucí (16,2</w:t>
            </w:r>
            <w:r w:rsidR="008B02E7">
              <w:rPr>
                <w:spacing w:val="-3"/>
                <w:lang w:eastAsia="en-US"/>
              </w:rPr>
              <w:t> </w:t>
            </w:r>
            <w:r>
              <w:rPr>
                <w:spacing w:val="-3"/>
                <w:lang w:eastAsia="en-US"/>
              </w:rPr>
              <w:t>%) a domácností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(6,9 %). Naopak u nefinančních podniků došlo k výraznému oslabení meziročního růstu na 1,2 %, za čímž kromě silné srovnávací základny loňského roku stojí i poněkud netypicky hluboký mezičtvrtletní propad vkladů. Po šesti čtvrtletích propadů mírně meziročně vzrostl objem netermínovaných vkladů (0,4 %), termínované vklady byly meziročně vyšší o 22,7 %, což je nejmenší přírůstek od konce roku 2021. </w:t>
            </w:r>
          </w:p>
        </w:tc>
      </w:tr>
      <w:tr w:rsidR="001E1AF1" w14:paraId="11A85EEC" w14:textId="77777777" w:rsidTr="08AB0269">
        <w:trPr>
          <w:trHeight w:val="145"/>
        </w:trPr>
        <w:tc>
          <w:tcPr>
            <w:tcW w:w="1802" w:type="dxa"/>
          </w:tcPr>
          <w:p w14:paraId="682F037E" w14:textId="77777777" w:rsidR="001E1AF1" w:rsidRDefault="001E1AF1" w:rsidP="00D26E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Úrokové sazby úvěrů pro domácnosti se výrazněji neměnily.</w:t>
            </w:r>
          </w:p>
        </w:tc>
        <w:tc>
          <w:tcPr>
            <w:tcW w:w="229" w:type="dxa"/>
          </w:tcPr>
          <w:p w14:paraId="6EA5D59B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B009D88" w14:textId="77777777" w:rsidR="001E1AF1" w:rsidRDefault="001E1AF1" w:rsidP="00D26E6B">
            <w:pPr>
              <w:rPr>
                <w:lang w:eastAsia="en-US"/>
              </w:rPr>
            </w:pPr>
            <w:r>
              <w:rPr>
                <w:lang w:eastAsia="en-US"/>
              </w:rPr>
              <w:t>Pohyb úrokových sazeb úvěrů pro domácnosti se ve 3. čtvrtletí také téměř zastavil. Prakticky se nezměnilo průměrné úročení úvěrů na spotřebu (9,52 % ke konci září). V případě úvěrů na bydlení se průměrná úroková sazba zvýšila o 0,10 p. b. na 5,50 %, přičemž za tím téměř výhradně stály úvěry s fixací mezi pěti a deseti lety, kratší fixace zůstaly téměř nezměněny. Co se týká objemu úvěrů poskytnutých domácnostem, meziroční přírůstek objemu úvěrů na spotřebu dosáhl 10,5 % a podruhé v řadě tak byl dvouciferný. Meziroční růst objemu úvěrů na bydlení zpomalil na 4,3 %. Pokračovalo zrychlování meziročního růstu objemu úvěrů ze stavebního spoření (28,1 %), který roste dvojciferným tempem již čtyři čtvrtletí. Naopak u hypoték tvořících naprostou většinu úvěrů na bydlení tempo zpomalilo na 4,1 %. Údaje o nových hypotečních úvěrech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 neukazovaly na výraznější změnu situace ve srovnání s předchozím půlrokem. Většinu z nových úvěrů ke konci září tvořila ostatní nová ujednání (11,3 mld. korun) následovaná čistými novými úvěry včetně navýšení (10,1 mld.). Refinancované </w:t>
            </w:r>
            <w:r>
              <w:rPr>
                <w:lang w:eastAsia="en-US"/>
              </w:rPr>
              <w:lastRenderedPageBreak/>
              <w:t>úvěry dosáhly 1,7 mld. korun. Většinu nových smluv tak tvořily dříve uzavřené úvěry, u kterých došlo k ukončení období fixace a bylo nutné sjednat nové podmínky. Celkové zadlužení domácností se meziročně zvýšilo o 4,7 % na 2 294,8 mld. korun.</w:t>
            </w:r>
          </w:p>
        </w:tc>
      </w:tr>
      <w:tr w:rsidR="001E1AF1" w14:paraId="088145B4" w14:textId="77777777" w:rsidTr="08AB0269">
        <w:trPr>
          <w:trHeight w:val="145"/>
        </w:trPr>
        <w:tc>
          <w:tcPr>
            <w:tcW w:w="1802" w:type="dxa"/>
          </w:tcPr>
          <w:p w14:paraId="034E4899" w14:textId="77777777" w:rsidR="001E1AF1" w:rsidRDefault="001E1AF1" w:rsidP="00D26E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Dál rostl podíl úvěrů v cizí měně na celkovém objemu úvěrů pro nefinanční podniky.</w:t>
            </w:r>
          </w:p>
        </w:tc>
        <w:tc>
          <w:tcPr>
            <w:tcW w:w="229" w:type="dxa"/>
          </w:tcPr>
          <w:p w14:paraId="6D43C648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C1ABAE8" w14:textId="4FF0642B" w:rsidR="001E1AF1" w:rsidRDefault="001E1AF1" w:rsidP="00D26E6B">
            <w:pPr>
              <w:rPr>
                <w:lang w:eastAsia="en-US"/>
              </w:rPr>
            </w:pPr>
            <w:r>
              <w:rPr>
                <w:lang w:eastAsia="en-US"/>
              </w:rPr>
              <w:t>Vývoj úrokových sazeb úvěrů pro nefinanční podniky byl během 3. čtvrtletí různorodý. Zatímco průměrná sazba v případě úvěrů do 7,5 mil. korun stoupla o 0,27 p. b. na 8,30 %, úrokové sazby u střední kategorie úvěrů mezi 7,5 a 30 miliony stagnovaly těsně pod 9 % (8,96 % ke konci září) a úvěry nad 30 milionů byly úročeny v průměru 8,82 %, což představuje pokles o 0,30 p. b. Celkový objem úvěrů a pohledávek nefinančních podniků byl ke konci 3. čtvrtletí meziročně vyšší o 4,3 %, přičemž za růstem zcela stály úvěry v cizí měně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(14,9 %), zatímco korunové úvěry meziročně klesly o 4,3 %. Úvěry v cizí měně představovaly 49,4 % z celkového objemu úvěrů poskytnutých nefinančním podnikům. Výrazně meziročně narůstal objem úvěrů poskytnutých v uskupení profesních, vědeckých, technických a administrativních činností (17,7 %), v peněžnictví a pojišťovnictví (15,0 %), v odvětví výroba a rozvod elektřiny, plynu, tepla, vzduchu, vody a odpadů (12,7 %) a v zemědělství (11,5 %). Zvýšil se také objem úvěrů v činnostech v oblasti nemovitostí (7,7 %) a ve stavebnictví (5,8 %). Objem poskytnutých úvěrů byl meziročně výrazně nižší v dopravě a skladování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>10,2 %) a klesl také u informačních a komunikačních činností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>6,1 %), v ubytování a stravování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>4,4 %). Drobné meziroční poklesy se po delším období růstu objevily také ve zpracovatelském průmyslu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>1,5 %), ve velkoobchodě a maloobchodě a opravách a údržbě motorových vozidel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>1,3 %) a ve veřejné správě a obraně, povinném sociálním zabezpečení, vzdělání a zdravotní péči (</w:t>
            </w:r>
            <w:r w:rsidR="00EF1967">
              <w:rPr>
                <w:lang w:eastAsia="en-US"/>
              </w:rPr>
              <w:t>−</w:t>
            </w:r>
            <w:r>
              <w:rPr>
                <w:lang w:eastAsia="en-US"/>
              </w:rPr>
              <w:t xml:space="preserve">1,1 %). </w:t>
            </w:r>
          </w:p>
        </w:tc>
      </w:tr>
      <w:tr w:rsidR="001E1AF1" w14:paraId="7C7B5B46" w14:textId="77777777" w:rsidTr="08AB0269">
        <w:trPr>
          <w:trHeight w:val="304"/>
        </w:trPr>
        <w:tc>
          <w:tcPr>
            <w:tcW w:w="1802" w:type="dxa"/>
            <w:vMerge w:val="restart"/>
          </w:tcPr>
          <w:p w14:paraId="625BC1B0" w14:textId="77777777" w:rsidR="001E1AF1" w:rsidRDefault="001E1AF1" w:rsidP="00D26E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752258B9" w14:textId="77777777" w:rsidR="001E1AF1" w:rsidRDefault="001E1AF1" w:rsidP="00D26E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41B29E9A" w14:textId="77777777" w:rsidR="001E1AF1" w:rsidRPr="00D721B4" w:rsidRDefault="001E1AF1" w:rsidP="00D26E6B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16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1E1AF1" w14:paraId="08BA897B" w14:textId="77777777" w:rsidTr="08AB026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23698AC3" w14:textId="77777777" w:rsidR="001E1AF1" w:rsidRDefault="001E1AF1" w:rsidP="00D26E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22FD17E9" w14:textId="77777777" w:rsidR="001E1AF1" w:rsidRDefault="001E1AF1" w:rsidP="00D26E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628AFA8B" w14:textId="77777777" w:rsidR="001E1AF1" w:rsidRDefault="001E1AF1" w:rsidP="00D26E6B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42FD0D4" wp14:editId="296B20B2">
                  <wp:extent cx="4737600" cy="3553200"/>
                  <wp:effectExtent l="0" t="0" r="6350" b="0"/>
                  <wp:docPr id="21" name="Graf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E1AF1" w14:paraId="38A331CC" w14:textId="77777777" w:rsidTr="08AB0269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7738E522" w14:textId="77777777" w:rsidR="001E1AF1" w:rsidRDefault="001E1AF1" w:rsidP="00D26E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BB450F" w14:textId="77777777" w:rsidR="001E1AF1" w:rsidRDefault="001E1AF1" w:rsidP="00D26E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17552618" w14:textId="77777777" w:rsidR="001E1AF1" w:rsidRDefault="001E1AF1" w:rsidP="00D26E6B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ARAD, ČNB</w:t>
            </w:r>
          </w:p>
        </w:tc>
      </w:tr>
    </w:tbl>
    <w:p w14:paraId="67BA3919" w14:textId="77777777" w:rsidR="001E1AF1" w:rsidRPr="001C3855" w:rsidRDefault="001E1AF1" w:rsidP="001E1AF1">
      <w:pPr>
        <w:pStyle w:val="Nadpis11"/>
        <w:rPr>
          <w:sz w:val="2"/>
          <w:szCs w:val="2"/>
        </w:rPr>
      </w:pPr>
    </w:p>
    <w:p w14:paraId="6E2D53B0" w14:textId="77777777" w:rsidR="001E1AF1" w:rsidRPr="001C3855" w:rsidRDefault="001E1AF1" w:rsidP="001E1AF1">
      <w:pPr>
        <w:pStyle w:val="Nadpis11"/>
        <w:rPr>
          <w:sz w:val="2"/>
          <w:szCs w:val="2"/>
        </w:rPr>
      </w:pPr>
    </w:p>
    <w:p w14:paraId="5BF07E72" w14:textId="77777777" w:rsidR="001E1AF1" w:rsidRDefault="001E1AF1" w:rsidP="001E1AF1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32"/>
        </w:rPr>
      </w:pPr>
    </w:p>
    <w:bookmarkEnd w:id="1"/>
    <w:p w14:paraId="6CC221BC" w14:textId="77777777" w:rsidR="001E1AF1" w:rsidRPr="001C3855" w:rsidRDefault="001E1AF1" w:rsidP="001E1AF1">
      <w:pPr>
        <w:pStyle w:val="Nadpis11"/>
        <w:rPr>
          <w:sz w:val="2"/>
          <w:szCs w:val="2"/>
        </w:rPr>
      </w:pPr>
    </w:p>
    <w:p w14:paraId="6FD91E5A" w14:textId="4E3C7394" w:rsidR="00106BCC" w:rsidRPr="001C3855" w:rsidRDefault="00106BCC" w:rsidP="001E1AF1">
      <w:pPr>
        <w:pStyle w:val="Nadpis11"/>
        <w:rPr>
          <w:sz w:val="2"/>
          <w:szCs w:val="2"/>
        </w:rPr>
      </w:pPr>
    </w:p>
    <w:sectPr w:rsidR="00106BCC" w:rsidRPr="001C3855" w:rsidSect="009949B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4807" w14:textId="77777777" w:rsidR="00681636" w:rsidRDefault="00681636" w:rsidP="00E71A58">
      <w:r>
        <w:separator/>
      </w:r>
    </w:p>
  </w:endnote>
  <w:endnote w:type="continuationSeparator" w:id="0">
    <w:p w14:paraId="010734E0" w14:textId="77777777" w:rsidR="00681636" w:rsidRDefault="0068163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661C852A" w:rsidR="000D7C6F" w:rsidRPr="00932443" w:rsidRDefault="000D7C6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949B8">
      <w:rPr>
        <w:szCs w:val="16"/>
      </w:rPr>
      <w:t>36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12B0237F" w:rsidR="000D7C6F" w:rsidRPr="00932443" w:rsidRDefault="000D7C6F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949B8">
      <w:rPr>
        <w:rStyle w:val="ZpatChar"/>
        <w:szCs w:val="16"/>
      </w:rPr>
      <w:t>37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B918" w14:textId="77777777" w:rsidR="00681636" w:rsidRDefault="00681636" w:rsidP="00A21B4D">
      <w:pPr>
        <w:spacing w:after="0"/>
      </w:pPr>
      <w:r>
        <w:separator/>
      </w:r>
    </w:p>
  </w:footnote>
  <w:footnote w:type="continuationSeparator" w:id="0">
    <w:p w14:paraId="3EDF0CE0" w14:textId="77777777" w:rsidR="00681636" w:rsidRDefault="00681636" w:rsidP="00E71A58">
      <w:r>
        <w:continuationSeparator/>
      </w:r>
    </w:p>
  </w:footnote>
  <w:footnote w:id="1">
    <w:p w14:paraId="0DD211AD" w14:textId="77777777" w:rsidR="000D7C6F" w:rsidRDefault="000D7C6F" w:rsidP="001E1AF1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4EFCD87D" w14:textId="77777777" w:rsidR="000D7C6F" w:rsidRPr="001F5F82" w:rsidRDefault="000D7C6F" w:rsidP="001E1AF1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Není-li uvedeno jinak, je změnou úrokových sazeb myšlen rozdíl mezi hodnotou ke dni 3</w:t>
      </w:r>
      <w:r>
        <w:rPr>
          <w:sz w:val="16"/>
          <w:szCs w:val="16"/>
        </w:rPr>
        <w:t>0. 6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2023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1. 3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2023.</w:t>
      </w:r>
    </w:p>
  </w:footnote>
  <w:footnote w:id="3">
    <w:p w14:paraId="550A078E" w14:textId="77777777" w:rsidR="000D7C6F" w:rsidRPr="00651A71" w:rsidRDefault="000D7C6F" w:rsidP="001E1AF1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7CD0ABBF" w14:textId="77777777" w:rsidR="000D7C6F" w:rsidRPr="00284DA5" w:rsidRDefault="000D7C6F" w:rsidP="001E1AF1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5">
    <w:p w14:paraId="6C59C46E" w14:textId="77777777" w:rsidR="000D7C6F" w:rsidRPr="00724B7B" w:rsidRDefault="000D7C6F" w:rsidP="001E1AF1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měnověpolitických sazeb v červnu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0D7C6F" w:rsidRDefault="000D7C6F" w:rsidP="00937AE2">
    <w:pPr>
      <w:pStyle w:val="Zhlav"/>
    </w:pPr>
    <w:r>
      <w:t>Vývoj ekonomiky České republiky</w:t>
    </w:r>
  </w:p>
  <w:p w14:paraId="3E881AB3" w14:textId="77777777" w:rsidR="000D7C6F" w:rsidRPr="006F5416" w:rsidRDefault="000D7C6F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0D7C6F" w:rsidRDefault="000D7C6F" w:rsidP="00937AE2">
    <w:pPr>
      <w:pStyle w:val="Zhlav"/>
    </w:pPr>
    <w:r>
      <w:t>Vývoj ekonomiky České republiky</w:t>
    </w:r>
  </w:p>
  <w:p w14:paraId="57266714" w14:textId="77777777" w:rsidR="000D7C6F" w:rsidRPr="006F5416" w:rsidRDefault="000D7C6F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8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33"/>
  </w:num>
  <w:num w:numId="14">
    <w:abstractNumId w:val="14"/>
  </w:num>
  <w:num w:numId="15">
    <w:abstractNumId w:val="21"/>
  </w:num>
  <w:num w:numId="16">
    <w:abstractNumId w:val="17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32"/>
  </w:num>
  <w:num w:numId="22">
    <w:abstractNumId w:val="20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10"/>
  </w:num>
  <w:num w:numId="29">
    <w:abstractNumId w:val="37"/>
  </w:num>
  <w:num w:numId="30">
    <w:abstractNumId w:val="29"/>
  </w:num>
  <w:num w:numId="31">
    <w:abstractNumId w:val="12"/>
  </w:num>
  <w:num w:numId="32">
    <w:abstractNumId w:val="38"/>
  </w:num>
  <w:num w:numId="33">
    <w:abstractNumId w:val="37"/>
  </w:num>
  <w:num w:numId="34">
    <w:abstractNumId w:val="11"/>
  </w:num>
  <w:num w:numId="35">
    <w:abstractNumId w:val="35"/>
  </w:num>
  <w:num w:numId="36">
    <w:abstractNumId w:val="30"/>
  </w:num>
  <w:num w:numId="37">
    <w:abstractNumId w:val="22"/>
  </w:num>
  <w:num w:numId="38">
    <w:abstractNumId w:val="25"/>
  </w:num>
  <w:num w:numId="39">
    <w:abstractNumId w:val="15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636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9B8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BEE"/>
    <w:rsid w:val="00CB2351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3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26E-2"/>
          <c:y val="2.1711264016309895E-2"/>
          <c:w val="0.93508633063154345"/>
          <c:h val="0.73130361364405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1'!$C$78:$C$146</c:f>
              <c:numCache>
                <c:formatCode>General</c:formatCode>
                <c:ptCount val="69"/>
                <c:pt idx="0">
                  <c:v>0.5</c:v>
                </c:pt>
                <c:pt idx="1">
                  <c:v>0.75000000000000022</c:v>
                </c:pt>
                <c:pt idx="2">
                  <c:v>0.75000000000000022</c:v>
                </c:pt>
                <c:pt idx="3">
                  <c:v>0.75000000000000022</c:v>
                </c:pt>
                <c:pt idx="4">
                  <c:v>0.75000000000000022</c:v>
                </c:pt>
                <c:pt idx="5">
                  <c:v>1</c:v>
                </c:pt>
                <c:pt idx="6">
                  <c:v>1</c:v>
                </c:pt>
                <c:pt idx="7">
                  <c:v>1.25</c:v>
                </c:pt>
                <c:pt idx="8">
                  <c:v>1.5</c:v>
                </c:pt>
                <c:pt idx="9">
                  <c:v>1.5</c:v>
                </c:pt>
                <c:pt idx="10">
                  <c:v>1.7500000000000002</c:v>
                </c:pt>
                <c:pt idx="11">
                  <c:v>1.7500000000000002</c:v>
                </c:pt>
                <c:pt idx="12">
                  <c:v>1.7500000000000002</c:v>
                </c:pt>
                <c:pt idx="13">
                  <c:v>1.7500000000000002</c:v>
                </c:pt>
                <c:pt idx="14">
                  <c:v>1.7500000000000002</c:v>
                </c:pt>
                <c:pt idx="15">
                  <c:v>1.7500000000000002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2.25</c:v>
                </c:pt>
                <c:pt idx="26">
                  <c:v>1</c:v>
                </c:pt>
                <c:pt idx="27">
                  <c:v>1</c:v>
                </c:pt>
                <c:pt idx="28">
                  <c:v>0.25</c:v>
                </c:pt>
                <c:pt idx="29">
                  <c:v>0.25</c:v>
                </c:pt>
                <c:pt idx="30">
                  <c:v>0.25</c:v>
                </c:pt>
                <c:pt idx="31">
                  <c:v>0.25</c:v>
                </c:pt>
                <c:pt idx="32">
                  <c:v>0.25</c:v>
                </c:pt>
                <c:pt idx="33">
                  <c:v>0.25</c:v>
                </c:pt>
                <c:pt idx="34">
                  <c:v>0.25</c:v>
                </c:pt>
                <c:pt idx="35">
                  <c:v>0.25</c:v>
                </c:pt>
                <c:pt idx="36">
                  <c:v>0.25</c:v>
                </c:pt>
                <c:pt idx="37">
                  <c:v>0.25</c:v>
                </c:pt>
                <c:pt idx="38">
                  <c:v>0.25</c:v>
                </c:pt>
                <c:pt idx="39">
                  <c:v>0.25</c:v>
                </c:pt>
                <c:pt idx="40">
                  <c:v>0.25</c:v>
                </c:pt>
                <c:pt idx="41">
                  <c:v>0.5</c:v>
                </c:pt>
                <c:pt idx="42">
                  <c:v>0.5</c:v>
                </c:pt>
                <c:pt idx="43">
                  <c:v>0.75000000000000022</c:v>
                </c:pt>
                <c:pt idx="44">
                  <c:v>0.75000000000000022</c:v>
                </c:pt>
                <c:pt idx="45">
                  <c:v>1.5</c:v>
                </c:pt>
                <c:pt idx="46">
                  <c:v>2.75</c:v>
                </c:pt>
                <c:pt idx="47">
                  <c:v>3.75</c:v>
                </c:pt>
                <c:pt idx="48">
                  <c:v>3.75</c:v>
                </c:pt>
                <c:pt idx="49">
                  <c:v>4.5</c:v>
                </c:pt>
                <c:pt idx="50">
                  <c:v>4.5</c:v>
                </c:pt>
                <c:pt idx="51">
                  <c:v>5</c:v>
                </c:pt>
                <c:pt idx="52">
                  <c:v>5.75</c:v>
                </c:pt>
                <c:pt idx="53">
                  <c:v>7</c:v>
                </c:pt>
                <c:pt idx="54">
                  <c:v>7</c:v>
                </c:pt>
                <c:pt idx="55">
                  <c:v>7</c:v>
                </c:pt>
                <c:pt idx="56">
                  <c:v>7</c:v>
                </c:pt>
                <c:pt idx="57">
                  <c:v>7</c:v>
                </c:pt>
                <c:pt idx="58">
                  <c:v>7</c:v>
                </c:pt>
                <c:pt idx="59">
                  <c:v>7</c:v>
                </c:pt>
                <c:pt idx="60">
                  <c:v>7</c:v>
                </c:pt>
                <c:pt idx="61">
                  <c:v>7</c:v>
                </c:pt>
                <c:pt idx="62">
                  <c:v>7</c:v>
                </c:pt>
                <c:pt idx="63" formatCode="###\ ###\ ###\ ###\ ##0.00;\-###\ ###\ ###\ ###\ ##0.00">
                  <c:v>7</c:v>
                </c:pt>
                <c:pt idx="64" formatCode="###\ ###\ ###\ ###\ ##0.00;\-###\ ###\ ###\ ###\ ##0.00">
                  <c:v>7</c:v>
                </c:pt>
                <c:pt idx="65" formatCode="###\ ###\ ###\ ###\ ##0.00;\-###\ ###\ ###\ ###\ ##0.00">
                  <c:v>7</c:v>
                </c:pt>
                <c:pt idx="66" formatCode="###\ ###\ ###\ ###\ ##0.00;\-###\ ###\ ###\ ###\ ##0.00">
                  <c:v>7</c:v>
                </c:pt>
                <c:pt idx="67" formatCode="###\ ###\ ###\ ###\ ##0.00;\-###\ ###\ ###\ ###\ ##0.00">
                  <c:v>7</c:v>
                </c:pt>
                <c:pt idx="68" formatCode="###\ ###\ ###\ ###\ ##0.00;\-###\ ###\ ###\ ###\ ##0.0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A-43FC-9BFF-532C41CFA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40262272"/>
        <c:axId val="52261248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1'!$F$78:$F$146</c:f>
              <c:numCache>
                <c:formatCode>General</c:formatCode>
                <c:ptCount val="69"/>
                <c:pt idx="0">
                  <c:v>0.46</c:v>
                </c:pt>
                <c:pt idx="1">
                  <c:v>0.55000000000000004</c:v>
                </c:pt>
                <c:pt idx="2">
                  <c:v>0.62000000000000022</c:v>
                </c:pt>
                <c:pt idx="3">
                  <c:v>0.6000000000000002</c:v>
                </c:pt>
                <c:pt idx="4">
                  <c:v>0.70000000000000018</c:v>
                </c:pt>
                <c:pt idx="5">
                  <c:v>0.89000000000000012</c:v>
                </c:pt>
                <c:pt idx="6">
                  <c:v>1.0900000000000001</c:v>
                </c:pt>
                <c:pt idx="7">
                  <c:v>1.26</c:v>
                </c:pt>
                <c:pt idx="8">
                  <c:v>1.34</c:v>
                </c:pt>
                <c:pt idx="9">
                  <c:v>1.44</c:v>
                </c:pt>
                <c:pt idx="10">
                  <c:v>1.49</c:v>
                </c:pt>
                <c:pt idx="11">
                  <c:v>1.52</c:v>
                </c:pt>
                <c:pt idx="12">
                  <c:v>1.6600000000000001</c:v>
                </c:pt>
                <c:pt idx="13">
                  <c:v>1.7400000000000002</c:v>
                </c:pt>
                <c:pt idx="14">
                  <c:v>1.7100000000000002</c:v>
                </c:pt>
                <c:pt idx="15">
                  <c:v>1.6300000000000001</c:v>
                </c:pt>
                <c:pt idx="16">
                  <c:v>1.62</c:v>
                </c:pt>
                <c:pt idx="17">
                  <c:v>1.52</c:v>
                </c:pt>
                <c:pt idx="18">
                  <c:v>1.35</c:v>
                </c:pt>
                <c:pt idx="19">
                  <c:v>0.8500000000000002</c:v>
                </c:pt>
                <c:pt idx="20">
                  <c:v>1.07</c:v>
                </c:pt>
                <c:pt idx="21">
                  <c:v>1.1700000000000004</c:v>
                </c:pt>
                <c:pt idx="22">
                  <c:v>1.33</c:v>
                </c:pt>
                <c:pt idx="23">
                  <c:v>1.36</c:v>
                </c:pt>
                <c:pt idx="24">
                  <c:v>1.55</c:v>
                </c:pt>
                <c:pt idx="25">
                  <c:v>1.57</c:v>
                </c:pt>
                <c:pt idx="26">
                  <c:v>1.27</c:v>
                </c:pt>
                <c:pt idx="27">
                  <c:v>0.71000000000000019</c:v>
                </c:pt>
                <c:pt idx="28">
                  <c:v>0.13</c:v>
                </c:pt>
                <c:pt idx="29">
                  <c:v>8.0000000000000029E-2</c:v>
                </c:pt>
                <c:pt idx="30">
                  <c:v>2.0000000000000007E-2</c:v>
                </c:pt>
                <c:pt idx="31">
                  <c:v>4.0000000000000015E-2</c:v>
                </c:pt>
                <c:pt idx="32">
                  <c:v>5.0000000000000017E-2</c:v>
                </c:pt>
                <c:pt idx="33">
                  <c:v>0</c:v>
                </c:pt>
                <c:pt idx="34">
                  <c:v>6.0000000000000019E-2</c:v>
                </c:pt>
                <c:pt idx="35">
                  <c:v>0.16000000000000003</c:v>
                </c:pt>
                <c:pt idx="36">
                  <c:v>0.26</c:v>
                </c:pt>
                <c:pt idx="37">
                  <c:v>0.45</c:v>
                </c:pt>
                <c:pt idx="38">
                  <c:v>0.75000000000000022</c:v>
                </c:pt>
                <c:pt idx="39">
                  <c:v>0.76000000000000023</c:v>
                </c:pt>
                <c:pt idx="40">
                  <c:v>0.76000000000000023</c:v>
                </c:pt>
                <c:pt idx="41">
                  <c:v>0.69000000000000028</c:v>
                </c:pt>
                <c:pt idx="42">
                  <c:v>0.84000000000000019</c:v>
                </c:pt>
                <c:pt idx="43">
                  <c:v>1.24</c:v>
                </c:pt>
                <c:pt idx="44">
                  <c:v>1.6</c:v>
                </c:pt>
                <c:pt idx="45">
                  <c:v>2.29</c:v>
                </c:pt>
                <c:pt idx="46">
                  <c:v>3</c:v>
                </c:pt>
                <c:pt idx="47">
                  <c:v>3.07</c:v>
                </c:pt>
                <c:pt idx="48">
                  <c:v>3.8099999999999992</c:v>
                </c:pt>
                <c:pt idx="49">
                  <c:v>3.77</c:v>
                </c:pt>
                <c:pt idx="50">
                  <c:v>4.54</c:v>
                </c:pt>
                <c:pt idx="51">
                  <c:v>5.13</c:v>
                </c:pt>
                <c:pt idx="52">
                  <c:v>5.6499999999999995</c:v>
                </c:pt>
                <c:pt idx="53">
                  <c:v>6.26</c:v>
                </c:pt>
                <c:pt idx="54">
                  <c:v>6.38</c:v>
                </c:pt>
                <c:pt idx="55">
                  <c:v>5.8599999999999985</c:v>
                </c:pt>
                <c:pt idx="56">
                  <c:v>5.9</c:v>
                </c:pt>
                <c:pt idx="57">
                  <c:v>6.18</c:v>
                </c:pt>
                <c:pt idx="58">
                  <c:v>5.68</c:v>
                </c:pt>
                <c:pt idx="59">
                  <c:v>5.1899999999999995</c:v>
                </c:pt>
                <c:pt idx="60" formatCode="###\ ###\ ###\ ###\ ##0.00;\-###\ ###\ ###\ ###\ ##0.00">
                  <c:v>5.3820143358172787</c:v>
                </c:pt>
                <c:pt idx="61" formatCode="###\ ###\ ###\ ###\ ##0.00;\-###\ ###\ ###\ ###\ ##0.00">
                  <c:v>5.5102623550618519</c:v>
                </c:pt>
                <c:pt idx="62" formatCode="###\ ###\ ###\ ###\ ##0.00;\-###\ ###\ ###\ ###\ ##0.00">
                  <c:v>5.2897725027112017</c:v>
                </c:pt>
                <c:pt idx="63" formatCode="###\ ###\ ###\ ###\ ##0.00;\-###\ ###\ ###\ ###\ ##0.00">
                  <c:v>5.4232360381175866</c:v>
                </c:pt>
                <c:pt idx="64" formatCode="###\ ###\ ###\ ###\ ##0.00;\-###\ ###\ ###\ ###\ ##0.00">
                  <c:v>5.4162815888395794</c:v>
                </c:pt>
                <c:pt idx="65" formatCode="###\ ###\ ###\ ###\ ##0.00;\-###\ ###\ ###\ ###\ ##0.00">
                  <c:v>5.3664752553650814</c:v>
                </c:pt>
                <c:pt idx="66" formatCode="###\ ###\ ###\ ###\ ##0.00;\-###\ ###\ ###\ ###\ ##0.00">
                  <c:v>5.2428078558777917</c:v>
                </c:pt>
                <c:pt idx="67" formatCode="###\ ###\ ###\ ###\ ##0.00;\-###\ ###\ ###\ ###\ ##0.00">
                  <c:v>5.1353490658602521</c:v>
                </c:pt>
                <c:pt idx="68" formatCode="###\ ###\ ###\ ###\ ##0.00;\-###\ ###\ ###\ ###\ ##0.00">
                  <c:v>5.0416686003519722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CA-43FC-9BFF-532C41CFA450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1'!$D$78:$D$146</c:f>
              <c:numCache>
                <c:formatCode>General</c:formatCode>
                <c:ptCount val="69"/>
                <c:pt idx="0">
                  <c:v>0.77000000000000013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0.93</c:v>
                </c:pt>
                <c:pt idx="6">
                  <c:v>1.1800000000000004</c:v>
                </c:pt>
                <c:pt idx="7">
                  <c:v>1.45</c:v>
                </c:pt>
                <c:pt idx="8">
                  <c:v>1.54</c:v>
                </c:pt>
                <c:pt idx="9">
                  <c:v>1.7600000000000002</c:v>
                </c:pt>
                <c:pt idx="10">
                  <c:v>1.9900000000000002</c:v>
                </c:pt>
                <c:pt idx="11">
                  <c:v>2.0099999999999998</c:v>
                </c:pt>
                <c:pt idx="12">
                  <c:v>2.0099999999999998</c:v>
                </c:pt>
                <c:pt idx="13">
                  <c:v>2.0099999999999998</c:v>
                </c:pt>
                <c:pt idx="14">
                  <c:v>2.0299999999999998</c:v>
                </c:pt>
                <c:pt idx="15">
                  <c:v>2.02</c:v>
                </c:pt>
                <c:pt idx="16">
                  <c:v>2.19</c:v>
                </c:pt>
                <c:pt idx="17">
                  <c:v>2.17</c:v>
                </c:pt>
                <c:pt idx="18">
                  <c:v>2.16</c:v>
                </c:pt>
                <c:pt idx="19">
                  <c:v>2.14</c:v>
                </c:pt>
                <c:pt idx="20">
                  <c:v>2.14</c:v>
                </c:pt>
                <c:pt idx="21">
                  <c:v>2.17</c:v>
                </c:pt>
                <c:pt idx="22">
                  <c:v>2.1800000000000002</c:v>
                </c:pt>
                <c:pt idx="23">
                  <c:v>2.1800000000000002</c:v>
                </c:pt>
                <c:pt idx="24">
                  <c:v>2.17</c:v>
                </c:pt>
                <c:pt idx="25">
                  <c:v>2.34</c:v>
                </c:pt>
                <c:pt idx="26">
                  <c:v>2</c:v>
                </c:pt>
                <c:pt idx="27">
                  <c:v>0.97000000000000008</c:v>
                </c:pt>
                <c:pt idx="28">
                  <c:v>0.46</c:v>
                </c:pt>
                <c:pt idx="29">
                  <c:v>0.34000000000000008</c:v>
                </c:pt>
                <c:pt idx="30">
                  <c:v>0.34000000000000008</c:v>
                </c:pt>
                <c:pt idx="31">
                  <c:v>0.34000000000000008</c:v>
                </c:pt>
                <c:pt idx="32">
                  <c:v>0.34000000000000008</c:v>
                </c:pt>
                <c:pt idx="33">
                  <c:v>0.35000000000000009</c:v>
                </c:pt>
                <c:pt idx="34">
                  <c:v>0.35000000000000009</c:v>
                </c:pt>
                <c:pt idx="35">
                  <c:v>0.35000000000000009</c:v>
                </c:pt>
                <c:pt idx="36">
                  <c:v>0.3600000000000001</c:v>
                </c:pt>
                <c:pt idx="37">
                  <c:v>0.3600000000000001</c:v>
                </c:pt>
                <c:pt idx="38">
                  <c:v>0.3600000000000001</c:v>
                </c:pt>
                <c:pt idx="39">
                  <c:v>0.3600000000000001</c:v>
                </c:pt>
                <c:pt idx="40">
                  <c:v>0.37000000000000011</c:v>
                </c:pt>
                <c:pt idx="41">
                  <c:v>0.48000000000000009</c:v>
                </c:pt>
                <c:pt idx="42">
                  <c:v>0.69000000000000028</c:v>
                </c:pt>
                <c:pt idx="43">
                  <c:v>0.94000000000000017</c:v>
                </c:pt>
                <c:pt idx="44">
                  <c:v>1.1100000000000001</c:v>
                </c:pt>
                <c:pt idx="45">
                  <c:v>2.02</c:v>
                </c:pt>
                <c:pt idx="46">
                  <c:v>2.9699999999999998</c:v>
                </c:pt>
                <c:pt idx="47">
                  <c:v>3.5</c:v>
                </c:pt>
                <c:pt idx="48">
                  <c:v>4.21</c:v>
                </c:pt>
                <c:pt idx="49">
                  <c:v>4.6899999999999995</c:v>
                </c:pt>
                <c:pt idx="50">
                  <c:v>4.8599999999999985</c:v>
                </c:pt>
                <c:pt idx="51">
                  <c:v>5.3599999999999985</c:v>
                </c:pt>
                <c:pt idx="52">
                  <c:v>5.9700000000000015</c:v>
                </c:pt>
                <c:pt idx="53">
                  <c:v>6.64</c:v>
                </c:pt>
                <c:pt idx="54">
                  <c:v>7.3</c:v>
                </c:pt>
                <c:pt idx="55">
                  <c:v>7.2700000000000014</c:v>
                </c:pt>
                <c:pt idx="56">
                  <c:v>7.25</c:v>
                </c:pt>
                <c:pt idx="57">
                  <c:v>7.28</c:v>
                </c:pt>
                <c:pt idx="58">
                  <c:v>7.2700000000000014</c:v>
                </c:pt>
                <c:pt idx="59">
                  <c:v>7.26</c:v>
                </c:pt>
                <c:pt idx="60" formatCode="###\ ###\ ###\ ###\ ##0.00;\-###\ ###\ ###\ ###\ ##0.00">
                  <c:v>7.2161904761904765</c:v>
                </c:pt>
                <c:pt idx="61" formatCode="###\ ###\ ###\ ###\ ##0.00;\-###\ ###\ ###\ ###\ ##0.00">
                  <c:v>7.2010526315789471</c:v>
                </c:pt>
                <c:pt idx="62" formatCode="###\ ###\ ###\ ###\ ##0.00;\-###\ ###\ ###\ ###\ ##0.00">
                  <c:v>7.1931818181818157</c:v>
                </c:pt>
                <c:pt idx="63" formatCode="###\ ###\ ###\ ###\ ##0.00;\-###\ ###\ ###\ ###\ ##0.00">
                  <c:v>7.1788888888888875</c:v>
                </c:pt>
                <c:pt idx="64" formatCode="###\ ###\ ###\ ###\ ##0.00;\-###\ ###\ ###\ ###\ ##0.00">
                  <c:v>7.1790476190476191</c:v>
                </c:pt>
                <c:pt idx="65" formatCode="###\ ###\ ###\ ###\ ##0.00;\-###\ ###\ ###\ ###\ ##0.00">
                  <c:v>7.1472727272727274</c:v>
                </c:pt>
                <c:pt idx="66" formatCode="###\ ###\ ###\ ###\ ##0.00;\-###\ ###\ ###\ ###\ ##0.00">
                  <c:v>7.1121052631578907</c:v>
                </c:pt>
                <c:pt idx="67" formatCode="###\ ###\ ###\ ###\ ##0.00;\-###\ ###\ ###\ ###\ ##0.00">
                  <c:v>7.1030434782608713</c:v>
                </c:pt>
                <c:pt idx="68" formatCode="###\ ###\ ###\ ###\ ##0.00;\-###\ ###\ ###\ ###\ ##0.00">
                  <c:v>7.0895000000000001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CA-43FC-9BFF-532C41CFA450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1'!$G$78:$G$146</c:f>
              <c:numCache>
                <c:formatCode>General</c:formatCode>
                <c:ptCount val="69"/>
                <c:pt idx="0">
                  <c:v>0.99</c:v>
                </c:pt>
                <c:pt idx="1">
                  <c:v>1.07</c:v>
                </c:pt>
                <c:pt idx="2">
                  <c:v>1.0900000000000001</c:v>
                </c:pt>
                <c:pt idx="3">
                  <c:v>1.05</c:v>
                </c:pt>
                <c:pt idx="4">
                  <c:v>1.21</c:v>
                </c:pt>
                <c:pt idx="5">
                  <c:v>1.41</c:v>
                </c:pt>
                <c:pt idx="6">
                  <c:v>1.44</c:v>
                </c:pt>
                <c:pt idx="7">
                  <c:v>1.55</c:v>
                </c:pt>
                <c:pt idx="8">
                  <c:v>1.7000000000000002</c:v>
                </c:pt>
                <c:pt idx="9">
                  <c:v>1.81</c:v>
                </c:pt>
                <c:pt idx="10">
                  <c:v>1.7900000000000003</c:v>
                </c:pt>
                <c:pt idx="11">
                  <c:v>1.7100000000000002</c:v>
                </c:pt>
                <c:pt idx="12">
                  <c:v>1.6</c:v>
                </c:pt>
                <c:pt idx="13">
                  <c:v>1.61</c:v>
                </c:pt>
                <c:pt idx="14">
                  <c:v>1.7000000000000002</c:v>
                </c:pt>
                <c:pt idx="15">
                  <c:v>1.6300000000000001</c:v>
                </c:pt>
                <c:pt idx="16">
                  <c:v>1.57</c:v>
                </c:pt>
                <c:pt idx="17">
                  <c:v>1.43</c:v>
                </c:pt>
                <c:pt idx="18">
                  <c:v>1.31</c:v>
                </c:pt>
                <c:pt idx="19">
                  <c:v>0.89000000000000012</c:v>
                </c:pt>
                <c:pt idx="20">
                  <c:v>1.1299999999999994</c:v>
                </c:pt>
                <c:pt idx="21">
                  <c:v>1.23</c:v>
                </c:pt>
                <c:pt idx="22">
                  <c:v>1.32</c:v>
                </c:pt>
                <c:pt idx="23">
                  <c:v>1.31</c:v>
                </c:pt>
                <c:pt idx="24">
                  <c:v>1.51</c:v>
                </c:pt>
                <c:pt idx="25">
                  <c:v>1.52</c:v>
                </c:pt>
                <c:pt idx="26">
                  <c:v>1.23</c:v>
                </c:pt>
                <c:pt idx="27">
                  <c:v>1.06</c:v>
                </c:pt>
                <c:pt idx="28">
                  <c:v>0.56999999999999995</c:v>
                </c:pt>
                <c:pt idx="29">
                  <c:v>0.52</c:v>
                </c:pt>
                <c:pt idx="30">
                  <c:v>0.52</c:v>
                </c:pt>
                <c:pt idx="31">
                  <c:v>0.58000000000000007</c:v>
                </c:pt>
                <c:pt idx="32">
                  <c:v>0.58000000000000007</c:v>
                </c:pt>
                <c:pt idx="33">
                  <c:v>0.54</c:v>
                </c:pt>
                <c:pt idx="34">
                  <c:v>0.66000000000000025</c:v>
                </c:pt>
                <c:pt idx="35">
                  <c:v>0.8</c:v>
                </c:pt>
                <c:pt idx="36">
                  <c:v>0.82000000000000017</c:v>
                </c:pt>
                <c:pt idx="37">
                  <c:v>1.06</c:v>
                </c:pt>
                <c:pt idx="38">
                  <c:v>1.4</c:v>
                </c:pt>
                <c:pt idx="39">
                  <c:v>1.43</c:v>
                </c:pt>
                <c:pt idx="40">
                  <c:v>1.47</c:v>
                </c:pt>
                <c:pt idx="41">
                  <c:v>1.55</c:v>
                </c:pt>
                <c:pt idx="42">
                  <c:v>1.6300000000000001</c:v>
                </c:pt>
                <c:pt idx="43">
                  <c:v>1.6800000000000004</c:v>
                </c:pt>
                <c:pt idx="44">
                  <c:v>1.87</c:v>
                </c:pt>
                <c:pt idx="45">
                  <c:v>2.3699999999999997</c:v>
                </c:pt>
                <c:pt idx="46">
                  <c:v>2.84</c:v>
                </c:pt>
                <c:pt idx="47">
                  <c:v>2.84</c:v>
                </c:pt>
                <c:pt idx="48">
                  <c:v>3.36</c:v>
                </c:pt>
                <c:pt idx="49">
                  <c:v>3.2</c:v>
                </c:pt>
                <c:pt idx="50">
                  <c:v>3.8499999999999992</c:v>
                </c:pt>
                <c:pt idx="51">
                  <c:v>4.54</c:v>
                </c:pt>
                <c:pt idx="52">
                  <c:v>4.99</c:v>
                </c:pt>
                <c:pt idx="53">
                  <c:v>5.49</c:v>
                </c:pt>
                <c:pt idx="54">
                  <c:v>5.1199999999999983</c:v>
                </c:pt>
                <c:pt idx="55">
                  <c:v>4.67</c:v>
                </c:pt>
                <c:pt idx="56">
                  <c:v>5.0599999999999996</c:v>
                </c:pt>
                <c:pt idx="57">
                  <c:v>5.6899999999999995</c:v>
                </c:pt>
                <c:pt idx="58">
                  <c:v>5.31</c:v>
                </c:pt>
                <c:pt idx="59">
                  <c:v>4.9000000000000004</c:v>
                </c:pt>
                <c:pt idx="60" formatCode="###\ ###\ ###\ ###\ ##0.00;\-###\ ###\ ###\ ###\ ##0.00">
                  <c:v>4.7307064721228889</c:v>
                </c:pt>
                <c:pt idx="61" formatCode="###\ ###\ ###\ ###\ ##0.00;\-###\ ###\ ###\ ###\ ##0.00">
                  <c:v>4.8692742672767633</c:v>
                </c:pt>
                <c:pt idx="62" formatCode="###\ ###\ ###\ ###\ ##0.00;\-###\ ###\ ###\ ###\ ##0.00">
                  <c:v>4.8901662581800371</c:v>
                </c:pt>
                <c:pt idx="63" formatCode="###\ ###\ ###\ ###\ ##0.00;\-###\ ###\ ###\ ###\ ##0.00">
                  <c:v>4.9165403661897455</c:v>
                </c:pt>
                <c:pt idx="64" formatCode="###\ ###\ ###\ ###\ ##0.00;\-###\ ###\ ###\ ###\ ##0.00">
                  <c:v>4.8278684891401031</c:v>
                </c:pt>
                <c:pt idx="65" formatCode="###\ ###\ ###\ ###\ ##0.00;\-###\ ###\ ###\ ###\ ##0.00">
                  <c:v>4.6412520736000777</c:v>
                </c:pt>
                <c:pt idx="66" formatCode="###\ ###\ ###\ ###\ ##0.00;\-###\ ###\ ###\ ###\ ##0.00">
                  <c:v>4.3712476122939821</c:v>
                </c:pt>
                <c:pt idx="67" formatCode="###\ ###\ ###\ ###\ ##0.00;\-###\ ###\ ###\ ###\ ##0.00">
                  <c:v>4.4394883944569496</c:v>
                </c:pt>
                <c:pt idx="68" formatCode="###\ ###\ ###\ ###\ ##0.00;\-###\ ###\ ###\ ###\ ##0.00">
                  <c:v>4.5697569170379646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6CA-43FC-9BFF-532C41CFA450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1'!$E$78:$E$146</c:f>
              <c:numCache>
                <c:formatCode>General</c:formatCode>
                <c:ptCount val="69"/>
                <c:pt idx="0">
                  <c:v>0.98</c:v>
                </c:pt>
                <c:pt idx="1">
                  <c:v>1.1100000000000001</c:v>
                </c:pt>
                <c:pt idx="2">
                  <c:v>1.1200000000000001</c:v>
                </c:pt>
                <c:pt idx="3">
                  <c:v>1.1200000000000001</c:v>
                </c:pt>
                <c:pt idx="4">
                  <c:v>1.1200000000000001</c:v>
                </c:pt>
                <c:pt idx="5">
                  <c:v>1.1499999999999995</c:v>
                </c:pt>
                <c:pt idx="6">
                  <c:v>1.3900000000000001</c:v>
                </c:pt>
                <c:pt idx="7">
                  <c:v>1.6700000000000004</c:v>
                </c:pt>
                <c:pt idx="8">
                  <c:v>1.7900000000000003</c:v>
                </c:pt>
                <c:pt idx="9">
                  <c:v>1.9500000000000002</c:v>
                </c:pt>
                <c:pt idx="10">
                  <c:v>2.1800000000000002</c:v>
                </c:pt>
                <c:pt idx="11">
                  <c:v>2.21</c:v>
                </c:pt>
                <c:pt idx="12">
                  <c:v>2.21</c:v>
                </c:pt>
                <c:pt idx="13">
                  <c:v>2.2000000000000002</c:v>
                </c:pt>
                <c:pt idx="14">
                  <c:v>2.2000000000000002</c:v>
                </c:pt>
                <c:pt idx="15">
                  <c:v>2.21</c:v>
                </c:pt>
                <c:pt idx="16">
                  <c:v>2.319999999999999</c:v>
                </c:pt>
                <c:pt idx="17">
                  <c:v>2.29</c:v>
                </c:pt>
                <c:pt idx="18">
                  <c:v>2.2799999999999998</c:v>
                </c:pt>
                <c:pt idx="19">
                  <c:v>2.2200000000000002</c:v>
                </c:pt>
                <c:pt idx="20">
                  <c:v>2.2000000000000002</c:v>
                </c:pt>
                <c:pt idx="21">
                  <c:v>2.2799999999999998</c:v>
                </c:pt>
                <c:pt idx="22">
                  <c:v>2.2799999999999998</c:v>
                </c:pt>
                <c:pt idx="23">
                  <c:v>2.27</c:v>
                </c:pt>
                <c:pt idx="24">
                  <c:v>2.27</c:v>
                </c:pt>
                <c:pt idx="25">
                  <c:v>2.42</c:v>
                </c:pt>
                <c:pt idx="26">
                  <c:v>2.0099999999999998</c:v>
                </c:pt>
                <c:pt idx="27">
                  <c:v>0.92</c:v>
                </c:pt>
                <c:pt idx="28">
                  <c:v>0.51</c:v>
                </c:pt>
                <c:pt idx="29">
                  <c:v>0.4300000000000001</c:v>
                </c:pt>
                <c:pt idx="30">
                  <c:v>0.4300000000000001</c:v>
                </c:pt>
                <c:pt idx="31">
                  <c:v>0.4300000000000001</c:v>
                </c:pt>
                <c:pt idx="32">
                  <c:v>0.44000000000000006</c:v>
                </c:pt>
                <c:pt idx="33">
                  <c:v>0.4300000000000001</c:v>
                </c:pt>
                <c:pt idx="34">
                  <c:v>0.44000000000000006</c:v>
                </c:pt>
                <c:pt idx="35">
                  <c:v>0.4900000000000001</c:v>
                </c:pt>
                <c:pt idx="36">
                  <c:v>0.4900000000000001</c:v>
                </c:pt>
                <c:pt idx="37">
                  <c:v>0.54</c:v>
                </c:pt>
                <c:pt idx="38">
                  <c:v>0.56000000000000005</c:v>
                </c:pt>
                <c:pt idx="39">
                  <c:v>0.56000000000000005</c:v>
                </c:pt>
                <c:pt idx="40">
                  <c:v>0.67000000000000026</c:v>
                </c:pt>
                <c:pt idx="41">
                  <c:v>0.78</c:v>
                </c:pt>
                <c:pt idx="42">
                  <c:v>1</c:v>
                </c:pt>
                <c:pt idx="43">
                  <c:v>1.3</c:v>
                </c:pt>
                <c:pt idx="44">
                  <c:v>1.52</c:v>
                </c:pt>
                <c:pt idx="45">
                  <c:v>2.44</c:v>
                </c:pt>
                <c:pt idx="46">
                  <c:v>3.5</c:v>
                </c:pt>
                <c:pt idx="47">
                  <c:v>3.96</c:v>
                </c:pt>
                <c:pt idx="48">
                  <c:v>4.55</c:v>
                </c:pt>
                <c:pt idx="49">
                  <c:v>4.87</c:v>
                </c:pt>
                <c:pt idx="50">
                  <c:v>5.1199999999999983</c:v>
                </c:pt>
                <c:pt idx="51">
                  <c:v>5.74</c:v>
                </c:pt>
                <c:pt idx="52">
                  <c:v>6.33</c:v>
                </c:pt>
                <c:pt idx="53">
                  <c:v>7.02</c:v>
                </c:pt>
                <c:pt idx="54">
                  <c:v>7.55</c:v>
                </c:pt>
                <c:pt idx="55">
                  <c:v>7.48</c:v>
                </c:pt>
                <c:pt idx="56">
                  <c:v>7.44</c:v>
                </c:pt>
                <c:pt idx="57">
                  <c:v>7.45</c:v>
                </c:pt>
                <c:pt idx="58">
                  <c:v>7.39</c:v>
                </c:pt>
                <c:pt idx="59">
                  <c:v>7.28</c:v>
                </c:pt>
                <c:pt idx="60" formatCode="###\ ###\ ###\ ###\ ##0.00;\-###\ ###\ ###\ ###\ ##0.00">
                  <c:v>7.2480952380952361</c:v>
                </c:pt>
                <c:pt idx="61" formatCode="###\ ###\ ###\ ###\ ##0.00;\-###\ ###\ ###\ ###\ ##0.00">
                  <c:v>7.2326315789473687</c:v>
                </c:pt>
                <c:pt idx="62" formatCode="###\ ###\ ###\ ###\ ##0.00;\-###\ ###\ ###\ ###\ ##0.00">
                  <c:v>7.2263636363636392</c:v>
                </c:pt>
                <c:pt idx="63" formatCode="###\ ###\ ###\ ###\ ##0.00;\-###\ ###\ ###\ ###\ ##0.00">
                  <c:v>7.2088888888888887</c:v>
                </c:pt>
                <c:pt idx="64" formatCode="###\ ###\ ###\ ###\ ##0.00;\-###\ ###\ ###\ ###\ ##0.00">
                  <c:v>7.1961904761904743</c:v>
                </c:pt>
                <c:pt idx="65" formatCode="###\ ###\ ###\ ###\ ##0.00;\-###\ ###\ ###\ ###\ ##0.00">
                  <c:v>7.1377272727272709</c:v>
                </c:pt>
                <c:pt idx="66" formatCode="###\ ###\ ###\ ###\ ##0.00;\-###\ ###\ ###\ ###\ ##0.00">
                  <c:v>7.0289473684210497</c:v>
                </c:pt>
                <c:pt idx="67" formatCode="###\ ###\ ###\ ###\ ##0.00;\-###\ ###\ ###\ ###\ ##0.00">
                  <c:v>6.9473913043478293</c:v>
                </c:pt>
                <c:pt idx="68" formatCode="###\ ###\ ###\ ###\ ##0.00;\-###\ ###\ ###\ ###\ ##0.00">
                  <c:v>6.8469999999999995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6CA-43FC-9BFF-532C41CFA450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1'!$A$78:$B$146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1'!$H$78:$H$146</c:f>
              <c:numCache>
                <c:formatCode>General</c:formatCode>
                <c:ptCount val="69"/>
                <c:pt idx="0">
                  <c:v>1.7700000000000002</c:v>
                </c:pt>
                <c:pt idx="1">
                  <c:v>1.82</c:v>
                </c:pt>
                <c:pt idx="2">
                  <c:v>1.81</c:v>
                </c:pt>
                <c:pt idx="3">
                  <c:v>1.7400000000000002</c:v>
                </c:pt>
                <c:pt idx="4">
                  <c:v>1.8900000000000001</c:v>
                </c:pt>
                <c:pt idx="5">
                  <c:v>2.14</c:v>
                </c:pt>
                <c:pt idx="6">
                  <c:v>2.11</c:v>
                </c:pt>
                <c:pt idx="7">
                  <c:v>2.14</c:v>
                </c:pt>
                <c:pt idx="8">
                  <c:v>2.14</c:v>
                </c:pt>
                <c:pt idx="9">
                  <c:v>2.14</c:v>
                </c:pt>
                <c:pt idx="10">
                  <c:v>2.0699999999999998</c:v>
                </c:pt>
                <c:pt idx="11">
                  <c:v>2.0099999999999998</c:v>
                </c:pt>
                <c:pt idx="12">
                  <c:v>1.85</c:v>
                </c:pt>
                <c:pt idx="13">
                  <c:v>1.7600000000000002</c:v>
                </c:pt>
                <c:pt idx="14">
                  <c:v>1.82</c:v>
                </c:pt>
                <c:pt idx="15">
                  <c:v>1.82</c:v>
                </c:pt>
                <c:pt idx="16">
                  <c:v>1.86</c:v>
                </c:pt>
                <c:pt idx="17">
                  <c:v>1.58</c:v>
                </c:pt>
                <c:pt idx="18">
                  <c:v>1.36</c:v>
                </c:pt>
                <c:pt idx="19">
                  <c:v>0.99</c:v>
                </c:pt>
                <c:pt idx="20">
                  <c:v>1.24</c:v>
                </c:pt>
                <c:pt idx="21">
                  <c:v>1.32</c:v>
                </c:pt>
                <c:pt idx="22">
                  <c:v>1.47</c:v>
                </c:pt>
                <c:pt idx="23">
                  <c:v>1.51</c:v>
                </c:pt>
                <c:pt idx="24">
                  <c:v>1.62</c:v>
                </c:pt>
                <c:pt idx="25">
                  <c:v>1.47</c:v>
                </c:pt>
                <c:pt idx="26">
                  <c:v>1.28</c:v>
                </c:pt>
                <c:pt idx="27">
                  <c:v>1.28</c:v>
                </c:pt>
                <c:pt idx="28">
                  <c:v>0.92</c:v>
                </c:pt>
                <c:pt idx="29">
                  <c:v>0.86000000000000021</c:v>
                </c:pt>
                <c:pt idx="30">
                  <c:v>0.86000000000000021</c:v>
                </c:pt>
                <c:pt idx="31">
                  <c:v>0.95000000000000018</c:v>
                </c:pt>
                <c:pt idx="32">
                  <c:v>0.98</c:v>
                </c:pt>
                <c:pt idx="33">
                  <c:v>0.94000000000000017</c:v>
                </c:pt>
                <c:pt idx="34">
                  <c:v>1.1200000000000001</c:v>
                </c:pt>
                <c:pt idx="35">
                  <c:v>1.26</c:v>
                </c:pt>
                <c:pt idx="36">
                  <c:v>1.28</c:v>
                </c:pt>
                <c:pt idx="37">
                  <c:v>1.49</c:v>
                </c:pt>
                <c:pt idx="38">
                  <c:v>1.87</c:v>
                </c:pt>
                <c:pt idx="39">
                  <c:v>1.86</c:v>
                </c:pt>
                <c:pt idx="40">
                  <c:v>1.7400000000000002</c:v>
                </c:pt>
                <c:pt idx="41">
                  <c:v>1.6700000000000004</c:v>
                </c:pt>
                <c:pt idx="42">
                  <c:v>1.7200000000000002</c:v>
                </c:pt>
                <c:pt idx="43">
                  <c:v>1.7400000000000002</c:v>
                </c:pt>
                <c:pt idx="44">
                  <c:v>1.9000000000000001</c:v>
                </c:pt>
                <c:pt idx="45">
                  <c:v>2.34</c:v>
                </c:pt>
                <c:pt idx="46">
                  <c:v>2.62</c:v>
                </c:pt>
                <c:pt idx="47">
                  <c:v>2.62</c:v>
                </c:pt>
                <c:pt idx="48">
                  <c:v>3.12</c:v>
                </c:pt>
                <c:pt idx="49">
                  <c:v>3.03</c:v>
                </c:pt>
                <c:pt idx="50">
                  <c:v>3.53</c:v>
                </c:pt>
                <c:pt idx="51">
                  <c:v>4.01</c:v>
                </c:pt>
                <c:pt idx="52">
                  <c:v>4.6099999999999985</c:v>
                </c:pt>
                <c:pt idx="53">
                  <c:v>5.1199999999999983</c:v>
                </c:pt>
                <c:pt idx="54">
                  <c:v>4.4000000000000004</c:v>
                </c:pt>
                <c:pt idx="55">
                  <c:v>4.1099999999999985</c:v>
                </c:pt>
                <c:pt idx="56">
                  <c:v>4.72</c:v>
                </c:pt>
                <c:pt idx="57">
                  <c:v>5.52</c:v>
                </c:pt>
                <c:pt idx="58">
                  <c:v>5.1099999999999985</c:v>
                </c:pt>
                <c:pt idx="59">
                  <c:v>4.71</c:v>
                </c:pt>
                <c:pt idx="60" formatCode="###\ ###\ ###\ ###\ ##0.00;\-###\ ###\ ###\ ###\ ##0.00">
                  <c:v>4.4683071740930753</c:v>
                </c:pt>
                <c:pt idx="61" formatCode="###\ ###\ ###\ ###\ ##0.00;\-###\ ###\ ###\ ###\ ##0.00">
                  <c:v>4.6124456250457762</c:v>
                </c:pt>
                <c:pt idx="62" formatCode="###\ ###\ ###\ ###\ ##0.00;\-###\ ###\ ###\ ###\ ##0.00">
                  <c:v>4.6664316498532488</c:v>
                </c:pt>
                <c:pt idx="63" formatCode="###\ ###\ ###\ ###\ ##0.00;\-###\ ###\ ###\ ###\ ##0.00">
                  <c:v>4.6464031535593699</c:v>
                </c:pt>
                <c:pt idx="64" formatCode="###\ ###\ ###\ ###\ ##0.00;\-###\ ###\ ###\ ###\ ##0.00">
                  <c:v>4.4999821517871714</c:v>
                </c:pt>
                <c:pt idx="65" formatCode="###\ ###\ ###\ ###\ ##0.00;\-###\ ###\ ###\ ###\ ##0.00">
                  <c:v>4.3475817201909148</c:v>
                </c:pt>
                <c:pt idx="66" formatCode="###\ ###\ ###\ ###\ ##0.00;\-###\ ###\ ###\ ###\ ##0.00">
                  <c:v>4.1488922058727873</c:v>
                </c:pt>
                <c:pt idx="67" formatCode="###\ ###\ ###\ ###\ ##0.00;\-###\ ###\ ###\ ###\ ##0.00">
                  <c:v>4.2612326220421188</c:v>
                </c:pt>
                <c:pt idx="68" formatCode="###\ ###\ ###\ ###\ ##0.00;\-###\ ###\ ###\ ###\ ##0.00">
                  <c:v>4.4941452526073453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6CA-43FC-9BFF-532C41CFA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62272"/>
        <c:axId val="52261248"/>
      </c:lineChart>
      <c:catAx>
        <c:axId val="4026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52261248"/>
        <c:crosses val="autoZero"/>
        <c:auto val="1"/>
        <c:lblAlgn val="ctr"/>
        <c:lblOffset val="100"/>
        <c:noMultiLvlLbl val="0"/>
      </c:catAx>
      <c:valAx>
        <c:axId val="52261248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0262272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5" ma:contentTypeDescription="Vytvoří nový dokument" ma:contentTypeScope="" ma:versionID="ba9ac22ffeb23664e7e881489bfb3a01">
  <xsd:schema xmlns:xsd="http://www.w3.org/2001/XMLSchema" xmlns:xs="http://www.w3.org/2001/XMLSchema" xmlns:p="http://schemas.microsoft.com/office/2006/metadata/properties" xmlns:ns2="eabc42bd-08fe-4a27-9645-04f6ad96d74a" xmlns:ns3="ea86e659-3cf4-4ff9-8d76-72c2490bfb13" targetNamespace="http://schemas.microsoft.com/office/2006/metadata/properties" ma:root="true" ma:fieldsID="452515690196c05a9ccc85c20d106231" ns2:_="" ns3:_="">
    <xsd:import namespace="eabc42bd-08fe-4a27-9645-04f6ad96d74a"/>
    <xsd:import namespace="ea86e659-3cf4-4ff9-8d76-72c2490bf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e659-3cf4-4ff9-8d76-72c2490b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845-9EC0-4146-9549-15917829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ea86e659-3cf4-4ff9-8d76-72c2490bf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1F81A0-BE75-430F-96D4-446A5725D4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AD750A-06DE-468A-84C2-816B1F61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1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6</cp:revision>
  <cp:lastPrinted>2023-06-09T17:23:00Z</cp:lastPrinted>
  <dcterms:created xsi:type="dcterms:W3CDTF">2023-12-15T10:09:00Z</dcterms:created>
  <dcterms:modified xsi:type="dcterms:W3CDTF">2023-12-15T10:28:00Z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