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F61C" w14:textId="77777777" w:rsidR="004A3BE4" w:rsidRDefault="004A3BE4" w:rsidP="004A3BE4">
      <w:pPr>
        <w:pStyle w:val="Nadpis11"/>
      </w:pPr>
      <w:bookmarkStart w:id="0" w:name="_Toc137721915"/>
      <w:bookmarkStart w:id="1" w:name="_GoBack"/>
      <w:bookmarkEnd w:id="1"/>
      <w:r w:rsidRPr="00787441">
        <w:rPr>
          <w:szCs w:val="32"/>
        </w:rPr>
        <w:t>8</w:t>
      </w:r>
      <w:r>
        <w:t>. </w:t>
      </w:r>
      <w:r w:rsidRPr="009110F7">
        <w:t>Státní rozpočet</w:t>
      </w:r>
      <w:bookmarkEnd w:id="0"/>
    </w:p>
    <w:tbl>
      <w:tblPr>
        <w:tblW w:w="9669" w:type="dxa"/>
        <w:tblInd w:w="-20" w:type="dxa"/>
        <w:tblCellMar>
          <w:left w:w="0" w:type="dxa"/>
          <w:right w:w="0" w:type="dxa"/>
        </w:tblCellMar>
        <w:tblLook w:val="00A0" w:firstRow="1" w:lastRow="0" w:firstColumn="1" w:lastColumn="0" w:noHBand="0" w:noVBand="0"/>
      </w:tblPr>
      <w:tblGrid>
        <w:gridCol w:w="1773"/>
        <w:gridCol w:w="217"/>
        <w:gridCol w:w="7679"/>
      </w:tblGrid>
      <w:tr w:rsidR="004A3BE4" w:rsidRPr="003C07E6" w14:paraId="569A0F6E" w14:textId="77777777" w:rsidTr="000A72BC">
        <w:trPr>
          <w:trHeight w:val="145"/>
        </w:trPr>
        <w:tc>
          <w:tcPr>
            <w:tcW w:w="1773" w:type="dxa"/>
            <w:shd w:val="clear" w:color="auto" w:fill="auto"/>
            <w:tcMar>
              <w:left w:w="0" w:type="dxa"/>
            </w:tcMar>
          </w:tcPr>
          <w:p w14:paraId="21ED8FB4" w14:textId="77777777" w:rsidR="004A3BE4" w:rsidRPr="00CB5638" w:rsidRDefault="004A3BE4" w:rsidP="000A72BC">
            <w:pPr>
              <w:pStyle w:val="Marginlie"/>
            </w:pPr>
            <w:r>
              <w:t>Hospodaření SR se na počátku roku propadlo do rekordního schodku, jenž přesáhl polovinu očekávaného celoročního deficitu. Podílely se na tom mimořádné, zčásti dočasně působící vlivy.</w:t>
            </w:r>
          </w:p>
        </w:tc>
        <w:tc>
          <w:tcPr>
            <w:tcW w:w="217" w:type="dxa"/>
            <w:shd w:val="clear" w:color="auto" w:fill="auto"/>
            <w:tcMar>
              <w:left w:w="0" w:type="dxa"/>
            </w:tcMar>
          </w:tcPr>
          <w:p w14:paraId="31AEA5DD" w14:textId="77777777" w:rsidR="004A3BE4" w:rsidRDefault="004A3BE4" w:rsidP="000A72BC">
            <w:pPr>
              <w:pStyle w:val="Textpoznpodarou"/>
              <w:jc w:val="both"/>
              <w:rPr>
                <w:spacing w:val="-4"/>
              </w:rPr>
            </w:pPr>
          </w:p>
        </w:tc>
        <w:tc>
          <w:tcPr>
            <w:tcW w:w="7679" w:type="dxa"/>
            <w:shd w:val="clear" w:color="auto" w:fill="auto"/>
            <w:tcMar>
              <w:left w:w="0" w:type="dxa"/>
            </w:tcMar>
          </w:tcPr>
          <w:p w14:paraId="141DCEFA" w14:textId="77777777" w:rsidR="004A3BE4" w:rsidRPr="008262D3" w:rsidRDefault="004A3BE4" w:rsidP="000A72BC">
            <w:pPr>
              <w:spacing w:after="220"/>
              <w:rPr>
                <w:spacing w:val="-2"/>
              </w:rPr>
            </w:pPr>
            <w:r w:rsidRPr="00EC0AAD">
              <w:rPr>
                <w:spacing w:val="-2"/>
              </w:rPr>
              <w:t>V 1. čtvrtletí 2023 došlo k prudkému navýšení schodku hospodaření státního rozpočtu (SR)</w:t>
            </w:r>
            <w:r w:rsidRPr="00EC0AAD">
              <w:rPr>
                <w:rStyle w:val="Znakapoznpodarou"/>
                <w:spacing w:val="-2"/>
              </w:rPr>
              <w:footnoteReference w:id="1"/>
            </w:r>
            <w:r>
              <w:rPr>
                <w:spacing w:val="-2"/>
              </w:rPr>
              <w:t xml:space="preserve">, a to </w:t>
            </w:r>
            <w:r w:rsidRPr="00EC0AAD">
              <w:rPr>
                <w:spacing w:val="-2"/>
              </w:rPr>
              <w:t>na rekordních 166,2 mld. korun</w:t>
            </w:r>
            <w:r>
              <w:rPr>
                <w:rStyle w:val="Znakapoznpodarou"/>
                <w:spacing w:val="-2"/>
              </w:rPr>
              <w:footnoteReference w:id="2"/>
            </w:r>
            <w:r w:rsidRPr="00EC0AAD">
              <w:rPr>
                <w:spacing w:val="-2"/>
              </w:rPr>
              <w:t>. To představovalo již více než polovinu plánovaného deficitu</w:t>
            </w:r>
            <w:r>
              <w:rPr>
                <w:spacing w:val="-2"/>
              </w:rPr>
              <w:t xml:space="preserve"> na celý letošní rok</w:t>
            </w:r>
            <w:r w:rsidRPr="00EC0AAD">
              <w:rPr>
                <w:rStyle w:val="Znakapoznpodarou"/>
                <w:spacing w:val="-2"/>
              </w:rPr>
              <w:footnoteReference w:id="3"/>
            </w:r>
            <w:r>
              <w:rPr>
                <w:spacing w:val="-2"/>
              </w:rPr>
              <w:t xml:space="preserve"> (takto vysoká alikvotní část schodku nebyla v rámci 1. čtvrtletí v současném miléniu dosud zaznamenána). Schodkové hospodaření</w:t>
            </w:r>
            <w:r w:rsidRPr="00EC0AAD">
              <w:rPr>
                <w:spacing w:val="-2"/>
              </w:rPr>
              <w:t xml:space="preserve"> přetrvávalo pátý </w:t>
            </w:r>
            <w:r w:rsidRPr="008262D3">
              <w:rPr>
                <w:spacing w:val="-3"/>
              </w:rPr>
              <w:t xml:space="preserve">rok v řadě. Za meziročním prohloubením deficitu (o 107 mld. korun) stály letos </w:t>
            </w:r>
            <w:r>
              <w:rPr>
                <w:spacing w:val="-3"/>
              </w:rPr>
              <w:t>do značné míry</w:t>
            </w:r>
            <w:r>
              <w:rPr>
                <w:spacing w:val="-2"/>
              </w:rPr>
              <w:t xml:space="preserve"> mimořádné vlivy, z nichž některé mají patrně jen dočasný charakter. Loni na počátku roku bylo čerpání běžných i kapitálových výdajů omezeno rozpočtovým provizoriem a letos (především v březnu) navíc došlo k vyššímu předfinancování u dotací, zejména v sociální oblasti, školství či výzkumu a vývoji</w:t>
            </w:r>
            <w:r>
              <w:rPr>
                <w:rStyle w:val="Znakapoznpodarou"/>
                <w:spacing w:val="-2"/>
              </w:rPr>
              <w:footnoteReference w:id="4"/>
            </w:r>
            <w:r>
              <w:rPr>
                <w:spacing w:val="-2"/>
              </w:rPr>
              <w:t>. V silném růstu výdajů SR na počátku letošního roku se dále promítala jak pomoc státu související s vysokými cenami energií (dosud nedostatečně kompenzovaná mimořádnými příjmy ze zdanění vybraných sektorů ekonomiky), tak dopady přetrvávající pádivé inflace (valorizace důchodů, vyšší objem vyplacených sociálních dávek, rostoucí splátky státního dluhu). Kromě toho měl na prohlubující se schodek SR vliv i slábnoucí výkon tuzemské ekonomiky, který ovlivňoval inkaso některých váhově významných rozpočtových příjmů</w:t>
            </w:r>
            <w:r>
              <w:rPr>
                <w:rStyle w:val="Znakapoznpodarou"/>
                <w:spacing w:val="-2"/>
              </w:rPr>
              <w:footnoteReference w:id="5"/>
            </w:r>
            <w:r>
              <w:rPr>
                <w:spacing w:val="-2"/>
              </w:rPr>
              <w:t xml:space="preserve">. </w:t>
            </w:r>
          </w:p>
        </w:tc>
      </w:tr>
      <w:tr w:rsidR="004A3BE4" w:rsidRPr="003C07E6" w14:paraId="5499F127" w14:textId="77777777" w:rsidTr="000A72BC">
        <w:trPr>
          <w:trHeight w:val="145"/>
        </w:trPr>
        <w:tc>
          <w:tcPr>
            <w:tcW w:w="1773" w:type="dxa"/>
            <w:shd w:val="clear" w:color="auto" w:fill="auto"/>
            <w:tcMar>
              <w:left w:w="0" w:type="dxa"/>
            </w:tcMar>
          </w:tcPr>
          <w:p w14:paraId="6F4EDB28" w14:textId="77777777" w:rsidR="004A3BE4" w:rsidRDefault="004A3BE4" w:rsidP="000A72BC">
            <w:pPr>
              <w:pStyle w:val="Marginlie"/>
              <w:rPr>
                <w:spacing w:val="-5"/>
              </w:rPr>
            </w:pPr>
            <w:r w:rsidRPr="00CB5638">
              <w:t>Růst daňových příjmů zrychlil, za rozpočtovým očekáváním však zaostal. K vyšším příjmům přispěl zejména výběr pojistného</w:t>
            </w:r>
            <w:r>
              <w:rPr>
                <w:spacing w:val="-5"/>
              </w:rPr>
              <w:t xml:space="preserve">. </w:t>
            </w:r>
          </w:p>
        </w:tc>
        <w:tc>
          <w:tcPr>
            <w:tcW w:w="217" w:type="dxa"/>
            <w:shd w:val="clear" w:color="auto" w:fill="auto"/>
            <w:tcMar>
              <w:left w:w="0" w:type="dxa"/>
            </w:tcMar>
          </w:tcPr>
          <w:p w14:paraId="3F3A7276" w14:textId="77777777" w:rsidR="004A3BE4" w:rsidRDefault="004A3BE4" w:rsidP="000A72BC">
            <w:pPr>
              <w:pStyle w:val="Textpoznpodarou"/>
              <w:jc w:val="both"/>
              <w:rPr>
                <w:spacing w:val="-4"/>
              </w:rPr>
            </w:pPr>
          </w:p>
        </w:tc>
        <w:tc>
          <w:tcPr>
            <w:tcW w:w="7679" w:type="dxa"/>
            <w:shd w:val="clear" w:color="auto" w:fill="auto"/>
            <w:tcMar>
              <w:left w:w="0" w:type="dxa"/>
            </w:tcMar>
          </w:tcPr>
          <w:p w14:paraId="4045E61E" w14:textId="77777777" w:rsidR="004A3BE4" w:rsidRDefault="004A3BE4" w:rsidP="000A72BC">
            <w:pPr>
              <w:spacing w:after="220"/>
              <w:rPr>
                <w:spacing w:val="-4"/>
              </w:rPr>
            </w:pPr>
            <w:r>
              <w:rPr>
                <w:spacing w:val="-4"/>
              </w:rPr>
              <w:t>Ačkoli celkové příjmy SR vzrostly letos v 1. čtvrtletí meziročně procentuálně nejvíce za posledních deset let (+13,0 %, resp. 46 mld. korun), dosáhly pouze pětiny celoroční rozpočtované výše</w:t>
            </w:r>
            <w:r>
              <w:rPr>
                <w:rStyle w:val="Znakapoznpodarou"/>
                <w:spacing w:val="-4"/>
              </w:rPr>
              <w:footnoteReference w:id="6"/>
            </w:r>
            <w:r>
              <w:rPr>
                <w:spacing w:val="-4"/>
              </w:rPr>
              <w:t>. Zatímco na počátku loňského roku byl růst celkových příjmů tažen převážně inkasem DPH, od ledna do března 2023 se o něj zasloužil primárně vyšší výběr pojistného na sociální zabezpečení (+15,6 mld. korun). Z daňové oblasti přispěly letos nejvíce energetické firmy, a to prostřednictvím nově zavedeného odvodu z nadměrných příjmů (+8,2 mld. korun)</w:t>
            </w:r>
            <w:r>
              <w:rPr>
                <w:rStyle w:val="Znakapoznpodarou"/>
                <w:spacing w:val="-4"/>
              </w:rPr>
              <w:footnoteReference w:id="7"/>
            </w:r>
            <w:r>
              <w:rPr>
                <w:spacing w:val="-4"/>
              </w:rPr>
              <w:t xml:space="preserve">. SR však získal meziročně více na všech váhově významných daňových příjmech (vyjma spotřební daně). </w:t>
            </w:r>
            <w:r w:rsidRPr="00E712F5">
              <w:rPr>
                <w:color w:val="0D0D0D" w:themeColor="text1" w:themeTint="F2"/>
                <w:spacing w:val="-4"/>
              </w:rPr>
              <w:t>Celostátní daňové inkaso (bez pojistného)</w:t>
            </w:r>
            <w:r>
              <w:rPr>
                <w:color w:val="0D0D0D" w:themeColor="text1" w:themeTint="F2"/>
                <w:spacing w:val="-4"/>
              </w:rPr>
              <w:t xml:space="preserve"> na úrovni všech veřejných rozpočtů vzrostlo v 1. čtvrtletí 2023 meziročně o 15,4 %. Trend slábnoucího tempa inkasa, patrný ve druhé polovině loňského roku, se zastavil. Dynamika výběru nepřímých daní ovšem nadále za cenovým růstem v ekonomice citelně zaostávala a dokládala tak pokračující pokles poptávky domácností.</w:t>
            </w:r>
          </w:p>
        </w:tc>
      </w:tr>
      <w:tr w:rsidR="004A3BE4" w:rsidRPr="003C07E6" w14:paraId="7EB22C59" w14:textId="77777777" w:rsidTr="000A72BC">
        <w:trPr>
          <w:trHeight w:val="145"/>
        </w:trPr>
        <w:tc>
          <w:tcPr>
            <w:tcW w:w="1773" w:type="dxa"/>
            <w:shd w:val="clear" w:color="auto" w:fill="auto"/>
            <w:tcMar>
              <w:left w:w="0" w:type="dxa"/>
            </w:tcMar>
          </w:tcPr>
          <w:p w14:paraId="30C5405B" w14:textId="77777777" w:rsidR="004A3BE4" w:rsidRDefault="004A3BE4" w:rsidP="000A72BC">
            <w:pPr>
              <w:pStyle w:val="Marginlie"/>
              <w:rPr>
                <w:spacing w:val="-5"/>
              </w:rPr>
            </w:pPr>
            <w:r>
              <w:rPr>
                <w:spacing w:val="-5"/>
              </w:rPr>
              <w:t>Silný cenový růst se nadále promítal do svižného tempa výběru DPH, které však bylo tlumeno klesající spotřebou domácností.</w:t>
            </w:r>
          </w:p>
          <w:p w14:paraId="1A42BF13" w14:textId="77777777" w:rsidR="004A3BE4" w:rsidRDefault="004A3BE4" w:rsidP="000A72BC">
            <w:pPr>
              <w:pStyle w:val="Marginlie"/>
              <w:rPr>
                <w:spacing w:val="-5"/>
              </w:rPr>
            </w:pPr>
          </w:p>
          <w:p w14:paraId="0DA8F17B" w14:textId="77777777" w:rsidR="004A3BE4" w:rsidRDefault="004A3BE4" w:rsidP="000A72BC">
            <w:pPr>
              <w:pStyle w:val="Marginlie"/>
              <w:rPr>
                <w:spacing w:val="-5"/>
              </w:rPr>
            </w:pPr>
          </w:p>
          <w:p w14:paraId="2544AA4A" w14:textId="77777777" w:rsidR="004A3BE4" w:rsidRDefault="004A3BE4" w:rsidP="000A72BC">
            <w:pPr>
              <w:pStyle w:val="Marginlie"/>
              <w:rPr>
                <w:spacing w:val="-5"/>
              </w:rPr>
            </w:pPr>
          </w:p>
          <w:p w14:paraId="5645B1F9" w14:textId="77777777" w:rsidR="004A3BE4" w:rsidRDefault="004A3BE4" w:rsidP="000A72BC">
            <w:pPr>
              <w:pStyle w:val="Marginlie"/>
              <w:rPr>
                <w:spacing w:val="-5"/>
              </w:rPr>
            </w:pPr>
          </w:p>
          <w:p w14:paraId="4AC9762C" w14:textId="77777777" w:rsidR="004A3BE4" w:rsidRDefault="004A3BE4" w:rsidP="000A72BC">
            <w:pPr>
              <w:pStyle w:val="Marginlie"/>
              <w:rPr>
                <w:spacing w:val="-5"/>
              </w:rPr>
            </w:pPr>
          </w:p>
          <w:p w14:paraId="2DC75239" w14:textId="77777777" w:rsidR="004A3BE4" w:rsidRDefault="004A3BE4" w:rsidP="000A72BC">
            <w:pPr>
              <w:pStyle w:val="Marginlie"/>
              <w:rPr>
                <w:spacing w:val="-5"/>
              </w:rPr>
            </w:pPr>
          </w:p>
          <w:p w14:paraId="52AA1F2F" w14:textId="77777777" w:rsidR="004A3BE4" w:rsidRDefault="004A3BE4" w:rsidP="000A72BC">
            <w:pPr>
              <w:pStyle w:val="Marginlie"/>
              <w:rPr>
                <w:spacing w:val="-5"/>
              </w:rPr>
            </w:pPr>
          </w:p>
          <w:p w14:paraId="637B3D0B" w14:textId="77777777" w:rsidR="004A3BE4" w:rsidRPr="00980316" w:rsidRDefault="004A3BE4" w:rsidP="000A72BC">
            <w:pPr>
              <w:pStyle w:val="Marginlie"/>
              <w:rPr>
                <w:spacing w:val="-5"/>
              </w:rPr>
            </w:pPr>
            <w:r>
              <w:rPr>
                <w:spacing w:val="-5"/>
              </w:rPr>
              <w:lastRenderedPageBreak/>
              <w:t xml:space="preserve">Pokles inkasa spotřební daně odrážel nižší výběr daně z minerálních olejů </w:t>
            </w:r>
            <w:r>
              <w:rPr>
                <w:spacing w:val="-5"/>
              </w:rPr>
              <w:br/>
              <w:t xml:space="preserve">i dopad úspor domácností a firem v oblasti energií. </w:t>
            </w:r>
          </w:p>
        </w:tc>
        <w:tc>
          <w:tcPr>
            <w:tcW w:w="217" w:type="dxa"/>
            <w:shd w:val="clear" w:color="auto" w:fill="auto"/>
            <w:tcMar>
              <w:left w:w="0" w:type="dxa"/>
            </w:tcMar>
          </w:tcPr>
          <w:p w14:paraId="09E1A937" w14:textId="77777777" w:rsidR="004A3BE4" w:rsidRDefault="004A3BE4" w:rsidP="000A72BC">
            <w:pPr>
              <w:pStyle w:val="Textpoznpodarou"/>
              <w:jc w:val="both"/>
              <w:rPr>
                <w:spacing w:val="-4"/>
              </w:rPr>
            </w:pPr>
          </w:p>
        </w:tc>
        <w:tc>
          <w:tcPr>
            <w:tcW w:w="7679" w:type="dxa"/>
            <w:shd w:val="clear" w:color="auto" w:fill="auto"/>
            <w:tcMar>
              <w:left w:w="0" w:type="dxa"/>
            </w:tcMar>
          </w:tcPr>
          <w:p w14:paraId="31254AC5" w14:textId="77777777" w:rsidR="004A3BE4" w:rsidRDefault="004A3BE4" w:rsidP="000A72BC">
            <w:pPr>
              <w:spacing w:after="220"/>
              <w:rPr>
                <w:spacing w:val="-4"/>
              </w:rPr>
            </w:pPr>
            <w:r>
              <w:rPr>
                <w:spacing w:val="-4"/>
              </w:rPr>
              <w:t>Nejvýznamnějším daňovým příjmem pro SR zůstává tradičně DPH. V 1. čtvrtletí 2023 jeho inkaso meziročně posílilo o 9,7 %, obdobným tempem jako ve 2. pololetí 2022. Shodně jako po celý loňský rok byl letos pro vývoj výběru DPH zásadní silný cenový růst v ekonomice. Negativně oproti tomu působil pokračující pokles spotřeby domácností a nově také zvýšení limitu tržeb pro registraci DPH (z 1 na 2 mil. korun). Na spotřební dani (</w:t>
            </w:r>
            <w:r w:rsidRPr="00ED7FD4">
              <w:rPr>
                <w:spacing w:val="-4"/>
              </w:rPr>
              <w:t>včetně energetických daní a daně z digitálních služeb</w:t>
            </w:r>
            <w:r>
              <w:rPr>
                <w:spacing w:val="-4"/>
              </w:rPr>
              <w:t>) plynulo do SR meziročně o 3,7 % méně a výše inkasa tak zatím (stejně jako u DPH) nenaplňovala rozpočtové očekávání. Z váhově významnějších položek této daně se výběr zvýšil pouze u tabákových výrobků (+2,8 %), výhradně ovšem vlivem pokračujícího navyšování daňové sazby. Administrativní opatření</w:t>
            </w:r>
            <w:r>
              <w:rPr>
                <w:rStyle w:val="Znakapoznpodarou"/>
                <w:spacing w:val="-4"/>
              </w:rPr>
              <w:footnoteReference w:id="8"/>
            </w:r>
            <w:r>
              <w:rPr>
                <w:spacing w:val="-4"/>
              </w:rPr>
              <w:t xml:space="preserve"> </w:t>
            </w:r>
            <w:r w:rsidRPr="00ED7FD4">
              <w:rPr>
                <w:spacing w:val="-6"/>
              </w:rPr>
              <w:t>sehrálo zásadní roli i u klíčové daně z minerálních olejů, na níž stát vybral meziročně o 7,2</w:t>
            </w:r>
            <w:r>
              <w:rPr>
                <w:spacing w:val="-4"/>
              </w:rPr>
              <w:t xml:space="preserve"> % méně (v absolutní </w:t>
            </w:r>
            <w:r>
              <w:rPr>
                <w:spacing w:val="-4"/>
              </w:rPr>
              <w:lastRenderedPageBreak/>
              <w:t xml:space="preserve">výši šlo v rámci 1. čtvrtletí o druhé nejnižší inkaso za posledních devět let). Po loňském oživení klesal i výběr daně z lihu (−3 %) či vína a meziproduktů (−6 %), naopak inkaso daně z piva letos rostlo druhým rokem v řadě (za výší z 1. čtvrtletí 2019 ale stále zaostávalo). V důsledku citelného snížení spotřeby elektřiny, plynu i pevných paliv meziročně výrazně poklesl výběr energetických daní (o 14 %). </w:t>
            </w:r>
          </w:p>
        </w:tc>
      </w:tr>
      <w:tr w:rsidR="004A3BE4" w:rsidRPr="003C07E6" w14:paraId="10E68FCF" w14:textId="77777777" w:rsidTr="000A72BC">
        <w:trPr>
          <w:trHeight w:val="145"/>
        </w:trPr>
        <w:tc>
          <w:tcPr>
            <w:tcW w:w="1773" w:type="dxa"/>
            <w:shd w:val="clear" w:color="auto" w:fill="auto"/>
            <w:tcMar>
              <w:left w:w="0" w:type="dxa"/>
            </w:tcMar>
          </w:tcPr>
          <w:p w14:paraId="145C48CC" w14:textId="77777777" w:rsidR="004A3BE4" w:rsidRPr="005E6492" w:rsidRDefault="004A3BE4" w:rsidP="000A72BC">
            <w:pPr>
              <w:pStyle w:val="Marginlie"/>
              <w:rPr>
                <w:color w:val="0D0D0D" w:themeColor="text1" w:themeTint="F2"/>
                <w:spacing w:val="-5"/>
              </w:rPr>
            </w:pPr>
            <w:r>
              <w:rPr>
                <w:color w:val="0D0D0D" w:themeColor="text1" w:themeTint="F2"/>
              </w:rPr>
              <w:lastRenderedPageBreak/>
              <w:t xml:space="preserve">Výběr daně </w:t>
            </w:r>
            <w:r>
              <w:t>z příjmů právnických osob pokračoval ve svižném tempu a nad úrovní očekávání rozpočtu.</w:t>
            </w:r>
          </w:p>
        </w:tc>
        <w:tc>
          <w:tcPr>
            <w:tcW w:w="217" w:type="dxa"/>
            <w:shd w:val="clear" w:color="auto" w:fill="auto"/>
            <w:tcMar>
              <w:left w:w="0" w:type="dxa"/>
            </w:tcMar>
          </w:tcPr>
          <w:p w14:paraId="33617454" w14:textId="77777777" w:rsidR="004A3BE4" w:rsidRPr="005E6492"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3CB89986" w14:textId="40112C8F" w:rsidR="004A3BE4" w:rsidRPr="00E51C90" w:rsidRDefault="004A3BE4" w:rsidP="000A72BC">
            <w:pPr>
              <w:spacing w:after="220"/>
              <w:rPr>
                <w:spacing w:val="-4"/>
              </w:rPr>
            </w:pPr>
            <w:r>
              <w:rPr>
                <w:spacing w:val="-4"/>
              </w:rPr>
              <w:t>Na korporátní dani získal SR meziročně o pětinu více (podobným tempem se zvyšovalo inkaso této daně i ve druhé polovině loňského roku). Také o</w:t>
            </w:r>
            <w:r w:rsidRPr="001D578B">
              <w:rPr>
                <w:spacing w:val="-4"/>
              </w:rPr>
              <w:t>dvod</w:t>
            </w:r>
            <w:r>
              <w:rPr>
                <w:spacing w:val="-4"/>
              </w:rPr>
              <w:t>y</w:t>
            </w:r>
            <w:r w:rsidRPr="001D578B">
              <w:rPr>
                <w:spacing w:val="-4"/>
              </w:rPr>
              <w:t xml:space="preserve"> z nadměrných příjmů</w:t>
            </w:r>
            <w:r>
              <w:rPr>
                <w:spacing w:val="-4"/>
              </w:rPr>
              <w:t xml:space="preserve"> z prodeje elektřiny rostly letos v 1. čtvrtletí rychleji, než činilo rozpočtové očekávání. Naopak u jiného mimořádného příjmu – daně z neočekávaných zisků</w:t>
            </w:r>
            <w:r>
              <w:rPr>
                <w:rStyle w:val="Znakapoznpodarou"/>
                <w:spacing w:val="-4"/>
              </w:rPr>
              <w:footnoteReference w:id="9"/>
            </w:r>
            <w:r>
              <w:rPr>
                <w:spacing w:val="-4"/>
              </w:rPr>
              <w:t xml:space="preserve"> – se předpokládají první splátky podniků až letos v září. Nicméně původní rozpočtový odhad tohoto celoročního inkasa byl již letos v dubnu razantně revidován (</w:t>
            </w:r>
            <w:r w:rsidR="00FD4372">
              <w:rPr>
                <w:spacing w:val="-4"/>
              </w:rPr>
              <w:t xml:space="preserve">z </w:t>
            </w:r>
            <w:r>
              <w:rPr>
                <w:spacing w:val="-4"/>
              </w:rPr>
              <w:t>85 mld. korun na 28 mld.</w:t>
            </w:r>
            <w:r w:rsidR="00FD4372">
              <w:rPr>
                <w:spacing w:val="-4"/>
              </w:rPr>
              <w:t xml:space="preserve"> korun</w:t>
            </w:r>
            <w:r>
              <w:rPr>
                <w:spacing w:val="-4"/>
              </w:rPr>
              <w:t>).</w:t>
            </w:r>
          </w:p>
        </w:tc>
      </w:tr>
      <w:tr w:rsidR="004A3BE4" w:rsidRPr="003C07E6" w14:paraId="159D09AB" w14:textId="77777777" w:rsidTr="000A72BC">
        <w:trPr>
          <w:trHeight w:val="145"/>
        </w:trPr>
        <w:tc>
          <w:tcPr>
            <w:tcW w:w="1773" w:type="dxa"/>
            <w:shd w:val="clear" w:color="auto" w:fill="auto"/>
            <w:tcMar>
              <w:left w:w="0" w:type="dxa"/>
            </w:tcMar>
          </w:tcPr>
          <w:p w14:paraId="7827C1C7" w14:textId="77777777" w:rsidR="004A3BE4" w:rsidRPr="005E6492" w:rsidRDefault="004A3BE4" w:rsidP="000A72BC">
            <w:pPr>
              <w:pStyle w:val="Marginlie"/>
              <w:rPr>
                <w:color w:val="0D0D0D" w:themeColor="text1" w:themeTint="F2"/>
              </w:rPr>
            </w:pPr>
            <w:r>
              <w:t>Svižný růst inkasa daně z příjmu fyzických osob reflektoval příznivou pozici zaměstnanců na pracovním trhu.</w:t>
            </w:r>
          </w:p>
        </w:tc>
        <w:tc>
          <w:tcPr>
            <w:tcW w:w="217" w:type="dxa"/>
            <w:shd w:val="clear" w:color="auto" w:fill="auto"/>
            <w:tcMar>
              <w:left w:w="0" w:type="dxa"/>
            </w:tcMar>
          </w:tcPr>
          <w:p w14:paraId="2841D75F" w14:textId="77777777" w:rsidR="004A3BE4" w:rsidRPr="005E6492"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00F01688" w14:textId="77777777" w:rsidR="004A3BE4" w:rsidRPr="003B064D" w:rsidRDefault="004A3BE4" w:rsidP="000A72BC">
            <w:pPr>
              <w:spacing w:after="220"/>
              <w:rPr>
                <w:spacing w:val="-4"/>
              </w:rPr>
            </w:pPr>
            <w:r>
              <w:rPr>
                <w:spacing w:val="-4"/>
              </w:rPr>
              <w:t xml:space="preserve">Svižně vzrostl i příjem SR z </w:t>
            </w:r>
            <w:r w:rsidRPr="00FF192C">
              <w:rPr>
                <w:spacing w:val="-4"/>
              </w:rPr>
              <w:t>daně z</w:t>
            </w:r>
            <w:r w:rsidRPr="005C1CC6">
              <w:rPr>
                <w:color w:val="0D0D0D" w:themeColor="text1" w:themeTint="F2"/>
                <w:spacing w:val="-4"/>
              </w:rPr>
              <w:t> příjmů od fyzických osob (DPFO</w:t>
            </w:r>
            <w:r>
              <w:rPr>
                <w:spacing w:val="-4"/>
              </w:rPr>
              <w:t>), když byl meziročně vyšší o 23,5 %, resp. 6,9 mld. korun</w:t>
            </w:r>
            <w:r>
              <w:rPr>
                <w:rStyle w:val="Znakapoznpodarou"/>
                <w:spacing w:val="-4"/>
              </w:rPr>
              <w:footnoteReference w:id="10"/>
            </w:r>
            <w:r>
              <w:rPr>
                <w:spacing w:val="-4"/>
              </w:rPr>
              <w:t xml:space="preserve">. Stalo se tak především zásluhou klíčové příjmové daně placené plátci (ze závislé činnosti), do níž se promítal pokračující růst zaměstnanosti i mírně zrychlující růst průměrné mzdy. V menší míře se zde projevil i vliv daňových změn (zrušení kompenzačního bonusu na pomoc drobným podnikatelům během pandemie, pokračující navyšování daňové slevy na poplatníka). Dařilo se také inkasu DPFO vybírané srážkou, na níž stát vybral meziročně o polovinu více (zásluhou růstu úrokových sazeb </w:t>
            </w:r>
            <w:r>
              <w:rPr>
                <w:spacing w:val="-4"/>
              </w:rPr>
              <w:br/>
              <w:t xml:space="preserve">i vyššího počtu osob pracujících na dohody). Naopak výběr váhově méně významné daně DPFO placené poplatníky, jež cílí především na drobné podnikatele, se meziročně </w:t>
            </w:r>
            <w:r>
              <w:rPr>
                <w:spacing w:val="-4"/>
              </w:rPr>
              <w:br/>
              <w:t>o desetinu snížil</w:t>
            </w:r>
            <w:r>
              <w:rPr>
                <w:rStyle w:val="Znakapoznpodarou"/>
                <w:spacing w:val="-4"/>
              </w:rPr>
              <w:footnoteReference w:id="11"/>
            </w:r>
            <w:r>
              <w:rPr>
                <w:spacing w:val="-4"/>
              </w:rPr>
              <w:t xml:space="preserve">. Nižší inkaso souvisí i s navýšením slevy na poplatníka a s posunem zákonných lhůt pro podání daně (u osob, jež mají povinnost podávat přiznání elektronicky). </w:t>
            </w:r>
          </w:p>
        </w:tc>
      </w:tr>
      <w:tr w:rsidR="004A3BE4" w:rsidRPr="00F704D2" w14:paraId="65593B19" w14:textId="77777777" w:rsidTr="000A72BC">
        <w:trPr>
          <w:trHeight w:val="170"/>
        </w:trPr>
        <w:tc>
          <w:tcPr>
            <w:tcW w:w="1773" w:type="dxa"/>
            <w:vMerge w:val="restart"/>
            <w:shd w:val="clear" w:color="auto" w:fill="auto"/>
            <w:tcMar>
              <w:left w:w="0" w:type="dxa"/>
            </w:tcMar>
          </w:tcPr>
          <w:p w14:paraId="4488A9AF" w14:textId="77777777" w:rsidR="004A3BE4" w:rsidRDefault="004A3BE4" w:rsidP="000A72BC">
            <w:pPr>
              <w:pStyle w:val="Marginlie"/>
            </w:pPr>
          </w:p>
        </w:tc>
        <w:tc>
          <w:tcPr>
            <w:tcW w:w="217" w:type="dxa"/>
            <w:vMerge w:val="restart"/>
            <w:shd w:val="clear" w:color="auto" w:fill="auto"/>
            <w:tcMar>
              <w:left w:w="0" w:type="dxa"/>
            </w:tcMar>
          </w:tcPr>
          <w:p w14:paraId="49E26545" w14:textId="77777777" w:rsidR="004A3BE4" w:rsidRDefault="004A3BE4" w:rsidP="000A72BC">
            <w:pPr>
              <w:pStyle w:val="Textpoznpodarou"/>
              <w:jc w:val="both"/>
              <w:rPr>
                <w:spacing w:val="-4"/>
              </w:rPr>
            </w:pPr>
          </w:p>
        </w:tc>
        <w:tc>
          <w:tcPr>
            <w:tcW w:w="7679" w:type="dxa"/>
            <w:shd w:val="clear" w:color="auto" w:fill="auto"/>
            <w:tcMar>
              <w:left w:w="0" w:type="dxa"/>
            </w:tcMar>
          </w:tcPr>
          <w:p w14:paraId="0D53DD30" w14:textId="77777777" w:rsidR="004A3BE4" w:rsidRPr="00CC3017" w:rsidRDefault="004A3BE4" w:rsidP="000A72BC">
            <w:pPr>
              <w:spacing w:after="20"/>
              <w:rPr>
                <w:rFonts w:cs="Arial"/>
                <w:b/>
                <w:bCs/>
                <w:color w:val="000000"/>
                <w:spacing w:val="-4"/>
                <w:szCs w:val="20"/>
              </w:rPr>
            </w:pPr>
            <w:r>
              <w:rPr>
                <w:rFonts w:cs="Arial"/>
                <w:b/>
                <w:bCs/>
                <w:color w:val="000000"/>
                <w:spacing w:val="-4"/>
                <w:szCs w:val="20"/>
              </w:rPr>
              <w:t>Graf č. 18</w:t>
            </w:r>
            <w:r w:rsidRPr="00A66749">
              <w:rPr>
                <w:rFonts w:cs="Arial"/>
                <w:b/>
                <w:bCs/>
                <w:color w:val="000000"/>
                <w:spacing w:val="-4"/>
                <w:szCs w:val="20"/>
              </w:rPr>
              <w:t xml:space="preserve"> </w:t>
            </w:r>
            <w:r>
              <w:rPr>
                <w:rFonts w:cs="Arial"/>
                <w:b/>
                <w:bCs/>
                <w:color w:val="000000"/>
                <w:spacing w:val="-4"/>
                <w:szCs w:val="20"/>
              </w:rPr>
              <w:t>Příspěvek dílčích příjmů k meziročnímu růstu c</w:t>
            </w:r>
            <w:r w:rsidRPr="00C37D7A">
              <w:rPr>
                <w:rFonts w:cs="Arial"/>
                <w:b/>
                <w:bCs/>
                <w:color w:val="000000"/>
                <w:spacing w:val="-4"/>
                <w:szCs w:val="20"/>
              </w:rPr>
              <w:t>elostátní</w:t>
            </w:r>
            <w:r>
              <w:rPr>
                <w:rFonts w:cs="Arial"/>
                <w:b/>
                <w:bCs/>
                <w:color w:val="000000"/>
                <w:spacing w:val="-4"/>
                <w:szCs w:val="20"/>
              </w:rPr>
              <w:t>ho inkas</w:t>
            </w:r>
            <w:r w:rsidRPr="00C37D7A">
              <w:rPr>
                <w:rFonts w:cs="Arial"/>
                <w:b/>
                <w:bCs/>
                <w:color w:val="000000"/>
                <w:spacing w:val="-4"/>
                <w:szCs w:val="20"/>
              </w:rPr>
              <w:t xml:space="preserve">a daňových příjmů </w:t>
            </w:r>
            <w:r w:rsidRPr="00CC7FBA">
              <w:rPr>
                <w:rFonts w:cs="Arial"/>
                <w:bCs/>
                <w:color w:val="000000"/>
                <w:spacing w:val="-4"/>
                <w:szCs w:val="20"/>
              </w:rPr>
              <w:t>(v p. b.)</w:t>
            </w:r>
            <w:r w:rsidRPr="00C37D7A">
              <w:rPr>
                <w:rFonts w:cs="Arial"/>
                <w:b/>
                <w:bCs/>
                <w:color w:val="000000"/>
                <w:spacing w:val="-4"/>
                <w:szCs w:val="20"/>
              </w:rPr>
              <w:t xml:space="preserve"> a saldo státního rozpočtu </w:t>
            </w:r>
            <w:r w:rsidRPr="00CC7FBA">
              <w:rPr>
                <w:rFonts w:cs="Arial"/>
                <w:bCs/>
                <w:color w:val="000000"/>
                <w:spacing w:val="-4"/>
                <w:szCs w:val="20"/>
              </w:rPr>
              <w:t>(v mld. korun)</w:t>
            </w:r>
            <w:r>
              <w:rPr>
                <w:rFonts w:cs="Arial"/>
                <w:b/>
                <w:bCs/>
                <w:color w:val="000000"/>
                <w:spacing w:val="-4"/>
                <w:szCs w:val="20"/>
              </w:rPr>
              <w:t xml:space="preserve"> v rámci 1. čtvrtletí</w:t>
            </w:r>
          </w:p>
        </w:tc>
      </w:tr>
      <w:tr w:rsidR="004A3BE4" w14:paraId="707001AD" w14:textId="77777777" w:rsidTr="000A72BC">
        <w:tblPrEx>
          <w:tblCellMar>
            <w:left w:w="70" w:type="dxa"/>
            <w:right w:w="70" w:type="dxa"/>
          </w:tblCellMar>
        </w:tblPrEx>
        <w:trPr>
          <w:trHeight w:val="170"/>
        </w:trPr>
        <w:tc>
          <w:tcPr>
            <w:tcW w:w="1773" w:type="dxa"/>
            <w:vMerge/>
            <w:shd w:val="clear" w:color="auto" w:fill="auto"/>
          </w:tcPr>
          <w:p w14:paraId="2B3D24EB" w14:textId="77777777" w:rsidR="004A3BE4" w:rsidRDefault="004A3BE4" w:rsidP="000A72BC">
            <w:pPr>
              <w:pStyle w:val="Marginlie"/>
            </w:pPr>
          </w:p>
        </w:tc>
        <w:tc>
          <w:tcPr>
            <w:tcW w:w="217" w:type="dxa"/>
            <w:vMerge/>
            <w:shd w:val="clear" w:color="auto" w:fill="auto"/>
          </w:tcPr>
          <w:p w14:paraId="63BE285B" w14:textId="77777777" w:rsidR="004A3BE4" w:rsidRDefault="004A3BE4" w:rsidP="000A72BC">
            <w:pPr>
              <w:pStyle w:val="Textpoznpodarou"/>
              <w:jc w:val="both"/>
              <w:rPr>
                <w:spacing w:val="-4"/>
              </w:rPr>
            </w:pPr>
          </w:p>
        </w:tc>
        <w:tc>
          <w:tcPr>
            <w:tcW w:w="7679" w:type="dxa"/>
            <w:shd w:val="clear" w:color="auto" w:fill="auto"/>
          </w:tcPr>
          <w:p w14:paraId="111F14DC" w14:textId="77777777" w:rsidR="004A3BE4" w:rsidRPr="0067514E" w:rsidRDefault="004A3BE4" w:rsidP="000A72BC">
            <w:pPr>
              <w:spacing w:after="0"/>
              <w:rPr>
                <w:spacing w:val="-6"/>
              </w:rPr>
            </w:pPr>
            <w:r>
              <w:rPr>
                <w:noProof/>
              </w:rPr>
              <w:drawing>
                <wp:inline distT="0" distB="0" distL="0" distR="0" wp14:anchorId="647D4C46" wp14:editId="35E3FD03">
                  <wp:extent cx="4741545" cy="3418764"/>
                  <wp:effectExtent l="0" t="0" r="1905"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A3BE4" w:rsidRPr="007B3A78" w14:paraId="7AD7F169" w14:textId="77777777" w:rsidTr="000A72BC">
        <w:trPr>
          <w:trHeight w:val="170"/>
        </w:trPr>
        <w:tc>
          <w:tcPr>
            <w:tcW w:w="1773" w:type="dxa"/>
            <w:vMerge/>
            <w:shd w:val="clear" w:color="auto" w:fill="auto"/>
            <w:tcMar>
              <w:left w:w="0" w:type="dxa"/>
            </w:tcMar>
          </w:tcPr>
          <w:p w14:paraId="13FD4E2D" w14:textId="77777777" w:rsidR="004A3BE4" w:rsidRDefault="004A3BE4" w:rsidP="000A72BC">
            <w:pPr>
              <w:pStyle w:val="Marginlie"/>
            </w:pPr>
          </w:p>
        </w:tc>
        <w:tc>
          <w:tcPr>
            <w:tcW w:w="217" w:type="dxa"/>
            <w:vMerge/>
            <w:shd w:val="clear" w:color="auto" w:fill="auto"/>
            <w:tcMar>
              <w:left w:w="0" w:type="dxa"/>
            </w:tcMar>
          </w:tcPr>
          <w:p w14:paraId="77ACBF6E" w14:textId="77777777" w:rsidR="004A3BE4" w:rsidRDefault="004A3BE4" w:rsidP="000A72BC">
            <w:pPr>
              <w:pStyle w:val="Textpoznpodarou"/>
              <w:jc w:val="both"/>
              <w:rPr>
                <w:spacing w:val="-4"/>
              </w:rPr>
            </w:pPr>
          </w:p>
        </w:tc>
        <w:tc>
          <w:tcPr>
            <w:tcW w:w="7679" w:type="dxa"/>
            <w:shd w:val="clear" w:color="auto" w:fill="auto"/>
            <w:tcMar>
              <w:left w:w="0" w:type="dxa"/>
            </w:tcMar>
          </w:tcPr>
          <w:p w14:paraId="3938C9CF" w14:textId="77777777" w:rsidR="004A3BE4" w:rsidRDefault="004A3BE4" w:rsidP="000A72BC">
            <w:pPr>
              <w:tabs>
                <w:tab w:val="right" w:pos="7683"/>
              </w:tabs>
              <w:spacing w:after="0" w:line="240" w:lineRule="auto"/>
              <w:jc w:val="left"/>
              <w:rPr>
                <w:sz w:val="16"/>
                <w:szCs w:val="16"/>
              </w:rPr>
            </w:pPr>
            <w:r>
              <w:rPr>
                <w:spacing w:val="-2"/>
                <w:sz w:val="14"/>
                <w:szCs w:val="14"/>
              </w:rPr>
              <w:t>Poznámka: Údaje očištěné o vliv prostředků z EU a Finančních mechanismů jsou k dispozici od roku 2013.</w:t>
            </w:r>
          </w:p>
          <w:p w14:paraId="52A2E4F0" w14:textId="0BF7999C" w:rsidR="004A3BE4" w:rsidRDefault="004A3BE4" w:rsidP="000A72BC">
            <w:pPr>
              <w:tabs>
                <w:tab w:val="right" w:pos="7683"/>
              </w:tabs>
              <w:spacing w:after="0" w:line="240" w:lineRule="auto"/>
              <w:jc w:val="left"/>
              <w:rPr>
                <w:sz w:val="14"/>
                <w:szCs w:val="14"/>
              </w:rPr>
            </w:pPr>
            <w:r w:rsidRPr="002777A9">
              <w:rPr>
                <w:sz w:val="14"/>
                <w:szCs w:val="14"/>
              </w:rPr>
              <w:t>*</w:t>
            </w:r>
            <w:r>
              <w:rPr>
                <w:sz w:val="14"/>
                <w:szCs w:val="14"/>
              </w:rPr>
              <w:t>Zahrnují zejména silniční daň, d</w:t>
            </w:r>
            <w:r w:rsidRPr="001F4360">
              <w:rPr>
                <w:sz w:val="14"/>
                <w:szCs w:val="14"/>
              </w:rPr>
              <w:t>aň z hazardních her</w:t>
            </w:r>
            <w:r>
              <w:rPr>
                <w:sz w:val="14"/>
                <w:szCs w:val="14"/>
              </w:rPr>
              <w:t>, d</w:t>
            </w:r>
            <w:r w:rsidRPr="001F4360">
              <w:rPr>
                <w:sz w:val="14"/>
                <w:szCs w:val="14"/>
              </w:rPr>
              <w:t>álniční poplatek</w:t>
            </w:r>
            <w:r w:rsidR="00EB6473">
              <w:rPr>
                <w:sz w:val="14"/>
                <w:szCs w:val="14"/>
              </w:rPr>
              <w:t xml:space="preserve"> a</w:t>
            </w:r>
            <w:r>
              <w:rPr>
                <w:sz w:val="14"/>
                <w:szCs w:val="14"/>
              </w:rPr>
              <w:t xml:space="preserve"> </w:t>
            </w:r>
            <w:r w:rsidR="00EB6473">
              <w:rPr>
                <w:sz w:val="14"/>
                <w:szCs w:val="14"/>
              </w:rPr>
              <w:t>mýtné.</w:t>
            </w:r>
            <w:r>
              <w:rPr>
                <w:sz w:val="14"/>
                <w:szCs w:val="14"/>
              </w:rPr>
              <w:t xml:space="preserve"> </w:t>
            </w:r>
          </w:p>
          <w:p w14:paraId="4E35A3C1" w14:textId="77777777" w:rsidR="004A3BE4" w:rsidRPr="002777A9" w:rsidRDefault="004A3BE4" w:rsidP="000A72BC">
            <w:pPr>
              <w:tabs>
                <w:tab w:val="right" w:pos="7683"/>
              </w:tabs>
              <w:spacing w:after="0" w:line="240" w:lineRule="auto"/>
              <w:jc w:val="left"/>
              <w:rPr>
                <w:spacing w:val="-2"/>
                <w:sz w:val="14"/>
                <w:szCs w:val="14"/>
              </w:rPr>
            </w:pPr>
            <w:r w:rsidRPr="002777A9">
              <w:rPr>
                <w:sz w:val="14"/>
                <w:szCs w:val="14"/>
              </w:rPr>
              <w:t>Zdroj: MF ČR</w:t>
            </w:r>
          </w:p>
        </w:tc>
      </w:tr>
      <w:tr w:rsidR="004A3BE4" w:rsidRPr="007B3A78" w14:paraId="4D2E6F13" w14:textId="77777777" w:rsidTr="000A72BC">
        <w:trPr>
          <w:trHeight w:val="170"/>
        </w:trPr>
        <w:tc>
          <w:tcPr>
            <w:tcW w:w="1773" w:type="dxa"/>
            <w:shd w:val="clear" w:color="auto" w:fill="auto"/>
            <w:tcMar>
              <w:left w:w="0" w:type="dxa"/>
            </w:tcMar>
          </w:tcPr>
          <w:p w14:paraId="4955423A" w14:textId="36B0D5D2" w:rsidR="004A3BE4" w:rsidRDefault="008F130B" w:rsidP="000A72BC">
            <w:pPr>
              <w:pStyle w:val="Marginlie"/>
            </w:pPr>
            <w:r>
              <w:lastRenderedPageBreak/>
              <w:t xml:space="preserve">Příjem z rozpočtu EU </w:t>
            </w:r>
            <w:r>
              <w:br/>
              <w:t>a Finančních mechanismů</w:t>
            </w:r>
            <w:r w:rsidR="004A3BE4">
              <w:t xml:space="preserve"> se meziročně mírně navýšil.</w:t>
            </w:r>
          </w:p>
        </w:tc>
        <w:tc>
          <w:tcPr>
            <w:tcW w:w="217" w:type="dxa"/>
            <w:shd w:val="clear" w:color="auto" w:fill="auto"/>
            <w:tcMar>
              <w:left w:w="0" w:type="dxa"/>
            </w:tcMar>
          </w:tcPr>
          <w:p w14:paraId="66DA994A" w14:textId="77777777" w:rsidR="004A3BE4" w:rsidRDefault="004A3BE4" w:rsidP="000A72BC">
            <w:pPr>
              <w:pStyle w:val="Textpoznpodarou"/>
              <w:jc w:val="both"/>
              <w:rPr>
                <w:spacing w:val="-4"/>
              </w:rPr>
            </w:pPr>
          </w:p>
        </w:tc>
        <w:tc>
          <w:tcPr>
            <w:tcW w:w="7679" w:type="dxa"/>
            <w:shd w:val="clear" w:color="auto" w:fill="auto"/>
            <w:tcMar>
              <w:left w:w="0" w:type="dxa"/>
            </w:tcMar>
          </w:tcPr>
          <w:p w14:paraId="6B378D23" w14:textId="1F0C73F8" w:rsidR="004A3BE4" w:rsidRPr="00F0531D" w:rsidRDefault="004A3BE4" w:rsidP="000A72BC">
            <w:pPr>
              <w:spacing w:after="220"/>
              <w:rPr>
                <w:spacing w:val="-5"/>
              </w:rPr>
            </w:pPr>
            <w:r w:rsidRPr="00F0531D">
              <w:rPr>
                <w:spacing w:val="-5"/>
              </w:rPr>
              <w:t>Na rozdíl od počátku loňského roku letos v 1. čtvrtletí meziročně vzrostly (+7,6 %)</w:t>
            </w:r>
            <w:r>
              <w:rPr>
                <w:spacing w:val="-5"/>
              </w:rPr>
              <w:t xml:space="preserve"> </w:t>
            </w:r>
            <w:r w:rsidRPr="00F0531D">
              <w:rPr>
                <w:spacing w:val="-5"/>
              </w:rPr>
              <w:t>nedaňové příjmy (vč. kapitálových příjmů a přijatých transferů), jejich příspěvek k navýšení celkových příjmů SR však nebyl nikterak zásadní. To souvisí s jejich dosud relativně nízkým plněním</w:t>
            </w:r>
            <w:r w:rsidRPr="00F0531D">
              <w:rPr>
                <w:rStyle w:val="Znakapoznpodarou"/>
                <w:spacing w:val="-5"/>
              </w:rPr>
              <w:footnoteReference w:id="12"/>
            </w:r>
            <w:r w:rsidRPr="00F0531D">
              <w:rPr>
                <w:spacing w:val="-5"/>
              </w:rPr>
              <w:t xml:space="preserve">, neboť do očekávaných celoročních příjmů byly zařazeny i meziročně výrazně posílené výnosy z obchodování s emisními povolenkami (většina z nich </w:t>
            </w:r>
            <w:r w:rsidR="0076579C">
              <w:rPr>
                <w:spacing w:val="-5"/>
              </w:rPr>
              <w:t>je ovšem určena na dekarbonizaci</w:t>
            </w:r>
            <w:r w:rsidRPr="00F0531D">
              <w:rPr>
                <w:spacing w:val="-5"/>
              </w:rPr>
              <w:t xml:space="preserve"> ekonomiky </w:t>
            </w:r>
            <w:r>
              <w:rPr>
                <w:spacing w:val="-5"/>
              </w:rPr>
              <w:t xml:space="preserve">a </w:t>
            </w:r>
            <w:r w:rsidRPr="00F0531D">
              <w:rPr>
                <w:spacing w:val="-5"/>
              </w:rPr>
              <w:t>realizovaná prostřednictvím Modernizačního fondu). Váhově dominantní položka nedaňových příjmů – příjmy z EU a Finančních mechanismů</w:t>
            </w:r>
            <w:r w:rsidRPr="00F0531D">
              <w:rPr>
                <w:rStyle w:val="Znakapoznpodarou"/>
                <w:spacing w:val="-5"/>
              </w:rPr>
              <w:footnoteReference w:id="13"/>
            </w:r>
            <w:r w:rsidRPr="00F0531D">
              <w:rPr>
                <w:spacing w:val="-5"/>
              </w:rPr>
              <w:t xml:space="preserve"> – v 1.</w:t>
            </w:r>
            <w:r>
              <w:rPr>
                <w:spacing w:val="-5"/>
              </w:rPr>
              <w:t> </w:t>
            </w:r>
            <w:r w:rsidRPr="00F0531D">
              <w:rPr>
                <w:spacing w:val="-6"/>
              </w:rPr>
              <w:t>čtvrtletí posílila o 6,1  % (+1,6 mld. korun), kdy došlo k proplacení dříve SR předfinancovaných</w:t>
            </w:r>
            <w:r w:rsidRPr="00F0531D">
              <w:rPr>
                <w:spacing w:val="-5"/>
              </w:rPr>
              <w:t xml:space="preserve"> výdajů v oblasti společné zemědělské politiky a </w:t>
            </w:r>
            <w:r>
              <w:rPr>
                <w:spacing w:val="-5"/>
              </w:rPr>
              <w:t xml:space="preserve">v </w:t>
            </w:r>
            <w:r w:rsidRPr="00F0531D">
              <w:rPr>
                <w:spacing w:val="-5"/>
              </w:rPr>
              <w:t>dalších podporovaných oblastech z</w:t>
            </w:r>
            <w:bookmarkStart w:id="2" w:name="OLE_LINK1"/>
            <w:r w:rsidRPr="00F0531D">
              <w:rPr>
                <w:spacing w:val="-5"/>
              </w:rPr>
              <w:t> </w:t>
            </w:r>
            <w:bookmarkEnd w:id="2"/>
            <w:r w:rsidRPr="00F0531D">
              <w:rPr>
                <w:spacing w:val="-5"/>
              </w:rPr>
              <w:t xml:space="preserve">programového období </w:t>
            </w:r>
            <w:r>
              <w:rPr>
                <w:spacing w:val="-5"/>
              </w:rPr>
              <w:t>2014+ šlo především</w:t>
            </w:r>
            <w:r w:rsidRPr="00F0531D">
              <w:rPr>
                <w:spacing w:val="-5"/>
              </w:rPr>
              <w:t xml:space="preserve"> </w:t>
            </w:r>
            <w:r>
              <w:rPr>
                <w:spacing w:val="-5"/>
              </w:rPr>
              <w:t xml:space="preserve">o </w:t>
            </w:r>
            <w:r w:rsidRPr="00F0531D">
              <w:rPr>
                <w:spacing w:val="-5"/>
              </w:rPr>
              <w:t xml:space="preserve">operační program Podnikání, inovace i konkurenceschopnost, Doprava, Životní prostředí. </w:t>
            </w:r>
          </w:p>
        </w:tc>
      </w:tr>
      <w:tr w:rsidR="004A3BE4" w:rsidRPr="007B3A78" w14:paraId="458CCD4A" w14:textId="77777777" w:rsidTr="000A72BC">
        <w:trPr>
          <w:trHeight w:val="170"/>
        </w:trPr>
        <w:tc>
          <w:tcPr>
            <w:tcW w:w="1773" w:type="dxa"/>
            <w:shd w:val="clear" w:color="auto" w:fill="auto"/>
            <w:tcMar>
              <w:left w:w="0" w:type="dxa"/>
            </w:tcMar>
          </w:tcPr>
          <w:p w14:paraId="09681362" w14:textId="77777777" w:rsidR="004A3BE4" w:rsidRDefault="004A3BE4" w:rsidP="000A72BC">
            <w:pPr>
              <w:pStyle w:val="Marginlie"/>
            </w:pPr>
            <w:r>
              <w:t>Potřeba mimořádných transferů i efekt vyššího předfinancování stály za rekordním růstem výdajů SR.</w:t>
            </w:r>
          </w:p>
        </w:tc>
        <w:tc>
          <w:tcPr>
            <w:tcW w:w="217" w:type="dxa"/>
            <w:shd w:val="clear" w:color="auto" w:fill="auto"/>
            <w:tcMar>
              <w:left w:w="0" w:type="dxa"/>
            </w:tcMar>
          </w:tcPr>
          <w:p w14:paraId="78BC4428" w14:textId="77777777" w:rsidR="004A3BE4" w:rsidRDefault="004A3BE4" w:rsidP="000A72BC">
            <w:pPr>
              <w:pStyle w:val="Textpoznpodarou"/>
              <w:jc w:val="both"/>
              <w:rPr>
                <w:spacing w:val="-4"/>
              </w:rPr>
            </w:pPr>
          </w:p>
        </w:tc>
        <w:tc>
          <w:tcPr>
            <w:tcW w:w="7679" w:type="dxa"/>
            <w:shd w:val="clear" w:color="auto" w:fill="auto"/>
            <w:tcMar>
              <w:left w:w="0" w:type="dxa"/>
            </w:tcMar>
          </w:tcPr>
          <w:p w14:paraId="698F9D27" w14:textId="18E98A34" w:rsidR="004A3BE4" w:rsidRPr="008F130B" w:rsidRDefault="008F130B" w:rsidP="000A72BC">
            <w:pPr>
              <w:spacing w:after="220"/>
              <w:rPr>
                <w:color w:val="0D0D0D" w:themeColor="text1" w:themeTint="F2"/>
                <w:spacing w:val="-4"/>
              </w:rPr>
            </w:pPr>
            <w:r w:rsidRPr="008F130B">
              <w:rPr>
                <w:color w:val="0D0D0D" w:themeColor="text1" w:themeTint="F2"/>
                <w:spacing w:val="-5"/>
              </w:rPr>
              <w:t>Celkové výdaje SR</w:t>
            </w:r>
            <w:r w:rsidR="004A3BE4" w:rsidRPr="008F130B">
              <w:rPr>
                <w:color w:val="0D0D0D" w:themeColor="text1" w:themeTint="F2"/>
                <w:spacing w:val="-5"/>
              </w:rPr>
              <w:t xml:space="preserve"> v 1. čtvrtletí 20</w:t>
            </w:r>
            <w:r w:rsidRPr="008F130B">
              <w:rPr>
                <w:color w:val="0D0D0D" w:themeColor="text1" w:themeTint="F2"/>
                <w:spacing w:val="-5"/>
              </w:rPr>
              <w:t>23 meziročně vzrostly</w:t>
            </w:r>
            <w:r w:rsidR="004A3BE4" w:rsidRPr="008F130B">
              <w:rPr>
                <w:color w:val="0D0D0D" w:themeColor="text1" w:themeTint="F2"/>
                <w:spacing w:val="-5"/>
              </w:rPr>
              <w:t xml:space="preserve"> o rekordních 36,9 %</w:t>
            </w:r>
            <w:r w:rsidR="004A3BE4" w:rsidRPr="008F130B">
              <w:rPr>
                <w:rStyle w:val="Znakapoznpodarou"/>
                <w:color w:val="0D0D0D" w:themeColor="text1" w:themeTint="F2"/>
                <w:spacing w:val="-5"/>
              </w:rPr>
              <w:footnoteReference w:id="14"/>
            </w:r>
            <w:r w:rsidR="004A3BE4" w:rsidRPr="008F130B">
              <w:rPr>
                <w:color w:val="0D0D0D" w:themeColor="text1" w:themeTint="F2"/>
                <w:spacing w:val="-5"/>
              </w:rPr>
              <w:t xml:space="preserve"> (+153 </w:t>
            </w:r>
            <w:r>
              <w:rPr>
                <w:color w:val="0D0D0D" w:themeColor="text1" w:themeTint="F2"/>
                <w:spacing w:val="-5"/>
              </w:rPr>
              <w:t xml:space="preserve">mld. </w:t>
            </w:r>
            <w:r w:rsidR="004A3BE4" w:rsidRPr="008F130B">
              <w:rPr>
                <w:color w:val="0D0D0D" w:themeColor="text1" w:themeTint="F2"/>
                <w:spacing w:val="-5"/>
              </w:rPr>
              <w:t>korun).</w:t>
            </w:r>
            <w:r w:rsidRPr="008F130B">
              <w:rPr>
                <w:color w:val="0D0D0D" w:themeColor="text1" w:themeTint="F2"/>
                <w:spacing w:val="-4"/>
              </w:rPr>
              <w:t xml:space="preserve"> Projevila se</w:t>
            </w:r>
            <w:r w:rsidR="004A3BE4" w:rsidRPr="008F130B">
              <w:rPr>
                <w:color w:val="0D0D0D" w:themeColor="text1" w:themeTint="F2"/>
                <w:spacing w:val="-4"/>
              </w:rPr>
              <w:t xml:space="preserve"> jak potřeba mimořádných transferů souvisejících s řešením dopadů pádivé inflace i s ní spojené energetické krize, tak efekt nižší loňské základny, jenž nastal v důsledku hospodaření státu v režimu rozpočtového provizoria</w:t>
            </w:r>
            <w:r w:rsidR="004A3BE4" w:rsidRPr="008F130B">
              <w:rPr>
                <w:rStyle w:val="Znakapoznpodarou"/>
                <w:color w:val="0D0D0D" w:themeColor="text1" w:themeTint="F2"/>
                <w:spacing w:val="-4"/>
              </w:rPr>
              <w:footnoteReference w:id="15"/>
            </w:r>
            <w:r>
              <w:rPr>
                <w:color w:val="0D0D0D" w:themeColor="text1" w:themeTint="F2"/>
                <w:spacing w:val="-4"/>
              </w:rPr>
              <w:t xml:space="preserve"> </w:t>
            </w:r>
            <w:r w:rsidRPr="008F130B">
              <w:rPr>
                <w:color w:val="0D0D0D" w:themeColor="text1" w:themeTint="F2"/>
                <w:spacing w:val="-4"/>
              </w:rPr>
              <w:t>(v 1. čtvrtletí 2022</w:t>
            </w:r>
            <w:r w:rsidR="004A3BE4" w:rsidRPr="008F130B">
              <w:rPr>
                <w:color w:val="0D0D0D" w:themeColor="text1" w:themeTint="F2"/>
                <w:spacing w:val="-4"/>
              </w:rPr>
              <w:t xml:space="preserve"> běžné výdaje meziročně propadly</w:t>
            </w:r>
            <w:r w:rsidRPr="008F130B">
              <w:rPr>
                <w:color w:val="0D0D0D" w:themeColor="text1" w:themeTint="F2"/>
                <w:spacing w:val="-4"/>
              </w:rPr>
              <w:t xml:space="preserve"> skoro o desetinu, investice</w:t>
            </w:r>
            <w:r>
              <w:rPr>
                <w:color w:val="0D0D0D" w:themeColor="text1" w:themeTint="F2"/>
                <w:spacing w:val="-4"/>
              </w:rPr>
              <w:t xml:space="preserve"> pak bezmála</w:t>
            </w:r>
            <w:r w:rsidR="004A3BE4" w:rsidRPr="008F130B">
              <w:rPr>
                <w:color w:val="0D0D0D" w:themeColor="text1" w:themeTint="F2"/>
                <w:spacing w:val="-4"/>
              </w:rPr>
              <w:t xml:space="preserve"> o třetinu). </w:t>
            </w:r>
          </w:p>
        </w:tc>
      </w:tr>
      <w:tr w:rsidR="004A3BE4" w:rsidRPr="007B3A78" w14:paraId="58EEE05C" w14:textId="77777777" w:rsidTr="000A72BC">
        <w:trPr>
          <w:trHeight w:val="170"/>
        </w:trPr>
        <w:tc>
          <w:tcPr>
            <w:tcW w:w="1773" w:type="dxa"/>
            <w:shd w:val="clear" w:color="auto" w:fill="auto"/>
            <w:tcMar>
              <w:left w:w="0" w:type="dxa"/>
            </w:tcMar>
          </w:tcPr>
          <w:p w14:paraId="45AC6DD8" w14:textId="77777777" w:rsidR="004A3BE4" w:rsidRDefault="004A3BE4" w:rsidP="000A72BC">
            <w:pPr>
              <w:pStyle w:val="Marginlie"/>
            </w:pPr>
            <w:r>
              <w:t xml:space="preserve">K růstu běžných výdajů přispěly nejvíce běžné transfery do obecních </w:t>
            </w:r>
            <w:r>
              <w:br/>
              <w:t xml:space="preserve">a krajských rozpočtů. </w:t>
            </w:r>
          </w:p>
          <w:p w14:paraId="02FEC8C5" w14:textId="77777777" w:rsidR="004A3BE4" w:rsidRDefault="004A3BE4" w:rsidP="000A72BC">
            <w:pPr>
              <w:pStyle w:val="Marginlie"/>
            </w:pPr>
          </w:p>
          <w:p w14:paraId="0368E41E" w14:textId="77777777" w:rsidR="004A3BE4" w:rsidRDefault="004A3BE4" w:rsidP="000A72BC">
            <w:pPr>
              <w:pStyle w:val="Marginlie"/>
            </w:pPr>
          </w:p>
          <w:p w14:paraId="6A040F5E" w14:textId="77777777" w:rsidR="004A3BE4" w:rsidRDefault="004A3BE4" w:rsidP="000A72BC">
            <w:pPr>
              <w:pStyle w:val="Marginlie"/>
            </w:pPr>
          </w:p>
          <w:p w14:paraId="38CE6A06" w14:textId="77777777" w:rsidR="004A3BE4" w:rsidRDefault="004A3BE4" w:rsidP="000A72BC">
            <w:pPr>
              <w:pStyle w:val="Marginlie"/>
            </w:pPr>
          </w:p>
          <w:p w14:paraId="61C62D69" w14:textId="77777777" w:rsidR="004A3BE4" w:rsidRDefault="004A3BE4" w:rsidP="000A72BC">
            <w:pPr>
              <w:pStyle w:val="Marginlie"/>
            </w:pPr>
          </w:p>
          <w:p w14:paraId="0AC90F0E" w14:textId="77777777" w:rsidR="004A3BE4" w:rsidRDefault="004A3BE4" w:rsidP="000A72BC">
            <w:pPr>
              <w:pStyle w:val="Marginlie"/>
            </w:pPr>
          </w:p>
          <w:p w14:paraId="5E5353DE" w14:textId="77777777" w:rsidR="004A3BE4" w:rsidRDefault="004A3BE4" w:rsidP="000A72BC">
            <w:pPr>
              <w:pStyle w:val="Marginlie"/>
            </w:pPr>
            <w:r>
              <w:t>Významným výdajem byly i kompenzace dodavatelům energií v důsledku zastropování jejich cen.</w:t>
            </w:r>
          </w:p>
        </w:tc>
        <w:tc>
          <w:tcPr>
            <w:tcW w:w="217" w:type="dxa"/>
            <w:shd w:val="clear" w:color="auto" w:fill="auto"/>
            <w:tcMar>
              <w:left w:w="0" w:type="dxa"/>
            </w:tcMar>
          </w:tcPr>
          <w:p w14:paraId="3DC545F0" w14:textId="77777777" w:rsidR="004A3BE4" w:rsidRDefault="004A3BE4" w:rsidP="000A72BC">
            <w:pPr>
              <w:pStyle w:val="Textpoznpodarou"/>
              <w:jc w:val="both"/>
              <w:rPr>
                <w:spacing w:val="-4"/>
              </w:rPr>
            </w:pPr>
          </w:p>
        </w:tc>
        <w:tc>
          <w:tcPr>
            <w:tcW w:w="7679" w:type="dxa"/>
            <w:shd w:val="clear" w:color="auto" w:fill="auto"/>
            <w:tcMar>
              <w:left w:w="0" w:type="dxa"/>
            </w:tcMar>
          </w:tcPr>
          <w:p w14:paraId="5418DD4E" w14:textId="77777777" w:rsidR="004A3BE4" w:rsidRPr="00893F1E" w:rsidRDefault="004A3BE4" w:rsidP="000A72BC">
            <w:pPr>
              <w:spacing w:after="220"/>
              <w:rPr>
                <w:color w:val="0D0D0D" w:themeColor="text1" w:themeTint="F2"/>
                <w:spacing w:val="-5"/>
              </w:rPr>
            </w:pPr>
            <w:r>
              <w:rPr>
                <w:color w:val="0D0D0D" w:themeColor="text1" w:themeTint="F2"/>
                <w:spacing w:val="-4"/>
              </w:rPr>
              <w:t>K meziročnímu růstu celkových běžných výdajů SR (+33,3 %, +133 mld. korun) letos nejvíce přispěly transfery územním rozpočtům (+36,5 mld. korun, oproti 1. čtvrtletí 2021 však „pouze“ +18,2 mld.), primárně kvůli efektu předfinancování v oblasti regionálního školství</w:t>
            </w:r>
            <w:r>
              <w:rPr>
                <w:rStyle w:val="Znakapoznpodarou"/>
                <w:color w:val="0D0D0D" w:themeColor="text1" w:themeTint="F2"/>
                <w:spacing w:val="-4"/>
              </w:rPr>
              <w:footnoteReference w:id="16"/>
            </w:r>
            <w:r>
              <w:rPr>
                <w:color w:val="0D0D0D" w:themeColor="text1" w:themeTint="F2"/>
                <w:spacing w:val="-4"/>
              </w:rPr>
              <w:t xml:space="preserve"> i sociálních služeb, zčásti také vlivem navýšení platových tarifů nepedagogickým pracovníkům</w:t>
            </w:r>
            <w:r>
              <w:rPr>
                <w:rStyle w:val="Znakapoznpodarou"/>
                <w:color w:val="0D0D0D" w:themeColor="text1" w:themeTint="F2"/>
                <w:spacing w:val="-4"/>
              </w:rPr>
              <w:footnoteReference w:id="17"/>
            </w:r>
            <w:r>
              <w:rPr>
                <w:color w:val="0D0D0D" w:themeColor="text1" w:themeTint="F2"/>
                <w:spacing w:val="-4"/>
              </w:rPr>
              <w:t xml:space="preserve"> či kompenzačnímu příspěvku na ubytování uprchlíků z Ukrajiny (+1,9 mld. korun). Vliv předfinancování oproti loňskému provizoriu stál také za citelným růstem transferů příspěvkovým organizacím (+14,4 mld.) směřujícím zejména vysokým školám </w:t>
            </w:r>
            <w:r>
              <w:rPr>
                <w:color w:val="0D0D0D" w:themeColor="text1" w:themeTint="F2"/>
                <w:spacing w:val="-4"/>
              </w:rPr>
              <w:br/>
              <w:t>a veřejným výzkumným organizacím. Podobně vlivy působily na počátku roku u dotací neziskovým organizacím (+2 mld. korun), u nichž větší podpora směřovala např. do oblasti sportu. Více než trojnásobně meziročně narostly transfery podnikatelům (+30,9 mld. korun)</w:t>
            </w:r>
            <w:r>
              <w:rPr>
                <w:rStyle w:val="Znakapoznpodarou"/>
                <w:color w:val="0D0D0D" w:themeColor="text1" w:themeTint="F2"/>
                <w:spacing w:val="-4"/>
              </w:rPr>
              <w:footnoteReference w:id="18"/>
            </w:r>
            <w:r>
              <w:rPr>
                <w:color w:val="0D0D0D" w:themeColor="text1" w:themeTint="F2"/>
                <w:spacing w:val="-4"/>
              </w:rPr>
              <w:t>, jež zahrnovaly mimořádné výdaje – zejména v podobě kompenzací za dodávky elektřiny a plynu zákazníkům a ztráty kvůli zastropování jejich cen (+23,9 mld. korun), dále pomoc firmám v energeticky náročných odvětvích či dotace provozovatelům přenosové soustavy. Pouze okrajový vliv měly naopak úspory v oblasti aktivní politiky zaměstnanosti či nižší zálohové dotace na obnovitelné zdroje energie. Další klíčový faktor fiskální expanze spočíval v oblasti sociálních dávek. Ty meziročně posílily skoro o pětinu, resp. 34,5 mld. korun a na celkových výdajích SR se podílely 38,5 %.</w:t>
            </w:r>
          </w:p>
        </w:tc>
      </w:tr>
      <w:tr w:rsidR="004A3BE4" w:rsidRPr="007B3A78" w14:paraId="0A10D087" w14:textId="77777777" w:rsidTr="000A72BC">
        <w:trPr>
          <w:trHeight w:val="170"/>
        </w:trPr>
        <w:tc>
          <w:tcPr>
            <w:tcW w:w="1773" w:type="dxa"/>
            <w:shd w:val="clear" w:color="auto" w:fill="auto"/>
            <w:tcMar>
              <w:left w:w="0" w:type="dxa"/>
            </w:tcMar>
          </w:tcPr>
          <w:p w14:paraId="5F222042" w14:textId="77777777" w:rsidR="004A3BE4" w:rsidRDefault="004A3BE4" w:rsidP="000A72BC">
            <w:pPr>
              <w:pStyle w:val="Marginlie"/>
            </w:pPr>
            <w:r>
              <w:t>Za rekordním růstem výdajů na důchody stály loňské mimořádné</w:t>
            </w:r>
            <w:r>
              <w:br/>
              <w:t xml:space="preserve"> i letošní řádná valorizace.</w:t>
            </w:r>
          </w:p>
          <w:p w14:paraId="3B3C60F7" w14:textId="77777777" w:rsidR="004A3BE4" w:rsidRDefault="004A3BE4" w:rsidP="000A72BC">
            <w:pPr>
              <w:pStyle w:val="Marginlie"/>
            </w:pPr>
          </w:p>
          <w:p w14:paraId="1660A72B" w14:textId="77777777" w:rsidR="004A3BE4" w:rsidRDefault="004A3BE4" w:rsidP="000A72BC">
            <w:pPr>
              <w:pStyle w:val="Marginlie"/>
            </w:pPr>
          </w:p>
          <w:p w14:paraId="14F9E262" w14:textId="77777777" w:rsidR="004A3BE4" w:rsidRDefault="004A3BE4" w:rsidP="000A72BC">
            <w:pPr>
              <w:pStyle w:val="Marginlie"/>
            </w:pPr>
          </w:p>
          <w:p w14:paraId="516E8133" w14:textId="77777777" w:rsidR="004A3BE4" w:rsidRDefault="004A3BE4" w:rsidP="000A72BC">
            <w:pPr>
              <w:pStyle w:val="Marginlie"/>
            </w:pPr>
          </w:p>
          <w:p w14:paraId="175F52D4" w14:textId="77777777" w:rsidR="004A3BE4" w:rsidRDefault="004A3BE4" w:rsidP="000A72BC">
            <w:pPr>
              <w:pStyle w:val="Marginlie"/>
            </w:pPr>
            <w:r>
              <w:lastRenderedPageBreak/>
              <w:t>Schodek důchodového účtu se meziročně téměř trojnásobně prohloubil.</w:t>
            </w:r>
          </w:p>
          <w:p w14:paraId="3EF94590" w14:textId="77777777" w:rsidR="004A3BE4" w:rsidRDefault="004A3BE4" w:rsidP="000A72BC">
            <w:pPr>
              <w:pStyle w:val="Marginlie"/>
            </w:pPr>
          </w:p>
        </w:tc>
        <w:tc>
          <w:tcPr>
            <w:tcW w:w="217" w:type="dxa"/>
            <w:shd w:val="clear" w:color="auto" w:fill="auto"/>
            <w:tcMar>
              <w:left w:w="0" w:type="dxa"/>
            </w:tcMar>
          </w:tcPr>
          <w:p w14:paraId="7BEE8824" w14:textId="77777777" w:rsidR="004A3BE4" w:rsidRDefault="004A3BE4" w:rsidP="000A72BC">
            <w:pPr>
              <w:pStyle w:val="Textpoznpodarou"/>
              <w:jc w:val="both"/>
              <w:rPr>
                <w:spacing w:val="-4"/>
              </w:rPr>
            </w:pPr>
          </w:p>
        </w:tc>
        <w:tc>
          <w:tcPr>
            <w:tcW w:w="7679" w:type="dxa"/>
            <w:shd w:val="clear" w:color="auto" w:fill="auto"/>
            <w:tcMar>
              <w:left w:w="0" w:type="dxa"/>
            </w:tcMar>
          </w:tcPr>
          <w:p w14:paraId="08E9BD53" w14:textId="77777777" w:rsidR="004A3BE4" w:rsidRDefault="004A3BE4" w:rsidP="000A72BC">
            <w:pPr>
              <w:spacing w:after="200"/>
              <w:rPr>
                <w:color w:val="0D0D0D" w:themeColor="text1" w:themeTint="F2"/>
                <w:spacing w:val="-4"/>
              </w:rPr>
            </w:pPr>
            <w:r>
              <w:rPr>
                <w:color w:val="0D0D0D" w:themeColor="text1" w:themeTint="F2"/>
                <w:spacing w:val="-4"/>
              </w:rPr>
              <w:t>Ohnisko růstu sociálních dávek představovaly tradičně výdaje na důchody. Ty se v 1. čtvrtletí meziročně zvýšily o rekordních 20,9 % (na 171,6 mld. korun)</w:t>
            </w:r>
            <w:r w:rsidRPr="00862F80">
              <w:rPr>
                <w:rStyle w:val="Znakapoznpodarou"/>
                <w:spacing w:val="-4"/>
                <w:szCs w:val="20"/>
              </w:rPr>
              <w:footnoteReference w:id="19"/>
            </w:r>
            <w:r>
              <w:rPr>
                <w:color w:val="0D0D0D" w:themeColor="text1" w:themeTint="F2"/>
                <w:spacing w:val="-4"/>
              </w:rPr>
              <w:t xml:space="preserve">. V jejich výši se kromě dvojí loňské mimořádné valorizace (v </w:t>
            </w:r>
            <w:r w:rsidRPr="00811A34">
              <w:rPr>
                <w:color w:val="0D0D0D" w:themeColor="text1" w:themeTint="F2"/>
                <w:spacing w:val="-4"/>
              </w:rPr>
              <w:t>červnu o 6,3 % a v září pak o</w:t>
            </w:r>
            <w:r>
              <w:rPr>
                <w:color w:val="0D0D0D" w:themeColor="text1" w:themeTint="F2"/>
                <w:spacing w:val="-4"/>
              </w:rPr>
              <w:t xml:space="preserve"> rovná 4 %) promítá i řádné zákonné navýšení od ledna 2023 (+4,7 %) a dále také nově zavedený pravidelný příspěvek za každé vychované dítě (500 korun). Počet příjemců důchodů navzdory vyššímu zájmu o předčasné penze klesal, byť mírnějším tempem než v předchozích dvou letech. </w:t>
            </w:r>
            <w:r>
              <w:rPr>
                <w:spacing w:val="-6"/>
              </w:rPr>
              <w:t>Ačkoliv stále d</w:t>
            </w:r>
            <w:r w:rsidRPr="00791977">
              <w:rPr>
                <w:spacing w:val="-6"/>
              </w:rPr>
              <w:t>obr</w:t>
            </w:r>
            <w:r>
              <w:rPr>
                <w:spacing w:val="-6"/>
              </w:rPr>
              <w:t>á kondice tuzemského trhu práce podporovala</w:t>
            </w:r>
            <w:r>
              <w:rPr>
                <w:spacing w:val="-4"/>
              </w:rPr>
              <w:t xml:space="preserve"> </w:t>
            </w:r>
            <w:r>
              <w:rPr>
                <w:spacing w:val="-4"/>
              </w:rPr>
              <w:lastRenderedPageBreak/>
              <w:t>pokračující růst</w:t>
            </w:r>
            <w:r w:rsidRPr="00862F80">
              <w:rPr>
                <w:spacing w:val="-4"/>
              </w:rPr>
              <w:t xml:space="preserve"> příjmů </w:t>
            </w:r>
            <w:r>
              <w:rPr>
                <w:rFonts w:cs="Arial"/>
                <w:color w:val="0D0D0D" w:themeColor="text1" w:themeTint="F2"/>
                <w:spacing w:val="-4"/>
              </w:rPr>
              <w:t>důchodového pojištění, jeho meziroční tempo bylo letos oproti výdajům na důchody pouze poloviční. Saldo</w:t>
            </w:r>
            <w:r w:rsidRPr="00862F80">
              <w:rPr>
                <w:rFonts w:cs="Arial"/>
                <w:color w:val="0D0D0D" w:themeColor="text1" w:themeTint="F2"/>
                <w:spacing w:val="-4"/>
              </w:rPr>
              <w:t xml:space="preserve"> </w:t>
            </w:r>
            <w:r w:rsidRPr="001C3185">
              <w:rPr>
                <w:rFonts w:cs="Arial"/>
                <w:color w:val="0D0D0D" w:themeColor="text1" w:themeTint="F2"/>
                <w:spacing w:val="-2"/>
              </w:rPr>
              <w:t>důchodového účtu</w:t>
            </w:r>
            <w:r w:rsidRPr="001C3185">
              <w:rPr>
                <w:rStyle w:val="Znakapoznpodarou"/>
                <w:color w:val="0D0D0D" w:themeColor="text1" w:themeTint="F2"/>
                <w:spacing w:val="-2"/>
              </w:rPr>
              <w:footnoteReference w:id="20"/>
            </w:r>
            <w:r w:rsidRPr="001C3185">
              <w:rPr>
                <w:rFonts w:cs="Arial"/>
                <w:color w:val="0D0D0D" w:themeColor="text1" w:themeTint="F2"/>
                <w:spacing w:val="-2"/>
              </w:rPr>
              <w:t xml:space="preserve"> se proto propadlo do výrazného deficitu (</w:t>
            </w:r>
            <w:r>
              <w:rPr>
                <w:rFonts w:cs="Arial"/>
                <w:color w:val="0D0D0D" w:themeColor="text1" w:themeTint="F2"/>
                <w:spacing w:val="-2"/>
              </w:rPr>
              <w:t>−</w:t>
            </w:r>
            <w:r w:rsidRPr="001C3185">
              <w:rPr>
                <w:rFonts w:cs="Arial"/>
                <w:color w:val="0D0D0D" w:themeColor="text1" w:themeTint="F2"/>
                <w:spacing w:val="-2"/>
              </w:rPr>
              <w:t xml:space="preserve">25 mld. korun, o rok dříve </w:t>
            </w:r>
            <w:r>
              <w:rPr>
                <w:rFonts w:cs="Arial"/>
                <w:color w:val="0D0D0D" w:themeColor="text1" w:themeTint="F2"/>
                <w:spacing w:val="-2"/>
              </w:rPr>
              <w:t>−</w:t>
            </w:r>
            <w:r w:rsidRPr="001C3185">
              <w:rPr>
                <w:rFonts w:cs="Arial"/>
                <w:color w:val="0D0D0D" w:themeColor="text1" w:themeTint="F2"/>
                <w:spacing w:val="-2"/>
              </w:rPr>
              <w:t>9 mld.),</w:t>
            </w:r>
            <w:r>
              <w:rPr>
                <w:rFonts w:cs="Arial"/>
                <w:color w:val="0D0D0D" w:themeColor="text1" w:themeTint="F2"/>
                <w:spacing w:val="-4"/>
              </w:rPr>
              <w:t xml:space="preserve"> což představovalo skoro dvakrát hlubší schodek než v donedávna rekordním saldu z počátku roku 2012.</w:t>
            </w:r>
          </w:p>
        </w:tc>
      </w:tr>
      <w:tr w:rsidR="004A3BE4" w:rsidRPr="007B3A78" w14:paraId="0B6DED14" w14:textId="77777777" w:rsidTr="000A72BC">
        <w:trPr>
          <w:trHeight w:val="170"/>
        </w:trPr>
        <w:tc>
          <w:tcPr>
            <w:tcW w:w="1773" w:type="dxa"/>
            <w:shd w:val="clear" w:color="auto" w:fill="auto"/>
            <w:tcMar>
              <w:left w:w="0" w:type="dxa"/>
            </w:tcMar>
          </w:tcPr>
          <w:p w14:paraId="421C876F" w14:textId="77777777" w:rsidR="004A3BE4" w:rsidRDefault="004A3BE4" w:rsidP="000A72BC">
            <w:pPr>
              <w:pStyle w:val="Marginlie"/>
              <w:rPr>
                <w:color w:val="0D0D0D" w:themeColor="text1" w:themeTint="F2"/>
              </w:rPr>
            </w:pPr>
            <w:r>
              <w:rPr>
                <w:color w:val="0D0D0D" w:themeColor="text1" w:themeTint="F2"/>
              </w:rPr>
              <w:lastRenderedPageBreak/>
              <w:t xml:space="preserve">Výdaje na státní sociální podporu navyšovaly příspěvky na bydlení </w:t>
            </w:r>
            <w:r>
              <w:rPr>
                <w:color w:val="0D0D0D" w:themeColor="text1" w:themeTint="F2"/>
              </w:rPr>
              <w:br/>
              <w:t>i přídavky na dítě.</w:t>
            </w:r>
          </w:p>
          <w:p w14:paraId="5B849699" w14:textId="77777777" w:rsidR="004A3BE4" w:rsidRDefault="004A3BE4" w:rsidP="000A72BC">
            <w:pPr>
              <w:pStyle w:val="Marginlie"/>
              <w:rPr>
                <w:color w:val="0D0D0D" w:themeColor="text1" w:themeTint="F2"/>
              </w:rPr>
            </w:pPr>
          </w:p>
          <w:p w14:paraId="08924D4B" w14:textId="77777777" w:rsidR="004A3BE4" w:rsidRDefault="004A3BE4" w:rsidP="000A72BC">
            <w:pPr>
              <w:pStyle w:val="Marginlie"/>
              <w:rPr>
                <w:color w:val="0D0D0D" w:themeColor="text1" w:themeTint="F2"/>
              </w:rPr>
            </w:pPr>
          </w:p>
          <w:p w14:paraId="6FABE453" w14:textId="77777777" w:rsidR="004A3BE4" w:rsidRDefault="004A3BE4" w:rsidP="000A72BC">
            <w:pPr>
              <w:pStyle w:val="Marginlie"/>
              <w:rPr>
                <w:color w:val="0D0D0D" w:themeColor="text1" w:themeTint="F2"/>
              </w:rPr>
            </w:pPr>
          </w:p>
          <w:p w14:paraId="30633931" w14:textId="77777777" w:rsidR="004A3BE4" w:rsidRDefault="004A3BE4" w:rsidP="000A72BC">
            <w:pPr>
              <w:pStyle w:val="Marginlie"/>
              <w:rPr>
                <w:color w:val="0D0D0D" w:themeColor="text1" w:themeTint="F2"/>
              </w:rPr>
            </w:pPr>
          </w:p>
          <w:p w14:paraId="6995DC26" w14:textId="77777777" w:rsidR="004A3BE4" w:rsidRDefault="004A3BE4" w:rsidP="000A72BC">
            <w:pPr>
              <w:pStyle w:val="Marginlie"/>
              <w:rPr>
                <w:color w:val="0D0D0D" w:themeColor="text1" w:themeTint="F2"/>
              </w:rPr>
            </w:pPr>
            <w:r>
              <w:rPr>
                <w:color w:val="0D0D0D" w:themeColor="text1" w:themeTint="F2"/>
              </w:rPr>
              <w:t xml:space="preserve">Vyšší dávky v hmotné nouzi souvisely s podporou uprchlíků </w:t>
            </w:r>
            <w:r>
              <w:rPr>
                <w:color w:val="0D0D0D" w:themeColor="text1" w:themeTint="F2"/>
              </w:rPr>
              <w:br/>
              <w:t>i s vyšším čerpáním příspěvků na živobytí.</w:t>
            </w:r>
          </w:p>
          <w:p w14:paraId="352B855B" w14:textId="77777777" w:rsidR="004A3BE4" w:rsidRDefault="004A3BE4" w:rsidP="000A72BC">
            <w:pPr>
              <w:pStyle w:val="Marginlie"/>
              <w:rPr>
                <w:color w:val="0D0D0D" w:themeColor="text1" w:themeTint="F2"/>
              </w:rPr>
            </w:pPr>
          </w:p>
          <w:p w14:paraId="61A7CEF2" w14:textId="77777777" w:rsidR="004A3BE4" w:rsidRDefault="004A3BE4" w:rsidP="000A72BC">
            <w:pPr>
              <w:pStyle w:val="Marginlie"/>
              <w:rPr>
                <w:color w:val="0D0D0D" w:themeColor="text1" w:themeTint="F2"/>
              </w:rPr>
            </w:pPr>
          </w:p>
          <w:p w14:paraId="0A0BCEEF" w14:textId="7BFD9BE6" w:rsidR="004A3BE4" w:rsidRDefault="004A3BE4" w:rsidP="000A72BC">
            <w:pPr>
              <w:pStyle w:val="Marginlie"/>
              <w:rPr>
                <w:color w:val="0D0D0D" w:themeColor="text1" w:themeTint="F2"/>
              </w:rPr>
            </w:pPr>
          </w:p>
          <w:p w14:paraId="020E5403" w14:textId="77777777" w:rsidR="004A3BE4" w:rsidRPr="00007EEA" w:rsidRDefault="004A3BE4" w:rsidP="000A72BC">
            <w:pPr>
              <w:pStyle w:val="Marginlie"/>
              <w:rPr>
                <w:color w:val="0D0D0D" w:themeColor="text1" w:themeTint="F2"/>
              </w:rPr>
            </w:pPr>
            <w:r>
              <w:rPr>
                <w:color w:val="0D0D0D" w:themeColor="text1" w:themeTint="F2"/>
              </w:rPr>
              <w:t xml:space="preserve">Růst výdajů na dávky nemocenského pojištění se zastavil. Výdaje však stále převyšovaly příjmy z pojistného. </w:t>
            </w:r>
          </w:p>
        </w:tc>
        <w:tc>
          <w:tcPr>
            <w:tcW w:w="217" w:type="dxa"/>
            <w:shd w:val="clear" w:color="auto" w:fill="auto"/>
            <w:tcMar>
              <w:left w:w="0" w:type="dxa"/>
            </w:tcMar>
          </w:tcPr>
          <w:p w14:paraId="7AB99881" w14:textId="77777777" w:rsidR="004A3BE4" w:rsidRPr="00007EEA"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3D1C8D85" w14:textId="765D780F" w:rsidR="004A3BE4" w:rsidRPr="008F130B" w:rsidRDefault="004A3BE4" w:rsidP="000A72BC">
            <w:pPr>
              <w:spacing w:after="200"/>
              <w:rPr>
                <w:color w:val="0D0D0D" w:themeColor="text1" w:themeTint="F2"/>
                <w:spacing w:val="-4"/>
              </w:rPr>
            </w:pPr>
            <w:r w:rsidRPr="008F130B">
              <w:rPr>
                <w:color w:val="0D0D0D" w:themeColor="text1" w:themeTint="F2"/>
                <w:spacing w:val="-4"/>
              </w:rPr>
              <w:t xml:space="preserve">Svižný růst zaznamenaly letos také </w:t>
            </w:r>
            <w:r w:rsidRPr="008F130B">
              <w:rPr>
                <w:rFonts w:cs="Arial"/>
                <w:color w:val="0D0D0D" w:themeColor="text1" w:themeTint="F2"/>
                <w:spacing w:val="-4"/>
              </w:rPr>
              <w:t xml:space="preserve">i nedůchodové sociální dávky </w:t>
            </w:r>
            <w:r w:rsidR="008F130B" w:rsidRPr="008F130B">
              <w:rPr>
                <w:rFonts w:cs="Arial"/>
                <w:color w:val="0D0D0D" w:themeColor="text1" w:themeTint="F2"/>
                <w:spacing w:val="-4"/>
              </w:rPr>
              <w:t xml:space="preserve">(meziročně +11,3 %). </w:t>
            </w:r>
            <w:r w:rsidR="008F130B" w:rsidRPr="008F130B">
              <w:rPr>
                <w:rFonts w:cs="Arial"/>
                <w:color w:val="0D0D0D" w:themeColor="text1" w:themeTint="F2"/>
                <w:spacing w:val="-4"/>
              </w:rPr>
              <w:br/>
              <w:t>Z</w:t>
            </w:r>
            <w:r w:rsidRPr="008F130B">
              <w:rPr>
                <w:rFonts w:cs="Arial"/>
                <w:color w:val="0D0D0D" w:themeColor="text1" w:themeTint="F2"/>
                <w:spacing w:val="-4"/>
              </w:rPr>
              <w:t xml:space="preserve">e SR na ně </w:t>
            </w:r>
            <w:r w:rsidRPr="008F130B">
              <w:rPr>
                <w:color w:val="0D0D0D" w:themeColor="text1" w:themeTint="F2"/>
                <w:spacing w:val="-4"/>
              </w:rPr>
              <w:t xml:space="preserve">v 1. čtvrtletí putovalo 47,3 mld. korun. Za jejich posílením stály zejména výdaje na státní sociální podporu (SSP, +2,7 mld. korun), u nichž došlo k výraznému zvýšení objemu vyplacených příspěvků na bydlení (v důsledku vysokých cen energií a </w:t>
            </w:r>
            <w:r w:rsidRPr="008F130B">
              <w:rPr>
                <w:spacing w:val="-4"/>
              </w:rPr>
              <w:t>zvýšení nákladů uznatelných pro výplatu) a přídavků na dítě (vlivem jejich plošného navýšení i nárůstu životního minima). Opačně působil pokles čerpání u váhově dominantní položky SSP rodičovských příspěvků (</w:t>
            </w:r>
            <w:r w:rsidRPr="008F130B">
              <w:rPr>
                <w:color w:val="0D0D0D" w:themeColor="text1" w:themeTint="F2"/>
                <w:spacing w:val="-4"/>
              </w:rPr>
              <w:t>−5,3 %</w:t>
            </w:r>
            <w:r w:rsidRPr="008F130B">
              <w:rPr>
                <w:spacing w:val="-4"/>
              </w:rPr>
              <w:t xml:space="preserve">), k němuž došlo druhým rokem v řadě. Téměř dvojnásobně posílily meziročně výdaje na dávky v hmotné nouzi (+1,6 mld. korun), v drtivé většině vlivem výplaty humanitární dávky </w:t>
            </w:r>
            <w:r w:rsidRPr="008F130B">
              <w:rPr>
                <w:rFonts w:cs="Arial"/>
                <w:color w:val="0D0D0D" w:themeColor="text1" w:themeTint="F2"/>
                <w:spacing w:val="-4"/>
              </w:rPr>
              <w:t>uprchlíkům z</w:t>
            </w:r>
            <w:r w:rsidR="008F130B" w:rsidRPr="008F130B">
              <w:rPr>
                <w:rFonts w:cs="Arial"/>
                <w:color w:val="0D0D0D" w:themeColor="text1" w:themeTint="F2"/>
                <w:spacing w:val="-4"/>
              </w:rPr>
              <w:t> </w:t>
            </w:r>
            <w:r w:rsidRPr="008F130B">
              <w:rPr>
                <w:rFonts w:cs="Arial"/>
                <w:color w:val="0D0D0D" w:themeColor="text1" w:themeTint="F2"/>
                <w:spacing w:val="-4"/>
              </w:rPr>
              <w:t>Ukrajiny</w:t>
            </w:r>
            <w:r w:rsidR="008F130B" w:rsidRPr="008F130B">
              <w:rPr>
                <w:rFonts w:cs="Arial"/>
                <w:color w:val="0D0D0D" w:themeColor="text1" w:themeTint="F2"/>
                <w:spacing w:val="-4"/>
              </w:rPr>
              <w:t>. V</w:t>
            </w:r>
            <w:r w:rsidRPr="008F130B">
              <w:rPr>
                <w:rFonts w:cs="Arial"/>
                <w:color w:val="0D0D0D" w:themeColor="text1" w:themeTint="F2"/>
                <w:spacing w:val="-4"/>
              </w:rPr>
              <w:t>ýznamně ale narostly i příspěvky na živobytí (+41 %), jež pomáhají jednotlivcům či rodinám při nedostatečném příjmu. Podobným tempem se navýšily také dávky pro zdravotně postižené, především vlivem vyšších příspěvků na mobilitu. Po loňském poklesu se letos v 1. čtvrtletí objem vyplacených podpor v nezaměstnanosti zvýšil (+</w:t>
            </w:r>
            <w:r w:rsidR="008F130B">
              <w:rPr>
                <w:rFonts w:cs="Arial"/>
                <w:color w:val="0D0D0D" w:themeColor="text1" w:themeTint="F2"/>
                <w:spacing w:val="-4"/>
              </w:rPr>
              <w:t>8 % meziročně), což odpovídá mírnému růstu</w:t>
            </w:r>
            <w:r w:rsidRPr="008F130B">
              <w:rPr>
                <w:rFonts w:cs="Arial"/>
                <w:color w:val="0D0D0D" w:themeColor="text1" w:themeTint="F2"/>
                <w:spacing w:val="-4"/>
              </w:rPr>
              <w:t xml:space="preserve"> počtu registrovaných uchazečů o práci</w:t>
            </w:r>
            <w:r w:rsidRPr="008F130B">
              <w:rPr>
                <w:rStyle w:val="Znakapoznpodarou"/>
                <w:color w:val="0D0D0D" w:themeColor="text1" w:themeTint="F2"/>
                <w:spacing w:val="-4"/>
              </w:rPr>
              <w:footnoteReference w:id="21"/>
            </w:r>
            <w:r w:rsidRPr="008F130B">
              <w:rPr>
                <w:rFonts w:cs="Arial"/>
                <w:color w:val="0D0D0D" w:themeColor="text1" w:themeTint="F2"/>
                <w:spacing w:val="-4"/>
              </w:rPr>
              <w:t xml:space="preserve">. Výdaje na </w:t>
            </w:r>
            <w:r w:rsidRPr="008F130B">
              <w:rPr>
                <w:spacing w:val="-4"/>
              </w:rPr>
              <w:t>dávky nemocenského pojištění se díky zlepšení epidemické situace sice meziročně snížily (−5,5 %),</w:t>
            </w:r>
            <w:r w:rsidR="008F130B">
              <w:rPr>
                <w:spacing w:val="-4"/>
              </w:rPr>
              <w:t xml:space="preserve"> úroveň z 1. čtvrtletí 2019 ale</w:t>
            </w:r>
            <w:r w:rsidRPr="008F130B">
              <w:rPr>
                <w:spacing w:val="-4"/>
              </w:rPr>
              <w:t xml:space="preserve"> p</w:t>
            </w:r>
            <w:r w:rsidR="008F130B">
              <w:rPr>
                <w:spacing w:val="-4"/>
              </w:rPr>
              <w:t xml:space="preserve">ředčily o více než čtvrtinu </w:t>
            </w:r>
            <w:r w:rsidRPr="008F130B">
              <w:rPr>
                <w:spacing w:val="-4"/>
              </w:rPr>
              <w:t xml:space="preserve">a představovaly </w:t>
            </w:r>
            <w:r w:rsidR="008F130B">
              <w:rPr>
                <w:spacing w:val="-4"/>
              </w:rPr>
              <w:t xml:space="preserve">tak </w:t>
            </w:r>
            <w:r w:rsidRPr="008F130B">
              <w:rPr>
                <w:spacing w:val="-4"/>
              </w:rPr>
              <w:t>pro SR nezanedbateln</w:t>
            </w:r>
            <w:r w:rsidR="008F130B">
              <w:rPr>
                <w:spacing w:val="-4"/>
              </w:rPr>
              <w:t>ý výdaj (12,6</w:t>
            </w:r>
            <w:r w:rsidR="008F130B" w:rsidRPr="008F130B">
              <w:rPr>
                <w:rFonts w:cs="Arial"/>
                <w:color w:val="0D0D0D" w:themeColor="text1" w:themeTint="F2"/>
                <w:spacing w:val="-4"/>
              </w:rPr>
              <w:t> </w:t>
            </w:r>
            <w:r w:rsidRPr="008F130B">
              <w:rPr>
                <w:spacing w:val="-4"/>
              </w:rPr>
              <w:t>mld. korun). I přes svižný růst výběru pojistného tyto dávky stále převyšovaly příjmy z pojistného (o 2 mld. korun, v 1. čtvrtletí 2022 pak o 4 mld.).</w:t>
            </w:r>
          </w:p>
        </w:tc>
      </w:tr>
      <w:tr w:rsidR="004A3BE4" w:rsidRPr="007B3A78" w14:paraId="2CDAACC4" w14:textId="77777777" w:rsidTr="000A72BC">
        <w:trPr>
          <w:trHeight w:val="170"/>
        </w:trPr>
        <w:tc>
          <w:tcPr>
            <w:tcW w:w="1773" w:type="dxa"/>
            <w:shd w:val="clear" w:color="auto" w:fill="auto"/>
            <w:tcMar>
              <w:left w:w="0" w:type="dxa"/>
            </w:tcMar>
          </w:tcPr>
          <w:p w14:paraId="132CCFDE" w14:textId="77777777" w:rsidR="004A3BE4" w:rsidRDefault="004A3BE4" w:rsidP="000A72BC">
            <w:pPr>
              <w:pStyle w:val="Marginlie"/>
              <w:rPr>
                <w:color w:val="0D0D0D" w:themeColor="text1" w:themeTint="F2"/>
              </w:rPr>
            </w:pPr>
            <w:r>
              <w:rPr>
                <w:color w:val="0D0D0D" w:themeColor="text1" w:themeTint="F2"/>
              </w:rPr>
              <w:t>Obsluhu státního dluhu výrazně zatížily plánované výplaty úroků z protiinflačních dluhopisů.</w:t>
            </w:r>
          </w:p>
          <w:p w14:paraId="392F2295" w14:textId="77777777" w:rsidR="004A3BE4" w:rsidRDefault="004A3BE4" w:rsidP="000A72BC">
            <w:pPr>
              <w:pStyle w:val="Marginlie"/>
              <w:rPr>
                <w:color w:val="0D0D0D" w:themeColor="text1" w:themeTint="F2"/>
              </w:rPr>
            </w:pPr>
          </w:p>
          <w:p w14:paraId="604E8B0A" w14:textId="77777777" w:rsidR="004A3BE4" w:rsidRDefault="004A3BE4" w:rsidP="000A72BC">
            <w:pPr>
              <w:pStyle w:val="Marginlie"/>
              <w:rPr>
                <w:color w:val="0D0D0D" w:themeColor="text1" w:themeTint="F2"/>
              </w:rPr>
            </w:pPr>
          </w:p>
          <w:p w14:paraId="4038E177" w14:textId="77777777" w:rsidR="004A3BE4" w:rsidRDefault="004A3BE4" w:rsidP="000A72BC">
            <w:pPr>
              <w:pStyle w:val="Marginlie"/>
              <w:rPr>
                <w:color w:val="0D0D0D" w:themeColor="text1" w:themeTint="F2"/>
              </w:rPr>
            </w:pPr>
          </w:p>
          <w:p w14:paraId="612E5C1C" w14:textId="77777777" w:rsidR="004A3BE4" w:rsidRPr="003202BC" w:rsidRDefault="004A3BE4" w:rsidP="000A72BC">
            <w:pPr>
              <w:pStyle w:val="Marginlie"/>
              <w:rPr>
                <w:color w:val="0D0D0D" w:themeColor="text1" w:themeTint="F2"/>
              </w:rPr>
            </w:pPr>
            <w:r>
              <w:rPr>
                <w:color w:val="0D0D0D" w:themeColor="text1" w:themeTint="F2"/>
              </w:rPr>
              <w:t>Po zmrazení v období pandemie vzrostly výdaje na platy v organizačních složkách státu.</w:t>
            </w:r>
          </w:p>
        </w:tc>
        <w:tc>
          <w:tcPr>
            <w:tcW w:w="217" w:type="dxa"/>
            <w:shd w:val="clear" w:color="auto" w:fill="auto"/>
            <w:tcMar>
              <w:left w:w="0" w:type="dxa"/>
            </w:tcMar>
          </w:tcPr>
          <w:p w14:paraId="4A907BC2" w14:textId="77777777" w:rsidR="004A3BE4" w:rsidRPr="003202BC"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23E8964C" w14:textId="77777777" w:rsidR="004A3BE4" w:rsidRPr="003202BC" w:rsidRDefault="004A3BE4" w:rsidP="000A72BC">
            <w:pPr>
              <w:spacing w:after="200"/>
              <w:rPr>
                <w:color w:val="0D0D0D" w:themeColor="text1" w:themeTint="F2"/>
                <w:spacing w:val="-4"/>
              </w:rPr>
            </w:pPr>
            <w:r w:rsidRPr="00F03440">
              <w:rPr>
                <w:color w:val="0D0D0D" w:themeColor="text1" w:themeTint="F2"/>
                <w:spacing w:val="-4"/>
              </w:rPr>
              <w:t>Výdaje na obsluhu státního dluhu</w:t>
            </w:r>
            <w:r>
              <w:rPr>
                <w:rStyle w:val="Znakapoznpodarou"/>
                <w:spacing w:val="-4"/>
              </w:rPr>
              <w:footnoteReference w:id="22"/>
            </w:r>
            <w:r>
              <w:rPr>
                <w:color w:val="0D0D0D" w:themeColor="text1" w:themeTint="F2"/>
                <w:spacing w:val="-4"/>
              </w:rPr>
              <w:t xml:space="preserve"> se letos oproti 1. čtvrtletí 2022 více než zdvojnásobily a činily rekordních 16,4 mld. korun. Projevila se zde zejména plánovaná výplata úroků ze státních protiinflačních dluhopisů. Po dvou letech stagnace vzrostly letos výdaje na platy v organizačních složkách států (+11,6 %), což souviselo s lednovým navýšením platových tarifů příslušníků bezpečnostních sborů a vojáků a loňským navýšením u zaměstnanců ve státní službě (k němuž došlo od září). Po zmrazení během pandemie se citelně zvýšily </w:t>
            </w:r>
            <w:r>
              <w:rPr>
                <w:color w:val="0D0D0D" w:themeColor="text1" w:themeTint="F2"/>
                <w:spacing w:val="-4"/>
              </w:rPr>
              <w:br/>
              <w:t xml:space="preserve">i výdaje na platy ústavních činitelů. </w:t>
            </w:r>
            <w:r>
              <w:rPr>
                <w:spacing w:val="-4"/>
              </w:rPr>
              <w:t xml:space="preserve">O necelou desetinu (na 15,1 mld. korun) posílily </w:t>
            </w:r>
            <w:r>
              <w:rPr>
                <w:spacing w:val="-4"/>
              </w:rPr>
              <w:br/>
              <w:t xml:space="preserve">i povinné odvody ČR do rozpočtu EU. Obdobné výše dosáhly na počátku roku </w:t>
            </w:r>
            <w:r>
              <w:rPr>
                <w:spacing w:val="-4"/>
              </w:rPr>
              <w:br/>
              <w:t xml:space="preserve">i neinvestiční nákupy (bez výdajů na obsluhu dluhu), které ale meziročně stagnovaly. Do běžných provozních výdajů se sice promítal cenový růst (např. u nákupů vody, paliv, energií či služeb), na druhou stranu výrazně poklesla potřeba léků, vakcín a dalšího </w:t>
            </w:r>
            <w:r w:rsidRPr="009236C0">
              <w:rPr>
                <w:color w:val="0D0D0D" w:themeColor="text1" w:themeTint="F2"/>
                <w:spacing w:val="-4"/>
              </w:rPr>
              <w:t>zdravotnické</w:t>
            </w:r>
            <w:r>
              <w:rPr>
                <w:color w:val="0D0D0D" w:themeColor="text1" w:themeTint="F2"/>
                <w:spacing w:val="-4"/>
              </w:rPr>
              <w:t>ho</w:t>
            </w:r>
            <w:r w:rsidRPr="009236C0">
              <w:rPr>
                <w:color w:val="0D0D0D" w:themeColor="text1" w:themeTint="F2"/>
                <w:spacing w:val="-4"/>
              </w:rPr>
              <w:t xml:space="preserve"> materiálu. Také </w:t>
            </w:r>
            <w:r w:rsidRPr="009236C0">
              <w:rPr>
                <w:color w:val="0D0D0D" w:themeColor="text1" w:themeTint="F2"/>
                <w:spacing w:val="-5"/>
              </w:rPr>
              <w:t>platby veřejného zdravotního pojištění za tzv. státní pojištěnce se letos oproti 1. čtvrtletí 2022 nezměnily</w:t>
            </w:r>
            <w:r>
              <w:rPr>
                <w:color w:val="0D0D0D" w:themeColor="text1" w:themeTint="F2"/>
                <w:spacing w:val="-5"/>
              </w:rPr>
              <w:t xml:space="preserve">. Ve směru růstu působil </w:t>
            </w:r>
            <w:r>
              <w:rPr>
                <w:color w:val="0D0D0D" w:themeColor="text1" w:themeTint="F2"/>
                <w:spacing w:val="-6"/>
              </w:rPr>
              <w:t>vyšší počet pojištěnců, na počátku loňského roku však dočasně platil vyšší vyměřovací základ plateb (1967 korun na osobu, oproti letos platným 1900 korunám na osobu). Oproti očekávání vydal naopak SR meziročně více (+1,2 mld. korun) na běžných transferech státním fondům. Přestože se snížily dotace do oblasti zemědělství (pouze v oblasti spolufinancované z EU), převážil dopad vyplacených prostředků na krytí deficitu Státnímu fondu dopravní infrastruktury.</w:t>
            </w:r>
          </w:p>
        </w:tc>
      </w:tr>
      <w:tr w:rsidR="004A3BE4" w:rsidRPr="007B3A78" w14:paraId="1D0DB844" w14:textId="77777777" w:rsidTr="000A72BC">
        <w:trPr>
          <w:trHeight w:val="170"/>
        </w:trPr>
        <w:tc>
          <w:tcPr>
            <w:tcW w:w="1773" w:type="dxa"/>
            <w:shd w:val="clear" w:color="auto" w:fill="auto"/>
            <w:tcMar>
              <w:left w:w="0" w:type="dxa"/>
            </w:tcMar>
          </w:tcPr>
          <w:p w14:paraId="5C2295CC" w14:textId="77777777" w:rsidR="004A3BE4" w:rsidRDefault="004A3BE4" w:rsidP="000A72BC">
            <w:pPr>
              <w:pStyle w:val="Marginlie"/>
            </w:pPr>
            <w:r>
              <w:rPr>
                <w:spacing w:val="-4"/>
              </w:rPr>
              <w:t xml:space="preserve">Kapitálové výdaje meziročně výrazně vzrostly. Jejich plnění bylo nejvyšší za posledních sedm let. </w:t>
            </w:r>
          </w:p>
        </w:tc>
        <w:tc>
          <w:tcPr>
            <w:tcW w:w="217" w:type="dxa"/>
            <w:shd w:val="clear" w:color="auto" w:fill="auto"/>
            <w:tcMar>
              <w:left w:w="0" w:type="dxa"/>
            </w:tcMar>
          </w:tcPr>
          <w:p w14:paraId="35D98E99" w14:textId="77777777" w:rsidR="004A3BE4" w:rsidRDefault="004A3BE4" w:rsidP="000A72BC">
            <w:pPr>
              <w:pStyle w:val="Textpoznpodarou"/>
              <w:jc w:val="both"/>
              <w:rPr>
                <w:spacing w:val="-4"/>
              </w:rPr>
            </w:pPr>
          </w:p>
        </w:tc>
        <w:tc>
          <w:tcPr>
            <w:tcW w:w="7679" w:type="dxa"/>
            <w:shd w:val="clear" w:color="auto" w:fill="auto"/>
            <w:tcMar>
              <w:left w:w="0" w:type="dxa"/>
            </w:tcMar>
          </w:tcPr>
          <w:p w14:paraId="7640551A" w14:textId="77777777" w:rsidR="004A3BE4" w:rsidRPr="00A660DE" w:rsidRDefault="004A3BE4" w:rsidP="000A72BC">
            <w:pPr>
              <w:spacing w:after="0"/>
              <w:rPr>
                <w:rFonts w:cs="Arial"/>
                <w:color w:val="0D0D0D" w:themeColor="text1" w:themeTint="F2"/>
                <w:spacing w:val="-5"/>
              </w:rPr>
            </w:pPr>
            <w:r w:rsidRPr="007D6F48">
              <w:rPr>
                <w:color w:val="0D0D0D" w:themeColor="text1" w:themeTint="F2"/>
                <w:spacing w:val="-4"/>
              </w:rPr>
              <w:t>Kapitálové výdaje SR</w:t>
            </w:r>
            <w:r>
              <w:rPr>
                <w:color w:val="0D0D0D" w:themeColor="text1" w:themeTint="F2"/>
                <w:spacing w:val="-4"/>
              </w:rPr>
              <w:t xml:space="preserve"> se meziročně více než zdvojnásobily (na 36 mld. korun). </w:t>
            </w:r>
            <w:r>
              <w:rPr>
                <w:color w:val="0D0D0D" w:themeColor="text1" w:themeTint="F2"/>
                <w:spacing w:val="-4"/>
              </w:rPr>
              <w:br/>
              <w:t xml:space="preserve">V 1. čtvrtletí byla letos proinvestována již více než šestina celoroční rozpočtované částky (vyšší úroveň plnění investic byla na počátku roku patrná naposledy v roce 2016). K meziročnímu růstu investic přispěly rovnoměrně jak výdaje na spolufinancování společných programů ČR a EU (s alokací 20 mld. korun), tak výdaje realizované výhradně z národních zdrojů. Na financování dopravní infrastruktury putovalo skoro 40 % všech investic (meziročně o 11 mld. více), necelých 20 % pak na Národní plán obnovy, zejména na program Nová zelená úsporám (+3,9 mld. korun). </w:t>
            </w:r>
          </w:p>
        </w:tc>
      </w:tr>
      <w:tr w:rsidR="004A3BE4" w:rsidRPr="00F704D2" w14:paraId="25EB0F94" w14:textId="77777777" w:rsidTr="000A72BC">
        <w:trPr>
          <w:trHeight w:val="170"/>
        </w:trPr>
        <w:tc>
          <w:tcPr>
            <w:tcW w:w="1773" w:type="dxa"/>
            <w:vMerge w:val="restart"/>
            <w:shd w:val="clear" w:color="auto" w:fill="auto"/>
            <w:tcMar>
              <w:left w:w="0" w:type="dxa"/>
            </w:tcMar>
          </w:tcPr>
          <w:p w14:paraId="3262B8E2" w14:textId="77777777" w:rsidR="004A3BE4" w:rsidRDefault="004A3BE4" w:rsidP="000A72BC">
            <w:pPr>
              <w:pStyle w:val="Marginlie"/>
            </w:pPr>
          </w:p>
        </w:tc>
        <w:tc>
          <w:tcPr>
            <w:tcW w:w="217" w:type="dxa"/>
            <w:vMerge w:val="restart"/>
            <w:shd w:val="clear" w:color="auto" w:fill="auto"/>
            <w:tcMar>
              <w:left w:w="0" w:type="dxa"/>
            </w:tcMar>
          </w:tcPr>
          <w:p w14:paraId="105B8814" w14:textId="77777777" w:rsidR="004A3BE4" w:rsidRDefault="004A3BE4" w:rsidP="000A72BC">
            <w:pPr>
              <w:pStyle w:val="Textpoznpodarou"/>
              <w:jc w:val="both"/>
              <w:rPr>
                <w:spacing w:val="-4"/>
              </w:rPr>
            </w:pPr>
          </w:p>
        </w:tc>
        <w:tc>
          <w:tcPr>
            <w:tcW w:w="7679" w:type="dxa"/>
            <w:shd w:val="clear" w:color="auto" w:fill="auto"/>
            <w:tcMar>
              <w:left w:w="0" w:type="dxa"/>
            </w:tcMar>
          </w:tcPr>
          <w:p w14:paraId="22800FCE" w14:textId="77777777" w:rsidR="004A3BE4" w:rsidRPr="0033093B" w:rsidRDefault="004A3BE4" w:rsidP="000A72BC">
            <w:pPr>
              <w:spacing w:after="20" w:line="240" w:lineRule="auto"/>
              <w:jc w:val="left"/>
              <w:rPr>
                <w:rFonts w:cs="Arial"/>
                <w:bCs/>
                <w:spacing w:val="-3"/>
              </w:rPr>
            </w:pPr>
            <w:r>
              <w:rPr>
                <w:b/>
                <w:spacing w:val="-3"/>
              </w:rPr>
              <w:t>Graf č. 19</w:t>
            </w:r>
            <w:r w:rsidRPr="0033093B">
              <w:rPr>
                <w:b/>
                <w:spacing w:val="-3"/>
              </w:rPr>
              <w:t xml:space="preserve"> </w:t>
            </w:r>
            <w:r w:rsidRPr="0033093B">
              <w:rPr>
                <w:rFonts w:cs="Arial"/>
                <w:b/>
                <w:bCs/>
                <w:spacing w:val="-3"/>
              </w:rPr>
              <w:t>Vyb</w:t>
            </w:r>
            <w:r>
              <w:rPr>
                <w:rFonts w:cs="Arial"/>
                <w:b/>
                <w:bCs/>
                <w:spacing w:val="-3"/>
              </w:rPr>
              <w:t xml:space="preserve">rané výdaje státního rozpočtu </w:t>
            </w:r>
            <w:r>
              <w:rPr>
                <w:rFonts w:cs="Arial"/>
                <w:b/>
                <w:bCs/>
                <w:color w:val="000000"/>
                <w:spacing w:val="-4"/>
                <w:szCs w:val="20"/>
              </w:rPr>
              <w:t>v rámci 1. čtvrtletí</w:t>
            </w:r>
            <w:r>
              <w:rPr>
                <w:rFonts w:cs="Arial"/>
                <w:bCs/>
                <w:spacing w:val="-3"/>
              </w:rPr>
              <w:t xml:space="preserve"> (</w:t>
            </w:r>
            <w:r w:rsidRPr="008223D7">
              <w:rPr>
                <w:rFonts w:cs="Arial"/>
                <w:bCs/>
                <w:spacing w:val="-3"/>
              </w:rPr>
              <w:t>v</w:t>
            </w:r>
            <w:r w:rsidRPr="0033093B">
              <w:rPr>
                <w:rFonts w:cs="Arial"/>
                <w:bCs/>
                <w:spacing w:val="-3"/>
              </w:rPr>
              <w:t xml:space="preserve"> mld. korun)</w:t>
            </w:r>
          </w:p>
        </w:tc>
      </w:tr>
      <w:tr w:rsidR="004A3BE4" w14:paraId="026A1691" w14:textId="77777777" w:rsidTr="00FD4372">
        <w:tblPrEx>
          <w:tblCellMar>
            <w:left w:w="70" w:type="dxa"/>
            <w:right w:w="70" w:type="dxa"/>
          </w:tblCellMar>
        </w:tblPrEx>
        <w:trPr>
          <w:trHeight w:val="170"/>
        </w:trPr>
        <w:tc>
          <w:tcPr>
            <w:tcW w:w="1773" w:type="dxa"/>
            <w:vMerge/>
            <w:shd w:val="clear" w:color="auto" w:fill="auto"/>
          </w:tcPr>
          <w:p w14:paraId="45C16E04" w14:textId="77777777" w:rsidR="004A3BE4" w:rsidRDefault="004A3BE4" w:rsidP="000A72BC">
            <w:pPr>
              <w:pStyle w:val="Marginlie"/>
            </w:pPr>
          </w:p>
        </w:tc>
        <w:tc>
          <w:tcPr>
            <w:tcW w:w="217" w:type="dxa"/>
            <w:vMerge/>
            <w:shd w:val="clear" w:color="auto" w:fill="auto"/>
          </w:tcPr>
          <w:p w14:paraId="28A673B5" w14:textId="77777777" w:rsidR="004A3BE4" w:rsidRDefault="004A3BE4" w:rsidP="000A72BC">
            <w:pPr>
              <w:pStyle w:val="Textpoznpodarou"/>
              <w:jc w:val="both"/>
              <w:rPr>
                <w:spacing w:val="-4"/>
              </w:rPr>
            </w:pPr>
          </w:p>
        </w:tc>
        <w:tc>
          <w:tcPr>
            <w:tcW w:w="7679" w:type="dxa"/>
            <w:shd w:val="clear" w:color="auto" w:fill="auto"/>
          </w:tcPr>
          <w:p w14:paraId="14B1C1F2" w14:textId="55C7BA79" w:rsidR="004A3BE4" w:rsidRPr="0067514E" w:rsidRDefault="00FD4372" w:rsidP="000A72BC">
            <w:pPr>
              <w:spacing w:after="0"/>
              <w:rPr>
                <w:spacing w:val="-6"/>
              </w:rPr>
            </w:pPr>
            <w:r>
              <w:rPr>
                <w:noProof/>
              </w:rPr>
              <w:drawing>
                <wp:inline distT="0" distB="0" distL="0" distR="0" wp14:anchorId="6A4988D9" wp14:editId="6D2EEBD6">
                  <wp:extent cx="4592802" cy="3401149"/>
                  <wp:effectExtent l="0" t="0" r="0" b="889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A3BE4" w:rsidRPr="00343AC1" w14:paraId="729792A8" w14:textId="77777777" w:rsidTr="000A72BC">
        <w:trPr>
          <w:trHeight w:val="170"/>
        </w:trPr>
        <w:tc>
          <w:tcPr>
            <w:tcW w:w="1773" w:type="dxa"/>
            <w:vMerge/>
            <w:shd w:val="clear" w:color="auto" w:fill="auto"/>
            <w:tcMar>
              <w:left w:w="0" w:type="dxa"/>
            </w:tcMar>
          </w:tcPr>
          <w:p w14:paraId="3AF06E40" w14:textId="77777777" w:rsidR="004A3BE4" w:rsidRDefault="004A3BE4" w:rsidP="000A72BC">
            <w:pPr>
              <w:pStyle w:val="Marginlie"/>
            </w:pPr>
          </w:p>
        </w:tc>
        <w:tc>
          <w:tcPr>
            <w:tcW w:w="217" w:type="dxa"/>
            <w:vMerge/>
            <w:shd w:val="clear" w:color="auto" w:fill="auto"/>
            <w:tcMar>
              <w:left w:w="0" w:type="dxa"/>
            </w:tcMar>
          </w:tcPr>
          <w:p w14:paraId="34C26239" w14:textId="77777777" w:rsidR="004A3BE4" w:rsidRDefault="004A3BE4" w:rsidP="000A72BC">
            <w:pPr>
              <w:pStyle w:val="Textpoznpodarou"/>
              <w:jc w:val="both"/>
              <w:rPr>
                <w:spacing w:val="-4"/>
              </w:rPr>
            </w:pPr>
          </w:p>
        </w:tc>
        <w:tc>
          <w:tcPr>
            <w:tcW w:w="7679" w:type="dxa"/>
            <w:shd w:val="clear" w:color="auto" w:fill="auto"/>
            <w:tcMar>
              <w:left w:w="0" w:type="dxa"/>
            </w:tcMar>
          </w:tcPr>
          <w:p w14:paraId="203EEE70" w14:textId="77777777" w:rsidR="004A3BE4" w:rsidRPr="008F2BE2" w:rsidRDefault="004A3BE4" w:rsidP="000A72BC">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294E0E57" w14:textId="77777777" w:rsidR="004A3BE4" w:rsidRPr="008F2BE2" w:rsidRDefault="004A3BE4" w:rsidP="000A72BC">
            <w:pPr>
              <w:pStyle w:val="Textpoznpodarou"/>
              <w:rPr>
                <w:spacing w:val="-4"/>
                <w:sz w:val="14"/>
                <w:szCs w:val="14"/>
              </w:rPr>
            </w:pPr>
            <w:r w:rsidRPr="008F2BE2">
              <w:rPr>
                <w:spacing w:val="-4"/>
                <w:sz w:val="14"/>
                <w:szCs w:val="14"/>
              </w:rPr>
              <w:t>**Zahrnuje i dávky pěstounské péče.</w:t>
            </w:r>
            <w:r>
              <w:rPr>
                <w:spacing w:val="-4"/>
                <w:sz w:val="14"/>
                <w:szCs w:val="14"/>
              </w:rPr>
              <w:t xml:space="preserve">   *</w:t>
            </w:r>
            <w:r w:rsidRPr="008F2BE2">
              <w:rPr>
                <w:spacing w:val="-4"/>
                <w:sz w:val="14"/>
                <w:szCs w:val="14"/>
              </w:rPr>
              <w:t>**Zahrnují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3288D64E" w14:textId="77777777" w:rsidR="004A3BE4" w:rsidRDefault="004A3BE4" w:rsidP="000A72BC">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469238BD" w14:textId="77777777" w:rsidR="004A3BE4" w:rsidRPr="00D94406" w:rsidRDefault="004A3BE4" w:rsidP="000A72BC">
            <w:pPr>
              <w:pStyle w:val="Textpoznpodarou"/>
              <w:spacing w:after="160"/>
              <w:rPr>
                <w:sz w:val="16"/>
                <w:szCs w:val="16"/>
              </w:rPr>
            </w:pPr>
            <w:r w:rsidRPr="000F45E7">
              <w:rPr>
                <w:spacing w:val="-4"/>
                <w:sz w:val="14"/>
                <w:szCs w:val="14"/>
              </w:rPr>
              <w:t>Zdroj: MF ČR, MPSV</w:t>
            </w:r>
          </w:p>
        </w:tc>
      </w:tr>
    </w:tbl>
    <w:p w14:paraId="3BE23BBB" w14:textId="77777777" w:rsidR="004A3BE4" w:rsidRDefault="004A3BE4" w:rsidP="004A3BE4">
      <w:pPr>
        <w:pStyle w:val="Nadpis11"/>
        <w:rPr>
          <w:b w:val="0"/>
          <w:sz w:val="2"/>
          <w:szCs w:val="2"/>
        </w:rPr>
      </w:pPr>
    </w:p>
    <w:tbl>
      <w:tblPr>
        <w:tblW w:w="9669" w:type="dxa"/>
        <w:tblInd w:w="-20" w:type="dxa"/>
        <w:tblCellMar>
          <w:left w:w="0" w:type="dxa"/>
          <w:right w:w="0" w:type="dxa"/>
        </w:tblCellMar>
        <w:tblLook w:val="00A0" w:firstRow="1" w:lastRow="0" w:firstColumn="1" w:lastColumn="0" w:noHBand="0" w:noVBand="0"/>
      </w:tblPr>
      <w:tblGrid>
        <w:gridCol w:w="1780"/>
        <w:gridCol w:w="219"/>
        <w:gridCol w:w="7670"/>
      </w:tblGrid>
      <w:tr w:rsidR="004A3BE4" w:rsidRPr="004B2C92" w14:paraId="3EC114C4" w14:textId="77777777" w:rsidTr="000A72BC">
        <w:trPr>
          <w:trHeight w:val="145"/>
        </w:trPr>
        <w:tc>
          <w:tcPr>
            <w:tcW w:w="1780" w:type="dxa"/>
            <w:shd w:val="clear" w:color="auto" w:fill="auto"/>
            <w:tcMar>
              <w:left w:w="0" w:type="dxa"/>
            </w:tcMar>
          </w:tcPr>
          <w:p w14:paraId="711A42C8" w14:textId="77777777" w:rsidR="004A3BE4" w:rsidRPr="005B591B" w:rsidRDefault="004A3BE4" w:rsidP="000A72BC">
            <w:pPr>
              <w:pStyle w:val="Marginlie"/>
            </w:pPr>
            <w:r w:rsidRPr="005B591B">
              <w:t>Státní dluh vystoupal na konci 1. čtvrtletí na bezmála 3 biliony korun. Meziroční růst dluhu oproti tempu počátku loňského roku výrazně zrychlil.</w:t>
            </w:r>
          </w:p>
        </w:tc>
        <w:tc>
          <w:tcPr>
            <w:tcW w:w="219" w:type="dxa"/>
            <w:shd w:val="clear" w:color="auto" w:fill="auto"/>
            <w:tcMar>
              <w:left w:w="0" w:type="dxa"/>
            </w:tcMar>
          </w:tcPr>
          <w:p w14:paraId="1780E84C" w14:textId="77777777" w:rsidR="004A3BE4" w:rsidRDefault="004A3BE4" w:rsidP="000A72BC">
            <w:pPr>
              <w:pStyle w:val="Textpoznpodarou"/>
              <w:jc w:val="both"/>
              <w:rPr>
                <w:spacing w:val="-4"/>
              </w:rPr>
            </w:pPr>
          </w:p>
        </w:tc>
        <w:tc>
          <w:tcPr>
            <w:tcW w:w="7670" w:type="dxa"/>
            <w:shd w:val="clear" w:color="auto" w:fill="auto"/>
            <w:tcMar>
              <w:left w:w="0" w:type="dxa"/>
            </w:tcMar>
          </w:tcPr>
          <w:p w14:paraId="475C65FA" w14:textId="0C40F8AB" w:rsidR="004A3BE4" w:rsidRPr="001830C5" w:rsidRDefault="004A3BE4" w:rsidP="000A72BC">
            <w:pPr>
              <w:spacing w:after="200"/>
              <w:rPr>
                <w:spacing w:val="-2"/>
              </w:rPr>
            </w:pPr>
            <w:r>
              <w:rPr>
                <w:color w:val="0D0D0D" w:themeColor="text1" w:themeTint="F2"/>
                <w:spacing w:val="-2"/>
              </w:rPr>
              <w:t xml:space="preserve">Pokračující hospodaření státu s hlubokými </w:t>
            </w:r>
            <w:r w:rsidRPr="00BE22C9">
              <w:rPr>
                <w:color w:val="0D0D0D" w:themeColor="text1" w:themeTint="F2"/>
                <w:spacing w:val="-2"/>
              </w:rPr>
              <w:t>rozpočtový</w:t>
            </w:r>
            <w:r>
              <w:rPr>
                <w:color w:val="0D0D0D" w:themeColor="text1" w:themeTint="F2"/>
                <w:spacing w:val="-2"/>
              </w:rPr>
              <w:t>mi schod</w:t>
            </w:r>
            <w:r w:rsidRPr="00BE22C9">
              <w:rPr>
                <w:color w:val="0D0D0D" w:themeColor="text1" w:themeTint="F2"/>
                <w:spacing w:val="-2"/>
              </w:rPr>
              <w:t>k</w:t>
            </w:r>
            <w:r>
              <w:rPr>
                <w:color w:val="0D0D0D" w:themeColor="text1" w:themeTint="F2"/>
                <w:spacing w:val="-2"/>
              </w:rPr>
              <w:t>y spolu s plánovanými splátkami dluhu se nadále promítaly ve vysoké výpůjční potřebě</w:t>
            </w:r>
            <w:r w:rsidRPr="00BE22C9">
              <w:rPr>
                <w:spacing w:val="-2"/>
              </w:rPr>
              <w:t>.</w:t>
            </w:r>
            <w:r>
              <w:rPr>
                <w:spacing w:val="-2"/>
              </w:rPr>
              <w:t xml:space="preserve"> </w:t>
            </w:r>
            <w:r w:rsidRPr="001830C5">
              <w:rPr>
                <w:color w:val="0D0D0D" w:themeColor="text1" w:themeTint="F2"/>
                <w:spacing w:val="-2"/>
              </w:rPr>
              <w:t xml:space="preserve">Státní dluh tak vystoupal </w:t>
            </w:r>
            <w:r>
              <w:rPr>
                <w:spacing w:val="-2"/>
              </w:rPr>
              <w:t>na konci letošního března na rekordních 2 997</w:t>
            </w:r>
            <w:r w:rsidRPr="00BE22C9">
              <w:rPr>
                <w:spacing w:val="-2"/>
              </w:rPr>
              <w:t xml:space="preserve"> mld. korun, </w:t>
            </w:r>
            <w:r>
              <w:rPr>
                <w:spacing w:val="-2"/>
              </w:rPr>
              <w:t>když se od počátku roku zvýšil o 102 mld. korun a meziročně byl vyšší o 403 mld. (15,5 %). Dynamika růstu dluhu ve srovnání s počátkem loňského roku citelně zrychlila. Meziročně se letos významně zvýšila emisní činnost na domácím trhu</w:t>
            </w:r>
            <w:r>
              <w:rPr>
                <w:rStyle w:val="Znakapoznpodarou"/>
                <w:spacing w:val="-2"/>
              </w:rPr>
              <w:footnoteReference w:id="23"/>
            </w:r>
            <w:r>
              <w:rPr>
                <w:spacing w:val="-2"/>
              </w:rPr>
              <w:t xml:space="preserve"> – čistá emise státních pokladničních poukázek (zahrnující výpůjčky v domácí měn</w:t>
            </w:r>
            <w:r w:rsidR="00C929FE">
              <w:rPr>
                <w:spacing w:val="-2"/>
              </w:rPr>
              <w:t>ě i eurech) činila v přepočtu 93,5</w:t>
            </w:r>
            <w:r>
              <w:rPr>
                <w:spacing w:val="-2"/>
              </w:rPr>
              <w:t xml:space="preserve"> mld. korun a čistá emise korunových středně a dlouhodobých dluhopisů se splatností nad 1 rok čítala 102,2</w:t>
            </w:r>
            <w:r>
              <w:rPr>
                <w:color w:val="0D0D0D" w:themeColor="text1" w:themeTint="F2"/>
                <w:spacing w:val="-2"/>
              </w:rPr>
              <w:t> </w:t>
            </w:r>
            <w:r>
              <w:rPr>
                <w:spacing w:val="-2"/>
              </w:rPr>
              <w:t>mld. korun</w:t>
            </w:r>
            <w:r>
              <w:rPr>
                <w:rStyle w:val="Znakapoznpodarou"/>
                <w:spacing w:val="-2"/>
              </w:rPr>
              <w:footnoteReference w:id="24"/>
            </w:r>
            <w:r>
              <w:rPr>
                <w:spacing w:val="-2"/>
              </w:rPr>
              <w:t xml:space="preserve"> </w:t>
            </w:r>
            <w:r w:rsidR="00FD4372">
              <w:rPr>
                <w:spacing w:val="-2"/>
              </w:rPr>
              <w:t xml:space="preserve">za 1. čtvrtletí 2023. </w:t>
            </w:r>
            <w:r>
              <w:rPr>
                <w:spacing w:val="-2"/>
              </w:rPr>
              <w:t>Především vlivem výše uvedeného došlo k razantnímu navýšení vnitřního státního dluhu (meziročně o 380,5 mld. korun, z toho od počátku letošního roku o 199,4 mld.). Naopak korunová hodnota vnějšího dluhu se meziročně zásadně nezměnila a hlavně vlivem splátek krátkodobých zápůjček během 1. čtvrtletí 2023 poklesla o třetinu</w:t>
            </w:r>
            <w:r>
              <w:rPr>
                <w:rStyle w:val="Znakapoznpodarou"/>
                <w:spacing w:val="-2"/>
              </w:rPr>
              <w:footnoteReference w:id="25"/>
            </w:r>
            <w:r>
              <w:rPr>
                <w:spacing w:val="-2"/>
              </w:rPr>
              <w:t xml:space="preserve">. </w:t>
            </w:r>
          </w:p>
        </w:tc>
      </w:tr>
      <w:tr w:rsidR="004A3BE4" w:rsidRPr="004B2C92" w14:paraId="0650DF9F" w14:textId="77777777" w:rsidTr="000A72BC">
        <w:trPr>
          <w:trHeight w:val="145"/>
        </w:trPr>
        <w:tc>
          <w:tcPr>
            <w:tcW w:w="1780" w:type="dxa"/>
            <w:shd w:val="clear" w:color="auto" w:fill="auto"/>
            <w:tcMar>
              <w:left w:w="0" w:type="dxa"/>
            </w:tcMar>
          </w:tcPr>
          <w:p w14:paraId="10468117" w14:textId="77777777" w:rsidR="004A3BE4" w:rsidRPr="005B591B" w:rsidRDefault="004A3BE4" w:rsidP="000A72BC">
            <w:pPr>
              <w:pStyle w:val="Marginlie"/>
            </w:pPr>
            <w:r w:rsidRPr="005B591B">
              <w:t xml:space="preserve">Sektor vládních institucí (VI) vykázal ve 4. čtvrtletí hluboký schodek přesahující </w:t>
            </w:r>
            <w:r w:rsidRPr="005B591B">
              <w:br/>
              <w:t xml:space="preserve">100 mld. korun. </w:t>
            </w:r>
          </w:p>
          <w:p w14:paraId="7BD319AE" w14:textId="7008FC0A" w:rsidR="004A3BE4" w:rsidRPr="005B591B" w:rsidRDefault="004A3BE4" w:rsidP="000A72BC">
            <w:pPr>
              <w:pStyle w:val="Marginlie"/>
            </w:pPr>
          </w:p>
          <w:p w14:paraId="23B9ECD1" w14:textId="3A97654C" w:rsidR="008F130B" w:rsidRPr="005B591B" w:rsidRDefault="008F130B" w:rsidP="000A72BC">
            <w:pPr>
              <w:pStyle w:val="Marginlie"/>
            </w:pPr>
          </w:p>
          <w:p w14:paraId="5D15E348" w14:textId="77777777" w:rsidR="008F130B" w:rsidRPr="005B591B" w:rsidRDefault="008F130B" w:rsidP="000A72BC">
            <w:pPr>
              <w:pStyle w:val="Marginlie"/>
            </w:pPr>
          </w:p>
          <w:p w14:paraId="6C8D2F9B" w14:textId="0F6BA944" w:rsidR="004A3BE4" w:rsidRPr="005B591B" w:rsidRDefault="004A3BE4" w:rsidP="000A72BC">
            <w:pPr>
              <w:pStyle w:val="Marginlie"/>
            </w:pPr>
            <w:r w:rsidRPr="005B591B">
              <w:t xml:space="preserve">Růst příjmů VI táhly zejména vyšší sociální </w:t>
            </w:r>
            <w:r w:rsidRPr="005B591B">
              <w:lastRenderedPageBreak/>
              <w:t>příspěvky, což dokládalo stále dobrou kondici trhu práce.</w:t>
            </w:r>
          </w:p>
          <w:p w14:paraId="304961C2" w14:textId="5C285598" w:rsidR="008F130B" w:rsidRPr="005B591B" w:rsidRDefault="008F130B" w:rsidP="000A72BC">
            <w:pPr>
              <w:pStyle w:val="Marginlie"/>
            </w:pPr>
          </w:p>
          <w:p w14:paraId="1268800A" w14:textId="0277C929" w:rsidR="008F130B" w:rsidRPr="005B591B" w:rsidRDefault="008F130B" w:rsidP="000A72BC">
            <w:pPr>
              <w:pStyle w:val="Marginlie"/>
            </w:pPr>
          </w:p>
          <w:p w14:paraId="486CD2BB" w14:textId="77777777" w:rsidR="008F130B" w:rsidRPr="005B591B" w:rsidRDefault="008F130B" w:rsidP="000A72BC">
            <w:pPr>
              <w:pStyle w:val="Marginlie"/>
            </w:pPr>
          </w:p>
          <w:p w14:paraId="7F682FD6" w14:textId="77777777" w:rsidR="004A3BE4" w:rsidRPr="005B591B" w:rsidRDefault="004A3BE4" w:rsidP="000A72BC">
            <w:pPr>
              <w:pStyle w:val="Marginlie"/>
            </w:pPr>
            <w:r w:rsidRPr="005B591B">
              <w:t xml:space="preserve">Vyšší výdaje souvisely primárně s posílením sociálních dávek </w:t>
            </w:r>
            <w:r w:rsidRPr="005B591B">
              <w:br/>
              <w:t xml:space="preserve">a naturálních sociálních transferů, k růstu však přispěly takřka všechny výdajové položky. </w:t>
            </w:r>
          </w:p>
          <w:p w14:paraId="5B001F8C" w14:textId="77777777" w:rsidR="004A3BE4" w:rsidRPr="005B591B" w:rsidRDefault="004A3BE4" w:rsidP="000A72BC">
            <w:pPr>
              <w:pStyle w:val="Marginlie"/>
            </w:pPr>
          </w:p>
        </w:tc>
        <w:tc>
          <w:tcPr>
            <w:tcW w:w="219" w:type="dxa"/>
            <w:shd w:val="clear" w:color="auto" w:fill="auto"/>
            <w:tcMar>
              <w:left w:w="0" w:type="dxa"/>
            </w:tcMar>
          </w:tcPr>
          <w:p w14:paraId="2EC732F9" w14:textId="77777777" w:rsidR="004A3BE4" w:rsidRDefault="004A3BE4" w:rsidP="000A72BC">
            <w:pPr>
              <w:pStyle w:val="Textpoznpodarou"/>
              <w:jc w:val="both"/>
              <w:rPr>
                <w:spacing w:val="-4"/>
              </w:rPr>
            </w:pPr>
          </w:p>
        </w:tc>
        <w:tc>
          <w:tcPr>
            <w:tcW w:w="7670" w:type="dxa"/>
            <w:shd w:val="clear" w:color="auto" w:fill="auto"/>
            <w:tcMar>
              <w:left w:w="0" w:type="dxa"/>
            </w:tcMar>
          </w:tcPr>
          <w:p w14:paraId="2AFB50A0" w14:textId="39463DFF" w:rsidR="004A3BE4" w:rsidRPr="00766F07" w:rsidRDefault="004A3BE4" w:rsidP="000A72BC">
            <w:pPr>
              <w:spacing w:after="200"/>
              <w:rPr>
                <w:szCs w:val="20"/>
              </w:rPr>
            </w:pPr>
            <w:r>
              <w:rPr>
                <w:szCs w:val="20"/>
              </w:rPr>
              <w:t xml:space="preserve">Celý sektor vládních institucí (VI) </w:t>
            </w:r>
            <w:r w:rsidR="008F130B">
              <w:rPr>
                <w:szCs w:val="20"/>
              </w:rPr>
              <w:t>hospodařil ve 4. čtvrtletí 2022</w:t>
            </w:r>
            <w:r w:rsidR="008F130B" w:rsidRPr="00006754">
              <w:rPr>
                <w:rStyle w:val="Znakapoznpodarou"/>
                <w:color w:val="0D0D0D" w:themeColor="text1" w:themeTint="F2"/>
                <w:spacing w:val="-3"/>
              </w:rPr>
              <w:footnoteReference w:id="26"/>
            </w:r>
            <w:r w:rsidR="008F130B">
              <w:rPr>
                <w:szCs w:val="20"/>
              </w:rPr>
              <w:t xml:space="preserve"> s deficitem ve výši </w:t>
            </w:r>
            <w:r>
              <w:rPr>
                <w:szCs w:val="20"/>
              </w:rPr>
              <w:t>103,8 mld. korun</w:t>
            </w:r>
            <w:r w:rsidRPr="00006754">
              <w:rPr>
                <w:rStyle w:val="Znakapoznpodarou"/>
                <w:color w:val="0D0D0D" w:themeColor="text1" w:themeTint="F2"/>
                <w:spacing w:val="-3"/>
              </w:rPr>
              <w:footnoteReference w:id="27"/>
            </w:r>
            <w:r w:rsidR="004828DA">
              <w:rPr>
                <w:szCs w:val="20"/>
              </w:rPr>
              <w:t>. H</w:t>
            </w:r>
            <w:r>
              <w:rPr>
                <w:szCs w:val="20"/>
              </w:rPr>
              <w:t xml:space="preserve">oršího výsledku na sklonku roku </w:t>
            </w:r>
            <w:r w:rsidR="008F130B">
              <w:rPr>
                <w:szCs w:val="20"/>
              </w:rPr>
              <w:t>bylo za dobu sledování</w:t>
            </w:r>
            <w:r w:rsidR="004828DA">
              <w:rPr>
                <w:szCs w:val="20"/>
              </w:rPr>
              <w:t xml:space="preserve"> dosaženo pouze</w:t>
            </w:r>
            <w:r>
              <w:rPr>
                <w:szCs w:val="20"/>
              </w:rPr>
              <w:t xml:space="preserve"> v roce 2020. Přestože tempo meziročního r</w:t>
            </w:r>
            <w:r w:rsidR="008F130B">
              <w:rPr>
                <w:szCs w:val="20"/>
              </w:rPr>
              <w:t xml:space="preserve">ůstu příjmů v posledním loňském kvartálu </w:t>
            </w:r>
            <w:r>
              <w:rPr>
                <w:szCs w:val="20"/>
              </w:rPr>
              <w:t>(+9,2 %) mírně převýšilo dynamiku výdajů (+8,9 %), celkový schodek se meziročně mírně prohloubil (o</w:t>
            </w:r>
            <w:r>
              <w:rPr>
                <w:spacing w:val="-2"/>
              </w:rPr>
              <w:t> </w:t>
            </w:r>
            <w:r>
              <w:rPr>
                <w:szCs w:val="20"/>
              </w:rPr>
              <w:t xml:space="preserve">7,0 mld. korun). Růst příjmů byl tažen zejména přijatými čistými sociálními příspěvky (+16,0 mld. korun), jejich dynamika však během loňského roku ve vazbě na mírné ochlazení trhu práce v ČR zvolňovala. Příjmy byly podpořeny také zvýšenými úroky plynoucími zejména </w:t>
            </w:r>
            <w:r w:rsidR="005B591B">
              <w:rPr>
                <w:szCs w:val="20"/>
              </w:rPr>
              <w:t>z vyšších</w:t>
            </w:r>
            <w:r>
              <w:rPr>
                <w:szCs w:val="20"/>
              </w:rPr>
              <w:t xml:space="preserve"> důc</w:t>
            </w:r>
            <w:r w:rsidR="005B591B">
              <w:rPr>
                <w:szCs w:val="20"/>
              </w:rPr>
              <w:t>hodů</w:t>
            </w:r>
            <w:r>
              <w:rPr>
                <w:szCs w:val="20"/>
              </w:rPr>
              <w:t xml:space="preserve"> z vlastnictví (+15,3 mld.), </w:t>
            </w:r>
            <w:r>
              <w:rPr>
                <w:szCs w:val="20"/>
              </w:rPr>
              <w:lastRenderedPageBreak/>
              <w:t>pozitivně se projevily i běžné daně z důc</w:t>
            </w:r>
            <w:r w:rsidR="008F130B">
              <w:rPr>
                <w:szCs w:val="20"/>
              </w:rPr>
              <w:t>hodů a jmění (+12,3 mld., +10,6</w:t>
            </w:r>
            <w:r w:rsidR="008F130B">
              <w:rPr>
                <w:color w:val="0D0D0D" w:themeColor="text1" w:themeTint="F2"/>
                <w:spacing w:val="-2"/>
              </w:rPr>
              <w:t> </w:t>
            </w:r>
            <w:r>
              <w:rPr>
                <w:szCs w:val="20"/>
              </w:rPr>
              <w:t>%) či přijaté k</w:t>
            </w:r>
            <w:r w:rsidRPr="00A06102">
              <w:rPr>
                <w:szCs w:val="20"/>
              </w:rPr>
              <w:t>apitálové transfery</w:t>
            </w:r>
            <w:r>
              <w:rPr>
                <w:szCs w:val="20"/>
              </w:rPr>
              <w:t xml:space="preserve"> (+7,7 mld.). Prudce zmírnil přírůstek váhově významné položky obdržených daní z výroby a dovozu (+4,8 mld. korun), jejich</w:t>
            </w:r>
            <w:r w:rsidR="00FD4372">
              <w:rPr>
                <w:szCs w:val="20"/>
              </w:rPr>
              <w:t>ž</w:t>
            </w:r>
            <w:r>
              <w:rPr>
                <w:szCs w:val="20"/>
              </w:rPr>
              <w:t xml:space="preserve"> meziroční růst činil na konci roku jen 2,5 % (v 1. čtvrtletí 2022 ale 17,1 %). Projevilo se zde oslabení výběru spotřebních daní, zejména u</w:t>
            </w:r>
            <w:r>
              <w:rPr>
                <w:color w:val="0D0D0D" w:themeColor="text1" w:themeTint="F2"/>
                <w:spacing w:val="-2"/>
              </w:rPr>
              <w:t> </w:t>
            </w:r>
            <w:r>
              <w:rPr>
                <w:szCs w:val="20"/>
              </w:rPr>
              <w:t>pohonných hmot, ale i slábnoucí dynamika výběru DPH (navzdory akceleraci růstu spotřebitelských cen). Meziroční růst výdajové strany VI ve 4. čtvrtletí nejvíce zatížily vyplacené sociální dávky a naturální sociální transfe</w:t>
            </w:r>
            <w:r w:rsidR="00D26133">
              <w:rPr>
                <w:szCs w:val="20"/>
              </w:rPr>
              <w:t>ry (+25,0 mld. korun, +9,1 %). M</w:t>
            </w:r>
            <w:r>
              <w:rPr>
                <w:szCs w:val="20"/>
              </w:rPr>
              <w:t>éně výrazný byl přírůstek výdajů na tvorbu hrubého kapitálu a čistého pořízení nevyráběných aktiv (+10,7 mld. korun), náhrad zaměstnancům (</w:t>
            </w:r>
            <w:r w:rsidR="005B591B">
              <w:rPr>
                <w:szCs w:val="20"/>
              </w:rPr>
              <w:t>+</w:t>
            </w:r>
            <w:r>
              <w:rPr>
                <w:szCs w:val="20"/>
              </w:rPr>
              <w:t>10,5 mld.), placených důchodů z vlastnictví (+10,0 mld., takřka výhradně vlivem zvýšených úroků) a mezispotřeby (+8,9 mld. korun). Po sérii meziročních poklesů souvisejících s útlumem protipandemických výdajů se znovu obnovil růst vyplacených dotací (+3,9 mld. korun, +10,9 %).</w:t>
            </w:r>
          </w:p>
        </w:tc>
      </w:tr>
      <w:tr w:rsidR="00780BF0" w:rsidRPr="00D52ED2" w14:paraId="7093F4EC" w14:textId="77777777" w:rsidTr="000A72BC">
        <w:trPr>
          <w:trHeight w:val="145"/>
        </w:trPr>
        <w:tc>
          <w:tcPr>
            <w:tcW w:w="1780" w:type="dxa"/>
            <w:shd w:val="clear" w:color="auto" w:fill="auto"/>
            <w:tcMar>
              <w:left w:w="0" w:type="dxa"/>
            </w:tcMar>
          </w:tcPr>
          <w:p w14:paraId="73115D5A" w14:textId="77777777" w:rsidR="00780BF0" w:rsidRDefault="00780BF0" w:rsidP="00780BF0">
            <w:pPr>
              <w:pStyle w:val="Marginlie"/>
            </w:pPr>
          </w:p>
        </w:tc>
        <w:tc>
          <w:tcPr>
            <w:tcW w:w="219" w:type="dxa"/>
            <w:shd w:val="clear" w:color="auto" w:fill="auto"/>
            <w:tcMar>
              <w:left w:w="0" w:type="dxa"/>
            </w:tcMar>
          </w:tcPr>
          <w:p w14:paraId="7C372CDE" w14:textId="77777777" w:rsidR="00780BF0" w:rsidRDefault="00780BF0" w:rsidP="00780BF0">
            <w:pPr>
              <w:pStyle w:val="Textpoznpodarou"/>
              <w:jc w:val="both"/>
              <w:rPr>
                <w:spacing w:val="-4"/>
              </w:rPr>
            </w:pPr>
          </w:p>
        </w:tc>
        <w:tc>
          <w:tcPr>
            <w:tcW w:w="7670" w:type="dxa"/>
            <w:shd w:val="clear" w:color="auto" w:fill="auto"/>
            <w:tcMar>
              <w:left w:w="0" w:type="dxa"/>
            </w:tcMar>
          </w:tcPr>
          <w:p w14:paraId="6BC1457E" w14:textId="491D9B30" w:rsidR="00780BF0" w:rsidRDefault="00780BF0" w:rsidP="00780BF0">
            <w:pPr>
              <w:spacing w:after="40"/>
              <w:rPr>
                <w:color w:val="0D0D0D" w:themeColor="text1" w:themeTint="F2"/>
                <w:spacing w:val="-4"/>
              </w:rPr>
            </w:pPr>
            <w:r w:rsidRPr="00C4556A">
              <w:rPr>
                <w:b/>
                <w:spacing w:val="-2"/>
              </w:rPr>
              <w:t xml:space="preserve">Graf č. 20 </w:t>
            </w:r>
            <w:r w:rsidRPr="00C4556A">
              <w:rPr>
                <w:rFonts w:cs="Arial"/>
                <w:b/>
                <w:bCs/>
                <w:spacing w:val="-2"/>
              </w:rPr>
              <w:t xml:space="preserve">Saldo hospodaření a konsolidovaný dluh sektoru vládních institucí v Česku, EU a eurozóně </w:t>
            </w:r>
            <w:r w:rsidRPr="00C4556A">
              <w:rPr>
                <w:rFonts w:cs="Arial"/>
                <w:bCs/>
                <w:spacing w:val="-2"/>
              </w:rPr>
              <w:t>(</w:t>
            </w:r>
            <w:r>
              <w:rPr>
                <w:rFonts w:cs="Arial"/>
                <w:bCs/>
                <w:spacing w:val="-2"/>
              </w:rPr>
              <w:t xml:space="preserve">v % HDP, </w:t>
            </w:r>
            <w:r w:rsidRPr="00C4556A">
              <w:rPr>
                <w:rFonts w:cs="Arial"/>
                <w:bCs/>
                <w:spacing w:val="-2"/>
              </w:rPr>
              <w:t>roční úhrn, resp. stav k 31.12.)</w:t>
            </w:r>
          </w:p>
        </w:tc>
      </w:tr>
      <w:tr w:rsidR="00780BF0" w:rsidRPr="00D52ED2" w14:paraId="0E788618" w14:textId="77777777" w:rsidTr="000A72BC">
        <w:trPr>
          <w:trHeight w:val="145"/>
        </w:trPr>
        <w:tc>
          <w:tcPr>
            <w:tcW w:w="1780" w:type="dxa"/>
            <w:shd w:val="clear" w:color="auto" w:fill="auto"/>
            <w:tcMar>
              <w:left w:w="0" w:type="dxa"/>
            </w:tcMar>
          </w:tcPr>
          <w:p w14:paraId="5E7832EE" w14:textId="77777777" w:rsidR="00780BF0" w:rsidRDefault="00780BF0" w:rsidP="00780BF0">
            <w:pPr>
              <w:pStyle w:val="Marginlie"/>
            </w:pPr>
          </w:p>
        </w:tc>
        <w:tc>
          <w:tcPr>
            <w:tcW w:w="219" w:type="dxa"/>
            <w:shd w:val="clear" w:color="auto" w:fill="auto"/>
            <w:tcMar>
              <w:left w:w="0" w:type="dxa"/>
            </w:tcMar>
          </w:tcPr>
          <w:p w14:paraId="4446C048" w14:textId="77777777" w:rsidR="00780BF0" w:rsidRDefault="00780BF0" w:rsidP="00780BF0">
            <w:pPr>
              <w:pStyle w:val="Textpoznpodarou"/>
              <w:jc w:val="both"/>
              <w:rPr>
                <w:spacing w:val="-4"/>
              </w:rPr>
            </w:pPr>
          </w:p>
        </w:tc>
        <w:tc>
          <w:tcPr>
            <w:tcW w:w="7670" w:type="dxa"/>
            <w:shd w:val="clear" w:color="auto" w:fill="auto"/>
            <w:tcMar>
              <w:left w:w="0" w:type="dxa"/>
            </w:tcMar>
          </w:tcPr>
          <w:p w14:paraId="694B729B" w14:textId="40BCFBC5" w:rsidR="00780BF0" w:rsidRPr="00C4556A" w:rsidRDefault="00780BF0" w:rsidP="00780BF0">
            <w:pPr>
              <w:spacing w:after="200"/>
              <w:rPr>
                <w:b/>
                <w:spacing w:val="-2"/>
              </w:rPr>
            </w:pPr>
            <w:r>
              <w:rPr>
                <w:noProof/>
              </w:rPr>
              <w:drawing>
                <wp:inline distT="0" distB="0" distL="0" distR="0" wp14:anchorId="2D137F1F" wp14:editId="600097D5">
                  <wp:extent cx="4751351" cy="3225841"/>
                  <wp:effectExtent l="0" t="0" r="11430" b="1270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80BF0" w:rsidRPr="00D52ED2" w14:paraId="77A2D4F1" w14:textId="77777777" w:rsidTr="000A72BC">
        <w:trPr>
          <w:trHeight w:val="145"/>
        </w:trPr>
        <w:tc>
          <w:tcPr>
            <w:tcW w:w="1780" w:type="dxa"/>
            <w:shd w:val="clear" w:color="auto" w:fill="auto"/>
            <w:tcMar>
              <w:left w:w="0" w:type="dxa"/>
            </w:tcMar>
          </w:tcPr>
          <w:p w14:paraId="763DDA5E" w14:textId="77777777" w:rsidR="00780BF0" w:rsidRDefault="00780BF0" w:rsidP="00780BF0">
            <w:pPr>
              <w:pStyle w:val="Marginlie"/>
            </w:pPr>
          </w:p>
        </w:tc>
        <w:tc>
          <w:tcPr>
            <w:tcW w:w="219" w:type="dxa"/>
            <w:shd w:val="clear" w:color="auto" w:fill="auto"/>
            <w:tcMar>
              <w:left w:w="0" w:type="dxa"/>
            </w:tcMar>
          </w:tcPr>
          <w:p w14:paraId="3DEF50E5" w14:textId="77777777" w:rsidR="00780BF0" w:rsidRDefault="00780BF0" w:rsidP="00780BF0">
            <w:pPr>
              <w:pStyle w:val="Textpoznpodarou"/>
              <w:jc w:val="both"/>
              <w:rPr>
                <w:spacing w:val="-4"/>
              </w:rPr>
            </w:pPr>
          </w:p>
        </w:tc>
        <w:tc>
          <w:tcPr>
            <w:tcW w:w="7670" w:type="dxa"/>
            <w:shd w:val="clear" w:color="auto" w:fill="auto"/>
            <w:tcMar>
              <w:left w:w="0" w:type="dxa"/>
            </w:tcMar>
          </w:tcPr>
          <w:p w14:paraId="20FF27B3" w14:textId="3CD0165D" w:rsidR="00780BF0" w:rsidRDefault="00780BF0" w:rsidP="00780BF0">
            <w:pPr>
              <w:spacing w:after="200"/>
              <w:rPr>
                <w:noProof/>
              </w:rPr>
            </w:pPr>
            <w:r>
              <w:rPr>
                <w:spacing w:val="-4"/>
                <w:sz w:val="14"/>
                <w:szCs w:val="14"/>
              </w:rPr>
              <w:t>Zdroj: Eurostat</w:t>
            </w:r>
          </w:p>
        </w:tc>
      </w:tr>
      <w:tr w:rsidR="00780BF0" w:rsidRPr="00D52ED2" w14:paraId="7B0FC9A5" w14:textId="77777777" w:rsidTr="000A72BC">
        <w:trPr>
          <w:trHeight w:val="145"/>
        </w:trPr>
        <w:tc>
          <w:tcPr>
            <w:tcW w:w="1780" w:type="dxa"/>
            <w:shd w:val="clear" w:color="auto" w:fill="auto"/>
            <w:tcMar>
              <w:left w:w="0" w:type="dxa"/>
            </w:tcMar>
          </w:tcPr>
          <w:p w14:paraId="26F1F22C" w14:textId="77777777" w:rsidR="00780BF0" w:rsidRPr="008F130B" w:rsidRDefault="00780BF0" w:rsidP="00780BF0">
            <w:pPr>
              <w:pStyle w:val="Marginlie"/>
            </w:pPr>
            <w:r w:rsidRPr="008F130B">
              <w:t>Trend snižování deficitu sektoru vládních institucí se ve 2. pololetí ve většině zemí EU</w:t>
            </w:r>
            <w:r>
              <w:t xml:space="preserve"> zastavil</w:t>
            </w:r>
            <w:r w:rsidRPr="008F130B">
              <w:t>.</w:t>
            </w:r>
          </w:p>
          <w:p w14:paraId="66D859BB" w14:textId="77777777" w:rsidR="00780BF0" w:rsidRDefault="00780BF0" w:rsidP="00780BF0">
            <w:pPr>
              <w:pStyle w:val="Marginlie"/>
            </w:pPr>
          </w:p>
        </w:tc>
        <w:tc>
          <w:tcPr>
            <w:tcW w:w="219" w:type="dxa"/>
            <w:shd w:val="clear" w:color="auto" w:fill="auto"/>
            <w:tcMar>
              <w:left w:w="0" w:type="dxa"/>
            </w:tcMar>
          </w:tcPr>
          <w:p w14:paraId="14F754C5" w14:textId="77777777" w:rsidR="00780BF0" w:rsidRDefault="00780BF0" w:rsidP="00780BF0">
            <w:pPr>
              <w:pStyle w:val="Textpoznpodarou"/>
              <w:jc w:val="both"/>
              <w:rPr>
                <w:spacing w:val="-4"/>
              </w:rPr>
            </w:pPr>
          </w:p>
        </w:tc>
        <w:tc>
          <w:tcPr>
            <w:tcW w:w="7670" w:type="dxa"/>
            <w:shd w:val="clear" w:color="auto" w:fill="auto"/>
            <w:tcMar>
              <w:left w:w="0" w:type="dxa"/>
            </w:tcMar>
          </w:tcPr>
          <w:p w14:paraId="6F7BCA60" w14:textId="433B353D" w:rsidR="00780BF0" w:rsidRDefault="00780BF0" w:rsidP="00780BF0">
            <w:pPr>
              <w:spacing w:after="200"/>
              <w:rPr>
                <w:spacing w:val="-4"/>
                <w:sz w:val="14"/>
                <w:szCs w:val="14"/>
              </w:rPr>
            </w:pPr>
            <w:r w:rsidRPr="00437F71">
              <w:rPr>
                <w:color w:val="0D0D0D" w:themeColor="text1" w:themeTint="F2"/>
                <w:spacing w:val="-4"/>
              </w:rPr>
              <w:t xml:space="preserve">Zlepšování kondice veřejných financí v EU i </w:t>
            </w:r>
            <w:r>
              <w:rPr>
                <w:color w:val="0D0D0D" w:themeColor="text1" w:themeTint="F2"/>
                <w:spacing w:val="-4"/>
              </w:rPr>
              <w:t xml:space="preserve">státech eurozóny (související </w:t>
            </w:r>
            <w:r w:rsidRPr="00437F71">
              <w:rPr>
                <w:color w:val="0D0D0D" w:themeColor="text1" w:themeTint="F2"/>
                <w:spacing w:val="-4"/>
              </w:rPr>
              <w:t>s výrazným útlumem mimořádných veřejných výdajů spojených s pandemií), patrné od počátku roku 2021, se loni ve 2. pololetí zastavilo.</w:t>
            </w:r>
            <w:r>
              <w:rPr>
                <w:color w:val="0D0D0D" w:themeColor="text1" w:themeTint="F2"/>
                <w:spacing w:val="-4"/>
              </w:rPr>
              <w:t xml:space="preserve"> Ve 4. čtvrtletí 2022 se deficit hospodaření sektoru VI v Unii prohloubil na 4,5 % HDP, což znamenalo nejslabší výsledek za posledních šest kvartálů</w:t>
            </w:r>
            <w:r w:rsidRPr="00006754">
              <w:rPr>
                <w:rStyle w:val="Znakapoznpodarou"/>
                <w:color w:val="0D0D0D" w:themeColor="text1" w:themeTint="F2"/>
                <w:spacing w:val="-4"/>
              </w:rPr>
              <w:footnoteReference w:id="28"/>
            </w:r>
            <w:r w:rsidRPr="0058030F">
              <w:rPr>
                <w:color w:val="0D0D0D" w:themeColor="text1" w:themeTint="F2"/>
                <w:spacing w:val="-4"/>
              </w:rPr>
              <w:t xml:space="preserve">. </w:t>
            </w:r>
            <w:r>
              <w:rPr>
                <w:color w:val="0D0D0D" w:themeColor="text1" w:themeTint="F2"/>
                <w:spacing w:val="-4"/>
              </w:rPr>
              <w:t xml:space="preserve">Rovněž v Česku se vloni schodek prohloubil, byť svého dna dosáhl již ve 3. čtvrtletí (−4,6 % HDP) a na konci roku došlo k mírnému zlepšení (−3,9 % HDP). I přes zhoršující se makroekonomickou situaci </w:t>
            </w:r>
            <w:r w:rsidR="00FD4372">
              <w:rPr>
                <w:color w:val="0D0D0D" w:themeColor="text1" w:themeTint="F2"/>
                <w:spacing w:val="-4"/>
              </w:rPr>
              <w:t>si ve 4. čtvrtletí několik</w:t>
            </w:r>
            <w:r>
              <w:rPr>
                <w:color w:val="0D0D0D" w:themeColor="text1" w:themeTint="F2"/>
                <w:spacing w:val="-4"/>
              </w:rPr>
              <w:t xml:space="preserve"> států v Unii uchovalo přebytek hospodaření – Dánsko (+3,3 % HDP), Irsko (+1,3 %) a Bulharsko </w:t>
            </w:r>
            <w:r>
              <w:rPr>
                <w:color w:val="0D0D0D" w:themeColor="text1" w:themeTint="F2"/>
                <w:spacing w:val="-4"/>
              </w:rPr>
              <w:br/>
              <w:t>(+0,9 %)</w:t>
            </w:r>
            <w:r>
              <w:rPr>
                <w:rStyle w:val="Znakapoznpodarou"/>
                <w:color w:val="0D0D0D" w:themeColor="text1" w:themeTint="F2"/>
                <w:spacing w:val="-4"/>
              </w:rPr>
              <w:footnoteReference w:id="29"/>
            </w:r>
            <w:r>
              <w:rPr>
                <w:color w:val="0D0D0D" w:themeColor="text1" w:themeTint="F2"/>
                <w:spacing w:val="-4"/>
              </w:rPr>
              <w:t>. Naopak s hlubokými schodky převyšujícími 7 % HDP se na konci loňského roku potýkaly Maďarsko, Polsko, Rumunsko, Malta a Španělsko.</w:t>
            </w:r>
          </w:p>
        </w:tc>
      </w:tr>
      <w:tr w:rsidR="00780BF0" w:rsidRPr="00D52ED2" w14:paraId="7765495B" w14:textId="77777777" w:rsidTr="000A72BC">
        <w:trPr>
          <w:trHeight w:val="145"/>
        </w:trPr>
        <w:tc>
          <w:tcPr>
            <w:tcW w:w="1780" w:type="dxa"/>
            <w:shd w:val="clear" w:color="auto" w:fill="auto"/>
            <w:tcMar>
              <w:left w:w="0" w:type="dxa"/>
            </w:tcMar>
          </w:tcPr>
          <w:p w14:paraId="23DF706B" w14:textId="77777777" w:rsidR="00780BF0" w:rsidRDefault="00780BF0" w:rsidP="00780BF0">
            <w:pPr>
              <w:pStyle w:val="Marginlie"/>
            </w:pPr>
            <w:r>
              <w:t xml:space="preserve">Míra zadlužení sektoru vládních institucí v zemích EU naopak </w:t>
            </w:r>
            <w:r>
              <w:lastRenderedPageBreak/>
              <w:t xml:space="preserve">stále klesala a na konci roku 2022 byla nejnižší od propuknutí pandemie. </w:t>
            </w:r>
          </w:p>
          <w:p w14:paraId="4DE88FDD" w14:textId="77777777" w:rsidR="00780BF0" w:rsidRDefault="00780BF0" w:rsidP="00780BF0">
            <w:pPr>
              <w:pStyle w:val="Marginlie"/>
            </w:pPr>
          </w:p>
          <w:p w14:paraId="6DE3E6B3" w14:textId="77777777" w:rsidR="00780BF0" w:rsidRDefault="00780BF0" w:rsidP="00780BF0">
            <w:pPr>
              <w:pStyle w:val="Marginlie"/>
            </w:pPr>
          </w:p>
          <w:p w14:paraId="5B1663ED" w14:textId="77777777" w:rsidR="00780BF0" w:rsidRDefault="00780BF0" w:rsidP="00780BF0">
            <w:pPr>
              <w:pStyle w:val="Marginlie"/>
            </w:pPr>
          </w:p>
          <w:p w14:paraId="05046187" w14:textId="77777777" w:rsidR="00780BF0" w:rsidRDefault="00780BF0" w:rsidP="00780BF0">
            <w:pPr>
              <w:pStyle w:val="Marginlie"/>
            </w:pPr>
          </w:p>
          <w:p w14:paraId="141E3723" w14:textId="77777777" w:rsidR="00780BF0" w:rsidRDefault="00780BF0" w:rsidP="00780BF0">
            <w:pPr>
              <w:pStyle w:val="Marginlie"/>
            </w:pPr>
          </w:p>
          <w:p w14:paraId="6635EAF1" w14:textId="77777777" w:rsidR="00780BF0" w:rsidRDefault="00780BF0" w:rsidP="00780BF0">
            <w:pPr>
              <w:pStyle w:val="Marginlie"/>
            </w:pPr>
          </w:p>
          <w:p w14:paraId="3D83065A" w14:textId="77777777" w:rsidR="00780BF0" w:rsidRDefault="00780BF0" w:rsidP="00780BF0">
            <w:pPr>
              <w:pStyle w:val="Marginlie"/>
            </w:pPr>
          </w:p>
          <w:p w14:paraId="66978CA0" w14:textId="77777777" w:rsidR="00780BF0" w:rsidRDefault="00780BF0" w:rsidP="00780BF0">
            <w:pPr>
              <w:pStyle w:val="Marginlie"/>
            </w:pPr>
          </w:p>
          <w:p w14:paraId="5EFABF79" w14:textId="77777777" w:rsidR="00780BF0" w:rsidRDefault="00780BF0" w:rsidP="00780BF0">
            <w:pPr>
              <w:pStyle w:val="Marginlie"/>
            </w:pPr>
            <w:r>
              <w:t>V ČR meziroční růst míry zadlužení přetrvával. Oproti minimu z poslední konjunktury bylo zadlužení vyšší o více než 14 p. b.</w:t>
            </w:r>
          </w:p>
          <w:p w14:paraId="0F363EED" w14:textId="77777777" w:rsidR="00780BF0" w:rsidRDefault="00780BF0" w:rsidP="00780BF0">
            <w:pPr>
              <w:pStyle w:val="Marginlie"/>
            </w:pPr>
          </w:p>
        </w:tc>
        <w:tc>
          <w:tcPr>
            <w:tcW w:w="219" w:type="dxa"/>
            <w:shd w:val="clear" w:color="auto" w:fill="auto"/>
            <w:tcMar>
              <w:left w:w="0" w:type="dxa"/>
            </w:tcMar>
          </w:tcPr>
          <w:p w14:paraId="2F18C511" w14:textId="77777777" w:rsidR="00780BF0" w:rsidRDefault="00780BF0" w:rsidP="00780BF0">
            <w:pPr>
              <w:pStyle w:val="Textpoznpodarou"/>
              <w:jc w:val="both"/>
              <w:rPr>
                <w:spacing w:val="-4"/>
              </w:rPr>
            </w:pPr>
          </w:p>
        </w:tc>
        <w:tc>
          <w:tcPr>
            <w:tcW w:w="7670" w:type="dxa"/>
            <w:shd w:val="clear" w:color="auto" w:fill="auto"/>
            <w:tcMar>
              <w:left w:w="0" w:type="dxa"/>
            </w:tcMar>
          </w:tcPr>
          <w:p w14:paraId="644CF524" w14:textId="420AC47F" w:rsidR="00780BF0" w:rsidRDefault="00780BF0" w:rsidP="00780BF0">
            <w:pPr>
              <w:spacing w:after="200"/>
              <w:rPr>
                <w:spacing w:val="-4"/>
                <w:sz w:val="14"/>
                <w:szCs w:val="14"/>
              </w:rPr>
            </w:pPr>
            <w:r>
              <w:rPr>
                <w:color w:val="0D0D0D" w:themeColor="text1" w:themeTint="F2"/>
                <w:spacing w:val="-4"/>
              </w:rPr>
              <w:t xml:space="preserve">I přes zhoršení deficitu hospodaření sektoru VI v řadě evropských zemí se míra zadlužení v celé EU dále snižovala. Ve 4. čtvrtletí 2022 dosáhla rovných 84 % HDP a byla tak nejnižší </w:t>
            </w:r>
            <w:r>
              <w:rPr>
                <w:color w:val="0D0D0D" w:themeColor="text1" w:themeTint="F2"/>
                <w:spacing w:val="-4"/>
              </w:rPr>
              <w:lastRenderedPageBreak/>
              <w:t xml:space="preserve">od počátku pandemie. V Česku činilo zadlužení sektoru VI na konci loňského roku 44,1 % HDP, oproti předchozímu kvartálu se mírně snížilo, o 1 p. b. (výhradně vlivem nominálního růstu HDP). Meziročně se ovšem míra zadlužení v tuzemsku zvýšila (+2,1 p. b.), podobný negativní trend byl mezi členskými státy EU patrný pouze v případě malých a minimálně zadlužených ekonomik Estonska i Lucemburska a dále též ve Finsku. V EU se ve shodném období míra zadlužení sektoru VI snížila (o rovná 4 p. b.), největší pozitivní posun (o více než 10 p .b.) zaznamenaly některé vysoce zadlužené státy (Řecko, Portugalsko, Kypr), ale </w:t>
            </w:r>
            <w:r w:rsidR="00FD4372">
              <w:rPr>
                <w:color w:val="0D0D0D" w:themeColor="text1" w:themeTint="F2"/>
                <w:spacing w:val="-4"/>
              </w:rPr>
              <w:t xml:space="preserve">také </w:t>
            </w:r>
            <w:r>
              <w:rPr>
                <w:color w:val="0D0D0D" w:themeColor="text1" w:themeTint="F2"/>
                <w:spacing w:val="-4"/>
              </w:rPr>
              <w:t xml:space="preserve">některé země s lepším stavem veřejných financí (Chorvatsko, Irsko). Naopak jen minimální zlepšení nastalo např. ve Francii (zadlužení zde stále přesahovalo 110 % HDP). Ve srovnání s minimální úrovní z posledního konjukturního období (2015 až 2019) byla na konci loňského roku míra zadlužení v EU vyšší o 6,3 p .b., v zemích současné eurozóny o 7,5 p. b. Horší tendenci než Česko (+14,1 p. b.) vykázaly již pouze Španělsko (+15 p. b.) a Francie (+16 p. b.). Naopak pod „předpandemickou“ úroveň zadlužení se již stačily vedle některých tradičně rozpočtově </w:t>
            </w:r>
            <w:r w:rsidRPr="004828DA">
              <w:rPr>
                <w:color w:val="0D0D0D" w:themeColor="text1" w:themeTint="F2"/>
                <w:spacing w:val="-5"/>
              </w:rPr>
              <w:t>disciplinovaných zemí (Švédsko, Dánsko) dostat také Irsko, Chorvatsko, Kypr a Portugalsko.</w:t>
            </w:r>
          </w:p>
        </w:tc>
      </w:tr>
    </w:tbl>
    <w:p w14:paraId="401E4657" w14:textId="77777777" w:rsidR="004A3BE4" w:rsidRPr="001C3855" w:rsidRDefault="004A3BE4" w:rsidP="004A3BE4">
      <w:pPr>
        <w:pStyle w:val="Nadpis11"/>
        <w:rPr>
          <w:sz w:val="2"/>
          <w:szCs w:val="2"/>
        </w:rPr>
      </w:pPr>
    </w:p>
    <w:p w14:paraId="6D687C14" w14:textId="50D73027" w:rsidR="001C3855" w:rsidRPr="001C3855" w:rsidRDefault="001C3855" w:rsidP="00C15537">
      <w:pPr>
        <w:pStyle w:val="Nadpis11"/>
        <w:rPr>
          <w:sz w:val="2"/>
          <w:szCs w:val="2"/>
        </w:rPr>
      </w:pPr>
    </w:p>
    <w:sectPr w:rsidR="001C3855" w:rsidRPr="001C3855" w:rsidSect="003165CB">
      <w:headerReference w:type="even" r:id="rId15"/>
      <w:headerReference w:type="default" r:id="rId16"/>
      <w:footerReference w:type="even" r:id="rId17"/>
      <w:footerReference w:type="default" r:id="rId18"/>
      <w:pgSz w:w="11906" w:h="16838" w:code="9"/>
      <w:pgMar w:top="1134" w:right="1134" w:bottom="1418" w:left="1134" w:header="680" w:footer="737"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58D8" w14:textId="77777777" w:rsidR="00D7475D" w:rsidRDefault="00D7475D" w:rsidP="00E71A58">
      <w:r>
        <w:separator/>
      </w:r>
    </w:p>
  </w:endnote>
  <w:endnote w:type="continuationSeparator" w:id="0">
    <w:p w14:paraId="1F9D1CB8" w14:textId="77777777" w:rsidR="00D7475D" w:rsidRDefault="00D7475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1E7B3E9B" w:rsidR="00D652EB" w:rsidRPr="00932443" w:rsidRDefault="00D652E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3165CB">
      <w:rPr>
        <w:szCs w:val="16"/>
      </w:rPr>
      <w:t>38</w:t>
    </w:r>
    <w:r w:rsidRPr="00932443">
      <w:rPr>
        <w:szCs w:val="16"/>
      </w:rPr>
      <w:fldChar w:fldCharType="end"/>
    </w:r>
    <w:r w:rsidRPr="00932443">
      <w:rPr>
        <w:szCs w:val="16"/>
      </w:rPr>
      <w:tab/>
    </w:r>
    <w:r>
      <w:rPr>
        <w:szCs w:val="16"/>
      </w:rPr>
      <w:t>1. čtvrtletí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6AA124FF" w:rsidR="00D652EB" w:rsidRPr="00932443" w:rsidRDefault="00D652EB" w:rsidP="00FA6CB6">
    <w:pPr>
      <w:pStyle w:val="Zpat"/>
      <w:rPr>
        <w:szCs w:val="16"/>
      </w:rPr>
    </w:pPr>
    <w:r w:rsidRPr="00FA6CB6">
      <w:rPr>
        <w:szCs w:val="16"/>
      </w:rPr>
      <w:tab/>
    </w:r>
    <w:r>
      <w:rPr>
        <w:szCs w:val="16"/>
      </w:rPr>
      <w:t>1. čtvrtletí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3165CB">
      <w:rPr>
        <w:rStyle w:val="ZpatChar"/>
        <w:szCs w:val="16"/>
      </w:rPr>
      <w:t>37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D3D84" w14:textId="77777777" w:rsidR="00D7475D" w:rsidRDefault="00D7475D" w:rsidP="00A21B4D">
      <w:pPr>
        <w:spacing w:after="0"/>
      </w:pPr>
      <w:r>
        <w:separator/>
      </w:r>
    </w:p>
  </w:footnote>
  <w:footnote w:type="continuationSeparator" w:id="0">
    <w:p w14:paraId="46EE7D1B" w14:textId="77777777" w:rsidR="00D7475D" w:rsidRDefault="00D7475D" w:rsidP="00E71A58">
      <w:r>
        <w:continuationSeparator/>
      </w:r>
    </w:p>
  </w:footnote>
  <w:footnote w:id="1">
    <w:p w14:paraId="644E9E4E" w14:textId="77777777" w:rsidR="00D652EB" w:rsidRPr="008522D6" w:rsidRDefault="00D652EB" w:rsidP="004A3BE4">
      <w:pPr>
        <w:pStyle w:val="Textpoznpodarou"/>
        <w:jc w:val="both"/>
        <w:rPr>
          <w:sz w:val="16"/>
          <w:szCs w:val="16"/>
        </w:rPr>
      </w:pPr>
      <w:r w:rsidRPr="008522D6">
        <w:rPr>
          <w:rStyle w:val="Znakapoznpodarou"/>
          <w:sz w:val="16"/>
          <w:szCs w:val="16"/>
        </w:rPr>
        <w:footnoteRef/>
      </w:r>
      <w:r w:rsidRPr="008522D6">
        <w:rPr>
          <w:sz w:val="16"/>
          <w:szCs w:val="16"/>
        </w:rPr>
        <w:t xml:space="preserve"> </w:t>
      </w:r>
      <w:r w:rsidRPr="008522D6">
        <w:rPr>
          <w:color w:val="0D0D0D" w:themeColor="text1" w:themeTint="F2"/>
          <w:sz w:val="16"/>
          <w:szCs w:val="16"/>
        </w:rPr>
        <w:t xml:space="preserve">Pokud není uvedeno jinak, vycházejí všechny údaje týkající se státního rozpočtu </w:t>
      </w:r>
      <w:r w:rsidRPr="008522D6">
        <w:rPr>
          <w:rFonts w:cs="Arial"/>
          <w:color w:val="0D0D0D" w:themeColor="text1" w:themeTint="F2"/>
          <w:sz w:val="16"/>
          <w:szCs w:val="16"/>
        </w:rPr>
        <w:t>z dat Ministerstva financí o pokladním plnění.</w:t>
      </w:r>
    </w:p>
  </w:footnote>
  <w:footnote w:id="2">
    <w:p w14:paraId="371C0B00" w14:textId="77777777" w:rsidR="00D652EB" w:rsidRPr="008522D6" w:rsidRDefault="00D652EB" w:rsidP="004A3BE4">
      <w:pPr>
        <w:pStyle w:val="Textpoznpodarou"/>
        <w:rPr>
          <w:sz w:val="16"/>
          <w:szCs w:val="16"/>
        </w:rPr>
      </w:pPr>
      <w:r w:rsidRPr="008522D6">
        <w:rPr>
          <w:rStyle w:val="Znakapoznpodarou"/>
          <w:sz w:val="16"/>
          <w:szCs w:val="16"/>
        </w:rPr>
        <w:footnoteRef/>
      </w:r>
      <w:r w:rsidRPr="008522D6">
        <w:rPr>
          <w:sz w:val="16"/>
          <w:szCs w:val="16"/>
        </w:rPr>
        <w:t xml:space="preserve"> Mírně nižší schodek SR byl zatím letos vykázán po očištění všech příjmů a výdajů souvisejících se společnými projekty ČR a EU (156,8 mld. korun). V 1. čtvrtletí 2022 dosahoval takto očištěný schodek 55,3 mld. korun.</w:t>
      </w:r>
    </w:p>
  </w:footnote>
  <w:footnote w:id="3">
    <w:p w14:paraId="49DED1B8" w14:textId="2E7114A8" w:rsidR="00D652EB" w:rsidRPr="008522D6" w:rsidRDefault="00D652EB" w:rsidP="004A3BE4">
      <w:pPr>
        <w:pStyle w:val="Textpoznpodarou"/>
        <w:rPr>
          <w:sz w:val="16"/>
          <w:szCs w:val="16"/>
        </w:rPr>
      </w:pPr>
      <w:r w:rsidRPr="008522D6">
        <w:rPr>
          <w:rStyle w:val="Znakapoznpodarou"/>
          <w:sz w:val="16"/>
          <w:szCs w:val="16"/>
        </w:rPr>
        <w:footnoteRef/>
      </w:r>
      <w:r>
        <w:rPr>
          <w:sz w:val="16"/>
          <w:szCs w:val="16"/>
        </w:rPr>
        <w:t xml:space="preserve"> Dle zákona č. 449/2023 Sb.</w:t>
      </w:r>
      <w:r w:rsidRPr="008522D6">
        <w:rPr>
          <w:sz w:val="16"/>
          <w:szCs w:val="16"/>
        </w:rPr>
        <w:t xml:space="preserve"> o státním</w:t>
      </w:r>
      <w:r>
        <w:rPr>
          <w:sz w:val="16"/>
          <w:szCs w:val="16"/>
        </w:rPr>
        <w:t xml:space="preserve"> rozpočtu na rok 2023 schváleného</w:t>
      </w:r>
      <w:r w:rsidRPr="008522D6">
        <w:rPr>
          <w:sz w:val="16"/>
          <w:szCs w:val="16"/>
        </w:rPr>
        <w:t xml:space="preserve"> 30. listopadu 2022.</w:t>
      </w:r>
    </w:p>
  </w:footnote>
  <w:footnote w:id="4">
    <w:p w14:paraId="04206E11" w14:textId="77777777" w:rsidR="00D652EB" w:rsidRPr="008522D6" w:rsidRDefault="00D652EB" w:rsidP="004A3BE4">
      <w:pPr>
        <w:pStyle w:val="Textpoznpodarou"/>
        <w:rPr>
          <w:sz w:val="16"/>
          <w:szCs w:val="16"/>
        </w:rPr>
      </w:pPr>
      <w:r w:rsidRPr="008522D6">
        <w:rPr>
          <w:rStyle w:val="Znakapoznpodarou"/>
          <w:sz w:val="16"/>
          <w:szCs w:val="16"/>
        </w:rPr>
        <w:footnoteRef/>
      </w:r>
      <w:r w:rsidRPr="008522D6">
        <w:rPr>
          <w:sz w:val="16"/>
          <w:szCs w:val="16"/>
        </w:rPr>
        <w:t xml:space="preserve"> Míra plnění těchto výdajů (vzhledem k celoroční rozpočtované výši) byla letos na konci 1. čtvrtletí vyšší i ve srovnání s rokem 2021.</w:t>
      </w:r>
    </w:p>
  </w:footnote>
  <w:footnote w:id="5">
    <w:p w14:paraId="6B2B3D11" w14:textId="77777777" w:rsidR="00D652EB" w:rsidRPr="008522D6" w:rsidRDefault="00D652EB" w:rsidP="004A3BE4">
      <w:pPr>
        <w:pStyle w:val="Textpoznpodarou"/>
        <w:rPr>
          <w:sz w:val="16"/>
          <w:szCs w:val="16"/>
        </w:rPr>
      </w:pPr>
      <w:r w:rsidRPr="008522D6">
        <w:rPr>
          <w:rStyle w:val="Znakapoznpodarou"/>
          <w:sz w:val="16"/>
          <w:szCs w:val="16"/>
        </w:rPr>
        <w:footnoteRef/>
      </w:r>
      <w:r w:rsidRPr="008522D6">
        <w:rPr>
          <w:sz w:val="16"/>
          <w:szCs w:val="16"/>
        </w:rPr>
        <w:t xml:space="preserve"> Rozpočtová očekávání příjmů na rok 2023 vycházela z makroekonomické predikce MF </w:t>
      </w:r>
      <w:r>
        <w:rPr>
          <w:sz w:val="16"/>
          <w:szCs w:val="16"/>
        </w:rPr>
        <w:t>z loňského srpna. Ta očekávala</w:t>
      </w:r>
      <w:r w:rsidRPr="008522D6">
        <w:rPr>
          <w:sz w:val="16"/>
          <w:szCs w:val="16"/>
        </w:rPr>
        <w:t xml:space="preserve"> růst reálného HDP v letošním roce o 1,1 % spojený s velmi mírným navýšením reálných výdajů na konečnou spotřebu domácností (0,5 %). Nejnovější predikce MF (z dubna 2023) již analogicky předpokládá </w:t>
      </w:r>
      <w:r>
        <w:rPr>
          <w:sz w:val="16"/>
          <w:szCs w:val="16"/>
        </w:rPr>
        <w:t>stagnaci</w:t>
      </w:r>
      <w:r w:rsidRPr="008522D6">
        <w:rPr>
          <w:sz w:val="16"/>
          <w:szCs w:val="16"/>
        </w:rPr>
        <w:t xml:space="preserve"> HDP (</w:t>
      </w:r>
      <w:r>
        <w:rPr>
          <w:sz w:val="16"/>
          <w:szCs w:val="16"/>
        </w:rPr>
        <w:t>+0,1</w:t>
      </w:r>
      <w:r w:rsidRPr="008522D6">
        <w:rPr>
          <w:sz w:val="16"/>
          <w:szCs w:val="16"/>
        </w:rPr>
        <w:t xml:space="preserve"> %</w:t>
      </w:r>
      <w:r>
        <w:rPr>
          <w:sz w:val="16"/>
          <w:szCs w:val="16"/>
        </w:rPr>
        <w:t>) doprovázenou</w:t>
      </w:r>
      <w:r w:rsidRPr="008522D6">
        <w:rPr>
          <w:sz w:val="16"/>
          <w:szCs w:val="16"/>
        </w:rPr>
        <w:t xml:space="preserve"> citelnější</w:t>
      </w:r>
      <w:r>
        <w:rPr>
          <w:sz w:val="16"/>
          <w:szCs w:val="16"/>
        </w:rPr>
        <w:t>m</w:t>
      </w:r>
      <w:r w:rsidRPr="008522D6">
        <w:rPr>
          <w:sz w:val="16"/>
          <w:szCs w:val="16"/>
        </w:rPr>
        <w:t xml:space="preserve"> útlumem spotřeby domácností (</w:t>
      </w:r>
      <w:r>
        <w:rPr>
          <w:sz w:val="16"/>
          <w:szCs w:val="16"/>
        </w:rPr>
        <w:t>−2,7</w:t>
      </w:r>
      <w:r w:rsidRPr="008522D6">
        <w:rPr>
          <w:sz w:val="16"/>
          <w:szCs w:val="16"/>
        </w:rPr>
        <w:t xml:space="preserve"> %).</w:t>
      </w:r>
    </w:p>
  </w:footnote>
  <w:footnote w:id="6">
    <w:p w14:paraId="74D2AC89" w14:textId="77777777" w:rsidR="00D652EB" w:rsidRPr="008B3D4E" w:rsidRDefault="00D652EB" w:rsidP="004A3BE4">
      <w:pPr>
        <w:pStyle w:val="Textpoznpodarou"/>
        <w:rPr>
          <w:sz w:val="16"/>
          <w:szCs w:val="16"/>
        </w:rPr>
      </w:pPr>
      <w:r w:rsidRPr="00FF69F5">
        <w:rPr>
          <w:rStyle w:val="Znakapoznpodarou"/>
          <w:sz w:val="16"/>
          <w:szCs w:val="16"/>
        </w:rPr>
        <w:footnoteRef/>
      </w:r>
      <w:r w:rsidRPr="00FF69F5">
        <w:rPr>
          <w:sz w:val="16"/>
          <w:szCs w:val="16"/>
        </w:rPr>
        <w:t xml:space="preserve"> Na očekávaném růstu souhrnných příjmů SR za rok 2023 (+18,7 %) </w:t>
      </w:r>
      <w:r>
        <w:rPr>
          <w:sz w:val="16"/>
          <w:szCs w:val="16"/>
        </w:rPr>
        <w:t xml:space="preserve">by </w:t>
      </w:r>
      <w:r w:rsidRPr="00FF69F5">
        <w:rPr>
          <w:sz w:val="16"/>
          <w:szCs w:val="16"/>
        </w:rPr>
        <w:t>se měl</w:t>
      </w:r>
      <w:r>
        <w:rPr>
          <w:sz w:val="16"/>
          <w:szCs w:val="16"/>
        </w:rPr>
        <w:t>y zásadně</w:t>
      </w:r>
      <w:r w:rsidRPr="00FF69F5">
        <w:rPr>
          <w:sz w:val="16"/>
          <w:szCs w:val="16"/>
        </w:rPr>
        <w:t xml:space="preserve"> podílet</w:t>
      </w:r>
      <w:r>
        <w:rPr>
          <w:sz w:val="16"/>
          <w:szCs w:val="16"/>
        </w:rPr>
        <w:t xml:space="preserve"> inkasa</w:t>
      </w:r>
      <w:r w:rsidRPr="00FF69F5">
        <w:rPr>
          <w:sz w:val="16"/>
          <w:szCs w:val="16"/>
        </w:rPr>
        <w:t xml:space="preserve"> „sektorové“ daně u podniků z neočekávaných zisků a </w:t>
      </w:r>
      <w:r>
        <w:rPr>
          <w:sz w:val="16"/>
          <w:szCs w:val="16"/>
        </w:rPr>
        <w:t xml:space="preserve">daně </w:t>
      </w:r>
      <w:r w:rsidRPr="00FF69F5">
        <w:rPr>
          <w:sz w:val="16"/>
          <w:szCs w:val="16"/>
        </w:rPr>
        <w:t>odvodu z nadměrných příjmů (</w:t>
      </w:r>
      <w:r>
        <w:rPr>
          <w:sz w:val="16"/>
          <w:szCs w:val="16"/>
        </w:rPr>
        <w:t xml:space="preserve">prvotně </w:t>
      </w:r>
      <w:r w:rsidRPr="00FF69F5">
        <w:rPr>
          <w:sz w:val="16"/>
          <w:szCs w:val="16"/>
        </w:rPr>
        <w:t xml:space="preserve">odhadované na 100 mld. korun), dále např. navýšení </w:t>
      </w:r>
      <w:r w:rsidRPr="008B3D4E">
        <w:rPr>
          <w:sz w:val="16"/>
          <w:szCs w:val="16"/>
        </w:rPr>
        <w:t>očekávaných příjmů z emisních povolenek (na 82,5 mld.) a významně posílený převod z tzv. privatizačního účtu (na 45 mld.).</w:t>
      </w:r>
    </w:p>
  </w:footnote>
  <w:footnote w:id="7">
    <w:p w14:paraId="5131EB3F" w14:textId="77777777" w:rsidR="00D652EB" w:rsidRPr="008B3D4E" w:rsidRDefault="00D652EB" w:rsidP="004A3BE4">
      <w:pPr>
        <w:pStyle w:val="Textpoznpodarou"/>
        <w:rPr>
          <w:sz w:val="16"/>
          <w:szCs w:val="16"/>
        </w:rPr>
      </w:pPr>
      <w:r w:rsidRPr="008B3D4E">
        <w:rPr>
          <w:rStyle w:val="Znakapoznpodarou"/>
          <w:sz w:val="16"/>
          <w:szCs w:val="16"/>
        </w:rPr>
        <w:footnoteRef/>
      </w:r>
      <w:r w:rsidRPr="008B3D4E">
        <w:rPr>
          <w:sz w:val="16"/>
          <w:szCs w:val="16"/>
        </w:rPr>
        <w:t xml:space="preserve"> Tento odvod (zdaněný 90% sazbou) představuje rozdíl mezi sku</w:t>
      </w:r>
      <w:r>
        <w:rPr>
          <w:sz w:val="16"/>
          <w:szCs w:val="16"/>
        </w:rPr>
        <w:t>tečným příjmem a stropem tržního</w:t>
      </w:r>
      <w:r w:rsidRPr="008B3D4E">
        <w:rPr>
          <w:sz w:val="16"/>
          <w:szCs w:val="16"/>
        </w:rPr>
        <w:t xml:space="preserve"> příjmu z prodeje elektřiny nad stanovenou hranici (za období od 1. prosince 2022 do konce roku 2023).</w:t>
      </w:r>
    </w:p>
  </w:footnote>
  <w:footnote w:id="8">
    <w:p w14:paraId="031AA3E3" w14:textId="77777777" w:rsidR="00D652EB" w:rsidRDefault="00D652EB" w:rsidP="004A3BE4">
      <w:pPr>
        <w:pStyle w:val="Textpoznpodarou"/>
      </w:pPr>
      <w:r w:rsidRPr="008B3D4E">
        <w:rPr>
          <w:rStyle w:val="Znakapoznpodarou"/>
          <w:sz w:val="16"/>
          <w:szCs w:val="16"/>
        </w:rPr>
        <w:footnoteRef/>
      </w:r>
      <w:r w:rsidRPr="008B3D4E">
        <w:rPr>
          <w:sz w:val="16"/>
          <w:szCs w:val="16"/>
        </w:rPr>
        <w:t xml:space="preserve"> </w:t>
      </w:r>
      <w:r w:rsidRPr="008B3D4E">
        <w:rPr>
          <w:spacing w:val="-4"/>
          <w:sz w:val="16"/>
          <w:szCs w:val="16"/>
        </w:rPr>
        <w:t xml:space="preserve">Od </w:t>
      </w:r>
      <w:r w:rsidRPr="008B3D4E">
        <w:rPr>
          <w:color w:val="0D0D0D" w:themeColor="text1" w:themeTint="F2"/>
          <w:spacing w:val="-4"/>
          <w:sz w:val="16"/>
          <w:szCs w:val="16"/>
        </w:rPr>
        <w:t>června do konce září 2022 byla snížena sazba spotřební daně z be</w:t>
      </w:r>
      <w:r>
        <w:rPr>
          <w:color w:val="0D0D0D" w:themeColor="text1" w:themeTint="F2"/>
          <w:spacing w:val="-4"/>
          <w:sz w:val="16"/>
          <w:szCs w:val="16"/>
        </w:rPr>
        <w:t>nzínu a motorové nafty o 1,5 korun na 8,45 korun</w:t>
      </w:r>
      <w:r w:rsidRPr="008B3D4E">
        <w:rPr>
          <w:color w:val="0D0D0D" w:themeColor="text1" w:themeTint="F2"/>
          <w:spacing w:val="-4"/>
          <w:sz w:val="16"/>
          <w:szCs w:val="16"/>
        </w:rPr>
        <w:t xml:space="preserve"> na litr. U nafty bylo toto opatření prodlouženo až do konce rok</w:t>
      </w:r>
      <w:r>
        <w:rPr>
          <w:color w:val="0D0D0D" w:themeColor="text1" w:themeTint="F2"/>
          <w:spacing w:val="-4"/>
          <w:sz w:val="16"/>
          <w:szCs w:val="16"/>
        </w:rPr>
        <w:t>u 2023. Dle propočtů MF ČR měla mít tato</w:t>
      </w:r>
      <w:r w:rsidRPr="008B3D4E">
        <w:rPr>
          <w:color w:val="0D0D0D" w:themeColor="text1" w:themeTint="F2"/>
          <w:spacing w:val="-4"/>
          <w:sz w:val="16"/>
          <w:szCs w:val="16"/>
        </w:rPr>
        <w:t xml:space="preserve"> daňov</w:t>
      </w:r>
      <w:r>
        <w:rPr>
          <w:color w:val="0D0D0D" w:themeColor="text1" w:themeTint="F2"/>
          <w:spacing w:val="-4"/>
          <w:sz w:val="16"/>
          <w:szCs w:val="16"/>
        </w:rPr>
        <w:t xml:space="preserve">á úprava v roce 2023 negativní dopad ve výši </w:t>
      </w:r>
      <w:r>
        <w:rPr>
          <w:color w:val="0D0D0D" w:themeColor="text1" w:themeTint="F2"/>
          <w:spacing w:val="-4"/>
          <w:sz w:val="16"/>
          <w:szCs w:val="16"/>
        </w:rPr>
        <w:br/>
        <w:t>8,7</w:t>
      </w:r>
      <w:r w:rsidRPr="005B5C68">
        <w:rPr>
          <w:color w:val="0D0D0D" w:themeColor="text1" w:themeTint="F2"/>
          <w:spacing w:val="-4"/>
          <w:sz w:val="16"/>
          <w:szCs w:val="16"/>
        </w:rPr>
        <w:t xml:space="preserve"> mld. korun</w:t>
      </w:r>
      <w:r>
        <w:rPr>
          <w:spacing w:val="-4"/>
          <w:sz w:val="16"/>
          <w:szCs w:val="16"/>
        </w:rPr>
        <w:t xml:space="preserve"> (tj. více než desetina z očekávaného letošního inkasa).</w:t>
      </w:r>
    </w:p>
  </w:footnote>
  <w:footnote w:id="9">
    <w:p w14:paraId="300DE055" w14:textId="77777777" w:rsidR="00D652EB" w:rsidRPr="00CA30CB" w:rsidRDefault="00D652EB" w:rsidP="004A3BE4">
      <w:pPr>
        <w:pStyle w:val="Textpoznpodarou"/>
        <w:rPr>
          <w:sz w:val="16"/>
          <w:szCs w:val="16"/>
        </w:rPr>
      </w:pPr>
      <w:r w:rsidRPr="00CA30CB">
        <w:rPr>
          <w:rStyle w:val="Znakapoznpodarou"/>
          <w:sz w:val="16"/>
          <w:szCs w:val="16"/>
        </w:rPr>
        <w:footnoteRef/>
      </w:r>
      <w:r w:rsidRPr="00CA30CB">
        <w:rPr>
          <w:sz w:val="16"/>
          <w:szCs w:val="16"/>
        </w:rPr>
        <w:t xml:space="preserve"> Ta se týká energetických, petrochemických a těžebních firem a zahrnuje rovněž velké banky.</w:t>
      </w:r>
    </w:p>
  </w:footnote>
  <w:footnote w:id="10">
    <w:p w14:paraId="1F63DE72" w14:textId="77777777" w:rsidR="00D652EB" w:rsidRPr="00D223A1" w:rsidRDefault="00D652EB" w:rsidP="004A3BE4">
      <w:pPr>
        <w:pStyle w:val="Textpoznpodarou"/>
        <w:rPr>
          <w:sz w:val="16"/>
          <w:szCs w:val="16"/>
        </w:rPr>
      </w:pPr>
      <w:r w:rsidRPr="00D223A1">
        <w:rPr>
          <w:rStyle w:val="Znakapoznpodarou"/>
          <w:sz w:val="16"/>
          <w:szCs w:val="16"/>
        </w:rPr>
        <w:footnoteRef/>
      </w:r>
      <w:r w:rsidRPr="00D223A1">
        <w:rPr>
          <w:sz w:val="16"/>
          <w:szCs w:val="16"/>
        </w:rPr>
        <w:t xml:space="preserve"> </w:t>
      </w:r>
      <w:r w:rsidRPr="00D223A1">
        <w:rPr>
          <w:spacing w:val="-4"/>
          <w:sz w:val="16"/>
          <w:szCs w:val="16"/>
        </w:rPr>
        <w:t xml:space="preserve">Celostátní inkaso DPFO (na úrovni všech veřejných rozpočtů) letos ovšem stále </w:t>
      </w:r>
      <w:r>
        <w:rPr>
          <w:spacing w:val="-4"/>
          <w:sz w:val="16"/>
          <w:szCs w:val="16"/>
        </w:rPr>
        <w:t xml:space="preserve">zaostávalo </w:t>
      </w:r>
      <w:r w:rsidRPr="00D223A1">
        <w:rPr>
          <w:spacing w:val="-4"/>
          <w:sz w:val="16"/>
          <w:szCs w:val="16"/>
        </w:rPr>
        <w:t>za úrovní z 1. čtvrt</w:t>
      </w:r>
      <w:r>
        <w:rPr>
          <w:spacing w:val="-4"/>
          <w:sz w:val="16"/>
          <w:szCs w:val="16"/>
        </w:rPr>
        <w:t>letí 2019</w:t>
      </w:r>
      <w:r w:rsidRPr="00D223A1">
        <w:rPr>
          <w:spacing w:val="-4"/>
          <w:sz w:val="16"/>
          <w:szCs w:val="16"/>
        </w:rPr>
        <w:t xml:space="preserve"> (o 8,5 %). Klíčovou roli zde sehrálo snížení daňového zatížení práce od roku 2021 (v souvislosti se zrušením tzv. superhrubé mzdy).</w:t>
      </w:r>
    </w:p>
  </w:footnote>
  <w:footnote w:id="11">
    <w:p w14:paraId="5559836B" w14:textId="77777777" w:rsidR="00D652EB" w:rsidRDefault="00D652EB" w:rsidP="004A3BE4">
      <w:pPr>
        <w:pStyle w:val="Textpoznpodarou"/>
      </w:pPr>
      <w:r w:rsidRPr="004466A0">
        <w:rPr>
          <w:rStyle w:val="Znakapoznpodarou"/>
          <w:sz w:val="16"/>
          <w:szCs w:val="16"/>
        </w:rPr>
        <w:footnoteRef/>
      </w:r>
      <w:r w:rsidRPr="004466A0">
        <w:rPr>
          <w:sz w:val="16"/>
          <w:szCs w:val="16"/>
        </w:rPr>
        <w:t xml:space="preserve"> Rozpočtově očekávaný meziroční pokles inkasa této daně byl potvrzen i dubnovými údaji, které zahrnují vyrovnání daně u části poplatníků (podávajících přiznání ve lhůtě do 3. dubna).</w:t>
      </w:r>
    </w:p>
  </w:footnote>
  <w:footnote w:id="12">
    <w:p w14:paraId="66138F10" w14:textId="3BF3EE1B" w:rsidR="00D652EB" w:rsidRPr="005D7AAF" w:rsidRDefault="00D652EB" w:rsidP="004A3BE4">
      <w:pPr>
        <w:pStyle w:val="Textpoznpodarou"/>
        <w:rPr>
          <w:spacing w:val="-2"/>
          <w:sz w:val="16"/>
          <w:szCs w:val="16"/>
        </w:rPr>
      </w:pPr>
      <w:r w:rsidRPr="005D7AAF">
        <w:rPr>
          <w:rStyle w:val="Znakapoznpodarou"/>
          <w:spacing w:val="-2"/>
          <w:sz w:val="16"/>
          <w:szCs w:val="16"/>
        </w:rPr>
        <w:footnoteRef/>
      </w:r>
      <w:r w:rsidRPr="005D7AAF">
        <w:rPr>
          <w:spacing w:val="-2"/>
          <w:sz w:val="16"/>
          <w:szCs w:val="16"/>
        </w:rPr>
        <w:t xml:space="preserve"> Za 1. čtvrtletí získal SR na těchto příjmech jen 14 % celoročně plánované výše prostředků (v období od ledna do dubna 2023 pak 20 %).</w:t>
      </w:r>
    </w:p>
  </w:footnote>
  <w:footnote w:id="13">
    <w:p w14:paraId="176447EF" w14:textId="77777777" w:rsidR="00D652EB" w:rsidRPr="00C230B9" w:rsidRDefault="00D652EB" w:rsidP="004A3BE4">
      <w:pPr>
        <w:pStyle w:val="Textpoznpodarou"/>
        <w:rPr>
          <w:sz w:val="16"/>
          <w:szCs w:val="16"/>
        </w:rPr>
      </w:pPr>
      <w:r w:rsidRPr="00C230B9">
        <w:rPr>
          <w:rStyle w:val="Znakapoznpodarou"/>
          <w:sz w:val="16"/>
          <w:szCs w:val="16"/>
        </w:rPr>
        <w:footnoteRef/>
      </w:r>
      <w:r w:rsidRPr="00C230B9">
        <w:rPr>
          <w:sz w:val="16"/>
          <w:szCs w:val="16"/>
        </w:rPr>
        <w:t xml:space="preserve"> Zahrnují příjmy z rozpočtu Evropské Unie a z</w:t>
      </w:r>
      <w:r>
        <w:rPr>
          <w:sz w:val="16"/>
          <w:szCs w:val="16"/>
        </w:rPr>
        <w:t xml:space="preserve"> Finančních mechanismů </w:t>
      </w:r>
      <w:r w:rsidRPr="00C230B9">
        <w:rPr>
          <w:sz w:val="16"/>
          <w:szCs w:val="16"/>
        </w:rPr>
        <w:t xml:space="preserve">EHP/Norska/Švýcarska. </w:t>
      </w:r>
    </w:p>
  </w:footnote>
  <w:footnote w:id="14">
    <w:p w14:paraId="7D285D9C" w14:textId="77777777" w:rsidR="00D652EB" w:rsidRPr="00EF383D" w:rsidRDefault="00D652EB" w:rsidP="004A3BE4">
      <w:pPr>
        <w:pStyle w:val="Textpoznpodarou"/>
        <w:rPr>
          <w:sz w:val="16"/>
          <w:szCs w:val="16"/>
        </w:rPr>
      </w:pPr>
      <w:r w:rsidRPr="00EF383D">
        <w:rPr>
          <w:rStyle w:val="Znakapoznpodarou"/>
          <w:sz w:val="16"/>
          <w:szCs w:val="16"/>
        </w:rPr>
        <w:footnoteRef/>
      </w:r>
      <w:r w:rsidRPr="00EF383D">
        <w:rPr>
          <w:sz w:val="16"/>
          <w:szCs w:val="16"/>
        </w:rPr>
        <w:t xml:space="preserve"> V současném miléniu rostly d</w:t>
      </w:r>
      <w:r>
        <w:rPr>
          <w:sz w:val="16"/>
          <w:szCs w:val="16"/>
        </w:rPr>
        <w:t>onedávna</w:t>
      </w:r>
      <w:r w:rsidRPr="00EF383D">
        <w:rPr>
          <w:sz w:val="16"/>
          <w:szCs w:val="16"/>
        </w:rPr>
        <w:t xml:space="preserve"> nejvíce v rámci 1. čtvrtletí výdaje SR v roce 2008 (+22,9 %).</w:t>
      </w:r>
    </w:p>
  </w:footnote>
  <w:footnote w:id="15">
    <w:p w14:paraId="109C15F2" w14:textId="77777777" w:rsidR="00D652EB" w:rsidRPr="00271248" w:rsidRDefault="00D652EB" w:rsidP="004A3BE4">
      <w:pPr>
        <w:pStyle w:val="Textpoznpodarou"/>
        <w:rPr>
          <w:sz w:val="16"/>
          <w:szCs w:val="16"/>
        </w:rPr>
      </w:pPr>
      <w:r w:rsidRPr="00271248">
        <w:rPr>
          <w:rStyle w:val="Znakapoznpodarou"/>
          <w:sz w:val="16"/>
          <w:szCs w:val="16"/>
        </w:rPr>
        <w:footnoteRef/>
      </w:r>
      <w:r w:rsidRPr="00271248">
        <w:rPr>
          <w:sz w:val="16"/>
          <w:szCs w:val="16"/>
        </w:rPr>
        <w:t xml:space="preserve"> Úhrn měsíčních výdajů ve všech organi</w:t>
      </w:r>
      <w:r>
        <w:rPr>
          <w:sz w:val="16"/>
          <w:szCs w:val="16"/>
        </w:rPr>
        <w:t>začních složkách státu tak mohl</w:t>
      </w:r>
      <w:r w:rsidRPr="00271248">
        <w:rPr>
          <w:sz w:val="16"/>
          <w:szCs w:val="16"/>
        </w:rPr>
        <w:t xml:space="preserve"> dosáhnout maximálně jedné dvanáctiny celkových výdajů SR stanovených </w:t>
      </w:r>
      <w:r>
        <w:rPr>
          <w:sz w:val="16"/>
          <w:szCs w:val="16"/>
        </w:rPr>
        <w:t xml:space="preserve">dle schváleného </w:t>
      </w:r>
      <w:r w:rsidRPr="00271248">
        <w:rPr>
          <w:sz w:val="16"/>
          <w:szCs w:val="16"/>
        </w:rPr>
        <w:t>zákona o SR z roku 2021.</w:t>
      </w:r>
      <w:r>
        <w:rPr>
          <w:sz w:val="16"/>
          <w:szCs w:val="16"/>
        </w:rPr>
        <w:t xml:space="preserve"> Na</w:t>
      </w:r>
      <w:r w:rsidRPr="00EE46BC">
        <w:rPr>
          <w:sz w:val="16"/>
          <w:szCs w:val="16"/>
        </w:rPr>
        <w:t xml:space="preserve"> počátku roku </w:t>
      </w:r>
      <w:r>
        <w:rPr>
          <w:spacing w:val="-4"/>
          <w:sz w:val="16"/>
          <w:szCs w:val="16"/>
        </w:rPr>
        <w:t>došlo k omezení</w:t>
      </w:r>
      <w:r w:rsidRPr="00EE46BC">
        <w:rPr>
          <w:spacing w:val="-4"/>
          <w:sz w:val="16"/>
          <w:szCs w:val="16"/>
        </w:rPr>
        <w:t xml:space="preserve"> možnosti předfinancování některých běžných transferů a </w:t>
      </w:r>
      <w:r>
        <w:rPr>
          <w:spacing w:val="-4"/>
          <w:sz w:val="16"/>
          <w:szCs w:val="16"/>
        </w:rPr>
        <w:t>zásadně limitováno bylo rovněž použití</w:t>
      </w:r>
      <w:r w:rsidRPr="00EE46BC">
        <w:rPr>
          <w:spacing w:val="-4"/>
          <w:sz w:val="16"/>
          <w:szCs w:val="16"/>
        </w:rPr>
        <w:t xml:space="preserve"> i další</w:t>
      </w:r>
      <w:r>
        <w:rPr>
          <w:spacing w:val="-4"/>
          <w:sz w:val="16"/>
          <w:szCs w:val="16"/>
        </w:rPr>
        <w:t>ch zdrojů</w:t>
      </w:r>
      <w:r w:rsidRPr="00EE46BC">
        <w:rPr>
          <w:spacing w:val="-4"/>
          <w:sz w:val="16"/>
          <w:szCs w:val="16"/>
        </w:rPr>
        <w:t xml:space="preserve"> financování (např. </w:t>
      </w:r>
      <w:r w:rsidRPr="00EE46BC">
        <w:rPr>
          <w:sz w:val="16"/>
          <w:szCs w:val="16"/>
        </w:rPr>
        <w:t>mimorozpočtové zdroje – především nároky z nespotřebovaných výdajů z minulých le</w:t>
      </w:r>
      <w:r>
        <w:rPr>
          <w:sz w:val="16"/>
          <w:szCs w:val="16"/>
        </w:rPr>
        <w:t>t).</w:t>
      </w:r>
      <w:r w:rsidRPr="00862F80">
        <w:rPr>
          <w:sz w:val="16"/>
          <w:szCs w:val="16"/>
        </w:rPr>
        <w:t xml:space="preserve"> </w:t>
      </w:r>
      <w:r>
        <w:rPr>
          <w:sz w:val="16"/>
          <w:szCs w:val="16"/>
        </w:rPr>
        <w:t>To vedlo mj. k odkladu zbytných provozních výdajů i investic.</w:t>
      </w:r>
    </w:p>
  </w:footnote>
  <w:footnote w:id="16">
    <w:p w14:paraId="4F02AA86" w14:textId="77777777" w:rsidR="00D652EB" w:rsidRPr="00DE6E07" w:rsidRDefault="00D652EB" w:rsidP="004A3BE4">
      <w:pPr>
        <w:pStyle w:val="Textpoznpodarou"/>
        <w:rPr>
          <w:sz w:val="16"/>
          <w:szCs w:val="16"/>
        </w:rPr>
      </w:pPr>
      <w:r w:rsidRPr="00DE6E07">
        <w:rPr>
          <w:rStyle w:val="Znakapoznpodarou"/>
          <w:sz w:val="16"/>
          <w:szCs w:val="16"/>
        </w:rPr>
        <w:footnoteRef/>
      </w:r>
      <w:r w:rsidRPr="00DE6E07">
        <w:rPr>
          <w:sz w:val="16"/>
          <w:szCs w:val="16"/>
        </w:rPr>
        <w:t xml:space="preserve"> Šlo o dubnové zálohy a u soukromých škol zálohy za celé 2. čtvrtletí. Loni byly v 1.</w:t>
      </w:r>
      <w:r>
        <w:rPr>
          <w:sz w:val="16"/>
          <w:szCs w:val="16"/>
        </w:rPr>
        <w:t xml:space="preserve"> čtvrtletí vyplaceny jen</w:t>
      </w:r>
      <w:r w:rsidRPr="00DE6E07">
        <w:rPr>
          <w:sz w:val="16"/>
          <w:szCs w:val="16"/>
        </w:rPr>
        <w:t xml:space="preserve"> zálohy za leden až březen.</w:t>
      </w:r>
    </w:p>
  </w:footnote>
  <w:footnote w:id="17">
    <w:p w14:paraId="3454A6B4" w14:textId="77777777" w:rsidR="00D652EB" w:rsidRPr="00DE6E07" w:rsidRDefault="00D652EB" w:rsidP="004A3BE4">
      <w:pPr>
        <w:pStyle w:val="Textpoznpodarou"/>
        <w:rPr>
          <w:sz w:val="16"/>
          <w:szCs w:val="16"/>
        </w:rPr>
      </w:pPr>
      <w:r w:rsidRPr="00DE6E07">
        <w:rPr>
          <w:rStyle w:val="Znakapoznpodarou"/>
          <w:sz w:val="16"/>
          <w:szCs w:val="16"/>
        </w:rPr>
        <w:footnoteRef/>
      </w:r>
      <w:r w:rsidRPr="00DE6E07">
        <w:rPr>
          <w:sz w:val="16"/>
          <w:szCs w:val="16"/>
        </w:rPr>
        <w:t xml:space="preserve"> K němu došlo již od září 2022, nárůst činil 10 %.</w:t>
      </w:r>
    </w:p>
  </w:footnote>
  <w:footnote w:id="18">
    <w:p w14:paraId="2E8C20EE" w14:textId="77777777" w:rsidR="00D652EB" w:rsidRPr="003455CB" w:rsidRDefault="00D652EB" w:rsidP="004A3BE4">
      <w:pPr>
        <w:pStyle w:val="Textpoznpodarou"/>
        <w:rPr>
          <w:sz w:val="16"/>
          <w:szCs w:val="16"/>
        </w:rPr>
      </w:pPr>
      <w:r w:rsidRPr="003455CB">
        <w:rPr>
          <w:rStyle w:val="Znakapoznpodarou"/>
          <w:sz w:val="16"/>
          <w:szCs w:val="16"/>
        </w:rPr>
        <w:footnoteRef/>
      </w:r>
      <w:r w:rsidRPr="003455CB">
        <w:rPr>
          <w:sz w:val="16"/>
          <w:szCs w:val="16"/>
        </w:rPr>
        <w:t xml:space="preserve"> Jejich výše činila 44,2 mld. korun</w:t>
      </w:r>
      <w:r>
        <w:rPr>
          <w:sz w:val="16"/>
          <w:szCs w:val="16"/>
        </w:rPr>
        <w:t xml:space="preserve"> a o 15 % přesáhla donedávna</w:t>
      </w:r>
      <w:r w:rsidRPr="003455CB">
        <w:rPr>
          <w:sz w:val="16"/>
          <w:szCs w:val="16"/>
        </w:rPr>
        <w:t xml:space="preserve"> rekordní úroveň dotací z 1. čtvrtletí 2021, kdy vrcholila </w:t>
      </w:r>
      <w:r>
        <w:rPr>
          <w:sz w:val="16"/>
          <w:szCs w:val="16"/>
        </w:rPr>
        <w:t>„</w:t>
      </w:r>
      <w:r w:rsidRPr="003455CB">
        <w:rPr>
          <w:sz w:val="16"/>
          <w:szCs w:val="16"/>
        </w:rPr>
        <w:t>protipandemická</w:t>
      </w:r>
      <w:r>
        <w:rPr>
          <w:sz w:val="16"/>
          <w:szCs w:val="16"/>
        </w:rPr>
        <w:t>“</w:t>
      </w:r>
      <w:r w:rsidRPr="003455CB">
        <w:rPr>
          <w:sz w:val="16"/>
          <w:szCs w:val="16"/>
        </w:rPr>
        <w:t xml:space="preserve"> pomoc podnikům.</w:t>
      </w:r>
    </w:p>
  </w:footnote>
  <w:footnote w:id="19">
    <w:p w14:paraId="50D8269F" w14:textId="77777777" w:rsidR="00D652EB" w:rsidRPr="00AC0B00" w:rsidRDefault="00D652EB" w:rsidP="004A3BE4">
      <w:pPr>
        <w:pStyle w:val="Textpoznpodarou"/>
        <w:rPr>
          <w:sz w:val="16"/>
          <w:szCs w:val="16"/>
        </w:rPr>
      </w:pPr>
      <w:r w:rsidRPr="00AC0B00">
        <w:rPr>
          <w:rStyle w:val="Znakapoznpodarou"/>
          <w:sz w:val="16"/>
          <w:szCs w:val="16"/>
        </w:rPr>
        <w:footnoteRef/>
      </w:r>
      <w:r w:rsidRPr="00AC0B00">
        <w:rPr>
          <w:sz w:val="16"/>
          <w:szCs w:val="16"/>
        </w:rPr>
        <w:t xml:space="preserve"> </w:t>
      </w:r>
      <w:r>
        <w:rPr>
          <w:sz w:val="16"/>
          <w:szCs w:val="16"/>
        </w:rPr>
        <w:t xml:space="preserve">Průměrný měsíční starobní důchod (bez souběhu s ostatními důchody) tak letos v březnu dosáhl u mužů 20 723 korun, u žen </w:t>
      </w:r>
      <w:r>
        <w:rPr>
          <w:sz w:val="16"/>
          <w:szCs w:val="16"/>
        </w:rPr>
        <w:br/>
        <w:t xml:space="preserve">18 290 korun. Díky zavedení „výchovného“ se významně snížil rozdíl v úrovni důchodů mužů a žen. Sólo starobní důchod u žen zaostával za úrovní mužů o 12 %. Relativní rozdíl důchodů mezi pohlavími byl tak mírně nižší než v případě průměrných mezd. </w:t>
      </w:r>
    </w:p>
  </w:footnote>
  <w:footnote w:id="20">
    <w:p w14:paraId="0F4E8BA4" w14:textId="77777777" w:rsidR="00D652EB" w:rsidRPr="00EC2E06" w:rsidRDefault="00D652EB" w:rsidP="004A3BE4">
      <w:pPr>
        <w:pStyle w:val="Textpoznpodarou"/>
        <w:jc w:val="both"/>
        <w:rPr>
          <w:spacing w:val="-4"/>
        </w:rPr>
      </w:pPr>
      <w:r w:rsidRPr="00EC2E06">
        <w:rPr>
          <w:rStyle w:val="Znakapoznpodarou"/>
          <w:spacing w:val="-4"/>
          <w:sz w:val="16"/>
          <w:szCs w:val="16"/>
        </w:rPr>
        <w:footnoteRef/>
      </w:r>
      <w:r>
        <w:rPr>
          <w:spacing w:val="-4"/>
          <w:sz w:val="16"/>
          <w:szCs w:val="16"/>
        </w:rPr>
        <w:t xml:space="preserve"> To vyjadřuje r</w:t>
      </w:r>
      <w:r w:rsidRPr="00EC2E06">
        <w:rPr>
          <w:rFonts w:cs="Arial"/>
          <w:color w:val="000000" w:themeColor="text1"/>
          <w:spacing w:val="-4"/>
          <w:sz w:val="16"/>
          <w:szCs w:val="16"/>
        </w:rPr>
        <w:t xml:space="preserve">ozdíl mezi příjmy a výdaji na důchody ze SR. Ve výdajích nejsou zahrnuty náklady na správu systému důchodového </w:t>
      </w:r>
      <w:r w:rsidRPr="00EC2E06">
        <w:rPr>
          <w:rFonts w:cs="Arial"/>
          <w:color w:val="0D0D0D" w:themeColor="text1" w:themeTint="F2"/>
          <w:spacing w:val="-4"/>
          <w:sz w:val="16"/>
          <w:szCs w:val="16"/>
        </w:rPr>
        <w:t>pojištění.</w:t>
      </w:r>
    </w:p>
  </w:footnote>
  <w:footnote w:id="21">
    <w:p w14:paraId="534FB8F1" w14:textId="77777777" w:rsidR="00D652EB" w:rsidRPr="003B3184" w:rsidRDefault="00D652EB" w:rsidP="004A3BE4">
      <w:pPr>
        <w:pStyle w:val="Textpoznpodarou"/>
        <w:rPr>
          <w:sz w:val="16"/>
          <w:szCs w:val="16"/>
        </w:rPr>
      </w:pPr>
      <w:r w:rsidRPr="003B3184">
        <w:rPr>
          <w:rStyle w:val="Znakapoznpodarou"/>
          <w:sz w:val="16"/>
          <w:szCs w:val="16"/>
        </w:rPr>
        <w:footnoteRef/>
      </w:r>
      <w:r w:rsidRPr="003B3184">
        <w:rPr>
          <w:sz w:val="16"/>
          <w:szCs w:val="16"/>
        </w:rPr>
        <w:t xml:space="preserve"> Nárok na podporu v nezaměstnanosti měla letos v březnu (podobně jako o rok dříve) necelá třetina registrovaných uchazečů o práci.</w:t>
      </w:r>
    </w:p>
  </w:footnote>
  <w:footnote w:id="22">
    <w:p w14:paraId="3476CF64" w14:textId="77777777" w:rsidR="00D652EB" w:rsidRPr="00614788" w:rsidRDefault="00D652EB" w:rsidP="004A3BE4">
      <w:pPr>
        <w:pStyle w:val="Textpoznpodarou"/>
        <w:rPr>
          <w:spacing w:val="-2"/>
          <w:sz w:val="16"/>
          <w:szCs w:val="16"/>
        </w:rPr>
      </w:pPr>
      <w:r w:rsidRPr="00614788">
        <w:rPr>
          <w:rStyle w:val="Znakapoznpodarou"/>
          <w:spacing w:val="-2"/>
          <w:sz w:val="16"/>
          <w:szCs w:val="16"/>
        </w:rPr>
        <w:footnoteRef/>
      </w:r>
      <w:r w:rsidRPr="00614788">
        <w:rPr>
          <w:spacing w:val="-2"/>
          <w:sz w:val="16"/>
          <w:szCs w:val="16"/>
        </w:rPr>
        <w:t xml:space="preserve"> Čisté výdaje odpovídají saldu rozpočtov</w:t>
      </w:r>
      <w:r>
        <w:rPr>
          <w:spacing w:val="-2"/>
          <w:sz w:val="16"/>
          <w:szCs w:val="16"/>
        </w:rPr>
        <w:t>é kapitoly Státní dluh (č. 396).</w:t>
      </w:r>
    </w:p>
  </w:footnote>
  <w:footnote w:id="23">
    <w:p w14:paraId="4CFF0100" w14:textId="06C0AFC4" w:rsidR="00D652EB" w:rsidRPr="00F058DE" w:rsidRDefault="00D652EB" w:rsidP="004A3BE4">
      <w:pPr>
        <w:pStyle w:val="Textpoznpodarou"/>
        <w:rPr>
          <w:sz w:val="16"/>
          <w:szCs w:val="16"/>
        </w:rPr>
      </w:pPr>
      <w:r w:rsidRPr="00F058DE">
        <w:rPr>
          <w:rStyle w:val="Znakapoznpodarou"/>
          <w:sz w:val="16"/>
          <w:szCs w:val="16"/>
        </w:rPr>
        <w:footnoteRef/>
      </w:r>
      <w:r w:rsidRPr="00F058DE">
        <w:rPr>
          <w:sz w:val="16"/>
          <w:szCs w:val="16"/>
        </w:rPr>
        <w:t xml:space="preserve"> Ve srovnání s rekordní aktivitou v 1. čtvrtletí 2021 byla ovšem letos intenzita výpůjčních operací nižší (tehdy přesáhla čistá emise pouze u klíčového nástroje – středn</w:t>
      </w:r>
      <w:r>
        <w:rPr>
          <w:sz w:val="16"/>
          <w:szCs w:val="16"/>
        </w:rPr>
        <w:t>ě a dlouhodobých dluhopisů – 20</w:t>
      </w:r>
      <w:r w:rsidRPr="00F058DE">
        <w:rPr>
          <w:sz w:val="16"/>
          <w:szCs w:val="16"/>
        </w:rPr>
        <w:t>0 mld. korun).</w:t>
      </w:r>
    </w:p>
  </w:footnote>
  <w:footnote w:id="24">
    <w:p w14:paraId="6DD63663" w14:textId="77777777" w:rsidR="00D652EB" w:rsidRPr="00F058DE" w:rsidRDefault="00D652EB" w:rsidP="004A3BE4">
      <w:pPr>
        <w:pStyle w:val="Textpoznpodarou"/>
        <w:rPr>
          <w:sz w:val="16"/>
          <w:szCs w:val="16"/>
        </w:rPr>
      </w:pPr>
      <w:r w:rsidRPr="00F058DE">
        <w:rPr>
          <w:rStyle w:val="Znakapoznpodarou"/>
          <w:sz w:val="16"/>
          <w:szCs w:val="16"/>
        </w:rPr>
        <w:footnoteRef/>
      </w:r>
      <w:r w:rsidRPr="00F058DE">
        <w:rPr>
          <w:sz w:val="16"/>
          <w:szCs w:val="16"/>
        </w:rPr>
        <w:t xml:space="preserve"> </w:t>
      </w:r>
      <w:r>
        <w:rPr>
          <w:spacing w:val="-4"/>
          <w:sz w:val="16"/>
          <w:szCs w:val="16"/>
        </w:rPr>
        <w:t>Hodnota veškerých domácích</w:t>
      </w:r>
      <w:r w:rsidRPr="00790DFB">
        <w:rPr>
          <w:spacing w:val="-4"/>
          <w:sz w:val="16"/>
          <w:szCs w:val="16"/>
        </w:rPr>
        <w:t xml:space="preserve"> státních dluhopisů v oběhu </w:t>
      </w:r>
      <w:r>
        <w:rPr>
          <w:spacing w:val="-4"/>
          <w:sz w:val="16"/>
          <w:szCs w:val="16"/>
        </w:rPr>
        <w:t xml:space="preserve">vzrostla </w:t>
      </w:r>
      <w:r w:rsidRPr="00790DFB">
        <w:rPr>
          <w:spacing w:val="-4"/>
          <w:sz w:val="16"/>
          <w:szCs w:val="16"/>
        </w:rPr>
        <w:t xml:space="preserve">o </w:t>
      </w:r>
      <w:r>
        <w:rPr>
          <w:spacing w:val="-4"/>
          <w:sz w:val="16"/>
          <w:szCs w:val="16"/>
        </w:rPr>
        <w:t xml:space="preserve">15,7 % na celkových 2 805,3 mld. korun. </w:t>
      </w:r>
    </w:p>
  </w:footnote>
  <w:footnote w:id="25">
    <w:p w14:paraId="4DF1688E" w14:textId="77777777" w:rsidR="00D652EB" w:rsidRPr="00552F88" w:rsidRDefault="00D652EB" w:rsidP="004A3BE4">
      <w:pPr>
        <w:pStyle w:val="Textpoznpodarou"/>
        <w:rPr>
          <w:sz w:val="16"/>
          <w:szCs w:val="16"/>
        </w:rPr>
      </w:pPr>
      <w:r w:rsidRPr="00552F88">
        <w:rPr>
          <w:rStyle w:val="Znakapoznpodarou"/>
          <w:sz w:val="16"/>
          <w:szCs w:val="16"/>
        </w:rPr>
        <w:footnoteRef/>
      </w:r>
      <w:r w:rsidRPr="00552F88">
        <w:rPr>
          <w:sz w:val="16"/>
          <w:szCs w:val="16"/>
        </w:rPr>
        <w:t xml:space="preserve"> Na celkovém státním dluhu se vnější zadluženost na konci března 2023 podílela jen 6,4 % (nejméně za posledních devatenáct let). </w:t>
      </w:r>
    </w:p>
  </w:footnote>
  <w:footnote w:id="26">
    <w:p w14:paraId="5A8D0541" w14:textId="77777777" w:rsidR="00D652EB" w:rsidRDefault="00D652EB" w:rsidP="008F130B">
      <w:pPr>
        <w:pStyle w:val="Textpoznpodarou"/>
        <w:rPr>
          <w:sz w:val="16"/>
          <w:szCs w:val="16"/>
        </w:rPr>
      </w:pPr>
      <w:r w:rsidRPr="008C2F4A">
        <w:rPr>
          <w:rStyle w:val="Znakapoznpodarou"/>
          <w:sz w:val="16"/>
          <w:szCs w:val="16"/>
        </w:rPr>
        <w:footnoteRef/>
      </w:r>
      <w:r w:rsidRPr="008C2F4A">
        <w:rPr>
          <w:sz w:val="16"/>
          <w:szCs w:val="16"/>
        </w:rPr>
        <w:t xml:space="preserve"> </w:t>
      </w:r>
      <w:r>
        <w:rPr>
          <w:sz w:val="16"/>
          <w:szCs w:val="16"/>
        </w:rPr>
        <w:t xml:space="preserve">Údaje o hospodaření vládních institucí za 1. čtvrtletí 2023 zveřejní ČSÚ 3. července 2023, Eurostat analogicky 21. července 2023. Detailnější zhodnocení tuzemského vývoje za 4. čtvrtletí 2022 i celý loňský rok je obsaženo v publikaci </w:t>
      </w:r>
      <w:r w:rsidRPr="00C20941">
        <w:rPr>
          <w:i/>
          <w:sz w:val="16"/>
          <w:szCs w:val="16"/>
        </w:rPr>
        <w:t>Analýza sektorových účtů</w:t>
      </w:r>
      <w:r>
        <w:rPr>
          <w:sz w:val="16"/>
          <w:szCs w:val="16"/>
        </w:rPr>
        <w:t>:</w:t>
      </w:r>
    </w:p>
    <w:p w14:paraId="6F0F62AE" w14:textId="77777777" w:rsidR="00D652EB" w:rsidRPr="00900B2B" w:rsidRDefault="00D7475D" w:rsidP="008F130B">
      <w:pPr>
        <w:pStyle w:val="Textpoznpodarou"/>
        <w:rPr>
          <w:sz w:val="16"/>
          <w:szCs w:val="16"/>
        </w:rPr>
      </w:pPr>
      <w:hyperlink r:id="rId1" w:history="1">
        <w:r w:rsidR="00D652EB" w:rsidRPr="00332CD4">
          <w:rPr>
            <w:rStyle w:val="Hypertextovodkaz"/>
            <w:sz w:val="16"/>
            <w:szCs w:val="16"/>
          </w:rPr>
          <w:t>https://www.czso.cz/csu/czso/cri/analyza-ctvrtletnich-sektorovych-uctu-4-ctvrtleti-2022</w:t>
        </w:r>
      </w:hyperlink>
    </w:p>
  </w:footnote>
  <w:footnote w:id="27">
    <w:p w14:paraId="4144DB57" w14:textId="77777777" w:rsidR="00D652EB" w:rsidRPr="00654E54" w:rsidRDefault="00D652EB" w:rsidP="004A3BE4">
      <w:pPr>
        <w:pStyle w:val="Textpoznpodarou"/>
        <w:rPr>
          <w:sz w:val="16"/>
          <w:szCs w:val="16"/>
        </w:rPr>
      </w:pPr>
      <w:r w:rsidRPr="00654E54">
        <w:rPr>
          <w:rStyle w:val="Znakapoznpodarou"/>
          <w:sz w:val="16"/>
          <w:szCs w:val="16"/>
        </w:rPr>
        <w:footnoteRef/>
      </w:r>
      <w:r>
        <w:rPr>
          <w:sz w:val="16"/>
          <w:szCs w:val="16"/>
        </w:rPr>
        <w:t xml:space="preserve"> Není-li uvedeno jinak, jsou ú</w:t>
      </w:r>
      <w:r w:rsidRPr="00654E54">
        <w:rPr>
          <w:sz w:val="16"/>
          <w:szCs w:val="16"/>
        </w:rPr>
        <w:t xml:space="preserve">daje o hospodaření sektoru VI v ČR </w:t>
      </w:r>
      <w:r>
        <w:rPr>
          <w:sz w:val="16"/>
          <w:szCs w:val="16"/>
        </w:rPr>
        <w:t>vyjádře</w:t>
      </w:r>
      <w:r w:rsidRPr="00654E54">
        <w:rPr>
          <w:sz w:val="16"/>
          <w:szCs w:val="16"/>
        </w:rPr>
        <w:t>ny bez sezónního očištění.</w:t>
      </w:r>
    </w:p>
  </w:footnote>
  <w:footnote w:id="28">
    <w:p w14:paraId="3B8757BD" w14:textId="77777777" w:rsidR="00D652EB" w:rsidRPr="00A274FC" w:rsidRDefault="00D652EB" w:rsidP="004A3BE4">
      <w:pPr>
        <w:pStyle w:val="Textpoznpodarou"/>
        <w:rPr>
          <w:sz w:val="16"/>
          <w:szCs w:val="16"/>
        </w:rPr>
      </w:pPr>
      <w:r w:rsidRPr="00A274FC">
        <w:rPr>
          <w:rStyle w:val="Znakapoznpodarou"/>
          <w:sz w:val="16"/>
          <w:szCs w:val="16"/>
        </w:rPr>
        <w:footnoteRef/>
      </w:r>
      <w:r>
        <w:rPr>
          <w:sz w:val="16"/>
          <w:szCs w:val="16"/>
        </w:rPr>
        <w:t xml:space="preserve"> Údaje o saldu hospodaření</w:t>
      </w:r>
      <w:r w:rsidRPr="00A274FC">
        <w:rPr>
          <w:sz w:val="16"/>
          <w:szCs w:val="16"/>
        </w:rPr>
        <w:t xml:space="preserve"> sektoru VI </w:t>
      </w:r>
      <w:r>
        <w:rPr>
          <w:sz w:val="16"/>
          <w:szCs w:val="16"/>
        </w:rPr>
        <w:t>v zemích EU jsou vyjádřené</w:t>
      </w:r>
      <w:r w:rsidRPr="00A274FC">
        <w:rPr>
          <w:sz w:val="16"/>
          <w:szCs w:val="16"/>
        </w:rPr>
        <w:t xml:space="preserve"> po sezónním očištění.</w:t>
      </w:r>
    </w:p>
  </w:footnote>
  <w:footnote w:id="29">
    <w:p w14:paraId="523DB1EB" w14:textId="77777777" w:rsidR="00D652EB" w:rsidRPr="00157A6D" w:rsidRDefault="00D652EB" w:rsidP="004A3BE4">
      <w:pPr>
        <w:pStyle w:val="Textpoznpodarou"/>
        <w:rPr>
          <w:sz w:val="16"/>
          <w:szCs w:val="16"/>
        </w:rPr>
      </w:pPr>
      <w:r w:rsidRPr="00157A6D">
        <w:rPr>
          <w:rStyle w:val="Znakapoznpodarou"/>
          <w:sz w:val="16"/>
          <w:szCs w:val="16"/>
        </w:rPr>
        <w:footnoteRef/>
      </w:r>
      <w:r w:rsidRPr="00157A6D">
        <w:rPr>
          <w:sz w:val="16"/>
          <w:szCs w:val="16"/>
        </w:rPr>
        <w:t xml:space="preserve"> V případě Bulharska se mohlo spíše jednat o krátkodobý výkyv, naopak Irsko i Dánsko vykazovaly přebytek hospodaření sektoru VI po celý loňský rok.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D652EB" w:rsidRDefault="00D652EB" w:rsidP="00937AE2">
    <w:pPr>
      <w:pStyle w:val="Zhlav"/>
    </w:pPr>
    <w:r>
      <w:t>Vývoj ekonomiky České republiky</w:t>
    </w:r>
  </w:p>
  <w:p w14:paraId="3E881AB3" w14:textId="77777777" w:rsidR="00D652EB" w:rsidRPr="006F5416" w:rsidRDefault="00D652E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D652EB" w:rsidRDefault="00D652EB" w:rsidP="00937AE2">
    <w:pPr>
      <w:pStyle w:val="Zhlav"/>
    </w:pPr>
    <w:r>
      <w:t>Vývoj ekonomiky České republiky</w:t>
    </w:r>
  </w:p>
  <w:p w14:paraId="57266714" w14:textId="77777777" w:rsidR="00D652EB" w:rsidRPr="006F5416" w:rsidRDefault="00D652E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8"/>
  </w:num>
  <w:num w:numId="14">
    <w:abstractNumId w:val="14"/>
  </w:num>
  <w:num w:numId="15">
    <w:abstractNumId w:val="20"/>
  </w:num>
  <w:num w:numId="16">
    <w:abstractNumId w:val="16"/>
  </w:num>
  <w:num w:numId="17">
    <w:abstractNumId w:val="29"/>
  </w:num>
  <w:num w:numId="18">
    <w:abstractNumId w:val="21"/>
  </w:num>
  <w:num w:numId="19">
    <w:abstractNumId w:val="31"/>
  </w:num>
  <w:num w:numId="20">
    <w:abstractNumId w:val="32"/>
  </w:num>
  <w:num w:numId="21">
    <w:abstractNumId w:val="27"/>
  </w:num>
  <w:num w:numId="22">
    <w:abstractNumId w:val="19"/>
  </w:num>
  <w:num w:numId="23">
    <w:abstractNumId w:val="17"/>
  </w:num>
  <w:num w:numId="24">
    <w:abstractNumId w:val="18"/>
  </w:num>
  <w:num w:numId="25">
    <w:abstractNumId w:val="13"/>
  </w:num>
  <w:num w:numId="26">
    <w:abstractNumId w:val="23"/>
  </w:num>
  <w:num w:numId="27">
    <w:abstractNumId w:val="22"/>
  </w:num>
  <w:num w:numId="28">
    <w:abstractNumId w:val="10"/>
  </w:num>
  <w:num w:numId="29">
    <w:abstractNumId w:val="32"/>
  </w:num>
  <w:num w:numId="30">
    <w:abstractNumId w:val="24"/>
  </w:num>
  <w:num w:numId="31">
    <w:abstractNumId w:val="12"/>
  </w:num>
  <w:num w:numId="32">
    <w:abstractNumId w:val="33"/>
  </w:num>
  <w:num w:numId="33">
    <w:abstractNumId w:val="32"/>
  </w:num>
  <w:num w:numId="34">
    <w:abstractNumId w:val="11"/>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E04FD"/>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52B"/>
    <w:rsid w:val="00141AA0"/>
    <w:rsid w:val="001425C3"/>
    <w:rsid w:val="0014262D"/>
    <w:rsid w:val="00142B29"/>
    <w:rsid w:val="00144108"/>
    <w:rsid w:val="00144588"/>
    <w:rsid w:val="001447DD"/>
    <w:rsid w:val="00145358"/>
    <w:rsid w:val="001459BC"/>
    <w:rsid w:val="0014779E"/>
    <w:rsid w:val="00150ECA"/>
    <w:rsid w:val="0015108F"/>
    <w:rsid w:val="00151707"/>
    <w:rsid w:val="00152C86"/>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5C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C6C"/>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5160"/>
    <w:rsid w:val="006451E4"/>
    <w:rsid w:val="0064574B"/>
    <w:rsid w:val="00645B33"/>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856"/>
    <w:rsid w:val="00667AF2"/>
    <w:rsid w:val="00670489"/>
    <w:rsid w:val="006710C9"/>
    <w:rsid w:val="00671D85"/>
    <w:rsid w:val="00672586"/>
    <w:rsid w:val="006727BC"/>
    <w:rsid w:val="006741CD"/>
    <w:rsid w:val="006745DF"/>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3627"/>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1B1"/>
    <w:rsid w:val="0080734C"/>
    <w:rsid w:val="00807C82"/>
    <w:rsid w:val="008107EE"/>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1850"/>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DDB"/>
    <w:rsid w:val="009F032E"/>
    <w:rsid w:val="009F1CA6"/>
    <w:rsid w:val="009F2921"/>
    <w:rsid w:val="009F42CF"/>
    <w:rsid w:val="009F4982"/>
    <w:rsid w:val="009F4CA7"/>
    <w:rsid w:val="009F4F6A"/>
    <w:rsid w:val="009F55BA"/>
    <w:rsid w:val="009F7D36"/>
    <w:rsid w:val="009F7D61"/>
    <w:rsid w:val="00A00470"/>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5F94"/>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3605"/>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7973"/>
    <w:rsid w:val="00D27F3A"/>
    <w:rsid w:val="00D31537"/>
    <w:rsid w:val="00D31E1E"/>
    <w:rsid w:val="00D322A0"/>
    <w:rsid w:val="00D32824"/>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75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3231"/>
    <w:rsid w:val="00DE3E22"/>
    <w:rsid w:val="00DE3E5D"/>
    <w:rsid w:val="00DE450F"/>
    <w:rsid w:val="00DE4865"/>
    <w:rsid w:val="00DE5CA6"/>
    <w:rsid w:val="00DE5E55"/>
    <w:rsid w:val="00DE63AE"/>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87D5B"/>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 w:val="019CB78C"/>
    <w:rsid w:val="0523CDF2"/>
    <w:rsid w:val="06B1A837"/>
    <w:rsid w:val="0EBE9DEC"/>
    <w:rsid w:val="12650F4E"/>
    <w:rsid w:val="1394E51D"/>
    <w:rsid w:val="17513AF8"/>
    <w:rsid w:val="2A0E9F3A"/>
    <w:rsid w:val="2A2A6298"/>
    <w:rsid w:val="38C72AFC"/>
    <w:rsid w:val="3C7646FC"/>
    <w:rsid w:val="3E4A9713"/>
    <w:rsid w:val="47207A7B"/>
    <w:rsid w:val="48038D4B"/>
    <w:rsid w:val="49E8263C"/>
    <w:rsid w:val="4A567F3C"/>
    <w:rsid w:val="50A35788"/>
    <w:rsid w:val="52944939"/>
    <w:rsid w:val="5536E42E"/>
    <w:rsid w:val="5CF587E8"/>
    <w:rsid w:val="6AEA4E8B"/>
    <w:rsid w:val="6AEC8A78"/>
    <w:rsid w:val="6D951AA9"/>
    <w:rsid w:val="7059F910"/>
    <w:rsid w:val="74EA3077"/>
    <w:rsid w:val="75B5B795"/>
    <w:rsid w:val="78E73CD1"/>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4-ctvrtleti-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3\Grafy-st&#225;tn&#237;%20rozpo&#269;et-rok-2022-ak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3\Grafy-st&#225;tn&#237;%20rozpo&#269;et-rok-2022-ak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QMakro-2023\Grafy-st&#225;tn&#237;%20rozpo&#269;et-rok-2022-ak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42E-2"/>
          <c:y val="1.7107238390107412E-2"/>
          <c:w val="0.84230585710151373"/>
          <c:h val="0.7666965453140614"/>
        </c:manualLayout>
      </c:layout>
      <c:barChart>
        <c:barDir val="col"/>
        <c:grouping val="stacked"/>
        <c:varyColors val="0"/>
        <c:ser>
          <c:idx val="1"/>
          <c:order val="1"/>
          <c:tx>
            <c:strRef>
              <c:f>'G1-Státní rozpočet-příjmy-2020'!$A$31</c:f>
              <c:strCache>
                <c:ptCount val="1"/>
                <c:pt idx="0">
                  <c:v>Ostatní daně a poplatky*</c:v>
                </c:pt>
              </c:strCache>
            </c:strRef>
          </c:tx>
          <c:spPr>
            <a:solidFill>
              <a:schemeClr val="bg1">
                <a:lumMod val="75000"/>
              </a:schemeClr>
            </a:solidFill>
            <a:ln w="12700">
              <a:noFill/>
              <a:prstDash val="solid"/>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rozpočet-příjmy-2020'!$D$31:$T$31</c:f>
              <c:numCache>
                <c:formatCode>0.0</c:formatCode>
                <c:ptCount val="17"/>
                <c:pt idx="0">
                  <c:v>0.27215189873418966</c:v>
                </c:pt>
                <c:pt idx="1">
                  <c:v>0.93122337188070226</c:v>
                </c:pt>
                <c:pt idx="2">
                  <c:v>-0.86039886039885172</c:v>
                </c:pt>
                <c:pt idx="3">
                  <c:v>-0.21800461656836218</c:v>
                </c:pt>
                <c:pt idx="4">
                  <c:v>4.7025628967778087E-2</c:v>
                </c:pt>
                <c:pt idx="5">
                  <c:v>0.15463598688688143</c:v>
                </c:pt>
                <c:pt idx="6">
                  <c:v>0.75112372841257058</c:v>
                </c:pt>
                <c:pt idx="7">
                  <c:v>-5.7922173661211329E-2</c:v>
                </c:pt>
                <c:pt idx="8">
                  <c:v>0.17244682889444102</c:v>
                </c:pt>
                <c:pt idx="9">
                  <c:v>0.17228383762247171</c:v>
                </c:pt>
                <c:pt idx="10">
                  <c:v>0.23509403761505579</c:v>
                </c:pt>
                <c:pt idx="11">
                  <c:v>0.62235845989504279</c:v>
                </c:pt>
                <c:pt idx="12">
                  <c:v>0.80854504446996855</c:v>
                </c:pt>
                <c:pt idx="13">
                  <c:v>0.66381882645426304</c:v>
                </c:pt>
                <c:pt idx="14">
                  <c:v>-1.591733624600024</c:v>
                </c:pt>
                <c:pt idx="15">
                  <c:v>1.1154268403481038</c:v>
                </c:pt>
                <c:pt idx="16">
                  <c:v>3.3323398513139781</c:v>
                </c:pt>
              </c:numCache>
            </c:numRef>
          </c:val>
          <c:extLst>
            <c:ext xmlns:c16="http://schemas.microsoft.com/office/drawing/2014/chart" uri="{C3380CC4-5D6E-409C-BE32-E72D297353CC}">
              <c16:uniqueId val="{00000000-4D14-4E63-BBC7-BB0E894E99EA}"/>
            </c:ext>
          </c:extLst>
        </c:ser>
        <c:ser>
          <c:idx val="3"/>
          <c:order val="2"/>
          <c:tx>
            <c:strRef>
              <c:f>'G1-Státní rozpočet-příjmy-2020'!$A$32</c:f>
              <c:strCache>
                <c:ptCount val="1"/>
                <c:pt idx="0">
                  <c:v>Daně z příjmů fyzických osob</c:v>
                </c:pt>
              </c:strCache>
            </c:strRef>
          </c:tx>
          <c:spPr>
            <a:solidFill>
              <a:srgbClr val="EA6C75"/>
            </a:solidFill>
            <a:ln w="19050">
              <a:noFill/>
              <a:prstDash val="sysDot"/>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rozpočet-příjmy-2020'!$D$32:$T$32</c:f>
              <c:numCache>
                <c:formatCode>0.0</c:formatCode>
                <c:ptCount val="17"/>
                <c:pt idx="0">
                  <c:v>1.0759493670886009</c:v>
                </c:pt>
                <c:pt idx="1">
                  <c:v>1.1503347534996955</c:v>
                </c:pt>
                <c:pt idx="2">
                  <c:v>-2.8490028490028489</c:v>
                </c:pt>
                <c:pt idx="3">
                  <c:v>0.28212362144139824</c:v>
                </c:pt>
                <c:pt idx="4">
                  <c:v>-0.32917940277451346</c:v>
                </c:pt>
                <c:pt idx="5">
                  <c:v>1.4350219583101356</c:v>
                </c:pt>
                <c:pt idx="6">
                  <c:v>0.68015140761769477</c:v>
                </c:pt>
                <c:pt idx="7">
                  <c:v>0.80037912695487434</c:v>
                </c:pt>
                <c:pt idx="8">
                  <c:v>-0.23471929488407847</c:v>
                </c:pt>
                <c:pt idx="9">
                  <c:v>2.2612253687950896</c:v>
                </c:pt>
                <c:pt idx="10">
                  <c:v>1.995798319327726</c:v>
                </c:pt>
                <c:pt idx="11">
                  <c:v>2.7309460777483618</c:v>
                </c:pt>
                <c:pt idx="12">
                  <c:v>3.132048172262651</c:v>
                </c:pt>
                <c:pt idx="13">
                  <c:v>1.2807427685933181</c:v>
                </c:pt>
                <c:pt idx="14">
                  <c:v>-7.6352995606736176</c:v>
                </c:pt>
                <c:pt idx="15">
                  <c:v>0.11468623687092579</c:v>
                </c:pt>
                <c:pt idx="16">
                  <c:v>4.4080858498802398</c:v>
                </c:pt>
              </c:numCache>
            </c:numRef>
          </c:val>
          <c:extLst>
            <c:ext xmlns:c16="http://schemas.microsoft.com/office/drawing/2014/chart" uri="{C3380CC4-5D6E-409C-BE32-E72D297353CC}">
              <c16:uniqueId val="{00000001-4D14-4E63-BBC7-BB0E894E99EA}"/>
            </c:ext>
          </c:extLst>
        </c:ser>
        <c:ser>
          <c:idx val="4"/>
          <c:order val="3"/>
          <c:tx>
            <c:strRef>
              <c:f>'G1-Státní rozpočet-příjmy-2020'!$A$33</c:f>
              <c:strCache>
                <c:ptCount val="1"/>
                <c:pt idx="0">
                  <c:v>Daně z příjmů právnických osob</c:v>
                </c:pt>
              </c:strCache>
            </c:strRef>
          </c:tx>
          <c:spPr>
            <a:solidFill>
              <a:schemeClr val="accent6">
                <a:lumMod val="60000"/>
                <a:lumOff val="40000"/>
              </a:schemeClr>
            </a:solidFill>
            <a:ln w="19050">
              <a:noFill/>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rozpočet-příjmy-2020'!$D$33:$T$33</c:f>
              <c:numCache>
                <c:formatCode>0.0</c:formatCode>
                <c:ptCount val="17"/>
                <c:pt idx="0">
                  <c:v>0.3924050632911365</c:v>
                </c:pt>
                <c:pt idx="1">
                  <c:v>3.4449178332318948</c:v>
                </c:pt>
                <c:pt idx="2">
                  <c:v>-2.9230769230769247</c:v>
                </c:pt>
                <c:pt idx="3">
                  <c:v>-6.4119004873054407E-3</c:v>
                </c:pt>
                <c:pt idx="4">
                  <c:v>-1.5871149776628251</c:v>
                </c:pt>
                <c:pt idx="5">
                  <c:v>-0.11752335003401841</c:v>
                </c:pt>
                <c:pt idx="6">
                  <c:v>-8.2801040927371963E-2</c:v>
                </c:pt>
                <c:pt idx="7">
                  <c:v>0.38439260702437994</c:v>
                </c:pt>
                <c:pt idx="8">
                  <c:v>1.0059398352174727</c:v>
                </c:pt>
                <c:pt idx="9">
                  <c:v>2.1104770108754174</c:v>
                </c:pt>
                <c:pt idx="10">
                  <c:v>1.7957182873149216</c:v>
                </c:pt>
                <c:pt idx="11">
                  <c:v>0.20900097533788606</c:v>
                </c:pt>
                <c:pt idx="12">
                  <c:v>0.6298140346397717</c:v>
                </c:pt>
                <c:pt idx="13">
                  <c:v>0.32691017416434592</c:v>
                </c:pt>
                <c:pt idx="14">
                  <c:v>0.10558008367166571</c:v>
                </c:pt>
                <c:pt idx="15">
                  <c:v>1.0190084559497676</c:v>
                </c:pt>
                <c:pt idx="16">
                  <c:v>3.8971374921113471</c:v>
                </c:pt>
              </c:numCache>
            </c:numRef>
          </c:val>
          <c:extLst>
            <c:ext xmlns:c16="http://schemas.microsoft.com/office/drawing/2014/chart" uri="{C3380CC4-5D6E-409C-BE32-E72D297353CC}">
              <c16:uniqueId val="{00000002-4D14-4E63-BBC7-BB0E894E99EA}"/>
            </c:ext>
          </c:extLst>
        </c:ser>
        <c:ser>
          <c:idx val="2"/>
          <c:order val="4"/>
          <c:tx>
            <c:strRef>
              <c:f>'G1-Státní rozpočet-příjmy-2020'!$A$34</c:f>
              <c:strCache>
                <c:ptCount val="1"/>
                <c:pt idx="0">
                  <c:v>Spotřební daň</c:v>
                </c:pt>
              </c:strCache>
            </c:strRef>
          </c:tx>
          <c:spPr>
            <a:solidFill>
              <a:schemeClr val="accent5">
                <a:lumMod val="40000"/>
                <a:lumOff val="60000"/>
              </a:schemeClr>
            </a:solidFill>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rozpočet-příjmy-2020'!$D$34:$T$34</c:f>
              <c:numCache>
                <c:formatCode>0.0</c:formatCode>
                <c:ptCount val="17"/>
                <c:pt idx="0">
                  <c:v>0.82278481012658056</c:v>
                </c:pt>
                <c:pt idx="1">
                  <c:v>-0.18867924528301808</c:v>
                </c:pt>
                <c:pt idx="2">
                  <c:v>-2.376068376068377</c:v>
                </c:pt>
                <c:pt idx="3">
                  <c:v>4.9756347781482413</c:v>
                </c:pt>
                <c:pt idx="4">
                  <c:v>-0.74065365624265111</c:v>
                </c:pt>
                <c:pt idx="5">
                  <c:v>1.985526071627387</c:v>
                </c:pt>
                <c:pt idx="6">
                  <c:v>2.1587414241779017</c:v>
                </c:pt>
                <c:pt idx="7">
                  <c:v>2.9592965088726202</c:v>
                </c:pt>
                <c:pt idx="8">
                  <c:v>-6.1841348917417074</c:v>
                </c:pt>
                <c:pt idx="9">
                  <c:v>1.4590287498653982</c:v>
                </c:pt>
                <c:pt idx="10">
                  <c:v>0.42016806722689204</c:v>
                </c:pt>
                <c:pt idx="11">
                  <c:v>0.5805582648274572</c:v>
                </c:pt>
                <c:pt idx="12">
                  <c:v>-0.62130303417166777</c:v>
                </c:pt>
                <c:pt idx="13">
                  <c:v>1.0735727426060964</c:v>
                </c:pt>
                <c:pt idx="14">
                  <c:v>-2.9470384104736072</c:v>
                </c:pt>
                <c:pt idx="15">
                  <c:v>2.033120579962215</c:v>
                </c:pt>
                <c:pt idx="16">
                  <c:v>-0.53984991589800446</c:v>
                </c:pt>
              </c:numCache>
            </c:numRef>
          </c:val>
          <c:extLst>
            <c:ext xmlns:c16="http://schemas.microsoft.com/office/drawing/2014/chart" uri="{C3380CC4-5D6E-409C-BE32-E72D297353CC}">
              <c16:uniqueId val="{00000003-4D14-4E63-BBC7-BB0E894E99EA}"/>
            </c:ext>
          </c:extLst>
        </c:ser>
        <c:ser>
          <c:idx val="5"/>
          <c:order val="5"/>
          <c:tx>
            <c:strRef>
              <c:f>'G1-Státní rozpočet-příjmy-2020'!$A$35</c:f>
              <c:strCache>
                <c:ptCount val="1"/>
                <c:pt idx="0">
                  <c:v>DPH</c:v>
                </c:pt>
              </c:strCache>
            </c:strRef>
          </c:tx>
          <c:spPr>
            <a:solidFill>
              <a:srgbClr val="92D050"/>
            </a:solidFill>
            <a:ln>
              <a:noFill/>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rozpočet-příjmy-2020'!$D$35:$T$35</c:f>
              <c:numCache>
                <c:formatCode>0.0</c:formatCode>
                <c:ptCount val="17"/>
                <c:pt idx="0">
                  <c:v>1.424050632911388</c:v>
                </c:pt>
                <c:pt idx="1">
                  <c:v>1.4790018259281799</c:v>
                </c:pt>
                <c:pt idx="2">
                  <c:v>-2.1253561253561237</c:v>
                </c:pt>
                <c:pt idx="3">
                  <c:v>4.0459092074891005</c:v>
                </c:pt>
                <c:pt idx="4">
                  <c:v>-2.3571596520103482</c:v>
                </c:pt>
                <c:pt idx="5">
                  <c:v>1.1257499845364003</c:v>
                </c:pt>
                <c:pt idx="6">
                  <c:v>8.8123964986988419</c:v>
                </c:pt>
                <c:pt idx="7">
                  <c:v>5.8396082354799592</c:v>
                </c:pt>
                <c:pt idx="8">
                  <c:v>-5.78654914734624</c:v>
                </c:pt>
                <c:pt idx="9">
                  <c:v>1.631312587487886</c:v>
                </c:pt>
                <c:pt idx="10">
                  <c:v>3.2513005202080785</c:v>
                </c:pt>
                <c:pt idx="11">
                  <c:v>4.9974455436347585</c:v>
                </c:pt>
                <c:pt idx="12">
                  <c:v>-6.3832503510790187E-2</c:v>
                </c:pt>
                <c:pt idx="13">
                  <c:v>2.1661942638579452</c:v>
                </c:pt>
                <c:pt idx="14">
                  <c:v>-2.6237556934223591</c:v>
                </c:pt>
                <c:pt idx="15">
                  <c:v>9.5989598816327035</c:v>
                </c:pt>
                <c:pt idx="16">
                  <c:v>4.3409785889223764</c:v>
                </c:pt>
              </c:numCache>
            </c:numRef>
          </c:val>
          <c:extLst>
            <c:ext xmlns:c16="http://schemas.microsoft.com/office/drawing/2014/chart" uri="{C3380CC4-5D6E-409C-BE32-E72D297353CC}">
              <c16:uniqueId val="{00000004-4D14-4E63-BBC7-BB0E894E99EA}"/>
            </c:ext>
          </c:extLst>
        </c:ser>
        <c:dLbls>
          <c:showLegendKey val="0"/>
          <c:showVal val="0"/>
          <c:showCatName val="0"/>
          <c:showSerName val="0"/>
          <c:showPercent val="0"/>
          <c:showBubbleSize val="0"/>
        </c:dLbls>
        <c:gapWidth val="105"/>
        <c:overlap val="100"/>
        <c:axId val="126424960"/>
        <c:axId val="132501504"/>
      </c:barChart>
      <c:lineChart>
        <c:grouping val="standard"/>
        <c:varyColors val="0"/>
        <c:ser>
          <c:idx val="0"/>
          <c:order val="0"/>
          <c:tx>
            <c:strRef>
              <c:f>'G1-Státní rozpočet-příjmy-2020'!$A$30</c:f>
              <c:strCache>
                <c:ptCount val="1"/>
                <c:pt idx="0">
                  <c:v>Celkové daň. příjmy (bez pojistného na SZ)</c:v>
                </c:pt>
              </c:strCache>
            </c:strRef>
          </c:tx>
          <c:spPr>
            <a:ln w="19050">
              <a:noFill/>
            </a:ln>
          </c:spPr>
          <c:marker>
            <c:symbol val="circle"/>
            <c:size val="6"/>
            <c:spPr>
              <a:solidFill>
                <a:schemeClr val="bg1"/>
              </a:solidFill>
              <a:ln>
                <a:solidFill>
                  <a:schemeClr val="tx1">
                    <a:lumMod val="95000"/>
                    <a:lumOff val="5000"/>
                  </a:schemeClr>
                </a:solidFill>
              </a:ln>
            </c:spPr>
          </c:marker>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rozpočet-příjmy-2020'!$D$30:$T$30</c:f>
              <c:numCache>
                <c:formatCode>0.0</c:formatCode>
                <c:ptCount val="17"/>
                <c:pt idx="0">
                  <c:v>3.9873417721518947</c:v>
                </c:pt>
                <c:pt idx="1">
                  <c:v>6.8167985392574462</c:v>
                </c:pt>
                <c:pt idx="2">
                  <c:v>-11.133903133903129</c:v>
                </c:pt>
                <c:pt idx="3">
                  <c:v>9.0792510900230781</c:v>
                </c:pt>
                <c:pt idx="4">
                  <c:v>-4.9670820597225553</c:v>
                </c:pt>
                <c:pt idx="5">
                  <c:v>4.5834106513267852</c:v>
                </c:pt>
                <c:pt idx="6">
                  <c:v>12.319612017979644</c:v>
                </c:pt>
                <c:pt idx="7">
                  <c:v>9.9257543046706225</c:v>
                </c:pt>
                <c:pt idx="8">
                  <c:v>-11.027016669860117</c:v>
                </c:pt>
                <c:pt idx="9">
                  <c:v>7.6343275546462603</c:v>
                </c:pt>
                <c:pt idx="10">
                  <c:v>7.6980792316926738</c:v>
                </c:pt>
                <c:pt idx="11">
                  <c:v>9.1403093214434925</c:v>
                </c:pt>
                <c:pt idx="12">
                  <c:v>3.8852717136899457</c:v>
                </c:pt>
                <c:pt idx="13">
                  <c:v>5.5112387756759631</c:v>
                </c:pt>
                <c:pt idx="14">
                  <c:v>-14.692247205497953</c:v>
                </c:pt>
                <c:pt idx="15">
                  <c:v>13.872116425948553</c:v>
                </c:pt>
                <c:pt idx="16">
                  <c:v>15.438691866329934</c:v>
                </c:pt>
              </c:numCache>
            </c:numRef>
          </c:val>
          <c:smooth val="0"/>
          <c:extLst>
            <c:ext xmlns:c16="http://schemas.microsoft.com/office/drawing/2014/chart" uri="{C3380CC4-5D6E-409C-BE32-E72D297353CC}">
              <c16:uniqueId val="{00000005-4D14-4E63-BBC7-BB0E894E99EA}"/>
            </c:ext>
          </c:extLst>
        </c:ser>
        <c:dLbls>
          <c:showLegendKey val="0"/>
          <c:showVal val="0"/>
          <c:showCatName val="0"/>
          <c:showSerName val="0"/>
          <c:showPercent val="0"/>
          <c:showBubbleSize val="0"/>
        </c:dLbls>
        <c:marker val="1"/>
        <c:smooth val="0"/>
        <c:axId val="126424960"/>
        <c:axId val="132501504"/>
      </c:lineChart>
      <c:lineChart>
        <c:grouping val="standard"/>
        <c:varyColors val="0"/>
        <c:ser>
          <c:idx val="6"/>
          <c:order val="6"/>
          <c:tx>
            <c:strRef>
              <c:f>'G1-Státní rozpočet-příjmy-2020'!$A$36</c:f>
              <c:strCache>
                <c:ptCount val="1"/>
                <c:pt idx="0">
                  <c:v>Saldo státního rozpočtu (pravá osa)</c:v>
                </c:pt>
              </c:strCache>
            </c:strRef>
          </c:tx>
          <c:spPr>
            <a:ln w="19050">
              <a:solidFill>
                <a:schemeClr val="tx1">
                  <a:lumMod val="65000"/>
                  <a:lumOff val="35000"/>
                </a:schemeClr>
              </a:solidFill>
            </a:ln>
          </c:spPr>
          <c:marker>
            <c:symbol val="none"/>
          </c:marker>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rozpočet-příjmy-2020'!$D$36:$T$36</c:f>
              <c:numCache>
                <c:formatCode>#\ ##0.0</c:formatCode>
                <c:ptCount val="17"/>
                <c:pt idx="0">
                  <c:v>11.263</c:v>
                </c:pt>
                <c:pt idx="1">
                  <c:v>-13.347</c:v>
                </c:pt>
                <c:pt idx="2">
                  <c:v>-2.3459999999999992</c:v>
                </c:pt>
                <c:pt idx="3">
                  <c:v>-45.942</c:v>
                </c:pt>
                <c:pt idx="4">
                  <c:v>-25.202000000000002</c:v>
                </c:pt>
                <c:pt idx="5">
                  <c:v>-22.69</c:v>
                </c:pt>
                <c:pt idx="6">
                  <c:v>13.97</c:v>
                </c:pt>
                <c:pt idx="7">
                  <c:v>43.59</c:v>
                </c:pt>
                <c:pt idx="8">
                  <c:v>19.91</c:v>
                </c:pt>
                <c:pt idx="9">
                  <c:v>43.6</c:v>
                </c:pt>
                <c:pt idx="10">
                  <c:v>4.68</c:v>
                </c:pt>
                <c:pt idx="11">
                  <c:v>16.260000000000002</c:v>
                </c:pt>
                <c:pt idx="12">
                  <c:v>-9.24</c:v>
                </c:pt>
                <c:pt idx="13">
                  <c:v>-44.707715918399998</c:v>
                </c:pt>
                <c:pt idx="14">
                  <c:v>-125.1977047449202</c:v>
                </c:pt>
                <c:pt idx="15">
                  <c:v>-59.140376242370237</c:v>
                </c:pt>
                <c:pt idx="16">
                  <c:v>-166.18531283895999</c:v>
                </c:pt>
              </c:numCache>
            </c:numRef>
          </c:val>
          <c:smooth val="0"/>
          <c:extLst>
            <c:ext xmlns:c16="http://schemas.microsoft.com/office/drawing/2014/chart" uri="{C3380CC4-5D6E-409C-BE32-E72D297353CC}">
              <c16:uniqueId val="{00000006-4D14-4E63-BBC7-BB0E894E99EA}"/>
            </c:ext>
          </c:extLst>
        </c:ser>
        <c:ser>
          <c:idx val="7"/>
          <c:order val="7"/>
          <c:tx>
            <c:strRef>
              <c:f>'G1-Státní rozpočet-příjmy-2020'!$A$37</c:f>
              <c:strCache>
                <c:ptCount val="1"/>
                <c:pt idx="0">
                  <c:v>Saldo SR očištěné o vliv EU a FM* (pr. osa)</c:v>
                </c:pt>
              </c:strCache>
            </c:strRef>
          </c:tx>
          <c:spPr>
            <a:ln w="19050">
              <a:solidFill>
                <a:schemeClr val="bg1">
                  <a:lumMod val="50000"/>
                </a:schemeClr>
              </a:solidFill>
              <a:prstDash val="sysDash"/>
            </a:ln>
          </c:spPr>
          <c:marker>
            <c:symbol val="none"/>
          </c:marker>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rozpočet-příjmy-2020'!$D$37:$T$37</c:f>
              <c:numCache>
                <c:formatCode>General</c:formatCode>
                <c:ptCount val="17"/>
                <c:pt idx="6" formatCode="#\ ##0.0">
                  <c:v>-9.4</c:v>
                </c:pt>
                <c:pt idx="7" formatCode="#\ ##0.0">
                  <c:v>11</c:v>
                </c:pt>
                <c:pt idx="8" formatCode="#\ ##0.0">
                  <c:v>-18.100000000000001</c:v>
                </c:pt>
                <c:pt idx="9" formatCode="#\ ##0.0">
                  <c:v>-11.9</c:v>
                </c:pt>
                <c:pt idx="10" formatCode="#\ ##0.0">
                  <c:v>-4.5599999999999996</c:v>
                </c:pt>
                <c:pt idx="11" formatCode="#\ ##0.0">
                  <c:v>-5.26</c:v>
                </c:pt>
                <c:pt idx="12" formatCode="#\ ##0.0">
                  <c:v>-6.1961843930897658</c:v>
                </c:pt>
                <c:pt idx="13" formatCode="#\ ##0.0">
                  <c:v>-41.582504753719945</c:v>
                </c:pt>
                <c:pt idx="14" formatCode="#\ ##0.0">
                  <c:v>-123.9</c:v>
                </c:pt>
                <c:pt idx="15" formatCode="#\ ##0.0">
                  <c:v>-55.306921067390164</c:v>
                </c:pt>
                <c:pt idx="16" formatCode="#\ ##0.0">
                  <c:v>-156.83966401531995</c:v>
                </c:pt>
              </c:numCache>
            </c:numRef>
          </c:val>
          <c:smooth val="0"/>
          <c:extLst>
            <c:ext xmlns:c16="http://schemas.microsoft.com/office/drawing/2014/chart" uri="{C3380CC4-5D6E-409C-BE32-E72D297353CC}">
              <c16:uniqueId val="{00000007-4D14-4E63-BBC7-BB0E894E99EA}"/>
            </c:ext>
          </c:extLst>
        </c:ser>
        <c:dLbls>
          <c:showLegendKey val="0"/>
          <c:showVal val="0"/>
          <c:showCatName val="0"/>
          <c:showSerName val="0"/>
          <c:showPercent val="0"/>
          <c:showBubbleSize val="0"/>
        </c:dLbls>
        <c:marker val="1"/>
        <c:smooth val="0"/>
        <c:axId val="135333760"/>
        <c:axId val="132503808"/>
      </c:lineChart>
      <c:catAx>
        <c:axId val="126424960"/>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32501504"/>
        <c:crosses val="autoZero"/>
        <c:auto val="1"/>
        <c:lblAlgn val="ctr"/>
        <c:lblOffset val="0"/>
        <c:noMultiLvlLbl val="0"/>
      </c:catAx>
      <c:valAx>
        <c:axId val="132501504"/>
        <c:scaling>
          <c:orientation val="minMax"/>
          <c:max val="16"/>
          <c:min val="-28"/>
        </c:scaling>
        <c:delete val="0"/>
        <c:axPos val="l"/>
        <c:majorGridlines>
          <c:spPr>
            <a:ln w="6350">
              <a:solidFill>
                <a:schemeClr val="bg1">
                  <a:lumMod val="75000"/>
                </a:schemeClr>
              </a:solidFill>
            </a:ln>
          </c:spPr>
        </c:majorGridlines>
        <c:title>
          <c:tx>
            <c:rich>
              <a:bodyPr/>
              <a:lstStyle/>
              <a:p>
                <a:pPr>
                  <a:defRPr b="0"/>
                </a:pPr>
                <a:r>
                  <a:rPr lang="cs-CZ" b="0"/>
                  <a:t>Příspěvek k růstu celkových daňových příjmů</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26424960"/>
        <c:crosses val="autoZero"/>
        <c:crossBetween val="between"/>
        <c:majorUnit val="4"/>
      </c:valAx>
      <c:valAx>
        <c:axId val="132503808"/>
        <c:scaling>
          <c:orientation val="minMax"/>
          <c:max val="100"/>
          <c:min val="-175"/>
        </c:scaling>
        <c:delete val="0"/>
        <c:axPos val="r"/>
        <c:title>
          <c:tx>
            <c:rich>
              <a:bodyPr/>
              <a:lstStyle/>
              <a:p>
                <a:pPr>
                  <a:defRPr b="0"/>
                </a:pPr>
                <a:r>
                  <a:rPr lang="cs-CZ" b="0"/>
                  <a:t>Saldo státního rozpočtu</a:t>
                </a:r>
              </a:p>
            </c:rich>
          </c:tx>
          <c:layout>
            <c:manualLayout>
              <c:xMode val="edge"/>
              <c:yMode val="edge"/>
              <c:x val="0.97036646544776561"/>
              <c:y val="0.20963215506367219"/>
            </c:manualLayout>
          </c:layout>
          <c:overlay val="0"/>
        </c:title>
        <c:numFmt formatCode="#,##0" sourceLinked="0"/>
        <c:majorTickMark val="out"/>
        <c:minorTickMark val="none"/>
        <c:tickLblPos val="nextTo"/>
        <c:txPr>
          <a:bodyPr/>
          <a:lstStyle/>
          <a:p>
            <a:pPr>
              <a:defRPr sz="800" b="0" i="0"/>
            </a:pPr>
            <a:endParaRPr lang="cs-CZ"/>
          </a:p>
        </c:txPr>
        <c:crossAx val="135333760"/>
        <c:crosses val="max"/>
        <c:crossBetween val="between"/>
        <c:majorUnit val="25"/>
      </c:valAx>
      <c:catAx>
        <c:axId val="135333760"/>
        <c:scaling>
          <c:orientation val="minMax"/>
        </c:scaling>
        <c:delete val="1"/>
        <c:axPos val="b"/>
        <c:numFmt formatCode="General" sourceLinked="1"/>
        <c:majorTickMark val="out"/>
        <c:minorTickMark val="none"/>
        <c:tickLblPos val="none"/>
        <c:crossAx val="132503808"/>
        <c:crosses val="autoZero"/>
        <c:auto val="1"/>
        <c:lblAlgn val="ctr"/>
        <c:lblOffset val="100"/>
        <c:noMultiLvlLbl val="0"/>
      </c:catAx>
      <c:spPr>
        <a:ln w="6350">
          <a:solidFill>
            <a:schemeClr val="tx1"/>
          </a:solidFill>
        </a:ln>
      </c:spPr>
    </c:plotArea>
    <c:legend>
      <c:legendPos val="b"/>
      <c:layout>
        <c:manualLayout>
          <c:xMode val="edge"/>
          <c:yMode val="edge"/>
          <c:x val="1.8680696009604265E-2"/>
          <c:y val="0.86475571084321989"/>
          <c:w val="0.96198129884874961"/>
          <c:h val="0.1242422828760681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19E-2"/>
          <c:y val="1.7698902479006788E-2"/>
          <c:w val="0.8350684878939636"/>
          <c:h val="0.72436410178900057"/>
        </c:manualLayout>
      </c:layout>
      <c:barChart>
        <c:barDir val="col"/>
        <c:grouping val="clustered"/>
        <c:varyColors val="0"/>
        <c:ser>
          <c:idx val="0"/>
          <c:order val="0"/>
          <c:tx>
            <c:strRef>
              <c:f>'G2-St.rozpočet-výdaje'!$B$30</c:f>
              <c:strCache>
                <c:ptCount val="1"/>
                <c:pt idx="0">
                  <c:v>Běžné výdaje (pravá osa)</c:v>
                </c:pt>
              </c:strCache>
            </c:strRef>
          </c:tx>
          <c:spPr>
            <a:solidFill>
              <a:schemeClr val="bg1">
                <a:lumMod val="95000"/>
              </a:schemeClr>
            </a:solidFill>
            <a:ln w="6350">
              <a:solidFill>
                <a:schemeClr val="bg1">
                  <a:lumMod val="75000"/>
                </a:schemeClr>
              </a:solidFill>
            </a:ln>
          </c:spPr>
          <c:invertIfNegative val="0"/>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'G2-St.rozpočet-výdaje'!$B$33:$B$49</c:f>
              <c:numCache>
                <c:formatCode>0.0</c:formatCode>
                <c:ptCount val="17"/>
                <c:pt idx="0">
                  <c:v>220.65</c:v>
                </c:pt>
                <c:pt idx="1">
                  <c:v>251.64</c:v>
                </c:pt>
                <c:pt idx="2">
                  <c:v>242.03</c:v>
                </c:pt>
                <c:pt idx="3">
                  <c:v>262.01</c:v>
                </c:pt>
                <c:pt idx="4">
                  <c:v>252.45</c:v>
                </c:pt>
                <c:pt idx="5">
                  <c:v>258.94</c:v>
                </c:pt>
                <c:pt idx="6">
                  <c:v>261.20999999999998</c:v>
                </c:pt>
                <c:pt idx="7">
                  <c:v>265.72000000000003</c:v>
                </c:pt>
                <c:pt idx="8">
                  <c:v>274.76</c:v>
                </c:pt>
                <c:pt idx="9">
                  <c:v>278.33</c:v>
                </c:pt>
                <c:pt idx="10">
                  <c:v>296.72000000000003</c:v>
                </c:pt>
                <c:pt idx="11">
                  <c:v>317.70999999999998</c:v>
                </c:pt>
                <c:pt idx="12">
                  <c:v>357.12</c:v>
                </c:pt>
                <c:pt idx="13">
                  <c:v>398.64712341415998</c:v>
                </c:pt>
                <c:pt idx="14">
                  <c:v>441.4270080969801</c:v>
                </c:pt>
                <c:pt idx="15">
                  <c:v>399.41500922346</c:v>
                </c:pt>
                <c:pt idx="16">
                  <c:v>532.61639418920004</c:v>
                </c:pt>
              </c:numCache>
            </c:numRef>
          </c:val>
          <c:extLst>
            <c:ext xmlns:c16="http://schemas.microsoft.com/office/drawing/2014/chart" uri="{C3380CC4-5D6E-409C-BE32-E72D297353CC}">
              <c16:uniqueId val="{00000000-0ABC-483D-A0DC-31956CCF7094}"/>
            </c:ext>
          </c:extLst>
        </c:ser>
        <c:ser>
          <c:idx val="1"/>
          <c:order val="1"/>
          <c:tx>
            <c:strRef>
              <c:f>'G2-St.rozpočet-výdaje'!$C$30</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'G2-St.rozpočet-výdaje'!$C$33:$C$49</c:f>
              <c:numCache>
                <c:formatCode>0.0</c:formatCode>
                <c:ptCount val="17"/>
                <c:pt idx="0">
                  <c:v>71.87</c:v>
                </c:pt>
                <c:pt idx="1">
                  <c:v>75.12</c:v>
                </c:pt>
                <c:pt idx="2">
                  <c:v>82.56</c:v>
                </c:pt>
                <c:pt idx="3">
                  <c:v>86.24</c:v>
                </c:pt>
                <c:pt idx="4">
                  <c:v>91.83</c:v>
                </c:pt>
                <c:pt idx="5">
                  <c:v>93.1</c:v>
                </c:pt>
                <c:pt idx="6">
                  <c:v>89.17</c:v>
                </c:pt>
                <c:pt idx="7">
                  <c:v>88.14</c:v>
                </c:pt>
                <c:pt idx="8">
                  <c:v>90.59</c:v>
                </c:pt>
                <c:pt idx="9">
                  <c:v>97.1</c:v>
                </c:pt>
                <c:pt idx="10">
                  <c:v>102.39</c:v>
                </c:pt>
                <c:pt idx="11">
                  <c:v>107.5</c:v>
                </c:pt>
                <c:pt idx="12">
                  <c:v>116.5</c:v>
                </c:pt>
                <c:pt idx="13">
                  <c:v>126.1</c:v>
                </c:pt>
                <c:pt idx="14">
                  <c:v>134.60955542761999</c:v>
                </c:pt>
                <c:pt idx="15">
                  <c:v>141.89044829648998</c:v>
                </c:pt>
                <c:pt idx="16">
                  <c:v>171.58883652121997</c:v>
                </c:pt>
              </c:numCache>
            </c:numRef>
          </c:val>
          <c:extLst>
            <c:ext xmlns:c16="http://schemas.microsoft.com/office/drawing/2014/chart" uri="{C3380CC4-5D6E-409C-BE32-E72D297353CC}">
              <c16:uniqueId val="{00000001-0ABC-483D-A0DC-31956CCF7094}"/>
            </c:ext>
          </c:extLst>
        </c:ser>
        <c:dLbls>
          <c:showLegendKey val="0"/>
          <c:showVal val="0"/>
          <c:showCatName val="0"/>
          <c:showSerName val="0"/>
          <c:showPercent val="0"/>
          <c:showBubbleSize val="0"/>
        </c:dLbls>
        <c:gapWidth val="85"/>
        <c:overlap val="100"/>
        <c:axId val="72836608"/>
        <c:axId val="72835072"/>
      </c:barChart>
      <c:lineChart>
        <c:grouping val="standard"/>
        <c:varyColors val="0"/>
        <c:ser>
          <c:idx val="6"/>
          <c:order val="2"/>
          <c:tx>
            <c:strRef>
              <c:f>'G2-St.rozpočet-výdaje'!$D$30</c:f>
              <c:strCache>
                <c:ptCount val="1"/>
                <c:pt idx="0">
                  <c:v>Platy a související výdaje*</c:v>
                </c:pt>
              </c:strCache>
            </c:strRef>
          </c:tx>
          <c:spPr>
            <a:ln w="15875">
              <a:solidFill>
                <a:srgbClr val="D5D00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'G2-St.rozpočet-výdaje'!$D$33:$D$49</c:f>
              <c:numCache>
                <c:formatCode>0.0</c:formatCode>
                <c:ptCount val="17"/>
                <c:pt idx="0">
                  <c:v>14.85</c:v>
                </c:pt>
                <c:pt idx="1">
                  <c:v>14.73</c:v>
                </c:pt>
                <c:pt idx="2">
                  <c:v>15.14</c:v>
                </c:pt>
                <c:pt idx="3">
                  <c:v>15.42</c:v>
                </c:pt>
                <c:pt idx="4">
                  <c:v>14.05</c:v>
                </c:pt>
                <c:pt idx="5">
                  <c:v>14.35</c:v>
                </c:pt>
                <c:pt idx="6">
                  <c:v>14.46</c:v>
                </c:pt>
                <c:pt idx="7">
                  <c:v>14.8</c:v>
                </c:pt>
                <c:pt idx="8">
                  <c:v>15.8</c:v>
                </c:pt>
                <c:pt idx="9">
                  <c:v>16.75</c:v>
                </c:pt>
                <c:pt idx="10">
                  <c:v>17.75</c:v>
                </c:pt>
                <c:pt idx="11">
                  <c:v>20.47</c:v>
                </c:pt>
                <c:pt idx="12">
                  <c:v>22.19</c:v>
                </c:pt>
                <c:pt idx="13">
                  <c:v>23.368913903229998</c:v>
                </c:pt>
                <c:pt idx="14">
                  <c:v>23.533468726859997</c:v>
                </c:pt>
                <c:pt idx="15">
                  <c:v>23.433169218610001</c:v>
                </c:pt>
                <c:pt idx="16">
                  <c:v>26.15526399382</c:v>
                </c:pt>
              </c:numCache>
            </c:numRef>
          </c:val>
          <c:smooth val="0"/>
          <c:extLst>
            <c:ext xmlns:c16="http://schemas.microsoft.com/office/drawing/2014/chart" uri="{C3380CC4-5D6E-409C-BE32-E72D297353CC}">
              <c16:uniqueId val="{00000002-0ABC-483D-A0DC-31956CCF7094}"/>
            </c:ext>
          </c:extLst>
        </c:ser>
        <c:ser>
          <c:idx val="7"/>
          <c:order val="3"/>
          <c:tx>
            <c:strRef>
              <c:f>'G2-St.rozpočet-výdaje'!$E$30</c:f>
              <c:strCache>
                <c:ptCount val="1"/>
                <c:pt idx="0">
                  <c:v>Podpora v nezaměstnanosti</c:v>
                </c:pt>
              </c:strCache>
            </c:strRef>
          </c:tx>
          <c:spPr>
            <a:ln w="15875">
              <a:solidFill>
                <a:srgbClr val="0070C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'G2-St.rozpočet-výdaje'!$E$33:$E$49</c:f>
              <c:numCache>
                <c:formatCode>0.0</c:formatCode>
                <c:ptCount val="17"/>
                <c:pt idx="0">
                  <c:v>2.0099999999999998</c:v>
                </c:pt>
                <c:pt idx="1">
                  <c:v>1.87</c:v>
                </c:pt>
                <c:pt idx="2">
                  <c:v>3.07</c:v>
                </c:pt>
                <c:pt idx="3">
                  <c:v>4.21</c:v>
                </c:pt>
                <c:pt idx="4">
                  <c:v>3.62</c:v>
                </c:pt>
                <c:pt idx="5">
                  <c:v>2.63</c:v>
                </c:pt>
                <c:pt idx="6">
                  <c:v>2.82</c:v>
                </c:pt>
                <c:pt idx="7">
                  <c:v>2.86</c:v>
                </c:pt>
                <c:pt idx="8">
                  <c:v>2.56</c:v>
                </c:pt>
                <c:pt idx="9">
                  <c:v>2.4500000000000002</c:v>
                </c:pt>
                <c:pt idx="10">
                  <c:v>2.42</c:v>
                </c:pt>
                <c:pt idx="11">
                  <c:v>2.21</c:v>
                </c:pt>
                <c:pt idx="12">
                  <c:v>2.30140118962</c:v>
                </c:pt>
                <c:pt idx="13">
                  <c:v>2.4618649264500001</c:v>
                </c:pt>
                <c:pt idx="14">
                  <c:v>2.9688356739000001</c:v>
                </c:pt>
                <c:pt idx="15">
                  <c:v>2.7006655894699998</c:v>
                </c:pt>
                <c:pt idx="16">
                  <c:v>2.91771726115</c:v>
                </c:pt>
              </c:numCache>
            </c:numRef>
          </c:val>
          <c:smooth val="0"/>
          <c:extLst>
            <c:ext xmlns:c16="http://schemas.microsoft.com/office/drawing/2014/chart" uri="{C3380CC4-5D6E-409C-BE32-E72D297353CC}">
              <c16:uniqueId val="{00000003-0ABC-483D-A0DC-31956CCF7094}"/>
            </c:ext>
          </c:extLst>
        </c:ser>
        <c:ser>
          <c:idx val="2"/>
          <c:order val="4"/>
          <c:tx>
            <c:strRef>
              <c:f>'G2-St.rozpočet-výdaje'!$F$30</c:f>
              <c:strCache>
                <c:ptCount val="1"/>
                <c:pt idx="0">
                  <c:v>Státní sociální podpora**</c:v>
                </c:pt>
              </c:strCache>
            </c:strRef>
          </c:tx>
          <c:spPr>
            <a:ln w="15875">
              <a:solidFill>
                <a:srgbClr val="00B0F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'G2-St.rozpočet-výdaje'!$F$33:$F$49</c:f>
              <c:numCache>
                <c:formatCode>General</c:formatCode>
                <c:ptCount val="17"/>
                <c:pt idx="0">
                  <c:v>11.18</c:v>
                </c:pt>
                <c:pt idx="1">
                  <c:v>11.07</c:v>
                </c:pt>
                <c:pt idx="2">
                  <c:v>10.199999999999999</c:v>
                </c:pt>
                <c:pt idx="3">
                  <c:v>10.3</c:v>
                </c:pt>
                <c:pt idx="4">
                  <c:v>9.3800000000000008</c:v>
                </c:pt>
                <c:pt idx="5">
                  <c:v>8.89</c:v>
                </c:pt>
                <c:pt idx="6">
                  <c:v>9.2200000000000006</c:v>
                </c:pt>
                <c:pt idx="7">
                  <c:v>9.3699999999999992</c:v>
                </c:pt>
                <c:pt idx="8">
                  <c:v>9.33</c:v>
                </c:pt>
                <c:pt idx="9">
                  <c:v>9.3800000000000008</c:v>
                </c:pt>
                <c:pt idx="10">
                  <c:v>9.2899999999999991</c:v>
                </c:pt>
                <c:pt idx="11">
                  <c:v>9.48</c:v>
                </c:pt>
                <c:pt idx="12" formatCode="0.00">
                  <c:v>9.5169305102399999</c:v>
                </c:pt>
                <c:pt idx="13">
                  <c:v>11.83410995721</c:v>
                </c:pt>
                <c:pt idx="14" formatCode="0.00">
                  <c:v>12.157197793090001</c:v>
                </c:pt>
                <c:pt idx="15" formatCode="0.00">
                  <c:v>11.86611055124</c:v>
                </c:pt>
                <c:pt idx="16" formatCode="0.00">
                  <c:v>14.60713742043</c:v>
                </c:pt>
              </c:numCache>
            </c:numRef>
          </c:val>
          <c:smooth val="0"/>
          <c:extLst>
            <c:ext xmlns:c16="http://schemas.microsoft.com/office/drawing/2014/chart" uri="{C3380CC4-5D6E-409C-BE32-E72D297353CC}">
              <c16:uniqueId val="{00000004-0ABC-483D-A0DC-31956CCF7094}"/>
            </c:ext>
          </c:extLst>
        </c:ser>
        <c:ser>
          <c:idx val="3"/>
          <c:order val="5"/>
          <c:tx>
            <c:strRef>
              <c:f>'G2-St.rozpočet-výdaje'!$G$30</c:f>
              <c:strCache>
                <c:ptCount val="1"/>
                <c:pt idx="0">
                  <c:v>Dávky nemocenského pojištění</c:v>
                </c:pt>
              </c:strCache>
            </c:strRef>
          </c:tx>
          <c:spPr>
            <a:ln w="15875">
              <a:solidFill>
                <a:srgbClr val="7030A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'G2-St.rozpočet-výdaje'!$G$33:$G$49</c:f>
              <c:numCache>
                <c:formatCode>0.00</c:formatCode>
                <c:ptCount val="17"/>
                <c:pt idx="0">
                  <c:v>9.6080000000000005</c:v>
                </c:pt>
                <c:pt idx="1">
                  <c:v>9.09</c:v>
                </c:pt>
                <c:pt idx="2">
                  <c:v>7.27</c:v>
                </c:pt>
                <c:pt idx="3">
                  <c:v>6.07</c:v>
                </c:pt>
                <c:pt idx="4">
                  <c:v>6.07</c:v>
                </c:pt>
                <c:pt idx="5">
                  <c:v>5.21</c:v>
                </c:pt>
                <c:pt idx="6">
                  <c:v>5.3</c:v>
                </c:pt>
                <c:pt idx="7">
                  <c:v>5.47</c:v>
                </c:pt>
                <c:pt idx="8">
                  <c:v>6.21</c:v>
                </c:pt>
                <c:pt idx="9">
                  <c:v>6.67</c:v>
                </c:pt>
                <c:pt idx="10">
                  <c:v>7.47</c:v>
                </c:pt>
                <c:pt idx="11">
                  <c:v>8.2899999999999991</c:v>
                </c:pt>
                <c:pt idx="12">
                  <c:v>9.92</c:v>
                </c:pt>
                <c:pt idx="13">
                  <c:v>10.97</c:v>
                </c:pt>
                <c:pt idx="14">
                  <c:v>13.3</c:v>
                </c:pt>
                <c:pt idx="15">
                  <c:v>13.36</c:v>
                </c:pt>
                <c:pt idx="16">
                  <c:v>12.6</c:v>
                </c:pt>
              </c:numCache>
            </c:numRef>
          </c:val>
          <c:smooth val="0"/>
          <c:extLst>
            <c:ext xmlns:c16="http://schemas.microsoft.com/office/drawing/2014/chart" uri="{C3380CC4-5D6E-409C-BE32-E72D297353CC}">
              <c16:uniqueId val="{00000005-0ABC-483D-A0DC-31956CCF7094}"/>
            </c:ext>
          </c:extLst>
        </c:ser>
        <c:ser>
          <c:idx val="4"/>
          <c:order val="6"/>
          <c:tx>
            <c:strRef>
              <c:f>'G2-St.rozpočet-výdaje'!$H$30</c:f>
              <c:strCache>
                <c:ptCount val="1"/>
                <c:pt idx="0">
                  <c:v>Dávky sociální péče***</c:v>
                </c:pt>
              </c:strCache>
            </c:strRef>
          </c:tx>
          <c:spPr>
            <a:ln w="15875">
              <a:solidFill>
                <a:srgbClr val="00B050"/>
              </a:solidFill>
              <a:prstDash val="solid"/>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'G2-St.rozpočet-výdaje'!$H$33:$H$49</c:f>
              <c:numCache>
                <c:formatCode>0.00</c:formatCode>
                <c:ptCount val="17"/>
                <c:pt idx="0">
                  <c:v>8.8000000000000007</c:v>
                </c:pt>
                <c:pt idx="1">
                  <c:v>7.8000000000000007</c:v>
                </c:pt>
                <c:pt idx="2">
                  <c:v>7.1</c:v>
                </c:pt>
                <c:pt idx="3">
                  <c:v>7.1999999999999993</c:v>
                </c:pt>
                <c:pt idx="4">
                  <c:v>6.68</c:v>
                </c:pt>
                <c:pt idx="5">
                  <c:v>6.37</c:v>
                </c:pt>
                <c:pt idx="6">
                  <c:v>7.64</c:v>
                </c:pt>
                <c:pt idx="7">
                  <c:v>8.2100000000000009</c:v>
                </c:pt>
                <c:pt idx="8">
                  <c:v>8.44</c:v>
                </c:pt>
                <c:pt idx="9">
                  <c:v>8.34</c:v>
                </c:pt>
                <c:pt idx="10">
                  <c:v>8.85</c:v>
                </c:pt>
                <c:pt idx="11">
                  <c:v>8.48</c:v>
                </c:pt>
                <c:pt idx="12">
                  <c:v>8.3800000000000008</c:v>
                </c:pt>
                <c:pt idx="13">
                  <c:v>9.91</c:v>
                </c:pt>
                <c:pt idx="14">
                  <c:v>10.199999999999999</c:v>
                </c:pt>
                <c:pt idx="15">
                  <c:v>11.6</c:v>
                </c:pt>
                <c:pt idx="16">
                  <c:v>13.8</c:v>
                </c:pt>
              </c:numCache>
            </c:numRef>
          </c:val>
          <c:smooth val="0"/>
          <c:extLst>
            <c:ext xmlns:c16="http://schemas.microsoft.com/office/drawing/2014/chart" uri="{C3380CC4-5D6E-409C-BE32-E72D297353CC}">
              <c16:uniqueId val="{00000006-0ABC-483D-A0DC-31956CCF7094}"/>
            </c:ext>
          </c:extLst>
        </c:ser>
        <c:ser>
          <c:idx val="5"/>
          <c:order val="7"/>
          <c:tx>
            <c:strRef>
              <c:f>'G2-St.rozpočet-výdaje'!$I$30</c:f>
              <c:strCache>
                <c:ptCount val="1"/>
                <c:pt idx="0">
                  <c:v>Neinv. nákupy a souvis.výdaje****</c:v>
                </c:pt>
              </c:strCache>
            </c:strRef>
          </c:tx>
          <c:spPr>
            <a:ln w="15875">
              <a:solidFill>
                <a:schemeClr val="bg2">
                  <a:lumMod val="25000"/>
                </a:schemeClr>
              </a:solidFill>
              <a:prstDash val="sysDash"/>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'G2-St.rozpočet-výdaje'!$I$33:$I$49</c:f>
              <c:numCache>
                <c:formatCode>General</c:formatCode>
                <c:ptCount val="17"/>
                <c:pt idx="5" formatCode="0.0">
                  <c:v>14.04</c:v>
                </c:pt>
                <c:pt idx="6" formatCode="0.0">
                  <c:v>11.8</c:v>
                </c:pt>
                <c:pt idx="7" formatCode="0.0">
                  <c:v>10.3</c:v>
                </c:pt>
                <c:pt idx="8" formatCode="0.0">
                  <c:v>12.43</c:v>
                </c:pt>
                <c:pt idx="9" formatCode="0.0">
                  <c:v>11.780000000000001</c:v>
                </c:pt>
                <c:pt idx="10" formatCode="0.0">
                  <c:v>14.34</c:v>
                </c:pt>
                <c:pt idx="11" formatCode="0.0">
                  <c:v>15.51</c:v>
                </c:pt>
                <c:pt idx="12" formatCode="0.0">
                  <c:v>13.6</c:v>
                </c:pt>
                <c:pt idx="13" formatCode="0.0">
                  <c:v>18.412898374919997</c:v>
                </c:pt>
                <c:pt idx="14" formatCode="0.0">
                  <c:v>13.877945219839999</c:v>
                </c:pt>
                <c:pt idx="15" formatCode="0.0">
                  <c:v>15.432360398750003</c:v>
                </c:pt>
                <c:pt idx="16" formatCode="0.0">
                  <c:v>15.340967130380001</c:v>
                </c:pt>
              </c:numCache>
            </c:numRef>
          </c:val>
          <c:smooth val="0"/>
          <c:extLst>
            <c:ext xmlns:c16="http://schemas.microsoft.com/office/drawing/2014/chart" uri="{C3380CC4-5D6E-409C-BE32-E72D297353CC}">
              <c16:uniqueId val="{00000007-0ABC-483D-A0DC-31956CCF7094}"/>
            </c:ext>
          </c:extLst>
        </c:ser>
        <c:ser>
          <c:idx val="9"/>
          <c:order val="8"/>
          <c:tx>
            <c:strRef>
              <c:f>'G2-St.rozpočet-výdaje'!$J$30</c:f>
              <c:strCache>
                <c:ptCount val="1"/>
                <c:pt idx="0">
                  <c:v>Neinvestič. transfery podnikatelům</c:v>
                </c:pt>
              </c:strCache>
            </c:strRef>
          </c:tx>
          <c:spPr>
            <a:ln w="3175">
              <a:solidFill>
                <a:srgbClr val="996633"/>
              </a:solidFill>
              <a:prstDash val="dash"/>
            </a:ln>
          </c:spPr>
          <c:marker>
            <c:symbol val="square"/>
            <c:size val="5"/>
            <c:spPr>
              <a:solidFill>
                <a:schemeClr val="bg1"/>
              </a:solidFill>
              <a:ln>
                <a:solidFill>
                  <a:srgbClr val="996633"/>
                </a:solidFill>
              </a:ln>
            </c:spPr>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'G2-St.rozpočet-výdaje'!$J$33:$J$49</c:f>
              <c:numCache>
                <c:formatCode>General</c:formatCode>
                <c:ptCount val="17"/>
                <c:pt idx="5" formatCode="0.0">
                  <c:v>8.6300000000000008</c:v>
                </c:pt>
                <c:pt idx="6" formatCode="0.0">
                  <c:v>7.93</c:v>
                </c:pt>
                <c:pt idx="7" formatCode="0.0">
                  <c:v>9.3800000000000008</c:v>
                </c:pt>
                <c:pt idx="8" formatCode="0.0">
                  <c:v>10.44</c:v>
                </c:pt>
                <c:pt idx="9" formatCode="0.0">
                  <c:v>9.8800000000000008</c:v>
                </c:pt>
                <c:pt idx="10" formatCode="0.0">
                  <c:v>13.31</c:v>
                </c:pt>
                <c:pt idx="11" formatCode="0.0">
                  <c:v>11.74</c:v>
                </c:pt>
                <c:pt idx="12" formatCode="0.0">
                  <c:v>15.29</c:v>
                </c:pt>
                <c:pt idx="13" formatCode="0.0">
                  <c:v>15.09</c:v>
                </c:pt>
                <c:pt idx="14" formatCode="0.0">
                  <c:v>38.603799745229999</c:v>
                </c:pt>
                <c:pt idx="15" formatCode="0.0">
                  <c:v>13.316887891789998</c:v>
                </c:pt>
                <c:pt idx="16" formatCode="0.0">
                  <c:v>44.218095457190003</c:v>
                </c:pt>
              </c:numCache>
            </c:numRef>
          </c:val>
          <c:smooth val="0"/>
          <c:extLst>
            <c:ext xmlns:c16="http://schemas.microsoft.com/office/drawing/2014/chart" uri="{C3380CC4-5D6E-409C-BE32-E72D297353CC}">
              <c16:uniqueId val="{00000008-0ABC-483D-A0DC-31956CCF7094}"/>
            </c:ext>
          </c:extLst>
        </c:ser>
        <c:ser>
          <c:idx val="8"/>
          <c:order val="9"/>
          <c:tx>
            <c:strRef>
              <c:f>'G2-St.rozpočet-výdaje'!$K$30</c:f>
              <c:strCache>
                <c:ptCount val="1"/>
                <c:pt idx="0">
                  <c:v>Kapitálové výdaje</c:v>
                </c:pt>
              </c:strCache>
            </c:strRef>
          </c:tx>
          <c:spPr>
            <a:ln w="6350">
              <a:solidFill>
                <a:schemeClr val="accent6">
                  <a:lumMod val="75000"/>
                </a:schemeClr>
              </a:solidFill>
              <a:prstDash val="sysDot"/>
            </a:ln>
          </c:spPr>
          <c:marker>
            <c:symbol val="circle"/>
            <c:size val="4"/>
            <c:spPr>
              <a:solidFill>
                <a:schemeClr val="accent6">
                  <a:lumMod val="75000"/>
                </a:schemeClr>
              </a:solidFill>
              <a:ln>
                <a:noFill/>
              </a:ln>
            </c:spPr>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'G2-St.rozpočet-výdaje'!$K$33:$K$49</c:f>
              <c:numCache>
                <c:formatCode>0.0</c:formatCode>
                <c:ptCount val="17"/>
                <c:pt idx="0">
                  <c:v>10.07</c:v>
                </c:pt>
                <c:pt idx="1">
                  <c:v>31.85</c:v>
                </c:pt>
                <c:pt idx="2">
                  <c:v>31.88</c:v>
                </c:pt>
                <c:pt idx="3">
                  <c:v>33.1</c:v>
                </c:pt>
                <c:pt idx="4">
                  <c:v>26.12</c:v>
                </c:pt>
                <c:pt idx="5">
                  <c:v>22.19</c:v>
                </c:pt>
                <c:pt idx="6">
                  <c:v>17.690000000000001</c:v>
                </c:pt>
                <c:pt idx="7">
                  <c:v>14.93</c:v>
                </c:pt>
                <c:pt idx="8">
                  <c:v>19.78</c:v>
                </c:pt>
                <c:pt idx="9">
                  <c:v>20.02</c:v>
                </c:pt>
                <c:pt idx="10">
                  <c:v>6.27</c:v>
                </c:pt>
                <c:pt idx="11">
                  <c:v>11.73</c:v>
                </c:pt>
                <c:pt idx="12">
                  <c:v>16.43</c:v>
                </c:pt>
                <c:pt idx="13">
                  <c:v>23.367157547710001</c:v>
                </c:pt>
                <c:pt idx="14">
                  <c:v>23.477695399889999</c:v>
                </c:pt>
                <c:pt idx="15">
                  <c:v>15.96759917888</c:v>
                </c:pt>
                <c:pt idx="16">
                  <c:v>36.053253358629995</c:v>
                </c:pt>
              </c:numCache>
            </c:numRef>
          </c:val>
          <c:smooth val="0"/>
          <c:extLst>
            <c:ext xmlns:c16="http://schemas.microsoft.com/office/drawing/2014/chart" uri="{C3380CC4-5D6E-409C-BE32-E72D297353CC}">
              <c16:uniqueId val="{00000009-0ABC-483D-A0DC-31956CCF7094}"/>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0"/>
        <c:noMultiLvlLbl val="0"/>
      </c:catAx>
      <c:valAx>
        <c:axId val="72829184"/>
        <c:scaling>
          <c:orientation val="minMax"/>
          <c:max val="45"/>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540"/>
          <c:min val="0"/>
        </c:scaling>
        <c:delete val="0"/>
        <c:axPos val="r"/>
        <c:title>
          <c:tx>
            <c:rich>
              <a:bodyPr/>
              <a:lstStyle/>
              <a:p>
                <a:pPr>
                  <a:defRPr sz="700" b="0" i="1"/>
                </a:pPr>
                <a:r>
                  <a:rPr lang="cs-CZ" sz="700" b="0" i="1"/>
                  <a:t>Běžné výdaje celkem, důchody</a:t>
                </a:r>
              </a:p>
            </c:rich>
          </c:tx>
          <c:layout>
            <c:manualLayout>
              <c:xMode val="edge"/>
              <c:yMode val="edge"/>
              <c:x val="0.96904913646362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6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6.8616098225395744E-2"/>
          <c:y val="0.82695584929121102"/>
          <c:w val="0.86570778018899663"/>
          <c:h val="0.1658548997830193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4873803917764E-2"/>
          <c:y val="2.3228803716608595E-2"/>
          <c:w val="0.86602734062835873"/>
          <c:h val="0.79493707898225663"/>
        </c:manualLayout>
      </c:layout>
      <c:barChart>
        <c:barDir val="col"/>
        <c:grouping val="clustered"/>
        <c:varyColors val="0"/>
        <c:ser>
          <c:idx val="0"/>
          <c:order val="0"/>
          <c:tx>
            <c:strRef>
              <c:f>'G3-Sektor vlád.institucí'!$A$41</c:f>
              <c:strCache>
                <c:ptCount val="1"/>
                <c:pt idx="0">
                  <c:v>Saldo hospodaření (EU27)</c:v>
                </c:pt>
              </c:strCache>
            </c:strRef>
          </c:tx>
          <c:spPr>
            <a:solidFill>
              <a:srgbClr val="00B0F0"/>
            </a:solidFill>
            <a:ln w="19050">
              <a:noFill/>
            </a:ln>
            <a:effectLst/>
          </c:spPr>
          <c:invertIfNegative val="0"/>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vlád.institucí'!$B$41:$S$41</c:f>
              <c:numCache>
                <c:formatCode>0.0</c:formatCode>
                <c:ptCount val="18"/>
                <c:pt idx="0">
                  <c:v>-2.2999999999999998</c:v>
                </c:pt>
                <c:pt idx="1">
                  <c:v>-1.4</c:v>
                </c:pt>
                <c:pt idx="2">
                  <c:v>-0.5</c:v>
                </c:pt>
                <c:pt idx="3">
                  <c:v>-2</c:v>
                </c:pt>
                <c:pt idx="4">
                  <c:v>-6</c:v>
                </c:pt>
                <c:pt idx="5">
                  <c:v>-6</c:v>
                </c:pt>
                <c:pt idx="6">
                  <c:v>-4.0999999999999996</c:v>
                </c:pt>
                <c:pt idx="7">
                  <c:v>-3.7</c:v>
                </c:pt>
                <c:pt idx="8">
                  <c:v>-3</c:v>
                </c:pt>
                <c:pt idx="9">
                  <c:v>-2.4</c:v>
                </c:pt>
                <c:pt idx="10">
                  <c:v>-1.9</c:v>
                </c:pt>
                <c:pt idx="11">
                  <c:v>-1.4</c:v>
                </c:pt>
                <c:pt idx="12">
                  <c:v>-0.8</c:v>
                </c:pt>
                <c:pt idx="13">
                  <c:v>-0.4</c:v>
                </c:pt>
                <c:pt idx="14">
                  <c:v>-0.5</c:v>
                </c:pt>
                <c:pt idx="15">
                  <c:v>-6.7</c:v>
                </c:pt>
                <c:pt idx="16">
                  <c:v>-4.8</c:v>
                </c:pt>
                <c:pt idx="17">
                  <c:v>-3.4</c:v>
                </c:pt>
              </c:numCache>
            </c:numRef>
          </c:val>
          <c:extLst>
            <c:ext xmlns:c16="http://schemas.microsoft.com/office/drawing/2014/chart" uri="{C3380CC4-5D6E-409C-BE32-E72D297353CC}">
              <c16:uniqueId val="{00000000-574E-4405-AE45-D197E2FFBF16}"/>
            </c:ext>
          </c:extLst>
        </c:ser>
        <c:ser>
          <c:idx val="1"/>
          <c:order val="1"/>
          <c:tx>
            <c:strRef>
              <c:f>'G3-Sektor vlád.institucí'!$A$42</c:f>
              <c:strCache>
                <c:ptCount val="1"/>
                <c:pt idx="0">
                  <c:v>Saldo hospodaření (eurozóna19)</c:v>
                </c:pt>
              </c:strCache>
            </c:strRef>
          </c:tx>
          <c:spPr>
            <a:solidFill>
              <a:schemeClr val="accent5">
                <a:lumMod val="60000"/>
                <a:lumOff val="40000"/>
              </a:schemeClr>
            </a:solidFill>
            <a:ln w="19050">
              <a:noFill/>
            </a:ln>
            <a:effectLst/>
          </c:spPr>
          <c:invertIfNegative val="0"/>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vlád.institucí'!$B$42:$S$42</c:f>
              <c:numCache>
                <c:formatCode>0.0</c:formatCode>
                <c:ptCount val="18"/>
                <c:pt idx="0">
                  <c:v>-2.6</c:v>
                </c:pt>
                <c:pt idx="1">
                  <c:v>-1.5</c:v>
                </c:pt>
                <c:pt idx="2">
                  <c:v>-0.6</c:v>
                </c:pt>
                <c:pt idx="3">
                  <c:v>-2.2000000000000002</c:v>
                </c:pt>
                <c:pt idx="4">
                  <c:v>-6.2</c:v>
                </c:pt>
                <c:pt idx="5">
                  <c:v>-6.3</c:v>
                </c:pt>
                <c:pt idx="6">
                  <c:v>-4.2</c:v>
                </c:pt>
                <c:pt idx="7">
                  <c:v>-3.8</c:v>
                </c:pt>
                <c:pt idx="8">
                  <c:v>-3.1</c:v>
                </c:pt>
                <c:pt idx="9">
                  <c:v>-2.5</c:v>
                </c:pt>
                <c:pt idx="10">
                  <c:v>-2</c:v>
                </c:pt>
                <c:pt idx="11">
                  <c:v>-1.5</c:v>
                </c:pt>
                <c:pt idx="12">
                  <c:v>-0.9</c:v>
                </c:pt>
                <c:pt idx="13">
                  <c:v>-0.4</c:v>
                </c:pt>
                <c:pt idx="14">
                  <c:v>-0.6</c:v>
                </c:pt>
                <c:pt idx="15">
                  <c:v>-7.1</c:v>
                </c:pt>
                <c:pt idx="16">
                  <c:v>-5.3</c:v>
                </c:pt>
                <c:pt idx="17">
                  <c:v>-3.6</c:v>
                </c:pt>
              </c:numCache>
            </c:numRef>
          </c:val>
          <c:extLst>
            <c:ext xmlns:c16="http://schemas.microsoft.com/office/drawing/2014/chart" uri="{C3380CC4-5D6E-409C-BE32-E72D297353CC}">
              <c16:uniqueId val="{00000001-574E-4405-AE45-D197E2FFBF16}"/>
            </c:ext>
          </c:extLst>
        </c:ser>
        <c:ser>
          <c:idx val="2"/>
          <c:order val="2"/>
          <c:tx>
            <c:strRef>
              <c:f>'G3-Sektor vlád.institucí'!$A$43</c:f>
              <c:strCache>
                <c:ptCount val="1"/>
                <c:pt idx="0">
                  <c:v>Saldo hospodaření (Česko)</c:v>
                </c:pt>
              </c:strCache>
            </c:strRef>
          </c:tx>
          <c:spPr>
            <a:solidFill>
              <a:schemeClr val="accent6">
                <a:lumMod val="60000"/>
                <a:lumOff val="40000"/>
              </a:schemeClr>
            </a:solidFill>
            <a:ln w="19050">
              <a:noFill/>
            </a:ln>
            <a:effectLst/>
          </c:spPr>
          <c:invertIfNegative val="0"/>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vlád.institucí'!$B$43:$S$43</c:f>
              <c:numCache>
                <c:formatCode>0.0</c:formatCode>
                <c:ptCount val="18"/>
                <c:pt idx="0">
                  <c:v>-3</c:v>
                </c:pt>
                <c:pt idx="1">
                  <c:v>-2.2000000000000002</c:v>
                </c:pt>
                <c:pt idx="2">
                  <c:v>-0.6</c:v>
                </c:pt>
                <c:pt idx="3">
                  <c:v>-2</c:v>
                </c:pt>
                <c:pt idx="4">
                  <c:v>-5.4</c:v>
                </c:pt>
                <c:pt idx="5">
                  <c:v>-4.2</c:v>
                </c:pt>
                <c:pt idx="6">
                  <c:v>-2.7</c:v>
                </c:pt>
                <c:pt idx="7">
                  <c:v>-3.9</c:v>
                </c:pt>
                <c:pt idx="8">
                  <c:v>-1.3</c:v>
                </c:pt>
                <c:pt idx="9">
                  <c:v>-2.1</c:v>
                </c:pt>
                <c:pt idx="10">
                  <c:v>-0.6</c:v>
                </c:pt>
                <c:pt idx="11">
                  <c:v>0.7</c:v>
                </c:pt>
                <c:pt idx="12">
                  <c:v>1.5</c:v>
                </c:pt>
                <c:pt idx="13">
                  <c:v>0.9</c:v>
                </c:pt>
                <c:pt idx="14">
                  <c:v>0.3</c:v>
                </c:pt>
                <c:pt idx="15">
                  <c:v>-5.8</c:v>
                </c:pt>
                <c:pt idx="16">
                  <c:v>-5.0999999999999996</c:v>
                </c:pt>
                <c:pt idx="17">
                  <c:v>-3.6</c:v>
                </c:pt>
              </c:numCache>
            </c:numRef>
          </c:val>
          <c:extLst>
            <c:ext xmlns:c16="http://schemas.microsoft.com/office/drawing/2014/chart" uri="{C3380CC4-5D6E-409C-BE32-E72D297353CC}">
              <c16:uniqueId val="{00000002-574E-4405-AE45-D197E2FFBF16}"/>
            </c:ext>
          </c:extLst>
        </c:ser>
        <c:dLbls>
          <c:showLegendKey val="0"/>
          <c:showVal val="0"/>
          <c:showCatName val="0"/>
          <c:showSerName val="0"/>
          <c:showPercent val="0"/>
          <c:showBubbleSize val="0"/>
        </c:dLbls>
        <c:gapWidth val="150"/>
        <c:axId val="1037159056"/>
        <c:axId val="1037161968"/>
      </c:barChart>
      <c:lineChart>
        <c:grouping val="standard"/>
        <c:varyColors val="0"/>
        <c:ser>
          <c:idx val="4"/>
          <c:order val="3"/>
          <c:tx>
            <c:strRef>
              <c:f>'G3-Sektor vlád.institucí'!$A$44</c:f>
              <c:strCache>
                <c:ptCount val="1"/>
                <c:pt idx="0">
                  <c:v>Dluh (EU27)</c:v>
                </c:pt>
              </c:strCache>
            </c:strRef>
          </c:tx>
          <c:spPr>
            <a:ln w="19050" cap="rnd">
              <a:solidFill>
                <a:srgbClr val="00B0F0"/>
              </a:solidFill>
              <a:round/>
            </a:ln>
            <a:effectLst/>
          </c:spPr>
          <c:marker>
            <c:symbol val="none"/>
          </c:marker>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vlád.institucí'!$B$44:$S$44</c:f>
              <c:numCache>
                <c:formatCode>0.0</c:formatCode>
                <c:ptCount val="18"/>
                <c:pt idx="0">
                  <c:v>67.099999999999994</c:v>
                </c:pt>
                <c:pt idx="1">
                  <c:v>65</c:v>
                </c:pt>
                <c:pt idx="2">
                  <c:v>62.3</c:v>
                </c:pt>
                <c:pt idx="3">
                  <c:v>65</c:v>
                </c:pt>
                <c:pt idx="4">
                  <c:v>75.7</c:v>
                </c:pt>
                <c:pt idx="5">
                  <c:v>80.400000000000006</c:v>
                </c:pt>
                <c:pt idx="6">
                  <c:v>81.8</c:v>
                </c:pt>
                <c:pt idx="7">
                  <c:v>85</c:v>
                </c:pt>
                <c:pt idx="8">
                  <c:v>86.8</c:v>
                </c:pt>
                <c:pt idx="9">
                  <c:v>86.9</c:v>
                </c:pt>
                <c:pt idx="10">
                  <c:v>85.1</c:v>
                </c:pt>
                <c:pt idx="11">
                  <c:v>84.3</c:v>
                </c:pt>
                <c:pt idx="12">
                  <c:v>81.900000000000006</c:v>
                </c:pt>
                <c:pt idx="13">
                  <c:v>79.8</c:v>
                </c:pt>
                <c:pt idx="14">
                  <c:v>77.7</c:v>
                </c:pt>
                <c:pt idx="15">
                  <c:v>90</c:v>
                </c:pt>
                <c:pt idx="16">
                  <c:v>88</c:v>
                </c:pt>
                <c:pt idx="17">
                  <c:v>84</c:v>
                </c:pt>
              </c:numCache>
            </c:numRef>
          </c:val>
          <c:smooth val="0"/>
          <c:extLst>
            <c:ext xmlns:c16="http://schemas.microsoft.com/office/drawing/2014/chart" uri="{C3380CC4-5D6E-409C-BE32-E72D297353CC}">
              <c16:uniqueId val="{00000003-574E-4405-AE45-D197E2FFBF16}"/>
            </c:ext>
          </c:extLst>
        </c:ser>
        <c:ser>
          <c:idx val="5"/>
          <c:order val="4"/>
          <c:tx>
            <c:strRef>
              <c:f>'G3-Sektor vlád.institucí'!$A$45</c:f>
              <c:strCache>
                <c:ptCount val="1"/>
                <c:pt idx="0">
                  <c:v>Dluh (eurozóna19)</c:v>
                </c:pt>
              </c:strCache>
            </c:strRef>
          </c:tx>
          <c:spPr>
            <a:ln w="19050" cap="rnd">
              <a:solidFill>
                <a:srgbClr val="70BDD2"/>
              </a:solidFill>
              <a:prstDash val="sysDash"/>
              <a:round/>
            </a:ln>
            <a:effectLst/>
          </c:spPr>
          <c:marker>
            <c:symbol val="none"/>
          </c:marker>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vlád.institucí'!$B$45:$S$45</c:f>
              <c:numCache>
                <c:formatCode>0.0</c:formatCode>
                <c:ptCount val="18"/>
                <c:pt idx="0">
                  <c:v>70.400000000000006</c:v>
                </c:pt>
                <c:pt idx="1">
                  <c:v>68.400000000000006</c:v>
                </c:pt>
                <c:pt idx="2">
                  <c:v>66</c:v>
                </c:pt>
                <c:pt idx="3">
                  <c:v>69.7</c:v>
                </c:pt>
                <c:pt idx="4">
                  <c:v>80.3</c:v>
                </c:pt>
                <c:pt idx="5">
                  <c:v>85.7</c:v>
                </c:pt>
                <c:pt idx="6">
                  <c:v>87.6</c:v>
                </c:pt>
                <c:pt idx="7">
                  <c:v>91.1</c:v>
                </c:pt>
                <c:pt idx="8">
                  <c:v>93</c:v>
                </c:pt>
                <c:pt idx="9">
                  <c:v>93.2</c:v>
                </c:pt>
                <c:pt idx="10">
                  <c:v>91.3</c:v>
                </c:pt>
                <c:pt idx="11">
                  <c:v>90.5</c:v>
                </c:pt>
                <c:pt idx="12">
                  <c:v>88.1</c:v>
                </c:pt>
                <c:pt idx="13">
                  <c:v>86.1</c:v>
                </c:pt>
                <c:pt idx="14">
                  <c:v>84.1</c:v>
                </c:pt>
                <c:pt idx="15">
                  <c:v>97.2</c:v>
                </c:pt>
                <c:pt idx="16">
                  <c:v>95.5</c:v>
                </c:pt>
                <c:pt idx="17">
                  <c:v>91.6</c:v>
                </c:pt>
              </c:numCache>
            </c:numRef>
          </c:val>
          <c:smooth val="0"/>
          <c:extLst>
            <c:ext xmlns:c16="http://schemas.microsoft.com/office/drawing/2014/chart" uri="{C3380CC4-5D6E-409C-BE32-E72D297353CC}">
              <c16:uniqueId val="{00000004-574E-4405-AE45-D197E2FFBF16}"/>
            </c:ext>
          </c:extLst>
        </c:ser>
        <c:ser>
          <c:idx val="6"/>
          <c:order val="5"/>
          <c:tx>
            <c:strRef>
              <c:f>'G3-Sektor vlád.institucí'!$A$46</c:f>
              <c:strCache>
                <c:ptCount val="1"/>
                <c:pt idx="0">
                  <c:v>Dluh (Česko)</c:v>
                </c:pt>
              </c:strCache>
            </c:strRef>
          </c:tx>
          <c:spPr>
            <a:ln w="19050" cap="rnd">
              <a:solidFill>
                <a:schemeClr val="accent6">
                  <a:lumMod val="75000"/>
                </a:schemeClr>
              </a:solidFill>
              <a:prstDash val="solid"/>
              <a:round/>
            </a:ln>
            <a:effectLst/>
          </c:spPr>
          <c:marker>
            <c:symbol val="none"/>
          </c:marker>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vlád.institucí'!$B$46:$S$46</c:f>
              <c:numCache>
                <c:formatCode>0.0</c:formatCode>
                <c:ptCount val="18"/>
                <c:pt idx="0">
                  <c:v>27.7</c:v>
                </c:pt>
                <c:pt idx="1">
                  <c:v>27.6</c:v>
                </c:pt>
                <c:pt idx="2">
                  <c:v>27.3</c:v>
                </c:pt>
                <c:pt idx="3">
                  <c:v>28.1</c:v>
                </c:pt>
                <c:pt idx="4">
                  <c:v>33.4</c:v>
                </c:pt>
                <c:pt idx="5">
                  <c:v>37.1</c:v>
                </c:pt>
                <c:pt idx="6">
                  <c:v>39.700000000000003</c:v>
                </c:pt>
                <c:pt idx="7">
                  <c:v>44.2</c:v>
                </c:pt>
                <c:pt idx="8">
                  <c:v>44.4</c:v>
                </c:pt>
                <c:pt idx="9">
                  <c:v>41.9</c:v>
                </c:pt>
                <c:pt idx="10">
                  <c:v>39.700000000000003</c:v>
                </c:pt>
                <c:pt idx="11">
                  <c:v>36.6</c:v>
                </c:pt>
                <c:pt idx="12">
                  <c:v>34.200000000000003</c:v>
                </c:pt>
                <c:pt idx="13">
                  <c:v>32.1</c:v>
                </c:pt>
                <c:pt idx="14">
                  <c:v>30</c:v>
                </c:pt>
                <c:pt idx="15">
                  <c:v>37.700000000000003</c:v>
                </c:pt>
                <c:pt idx="16">
                  <c:v>42</c:v>
                </c:pt>
                <c:pt idx="17">
                  <c:v>44.1</c:v>
                </c:pt>
              </c:numCache>
            </c:numRef>
          </c:val>
          <c:smooth val="0"/>
          <c:extLst>
            <c:ext xmlns:c16="http://schemas.microsoft.com/office/drawing/2014/chart" uri="{C3380CC4-5D6E-409C-BE32-E72D297353CC}">
              <c16:uniqueId val="{00000005-574E-4405-AE45-D197E2FFBF16}"/>
            </c:ext>
          </c:extLst>
        </c:ser>
        <c:dLbls>
          <c:showLegendKey val="0"/>
          <c:showVal val="0"/>
          <c:showCatName val="0"/>
          <c:showSerName val="0"/>
          <c:showPercent val="0"/>
          <c:showBubbleSize val="0"/>
        </c:dLbls>
        <c:marker val="1"/>
        <c:smooth val="0"/>
        <c:axId val="1205690096"/>
        <c:axId val="1205690928"/>
      </c:lineChart>
      <c:catAx>
        <c:axId val="1037159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7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037161968"/>
        <c:crosses val="autoZero"/>
        <c:auto val="1"/>
        <c:lblAlgn val="ctr"/>
        <c:lblOffset val="0"/>
        <c:noMultiLvlLbl val="0"/>
      </c:catAx>
      <c:valAx>
        <c:axId val="1037161968"/>
        <c:scaling>
          <c:orientation val="minMax"/>
          <c:max val="6"/>
          <c:min val="-14"/>
        </c:scaling>
        <c:delete val="0"/>
        <c:axPos val="l"/>
        <c:majorGridlines>
          <c:spPr>
            <a:ln w="6350" cap="flat" cmpd="sng" algn="ctr">
              <a:solidFill>
                <a:schemeClr val="bg1">
                  <a:lumMod val="75000"/>
                </a:schemeClr>
              </a:solidFill>
              <a:round/>
            </a:ln>
            <a:effectLst/>
          </c:spPr>
        </c:majorGridlines>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Saldo hospodaření</a:t>
                </a:r>
              </a:p>
            </c:rich>
          </c:tx>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037159056"/>
        <c:crosses val="autoZero"/>
        <c:crossBetween val="between"/>
      </c:valAx>
      <c:valAx>
        <c:axId val="1205690928"/>
        <c:scaling>
          <c:orientation val="minMax"/>
          <c:max val="100"/>
        </c:scaling>
        <c:delete val="0"/>
        <c:axPos val="r"/>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Konsolidovaný</a:t>
                </a:r>
                <a:r>
                  <a:rPr lang="cs-CZ" sz="700" i="1" baseline="0">
                    <a:latin typeface="Arial" panose="020B0604020202020204" pitchFamily="34" charset="0"/>
                    <a:cs typeface="Arial" panose="020B0604020202020204" pitchFamily="34" charset="0"/>
                  </a:rPr>
                  <a:t> dluh</a:t>
                </a:r>
                <a:endParaRPr lang="cs-CZ" sz="700" i="1">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05690096"/>
        <c:crosses val="max"/>
        <c:crossBetween val="between"/>
        <c:majorUnit val="10"/>
      </c:valAx>
      <c:catAx>
        <c:axId val="1205690096"/>
        <c:scaling>
          <c:orientation val="minMax"/>
        </c:scaling>
        <c:delete val="1"/>
        <c:axPos val="b"/>
        <c:numFmt formatCode="General" sourceLinked="1"/>
        <c:majorTickMark val="out"/>
        <c:minorTickMark val="none"/>
        <c:tickLblPos val="nextTo"/>
        <c:crossAx val="1205690928"/>
        <c:crosses val="autoZero"/>
        <c:auto val="1"/>
        <c:lblAlgn val="ctr"/>
        <c:lblOffset val="100"/>
        <c:noMultiLvlLbl val="0"/>
      </c:catAx>
      <c:spPr>
        <a:noFill/>
        <a:ln w="6350">
          <a:solidFill>
            <a:schemeClr val="tx1"/>
          </a:solidFill>
        </a:ln>
        <a:effectLst/>
      </c:spPr>
    </c:plotArea>
    <c:legend>
      <c:legendPos val="b"/>
      <c:layout>
        <c:manualLayout>
          <c:xMode val="edge"/>
          <c:yMode val="edge"/>
          <c:x val="6.4171853237142307E-2"/>
          <c:y val="0.89141808728926264"/>
          <c:w val="0.86141475457632655"/>
          <c:h val="0.10016102923385907"/>
        </c:manualLayout>
      </c:layout>
      <c:overlay val="0"/>
      <c:spPr>
        <a:noFill/>
        <a:ln w="6350">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CF35-A443-40D8-BBDB-7C85FEA73C7C}">
  <ds:schemaRefs>
    <ds:schemaRef ds:uri="http://schemas.openxmlformats.org/officeDocument/2006/bibliography"/>
  </ds:schemaRefs>
</ds:datastoreItem>
</file>

<file path=customXml/itemProps5.xml><?xml version="1.0" encoding="utf-8"?>
<ds:datastoreItem xmlns:ds="http://schemas.openxmlformats.org/officeDocument/2006/customXml" ds:itemID="{BF5D223B-EB9D-4223-BCCC-CE9999BF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5</TotalTime>
  <Pages>7</Pages>
  <Words>3111</Words>
  <Characters>18360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5</cp:revision>
  <cp:lastPrinted>2023-06-09T17:23:00Z</cp:lastPrinted>
  <dcterms:created xsi:type="dcterms:W3CDTF">2023-06-15T09:42:00Z</dcterms:created>
  <dcterms:modified xsi:type="dcterms:W3CDTF">2023-06-15T09:55:00Z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